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C9255" w14:textId="77777777" w:rsidR="00DA4387" w:rsidRDefault="00DA4387" w:rsidP="0096527E">
      <w:pPr>
        <w:jc w:val="center"/>
        <w:rPr>
          <w:b/>
          <w:i/>
        </w:rPr>
      </w:pPr>
      <w:r w:rsidRPr="00DA4387">
        <w:rPr>
          <w:b/>
          <w:i/>
        </w:rPr>
        <w:t>Original Research Article</w:t>
      </w:r>
    </w:p>
    <w:p w14:paraId="7D3FC7D1" w14:textId="77777777" w:rsidR="00DA4387" w:rsidRDefault="00DA4387" w:rsidP="0096527E">
      <w:pPr>
        <w:jc w:val="center"/>
        <w:rPr>
          <w:b/>
          <w:i/>
        </w:rPr>
      </w:pPr>
    </w:p>
    <w:p w14:paraId="78F38392" w14:textId="13068C44" w:rsidR="0096527E" w:rsidRPr="005C6774" w:rsidRDefault="00A62A82" w:rsidP="0096527E">
      <w:pPr>
        <w:jc w:val="center"/>
        <w:rPr>
          <w:b/>
        </w:rPr>
      </w:pPr>
      <w:r w:rsidRPr="00A62A82">
        <w:rPr>
          <w:b/>
          <w:i/>
        </w:rPr>
        <w:t xml:space="preserve">IN </w:t>
      </w:r>
      <w:r w:rsidR="0096527E" w:rsidRPr="00A62A82">
        <w:rPr>
          <w:b/>
          <w:i/>
        </w:rPr>
        <w:t>VIVO</w:t>
      </w:r>
      <w:r w:rsidR="0096527E" w:rsidRPr="005C6774">
        <w:rPr>
          <w:b/>
        </w:rPr>
        <w:t xml:space="preserve"> AND COMPUTATIONAL EVALUATION OF </w:t>
      </w:r>
      <w:r w:rsidR="0096527E" w:rsidRPr="005C6774">
        <w:rPr>
          <w:b/>
          <w:i/>
        </w:rPr>
        <w:t>Brassica oleracea</w:t>
      </w:r>
      <w:r w:rsidR="0096527E" w:rsidRPr="005C6774">
        <w:rPr>
          <w:b/>
        </w:rPr>
        <w:t xml:space="preserve"> </w:t>
      </w:r>
      <w:r w:rsidR="00A92CBD">
        <w:rPr>
          <w:b/>
        </w:rPr>
        <w:t>MITIGATION</w:t>
      </w:r>
      <w:r w:rsidR="00D5223C">
        <w:rPr>
          <w:b/>
        </w:rPr>
        <w:t xml:space="preserve"> ON</w:t>
      </w:r>
      <w:r w:rsidR="0096527E" w:rsidRPr="005C6774">
        <w:rPr>
          <w:b/>
        </w:rPr>
        <w:t xml:space="preserve"> LEAD ACETATE-MEDIATED PANCREATIC DAMAGE ON ADULT MALE WISTAR RATS: </w:t>
      </w:r>
      <w:r w:rsidR="00331193" w:rsidRPr="005C6774">
        <w:rPr>
          <w:b/>
        </w:rPr>
        <w:t xml:space="preserve">A </w:t>
      </w:r>
      <w:r w:rsidR="0096527E" w:rsidRPr="005C6774">
        <w:rPr>
          <w:b/>
        </w:rPr>
        <w:t>MOLECULAR DOCKING, ADMET AND DRUG LIKENESS STUDIES</w:t>
      </w:r>
    </w:p>
    <w:p w14:paraId="310B8295" w14:textId="77777777" w:rsidR="0096527E" w:rsidRPr="005C6774" w:rsidRDefault="0096527E" w:rsidP="0096527E">
      <w:pPr>
        <w:jc w:val="center"/>
        <w:rPr>
          <w:b/>
        </w:rPr>
      </w:pPr>
    </w:p>
    <w:p w14:paraId="1161A918" w14:textId="77777777" w:rsidR="00A62A82" w:rsidRDefault="00A62A82" w:rsidP="0096527E">
      <w:pPr>
        <w:jc w:val="both"/>
        <w:rPr>
          <w:b/>
        </w:rPr>
      </w:pPr>
    </w:p>
    <w:p w14:paraId="6AA0C366" w14:textId="77777777" w:rsidR="0096527E" w:rsidRPr="005C6774" w:rsidRDefault="0096527E" w:rsidP="0096527E">
      <w:pPr>
        <w:jc w:val="both"/>
        <w:rPr>
          <w:b/>
        </w:rPr>
      </w:pPr>
      <w:r w:rsidRPr="005C6774">
        <w:rPr>
          <w:b/>
        </w:rPr>
        <w:t>ABSTRACT</w:t>
      </w:r>
    </w:p>
    <w:p w14:paraId="34751D69" w14:textId="77777777" w:rsidR="005E1734" w:rsidRPr="005C6774" w:rsidRDefault="005E1734" w:rsidP="00057174">
      <w:pPr>
        <w:pStyle w:val="NormalWeb"/>
        <w:jc w:val="both"/>
      </w:pPr>
      <w:r w:rsidRPr="005C6774">
        <w:t xml:space="preserve">Lead acetate exposure induces oxidative stress and pancreatic damage, representing a critical public health concern. </w:t>
      </w:r>
      <w:r w:rsidRPr="005C6774">
        <w:rPr>
          <w:rStyle w:val="Emphasis"/>
        </w:rPr>
        <w:t>Brassica oleracea</w:t>
      </w:r>
      <w:r w:rsidRPr="005C6774">
        <w:t xml:space="preserve"> is recognized for its antioxidant and protective bioactivities, but its efficacy against lead-induced pancreatic toxicity requires further evaluation. This study investigates the in vivo protective effects of </w:t>
      </w:r>
      <w:r w:rsidRPr="005C6774">
        <w:rPr>
          <w:rStyle w:val="Emphasis"/>
        </w:rPr>
        <w:t>Brassica oleracea</w:t>
      </w:r>
      <w:r w:rsidRPr="005C6774">
        <w:t xml:space="preserve"> on pancreatic damage in adult male Wistar rats and explores the molecular docking, ADMET, and drug-likeness profiles of its key bioactive compounds</w:t>
      </w:r>
      <w:r w:rsidR="006969E1" w:rsidRPr="005C6774">
        <w:t xml:space="preserve"> </w:t>
      </w:r>
      <w:r w:rsidRPr="005C6774">
        <w:t xml:space="preserve">against relevant pancreatic protein targets. </w:t>
      </w:r>
      <w:r w:rsidR="006969E1" w:rsidRPr="005C6774">
        <w:t xml:space="preserve">The in vivo study demonstrates that </w:t>
      </w:r>
      <w:r w:rsidR="006969E1" w:rsidRPr="005C6774">
        <w:rPr>
          <w:i/>
        </w:rPr>
        <w:t>Brassica oleracea</w:t>
      </w:r>
      <w:r w:rsidR="006969E1" w:rsidRPr="005C6774">
        <w:t xml:space="preserve"> extract has significant ameliorative effects against lead acetate-induced pancreatic toxicity in Wistar rats. The moderate dose of </w:t>
      </w:r>
      <w:r w:rsidR="006969E1" w:rsidRPr="005C6774">
        <w:rPr>
          <w:i/>
        </w:rPr>
        <w:t>Brassica oleracea</w:t>
      </w:r>
      <w:r w:rsidR="006969E1" w:rsidRPr="005C6774">
        <w:t xml:space="preserve"> extract (Group D) provided the most substantial improvements in both biochemical markers and histological features, suggesting that this dosage offers an optimal balance between antioxidant activity and pancreatic recovery. </w:t>
      </w:r>
      <w:r w:rsidRPr="005C6774">
        <w:t>Molecular docking revealed strong bind</w:t>
      </w:r>
      <w:r w:rsidR="00057174" w:rsidRPr="005C6774">
        <w:t>ing affinities ranging from -5.1 to -11.7</w:t>
      </w:r>
      <w:r w:rsidRPr="005C6774">
        <w:t xml:space="preserve"> kcal/mol, with rutin exhibiting the highest affinity at -</w:t>
      </w:r>
      <w:r w:rsidR="00057174" w:rsidRPr="005C6774">
        <w:t>11.7</w:t>
      </w:r>
      <w:r w:rsidRPr="005C6774">
        <w:t xml:space="preserve"> kcal/mol against multiple pancreatic enzymes, while neoxanthin and apigenin showed affinities up to -8.9 and -7.8 kcal/mol, respectively. ADMET analysis indicated favorable absorption and metabolism profiles for apigenin, with lower toxicity risks compared to neoxanthin and rutin. Drug-likeness evaluations favored apigenin, which complied with Lipinski’s and other key rules. These findings suggest that </w:t>
      </w:r>
      <w:r w:rsidRPr="005C6774">
        <w:rPr>
          <w:rStyle w:val="Emphasis"/>
        </w:rPr>
        <w:t>Brassica oleracea</w:t>
      </w:r>
      <w:r w:rsidRPr="005C6774">
        <w:t xml:space="preserve"> exerts protective effects against lead acetate-mediated pancreatic injury, with its bioactive compounds, particularly rutin and apigenin, exhibiting strong molecular interactions and promising pharmacological profiles. Further studies are warranted to develop these compounds as potential therapeutic agents.</w:t>
      </w:r>
    </w:p>
    <w:p w14:paraId="0BF61A91" w14:textId="77777777" w:rsidR="00057174" w:rsidRPr="005C6774" w:rsidRDefault="00057174" w:rsidP="00057174">
      <w:pPr>
        <w:pStyle w:val="NormalWeb"/>
        <w:jc w:val="both"/>
        <w:rPr>
          <w:b/>
        </w:rPr>
      </w:pPr>
      <w:r w:rsidRPr="005C6774">
        <w:rPr>
          <w:b/>
        </w:rPr>
        <w:t xml:space="preserve">Keywords: </w:t>
      </w:r>
      <w:r w:rsidRPr="005C6774">
        <w:rPr>
          <w:rStyle w:val="Emphasis"/>
          <w:b/>
        </w:rPr>
        <w:t xml:space="preserve">Brassica oleracea, </w:t>
      </w:r>
      <w:r w:rsidRPr="005C6774">
        <w:rPr>
          <w:b/>
        </w:rPr>
        <w:t xml:space="preserve">Lead acetate, toxicity, histology, </w:t>
      </w:r>
      <w:proofErr w:type="spellStart"/>
      <w:r w:rsidRPr="005C6774">
        <w:rPr>
          <w:b/>
        </w:rPr>
        <w:t>pancrease</w:t>
      </w:r>
      <w:proofErr w:type="spellEnd"/>
      <w:r w:rsidRPr="005C6774">
        <w:rPr>
          <w:b/>
        </w:rPr>
        <w:t>, molecular docking</w:t>
      </w:r>
    </w:p>
    <w:p w14:paraId="7B65E2D8" w14:textId="77777777" w:rsidR="005E1734" w:rsidRPr="005C6774" w:rsidRDefault="005E1734" w:rsidP="0096527E">
      <w:pPr>
        <w:jc w:val="both"/>
        <w:rPr>
          <w:b/>
        </w:rPr>
      </w:pPr>
    </w:p>
    <w:p w14:paraId="0EBC8530" w14:textId="77777777" w:rsidR="0096527E" w:rsidRPr="005C6774" w:rsidRDefault="0096527E" w:rsidP="0096527E">
      <w:pPr>
        <w:jc w:val="both"/>
        <w:rPr>
          <w:b/>
        </w:rPr>
      </w:pPr>
    </w:p>
    <w:p w14:paraId="714E3AB5" w14:textId="77777777" w:rsidR="00057174" w:rsidRPr="005C6774" w:rsidRDefault="00057174" w:rsidP="0096527E">
      <w:pPr>
        <w:jc w:val="both"/>
        <w:rPr>
          <w:b/>
        </w:rPr>
      </w:pPr>
    </w:p>
    <w:p w14:paraId="612F1B67" w14:textId="77777777" w:rsidR="00057174" w:rsidRPr="005C6774" w:rsidRDefault="00057174" w:rsidP="0096527E">
      <w:pPr>
        <w:jc w:val="both"/>
        <w:rPr>
          <w:b/>
        </w:rPr>
      </w:pPr>
    </w:p>
    <w:p w14:paraId="673B1CC0" w14:textId="77777777" w:rsidR="00057174" w:rsidRPr="005C6774" w:rsidRDefault="00057174" w:rsidP="0096527E">
      <w:pPr>
        <w:jc w:val="both"/>
        <w:rPr>
          <w:b/>
        </w:rPr>
      </w:pPr>
    </w:p>
    <w:p w14:paraId="61CAE5E3" w14:textId="77777777" w:rsidR="00057174" w:rsidRPr="005C6774" w:rsidRDefault="00057174" w:rsidP="0096527E">
      <w:pPr>
        <w:jc w:val="both"/>
        <w:rPr>
          <w:b/>
        </w:rPr>
      </w:pPr>
    </w:p>
    <w:p w14:paraId="3FE22422" w14:textId="77777777" w:rsidR="00057174" w:rsidRPr="005C6774" w:rsidRDefault="00057174" w:rsidP="0096527E">
      <w:pPr>
        <w:jc w:val="both"/>
        <w:rPr>
          <w:b/>
        </w:rPr>
      </w:pPr>
    </w:p>
    <w:p w14:paraId="6191110E" w14:textId="77777777" w:rsidR="00057174" w:rsidRPr="005C6774" w:rsidRDefault="00057174" w:rsidP="0096527E">
      <w:pPr>
        <w:jc w:val="both"/>
        <w:rPr>
          <w:b/>
        </w:rPr>
      </w:pPr>
    </w:p>
    <w:p w14:paraId="154824B9" w14:textId="77777777" w:rsidR="00057174" w:rsidRPr="005C6774" w:rsidRDefault="00057174" w:rsidP="0096527E">
      <w:pPr>
        <w:jc w:val="both"/>
        <w:rPr>
          <w:b/>
        </w:rPr>
      </w:pPr>
    </w:p>
    <w:p w14:paraId="0BB5907F" w14:textId="77777777" w:rsidR="00057174" w:rsidRPr="005C6774" w:rsidRDefault="00057174" w:rsidP="0096527E">
      <w:pPr>
        <w:jc w:val="both"/>
        <w:rPr>
          <w:b/>
        </w:rPr>
      </w:pPr>
    </w:p>
    <w:p w14:paraId="4F750FF5" w14:textId="77777777" w:rsidR="00057174" w:rsidRPr="005C6774" w:rsidRDefault="00057174" w:rsidP="0096527E">
      <w:pPr>
        <w:jc w:val="both"/>
        <w:rPr>
          <w:b/>
        </w:rPr>
      </w:pPr>
    </w:p>
    <w:p w14:paraId="58F21034" w14:textId="77777777" w:rsidR="00057174" w:rsidRPr="005C6774" w:rsidRDefault="00057174" w:rsidP="0096527E">
      <w:pPr>
        <w:jc w:val="both"/>
        <w:rPr>
          <w:b/>
        </w:rPr>
      </w:pPr>
    </w:p>
    <w:p w14:paraId="596491CD" w14:textId="77777777" w:rsidR="00A62A82" w:rsidRDefault="00A62A82" w:rsidP="00057174">
      <w:pPr>
        <w:spacing w:before="240" w:line="360" w:lineRule="auto"/>
        <w:jc w:val="both"/>
        <w:rPr>
          <w:b/>
        </w:rPr>
      </w:pPr>
    </w:p>
    <w:p w14:paraId="023A496E" w14:textId="77777777" w:rsidR="0096527E" w:rsidRPr="005C6774" w:rsidRDefault="0096527E" w:rsidP="00057174">
      <w:pPr>
        <w:spacing w:before="240" w:line="360" w:lineRule="auto"/>
        <w:jc w:val="both"/>
        <w:rPr>
          <w:b/>
        </w:rPr>
      </w:pPr>
      <w:r w:rsidRPr="005C6774">
        <w:rPr>
          <w:b/>
        </w:rPr>
        <w:lastRenderedPageBreak/>
        <w:t>INTRODUCTION</w:t>
      </w:r>
    </w:p>
    <w:p w14:paraId="111FC047" w14:textId="77777777" w:rsidR="00C906CB" w:rsidRPr="005C6774" w:rsidRDefault="00C906CB" w:rsidP="00057174">
      <w:pPr>
        <w:pStyle w:val="NormalWeb"/>
        <w:spacing w:before="240" w:beforeAutospacing="0" w:line="360" w:lineRule="auto"/>
        <w:jc w:val="both"/>
      </w:pPr>
      <w:r w:rsidRPr="005C6774">
        <w:t>Lead (Pb) is a heavy metal widely recognized as a significant environmental and occupational toxin, with no known beneficial physiological role in humans or animals. Lead exposure, particularly through lead acetate, poses severe health risks due to its capacity to accumulate in vital organs and induce oxidative stress, inflammation, and cellular damage (Flora et al., 2020). The pancreas is among the organs vulnerable to lead toxicity, as it plays a crucial role in glucose metabolism via insulin production and secretion (Singh et al., 2021). Lead-induced pancreatic damage disrupts normal endocrine function, contributing to the development of diabetes mellitus and other metabolic syndromes (Kumar et al., 2023). Despite this, therapeutic options for mitigating lead-induced pancreatic injury remain inadequate, often limited to chelation therapy, which may have adverse side effects and incomplete efficacy (Zhang et al., 2021). Therefore, there is an urgent need to explore novel, safer agents capable of protecting the pancreas from lead-induced oxidative and inflammatory insults.</w:t>
      </w:r>
    </w:p>
    <w:p w14:paraId="0A2029EF" w14:textId="77777777" w:rsidR="00C906CB" w:rsidRPr="005C6774" w:rsidRDefault="00C906CB" w:rsidP="00057174">
      <w:pPr>
        <w:pStyle w:val="NormalWeb"/>
        <w:spacing w:before="240" w:beforeAutospacing="0" w:line="360" w:lineRule="auto"/>
        <w:jc w:val="both"/>
      </w:pPr>
      <w:r w:rsidRPr="005C6774">
        <w:t xml:space="preserve">Phytochemicals derived from edible plants have garnered increasing attention for their potential as natural antioxidants and anti-inflammatory agents in mitigating heavy metal toxicity (Chen et al., 2022). </w:t>
      </w:r>
      <w:r w:rsidRPr="005C6774">
        <w:rPr>
          <w:rStyle w:val="Emphasis"/>
        </w:rPr>
        <w:t>Brassica oleracea</w:t>
      </w:r>
      <w:r w:rsidRPr="005C6774">
        <w:t>, a member of the cruciferous vegetable family, is widely consumed globally and is rich in bioacti</w:t>
      </w:r>
      <w:r w:rsidR="006C5A7C" w:rsidRPr="005C6774">
        <w:t xml:space="preserve">ve compounds such as flavonoids </w:t>
      </w:r>
      <w:r w:rsidRPr="005C6774">
        <w:t xml:space="preserve">and carotenoids. These compounds have demonstrated potent antioxidant, anti-inflammatory, and cytoprotective effects in various in vitro and in vivo studies (Liu et al., 2023; Patel et al., 2021). </w:t>
      </w:r>
      <w:r w:rsidR="006C5A7C" w:rsidRPr="005C6774">
        <w:t>Most of these compounds</w:t>
      </w:r>
      <w:r w:rsidRPr="005C6774">
        <w:t xml:space="preserve"> have been shown to modulate key signaling pathways such as NF-</w:t>
      </w:r>
      <w:proofErr w:type="spellStart"/>
      <w:r w:rsidRPr="005C6774">
        <w:t>κB</w:t>
      </w:r>
      <w:proofErr w:type="spellEnd"/>
      <w:r w:rsidRPr="005C6774">
        <w:t xml:space="preserve">, which is critical in controlling inflammatory responses in pancreatic and other tissues (Chen et al., 2022). Moreover, carotenoids exert protective effects by scavenging reactive oxygen species and inhibiting apoptosis in cellular models (Singh et al., 2021). However, the specific protective role of </w:t>
      </w:r>
      <w:r w:rsidRPr="005C6774">
        <w:rPr>
          <w:rStyle w:val="Emphasis"/>
        </w:rPr>
        <w:t>Brassica oleracea</w:t>
      </w:r>
      <w:r w:rsidRPr="005C6774">
        <w:t xml:space="preserve"> phytochemicals against lead acetate-induced pancreatic damage has not been comprehensively studied.</w:t>
      </w:r>
    </w:p>
    <w:p w14:paraId="0EF55A8B" w14:textId="77777777" w:rsidR="00C906CB" w:rsidRPr="005C6774" w:rsidRDefault="00C906CB" w:rsidP="00057174">
      <w:pPr>
        <w:pStyle w:val="NormalWeb"/>
        <w:spacing w:before="240" w:beforeAutospacing="0" w:line="360" w:lineRule="auto"/>
        <w:jc w:val="both"/>
      </w:pPr>
      <w:r w:rsidRPr="005C6774">
        <w:t xml:space="preserve">Advances in computational methods such as molecular docking, ADMET prediction, and drug-likeness evaluation provide powerful tools for elucidating the pharmacological interactions of plant-derived compounds with biological targets (Wang et al., 2020). Molecular docking allows the prediction of binding affinities and interaction patterns of phytochemicals with target proteins </w:t>
      </w:r>
      <w:r w:rsidRPr="005C6774">
        <w:lastRenderedPageBreak/>
        <w:t>implicated in pancreatic injury and oxidative stress, providing mechanistic insights into their potential efficacy (Gonzalez et al., 2024). In parallel, ADMET profiling evaluates the absorption, distribution, metabolism, excretion, and toxicity properties of these compounds, informing their drug development potential and safety profiles (Patel et al., 2021). Drug-likeness models further assess whether these bioactive molecules meet established criteria for oral bioavailability and pharmacokinetic suitability (Wang et al., 2020).</w:t>
      </w:r>
    </w:p>
    <w:p w14:paraId="759F3A1E" w14:textId="77777777" w:rsidR="0096527E" w:rsidRPr="005C6774" w:rsidRDefault="00C906CB" w:rsidP="00057174">
      <w:pPr>
        <w:pStyle w:val="NormalWeb"/>
        <w:spacing w:before="240" w:beforeAutospacing="0" w:line="360" w:lineRule="auto"/>
        <w:jc w:val="both"/>
      </w:pPr>
      <w:r w:rsidRPr="005C6774">
        <w:t xml:space="preserve">In this study, we combined in vivo experimental evaluation using adult male Wistar rats exposed to lead acetate with computational analyses of major </w:t>
      </w:r>
      <w:r w:rsidRPr="005C6774">
        <w:rPr>
          <w:rStyle w:val="Emphasis"/>
        </w:rPr>
        <w:t>Brassica oleracea</w:t>
      </w:r>
      <w:r w:rsidRPr="005C6774">
        <w:t xml:space="preserve"> compounds—neoxanthin, rutin, and apigenin—to assess their protective effects against pancreatic damage. The in vivo study focused on biochemical and histopathological assessments of pancreatic tissue following </w:t>
      </w:r>
      <w:r w:rsidRPr="005C6774">
        <w:rPr>
          <w:rStyle w:val="Emphasis"/>
        </w:rPr>
        <w:t>Brassica oleracea</w:t>
      </w:r>
      <w:r w:rsidRPr="005C6774">
        <w:t xml:space="preserve"> administration in lead-exposed rats. Concurrently, molecular docking was employed to evaluate the binding affinities of these compounds against key pancreatic targets involved in oxidative stress and inflammation. ADMET and drug-likeness analyses further elucidated the pharmacokinetic profiles and safety of the compounds. This integrative approach aims to provide comprehensive evidence supporting the therapeutic potential of </w:t>
      </w:r>
      <w:r w:rsidRPr="005C6774">
        <w:rPr>
          <w:rStyle w:val="Emphasis"/>
        </w:rPr>
        <w:t>Brassica oleracea</w:t>
      </w:r>
      <w:r w:rsidRPr="005C6774">
        <w:t xml:space="preserve"> in mitigating lead-induced pancreatic injury and to advance its phytochemicals as candidates for furth</w:t>
      </w:r>
      <w:r w:rsidR="00057174" w:rsidRPr="005C6774">
        <w:t>er drug development.</w:t>
      </w:r>
    </w:p>
    <w:p w14:paraId="788596DE" w14:textId="3503843C" w:rsidR="00C838CD" w:rsidRPr="0056116F" w:rsidRDefault="00D66A1E">
      <w:pPr>
        <w:rPr>
          <w:b/>
        </w:rPr>
      </w:pPr>
      <w:r>
        <w:rPr>
          <w:b/>
        </w:rPr>
        <w:t xml:space="preserve">2 </w:t>
      </w:r>
      <w:r w:rsidR="00736B76" w:rsidRPr="005C6774">
        <w:rPr>
          <w:b/>
        </w:rPr>
        <w:t>MATERIALS AND METHODS</w:t>
      </w:r>
    </w:p>
    <w:p w14:paraId="37F9BA29" w14:textId="77777777" w:rsidR="00866AF3" w:rsidRPr="005C6774" w:rsidRDefault="00866AF3" w:rsidP="00351B0C">
      <w:pPr>
        <w:autoSpaceDE w:val="0"/>
        <w:autoSpaceDN w:val="0"/>
        <w:adjustRightInd w:val="0"/>
        <w:spacing w:before="240" w:line="360" w:lineRule="auto"/>
        <w:jc w:val="both"/>
        <w:rPr>
          <w:b/>
          <w:i/>
        </w:rPr>
      </w:pPr>
      <w:r w:rsidRPr="005C6774">
        <w:rPr>
          <w:b/>
          <w:i/>
        </w:rPr>
        <w:t>In-vivo studies</w:t>
      </w:r>
    </w:p>
    <w:p w14:paraId="026785F3" w14:textId="77777777" w:rsidR="00866AF3" w:rsidRPr="005C6774" w:rsidRDefault="00D66A1E" w:rsidP="00351B0C">
      <w:pPr>
        <w:autoSpaceDE w:val="0"/>
        <w:autoSpaceDN w:val="0"/>
        <w:adjustRightInd w:val="0"/>
        <w:spacing w:before="240" w:line="360" w:lineRule="auto"/>
        <w:jc w:val="both"/>
        <w:rPr>
          <w:b/>
        </w:rPr>
      </w:pPr>
      <w:r>
        <w:rPr>
          <w:b/>
        </w:rPr>
        <w:t xml:space="preserve">2.1 </w:t>
      </w:r>
      <w:r w:rsidR="00E4657F" w:rsidRPr="005C6774">
        <w:rPr>
          <w:b/>
        </w:rPr>
        <w:t xml:space="preserve">Sample collection and preparation of </w:t>
      </w:r>
      <w:r w:rsidR="00C402B6" w:rsidRPr="005C6774">
        <w:rPr>
          <w:b/>
          <w:i/>
        </w:rPr>
        <w:t>Brassica oleracea</w:t>
      </w:r>
      <w:r w:rsidR="00E4657F" w:rsidRPr="005C6774">
        <w:rPr>
          <w:b/>
        </w:rPr>
        <w:t xml:space="preserve"> extract</w:t>
      </w:r>
    </w:p>
    <w:p w14:paraId="588A6097" w14:textId="77777777" w:rsidR="00866AF3" w:rsidRDefault="00866AF3" w:rsidP="00351B0C">
      <w:pPr>
        <w:autoSpaceDE w:val="0"/>
        <w:autoSpaceDN w:val="0"/>
        <w:adjustRightInd w:val="0"/>
        <w:spacing w:before="240" w:line="360" w:lineRule="auto"/>
        <w:jc w:val="both"/>
      </w:pPr>
      <w:r w:rsidRPr="005C6774">
        <w:t xml:space="preserve">The </w:t>
      </w:r>
      <w:r w:rsidR="00C402B6" w:rsidRPr="005C6774">
        <w:rPr>
          <w:i/>
        </w:rPr>
        <w:t>Brassica oleracea</w:t>
      </w:r>
      <w:r w:rsidRPr="005C6774">
        <w:t xml:space="preserve"> used for this study was bought from </w:t>
      </w:r>
      <w:proofErr w:type="spellStart"/>
      <w:r w:rsidRPr="005C6774">
        <w:t>Nkwo</w:t>
      </w:r>
      <w:proofErr w:type="spellEnd"/>
      <w:r w:rsidRPr="005C6774">
        <w:t xml:space="preserve"> Nnewi market, in Nnewi North Local Government Area of Anambra state. The </w:t>
      </w:r>
      <w:r w:rsidR="00C402B6" w:rsidRPr="005C6774">
        <w:rPr>
          <w:i/>
        </w:rPr>
        <w:t>Brassica oleracea</w:t>
      </w:r>
      <w:r w:rsidRPr="005C6774">
        <w:t xml:space="preserve"> was bought fresh, and was air-dried under ambient temperature and was milled into coarse powder using Local grinder. 250g of the </w:t>
      </w:r>
      <w:r w:rsidR="00C402B6" w:rsidRPr="005C6774">
        <w:rPr>
          <w:i/>
        </w:rPr>
        <w:t>Brassica oleracea</w:t>
      </w:r>
      <w:r w:rsidRPr="005C6774">
        <w:t xml:space="preserve"> were macerated in 1000 </w:t>
      </w:r>
      <w:proofErr w:type="spellStart"/>
      <w:r w:rsidRPr="005C6774">
        <w:t>mls</w:t>
      </w:r>
      <w:proofErr w:type="spellEnd"/>
      <w:r w:rsidRPr="005C6774">
        <w:t xml:space="preserve"> of 95% ethanol for 48hours. It was then filtered using a porcelain cloth and further filtration using Whatman No 1 filter paper. The filtrate was concentrated using a rotatory evaporator, which was further dried</w:t>
      </w:r>
      <w:r w:rsidR="00E4657F" w:rsidRPr="005C6774">
        <w:t xml:space="preserve"> using a laboratory oven at 45˚C</w:t>
      </w:r>
      <w:r w:rsidRPr="005C6774">
        <w:t xml:space="preserve"> into a gel-like form. The extract was preserved in a refrigerator for further usage. </w:t>
      </w:r>
    </w:p>
    <w:p w14:paraId="4FA86C3B" w14:textId="77777777" w:rsidR="00E22524" w:rsidRPr="005C6774" w:rsidRDefault="00E22524" w:rsidP="00351B0C">
      <w:pPr>
        <w:autoSpaceDE w:val="0"/>
        <w:autoSpaceDN w:val="0"/>
        <w:adjustRightInd w:val="0"/>
        <w:spacing w:before="240" w:line="360" w:lineRule="auto"/>
        <w:jc w:val="both"/>
      </w:pPr>
    </w:p>
    <w:p w14:paraId="0B4CE915" w14:textId="77777777" w:rsidR="00AC2CBD" w:rsidRPr="005C6774" w:rsidRDefault="00D66A1E" w:rsidP="00351B0C">
      <w:pPr>
        <w:autoSpaceDE w:val="0"/>
        <w:autoSpaceDN w:val="0"/>
        <w:adjustRightInd w:val="0"/>
        <w:spacing w:before="240" w:line="360" w:lineRule="auto"/>
        <w:jc w:val="both"/>
        <w:rPr>
          <w:b/>
        </w:rPr>
      </w:pPr>
      <w:r>
        <w:rPr>
          <w:b/>
        </w:rPr>
        <w:lastRenderedPageBreak/>
        <w:t xml:space="preserve">2.2 </w:t>
      </w:r>
      <w:r w:rsidR="00AC2CBD" w:rsidRPr="005C6774">
        <w:rPr>
          <w:b/>
        </w:rPr>
        <w:t xml:space="preserve">Experimental Animal Care and Handling </w:t>
      </w:r>
    </w:p>
    <w:p w14:paraId="20966F59" w14:textId="77777777" w:rsidR="00E4657F" w:rsidRPr="005C6774" w:rsidRDefault="00E4657F" w:rsidP="00351B0C">
      <w:pPr>
        <w:autoSpaceDE w:val="0"/>
        <w:autoSpaceDN w:val="0"/>
        <w:adjustRightInd w:val="0"/>
        <w:spacing w:before="240" w:line="360" w:lineRule="auto"/>
        <w:jc w:val="both"/>
      </w:pPr>
      <w:r w:rsidRPr="005C6774">
        <w:t>Twenty five (25)  male albino Wistar rats (</w:t>
      </w:r>
      <w:r w:rsidRPr="005C6774">
        <w:rPr>
          <w:i/>
        </w:rPr>
        <w:t>Rattus norvegicus</w:t>
      </w:r>
      <w:r w:rsidRPr="005C6774">
        <w:t xml:space="preserve">) weighing between the ranges of 160-250g, were obtained from </w:t>
      </w:r>
      <w:proofErr w:type="spellStart"/>
      <w:r w:rsidRPr="005C6774">
        <w:t>Iyke</w:t>
      </w:r>
      <w:proofErr w:type="spellEnd"/>
      <w:r w:rsidRPr="005C6774">
        <w:t xml:space="preserve"> Animal farm, located at Nnewi Anambra state, and were bred in the experimental house of Basic Medical Sciences (BAMSSA), Chukwuemeka </w:t>
      </w:r>
      <w:proofErr w:type="spellStart"/>
      <w:r w:rsidRPr="005C6774">
        <w:t>Odumegwu</w:t>
      </w:r>
      <w:proofErr w:type="spellEnd"/>
      <w:r w:rsidRPr="005C6774">
        <w:t xml:space="preserve"> Ojukwu University, </w:t>
      </w:r>
      <w:proofErr w:type="spellStart"/>
      <w:r w:rsidRPr="005C6774">
        <w:t>Uli</w:t>
      </w:r>
      <w:proofErr w:type="spellEnd"/>
      <w:r w:rsidRPr="005C6774">
        <w:t xml:space="preserve"> Campus w</w:t>
      </w:r>
      <w:r w:rsidR="0090013A" w:rsidRPr="005C6774">
        <w:t>h</w:t>
      </w:r>
      <w:r w:rsidRPr="005C6774">
        <w:t xml:space="preserve">ere the rats were acclimatize for two weeks. Grower mesh (sander feeds) and tap water was provided throughout the experimental period. </w:t>
      </w:r>
    </w:p>
    <w:p w14:paraId="463A5CF5" w14:textId="77777777" w:rsidR="00AC2CBD" w:rsidRPr="005C6774" w:rsidRDefault="00D66A1E" w:rsidP="00351B0C">
      <w:pPr>
        <w:autoSpaceDE w:val="0"/>
        <w:autoSpaceDN w:val="0"/>
        <w:adjustRightInd w:val="0"/>
        <w:spacing w:before="240" w:line="360" w:lineRule="auto"/>
        <w:jc w:val="both"/>
        <w:rPr>
          <w:b/>
          <w:bCs/>
        </w:rPr>
      </w:pPr>
      <w:r>
        <w:rPr>
          <w:b/>
          <w:bCs/>
        </w:rPr>
        <w:t xml:space="preserve">2.3 </w:t>
      </w:r>
      <w:r w:rsidR="00632A69" w:rsidRPr="005C6774">
        <w:rPr>
          <w:b/>
          <w:bCs/>
        </w:rPr>
        <w:t>Induction of Lead acetate and Administration of Plant extract</w:t>
      </w:r>
    </w:p>
    <w:p w14:paraId="480D029D" w14:textId="77777777" w:rsidR="00632A69" w:rsidRPr="005C6774" w:rsidRDefault="0090013A" w:rsidP="0090013A">
      <w:pPr>
        <w:spacing w:before="240" w:line="360" w:lineRule="auto"/>
        <w:jc w:val="both"/>
      </w:pPr>
      <w:r w:rsidRPr="005C6774">
        <w:t xml:space="preserve">The </w:t>
      </w:r>
      <w:r w:rsidR="00AC2CBD" w:rsidRPr="005C6774">
        <w:t>weights</w:t>
      </w:r>
      <w:r w:rsidRPr="005C6774">
        <w:t xml:space="preserve"> of the rats</w:t>
      </w:r>
      <w:r w:rsidR="00AC2CBD" w:rsidRPr="005C6774">
        <w:t xml:space="preserve"> were measured prior to Lead Acetate </w:t>
      </w:r>
      <w:r w:rsidRPr="005C6774">
        <w:t xml:space="preserve">and </w:t>
      </w:r>
      <w:r w:rsidRPr="005C6774">
        <w:rPr>
          <w:i/>
        </w:rPr>
        <w:t>Brassica oleracea</w:t>
      </w:r>
      <w:r w:rsidRPr="005C6774">
        <w:t xml:space="preserve"> extract </w:t>
      </w:r>
      <w:r w:rsidR="00AC2CBD" w:rsidRPr="005C6774">
        <w:t>administration. They were divided into five groups (A, B, C, D, E) of 5 rats each. Base</w:t>
      </w:r>
      <w:r w:rsidRPr="005C6774">
        <w:t>d</w:t>
      </w:r>
      <w:r w:rsidR="00AC2CBD" w:rsidRPr="005C6774">
        <w:t xml:space="preserve"> on their weights, group A (control) measures 130g, group B measures (</w:t>
      </w:r>
      <w:r w:rsidR="00632A69" w:rsidRPr="005C6774">
        <w:t>lead acetate</w:t>
      </w:r>
      <w:r w:rsidR="00AC2CBD" w:rsidRPr="005C6774">
        <w:t xml:space="preserve"> only) 185g, group C (low dosage)  measures 170g, group D (mid dosage)  measures 200g, grou</w:t>
      </w:r>
      <w:r w:rsidRPr="005C6774">
        <w:t>p E (high dosage) measures 200g</w:t>
      </w:r>
      <w:r w:rsidR="00632A69" w:rsidRPr="005C6774">
        <w:t>. Pancreas oxidative damage was induced in</w:t>
      </w:r>
      <w:r w:rsidRPr="005C6774">
        <w:t>to the</w:t>
      </w:r>
      <w:r w:rsidR="00632A69" w:rsidRPr="005C6774">
        <w:t xml:space="preserve"> rats at a dose relative to their body weight, (Theophile, 2006). The lead acetate was </w:t>
      </w:r>
      <w:r w:rsidRPr="005C6774">
        <w:t>induced</w:t>
      </w:r>
      <w:r w:rsidR="00632A69" w:rsidRPr="005C6774">
        <w:t xml:space="preserve"> through intraperitoneal route</w:t>
      </w:r>
      <w:r w:rsidRPr="005C6774">
        <w:t xml:space="preserve"> and </w:t>
      </w:r>
      <w:r w:rsidRPr="005C6774">
        <w:rPr>
          <w:i/>
        </w:rPr>
        <w:t>Brassica oleracea</w:t>
      </w:r>
      <w:r w:rsidRPr="005C6774">
        <w:t xml:space="preserve"> extract was administered for three weeks through oral route</w:t>
      </w:r>
      <w:r w:rsidR="00AE4DB5" w:rsidRPr="005C6774">
        <w:t xml:space="preserve"> according to the experimental design below:</w:t>
      </w:r>
    </w:p>
    <w:p w14:paraId="362A122F" w14:textId="77777777" w:rsidR="007C00BF" w:rsidRPr="005C6774" w:rsidRDefault="008F744C" w:rsidP="007C00BF">
      <w:pPr>
        <w:spacing w:before="240" w:line="360" w:lineRule="auto"/>
        <w:jc w:val="both"/>
        <w:rPr>
          <w:b/>
        </w:rPr>
      </w:pPr>
      <w:r w:rsidRPr="005C6774">
        <w:rPr>
          <w:b/>
        </w:rPr>
        <w:t>Table 1:</w:t>
      </w:r>
      <w:r w:rsidRPr="005C6774">
        <w:t xml:space="preserve"> </w:t>
      </w:r>
      <w:r w:rsidR="00AE4DB5" w:rsidRPr="005C6774">
        <w:rPr>
          <w:b/>
        </w:rPr>
        <w:t>Experimental</w:t>
      </w:r>
      <w:r w:rsidRPr="005C6774">
        <w:rPr>
          <w:b/>
        </w:rPr>
        <w:t xml:space="preserve"> Design</w:t>
      </w:r>
    </w:p>
    <w:tbl>
      <w:tblPr>
        <w:tblStyle w:val="TableGrid"/>
        <w:tblW w:w="1035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0"/>
        <w:gridCol w:w="1655"/>
        <w:gridCol w:w="5815"/>
      </w:tblGrid>
      <w:tr w:rsidR="008F744C" w:rsidRPr="005C6774" w14:paraId="14A2C8C6" w14:textId="77777777" w:rsidTr="00AE4DB5">
        <w:trPr>
          <w:trHeight w:val="396"/>
        </w:trPr>
        <w:tc>
          <w:tcPr>
            <w:tcW w:w="2880" w:type="dxa"/>
            <w:tcBorders>
              <w:top w:val="single" w:sz="4" w:space="0" w:color="auto"/>
              <w:bottom w:val="single" w:sz="4" w:space="0" w:color="auto"/>
            </w:tcBorders>
          </w:tcPr>
          <w:p w14:paraId="0708640D" w14:textId="77777777" w:rsidR="008F744C" w:rsidRPr="005C6774" w:rsidRDefault="008F744C" w:rsidP="00E97A9B">
            <w:pPr>
              <w:jc w:val="both"/>
              <w:rPr>
                <w:b/>
              </w:rPr>
            </w:pPr>
            <w:r w:rsidRPr="005C6774">
              <w:rPr>
                <w:b/>
              </w:rPr>
              <w:t>Groups</w:t>
            </w:r>
          </w:p>
        </w:tc>
        <w:tc>
          <w:tcPr>
            <w:tcW w:w="1655" w:type="dxa"/>
            <w:tcBorders>
              <w:top w:val="single" w:sz="4" w:space="0" w:color="auto"/>
              <w:bottom w:val="single" w:sz="4" w:space="0" w:color="auto"/>
            </w:tcBorders>
          </w:tcPr>
          <w:p w14:paraId="67F30B6E" w14:textId="77777777" w:rsidR="008F744C" w:rsidRPr="005C6774" w:rsidRDefault="008F744C" w:rsidP="00E97A9B">
            <w:pPr>
              <w:jc w:val="both"/>
              <w:rPr>
                <w:b/>
              </w:rPr>
            </w:pPr>
            <w:r w:rsidRPr="005C6774">
              <w:rPr>
                <w:b/>
              </w:rPr>
              <w:t xml:space="preserve">No. of rats </w:t>
            </w:r>
          </w:p>
        </w:tc>
        <w:tc>
          <w:tcPr>
            <w:tcW w:w="5815" w:type="dxa"/>
            <w:tcBorders>
              <w:top w:val="single" w:sz="4" w:space="0" w:color="auto"/>
              <w:bottom w:val="single" w:sz="4" w:space="0" w:color="auto"/>
            </w:tcBorders>
          </w:tcPr>
          <w:p w14:paraId="720A6A74" w14:textId="77777777" w:rsidR="008F744C" w:rsidRPr="005C6774" w:rsidRDefault="008F744C" w:rsidP="008F0F98">
            <w:pPr>
              <w:jc w:val="both"/>
              <w:rPr>
                <w:b/>
              </w:rPr>
            </w:pPr>
            <w:r w:rsidRPr="005C6774">
              <w:rPr>
                <w:b/>
              </w:rPr>
              <w:t xml:space="preserve">Treatment dose </w:t>
            </w:r>
          </w:p>
        </w:tc>
      </w:tr>
      <w:tr w:rsidR="008F744C" w:rsidRPr="005C6774" w14:paraId="7646DAF3" w14:textId="77777777" w:rsidTr="00AE4DB5">
        <w:trPr>
          <w:trHeight w:val="413"/>
        </w:trPr>
        <w:tc>
          <w:tcPr>
            <w:tcW w:w="2880" w:type="dxa"/>
            <w:tcBorders>
              <w:top w:val="single" w:sz="4" w:space="0" w:color="auto"/>
            </w:tcBorders>
          </w:tcPr>
          <w:p w14:paraId="43FD054F" w14:textId="77777777" w:rsidR="008F744C" w:rsidRPr="005C6774" w:rsidRDefault="008F744C" w:rsidP="00E97A9B">
            <w:pPr>
              <w:jc w:val="both"/>
            </w:pPr>
            <w:r w:rsidRPr="005C6774">
              <w:t xml:space="preserve">Group A (control) </w:t>
            </w:r>
          </w:p>
        </w:tc>
        <w:tc>
          <w:tcPr>
            <w:tcW w:w="1655" w:type="dxa"/>
            <w:tcBorders>
              <w:top w:val="single" w:sz="4" w:space="0" w:color="auto"/>
            </w:tcBorders>
          </w:tcPr>
          <w:p w14:paraId="5CC17613" w14:textId="77777777" w:rsidR="008F744C" w:rsidRPr="005C6774" w:rsidRDefault="008F0F98" w:rsidP="00E97A9B">
            <w:pPr>
              <w:jc w:val="both"/>
            </w:pPr>
            <w:r w:rsidRPr="005C6774">
              <w:t>5</w:t>
            </w:r>
          </w:p>
        </w:tc>
        <w:tc>
          <w:tcPr>
            <w:tcW w:w="5815" w:type="dxa"/>
            <w:tcBorders>
              <w:top w:val="single" w:sz="4" w:space="0" w:color="auto"/>
            </w:tcBorders>
          </w:tcPr>
          <w:p w14:paraId="04DB9098" w14:textId="77777777" w:rsidR="008F744C" w:rsidRPr="005C6774" w:rsidRDefault="008F744C" w:rsidP="00E97A9B">
            <w:pPr>
              <w:jc w:val="both"/>
            </w:pPr>
            <w:r w:rsidRPr="005C6774">
              <w:t xml:space="preserve">Feed + water </w:t>
            </w:r>
          </w:p>
        </w:tc>
      </w:tr>
      <w:tr w:rsidR="008F744C" w:rsidRPr="005C6774" w14:paraId="178A60FC" w14:textId="77777777" w:rsidTr="00AE4DB5">
        <w:trPr>
          <w:trHeight w:val="413"/>
        </w:trPr>
        <w:tc>
          <w:tcPr>
            <w:tcW w:w="2880" w:type="dxa"/>
          </w:tcPr>
          <w:p w14:paraId="174AA446" w14:textId="77777777" w:rsidR="008F744C" w:rsidRPr="005C6774" w:rsidRDefault="008F744C" w:rsidP="00E97A9B">
            <w:pPr>
              <w:jc w:val="both"/>
            </w:pPr>
            <w:r w:rsidRPr="005C6774">
              <w:t>Group B</w:t>
            </w:r>
            <w:r w:rsidR="00AE4DB5" w:rsidRPr="005C6774">
              <w:t xml:space="preserve"> (Toxicity model)</w:t>
            </w:r>
          </w:p>
        </w:tc>
        <w:tc>
          <w:tcPr>
            <w:tcW w:w="1655" w:type="dxa"/>
          </w:tcPr>
          <w:p w14:paraId="258CDEFB" w14:textId="77777777" w:rsidR="008F744C" w:rsidRPr="005C6774" w:rsidRDefault="008F0F98" w:rsidP="00E97A9B">
            <w:pPr>
              <w:jc w:val="both"/>
            </w:pPr>
            <w:r w:rsidRPr="005C6774">
              <w:t>5</w:t>
            </w:r>
          </w:p>
        </w:tc>
        <w:tc>
          <w:tcPr>
            <w:tcW w:w="5815" w:type="dxa"/>
          </w:tcPr>
          <w:p w14:paraId="28531CF3" w14:textId="77777777" w:rsidR="008F744C" w:rsidRPr="005C6774" w:rsidRDefault="00AE4DB5" w:rsidP="00E97A9B">
            <w:pPr>
              <w:jc w:val="both"/>
            </w:pPr>
            <w:r w:rsidRPr="005C6774">
              <w:t>0.12 ml Lead acetate</w:t>
            </w:r>
          </w:p>
        </w:tc>
      </w:tr>
      <w:tr w:rsidR="008F744C" w:rsidRPr="005C6774" w14:paraId="334BF8A7" w14:textId="77777777" w:rsidTr="00AE4DB5">
        <w:trPr>
          <w:trHeight w:val="396"/>
        </w:trPr>
        <w:tc>
          <w:tcPr>
            <w:tcW w:w="2880" w:type="dxa"/>
          </w:tcPr>
          <w:p w14:paraId="32B75AB2" w14:textId="77777777" w:rsidR="008F744C" w:rsidRPr="005C6774" w:rsidRDefault="008F744C" w:rsidP="00E97A9B">
            <w:pPr>
              <w:jc w:val="both"/>
            </w:pPr>
            <w:r w:rsidRPr="005C6774">
              <w:t>Group C</w:t>
            </w:r>
            <w:r w:rsidR="00AE4DB5" w:rsidRPr="005C6774">
              <w:t xml:space="preserve"> (Treatment)</w:t>
            </w:r>
          </w:p>
        </w:tc>
        <w:tc>
          <w:tcPr>
            <w:tcW w:w="1655" w:type="dxa"/>
          </w:tcPr>
          <w:p w14:paraId="3F1F2C84" w14:textId="77777777" w:rsidR="008F744C" w:rsidRPr="005C6774" w:rsidRDefault="008F0F98" w:rsidP="00E97A9B">
            <w:pPr>
              <w:jc w:val="both"/>
            </w:pPr>
            <w:r w:rsidRPr="005C6774">
              <w:t>5</w:t>
            </w:r>
          </w:p>
        </w:tc>
        <w:tc>
          <w:tcPr>
            <w:tcW w:w="5815" w:type="dxa"/>
          </w:tcPr>
          <w:p w14:paraId="29FB933B" w14:textId="77777777" w:rsidR="008F744C" w:rsidRPr="005C6774" w:rsidRDefault="00AE4DB5" w:rsidP="00E97A9B">
            <w:pPr>
              <w:jc w:val="both"/>
            </w:pPr>
            <w:r w:rsidRPr="005C6774">
              <w:t xml:space="preserve">0.12 ml Lead acetate + 0.2 ml of </w:t>
            </w:r>
            <w:r w:rsidR="00C402B6" w:rsidRPr="005C6774">
              <w:rPr>
                <w:i/>
              </w:rPr>
              <w:t>Brassica oleracea</w:t>
            </w:r>
            <w:r w:rsidRPr="005C6774">
              <w:t xml:space="preserve"> extract</w:t>
            </w:r>
          </w:p>
        </w:tc>
      </w:tr>
      <w:tr w:rsidR="008F744C" w:rsidRPr="005C6774" w14:paraId="6DD54447" w14:textId="77777777" w:rsidTr="00AE4DB5">
        <w:trPr>
          <w:trHeight w:val="413"/>
        </w:trPr>
        <w:tc>
          <w:tcPr>
            <w:tcW w:w="2880" w:type="dxa"/>
          </w:tcPr>
          <w:p w14:paraId="048EFDAE" w14:textId="77777777" w:rsidR="008F744C" w:rsidRPr="005C6774" w:rsidRDefault="008F744C" w:rsidP="00E97A9B">
            <w:pPr>
              <w:jc w:val="both"/>
            </w:pPr>
            <w:r w:rsidRPr="005C6774">
              <w:t>Group D</w:t>
            </w:r>
            <w:r w:rsidR="00AE4DB5" w:rsidRPr="005C6774">
              <w:t xml:space="preserve"> (Treatment)</w:t>
            </w:r>
          </w:p>
        </w:tc>
        <w:tc>
          <w:tcPr>
            <w:tcW w:w="1655" w:type="dxa"/>
          </w:tcPr>
          <w:p w14:paraId="7CA6BBF9" w14:textId="77777777" w:rsidR="008F744C" w:rsidRPr="005C6774" w:rsidRDefault="008F0F98" w:rsidP="00E97A9B">
            <w:pPr>
              <w:jc w:val="both"/>
            </w:pPr>
            <w:r w:rsidRPr="005C6774">
              <w:t>5</w:t>
            </w:r>
          </w:p>
        </w:tc>
        <w:tc>
          <w:tcPr>
            <w:tcW w:w="5815" w:type="dxa"/>
          </w:tcPr>
          <w:p w14:paraId="23862F67" w14:textId="77777777" w:rsidR="008F744C" w:rsidRPr="005C6774" w:rsidRDefault="00AE4DB5" w:rsidP="00E97A9B">
            <w:pPr>
              <w:jc w:val="both"/>
            </w:pPr>
            <w:r w:rsidRPr="005C6774">
              <w:t xml:space="preserve">0.12 ml Lead acetate + 0.4 ml of </w:t>
            </w:r>
            <w:r w:rsidR="00C402B6" w:rsidRPr="005C6774">
              <w:rPr>
                <w:i/>
              </w:rPr>
              <w:t>Brassica oleracea</w:t>
            </w:r>
            <w:r w:rsidRPr="005C6774">
              <w:t xml:space="preserve"> extract</w:t>
            </w:r>
          </w:p>
        </w:tc>
      </w:tr>
      <w:tr w:rsidR="008F744C" w:rsidRPr="005C6774" w14:paraId="1062CC49" w14:textId="77777777" w:rsidTr="00AE4DB5">
        <w:trPr>
          <w:trHeight w:val="413"/>
        </w:trPr>
        <w:tc>
          <w:tcPr>
            <w:tcW w:w="2880" w:type="dxa"/>
          </w:tcPr>
          <w:p w14:paraId="29A94B09" w14:textId="77777777" w:rsidR="008F744C" w:rsidRPr="005C6774" w:rsidRDefault="008F744C" w:rsidP="00E97A9B">
            <w:pPr>
              <w:jc w:val="both"/>
            </w:pPr>
            <w:r w:rsidRPr="005C6774">
              <w:t>Group E</w:t>
            </w:r>
            <w:r w:rsidR="00AE4DB5" w:rsidRPr="005C6774">
              <w:t xml:space="preserve"> (Treatment)</w:t>
            </w:r>
          </w:p>
        </w:tc>
        <w:tc>
          <w:tcPr>
            <w:tcW w:w="1655" w:type="dxa"/>
          </w:tcPr>
          <w:p w14:paraId="5EB059D5" w14:textId="77777777" w:rsidR="008F744C" w:rsidRPr="005C6774" w:rsidRDefault="008F0F98" w:rsidP="00E97A9B">
            <w:pPr>
              <w:jc w:val="both"/>
            </w:pPr>
            <w:r w:rsidRPr="005C6774">
              <w:t>5</w:t>
            </w:r>
          </w:p>
        </w:tc>
        <w:tc>
          <w:tcPr>
            <w:tcW w:w="5815" w:type="dxa"/>
          </w:tcPr>
          <w:p w14:paraId="2E7317BF" w14:textId="77777777" w:rsidR="008F744C" w:rsidRPr="005C6774" w:rsidRDefault="00AE4DB5" w:rsidP="00E97A9B">
            <w:pPr>
              <w:jc w:val="both"/>
            </w:pPr>
            <w:r w:rsidRPr="005C6774">
              <w:t xml:space="preserve">0.12 ml Lead acetate + 0.6 ml of </w:t>
            </w:r>
            <w:r w:rsidR="00C402B6" w:rsidRPr="005C6774">
              <w:rPr>
                <w:i/>
              </w:rPr>
              <w:t>Brassica oleracea</w:t>
            </w:r>
            <w:r w:rsidRPr="005C6774">
              <w:t xml:space="preserve"> extract</w:t>
            </w:r>
          </w:p>
        </w:tc>
      </w:tr>
    </w:tbl>
    <w:p w14:paraId="3943D474" w14:textId="77777777" w:rsidR="00AC2CBD" w:rsidRPr="005C6774" w:rsidRDefault="00D66A1E" w:rsidP="00351B0C">
      <w:pPr>
        <w:spacing w:before="240" w:line="360" w:lineRule="auto"/>
        <w:jc w:val="both"/>
        <w:rPr>
          <w:b/>
        </w:rPr>
      </w:pPr>
      <w:r>
        <w:rPr>
          <w:b/>
        </w:rPr>
        <w:t xml:space="preserve">2.4 </w:t>
      </w:r>
      <w:r w:rsidR="00AC2CBD" w:rsidRPr="005C6774">
        <w:rPr>
          <w:b/>
        </w:rPr>
        <w:t>Collection of Blood samples and extraction of organs</w:t>
      </w:r>
    </w:p>
    <w:p w14:paraId="7A3A2800" w14:textId="77777777" w:rsidR="00AC2CBD" w:rsidRDefault="00AC2CBD" w:rsidP="00351B0C">
      <w:pPr>
        <w:autoSpaceDE w:val="0"/>
        <w:autoSpaceDN w:val="0"/>
        <w:adjustRightInd w:val="0"/>
        <w:spacing w:before="240" w:line="360" w:lineRule="auto"/>
        <w:jc w:val="both"/>
        <w:rPr>
          <w:bCs/>
        </w:rPr>
      </w:pPr>
      <w:r w:rsidRPr="005C6774">
        <w:t xml:space="preserve">The weight of each rat was weighed using weighing scale and will be recorded according to group and labelled. On the last day of the experiment the animals were anesthetized using </w:t>
      </w:r>
      <w:r w:rsidRPr="005C6774">
        <w:rPr>
          <w:bCs/>
        </w:rPr>
        <w:t>40mg/kg</w:t>
      </w:r>
      <w:r w:rsidRPr="005C6774">
        <w:t xml:space="preserve"> of ketamine hydrochloride intraperitoneally. </w:t>
      </w:r>
      <w:r w:rsidRPr="005C6774">
        <w:rPr>
          <w:bCs/>
        </w:rPr>
        <w:t xml:space="preserve">Twenty four (24) hours after the administration, the animals will be sacrificed under light ether anesthesia. The Pancreas were excised and fixed appropriately. </w:t>
      </w:r>
    </w:p>
    <w:p w14:paraId="241D7B3E" w14:textId="77777777" w:rsidR="00D66A1E" w:rsidRPr="00D66A1E" w:rsidRDefault="00D66A1E" w:rsidP="00351B0C">
      <w:pPr>
        <w:autoSpaceDE w:val="0"/>
        <w:autoSpaceDN w:val="0"/>
        <w:adjustRightInd w:val="0"/>
        <w:spacing w:before="240" w:line="360" w:lineRule="auto"/>
        <w:jc w:val="both"/>
        <w:rPr>
          <w:b/>
          <w:bCs/>
        </w:rPr>
      </w:pPr>
      <w:r w:rsidRPr="00D66A1E">
        <w:rPr>
          <w:b/>
          <w:bCs/>
        </w:rPr>
        <w:lastRenderedPageBreak/>
        <w:t>2.5 D</w:t>
      </w:r>
      <w:r>
        <w:rPr>
          <w:b/>
          <w:bCs/>
        </w:rPr>
        <w:t>eclaration of I</w:t>
      </w:r>
      <w:r w:rsidRPr="00D66A1E">
        <w:rPr>
          <w:b/>
          <w:bCs/>
        </w:rPr>
        <w:t>nterest</w:t>
      </w:r>
    </w:p>
    <w:p w14:paraId="1A0DBB17" w14:textId="77777777" w:rsidR="00D66A1E" w:rsidRDefault="00D66A1E" w:rsidP="00351B0C">
      <w:pPr>
        <w:autoSpaceDE w:val="0"/>
        <w:autoSpaceDN w:val="0"/>
        <w:adjustRightInd w:val="0"/>
        <w:spacing w:before="240" w:line="360" w:lineRule="auto"/>
        <w:jc w:val="both"/>
        <w:rPr>
          <w:bCs/>
        </w:rPr>
      </w:pPr>
      <w:r>
        <w:rPr>
          <w:bCs/>
        </w:rPr>
        <w:t>None</w:t>
      </w:r>
    </w:p>
    <w:p w14:paraId="1BCF125C" w14:textId="77777777" w:rsidR="00865419" w:rsidRDefault="00865419" w:rsidP="00351B0C">
      <w:pPr>
        <w:autoSpaceDE w:val="0"/>
        <w:autoSpaceDN w:val="0"/>
        <w:adjustRightInd w:val="0"/>
        <w:spacing w:before="240" w:line="360" w:lineRule="auto"/>
        <w:jc w:val="both"/>
        <w:rPr>
          <w:bCs/>
        </w:rPr>
      </w:pPr>
    </w:p>
    <w:p w14:paraId="72002551" w14:textId="77777777" w:rsidR="00865419" w:rsidRPr="00865419" w:rsidRDefault="00865419" w:rsidP="00865419">
      <w:pPr>
        <w:jc w:val="both"/>
        <w:rPr>
          <w:b/>
          <w:bCs/>
        </w:rPr>
      </w:pPr>
      <w:r w:rsidRPr="00865419">
        <w:rPr>
          <w:b/>
          <w:bCs/>
        </w:rPr>
        <w:t>2.6 Funding Source</w:t>
      </w:r>
    </w:p>
    <w:p w14:paraId="0AA482B9" w14:textId="77777777" w:rsidR="00865419" w:rsidRPr="00865419" w:rsidRDefault="00865419" w:rsidP="00865419">
      <w:pPr>
        <w:spacing w:before="240" w:after="240"/>
      </w:pPr>
      <w:r w:rsidRPr="00865419">
        <w:t>This research did not receive any specific grant from funding agencies in the public, commercial, or non-profit sectors.</w:t>
      </w:r>
    </w:p>
    <w:p w14:paraId="6437B511" w14:textId="77777777" w:rsidR="00865419" w:rsidRPr="005C6774" w:rsidRDefault="00865419" w:rsidP="00351B0C">
      <w:pPr>
        <w:autoSpaceDE w:val="0"/>
        <w:autoSpaceDN w:val="0"/>
        <w:adjustRightInd w:val="0"/>
        <w:spacing w:before="240" w:line="360" w:lineRule="auto"/>
        <w:jc w:val="both"/>
        <w:rPr>
          <w:b/>
        </w:rPr>
      </w:pPr>
    </w:p>
    <w:p w14:paraId="482A406A" w14:textId="77777777" w:rsidR="00AC2CBD" w:rsidRPr="005C6774" w:rsidRDefault="00865419" w:rsidP="00351B0C">
      <w:pPr>
        <w:spacing w:before="240" w:line="360" w:lineRule="auto"/>
        <w:jc w:val="both"/>
        <w:rPr>
          <w:b/>
        </w:rPr>
      </w:pPr>
      <w:r>
        <w:rPr>
          <w:b/>
        </w:rPr>
        <w:t xml:space="preserve">2.7 </w:t>
      </w:r>
      <w:r w:rsidR="00AC2CBD" w:rsidRPr="005C6774">
        <w:rPr>
          <w:b/>
        </w:rPr>
        <w:t>Biochemical Assay</w:t>
      </w:r>
    </w:p>
    <w:p w14:paraId="17F60A49" w14:textId="77777777" w:rsidR="000229F9" w:rsidRPr="005C6774" w:rsidRDefault="000229F9" w:rsidP="00351B0C">
      <w:pPr>
        <w:spacing w:before="240" w:line="360" w:lineRule="auto"/>
        <w:jc w:val="both"/>
        <w:rPr>
          <w:b/>
        </w:rPr>
      </w:pPr>
      <w:r w:rsidRPr="005C6774">
        <w:rPr>
          <w:b/>
        </w:rPr>
        <w:t>Determination of body weight</w:t>
      </w:r>
    </w:p>
    <w:p w14:paraId="54F55BF3" w14:textId="77777777" w:rsidR="000229F9" w:rsidRPr="005C6774" w:rsidRDefault="00E45918" w:rsidP="00351B0C">
      <w:pPr>
        <w:spacing w:before="240" w:line="360" w:lineRule="auto"/>
        <w:jc w:val="both"/>
      </w:pPr>
      <w:r w:rsidRPr="005C6774">
        <w:t>The initial and final body weight of the albino rats were determined using a digital balance as recommended by the National Research Council (2011).</w:t>
      </w:r>
    </w:p>
    <w:p w14:paraId="63D5536A" w14:textId="77777777" w:rsidR="00AC2CBD" w:rsidRPr="005C6774" w:rsidRDefault="000229F9" w:rsidP="00351B0C">
      <w:pPr>
        <w:spacing w:before="240" w:line="360" w:lineRule="auto"/>
        <w:jc w:val="both"/>
        <w:rPr>
          <w:b/>
        </w:rPr>
      </w:pPr>
      <w:r w:rsidRPr="005C6774">
        <w:rPr>
          <w:b/>
        </w:rPr>
        <w:t>Determination of Insulin level</w:t>
      </w:r>
    </w:p>
    <w:p w14:paraId="09EDF70E" w14:textId="77777777" w:rsidR="00AC2CBD" w:rsidRPr="005C6774" w:rsidRDefault="00081881" w:rsidP="00351B0C">
      <w:pPr>
        <w:spacing w:before="240" w:line="360" w:lineRule="auto"/>
        <w:jc w:val="both"/>
      </w:pPr>
      <w:r w:rsidRPr="005C6774">
        <w:t xml:space="preserve">The insulin levels in the blood sample was determined using Enzyme-Linked Immunosorbent Assay (ELISA) method as described by Engvall and </w:t>
      </w:r>
      <w:proofErr w:type="spellStart"/>
      <w:r w:rsidRPr="005C6774">
        <w:t>Perlmann</w:t>
      </w:r>
      <w:proofErr w:type="spellEnd"/>
      <w:r w:rsidRPr="005C6774">
        <w:t xml:space="preserve"> (1971) with slight modification.</w:t>
      </w:r>
    </w:p>
    <w:p w14:paraId="092B9CFF" w14:textId="77777777" w:rsidR="00AC2CBD" w:rsidRPr="005C6774" w:rsidRDefault="00865419" w:rsidP="00351B0C">
      <w:pPr>
        <w:spacing w:before="240" w:line="360" w:lineRule="auto"/>
        <w:jc w:val="both"/>
        <w:rPr>
          <w:b/>
        </w:rPr>
      </w:pPr>
      <w:r>
        <w:rPr>
          <w:b/>
        </w:rPr>
        <w:t xml:space="preserve">2.8 </w:t>
      </w:r>
      <w:r w:rsidR="00A32759" w:rsidRPr="005C6774">
        <w:rPr>
          <w:b/>
        </w:rPr>
        <w:t>Histological Studies</w:t>
      </w:r>
    </w:p>
    <w:p w14:paraId="69328BFF" w14:textId="77777777" w:rsidR="00AC2CBD" w:rsidRPr="005C6774" w:rsidRDefault="005506EF" w:rsidP="00351B0C">
      <w:pPr>
        <w:autoSpaceDE w:val="0"/>
        <w:autoSpaceDN w:val="0"/>
        <w:adjustRightInd w:val="0"/>
        <w:spacing w:before="240" w:line="360" w:lineRule="auto"/>
        <w:jc w:val="both"/>
        <w:rPr>
          <w:b/>
        </w:rPr>
      </w:pPr>
      <w:r w:rsidRPr="005C6774">
        <w:rPr>
          <w:bCs/>
        </w:rPr>
        <w:t xml:space="preserve">The Histological studies </w:t>
      </w:r>
      <w:r w:rsidR="000229F9" w:rsidRPr="005C6774">
        <w:rPr>
          <w:bCs/>
        </w:rPr>
        <w:t xml:space="preserve">of the </w:t>
      </w:r>
      <w:proofErr w:type="spellStart"/>
      <w:r w:rsidR="000229F9" w:rsidRPr="005C6774">
        <w:rPr>
          <w:bCs/>
        </w:rPr>
        <w:t>pancrease</w:t>
      </w:r>
      <w:proofErr w:type="spellEnd"/>
      <w:r w:rsidR="000229F9" w:rsidRPr="005C6774">
        <w:rPr>
          <w:bCs/>
        </w:rPr>
        <w:t xml:space="preserve"> </w:t>
      </w:r>
      <w:r w:rsidR="000F7CE9" w:rsidRPr="005C6774">
        <w:rPr>
          <w:bCs/>
        </w:rPr>
        <w:t xml:space="preserve">which involved fixation, paraffin embedding, </w:t>
      </w:r>
      <w:proofErr w:type="spellStart"/>
      <w:r w:rsidR="000F7CE9" w:rsidRPr="005C6774">
        <w:rPr>
          <w:bCs/>
        </w:rPr>
        <w:t>microtomyand</w:t>
      </w:r>
      <w:proofErr w:type="spellEnd"/>
      <w:r w:rsidR="000F7CE9" w:rsidRPr="005C6774">
        <w:rPr>
          <w:bCs/>
        </w:rPr>
        <w:t xml:space="preserve"> H &amp; E staining was carried out according to the method</w:t>
      </w:r>
      <w:r w:rsidR="00D56E06" w:rsidRPr="005C6774">
        <w:rPr>
          <w:bCs/>
        </w:rPr>
        <w:t xml:space="preserve"> described by Kieman, J.A. (2008). Histological and histochemical</w:t>
      </w:r>
    </w:p>
    <w:p w14:paraId="533199AA" w14:textId="77777777" w:rsidR="00C838CD" w:rsidRPr="005C6774" w:rsidRDefault="00865419" w:rsidP="00351B0C">
      <w:pPr>
        <w:autoSpaceDE w:val="0"/>
        <w:autoSpaceDN w:val="0"/>
        <w:adjustRightInd w:val="0"/>
        <w:spacing w:before="240" w:line="360" w:lineRule="auto"/>
        <w:jc w:val="both"/>
        <w:rPr>
          <w:b/>
          <w:i/>
        </w:rPr>
      </w:pPr>
      <w:r>
        <w:rPr>
          <w:b/>
          <w:i/>
        </w:rPr>
        <w:t xml:space="preserve">2.9 </w:t>
      </w:r>
      <w:r w:rsidR="00C838CD" w:rsidRPr="005C6774">
        <w:rPr>
          <w:b/>
          <w:i/>
        </w:rPr>
        <w:t>In-silico studies</w:t>
      </w:r>
    </w:p>
    <w:p w14:paraId="30E0FB68" w14:textId="77777777" w:rsidR="00C838CD" w:rsidRPr="005C6774" w:rsidRDefault="00C838CD" w:rsidP="00C838CD">
      <w:pPr>
        <w:autoSpaceDE w:val="0"/>
        <w:autoSpaceDN w:val="0"/>
        <w:adjustRightInd w:val="0"/>
        <w:spacing w:before="240" w:line="276" w:lineRule="auto"/>
        <w:jc w:val="both"/>
        <w:rPr>
          <w:b/>
        </w:rPr>
      </w:pPr>
      <w:r w:rsidRPr="005C6774">
        <w:rPr>
          <w:b/>
        </w:rPr>
        <w:t xml:space="preserve">Evaluation of </w:t>
      </w:r>
      <w:r w:rsidR="00341B58" w:rsidRPr="005C6774">
        <w:rPr>
          <w:b/>
          <w:i/>
        </w:rPr>
        <w:t xml:space="preserve">Brassica </w:t>
      </w:r>
      <w:proofErr w:type="spellStart"/>
      <w:r w:rsidR="00341B58" w:rsidRPr="005C6774">
        <w:rPr>
          <w:b/>
          <w:i/>
        </w:rPr>
        <w:t>olaracea</w:t>
      </w:r>
      <w:proofErr w:type="spellEnd"/>
      <w:r w:rsidRPr="005C6774">
        <w:rPr>
          <w:b/>
        </w:rPr>
        <w:t xml:space="preserve"> </w:t>
      </w:r>
      <w:r w:rsidR="00341B58" w:rsidRPr="005C6774">
        <w:rPr>
          <w:b/>
        </w:rPr>
        <w:t>bioactive c</w:t>
      </w:r>
      <w:r w:rsidRPr="005C6774">
        <w:rPr>
          <w:b/>
        </w:rPr>
        <w:t xml:space="preserve">ompounds </w:t>
      </w:r>
    </w:p>
    <w:p w14:paraId="421986CB" w14:textId="77777777" w:rsidR="00C838CD" w:rsidRPr="005C6774" w:rsidRDefault="00C402B6" w:rsidP="00C838CD">
      <w:pPr>
        <w:autoSpaceDE w:val="0"/>
        <w:autoSpaceDN w:val="0"/>
        <w:adjustRightInd w:val="0"/>
        <w:spacing w:before="240" w:line="276" w:lineRule="auto"/>
        <w:jc w:val="both"/>
        <w:rPr>
          <w:b/>
        </w:rPr>
      </w:pPr>
      <w:r w:rsidRPr="005C6774">
        <w:rPr>
          <w:i/>
        </w:rPr>
        <w:t>Brassica oleracea</w:t>
      </w:r>
      <w:r w:rsidR="00341B58" w:rsidRPr="005C6774">
        <w:t xml:space="preserve"> bioactive compounds </w:t>
      </w:r>
      <w:r w:rsidR="00C838CD" w:rsidRPr="005C6774">
        <w:t>were obtained from published literature and scientific databases</w:t>
      </w:r>
      <w:r w:rsidR="00341B58" w:rsidRPr="005C6774">
        <w:t xml:space="preserve"> on phytochemicals. The databases were</w:t>
      </w:r>
      <w:r w:rsidR="00C838CD" w:rsidRPr="005C6774">
        <w:t xml:space="preserve"> </w:t>
      </w:r>
      <w:r w:rsidR="00341B58" w:rsidRPr="005C6774">
        <w:t>Indian Medicinal Plants (IMPPAT),</w:t>
      </w:r>
      <w:r w:rsidR="00C838CD" w:rsidRPr="005C6774">
        <w:t xml:space="preserve"> Dr. Duke Ethnobotanica</w:t>
      </w:r>
      <w:r w:rsidR="00E44C11" w:rsidRPr="005C6774">
        <w:t>l Database (https://phytochem.n</w:t>
      </w:r>
      <w:r w:rsidR="00C838CD" w:rsidRPr="005C6774">
        <w:t xml:space="preserve">al.usda.gov, accessed on </w:t>
      </w:r>
      <w:r w:rsidR="00C479C4" w:rsidRPr="005C6774">
        <w:t>May 12</w:t>
      </w:r>
      <w:r w:rsidR="00C838CD" w:rsidRPr="005C6774">
        <w:t xml:space="preserve">, 2025) and Goggle Scholar, accessed on </w:t>
      </w:r>
      <w:r w:rsidR="00C479C4" w:rsidRPr="005C6774">
        <w:t>May 12</w:t>
      </w:r>
      <w:r w:rsidR="00C838CD" w:rsidRPr="005C6774">
        <w:t>, 2025.</w:t>
      </w:r>
      <w:r w:rsidR="00341B58" w:rsidRPr="005C6774">
        <w:t xml:space="preserve"> A total of 150 bioactive compounds were identified.</w:t>
      </w:r>
    </w:p>
    <w:p w14:paraId="6854F48F" w14:textId="77777777" w:rsidR="00C838CD" w:rsidRPr="005C6774" w:rsidRDefault="00C838CD" w:rsidP="00C838CD">
      <w:pPr>
        <w:autoSpaceDE w:val="0"/>
        <w:autoSpaceDN w:val="0"/>
        <w:adjustRightInd w:val="0"/>
        <w:spacing w:before="240" w:line="276" w:lineRule="auto"/>
        <w:jc w:val="both"/>
        <w:rPr>
          <w:b/>
        </w:rPr>
      </w:pPr>
      <w:r w:rsidRPr="005C6774">
        <w:rPr>
          <w:b/>
        </w:rPr>
        <w:t>Preparation of Ligands</w:t>
      </w:r>
    </w:p>
    <w:p w14:paraId="1E36F17C" w14:textId="77777777" w:rsidR="00A6156A" w:rsidRPr="005C6774" w:rsidRDefault="00C838CD" w:rsidP="00C838CD">
      <w:pPr>
        <w:autoSpaceDE w:val="0"/>
        <w:autoSpaceDN w:val="0"/>
        <w:adjustRightInd w:val="0"/>
        <w:spacing w:before="240" w:line="276" w:lineRule="auto"/>
        <w:jc w:val="both"/>
      </w:pPr>
      <w:r w:rsidRPr="005C6774">
        <w:lastRenderedPageBreak/>
        <w:t xml:space="preserve">The structural data files (SDF) of the bioactive compounds were obtained from PubChem web-platform (https://www.ncbi.nlm.nih.gov/pccompound) in 3D conformation (Kim </w:t>
      </w:r>
      <w:r w:rsidRPr="005C6774">
        <w:rPr>
          <w:i/>
        </w:rPr>
        <w:t>et al</w:t>
      </w:r>
      <w:r w:rsidRPr="005C6774">
        <w:t xml:space="preserve">., 2023). The compounds whose structural files were not found in the </w:t>
      </w:r>
      <w:proofErr w:type="spellStart"/>
      <w:r w:rsidRPr="005C6774">
        <w:t>chemoinformatics</w:t>
      </w:r>
      <w:proofErr w:type="spellEnd"/>
      <w:r w:rsidRPr="005C6774">
        <w:t xml:space="preserve"> databases were drawn using </w:t>
      </w:r>
      <w:proofErr w:type="spellStart"/>
      <w:r w:rsidRPr="005C6774">
        <w:t>ChemDraw</w:t>
      </w:r>
      <w:proofErr w:type="spellEnd"/>
      <w:r w:rsidRPr="005C6774">
        <w:t xml:space="preserve"> Ultra 12.0, saved in mole files and further converted into structural data files (SDF) by deploying </w:t>
      </w:r>
      <w:proofErr w:type="spellStart"/>
      <w:r w:rsidRPr="005C6774">
        <w:t>Openbabel</w:t>
      </w:r>
      <w:proofErr w:type="spellEnd"/>
      <w:r w:rsidRPr="005C6774">
        <w:t xml:space="preserve"> GUI software version 2.3.2. </w:t>
      </w:r>
    </w:p>
    <w:p w14:paraId="3CDAEC3A" w14:textId="77777777" w:rsidR="00E22524" w:rsidRDefault="00E22524" w:rsidP="00C838CD">
      <w:pPr>
        <w:autoSpaceDE w:val="0"/>
        <w:autoSpaceDN w:val="0"/>
        <w:adjustRightInd w:val="0"/>
        <w:spacing w:before="240" w:line="276" w:lineRule="auto"/>
        <w:jc w:val="both"/>
        <w:rPr>
          <w:b/>
        </w:rPr>
      </w:pPr>
    </w:p>
    <w:p w14:paraId="35A5402B" w14:textId="77777777" w:rsidR="00C838CD" w:rsidRPr="005C6774" w:rsidRDefault="00C838CD" w:rsidP="00C838CD">
      <w:pPr>
        <w:autoSpaceDE w:val="0"/>
        <w:autoSpaceDN w:val="0"/>
        <w:adjustRightInd w:val="0"/>
        <w:spacing w:before="240" w:line="276" w:lineRule="auto"/>
        <w:jc w:val="both"/>
        <w:rPr>
          <w:b/>
        </w:rPr>
      </w:pPr>
      <w:r w:rsidRPr="005C6774">
        <w:rPr>
          <w:b/>
        </w:rPr>
        <w:t xml:space="preserve">Protein targets selection and preparation </w:t>
      </w:r>
    </w:p>
    <w:p w14:paraId="1F9B75F5" w14:textId="77777777" w:rsidR="00C838CD" w:rsidRPr="005C6774" w:rsidRDefault="00C838CD" w:rsidP="00C838CD">
      <w:pPr>
        <w:pStyle w:val="Heading4"/>
        <w:shd w:val="clear" w:color="auto" w:fill="FFFFFF"/>
        <w:spacing w:before="240" w:line="276" w:lineRule="auto"/>
        <w:jc w:val="both"/>
        <w:rPr>
          <w:rFonts w:ascii="Times New Roman" w:hAnsi="Times New Roman" w:cs="Times New Roman"/>
          <w:b/>
          <w:bCs/>
          <w:i w:val="0"/>
          <w:color w:val="auto"/>
        </w:rPr>
      </w:pPr>
      <w:r w:rsidRPr="005C6774">
        <w:rPr>
          <w:rFonts w:ascii="Times New Roman" w:hAnsi="Times New Roman" w:cs="Times New Roman"/>
          <w:i w:val="0"/>
          <w:color w:val="auto"/>
        </w:rPr>
        <w:t xml:space="preserve">The three-dimensional (3D) crystallographic structures of target proteins shown in table were retrieved from the Protein Database (PDB) (www.pdb.org/pdb), the proteins were prepared for molecular docking through the removal of the co-crystallized ligand, water molecules and Hetero atoms to produce a nascent receptor, polar hydrogen’s were added and the receptor sites were identified using </w:t>
      </w:r>
      <w:proofErr w:type="spellStart"/>
      <w:r w:rsidRPr="005C6774">
        <w:rPr>
          <w:rFonts w:ascii="Times New Roman" w:hAnsi="Times New Roman" w:cs="Times New Roman"/>
          <w:i w:val="0"/>
          <w:color w:val="auto"/>
        </w:rPr>
        <w:t>Biovia</w:t>
      </w:r>
      <w:proofErr w:type="spellEnd"/>
      <w:r w:rsidRPr="005C6774">
        <w:rPr>
          <w:rFonts w:ascii="Times New Roman" w:hAnsi="Times New Roman" w:cs="Times New Roman"/>
          <w:i w:val="0"/>
          <w:color w:val="auto"/>
        </w:rPr>
        <w:t xml:space="preserve"> discovery studio v.24.1.0.23298.</w:t>
      </w:r>
    </w:p>
    <w:p w14:paraId="2A0904A8" w14:textId="77777777" w:rsidR="00C838CD" w:rsidRPr="005C6774" w:rsidRDefault="00C838CD" w:rsidP="00C838CD">
      <w:pPr>
        <w:autoSpaceDE w:val="0"/>
        <w:autoSpaceDN w:val="0"/>
        <w:adjustRightInd w:val="0"/>
        <w:spacing w:before="240" w:line="276" w:lineRule="auto"/>
        <w:jc w:val="both"/>
        <w:rPr>
          <w:b/>
        </w:rPr>
      </w:pPr>
      <w:r w:rsidRPr="005C6774">
        <w:rPr>
          <w:b/>
        </w:rPr>
        <w:t xml:space="preserve">Molecular docking </w:t>
      </w:r>
    </w:p>
    <w:p w14:paraId="370473E7" w14:textId="77777777" w:rsidR="00C838CD" w:rsidRPr="005C6774" w:rsidRDefault="00C838CD" w:rsidP="00C838CD">
      <w:pPr>
        <w:autoSpaceDE w:val="0"/>
        <w:autoSpaceDN w:val="0"/>
        <w:adjustRightInd w:val="0"/>
        <w:spacing w:before="240" w:line="276" w:lineRule="auto"/>
        <w:jc w:val="both"/>
      </w:pPr>
      <w:r w:rsidRPr="005C6774">
        <w:t xml:space="preserve">Virtual screening of the ligands were carried out using </w:t>
      </w:r>
      <w:proofErr w:type="spellStart"/>
      <w:r w:rsidRPr="005C6774">
        <w:t>PyRx</w:t>
      </w:r>
      <w:proofErr w:type="spellEnd"/>
      <w:r w:rsidRPr="005C6774">
        <w:t xml:space="preserve">-Python Prescription 0.8, a suite comprising of automated molecular docking tools (Auto dock tools, Auto Dock Vina and </w:t>
      </w:r>
      <w:proofErr w:type="spellStart"/>
      <w:r w:rsidRPr="005C6774">
        <w:t>Openbabel</w:t>
      </w:r>
      <w:proofErr w:type="spellEnd"/>
      <w:r w:rsidRPr="005C6774">
        <w:t>) (</w:t>
      </w:r>
      <w:proofErr w:type="spellStart"/>
      <w:r w:rsidRPr="005C6774">
        <w:t>Dallakyan</w:t>
      </w:r>
      <w:proofErr w:type="spellEnd"/>
      <w:r w:rsidRPr="005C6774">
        <w:t xml:space="preserve"> and Olson, 2015). The PDBQT file of the ligands and protein were generated through this software. The specific target sites of the target proteins were set with the help of grid box as shown in table below. The configurations for each protein-ligand complex were generated for all the ligands using the software; text files of scoring results (binding affinities of the ligands to the target protein) were also produced for the purpose of manual comparative analysis at the end of the experiment (</w:t>
      </w:r>
      <w:r w:rsidRPr="005C6774">
        <w:rPr>
          <w:color w:val="000000"/>
        </w:rPr>
        <w:t>Trott and Olson, 2010</w:t>
      </w:r>
      <w:r w:rsidRPr="005C6774">
        <w:t xml:space="preserve">). </w:t>
      </w:r>
    </w:p>
    <w:p w14:paraId="40DF3AB6" w14:textId="77777777" w:rsidR="0090013A" w:rsidRPr="005C6774" w:rsidRDefault="0090013A" w:rsidP="00C838CD">
      <w:pPr>
        <w:jc w:val="both"/>
        <w:rPr>
          <w:b/>
        </w:rPr>
      </w:pPr>
    </w:p>
    <w:p w14:paraId="4EDC3122" w14:textId="77777777" w:rsidR="00C838CD" w:rsidRPr="005C6774" w:rsidRDefault="002E4B24" w:rsidP="00C838CD">
      <w:pPr>
        <w:jc w:val="both"/>
        <w:rPr>
          <w:b/>
        </w:rPr>
      </w:pPr>
      <w:r w:rsidRPr="005C6774">
        <w:rPr>
          <w:b/>
        </w:rPr>
        <w:t>Table 2</w:t>
      </w:r>
      <w:r w:rsidR="00C838CD" w:rsidRPr="005C6774">
        <w:rPr>
          <w:b/>
        </w:rPr>
        <w:t>: Grid box dimensions of the selected target proteins</w:t>
      </w:r>
    </w:p>
    <w:p w14:paraId="7055B719" w14:textId="77777777" w:rsidR="007C00BF" w:rsidRPr="005C6774" w:rsidRDefault="007C00BF" w:rsidP="00C838CD">
      <w:pPr>
        <w:jc w:val="both"/>
        <w:rPr>
          <w:b/>
        </w:rPr>
      </w:pPr>
    </w:p>
    <w:tbl>
      <w:tblPr>
        <w:tblW w:w="8190" w:type="dxa"/>
        <w:tblBorders>
          <w:top w:val="single" w:sz="4" w:space="0" w:color="auto"/>
          <w:bottom w:val="single" w:sz="4" w:space="0" w:color="auto"/>
        </w:tblBorders>
        <w:tblLook w:val="04A0" w:firstRow="1" w:lastRow="0" w:firstColumn="1" w:lastColumn="0" w:noHBand="0" w:noVBand="1"/>
      </w:tblPr>
      <w:tblGrid>
        <w:gridCol w:w="3240"/>
        <w:gridCol w:w="1260"/>
        <w:gridCol w:w="1170"/>
        <w:gridCol w:w="1260"/>
        <w:gridCol w:w="1260"/>
      </w:tblGrid>
      <w:tr w:rsidR="00C838CD" w:rsidRPr="005C6774" w14:paraId="2D0D0CF3" w14:textId="77777777" w:rsidTr="00770840">
        <w:trPr>
          <w:trHeight w:val="300"/>
        </w:trPr>
        <w:tc>
          <w:tcPr>
            <w:tcW w:w="3240" w:type="dxa"/>
            <w:tcBorders>
              <w:top w:val="single" w:sz="4" w:space="0" w:color="auto"/>
              <w:bottom w:val="single" w:sz="4" w:space="0" w:color="auto"/>
            </w:tcBorders>
            <w:noWrap/>
            <w:vAlign w:val="center"/>
            <w:hideMark/>
          </w:tcPr>
          <w:p w14:paraId="235E1A71" w14:textId="77777777" w:rsidR="00C838CD" w:rsidRPr="005C6774" w:rsidRDefault="00C838CD" w:rsidP="00770840">
            <w:pPr>
              <w:rPr>
                <w:b/>
                <w:color w:val="000000"/>
              </w:rPr>
            </w:pPr>
            <w:r w:rsidRPr="005C6774">
              <w:rPr>
                <w:b/>
                <w:color w:val="000000"/>
              </w:rPr>
              <w:t>Targets</w:t>
            </w:r>
          </w:p>
        </w:tc>
        <w:tc>
          <w:tcPr>
            <w:tcW w:w="1260" w:type="dxa"/>
            <w:tcBorders>
              <w:top w:val="single" w:sz="4" w:space="0" w:color="auto"/>
              <w:bottom w:val="single" w:sz="4" w:space="0" w:color="auto"/>
            </w:tcBorders>
            <w:noWrap/>
            <w:vAlign w:val="center"/>
            <w:hideMark/>
          </w:tcPr>
          <w:p w14:paraId="6C292B4D" w14:textId="77777777" w:rsidR="00C838CD" w:rsidRPr="005C6774" w:rsidRDefault="00C838CD" w:rsidP="00770840">
            <w:pPr>
              <w:rPr>
                <w:b/>
                <w:color w:val="000000"/>
              </w:rPr>
            </w:pPr>
            <w:r w:rsidRPr="005C6774">
              <w:rPr>
                <w:b/>
                <w:color w:val="000000"/>
              </w:rPr>
              <w:t>PDB ID</w:t>
            </w:r>
          </w:p>
        </w:tc>
        <w:tc>
          <w:tcPr>
            <w:tcW w:w="1170" w:type="dxa"/>
            <w:tcBorders>
              <w:top w:val="single" w:sz="4" w:space="0" w:color="auto"/>
              <w:bottom w:val="single" w:sz="4" w:space="0" w:color="auto"/>
            </w:tcBorders>
            <w:noWrap/>
            <w:vAlign w:val="center"/>
            <w:hideMark/>
          </w:tcPr>
          <w:p w14:paraId="026F2967" w14:textId="77777777" w:rsidR="00C838CD" w:rsidRPr="005C6774" w:rsidRDefault="00C838CD" w:rsidP="00770840">
            <w:pPr>
              <w:rPr>
                <w:b/>
                <w:color w:val="000000"/>
              </w:rPr>
            </w:pPr>
            <w:r w:rsidRPr="005C6774">
              <w:rPr>
                <w:b/>
                <w:color w:val="000000"/>
              </w:rPr>
              <w:t>X</w:t>
            </w:r>
          </w:p>
        </w:tc>
        <w:tc>
          <w:tcPr>
            <w:tcW w:w="1260" w:type="dxa"/>
            <w:tcBorders>
              <w:top w:val="single" w:sz="4" w:space="0" w:color="auto"/>
              <w:bottom w:val="single" w:sz="4" w:space="0" w:color="auto"/>
            </w:tcBorders>
          </w:tcPr>
          <w:p w14:paraId="7D9414C7" w14:textId="77777777" w:rsidR="00C838CD" w:rsidRPr="005C6774" w:rsidRDefault="00341B58" w:rsidP="00770840">
            <w:pPr>
              <w:rPr>
                <w:b/>
                <w:color w:val="000000"/>
              </w:rPr>
            </w:pPr>
            <w:r w:rsidRPr="005C6774">
              <w:rPr>
                <w:b/>
                <w:color w:val="000000"/>
              </w:rPr>
              <w:t>Y</w:t>
            </w:r>
          </w:p>
        </w:tc>
        <w:tc>
          <w:tcPr>
            <w:tcW w:w="1260" w:type="dxa"/>
            <w:tcBorders>
              <w:top w:val="single" w:sz="4" w:space="0" w:color="auto"/>
              <w:bottom w:val="single" w:sz="4" w:space="0" w:color="auto"/>
            </w:tcBorders>
          </w:tcPr>
          <w:p w14:paraId="34EE179F" w14:textId="77777777" w:rsidR="00C838CD" w:rsidRPr="005C6774" w:rsidRDefault="00C838CD" w:rsidP="00770840">
            <w:pPr>
              <w:rPr>
                <w:b/>
                <w:color w:val="000000"/>
              </w:rPr>
            </w:pPr>
            <w:r w:rsidRPr="005C6774">
              <w:rPr>
                <w:b/>
                <w:color w:val="000000"/>
              </w:rPr>
              <w:t>Z</w:t>
            </w:r>
          </w:p>
        </w:tc>
      </w:tr>
      <w:tr w:rsidR="00C838CD" w:rsidRPr="005C6774" w14:paraId="3BCE6830" w14:textId="77777777" w:rsidTr="00770840">
        <w:trPr>
          <w:trHeight w:val="300"/>
        </w:trPr>
        <w:tc>
          <w:tcPr>
            <w:tcW w:w="3240" w:type="dxa"/>
            <w:tcBorders>
              <w:top w:val="single" w:sz="4" w:space="0" w:color="auto"/>
            </w:tcBorders>
            <w:noWrap/>
            <w:vAlign w:val="center"/>
            <w:hideMark/>
          </w:tcPr>
          <w:p w14:paraId="68B6861D" w14:textId="77777777" w:rsidR="00C838CD" w:rsidRPr="005C6774" w:rsidRDefault="00CF6642" w:rsidP="00770840">
            <w:pPr>
              <w:rPr>
                <w:color w:val="000000"/>
              </w:rPr>
            </w:pPr>
            <w:r w:rsidRPr="005C6774">
              <w:rPr>
                <w:iCs/>
                <w:color w:val="000000" w:themeColor="text1"/>
              </w:rPr>
              <w:t>Metallothioneins-1</w:t>
            </w:r>
          </w:p>
        </w:tc>
        <w:tc>
          <w:tcPr>
            <w:tcW w:w="1260" w:type="dxa"/>
            <w:tcBorders>
              <w:top w:val="single" w:sz="4" w:space="0" w:color="auto"/>
            </w:tcBorders>
            <w:noWrap/>
            <w:vAlign w:val="center"/>
            <w:hideMark/>
          </w:tcPr>
          <w:p w14:paraId="3D43FD72" w14:textId="77777777" w:rsidR="00C838CD" w:rsidRPr="005C6774" w:rsidRDefault="00CF6642" w:rsidP="00770840">
            <w:pPr>
              <w:rPr>
                <w:color w:val="000000"/>
              </w:rPr>
            </w:pPr>
            <w:r w:rsidRPr="005C6774">
              <w:rPr>
                <w:color w:val="000000"/>
              </w:rPr>
              <w:t>1MHU</w:t>
            </w:r>
          </w:p>
        </w:tc>
        <w:tc>
          <w:tcPr>
            <w:tcW w:w="1170" w:type="dxa"/>
            <w:tcBorders>
              <w:top w:val="single" w:sz="4" w:space="0" w:color="auto"/>
            </w:tcBorders>
            <w:noWrap/>
            <w:vAlign w:val="center"/>
          </w:tcPr>
          <w:p w14:paraId="745EE25E" w14:textId="77777777" w:rsidR="00C838CD" w:rsidRPr="005C6774" w:rsidRDefault="007A2110" w:rsidP="00770840">
            <w:pPr>
              <w:rPr>
                <w:color w:val="000000"/>
              </w:rPr>
            </w:pPr>
            <w:r w:rsidRPr="005C6774">
              <w:rPr>
                <w:color w:val="000000"/>
              </w:rPr>
              <w:t>4.9530</w:t>
            </w:r>
          </w:p>
        </w:tc>
        <w:tc>
          <w:tcPr>
            <w:tcW w:w="1260" w:type="dxa"/>
            <w:tcBorders>
              <w:top w:val="single" w:sz="4" w:space="0" w:color="auto"/>
            </w:tcBorders>
          </w:tcPr>
          <w:p w14:paraId="771F15D3" w14:textId="77777777" w:rsidR="00C838CD" w:rsidRPr="005C6774" w:rsidRDefault="007A2110" w:rsidP="00770840">
            <w:pPr>
              <w:rPr>
                <w:color w:val="000000"/>
              </w:rPr>
            </w:pPr>
            <w:r w:rsidRPr="005C6774">
              <w:rPr>
                <w:color w:val="000000"/>
              </w:rPr>
              <w:t>5.3222</w:t>
            </w:r>
          </w:p>
        </w:tc>
        <w:tc>
          <w:tcPr>
            <w:tcW w:w="1260" w:type="dxa"/>
            <w:tcBorders>
              <w:top w:val="single" w:sz="4" w:space="0" w:color="auto"/>
            </w:tcBorders>
          </w:tcPr>
          <w:p w14:paraId="7E952C38" w14:textId="77777777" w:rsidR="00C838CD" w:rsidRPr="005C6774" w:rsidRDefault="007A2110" w:rsidP="00770840">
            <w:pPr>
              <w:rPr>
                <w:color w:val="000000"/>
              </w:rPr>
            </w:pPr>
            <w:r w:rsidRPr="005C6774">
              <w:rPr>
                <w:color w:val="000000"/>
              </w:rPr>
              <w:t>10.3964</w:t>
            </w:r>
          </w:p>
        </w:tc>
      </w:tr>
      <w:tr w:rsidR="00C838CD" w:rsidRPr="005C6774" w14:paraId="3CD30894" w14:textId="77777777" w:rsidTr="00770840">
        <w:trPr>
          <w:trHeight w:val="300"/>
        </w:trPr>
        <w:tc>
          <w:tcPr>
            <w:tcW w:w="3240" w:type="dxa"/>
            <w:noWrap/>
            <w:vAlign w:val="center"/>
            <w:hideMark/>
          </w:tcPr>
          <w:p w14:paraId="787FDF69" w14:textId="77777777" w:rsidR="00C838CD" w:rsidRPr="005C6774" w:rsidRDefault="00CF6642" w:rsidP="00770840">
            <w:pPr>
              <w:rPr>
                <w:color w:val="000000"/>
              </w:rPr>
            </w:pPr>
            <w:r w:rsidRPr="005C6774">
              <w:rPr>
                <w:iCs/>
                <w:color w:val="000000" w:themeColor="text1"/>
              </w:rPr>
              <w:t>Metallothioneins-2</w:t>
            </w:r>
          </w:p>
        </w:tc>
        <w:tc>
          <w:tcPr>
            <w:tcW w:w="1260" w:type="dxa"/>
            <w:noWrap/>
            <w:vAlign w:val="center"/>
            <w:hideMark/>
          </w:tcPr>
          <w:p w14:paraId="5CAAC783" w14:textId="77777777" w:rsidR="00C838CD" w:rsidRPr="005C6774" w:rsidRDefault="00CF6642" w:rsidP="00770840">
            <w:pPr>
              <w:rPr>
                <w:color w:val="000000"/>
              </w:rPr>
            </w:pPr>
            <w:r w:rsidRPr="005C6774">
              <w:rPr>
                <w:color w:val="000000"/>
              </w:rPr>
              <w:t>2MHU</w:t>
            </w:r>
          </w:p>
        </w:tc>
        <w:tc>
          <w:tcPr>
            <w:tcW w:w="1170" w:type="dxa"/>
            <w:noWrap/>
            <w:vAlign w:val="center"/>
          </w:tcPr>
          <w:p w14:paraId="1EB4DCE9" w14:textId="77777777" w:rsidR="00C838CD" w:rsidRPr="005C6774" w:rsidRDefault="007A2110" w:rsidP="00770840">
            <w:pPr>
              <w:rPr>
                <w:color w:val="000000"/>
              </w:rPr>
            </w:pPr>
            <w:r w:rsidRPr="005C6774">
              <w:rPr>
                <w:color w:val="000000"/>
              </w:rPr>
              <w:t>0.0306</w:t>
            </w:r>
          </w:p>
        </w:tc>
        <w:tc>
          <w:tcPr>
            <w:tcW w:w="1260" w:type="dxa"/>
          </w:tcPr>
          <w:p w14:paraId="1B8B94D6" w14:textId="77777777" w:rsidR="00C838CD" w:rsidRPr="005C6774" w:rsidRDefault="007A2110" w:rsidP="00770840">
            <w:pPr>
              <w:rPr>
                <w:color w:val="000000"/>
              </w:rPr>
            </w:pPr>
            <w:r w:rsidRPr="005C6774">
              <w:rPr>
                <w:color w:val="000000"/>
              </w:rPr>
              <w:t>-4.2033</w:t>
            </w:r>
          </w:p>
        </w:tc>
        <w:tc>
          <w:tcPr>
            <w:tcW w:w="1260" w:type="dxa"/>
          </w:tcPr>
          <w:p w14:paraId="54D9A670" w14:textId="77777777" w:rsidR="00C838CD" w:rsidRPr="005C6774" w:rsidRDefault="007A2110" w:rsidP="00770840">
            <w:pPr>
              <w:rPr>
                <w:color w:val="000000"/>
              </w:rPr>
            </w:pPr>
            <w:r w:rsidRPr="005C6774">
              <w:rPr>
                <w:color w:val="000000"/>
              </w:rPr>
              <w:t>-6.5989</w:t>
            </w:r>
          </w:p>
        </w:tc>
      </w:tr>
      <w:tr w:rsidR="00C838CD" w:rsidRPr="005C6774" w14:paraId="5F022715" w14:textId="77777777" w:rsidTr="00770840">
        <w:trPr>
          <w:trHeight w:val="300"/>
        </w:trPr>
        <w:tc>
          <w:tcPr>
            <w:tcW w:w="3240" w:type="dxa"/>
            <w:noWrap/>
            <w:vAlign w:val="center"/>
            <w:hideMark/>
          </w:tcPr>
          <w:p w14:paraId="06FCF334" w14:textId="77777777" w:rsidR="00C838CD" w:rsidRPr="005C6774" w:rsidRDefault="00C50D8D" w:rsidP="00770840">
            <w:pPr>
              <w:rPr>
                <w:color w:val="000000"/>
              </w:rPr>
            </w:pPr>
            <w:r w:rsidRPr="005C6774">
              <w:rPr>
                <w:iCs/>
                <w:color w:val="000000" w:themeColor="text1"/>
              </w:rPr>
              <w:t>Glut</w:t>
            </w:r>
            <w:r w:rsidR="00CF6642" w:rsidRPr="005C6774">
              <w:rPr>
                <w:iCs/>
                <w:color w:val="000000" w:themeColor="text1"/>
              </w:rPr>
              <w:t>athione-S-transferase</w:t>
            </w:r>
          </w:p>
        </w:tc>
        <w:tc>
          <w:tcPr>
            <w:tcW w:w="1260" w:type="dxa"/>
            <w:noWrap/>
            <w:vAlign w:val="center"/>
            <w:hideMark/>
          </w:tcPr>
          <w:p w14:paraId="310AD8C6" w14:textId="77777777" w:rsidR="00C838CD" w:rsidRPr="005C6774" w:rsidRDefault="000E71F1" w:rsidP="00770840">
            <w:pPr>
              <w:rPr>
                <w:color w:val="000000"/>
              </w:rPr>
            </w:pPr>
            <w:r w:rsidRPr="005C6774">
              <w:rPr>
                <w:color w:val="000000"/>
              </w:rPr>
              <w:t>2GTU</w:t>
            </w:r>
          </w:p>
        </w:tc>
        <w:tc>
          <w:tcPr>
            <w:tcW w:w="1170" w:type="dxa"/>
            <w:noWrap/>
            <w:vAlign w:val="center"/>
          </w:tcPr>
          <w:p w14:paraId="082AF754" w14:textId="77777777" w:rsidR="00C838CD" w:rsidRPr="005C6774" w:rsidRDefault="007A2110" w:rsidP="00770840">
            <w:pPr>
              <w:rPr>
                <w:color w:val="000000"/>
              </w:rPr>
            </w:pPr>
            <w:r w:rsidRPr="005C6774">
              <w:rPr>
                <w:color w:val="000000"/>
              </w:rPr>
              <w:t>-20.327</w:t>
            </w:r>
          </w:p>
        </w:tc>
        <w:tc>
          <w:tcPr>
            <w:tcW w:w="1260" w:type="dxa"/>
          </w:tcPr>
          <w:p w14:paraId="735F0B5C" w14:textId="77777777" w:rsidR="00C838CD" w:rsidRPr="005C6774" w:rsidRDefault="007A2110" w:rsidP="00770840">
            <w:pPr>
              <w:rPr>
                <w:color w:val="000000"/>
              </w:rPr>
            </w:pPr>
            <w:r w:rsidRPr="005C6774">
              <w:rPr>
                <w:color w:val="000000"/>
              </w:rPr>
              <w:t>-15.003</w:t>
            </w:r>
          </w:p>
        </w:tc>
        <w:tc>
          <w:tcPr>
            <w:tcW w:w="1260" w:type="dxa"/>
          </w:tcPr>
          <w:p w14:paraId="2043AAF4" w14:textId="77777777" w:rsidR="00C838CD" w:rsidRPr="005C6774" w:rsidRDefault="007A2110" w:rsidP="00770840">
            <w:pPr>
              <w:rPr>
                <w:color w:val="000000"/>
              </w:rPr>
            </w:pPr>
            <w:r w:rsidRPr="005C6774">
              <w:rPr>
                <w:color w:val="000000"/>
              </w:rPr>
              <w:t>47.6510</w:t>
            </w:r>
          </w:p>
        </w:tc>
      </w:tr>
      <w:tr w:rsidR="00C838CD" w:rsidRPr="005C6774" w14:paraId="3C8A9557" w14:textId="77777777" w:rsidTr="00770840">
        <w:trPr>
          <w:trHeight w:val="300"/>
        </w:trPr>
        <w:tc>
          <w:tcPr>
            <w:tcW w:w="3240" w:type="dxa"/>
            <w:noWrap/>
            <w:vAlign w:val="center"/>
            <w:hideMark/>
          </w:tcPr>
          <w:p w14:paraId="70A245AA" w14:textId="77777777" w:rsidR="00C838CD" w:rsidRPr="005C6774" w:rsidRDefault="000E71F1" w:rsidP="000E71F1">
            <w:pPr>
              <w:rPr>
                <w:color w:val="000000"/>
              </w:rPr>
            </w:pPr>
            <w:r w:rsidRPr="005C6774">
              <w:rPr>
                <w:iCs/>
                <w:color w:val="000000" w:themeColor="text1"/>
              </w:rPr>
              <w:t xml:space="preserve">Apoptosis </w:t>
            </w:r>
          </w:p>
        </w:tc>
        <w:tc>
          <w:tcPr>
            <w:tcW w:w="1260" w:type="dxa"/>
            <w:noWrap/>
            <w:vAlign w:val="center"/>
            <w:hideMark/>
          </w:tcPr>
          <w:p w14:paraId="1C578053" w14:textId="77777777" w:rsidR="00C838CD" w:rsidRPr="005C6774" w:rsidRDefault="000E71F1" w:rsidP="00770840">
            <w:pPr>
              <w:rPr>
                <w:color w:val="000000"/>
              </w:rPr>
            </w:pPr>
            <w:r w:rsidRPr="005C6774">
              <w:rPr>
                <w:color w:val="000000"/>
              </w:rPr>
              <w:t>1PAU</w:t>
            </w:r>
          </w:p>
        </w:tc>
        <w:tc>
          <w:tcPr>
            <w:tcW w:w="1170" w:type="dxa"/>
            <w:noWrap/>
            <w:vAlign w:val="center"/>
          </w:tcPr>
          <w:p w14:paraId="63E2A37A" w14:textId="77777777" w:rsidR="00C838CD" w:rsidRPr="005C6774" w:rsidRDefault="007A2110" w:rsidP="00770840">
            <w:pPr>
              <w:rPr>
                <w:color w:val="000000"/>
              </w:rPr>
            </w:pPr>
            <w:r w:rsidRPr="005C6774">
              <w:rPr>
                <w:color w:val="000000"/>
              </w:rPr>
              <w:t>36.1925</w:t>
            </w:r>
          </w:p>
        </w:tc>
        <w:tc>
          <w:tcPr>
            <w:tcW w:w="1260" w:type="dxa"/>
          </w:tcPr>
          <w:p w14:paraId="08A6696C" w14:textId="77777777" w:rsidR="00C838CD" w:rsidRPr="005C6774" w:rsidRDefault="007A2110" w:rsidP="00770840">
            <w:pPr>
              <w:rPr>
                <w:color w:val="000000"/>
              </w:rPr>
            </w:pPr>
            <w:r w:rsidRPr="005C6774">
              <w:rPr>
                <w:color w:val="000000"/>
              </w:rPr>
              <w:t>106.853</w:t>
            </w:r>
          </w:p>
        </w:tc>
        <w:tc>
          <w:tcPr>
            <w:tcW w:w="1260" w:type="dxa"/>
          </w:tcPr>
          <w:p w14:paraId="73270F80" w14:textId="77777777" w:rsidR="00C838CD" w:rsidRPr="005C6774" w:rsidRDefault="007A2110" w:rsidP="00770840">
            <w:pPr>
              <w:rPr>
                <w:color w:val="000000"/>
              </w:rPr>
            </w:pPr>
            <w:r w:rsidRPr="005C6774">
              <w:rPr>
                <w:color w:val="000000"/>
              </w:rPr>
              <w:t>10.9844</w:t>
            </w:r>
          </w:p>
        </w:tc>
      </w:tr>
      <w:tr w:rsidR="00C838CD" w:rsidRPr="005C6774" w14:paraId="67AFBF26" w14:textId="77777777" w:rsidTr="00770840">
        <w:trPr>
          <w:trHeight w:val="300"/>
        </w:trPr>
        <w:tc>
          <w:tcPr>
            <w:tcW w:w="3240" w:type="dxa"/>
            <w:noWrap/>
            <w:vAlign w:val="center"/>
            <w:hideMark/>
          </w:tcPr>
          <w:p w14:paraId="2B8FFD8D" w14:textId="77777777" w:rsidR="00C838CD" w:rsidRPr="005C6774" w:rsidRDefault="000E71F1" w:rsidP="00770840">
            <w:pPr>
              <w:rPr>
                <w:color w:val="000000"/>
              </w:rPr>
            </w:pPr>
            <w:r w:rsidRPr="005C6774">
              <w:rPr>
                <w:iCs/>
                <w:color w:val="000000" w:themeColor="text1"/>
              </w:rPr>
              <w:t>Inflammatory mediators</w:t>
            </w:r>
          </w:p>
        </w:tc>
        <w:tc>
          <w:tcPr>
            <w:tcW w:w="1260" w:type="dxa"/>
            <w:noWrap/>
            <w:vAlign w:val="center"/>
            <w:hideMark/>
          </w:tcPr>
          <w:p w14:paraId="4DFEE6FC" w14:textId="77777777" w:rsidR="00C838CD" w:rsidRPr="005C6774" w:rsidRDefault="000E71F1" w:rsidP="00770840">
            <w:pPr>
              <w:rPr>
                <w:color w:val="000000"/>
              </w:rPr>
            </w:pPr>
            <w:r w:rsidRPr="005C6774">
              <w:rPr>
                <w:color w:val="000000"/>
              </w:rPr>
              <w:t>1NFI</w:t>
            </w:r>
          </w:p>
        </w:tc>
        <w:tc>
          <w:tcPr>
            <w:tcW w:w="1170" w:type="dxa"/>
            <w:noWrap/>
            <w:vAlign w:val="center"/>
          </w:tcPr>
          <w:p w14:paraId="46F02671" w14:textId="77777777" w:rsidR="00C838CD" w:rsidRPr="005C6774" w:rsidRDefault="007A2110" w:rsidP="00770840">
            <w:pPr>
              <w:rPr>
                <w:color w:val="000000"/>
              </w:rPr>
            </w:pPr>
            <w:r w:rsidRPr="005C6774">
              <w:rPr>
                <w:color w:val="000000"/>
              </w:rPr>
              <w:t>-27.102</w:t>
            </w:r>
          </w:p>
        </w:tc>
        <w:tc>
          <w:tcPr>
            <w:tcW w:w="1260" w:type="dxa"/>
          </w:tcPr>
          <w:p w14:paraId="05FF8F2D" w14:textId="77777777" w:rsidR="00C838CD" w:rsidRPr="005C6774" w:rsidRDefault="007A2110" w:rsidP="00770840">
            <w:pPr>
              <w:rPr>
                <w:color w:val="000000"/>
              </w:rPr>
            </w:pPr>
            <w:r w:rsidRPr="005C6774">
              <w:rPr>
                <w:color w:val="000000"/>
              </w:rPr>
              <w:t>52.2697</w:t>
            </w:r>
          </w:p>
        </w:tc>
        <w:tc>
          <w:tcPr>
            <w:tcW w:w="1260" w:type="dxa"/>
          </w:tcPr>
          <w:p w14:paraId="382467D2" w14:textId="77777777" w:rsidR="00C838CD" w:rsidRPr="005C6774" w:rsidRDefault="007A2110" w:rsidP="00770840">
            <w:pPr>
              <w:rPr>
                <w:color w:val="000000"/>
              </w:rPr>
            </w:pPr>
            <w:r w:rsidRPr="005C6774">
              <w:rPr>
                <w:color w:val="000000"/>
              </w:rPr>
              <w:t>-10.3804</w:t>
            </w:r>
          </w:p>
        </w:tc>
      </w:tr>
      <w:tr w:rsidR="00587D10" w:rsidRPr="005C6774" w14:paraId="1F025475" w14:textId="77777777" w:rsidTr="00770840">
        <w:trPr>
          <w:trHeight w:val="300"/>
        </w:trPr>
        <w:tc>
          <w:tcPr>
            <w:tcW w:w="3240" w:type="dxa"/>
            <w:noWrap/>
            <w:vAlign w:val="center"/>
            <w:hideMark/>
          </w:tcPr>
          <w:p w14:paraId="5C45092B" w14:textId="77777777" w:rsidR="00587D10" w:rsidRPr="005C6774" w:rsidRDefault="00587D10" w:rsidP="00587D10">
            <w:pPr>
              <w:rPr>
                <w:color w:val="000000"/>
              </w:rPr>
            </w:pPr>
            <w:r w:rsidRPr="005C6774">
              <w:rPr>
                <w:iCs/>
                <w:color w:val="000000" w:themeColor="text1"/>
              </w:rPr>
              <w:t>Oxidative stress</w:t>
            </w:r>
          </w:p>
        </w:tc>
        <w:tc>
          <w:tcPr>
            <w:tcW w:w="1260" w:type="dxa"/>
            <w:noWrap/>
            <w:vAlign w:val="center"/>
            <w:hideMark/>
          </w:tcPr>
          <w:p w14:paraId="5F7D93D5" w14:textId="77777777" w:rsidR="00587D10" w:rsidRPr="005C6774" w:rsidRDefault="00587D10" w:rsidP="00587D10">
            <w:pPr>
              <w:rPr>
                <w:color w:val="000000"/>
              </w:rPr>
            </w:pPr>
            <w:r w:rsidRPr="005C6774">
              <w:rPr>
                <w:color w:val="000000"/>
              </w:rPr>
              <w:t>3E7G</w:t>
            </w:r>
          </w:p>
        </w:tc>
        <w:tc>
          <w:tcPr>
            <w:tcW w:w="1170" w:type="dxa"/>
            <w:noWrap/>
            <w:vAlign w:val="center"/>
          </w:tcPr>
          <w:p w14:paraId="6F9D2AB7" w14:textId="77777777" w:rsidR="00587D10" w:rsidRPr="005C6774" w:rsidRDefault="00587D10" w:rsidP="00587D10">
            <w:pPr>
              <w:rPr>
                <w:color w:val="000000"/>
              </w:rPr>
            </w:pPr>
            <w:r w:rsidRPr="005C6774">
              <w:rPr>
                <w:color w:val="000000"/>
              </w:rPr>
              <w:t>55.3435</w:t>
            </w:r>
          </w:p>
        </w:tc>
        <w:tc>
          <w:tcPr>
            <w:tcW w:w="1260" w:type="dxa"/>
          </w:tcPr>
          <w:p w14:paraId="7B7CB499" w14:textId="77777777" w:rsidR="00587D10" w:rsidRPr="005C6774" w:rsidRDefault="00587D10" w:rsidP="00587D10">
            <w:pPr>
              <w:rPr>
                <w:color w:val="000000"/>
              </w:rPr>
            </w:pPr>
            <w:r w:rsidRPr="005C6774">
              <w:rPr>
                <w:color w:val="000000"/>
              </w:rPr>
              <w:t>17.4001</w:t>
            </w:r>
          </w:p>
        </w:tc>
        <w:tc>
          <w:tcPr>
            <w:tcW w:w="1260" w:type="dxa"/>
          </w:tcPr>
          <w:p w14:paraId="7A29572D" w14:textId="77777777" w:rsidR="00587D10" w:rsidRPr="005C6774" w:rsidRDefault="00587D10" w:rsidP="00587D10">
            <w:pPr>
              <w:rPr>
                <w:color w:val="000000"/>
              </w:rPr>
            </w:pPr>
            <w:r w:rsidRPr="005C6774">
              <w:rPr>
                <w:color w:val="000000"/>
              </w:rPr>
              <w:t>83.5666</w:t>
            </w:r>
          </w:p>
        </w:tc>
      </w:tr>
      <w:tr w:rsidR="00587D10" w:rsidRPr="005C6774" w14:paraId="14F48F6C" w14:textId="77777777" w:rsidTr="00770840">
        <w:trPr>
          <w:trHeight w:val="300"/>
        </w:trPr>
        <w:tc>
          <w:tcPr>
            <w:tcW w:w="3240" w:type="dxa"/>
            <w:noWrap/>
            <w:vAlign w:val="center"/>
            <w:hideMark/>
          </w:tcPr>
          <w:p w14:paraId="376ED0C4" w14:textId="77777777" w:rsidR="00587D10" w:rsidRPr="005C6774" w:rsidRDefault="00587D10" w:rsidP="00587D10">
            <w:pPr>
              <w:rPr>
                <w:color w:val="000000"/>
              </w:rPr>
            </w:pPr>
            <w:r w:rsidRPr="005C6774">
              <w:rPr>
                <w:iCs/>
                <w:color w:val="000000" w:themeColor="text1"/>
              </w:rPr>
              <w:t>Pancreatic function</w:t>
            </w:r>
          </w:p>
        </w:tc>
        <w:tc>
          <w:tcPr>
            <w:tcW w:w="1260" w:type="dxa"/>
            <w:noWrap/>
            <w:vAlign w:val="center"/>
            <w:hideMark/>
          </w:tcPr>
          <w:p w14:paraId="314BB4E3" w14:textId="77777777" w:rsidR="00587D10" w:rsidRPr="005C6774" w:rsidRDefault="00587D10" w:rsidP="00587D10">
            <w:pPr>
              <w:rPr>
                <w:color w:val="000000"/>
              </w:rPr>
            </w:pPr>
            <w:r w:rsidRPr="005C6774">
              <w:rPr>
                <w:color w:val="000000"/>
              </w:rPr>
              <w:t>1V4S</w:t>
            </w:r>
          </w:p>
        </w:tc>
        <w:tc>
          <w:tcPr>
            <w:tcW w:w="1170" w:type="dxa"/>
            <w:noWrap/>
            <w:vAlign w:val="center"/>
          </w:tcPr>
          <w:p w14:paraId="40673F75" w14:textId="77777777" w:rsidR="00587D10" w:rsidRPr="005C6774" w:rsidRDefault="00587D10" w:rsidP="00587D10">
            <w:pPr>
              <w:rPr>
                <w:color w:val="000000"/>
              </w:rPr>
            </w:pPr>
            <w:r w:rsidRPr="005C6774">
              <w:rPr>
                <w:color w:val="000000"/>
              </w:rPr>
              <w:t>27.4392</w:t>
            </w:r>
          </w:p>
        </w:tc>
        <w:tc>
          <w:tcPr>
            <w:tcW w:w="1260" w:type="dxa"/>
          </w:tcPr>
          <w:p w14:paraId="53FA40EC" w14:textId="77777777" w:rsidR="00587D10" w:rsidRPr="005C6774" w:rsidRDefault="00587D10" w:rsidP="00587D10">
            <w:pPr>
              <w:rPr>
                <w:color w:val="000000"/>
              </w:rPr>
            </w:pPr>
            <w:r w:rsidRPr="005C6774">
              <w:rPr>
                <w:color w:val="000000"/>
              </w:rPr>
              <w:t>1.4394</w:t>
            </w:r>
          </w:p>
        </w:tc>
        <w:tc>
          <w:tcPr>
            <w:tcW w:w="1260" w:type="dxa"/>
          </w:tcPr>
          <w:p w14:paraId="42997A45" w14:textId="77777777" w:rsidR="00587D10" w:rsidRPr="005C6774" w:rsidRDefault="00587D10" w:rsidP="00587D10">
            <w:pPr>
              <w:rPr>
                <w:color w:val="000000"/>
              </w:rPr>
            </w:pPr>
            <w:r w:rsidRPr="005C6774">
              <w:rPr>
                <w:color w:val="000000"/>
              </w:rPr>
              <w:t>68.6687</w:t>
            </w:r>
          </w:p>
        </w:tc>
      </w:tr>
    </w:tbl>
    <w:p w14:paraId="052EDA5C" w14:textId="77777777" w:rsidR="00C838CD" w:rsidRPr="005C6774" w:rsidRDefault="00C838CD" w:rsidP="00C838CD">
      <w:pPr>
        <w:autoSpaceDE w:val="0"/>
        <w:autoSpaceDN w:val="0"/>
        <w:adjustRightInd w:val="0"/>
        <w:spacing w:before="240" w:line="276" w:lineRule="auto"/>
        <w:jc w:val="both"/>
        <w:rPr>
          <w:b/>
        </w:rPr>
      </w:pPr>
      <w:r w:rsidRPr="005C6774">
        <w:rPr>
          <w:b/>
        </w:rPr>
        <w:t xml:space="preserve">Prediction of Pharmacokinetics (ADME), Physico-chemical and Toxicity properties </w:t>
      </w:r>
    </w:p>
    <w:p w14:paraId="717BB0C5" w14:textId="77777777" w:rsidR="00C838CD" w:rsidRPr="005C6774" w:rsidRDefault="00C838CD" w:rsidP="00C838CD">
      <w:pPr>
        <w:autoSpaceDE w:val="0"/>
        <w:autoSpaceDN w:val="0"/>
        <w:adjustRightInd w:val="0"/>
        <w:spacing w:before="240" w:line="276" w:lineRule="auto"/>
        <w:jc w:val="both"/>
      </w:pPr>
      <w:r w:rsidRPr="005C6774">
        <w:t>The ADMET properties such as Absorption, Distribution, Metabolism, Excretion, Physico-chemical and Toxicity of the compounds were tested by using ADMETlab3.o server (</w:t>
      </w:r>
      <w:proofErr w:type="spellStart"/>
      <w:r w:rsidR="0042740C">
        <w:fldChar w:fldCharType="begin"/>
      </w:r>
      <w:r w:rsidR="0042740C">
        <w:instrText xml:space="preserve"> HYPERLINK "https://admetlab3.scbdd.com/" </w:instrText>
      </w:r>
      <w:r w:rsidR="0042740C">
        <w:fldChar w:fldCharType="separate"/>
      </w:r>
      <w:r w:rsidRPr="005C6774">
        <w:rPr>
          <w:rStyle w:val="Hyperlink"/>
        </w:rPr>
        <w:t>ADMETlab</w:t>
      </w:r>
      <w:proofErr w:type="spellEnd"/>
      <w:r w:rsidRPr="005C6774">
        <w:rPr>
          <w:rStyle w:val="Hyperlink"/>
        </w:rPr>
        <w:t xml:space="preserve"> </w:t>
      </w:r>
      <w:r w:rsidRPr="005C6774">
        <w:rPr>
          <w:rStyle w:val="Hyperlink"/>
        </w:rPr>
        <w:lastRenderedPageBreak/>
        <w:t>3.0 (scbdd.com)</w:t>
      </w:r>
      <w:r w:rsidR="0042740C">
        <w:rPr>
          <w:rStyle w:val="Hyperlink"/>
        </w:rPr>
        <w:fldChar w:fldCharType="end"/>
      </w:r>
      <w:r w:rsidRPr="005C6774">
        <w:t>,</w:t>
      </w:r>
      <w:r w:rsidR="00A4031D" w:rsidRPr="005C6774">
        <w:t xml:space="preserve"> accessed on May 20, 2025. A</w:t>
      </w:r>
      <w:r w:rsidRPr="005C6774">
        <w:t xml:space="preserve"> freely accessible tool that enables the database to be queried by canonical SMILES notation of the ligands. </w:t>
      </w:r>
    </w:p>
    <w:p w14:paraId="31395BFF" w14:textId="77777777" w:rsidR="00C838CD" w:rsidRPr="005C6774" w:rsidRDefault="00C838CD" w:rsidP="00C838CD">
      <w:pPr>
        <w:autoSpaceDE w:val="0"/>
        <w:autoSpaceDN w:val="0"/>
        <w:adjustRightInd w:val="0"/>
        <w:spacing w:before="240" w:line="276" w:lineRule="auto"/>
        <w:jc w:val="both"/>
        <w:rPr>
          <w:b/>
        </w:rPr>
      </w:pPr>
      <w:r w:rsidRPr="005C6774">
        <w:rPr>
          <w:b/>
        </w:rPr>
        <w:t xml:space="preserve">Drug Likeness Screening </w:t>
      </w:r>
    </w:p>
    <w:p w14:paraId="008B04CE" w14:textId="77777777" w:rsidR="00C838CD" w:rsidRPr="005C6774" w:rsidRDefault="00C838CD" w:rsidP="00C838CD">
      <w:pPr>
        <w:autoSpaceDE w:val="0"/>
        <w:autoSpaceDN w:val="0"/>
        <w:adjustRightInd w:val="0"/>
        <w:spacing w:before="240" w:line="276" w:lineRule="auto"/>
        <w:jc w:val="both"/>
      </w:pPr>
      <w:r w:rsidRPr="005C6774">
        <w:t xml:space="preserve">Drug likeliness properties of the ligands were analyzed using </w:t>
      </w:r>
      <w:proofErr w:type="spellStart"/>
      <w:r w:rsidRPr="005C6774">
        <w:t>SwissADME</w:t>
      </w:r>
      <w:proofErr w:type="spellEnd"/>
      <w:r w:rsidRPr="005C6774">
        <w:t xml:space="preserve"> server (</w:t>
      </w:r>
      <w:hyperlink r:id="rId7" w:history="1">
        <w:r w:rsidRPr="005C6774">
          <w:rPr>
            <w:rStyle w:val="Hyperlink"/>
          </w:rPr>
          <w:t>www.swissadme.ch/index.php</w:t>
        </w:r>
      </w:hyperlink>
      <w:r w:rsidRPr="005C6774">
        <w:t>)</w:t>
      </w:r>
      <w:r w:rsidR="00A4031D" w:rsidRPr="005C6774">
        <w:t xml:space="preserve"> accessed on May 20, 2025</w:t>
      </w:r>
      <w:r w:rsidRPr="005C6774">
        <w:t>. The following drug likeness models were examined; Lipinski, Ghose, Veber, Egan and Muegge.</w:t>
      </w:r>
    </w:p>
    <w:p w14:paraId="70440B08" w14:textId="77777777" w:rsidR="00865419" w:rsidRDefault="00865419" w:rsidP="00C838CD">
      <w:pPr>
        <w:autoSpaceDE w:val="0"/>
        <w:autoSpaceDN w:val="0"/>
        <w:adjustRightInd w:val="0"/>
        <w:spacing w:before="240" w:line="276" w:lineRule="auto"/>
        <w:jc w:val="both"/>
        <w:rPr>
          <w:b/>
        </w:rPr>
      </w:pPr>
    </w:p>
    <w:p w14:paraId="7D681496" w14:textId="77777777" w:rsidR="00865419" w:rsidRPr="00865419" w:rsidRDefault="00865419" w:rsidP="00865419">
      <w:pPr>
        <w:spacing w:before="240" w:after="240"/>
        <w:rPr>
          <w:b/>
          <w:bCs/>
          <w:sz w:val="22"/>
          <w:szCs w:val="22"/>
        </w:rPr>
      </w:pPr>
      <w:r w:rsidRPr="00865419">
        <w:rPr>
          <w:b/>
          <w:bCs/>
          <w:sz w:val="22"/>
          <w:szCs w:val="22"/>
        </w:rPr>
        <w:t>2.</w:t>
      </w:r>
      <w:r>
        <w:rPr>
          <w:b/>
          <w:bCs/>
          <w:sz w:val="22"/>
          <w:szCs w:val="22"/>
        </w:rPr>
        <w:t>10</w:t>
      </w:r>
      <w:r w:rsidRPr="00865419">
        <w:rPr>
          <w:b/>
          <w:bCs/>
          <w:sz w:val="22"/>
          <w:szCs w:val="22"/>
        </w:rPr>
        <w:t xml:space="preserve"> Statistical Analysis</w:t>
      </w:r>
    </w:p>
    <w:p w14:paraId="1CEAAC6A" w14:textId="77777777" w:rsidR="00865419" w:rsidRPr="00865419" w:rsidRDefault="00865419" w:rsidP="00865419">
      <w:pPr>
        <w:jc w:val="both"/>
      </w:pPr>
      <w:r w:rsidRPr="00865419">
        <w:rPr>
          <w:color w:val="000000"/>
        </w:rPr>
        <w:t xml:space="preserve">Research objectives and hypothesis of the study was considered before analyzing data. The results were statistically analyzed using the SPSS software. </w:t>
      </w:r>
      <w:r w:rsidRPr="00865419">
        <w:t xml:space="preserve">Two principal statistical tests were used i.e.  Dependent t-test and One-way ANOVA served explicit purposes in examining various sorts of data gathered during the study.  The results were expressed as mean± S.E.M. </w:t>
      </w:r>
      <w:r w:rsidRPr="00865419">
        <w:rPr>
          <w:color w:val="000000"/>
        </w:rPr>
        <w:t>Statistical differences between the experimental and control groups were determined using ANOVA and values were considered significant at p ≤ .05.</w:t>
      </w:r>
    </w:p>
    <w:p w14:paraId="71E523F7" w14:textId="77777777" w:rsidR="00865419" w:rsidRPr="00865419" w:rsidRDefault="00865419" w:rsidP="00C838CD">
      <w:pPr>
        <w:autoSpaceDE w:val="0"/>
        <w:autoSpaceDN w:val="0"/>
        <w:adjustRightInd w:val="0"/>
        <w:spacing w:before="240" w:line="276" w:lineRule="auto"/>
        <w:jc w:val="both"/>
        <w:rPr>
          <w:b/>
        </w:rPr>
      </w:pPr>
    </w:p>
    <w:p w14:paraId="7EA1A32D" w14:textId="77777777" w:rsidR="00865419" w:rsidRDefault="00865419" w:rsidP="00C838CD">
      <w:pPr>
        <w:autoSpaceDE w:val="0"/>
        <w:autoSpaceDN w:val="0"/>
        <w:adjustRightInd w:val="0"/>
        <w:spacing w:before="240" w:line="276" w:lineRule="auto"/>
        <w:jc w:val="both"/>
        <w:rPr>
          <w:b/>
        </w:rPr>
      </w:pPr>
    </w:p>
    <w:p w14:paraId="19FDFDA5" w14:textId="77777777" w:rsidR="00865419" w:rsidRDefault="00865419" w:rsidP="00C838CD">
      <w:pPr>
        <w:autoSpaceDE w:val="0"/>
        <w:autoSpaceDN w:val="0"/>
        <w:adjustRightInd w:val="0"/>
        <w:spacing w:before="240" w:line="276" w:lineRule="auto"/>
        <w:jc w:val="both"/>
        <w:rPr>
          <w:b/>
        </w:rPr>
      </w:pPr>
    </w:p>
    <w:p w14:paraId="3FF86601" w14:textId="77777777" w:rsidR="00865419" w:rsidRDefault="00865419" w:rsidP="00C838CD">
      <w:pPr>
        <w:autoSpaceDE w:val="0"/>
        <w:autoSpaceDN w:val="0"/>
        <w:adjustRightInd w:val="0"/>
        <w:spacing w:before="240" w:line="276" w:lineRule="auto"/>
        <w:jc w:val="both"/>
        <w:rPr>
          <w:b/>
        </w:rPr>
      </w:pPr>
    </w:p>
    <w:p w14:paraId="376DFDA5" w14:textId="77777777" w:rsidR="00865419" w:rsidRDefault="00865419" w:rsidP="00C838CD">
      <w:pPr>
        <w:autoSpaceDE w:val="0"/>
        <w:autoSpaceDN w:val="0"/>
        <w:adjustRightInd w:val="0"/>
        <w:spacing w:before="240" w:line="276" w:lineRule="auto"/>
        <w:jc w:val="both"/>
        <w:rPr>
          <w:b/>
        </w:rPr>
      </w:pPr>
    </w:p>
    <w:p w14:paraId="11A86F26" w14:textId="77777777" w:rsidR="00865419" w:rsidRDefault="00865419" w:rsidP="00C838CD">
      <w:pPr>
        <w:autoSpaceDE w:val="0"/>
        <w:autoSpaceDN w:val="0"/>
        <w:adjustRightInd w:val="0"/>
        <w:spacing w:before="240" w:line="276" w:lineRule="auto"/>
        <w:jc w:val="both"/>
        <w:rPr>
          <w:b/>
        </w:rPr>
      </w:pPr>
    </w:p>
    <w:p w14:paraId="05BCADDF" w14:textId="77777777" w:rsidR="00865419" w:rsidRDefault="00865419" w:rsidP="00C838CD">
      <w:pPr>
        <w:autoSpaceDE w:val="0"/>
        <w:autoSpaceDN w:val="0"/>
        <w:adjustRightInd w:val="0"/>
        <w:spacing w:before="240" w:line="276" w:lineRule="auto"/>
        <w:jc w:val="both"/>
        <w:rPr>
          <w:b/>
        </w:rPr>
      </w:pPr>
    </w:p>
    <w:p w14:paraId="3266E5CE" w14:textId="77777777" w:rsidR="00865419" w:rsidRDefault="00865419" w:rsidP="00C838CD">
      <w:pPr>
        <w:autoSpaceDE w:val="0"/>
        <w:autoSpaceDN w:val="0"/>
        <w:adjustRightInd w:val="0"/>
        <w:spacing w:before="240" w:line="276" w:lineRule="auto"/>
        <w:jc w:val="both"/>
        <w:rPr>
          <w:b/>
        </w:rPr>
      </w:pPr>
    </w:p>
    <w:p w14:paraId="308AE69B" w14:textId="77777777" w:rsidR="00C838CD" w:rsidRPr="005C6774" w:rsidRDefault="00736B76" w:rsidP="00C838CD">
      <w:pPr>
        <w:autoSpaceDE w:val="0"/>
        <w:autoSpaceDN w:val="0"/>
        <w:adjustRightInd w:val="0"/>
        <w:spacing w:before="240" w:line="276" w:lineRule="auto"/>
        <w:jc w:val="both"/>
        <w:rPr>
          <w:b/>
        </w:rPr>
      </w:pPr>
      <w:r w:rsidRPr="005C6774">
        <w:rPr>
          <w:b/>
        </w:rPr>
        <w:t>RESULTS</w:t>
      </w:r>
    </w:p>
    <w:p w14:paraId="5BBD88D2" w14:textId="77777777" w:rsidR="002E4B24" w:rsidRPr="005C6774" w:rsidRDefault="002E4B24" w:rsidP="00C838CD">
      <w:pPr>
        <w:autoSpaceDE w:val="0"/>
        <w:autoSpaceDN w:val="0"/>
        <w:adjustRightInd w:val="0"/>
        <w:spacing w:before="240" w:line="276" w:lineRule="auto"/>
        <w:jc w:val="both"/>
        <w:rPr>
          <w:b/>
        </w:rPr>
      </w:pPr>
      <w:r w:rsidRPr="005C6774">
        <w:rPr>
          <w:b/>
        </w:rPr>
        <w:t>In-vivo Results</w:t>
      </w:r>
    </w:p>
    <w:p w14:paraId="1136C931" w14:textId="77777777" w:rsidR="002E4B24" w:rsidRPr="005C6774" w:rsidRDefault="002E4B24" w:rsidP="00C838CD">
      <w:pPr>
        <w:autoSpaceDE w:val="0"/>
        <w:autoSpaceDN w:val="0"/>
        <w:adjustRightInd w:val="0"/>
        <w:spacing w:before="240" w:line="276" w:lineRule="auto"/>
        <w:jc w:val="both"/>
        <w:rPr>
          <w:b/>
        </w:rPr>
      </w:pPr>
      <w:r w:rsidRPr="005C6774">
        <w:rPr>
          <w:noProof/>
        </w:rPr>
        <w:lastRenderedPageBreak/>
        <w:drawing>
          <wp:inline distT="0" distB="0" distL="0" distR="0" wp14:anchorId="79548CED" wp14:editId="3BAF5117">
            <wp:extent cx="5947576" cy="2911199"/>
            <wp:effectExtent l="0" t="0" r="15240" b="381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7DD11BAA" w14:textId="77777777" w:rsidR="002E4B24" w:rsidRPr="005C6774" w:rsidRDefault="002E4B24" w:rsidP="002E4B24">
      <w:pPr>
        <w:rPr>
          <w:b/>
        </w:rPr>
      </w:pPr>
      <w:r w:rsidRPr="005C6774">
        <w:rPr>
          <w:b/>
        </w:rPr>
        <w:t>Fig. 1. Body weights of animals</w:t>
      </w:r>
    </w:p>
    <w:p w14:paraId="5A1F31CE" w14:textId="77777777" w:rsidR="002E4B24" w:rsidRPr="005C6774" w:rsidRDefault="002E4B24" w:rsidP="002E4B24">
      <w:pPr>
        <w:autoSpaceDE w:val="0"/>
        <w:autoSpaceDN w:val="0"/>
        <w:adjustRightInd w:val="0"/>
        <w:spacing w:line="400" w:lineRule="atLeast"/>
      </w:pPr>
      <w:r w:rsidRPr="005C6774">
        <w:rPr>
          <w:noProof/>
        </w:rPr>
        <w:drawing>
          <wp:inline distT="0" distB="0" distL="0" distR="0" wp14:anchorId="4FC6B5E6" wp14:editId="153D0A87">
            <wp:extent cx="6507126" cy="3296093"/>
            <wp:effectExtent l="0" t="0" r="8255"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9C69F26" w14:textId="77777777" w:rsidR="002E4B24" w:rsidRPr="005C6774" w:rsidRDefault="007C00BF" w:rsidP="002E4B24">
      <w:pPr>
        <w:autoSpaceDE w:val="0"/>
        <w:autoSpaceDN w:val="0"/>
        <w:adjustRightInd w:val="0"/>
        <w:spacing w:line="400" w:lineRule="atLeast"/>
        <w:rPr>
          <w:b/>
        </w:rPr>
      </w:pPr>
      <w:r w:rsidRPr="005C6774">
        <w:rPr>
          <w:b/>
        </w:rPr>
        <w:t>Fig 2</w:t>
      </w:r>
      <w:r w:rsidR="002E4B24" w:rsidRPr="005C6774">
        <w:rPr>
          <w:b/>
        </w:rPr>
        <w:t>. Insulin levels of the animals</w:t>
      </w:r>
    </w:p>
    <w:p w14:paraId="53D4638C" w14:textId="77777777" w:rsidR="002F09EF" w:rsidRDefault="002F09EF" w:rsidP="00E22524">
      <w:pPr>
        <w:spacing w:before="100" w:beforeAutospacing="1" w:after="100" w:afterAutospacing="1"/>
        <w:ind w:left="720" w:hanging="720"/>
        <w:jc w:val="both"/>
        <w:rPr>
          <w:b/>
        </w:rPr>
      </w:pPr>
    </w:p>
    <w:p w14:paraId="15FBDDAF" w14:textId="77777777" w:rsidR="002F09EF" w:rsidRDefault="002F09EF" w:rsidP="00E22524">
      <w:pPr>
        <w:spacing w:before="100" w:beforeAutospacing="1" w:after="100" w:afterAutospacing="1"/>
        <w:ind w:left="720" w:hanging="720"/>
        <w:jc w:val="both"/>
        <w:rPr>
          <w:b/>
        </w:rPr>
      </w:pPr>
    </w:p>
    <w:p w14:paraId="7A7444A8" w14:textId="77777777" w:rsidR="002E4B24" w:rsidRPr="00DD598D" w:rsidRDefault="00645969" w:rsidP="00DD598D">
      <w:pPr>
        <w:spacing w:before="100" w:beforeAutospacing="1" w:after="100" w:afterAutospacing="1"/>
        <w:ind w:left="720" w:hanging="720"/>
        <w:jc w:val="both"/>
      </w:pPr>
      <w:r w:rsidRPr="005C6774">
        <w:rPr>
          <w:b/>
        </w:rPr>
        <w:lastRenderedPageBreak/>
        <w:t>A</w:t>
      </w:r>
      <w:r w:rsidR="002F09EF">
        <w:rPr>
          <w:noProof/>
        </w:rPr>
        <w:drawing>
          <wp:inline distT="0" distB="0" distL="0" distR="0" wp14:anchorId="61C9ABF1" wp14:editId="10D620A8">
            <wp:extent cx="2719449" cy="2116455"/>
            <wp:effectExtent l="0" t="0" r="5080" b="0"/>
            <wp:docPr id="22" name="Picture 22"/>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stretch>
                      <a:fillRect/>
                    </a:stretch>
                  </pic:blipFill>
                  <pic:spPr>
                    <a:xfrm>
                      <a:off x="0" y="0"/>
                      <a:ext cx="2736014" cy="2129347"/>
                    </a:xfrm>
                    <a:prstGeom prst="rect">
                      <a:avLst/>
                    </a:prstGeom>
                  </pic:spPr>
                </pic:pic>
              </a:graphicData>
            </a:graphic>
          </wp:inline>
        </w:drawing>
      </w:r>
      <w:r w:rsidR="00DD598D">
        <w:rPr>
          <w:b/>
        </w:rPr>
        <w:t xml:space="preserve"> B</w:t>
      </w:r>
      <w:r w:rsidR="00DD598D" w:rsidRPr="005C6774">
        <w:rPr>
          <w:noProof/>
        </w:rPr>
        <w:drawing>
          <wp:inline distT="0" distB="0" distL="0" distR="0" wp14:anchorId="01AF9A49" wp14:editId="48BEA069">
            <wp:extent cx="2818384" cy="2115879"/>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828927" cy="2123794"/>
                    </a:xfrm>
                    <a:prstGeom prst="rect">
                      <a:avLst/>
                    </a:prstGeom>
                  </pic:spPr>
                </pic:pic>
              </a:graphicData>
            </a:graphic>
          </wp:inline>
        </w:drawing>
      </w:r>
    </w:p>
    <w:p w14:paraId="597AE92D" w14:textId="77777777" w:rsidR="00645969" w:rsidRPr="005C6774" w:rsidRDefault="00645969" w:rsidP="00DD598D">
      <w:pPr>
        <w:tabs>
          <w:tab w:val="left" w:pos="720"/>
          <w:tab w:val="left" w:pos="1440"/>
          <w:tab w:val="left" w:pos="2160"/>
        </w:tabs>
        <w:autoSpaceDE w:val="0"/>
        <w:autoSpaceDN w:val="0"/>
        <w:adjustRightInd w:val="0"/>
        <w:spacing w:before="240" w:line="276" w:lineRule="auto"/>
        <w:jc w:val="both"/>
        <w:rPr>
          <w:b/>
        </w:rPr>
      </w:pPr>
      <w:r w:rsidRPr="005C6774">
        <w:rPr>
          <w:b/>
        </w:rPr>
        <w:t xml:space="preserve">C </w:t>
      </w:r>
      <w:r w:rsidRPr="005C6774">
        <w:rPr>
          <w:noProof/>
        </w:rPr>
        <w:drawing>
          <wp:inline distT="0" distB="0" distL="0" distR="0" wp14:anchorId="541CB755" wp14:editId="6CB22AE4">
            <wp:extent cx="2707574" cy="2032689"/>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729489" cy="2049141"/>
                    </a:xfrm>
                    <a:prstGeom prst="rect">
                      <a:avLst/>
                    </a:prstGeom>
                  </pic:spPr>
                </pic:pic>
              </a:graphicData>
            </a:graphic>
          </wp:inline>
        </w:drawing>
      </w:r>
      <w:r w:rsidRPr="005C6774">
        <w:rPr>
          <w:b/>
        </w:rPr>
        <w:t xml:space="preserve"> D</w:t>
      </w:r>
      <w:r w:rsidRPr="005C6774">
        <w:rPr>
          <w:noProof/>
        </w:rPr>
        <w:drawing>
          <wp:inline distT="0" distB="0" distL="0" distR="0" wp14:anchorId="0A246611" wp14:editId="316C49C2">
            <wp:extent cx="2864583" cy="21272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876126" cy="2135822"/>
                    </a:xfrm>
                    <a:prstGeom prst="rect">
                      <a:avLst/>
                    </a:prstGeom>
                  </pic:spPr>
                </pic:pic>
              </a:graphicData>
            </a:graphic>
          </wp:inline>
        </w:drawing>
      </w:r>
    </w:p>
    <w:p w14:paraId="5B503ED5" w14:textId="77777777" w:rsidR="002E4B24" w:rsidRPr="005C6774" w:rsidRDefault="00645969" w:rsidP="00C838CD">
      <w:pPr>
        <w:autoSpaceDE w:val="0"/>
        <w:autoSpaceDN w:val="0"/>
        <w:adjustRightInd w:val="0"/>
        <w:spacing w:before="240" w:line="276" w:lineRule="auto"/>
        <w:jc w:val="both"/>
        <w:rPr>
          <w:b/>
        </w:rPr>
      </w:pPr>
      <w:r w:rsidRPr="005C6774">
        <w:rPr>
          <w:b/>
        </w:rPr>
        <w:t xml:space="preserve">E </w:t>
      </w:r>
      <w:r w:rsidRPr="005C6774">
        <w:rPr>
          <w:noProof/>
        </w:rPr>
        <w:drawing>
          <wp:inline distT="0" distB="0" distL="0" distR="0" wp14:anchorId="22565811" wp14:editId="657D4DAE">
            <wp:extent cx="2683444" cy="1998648"/>
            <wp:effectExtent l="0" t="0" r="3175"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89437" cy="2003112"/>
                    </a:xfrm>
                    <a:prstGeom prst="rect">
                      <a:avLst/>
                    </a:prstGeom>
                  </pic:spPr>
                </pic:pic>
              </a:graphicData>
            </a:graphic>
          </wp:inline>
        </w:drawing>
      </w:r>
    </w:p>
    <w:p w14:paraId="30876944" w14:textId="77777777" w:rsidR="00645969" w:rsidRPr="005C6774" w:rsidRDefault="007C00BF" w:rsidP="00C838CD">
      <w:pPr>
        <w:autoSpaceDE w:val="0"/>
        <w:autoSpaceDN w:val="0"/>
        <w:adjustRightInd w:val="0"/>
        <w:spacing w:before="240" w:line="276" w:lineRule="auto"/>
        <w:jc w:val="both"/>
        <w:rPr>
          <w:b/>
        </w:rPr>
      </w:pPr>
      <w:r w:rsidRPr="005C6774">
        <w:rPr>
          <w:b/>
        </w:rPr>
        <w:t>Fig. 3</w:t>
      </w:r>
      <w:r w:rsidR="00645969" w:rsidRPr="005C6774">
        <w:rPr>
          <w:b/>
        </w:rPr>
        <w:t xml:space="preserve">:  </w:t>
      </w:r>
      <w:r w:rsidR="00645969" w:rsidRPr="005C6774">
        <w:t>Photomicrograph of pancreas; group A showing well preserved islet of Langerhans (IL), with well-preserved pancreatic acinar cells (PA), group B</w:t>
      </w:r>
      <w:r w:rsidR="00C24E18" w:rsidRPr="005C6774">
        <w:t xml:space="preserve"> showing sever inflammation of islet of Langerhans (IL), with necrosis of acinar cells (AC), group C showing well preserved acinar cells (arrow), with normal pancreatic tissue (H), group D showing mild inflammation of islet of Langerhans (IL), with normal appearance of acinar cells (AC) and group E showing mild inflammation of islet of Langerhans focal area of hemorrhage in pancreatic tissue (PA).</w:t>
      </w:r>
    </w:p>
    <w:p w14:paraId="55DE2128" w14:textId="77777777" w:rsidR="00C838CD" w:rsidRPr="005C6774" w:rsidRDefault="00C24E18">
      <w:pPr>
        <w:rPr>
          <w:b/>
          <w:i/>
        </w:rPr>
      </w:pPr>
      <w:r w:rsidRPr="005C6774">
        <w:rPr>
          <w:b/>
          <w:i/>
        </w:rPr>
        <w:lastRenderedPageBreak/>
        <w:t>In-silico results</w:t>
      </w:r>
    </w:p>
    <w:p w14:paraId="45AAD200" w14:textId="77777777" w:rsidR="00C24E18" w:rsidRPr="005C6774" w:rsidRDefault="00C24E18">
      <w:pPr>
        <w:rPr>
          <w:b/>
        </w:rPr>
      </w:pPr>
    </w:p>
    <w:p w14:paraId="45471501" w14:textId="77777777" w:rsidR="00413191" w:rsidRPr="005C6774" w:rsidRDefault="00866AF3">
      <w:pPr>
        <w:rPr>
          <w:b/>
        </w:rPr>
      </w:pPr>
      <w:r w:rsidRPr="005C6774">
        <w:rPr>
          <w:b/>
        </w:rPr>
        <w:t>Tab</w:t>
      </w:r>
      <w:r w:rsidR="007C00BF" w:rsidRPr="005C6774">
        <w:rPr>
          <w:b/>
        </w:rPr>
        <w:t xml:space="preserve">le 3: Binding affinity of the bioactive compounds of </w:t>
      </w:r>
      <w:r w:rsidR="007C00BF" w:rsidRPr="005C6774">
        <w:rPr>
          <w:b/>
          <w:i/>
        </w:rPr>
        <w:t>Brassica oleracea</w:t>
      </w:r>
      <w:r w:rsidR="007C00BF" w:rsidRPr="005C6774">
        <w:rPr>
          <w:b/>
        </w:rPr>
        <w:t xml:space="preserve"> with </w:t>
      </w:r>
      <w:r w:rsidR="007C00BF" w:rsidRPr="005C6774">
        <w:rPr>
          <w:b/>
          <w:iCs/>
          <w:color w:val="000000" w:themeColor="text1"/>
        </w:rPr>
        <w:t>Metallothioneins-1</w:t>
      </w:r>
      <w:r w:rsidR="007C00BF" w:rsidRPr="005C6774">
        <w:rPr>
          <w:b/>
        </w:rPr>
        <w:t xml:space="preserve"> </w:t>
      </w:r>
      <w:r w:rsidR="006F5E97" w:rsidRPr="005C6774">
        <w:rPr>
          <w:b/>
        </w:rPr>
        <w:t xml:space="preserve">target </w:t>
      </w:r>
      <w:r w:rsidR="007C00BF" w:rsidRPr="005C6774">
        <w:rPr>
          <w:b/>
        </w:rPr>
        <w:t xml:space="preserve">(PDB: </w:t>
      </w:r>
      <w:r w:rsidR="00B031CE" w:rsidRPr="005C6774">
        <w:rPr>
          <w:b/>
        </w:rPr>
        <w:t>1MHU</w:t>
      </w:r>
      <w:r w:rsidR="007C00BF" w:rsidRPr="005C6774">
        <w:rPr>
          <w:b/>
        </w:rPr>
        <w:t>)</w:t>
      </w:r>
    </w:p>
    <w:p w14:paraId="52FD9A62" w14:textId="77777777" w:rsidR="007C00BF" w:rsidRPr="005C6774" w:rsidRDefault="007C00BF">
      <w:pPr>
        <w:rPr>
          <w:b/>
        </w:rPr>
      </w:pPr>
    </w:p>
    <w:tbl>
      <w:tblPr>
        <w:tblW w:w="9180" w:type="dxa"/>
        <w:tblBorders>
          <w:top w:val="single" w:sz="4" w:space="0" w:color="auto"/>
          <w:bottom w:val="single" w:sz="4" w:space="0" w:color="auto"/>
        </w:tblBorders>
        <w:tblLook w:val="04A0" w:firstRow="1" w:lastRow="0" w:firstColumn="1" w:lastColumn="0" w:noHBand="0" w:noVBand="1"/>
      </w:tblPr>
      <w:tblGrid>
        <w:gridCol w:w="4135"/>
        <w:gridCol w:w="1985"/>
        <w:gridCol w:w="3060"/>
      </w:tblGrid>
      <w:tr w:rsidR="009C1CD9" w:rsidRPr="005C6774" w14:paraId="32944793" w14:textId="77777777" w:rsidTr="00800186">
        <w:trPr>
          <w:trHeight w:val="300"/>
        </w:trPr>
        <w:tc>
          <w:tcPr>
            <w:tcW w:w="4135" w:type="dxa"/>
            <w:tcBorders>
              <w:top w:val="single" w:sz="4" w:space="0" w:color="auto"/>
              <w:bottom w:val="single" w:sz="4" w:space="0" w:color="auto"/>
            </w:tcBorders>
            <w:vAlign w:val="center"/>
          </w:tcPr>
          <w:p w14:paraId="66188554" w14:textId="77777777" w:rsidR="009C1CD9" w:rsidRPr="005C6774" w:rsidRDefault="00A961D4" w:rsidP="00800186">
            <w:pPr>
              <w:rPr>
                <w:b/>
                <w:color w:val="000000"/>
              </w:rPr>
            </w:pPr>
            <w:r w:rsidRPr="005C6774">
              <w:rPr>
                <w:b/>
                <w:color w:val="000000"/>
              </w:rPr>
              <w:t>Ligands</w:t>
            </w:r>
          </w:p>
        </w:tc>
        <w:tc>
          <w:tcPr>
            <w:tcW w:w="1985" w:type="dxa"/>
            <w:tcBorders>
              <w:top w:val="single" w:sz="4" w:space="0" w:color="auto"/>
              <w:bottom w:val="single" w:sz="4" w:space="0" w:color="auto"/>
            </w:tcBorders>
            <w:noWrap/>
            <w:vAlign w:val="center"/>
            <w:hideMark/>
          </w:tcPr>
          <w:p w14:paraId="55BFDEA7" w14:textId="77777777" w:rsidR="009C1CD9" w:rsidRPr="005C6774" w:rsidRDefault="009C1CD9" w:rsidP="00800186">
            <w:pPr>
              <w:rPr>
                <w:b/>
                <w:color w:val="000000"/>
              </w:rPr>
            </w:pPr>
            <w:r w:rsidRPr="005C6774">
              <w:rPr>
                <w:b/>
                <w:color w:val="000000"/>
              </w:rPr>
              <w:t>PubChem CID</w:t>
            </w:r>
          </w:p>
        </w:tc>
        <w:tc>
          <w:tcPr>
            <w:tcW w:w="3060" w:type="dxa"/>
            <w:tcBorders>
              <w:top w:val="single" w:sz="4" w:space="0" w:color="auto"/>
              <w:bottom w:val="single" w:sz="4" w:space="0" w:color="auto"/>
            </w:tcBorders>
            <w:noWrap/>
            <w:vAlign w:val="center"/>
            <w:hideMark/>
          </w:tcPr>
          <w:p w14:paraId="3CCD7F2A" w14:textId="77777777" w:rsidR="009C1CD9" w:rsidRPr="005C6774" w:rsidRDefault="009C1CD9" w:rsidP="00800186">
            <w:pPr>
              <w:rPr>
                <w:b/>
                <w:color w:val="000000"/>
              </w:rPr>
            </w:pPr>
            <w:r w:rsidRPr="005C6774">
              <w:rPr>
                <w:b/>
                <w:color w:val="000000"/>
              </w:rPr>
              <w:t>Binding Affinity (Kcal/mol)</w:t>
            </w:r>
          </w:p>
        </w:tc>
      </w:tr>
      <w:tr w:rsidR="009C1CD9" w:rsidRPr="005C6774" w14:paraId="4DA51644" w14:textId="77777777" w:rsidTr="00800186">
        <w:trPr>
          <w:trHeight w:val="300"/>
        </w:trPr>
        <w:tc>
          <w:tcPr>
            <w:tcW w:w="4135" w:type="dxa"/>
            <w:tcBorders>
              <w:top w:val="single" w:sz="4" w:space="0" w:color="auto"/>
            </w:tcBorders>
            <w:vAlign w:val="center"/>
          </w:tcPr>
          <w:p w14:paraId="7D8A99A8" w14:textId="77777777" w:rsidR="009C1CD9" w:rsidRPr="005C6774" w:rsidRDefault="009C1CD9" w:rsidP="00800186">
            <w:pPr>
              <w:autoSpaceDE w:val="0"/>
              <w:autoSpaceDN w:val="0"/>
              <w:adjustRightInd w:val="0"/>
            </w:pPr>
            <w:r w:rsidRPr="005C6774">
              <w:t>Deferasirox (Control)</w:t>
            </w:r>
          </w:p>
        </w:tc>
        <w:tc>
          <w:tcPr>
            <w:tcW w:w="1985" w:type="dxa"/>
            <w:tcBorders>
              <w:top w:val="single" w:sz="4" w:space="0" w:color="auto"/>
            </w:tcBorders>
            <w:noWrap/>
            <w:vAlign w:val="center"/>
          </w:tcPr>
          <w:p w14:paraId="4935B845" w14:textId="77777777" w:rsidR="009C1CD9" w:rsidRPr="005C6774" w:rsidRDefault="009C1CD9" w:rsidP="00800186">
            <w:pPr>
              <w:autoSpaceDE w:val="0"/>
              <w:autoSpaceDN w:val="0"/>
              <w:adjustRightInd w:val="0"/>
            </w:pPr>
            <w:r w:rsidRPr="005C6774">
              <w:t>214348</w:t>
            </w:r>
          </w:p>
        </w:tc>
        <w:tc>
          <w:tcPr>
            <w:tcW w:w="3060" w:type="dxa"/>
            <w:tcBorders>
              <w:top w:val="single" w:sz="4" w:space="0" w:color="auto"/>
            </w:tcBorders>
            <w:noWrap/>
            <w:vAlign w:val="center"/>
          </w:tcPr>
          <w:p w14:paraId="2CEAFAD2" w14:textId="77777777" w:rsidR="009C1CD9" w:rsidRPr="005C6774" w:rsidRDefault="009C1CD9" w:rsidP="00800186">
            <w:pPr>
              <w:rPr>
                <w:color w:val="000000"/>
              </w:rPr>
            </w:pPr>
            <w:r w:rsidRPr="005C6774">
              <w:rPr>
                <w:color w:val="000000"/>
              </w:rPr>
              <w:t>-5.9</w:t>
            </w:r>
          </w:p>
        </w:tc>
      </w:tr>
      <w:tr w:rsidR="009C1CD9" w:rsidRPr="005C6774" w14:paraId="58147160" w14:textId="77777777" w:rsidTr="00800186">
        <w:trPr>
          <w:trHeight w:val="300"/>
        </w:trPr>
        <w:tc>
          <w:tcPr>
            <w:tcW w:w="4135" w:type="dxa"/>
            <w:vAlign w:val="center"/>
          </w:tcPr>
          <w:p w14:paraId="51540F96" w14:textId="77777777" w:rsidR="009C1CD9" w:rsidRPr="005C6774" w:rsidRDefault="009C1CD9" w:rsidP="00800186">
            <w:pPr>
              <w:rPr>
                <w:color w:val="000000"/>
              </w:rPr>
            </w:pPr>
            <w:r w:rsidRPr="005C6774">
              <w:rPr>
                <w:color w:val="000000"/>
              </w:rPr>
              <w:t>Neoxanthin</w:t>
            </w:r>
          </w:p>
        </w:tc>
        <w:tc>
          <w:tcPr>
            <w:tcW w:w="1985" w:type="dxa"/>
            <w:noWrap/>
            <w:vAlign w:val="center"/>
            <w:hideMark/>
          </w:tcPr>
          <w:p w14:paraId="20E6C203" w14:textId="77777777" w:rsidR="009C1CD9" w:rsidRPr="005C6774" w:rsidRDefault="009C1CD9" w:rsidP="00800186">
            <w:pPr>
              <w:rPr>
                <w:color w:val="000000"/>
              </w:rPr>
            </w:pPr>
            <w:r w:rsidRPr="005C6774">
              <w:rPr>
                <w:color w:val="000000"/>
              </w:rPr>
              <w:t>5282217</w:t>
            </w:r>
          </w:p>
        </w:tc>
        <w:tc>
          <w:tcPr>
            <w:tcW w:w="3060" w:type="dxa"/>
            <w:noWrap/>
            <w:vAlign w:val="center"/>
            <w:hideMark/>
          </w:tcPr>
          <w:p w14:paraId="4FADC2BB" w14:textId="77777777" w:rsidR="009C1CD9" w:rsidRPr="005C6774" w:rsidRDefault="009C1CD9" w:rsidP="00800186">
            <w:pPr>
              <w:rPr>
                <w:color w:val="000000"/>
              </w:rPr>
            </w:pPr>
            <w:r w:rsidRPr="005C6774">
              <w:rPr>
                <w:color w:val="000000"/>
              </w:rPr>
              <w:t>-5.8</w:t>
            </w:r>
          </w:p>
        </w:tc>
      </w:tr>
      <w:tr w:rsidR="009C1CD9" w:rsidRPr="005C6774" w14:paraId="0CB94495" w14:textId="77777777" w:rsidTr="00800186">
        <w:trPr>
          <w:trHeight w:val="300"/>
        </w:trPr>
        <w:tc>
          <w:tcPr>
            <w:tcW w:w="4135" w:type="dxa"/>
            <w:vAlign w:val="center"/>
          </w:tcPr>
          <w:p w14:paraId="234E49DE" w14:textId="77777777" w:rsidR="009C1CD9" w:rsidRPr="005C6774" w:rsidRDefault="009C1CD9" w:rsidP="00800186">
            <w:pPr>
              <w:rPr>
                <w:color w:val="000000"/>
              </w:rPr>
            </w:pPr>
            <w:r w:rsidRPr="005C6774">
              <w:rPr>
                <w:color w:val="000000"/>
              </w:rPr>
              <w:t>Kaempferol</w:t>
            </w:r>
            <w:r w:rsidR="00062065" w:rsidRPr="005C6774">
              <w:rPr>
                <w:color w:val="000000"/>
              </w:rPr>
              <w:t>-3-sophoroside-7-glucoside</w:t>
            </w:r>
          </w:p>
        </w:tc>
        <w:tc>
          <w:tcPr>
            <w:tcW w:w="1985" w:type="dxa"/>
            <w:noWrap/>
            <w:vAlign w:val="center"/>
            <w:hideMark/>
          </w:tcPr>
          <w:p w14:paraId="0D7482E6" w14:textId="77777777" w:rsidR="009C1CD9" w:rsidRPr="005C6774" w:rsidRDefault="009C1CD9" w:rsidP="00800186">
            <w:pPr>
              <w:rPr>
                <w:color w:val="000000"/>
              </w:rPr>
            </w:pPr>
            <w:r w:rsidRPr="005C6774">
              <w:rPr>
                <w:color w:val="000000"/>
              </w:rPr>
              <w:t>12960459</w:t>
            </w:r>
          </w:p>
        </w:tc>
        <w:tc>
          <w:tcPr>
            <w:tcW w:w="3060" w:type="dxa"/>
            <w:noWrap/>
            <w:vAlign w:val="center"/>
            <w:hideMark/>
          </w:tcPr>
          <w:p w14:paraId="49CE5C57" w14:textId="77777777" w:rsidR="009C1CD9" w:rsidRPr="005C6774" w:rsidRDefault="009C1CD9" w:rsidP="00800186">
            <w:pPr>
              <w:rPr>
                <w:color w:val="000000"/>
              </w:rPr>
            </w:pPr>
            <w:r w:rsidRPr="005C6774">
              <w:rPr>
                <w:color w:val="000000"/>
              </w:rPr>
              <w:t>-5.7</w:t>
            </w:r>
          </w:p>
        </w:tc>
      </w:tr>
      <w:tr w:rsidR="009C1CD9" w:rsidRPr="005C6774" w14:paraId="28BB0C44" w14:textId="77777777" w:rsidTr="00800186">
        <w:trPr>
          <w:trHeight w:val="300"/>
        </w:trPr>
        <w:tc>
          <w:tcPr>
            <w:tcW w:w="4135" w:type="dxa"/>
            <w:vAlign w:val="center"/>
          </w:tcPr>
          <w:p w14:paraId="3A88CCD7" w14:textId="77777777" w:rsidR="009C1CD9" w:rsidRPr="005C6774" w:rsidRDefault="009C1CD9" w:rsidP="00800186">
            <w:pPr>
              <w:rPr>
                <w:color w:val="000000"/>
              </w:rPr>
            </w:pPr>
            <w:r w:rsidRPr="005C6774">
              <w:rPr>
                <w:color w:val="000000"/>
              </w:rPr>
              <w:t>Quercetin-3-sophoroside-7-glucoside</w:t>
            </w:r>
          </w:p>
        </w:tc>
        <w:tc>
          <w:tcPr>
            <w:tcW w:w="1985" w:type="dxa"/>
            <w:noWrap/>
            <w:vAlign w:val="center"/>
            <w:hideMark/>
          </w:tcPr>
          <w:p w14:paraId="2D271D3D" w14:textId="77777777" w:rsidR="009C1CD9" w:rsidRPr="005C6774" w:rsidRDefault="009C1CD9" w:rsidP="00800186">
            <w:pPr>
              <w:rPr>
                <w:color w:val="000000"/>
              </w:rPr>
            </w:pPr>
            <w:r w:rsidRPr="005C6774">
              <w:rPr>
                <w:color w:val="000000"/>
              </w:rPr>
              <w:t>44259167</w:t>
            </w:r>
          </w:p>
        </w:tc>
        <w:tc>
          <w:tcPr>
            <w:tcW w:w="3060" w:type="dxa"/>
            <w:noWrap/>
            <w:vAlign w:val="center"/>
            <w:hideMark/>
          </w:tcPr>
          <w:p w14:paraId="50996B6D" w14:textId="77777777" w:rsidR="009C1CD9" w:rsidRPr="005C6774" w:rsidRDefault="009C1CD9" w:rsidP="00800186">
            <w:pPr>
              <w:rPr>
                <w:color w:val="000000"/>
              </w:rPr>
            </w:pPr>
            <w:r w:rsidRPr="005C6774">
              <w:rPr>
                <w:color w:val="000000"/>
              </w:rPr>
              <w:t>-5.6</w:t>
            </w:r>
          </w:p>
        </w:tc>
      </w:tr>
      <w:tr w:rsidR="009C1CD9" w:rsidRPr="005C6774" w14:paraId="69A1C26F" w14:textId="77777777" w:rsidTr="00800186">
        <w:trPr>
          <w:trHeight w:val="300"/>
        </w:trPr>
        <w:tc>
          <w:tcPr>
            <w:tcW w:w="4135" w:type="dxa"/>
            <w:vAlign w:val="center"/>
          </w:tcPr>
          <w:p w14:paraId="2AD2541D" w14:textId="77777777" w:rsidR="009C1CD9" w:rsidRPr="005C6774" w:rsidRDefault="009C1CD9" w:rsidP="00800186">
            <w:pPr>
              <w:rPr>
                <w:color w:val="000000"/>
              </w:rPr>
            </w:pPr>
            <w:r w:rsidRPr="005C6774">
              <w:rPr>
                <w:color w:val="000000"/>
              </w:rPr>
              <w:t>Rutin</w:t>
            </w:r>
          </w:p>
        </w:tc>
        <w:tc>
          <w:tcPr>
            <w:tcW w:w="1985" w:type="dxa"/>
            <w:noWrap/>
            <w:vAlign w:val="center"/>
            <w:hideMark/>
          </w:tcPr>
          <w:p w14:paraId="61F193FB" w14:textId="77777777" w:rsidR="009C1CD9" w:rsidRPr="005C6774" w:rsidRDefault="009C1CD9" w:rsidP="00800186">
            <w:pPr>
              <w:rPr>
                <w:color w:val="000000"/>
              </w:rPr>
            </w:pPr>
            <w:r w:rsidRPr="005C6774">
              <w:rPr>
                <w:color w:val="000000"/>
              </w:rPr>
              <w:t>5280805</w:t>
            </w:r>
          </w:p>
        </w:tc>
        <w:tc>
          <w:tcPr>
            <w:tcW w:w="3060" w:type="dxa"/>
            <w:noWrap/>
            <w:vAlign w:val="center"/>
            <w:hideMark/>
          </w:tcPr>
          <w:p w14:paraId="0BC6EDE9" w14:textId="77777777" w:rsidR="009C1CD9" w:rsidRPr="005C6774" w:rsidRDefault="009C1CD9" w:rsidP="00800186">
            <w:pPr>
              <w:rPr>
                <w:color w:val="000000"/>
              </w:rPr>
            </w:pPr>
            <w:r w:rsidRPr="005C6774">
              <w:rPr>
                <w:color w:val="000000"/>
              </w:rPr>
              <w:t>-5.6</w:t>
            </w:r>
          </w:p>
        </w:tc>
      </w:tr>
      <w:tr w:rsidR="009C1CD9" w:rsidRPr="005C6774" w14:paraId="324750CD" w14:textId="77777777" w:rsidTr="00800186">
        <w:trPr>
          <w:trHeight w:val="300"/>
        </w:trPr>
        <w:tc>
          <w:tcPr>
            <w:tcW w:w="4135" w:type="dxa"/>
            <w:vAlign w:val="center"/>
          </w:tcPr>
          <w:p w14:paraId="7DACFE67" w14:textId="77777777" w:rsidR="009C1CD9" w:rsidRPr="005C6774" w:rsidRDefault="009C1CD9" w:rsidP="00800186">
            <w:pPr>
              <w:rPr>
                <w:color w:val="000000"/>
              </w:rPr>
            </w:pPr>
            <w:proofErr w:type="spellStart"/>
            <w:r w:rsidRPr="005C6774">
              <w:rPr>
                <w:color w:val="000000"/>
              </w:rPr>
              <w:t>Glucobrassicin</w:t>
            </w:r>
            <w:proofErr w:type="spellEnd"/>
          </w:p>
        </w:tc>
        <w:tc>
          <w:tcPr>
            <w:tcW w:w="1985" w:type="dxa"/>
            <w:noWrap/>
            <w:vAlign w:val="center"/>
            <w:hideMark/>
          </w:tcPr>
          <w:p w14:paraId="70A8ACB3" w14:textId="77777777" w:rsidR="009C1CD9" w:rsidRPr="005C6774" w:rsidRDefault="009C1CD9" w:rsidP="00800186">
            <w:pPr>
              <w:rPr>
                <w:color w:val="000000"/>
              </w:rPr>
            </w:pPr>
            <w:r w:rsidRPr="005C6774">
              <w:rPr>
                <w:color w:val="000000"/>
              </w:rPr>
              <w:t>6602378</w:t>
            </w:r>
          </w:p>
        </w:tc>
        <w:tc>
          <w:tcPr>
            <w:tcW w:w="3060" w:type="dxa"/>
            <w:noWrap/>
            <w:vAlign w:val="center"/>
            <w:hideMark/>
          </w:tcPr>
          <w:p w14:paraId="11F655D4" w14:textId="77777777" w:rsidR="009C1CD9" w:rsidRPr="005C6774" w:rsidRDefault="009C1CD9" w:rsidP="00800186">
            <w:pPr>
              <w:rPr>
                <w:color w:val="000000"/>
              </w:rPr>
            </w:pPr>
            <w:r w:rsidRPr="005C6774">
              <w:rPr>
                <w:color w:val="000000"/>
              </w:rPr>
              <w:t>-5.1</w:t>
            </w:r>
          </w:p>
        </w:tc>
      </w:tr>
      <w:tr w:rsidR="009C1CD9" w:rsidRPr="005C6774" w14:paraId="1F7759A2" w14:textId="77777777" w:rsidTr="00800186">
        <w:trPr>
          <w:trHeight w:val="300"/>
        </w:trPr>
        <w:tc>
          <w:tcPr>
            <w:tcW w:w="4135" w:type="dxa"/>
            <w:vAlign w:val="center"/>
          </w:tcPr>
          <w:p w14:paraId="74F39772" w14:textId="77777777" w:rsidR="009C1CD9" w:rsidRPr="005C6774" w:rsidRDefault="009C1CD9" w:rsidP="00800186">
            <w:pPr>
              <w:autoSpaceDE w:val="0"/>
              <w:autoSpaceDN w:val="0"/>
              <w:adjustRightInd w:val="0"/>
            </w:pPr>
            <w:r w:rsidRPr="005C6774">
              <w:t>Deferoxamine (Control)</w:t>
            </w:r>
          </w:p>
        </w:tc>
        <w:tc>
          <w:tcPr>
            <w:tcW w:w="1985" w:type="dxa"/>
            <w:noWrap/>
            <w:vAlign w:val="center"/>
          </w:tcPr>
          <w:p w14:paraId="4005DB7D" w14:textId="77777777" w:rsidR="009C1CD9" w:rsidRPr="005C6774" w:rsidRDefault="009C1CD9" w:rsidP="00800186">
            <w:pPr>
              <w:autoSpaceDE w:val="0"/>
              <w:autoSpaceDN w:val="0"/>
              <w:adjustRightInd w:val="0"/>
            </w:pPr>
            <w:r w:rsidRPr="005C6774">
              <w:t>2973</w:t>
            </w:r>
          </w:p>
        </w:tc>
        <w:tc>
          <w:tcPr>
            <w:tcW w:w="3060" w:type="dxa"/>
            <w:noWrap/>
            <w:vAlign w:val="center"/>
          </w:tcPr>
          <w:p w14:paraId="3BC2139E" w14:textId="77777777" w:rsidR="009C1CD9" w:rsidRPr="005C6774" w:rsidRDefault="009C1CD9" w:rsidP="00800186">
            <w:pPr>
              <w:rPr>
                <w:color w:val="000000"/>
              </w:rPr>
            </w:pPr>
            <w:r w:rsidRPr="005C6774">
              <w:rPr>
                <w:color w:val="000000"/>
              </w:rPr>
              <w:t>-3.9</w:t>
            </w:r>
          </w:p>
        </w:tc>
      </w:tr>
    </w:tbl>
    <w:p w14:paraId="40B66F66" w14:textId="77777777" w:rsidR="00736B76" w:rsidRPr="005C6774" w:rsidRDefault="00736B76"/>
    <w:p w14:paraId="31DC63D6" w14:textId="77777777" w:rsidR="00736B76" w:rsidRPr="005C6774" w:rsidRDefault="00736B76">
      <w:r w:rsidRPr="005C6774">
        <w:rPr>
          <w:noProof/>
        </w:rPr>
        <w:drawing>
          <wp:inline distT="0" distB="0" distL="0" distR="0" wp14:anchorId="1319ED52" wp14:editId="64B225D9">
            <wp:extent cx="3349256" cy="2238871"/>
            <wp:effectExtent l="0" t="0" r="3810" b="9525"/>
            <wp:docPr id="1" name="Picture 1" descr="C:\Users\user\Documents\DR STANLEY COOU\DOCKING RESULTS\Binding interaction images\2D 5282217 binding interactions with 1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DR STANLEY COOU\DOCKING RESULTS\Binding interaction images\2D 5282217 binding interactions with 1mhu for Brassica Pancrease.png"/>
                    <pic:cNvPicPr>
                      <a:picLocks noChangeAspect="1" noChangeArrowheads="1"/>
                    </pic:cNvPicPr>
                  </pic:nvPicPr>
                  <pic:blipFill rotWithShape="1">
                    <a:blip r:embed="rId15">
                      <a:extLst>
                        <a:ext uri="{28A0092B-C50C-407E-A947-70E740481C1C}">
                          <a14:useLocalDpi xmlns:a14="http://schemas.microsoft.com/office/drawing/2010/main" val="0"/>
                        </a:ext>
                      </a:extLst>
                    </a:blip>
                    <a:srcRect t="39576" r="9609"/>
                    <a:stretch/>
                  </pic:blipFill>
                  <pic:spPr bwMode="auto">
                    <a:xfrm>
                      <a:off x="0" y="0"/>
                      <a:ext cx="3408139" cy="2278233"/>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002F09EF" w:rsidRPr="005C6774">
        <w:rPr>
          <w:noProof/>
        </w:rPr>
        <w:drawing>
          <wp:inline distT="0" distB="0" distL="0" distR="0" wp14:anchorId="2162E57A" wp14:editId="6A0A4585">
            <wp:extent cx="2428148" cy="2248889"/>
            <wp:effectExtent l="0" t="0" r="0" b="0"/>
            <wp:docPr id="2" name="Picture 2" descr="C:\Users\user\Documents\DR STANLEY COOU\DOCKING RESULTS\Binding interaction images\3D 5282217 binding interactions with 1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DR STANLEY COOU\DOCKING RESULTS\Binding interaction images\3D 5282217 binding interactions with 1mhu for Brassica Pancrease.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9798" t="47659" b="6187"/>
                    <a:stretch/>
                  </pic:blipFill>
                  <pic:spPr bwMode="auto">
                    <a:xfrm>
                      <a:off x="0" y="0"/>
                      <a:ext cx="2432878" cy="2253270"/>
                    </a:xfrm>
                    <a:prstGeom prst="rect">
                      <a:avLst/>
                    </a:prstGeom>
                    <a:noFill/>
                    <a:ln>
                      <a:noFill/>
                    </a:ln>
                    <a:extLst>
                      <a:ext uri="{53640926-AAD7-44D8-BBD7-CCE9431645EC}">
                        <a14:shadowObscured xmlns:a14="http://schemas.microsoft.com/office/drawing/2010/main"/>
                      </a:ext>
                    </a:extLst>
                  </pic:spPr>
                </pic:pic>
              </a:graphicData>
            </a:graphic>
          </wp:inline>
        </w:drawing>
      </w:r>
    </w:p>
    <w:p w14:paraId="6EEEE307" w14:textId="77777777" w:rsidR="00736B76" w:rsidRPr="005C6774" w:rsidRDefault="00736B76"/>
    <w:p w14:paraId="5D887F06" w14:textId="77777777" w:rsidR="009138BE" w:rsidRPr="005C6774" w:rsidRDefault="009138BE" w:rsidP="009138BE">
      <w:pPr>
        <w:rPr>
          <w:b/>
        </w:rPr>
      </w:pPr>
      <w:r w:rsidRPr="005C6774">
        <w:rPr>
          <w:b/>
        </w:rPr>
        <w:t xml:space="preserve">Fig 4: 2D and 3D binding interactions of </w:t>
      </w:r>
      <w:r w:rsidRPr="005C6774">
        <w:rPr>
          <w:b/>
          <w:color w:val="000000"/>
        </w:rPr>
        <w:t>Neoxanthin</w:t>
      </w:r>
      <w:r w:rsidRPr="005C6774">
        <w:rPr>
          <w:b/>
        </w:rPr>
        <w:t xml:space="preserve"> with </w:t>
      </w:r>
      <w:r w:rsidRPr="005C6774">
        <w:rPr>
          <w:b/>
          <w:iCs/>
          <w:color w:val="000000" w:themeColor="text1"/>
        </w:rPr>
        <w:t>Metallothioneins-1</w:t>
      </w:r>
      <w:r w:rsidR="006F5E97" w:rsidRPr="005C6774">
        <w:rPr>
          <w:b/>
          <w:iCs/>
          <w:color w:val="000000" w:themeColor="text1"/>
        </w:rPr>
        <w:t xml:space="preserve"> target</w:t>
      </w:r>
      <w:r w:rsidRPr="005C6774">
        <w:rPr>
          <w:b/>
        </w:rPr>
        <w:t xml:space="preserve"> (PDB: 1MHU)</w:t>
      </w:r>
    </w:p>
    <w:p w14:paraId="587DF034" w14:textId="77777777" w:rsidR="009138BE" w:rsidRPr="005C6774" w:rsidRDefault="009138BE"/>
    <w:p w14:paraId="7274F1B9" w14:textId="77777777" w:rsidR="00C60AE2" w:rsidRPr="005C6774" w:rsidRDefault="007C00BF">
      <w:pPr>
        <w:rPr>
          <w:b/>
        </w:rPr>
      </w:pPr>
      <w:r w:rsidRPr="005C6774">
        <w:rPr>
          <w:b/>
        </w:rPr>
        <w:t xml:space="preserve">Table 4: Binding affinity of the bioactive compounds of </w:t>
      </w:r>
      <w:r w:rsidRPr="005C6774">
        <w:rPr>
          <w:b/>
          <w:i/>
        </w:rPr>
        <w:t>Brassica oleracea</w:t>
      </w:r>
      <w:r w:rsidRPr="005C6774">
        <w:rPr>
          <w:b/>
        </w:rPr>
        <w:t xml:space="preserve"> with </w:t>
      </w:r>
      <w:r w:rsidRPr="005C6774">
        <w:rPr>
          <w:b/>
          <w:iCs/>
          <w:color w:val="000000" w:themeColor="text1"/>
        </w:rPr>
        <w:t>Metallothioneins-2</w:t>
      </w:r>
      <w:r w:rsidR="006F5E97" w:rsidRPr="005C6774">
        <w:rPr>
          <w:b/>
        </w:rPr>
        <w:t xml:space="preserve"> target </w:t>
      </w:r>
      <w:r w:rsidRPr="005C6774">
        <w:rPr>
          <w:b/>
        </w:rPr>
        <w:t xml:space="preserve">(PDB: </w:t>
      </w:r>
      <w:r w:rsidR="00C60AE2" w:rsidRPr="005C6774">
        <w:rPr>
          <w:b/>
        </w:rPr>
        <w:t>2MHU</w:t>
      </w:r>
      <w:r w:rsidRPr="005C6774">
        <w:rPr>
          <w:b/>
        </w:rPr>
        <w:t>)</w:t>
      </w:r>
    </w:p>
    <w:p w14:paraId="0B6A498F" w14:textId="77777777" w:rsidR="007C00BF" w:rsidRPr="005C6774" w:rsidRDefault="007C00BF">
      <w:pPr>
        <w:rPr>
          <w:b/>
        </w:rPr>
      </w:pPr>
    </w:p>
    <w:tbl>
      <w:tblPr>
        <w:tblW w:w="9990" w:type="dxa"/>
        <w:tblBorders>
          <w:top w:val="single" w:sz="4" w:space="0" w:color="auto"/>
          <w:bottom w:val="single" w:sz="4" w:space="0" w:color="auto"/>
        </w:tblBorders>
        <w:tblLook w:val="04A0" w:firstRow="1" w:lastRow="0" w:firstColumn="1" w:lastColumn="0" w:noHBand="0" w:noVBand="1"/>
      </w:tblPr>
      <w:tblGrid>
        <w:gridCol w:w="3985"/>
        <w:gridCol w:w="2580"/>
        <w:gridCol w:w="3425"/>
      </w:tblGrid>
      <w:tr w:rsidR="009C1CD9" w:rsidRPr="005C6774" w14:paraId="27BBAF33" w14:textId="77777777" w:rsidTr="00FD4C8C">
        <w:trPr>
          <w:trHeight w:val="300"/>
        </w:trPr>
        <w:tc>
          <w:tcPr>
            <w:tcW w:w="3985" w:type="dxa"/>
            <w:tcBorders>
              <w:top w:val="single" w:sz="4" w:space="0" w:color="auto"/>
              <w:bottom w:val="single" w:sz="4" w:space="0" w:color="auto"/>
            </w:tcBorders>
            <w:vAlign w:val="center"/>
          </w:tcPr>
          <w:p w14:paraId="0794B677" w14:textId="77777777" w:rsidR="009C1CD9" w:rsidRPr="005C6774" w:rsidRDefault="00A961D4" w:rsidP="00FD4C8C">
            <w:pPr>
              <w:rPr>
                <w:b/>
                <w:color w:val="000000"/>
              </w:rPr>
            </w:pPr>
            <w:r w:rsidRPr="005C6774">
              <w:rPr>
                <w:b/>
                <w:color w:val="000000"/>
              </w:rPr>
              <w:t>Ligands</w:t>
            </w:r>
          </w:p>
        </w:tc>
        <w:tc>
          <w:tcPr>
            <w:tcW w:w="2580" w:type="dxa"/>
            <w:tcBorders>
              <w:top w:val="single" w:sz="4" w:space="0" w:color="auto"/>
              <w:bottom w:val="single" w:sz="4" w:space="0" w:color="auto"/>
            </w:tcBorders>
            <w:noWrap/>
            <w:vAlign w:val="center"/>
            <w:hideMark/>
          </w:tcPr>
          <w:p w14:paraId="6F289997" w14:textId="77777777" w:rsidR="009C1CD9" w:rsidRPr="005C6774" w:rsidRDefault="009C1CD9" w:rsidP="00FD4C8C">
            <w:pPr>
              <w:rPr>
                <w:b/>
                <w:color w:val="000000"/>
              </w:rPr>
            </w:pPr>
            <w:r w:rsidRPr="005C6774">
              <w:rPr>
                <w:b/>
                <w:color w:val="000000"/>
              </w:rPr>
              <w:t>PubChem CID</w:t>
            </w:r>
          </w:p>
        </w:tc>
        <w:tc>
          <w:tcPr>
            <w:tcW w:w="3425" w:type="dxa"/>
            <w:tcBorders>
              <w:top w:val="single" w:sz="4" w:space="0" w:color="auto"/>
              <w:bottom w:val="single" w:sz="4" w:space="0" w:color="auto"/>
            </w:tcBorders>
            <w:noWrap/>
            <w:vAlign w:val="center"/>
            <w:hideMark/>
          </w:tcPr>
          <w:p w14:paraId="03993610" w14:textId="77777777" w:rsidR="009C1CD9" w:rsidRPr="005C6774" w:rsidRDefault="009C1CD9" w:rsidP="00FD4C8C">
            <w:pPr>
              <w:rPr>
                <w:b/>
                <w:color w:val="000000"/>
              </w:rPr>
            </w:pPr>
            <w:r w:rsidRPr="005C6774">
              <w:rPr>
                <w:b/>
                <w:color w:val="000000"/>
              </w:rPr>
              <w:t>Binding Affinity (Kcal/mol)</w:t>
            </w:r>
          </w:p>
        </w:tc>
      </w:tr>
      <w:tr w:rsidR="009C1CD9" w:rsidRPr="005C6774" w14:paraId="49B8DC43" w14:textId="77777777" w:rsidTr="00FD4C8C">
        <w:trPr>
          <w:trHeight w:val="300"/>
        </w:trPr>
        <w:tc>
          <w:tcPr>
            <w:tcW w:w="3985" w:type="dxa"/>
            <w:tcBorders>
              <w:top w:val="single" w:sz="4" w:space="0" w:color="auto"/>
            </w:tcBorders>
            <w:vAlign w:val="center"/>
          </w:tcPr>
          <w:p w14:paraId="663CF185" w14:textId="77777777" w:rsidR="009C1CD9" w:rsidRPr="005C6774" w:rsidRDefault="009C1CD9" w:rsidP="00FD4C8C">
            <w:pPr>
              <w:rPr>
                <w:color w:val="000000"/>
              </w:rPr>
            </w:pPr>
            <w:r w:rsidRPr="005C6774">
              <w:rPr>
                <w:color w:val="000000"/>
              </w:rPr>
              <w:t>Neoxanthin</w:t>
            </w:r>
          </w:p>
        </w:tc>
        <w:tc>
          <w:tcPr>
            <w:tcW w:w="2580" w:type="dxa"/>
            <w:tcBorders>
              <w:top w:val="single" w:sz="4" w:space="0" w:color="auto"/>
            </w:tcBorders>
            <w:noWrap/>
            <w:vAlign w:val="center"/>
            <w:hideMark/>
          </w:tcPr>
          <w:p w14:paraId="4B0A6BC9" w14:textId="77777777" w:rsidR="009C1CD9" w:rsidRPr="005C6774" w:rsidRDefault="009C1CD9" w:rsidP="00FD4C8C">
            <w:pPr>
              <w:rPr>
                <w:color w:val="000000"/>
              </w:rPr>
            </w:pPr>
            <w:r w:rsidRPr="005C6774">
              <w:rPr>
                <w:color w:val="000000"/>
              </w:rPr>
              <w:t>5282217</w:t>
            </w:r>
          </w:p>
        </w:tc>
        <w:tc>
          <w:tcPr>
            <w:tcW w:w="3425" w:type="dxa"/>
            <w:tcBorders>
              <w:top w:val="single" w:sz="4" w:space="0" w:color="auto"/>
            </w:tcBorders>
            <w:noWrap/>
            <w:vAlign w:val="center"/>
            <w:hideMark/>
          </w:tcPr>
          <w:p w14:paraId="69D5CA25" w14:textId="77777777" w:rsidR="009C1CD9" w:rsidRPr="005C6774" w:rsidRDefault="009C1CD9" w:rsidP="00FD4C8C">
            <w:pPr>
              <w:rPr>
                <w:color w:val="000000"/>
              </w:rPr>
            </w:pPr>
            <w:r w:rsidRPr="005C6774">
              <w:rPr>
                <w:color w:val="000000"/>
              </w:rPr>
              <w:t>-6.2</w:t>
            </w:r>
          </w:p>
        </w:tc>
      </w:tr>
      <w:tr w:rsidR="009C1CD9" w:rsidRPr="005C6774" w14:paraId="354887CD" w14:textId="77777777" w:rsidTr="00FD4C8C">
        <w:trPr>
          <w:trHeight w:val="300"/>
        </w:trPr>
        <w:tc>
          <w:tcPr>
            <w:tcW w:w="3985" w:type="dxa"/>
            <w:vAlign w:val="center"/>
          </w:tcPr>
          <w:p w14:paraId="53E6C29E" w14:textId="77777777" w:rsidR="009C1CD9" w:rsidRPr="005C6774" w:rsidRDefault="009C1CD9" w:rsidP="00FD4C8C">
            <w:pPr>
              <w:rPr>
                <w:color w:val="000000"/>
              </w:rPr>
            </w:pPr>
            <w:r w:rsidRPr="005C6774">
              <w:rPr>
                <w:color w:val="000000"/>
              </w:rPr>
              <w:t>Quercetin-3-sophoroside-7-glucoside</w:t>
            </w:r>
          </w:p>
        </w:tc>
        <w:tc>
          <w:tcPr>
            <w:tcW w:w="2580" w:type="dxa"/>
            <w:noWrap/>
            <w:vAlign w:val="center"/>
            <w:hideMark/>
          </w:tcPr>
          <w:p w14:paraId="56C4FDCA" w14:textId="77777777" w:rsidR="009C1CD9" w:rsidRPr="005C6774" w:rsidRDefault="009C1CD9" w:rsidP="00FD4C8C">
            <w:pPr>
              <w:rPr>
                <w:color w:val="000000"/>
              </w:rPr>
            </w:pPr>
            <w:r w:rsidRPr="005C6774">
              <w:rPr>
                <w:color w:val="000000"/>
              </w:rPr>
              <w:t>44259167</w:t>
            </w:r>
          </w:p>
        </w:tc>
        <w:tc>
          <w:tcPr>
            <w:tcW w:w="3425" w:type="dxa"/>
            <w:noWrap/>
            <w:vAlign w:val="center"/>
            <w:hideMark/>
          </w:tcPr>
          <w:p w14:paraId="5E4918C8" w14:textId="77777777" w:rsidR="009C1CD9" w:rsidRPr="005C6774" w:rsidRDefault="009C1CD9" w:rsidP="00FD4C8C">
            <w:pPr>
              <w:rPr>
                <w:color w:val="000000"/>
              </w:rPr>
            </w:pPr>
            <w:r w:rsidRPr="005C6774">
              <w:rPr>
                <w:color w:val="000000"/>
              </w:rPr>
              <w:t>-6</w:t>
            </w:r>
          </w:p>
        </w:tc>
      </w:tr>
      <w:tr w:rsidR="009C1CD9" w:rsidRPr="005C6774" w14:paraId="59083019" w14:textId="77777777" w:rsidTr="00FD4C8C">
        <w:trPr>
          <w:trHeight w:val="300"/>
        </w:trPr>
        <w:tc>
          <w:tcPr>
            <w:tcW w:w="3985" w:type="dxa"/>
            <w:vAlign w:val="center"/>
          </w:tcPr>
          <w:p w14:paraId="3A8E8077" w14:textId="77777777" w:rsidR="009C1CD9" w:rsidRPr="005C6774" w:rsidRDefault="009C1CD9" w:rsidP="00FD4C8C">
            <w:pPr>
              <w:rPr>
                <w:color w:val="000000"/>
              </w:rPr>
            </w:pPr>
            <w:proofErr w:type="spellStart"/>
            <w:r w:rsidRPr="005C6774">
              <w:rPr>
                <w:color w:val="000000"/>
              </w:rPr>
              <w:t>Glucobrassicin</w:t>
            </w:r>
            <w:proofErr w:type="spellEnd"/>
          </w:p>
        </w:tc>
        <w:tc>
          <w:tcPr>
            <w:tcW w:w="2580" w:type="dxa"/>
            <w:noWrap/>
            <w:vAlign w:val="center"/>
            <w:hideMark/>
          </w:tcPr>
          <w:p w14:paraId="07E32987" w14:textId="77777777" w:rsidR="009C1CD9" w:rsidRPr="005C6774" w:rsidRDefault="009C1CD9" w:rsidP="00FD4C8C">
            <w:pPr>
              <w:rPr>
                <w:color w:val="000000"/>
              </w:rPr>
            </w:pPr>
            <w:r w:rsidRPr="005C6774">
              <w:rPr>
                <w:color w:val="000000"/>
              </w:rPr>
              <w:t>6602378</w:t>
            </w:r>
          </w:p>
        </w:tc>
        <w:tc>
          <w:tcPr>
            <w:tcW w:w="3425" w:type="dxa"/>
            <w:noWrap/>
            <w:vAlign w:val="center"/>
            <w:hideMark/>
          </w:tcPr>
          <w:p w14:paraId="30BCE0C8" w14:textId="77777777" w:rsidR="009C1CD9" w:rsidRPr="005C6774" w:rsidRDefault="009C1CD9" w:rsidP="00FD4C8C">
            <w:pPr>
              <w:rPr>
                <w:color w:val="000000"/>
              </w:rPr>
            </w:pPr>
            <w:r w:rsidRPr="005C6774">
              <w:rPr>
                <w:color w:val="000000"/>
              </w:rPr>
              <w:t>-6</w:t>
            </w:r>
          </w:p>
        </w:tc>
      </w:tr>
      <w:tr w:rsidR="009C1CD9" w:rsidRPr="005C6774" w14:paraId="3F9BB593" w14:textId="77777777" w:rsidTr="00FD4C8C">
        <w:trPr>
          <w:trHeight w:val="300"/>
        </w:trPr>
        <w:tc>
          <w:tcPr>
            <w:tcW w:w="3985" w:type="dxa"/>
            <w:vAlign w:val="center"/>
          </w:tcPr>
          <w:p w14:paraId="2A2A07F3" w14:textId="77777777" w:rsidR="009C1CD9" w:rsidRPr="005C6774" w:rsidRDefault="009C1CD9" w:rsidP="00FD4C8C">
            <w:pPr>
              <w:rPr>
                <w:color w:val="000000"/>
              </w:rPr>
            </w:pPr>
            <w:r w:rsidRPr="005C6774">
              <w:rPr>
                <w:color w:val="000000"/>
              </w:rPr>
              <w:t>Isorhamnetin</w:t>
            </w:r>
          </w:p>
        </w:tc>
        <w:tc>
          <w:tcPr>
            <w:tcW w:w="2580" w:type="dxa"/>
            <w:noWrap/>
            <w:vAlign w:val="center"/>
            <w:hideMark/>
          </w:tcPr>
          <w:p w14:paraId="297FB917" w14:textId="77777777" w:rsidR="009C1CD9" w:rsidRPr="005C6774" w:rsidRDefault="009C1CD9" w:rsidP="00FD4C8C">
            <w:pPr>
              <w:rPr>
                <w:color w:val="000000"/>
              </w:rPr>
            </w:pPr>
            <w:r w:rsidRPr="005C6774">
              <w:rPr>
                <w:color w:val="000000"/>
              </w:rPr>
              <w:t>5281654</w:t>
            </w:r>
          </w:p>
        </w:tc>
        <w:tc>
          <w:tcPr>
            <w:tcW w:w="3425" w:type="dxa"/>
            <w:noWrap/>
            <w:vAlign w:val="center"/>
            <w:hideMark/>
          </w:tcPr>
          <w:p w14:paraId="23EC6998" w14:textId="77777777" w:rsidR="009C1CD9" w:rsidRPr="005C6774" w:rsidRDefault="009C1CD9" w:rsidP="00FD4C8C">
            <w:pPr>
              <w:rPr>
                <w:color w:val="000000"/>
              </w:rPr>
            </w:pPr>
            <w:r w:rsidRPr="005C6774">
              <w:rPr>
                <w:color w:val="000000"/>
              </w:rPr>
              <w:t>-5.8</w:t>
            </w:r>
          </w:p>
        </w:tc>
      </w:tr>
      <w:tr w:rsidR="009C1CD9" w:rsidRPr="005C6774" w14:paraId="3A57F4C4" w14:textId="77777777" w:rsidTr="00FD4C8C">
        <w:trPr>
          <w:trHeight w:val="300"/>
        </w:trPr>
        <w:tc>
          <w:tcPr>
            <w:tcW w:w="3985" w:type="dxa"/>
            <w:vAlign w:val="center"/>
          </w:tcPr>
          <w:p w14:paraId="53919B92" w14:textId="77777777" w:rsidR="009C1CD9" w:rsidRPr="005C6774" w:rsidRDefault="009C1CD9" w:rsidP="00FD4C8C">
            <w:pPr>
              <w:rPr>
                <w:color w:val="000000"/>
              </w:rPr>
            </w:pPr>
            <w:r w:rsidRPr="005C6774">
              <w:rPr>
                <w:color w:val="000000"/>
              </w:rPr>
              <w:t>Apigenin</w:t>
            </w:r>
          </w:p>
        </w:tc>
        <w:tc>
          <w:tcPr>
            <w:tcW w:w="2580" w:type="dxa"/>
            <w:noWrap/>
            <w:vAlign w:val="center"/>
            <w:hideMark/>
          </w:tcPr>
          <w:p w14:paraId="140A21B5" w14:textId="77777777" w:rsidR="009C1CD9" w:rsidRPr="005C6774" w:rsidRDefault="009C1CD9" w:rsidP="00FD4C8C">
            <w:pPr>
              <w:rPr>
                <w:color w:val="000000"/>
              </w:rPr>
            </w:pPr>
            <w:r w:rsidRPr="005C6774">
              <w:rPr>
                <w:color w:val="000000"/>
              </w:rPr>
              <w:t>5280443</w:t>
            </w:r>
          </w:p>
        </w:tc>
        <w:tc>
          <w:tcPr>
            <w:tcW w:w="3425" w:type="dxa"/>
            <w:noWrap/>
            <w:vAlign w:val="center"/>
            <w:hideMark/>
          </w:tcPr>
          <w:p w14:paraId="63BBE548" w14:textId="77777777" w:rsidR="009C1CD9" w:rsidRPr="005C6774" w:rsidRDefault="009C1CD9" w:rsidP="00FD4C8C">
            <w:pPr>
              <w:rPr>
                <w:color w:val="000000"/>
              </w:rPr>
            </w:pPr>
            <w:r w:rsidRPr="005C6774">
              <w:rPr>
                <w:color w:val="000000"/>
              </w:rPr>
              <w:t>-5.5</w:t>
            </w:r>
          </w:p>
        </w:tc>
      </w:tr>
      <w:tr w:rsidR="009C1CD9" w:rsidRPr="005C6774" w14:paraId="1A808057" w14:textId="77777777" w:rsidTr="006C4B5B">
        <w:trPr>
          <w:trHeight w:val="95"/>
        </w:trPr>
        <w:tc>
          <w:tcPr>
            <w:tcW w:w="3985" w:type="dxa"/>
            <w:vAlign w:val="center"/>
          </w:tcPr>
          <w:p w14:paraId="5B55D579" w14:textId="77777777" w:rsidR="009C1CD9" w:rsidRPr="005C6774" w:rsidRDefault="009C1CD9" w:rsidP="00FD4C8C">
            <w:pPr>
              <w:autoSpaceDE w:val="0"/>
              <w:autoSpaceDN w:val="0"/>
              <w:adjustRightInd w:val="0"/>
            </w:pPr>
            <w:proofErr w:type="spellStart"/>
            <w:r w:rsidRPr="005C6774">
              <w:t>Dimercaptosuccinic</w:t>
            </w:r>
            <w:proofErr w:type="spellEnd"/>
            <w:r w:rsidRPr="005C6774">
              <w:t xml:space="preserve"> acid (Control)</w:t>
            </w:r>
          </w:p>
        </w:tc>
        <w:tc>
          <w:tcPr>
            <w:tcW w:w="2580" w:type="dxa"/>
            <w:noWrap/>
            <w:vAlign w:val="center"/>
          </w:tcPr>
          <w:p w14:paraId="06EB6DBC" w14:textId="77777777" w:rsidR="009C1CD9" w:rsidRPr="005C6774" w:rsidRDefault="009C1CD9" w:rsidP="00FD4C8C">
            <w:pPr>
              <w:autoSpaceDE w:val="0"/>
              <w:autoSpaceDN w:val="0"/>
              <w:adjustRightInd w:val="0"/>
            </w:pPr>
            <w:r w:rsidRPr="005C6774">
              <w:t>9354</w:t>
            </w:r>
          </w:p>
        </w:tc>
        <w:tc>
          <w:tcPr>
            <w:tcW w:w="3425" w:type="dxa"/>
            <w:noWrap/>
            <w:vAlign w:val="center"/>
          </w:tcPr>
          <w:p w14:paraId="10DD728F" w14:textId="77777777" w:rsidR="009C1CD9" w:rsidRPr="005C6774" w:rsidRDefault="009C1CD9" w:rsidP="00FD4C8C">
            <w:pPr>
              <w:rPr>
                <w:color w:val="000000"/>
              </w:rPr>
            </w:pPr>
            <w:r w:rsidRPr="005C6774">
              <w:rPr>
                <w:color w:val="000000"/>
              </w:rPr>
              <w:t>-3.8</w:t>
            </w:r>
          </w:p>
        </w:tc>
      </w:tr>
      <w:tr w:rsidR="009C1CD9" w:rsidRPr="005C6774" w14:paraId="02827B14" w14:textId="77777777" w:rsidTr="00FD4C8C">
        <w:trPr>
          <w:trHeight w:val="300"/>
        </w:trPr>
        <w:tc>
          <w:tcPr>
            <w:tcW w:w="3985" w:type="dxa"/>
            <w:vAlign w:val="center"/>
          </w:tcPr>
          <w:p w14:paraId="4EC83969" w14:textId="77777777" w:rsidR="009C1CD9" w:rsidRPr="005C6774" w:rsidRDefault="009C1CD9" w:rsidP="00FD4C8C">
            <w:pPr>
              <w:autoSpaceDE w:val="0"/>
              <w:autoSpaceDN w:val="0"/>
              <w:adjustRightInd w:val="0"/>
            </w:pPr>
            <w:r w:rsidRPr="005C6774">
              <w:t>Dimercaprol (Control)</w:t>
            </w:r>
          </w:p>
        </w:tc>
        <w:tc>
          <w:tcPr>
            <w:tcW w:w="2580" w:type="dxa"/>
            <w:noWrap/>
            <w:vAlign w:val="center"/>
          </w:tcPr>
          <w:p w14:paraId="724F46A3" w14:textId="77777777" w:rsidR="009C1CD9" w:rsidRPr="005C6774" w:rsidRDefault="009C1CD9" w:rsidP="00FD4C8C">
            <w:pPr>
              <w:autoSpaceDE w:val="0"/>
              <w:autoSpaceDN w:val="0"/>
              <w:adjustRightInd w:val="0"/>
            </w:pPr>
            <w:r w:rsidRPr="005C6774">
              <w:t>3080</w:t>
            </w:r>
          </w:p>
        </w:tc>
        <w:tc>
          <w:tcPr>
            <w:tcW w:w="3425" w:type="dxa"/>
            <w:noWrap/>
            <w:vAlign w:val="center"/>
          </w:tcPr>
          <w:p w14:paraId="6655BEB8" w14:textId="77777777" w:rsidR="009C1CD9" w:rsidRPr="005C6774" w:rsidRDefault="009C1CD9" w:rsidP="00FD4C8C">
            <w:pPr>
              <w:rPr>
                <w:color w:val="000000"/>
              </w:rPr>
            </w:pPr>
            <w:r w:rsidRPr="005C6774">
              <w:rPr>
                <w:color w:val="000000"/>
              </w:rPr>
              <w:t>-2.7</w:t>
            </w:r>
          </w:p>
        </w:tc>
      </w:tr>
    </w:tbl>
    <w:p w14:paraId="62B866C3" w14:textId="77777777" w:rsidR="00C60AE2" w:rsidRPr="005C6774" w:rsidRDefault="00C60AE2">
      <w:pPr>
        <w:rPr>
          <w:b/>
        </w:rPr>
      </w:pPr>
    </w:p>
    <w:p w14:paraId="574B1F08" w14:textId="77777777" w:rsidR="00736B76" w:rsidRPr="005C6774" w:rsidRDefault="00736B76">
      <w:pPr>
        <w:rPr>
          <w:b/>
        </w:rPr>
      </w:pPr>
      <w:r w:rsidRPr="005C6774">
        <w:rPr>
          <w:b/>
          <w:noProof/>
        </w:rPr>
        <w:lastRenderedPageBreak/>
        <w:drawing>
          <wp:inline distT="0" distB="0" distL="0" distR="0" wp14:anchorId="2719F51B" wp14:editId="29DCD4F7">
            <wp:extent cx="3063490" cy="2660073"/>
            <wp:effectExtent l="0" t="0" r="3810" b="6985"/>
            <wp:docPr id="3" name="Picture 3" descr="C:\Users\user\Documents\DR STANLEY COOU\DOCKING RESULTS\Binding interaction images\2D 5282217 binding interactions with 2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DR STANLEY COOU\DOCKING RESULTS\Binding interaction images\2D 5282217 binding interactions with 2mhu for Brassica Pancrease.png"/>
                    <pic:cNvPicPr>
                      <a:picLocks noChangeAspect="1" noChangeArrowheads="1"/>
                    </pic:cNvPicPr>
                  </pic:nvPicPr>
                  <pic:blipFill rotWithShape="1">
                    <a:blip r:embed="rId17">
                      <a:extLst>
                        <a:ext uri="{28A0092B-C50C-407E-A947-70E740481C1C}">
                          <a14:useLocalDpi xmlns:a14="http://schemas.microsoft.com/office/drawing/2010/main" val="0"/>
                        </a:ext>
                      </a:extLst>
                    </a:blip>
                    <a:srcRect t="19639" r="7452"/>
                    <a:stretch/>
                  </pic:blipFill>
                  <pic:spPr bwMode="auto">
                    <a:xfrm>
                      <a:off x="0" y="0"/>
                      <a:ext cx="3079461" cy="2673941"/>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Pr="005C6774">
        <w:rPr>
          <w:b/>
          <w:noProof/>
        </w:rPr>
        <w:drawing>
          <wp:inline distT="0" distB="0" distL="0" distR="0" wp14:anchorId="17E2DE80" wp14:editId="757E9503">
            <wp:extent cx="2671948" cy="1880183"/>
            <wp:effectExtent l="0" t="0" r="0" b="6350"/>
            <wp:docPr id="4" name="Picture 4" descr="C:\Users\user\Documents\DR STANLEY COOU\DOCKING RESULTS\Binding interaction images\3D 5282217 binding interactions with 2mh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DR STANLEY COOU\DOCKING RESULTS\Binding interaction images\3D 5282217 binding interactions with 2mhu for Brassica Pancrease.png"/>
                    <pic:cNvPicPr>
                      <a:picLocks noChangeAspect="1" noChangeArrowheads="1"/>
                    </pic:cNvPicPr>
                  </pic:nvPicPr>
                  <pic:blipFill rotWithShape="1">
                    <a:blip r:embed="rId18">
                      <a:extLst>
                        <a:ext uri="{28A0092B-C50C-407E-A947-70E740481C1C}">
                          <a14:useLocalDpi xmlns:a14="http://schemas.microsoft.com/office/drawing/2010/main" val="0"/>
                        </a:ext>
                      </a:extLst>
                    </a:blip>
                    <a:srcRect t="47082"/>
                    <a:stretch/>
                  </pic:blipFill>
                  <pic:spPr bwMode="auto">
                    <a:xfrm>
                      <a:off x="0" y="0"/>
                      <a:ext cx="2700366" cy="1900180"/>
                    </a:xfrm>
                    <a:prstGeom prst="rect">
                      <a:avLst/>
                    </a:prstGeom>
                    <a:noFill/>
                    <a:ln>
                      <a:noFill/>
                    </a:ln>
                    <a:extLst>
                      <a:ext uri="{53640926-AAD7-44D8-BBD7-CCE9431645EC}">
                        <a14:shadowObscured xmlns:a14="http://schemas.microsoft.com/office/drawing/2010/main"/>
                      </a:ext>
                    </a:extLst>
                  </pic:spPr>
                </pic:pic>
              </a:graphicData>
            </a:graphic>
          </wp:inline>
        </w:drawing>
      </w:r>
    </w:p>
    <w:p w14:paraId="77F25EBA" w14:textId="77777777" w:rsidR="00FD4C8C" w:rsidRPr="005C6774" w:rsidRDefault="006F5E97">
      <w:pPr>
        <w:rPr>
          <w:b/>
        </w:rPr>
      </w:pPr>
      <w:r w:rsidRPr="005C6774">
        <w:rPr>
          <w:b/>
        </w:rPr>
        <w:t xml:space="preserve">Fig 5: 2D and 3D binding interactions of </w:t>
      </w:r>
      <w:r w:rsidRPr="005C6774">
        <w:rPr>
          <w:b/>
          <w:color w:val="000000"/>
        </w:rPr>
        <w:t>Neoxanthin</w:t>
      </w:r>
      <w:r w:rsidRPr="005C6774">
        <w:rPr>
          <w:b/>
        </w:rPr>
        <w:t xml:space="preserve"> with </w:t>
      </w:r>
      <w:r w:rsidRPr="005C6774">
        <w:rPr>
          <w:b/>
          <w:iCs/>
          <w:color w:val="000000" w:themeColor="text1"/>
        </w:rPr>
        <w:t>Metallothioneins-2 target</w:t>
      </w:r>
      <w:r w:rsidRPr="005C6774">
        <w:rPr>
          <w:b/>
        </w:rPr>
        <w:t xml:space="preserve"> (PDB: 2MHU)</w:t>
      </w:r>
    </w:p>
    <w:p w14:paraId="28290A32" w14:textId="77777777" w:rsidR="00B031CE" w:rsidRPr="005C6774" w:rsidRDefault="007C00BF">
      <w:pPr>
        <w:rPr>
          <w:b/>
        </w:rPr>
      </w:pPr>
      <w:r w:rsidRPr="005C6774">
        <w:rPr>
          <w:b/>
        </w:rPr>
        <w:t xml:space="preserve">Table 5: Binding affinity of the bioactive compounds of </w:t>
      </w:r>
      <w:r w:rsidRPr="005C6774">
        <w:rPr>
          <w:b/>
          <w:i/>
        </w:rPr>
        <w:t>Brassica oleracea</w:t>
      </w:r>
      <w:r w:rsidRPr="005C6774">
        <w:rPr>
          <w:b/>
        </w:rPr>
        <w:t xml:space="preserve"> with </w:t>
      </w:r>
      <w:r w:rsidR="006F5E97" w:rsidRPr="005C6774">
        <w:rPr>
          <w:b/>
          <w:iCs/>
          <w:color w:val="000000" w:themeColor="text1"/>
        </w:rPr>
        <w:t>inflammatory</w:t>
      </w:r>
      <w:r w:rsidRPr="005C6774">
        <w:rPr>
          <w:b/>
          <w:iCs/>
          <w:color w:val="000000" w:themeColor="text1"/>
        </w:rPr>
        <w:t xml:space="preserve"> </w:t>
      </w:r>
      <w:r w:rsidR="006F5E97" w:rsidRPr="005C6774">
        <w:rPr>
          <w:b/>
          <w:iCs/>
          <w:color w:val="000000" w:themeColor="text1"/>
        </w:rPr>
        <w:t>mediator’s target</w:t>
      </w:r>
      <w:r w:rsidRPr="005C6774">
        <w:rPr>
          <w:b/>
        </w:rPr>
        <w:t xml:space="preserve"> (PDB: </w:t>
      </w:r>
      <w:r w:rsidR="00B031CE" w:rsidRPr="005C6774">
        <w:rPr>
          <w:b/>
        </w:rPr>
        <w:t>1NFI</w:t>
      </w:r>
      <w:r w:rsidRPr="005C6774">
        <w:rPr>
          <w:b/>
        </w:rPr>
        <w:t>)</w:t>
      </w:r>
    </w:p>
    <w:p w14:paraId="4978E71F" w14:textId="77777777" w:rsidR="007C00BF" w:rsidRPr="005C6774" w:rsidRDefault="007C00BF">
      <w:pPr>
        <w:rPr>
          <w:b/>
        </w:rPr>
      </w:pPr>
    </w:p>
    <w:tbl>
      <w:tblPr>
        <w:tblW w:w="10070" w:type="dxa"/>
        <w:tblBorders>
          <w:top w:val="single" w:sz="4" w:space="0" w:color="auto"/>
          <w:bottom w:val="single" w:sz="4" w:space="0" w:color="auto"/>
        </w:tblBorders>
        <w:tblLook w:val="04A0" w:firstRow="1" w:lastRow="0" w:firstColumn="1" w:lastColumn="0" w:noHBand="0" w:noVBand="1"/>
      </w:tblPr>
      <w:tblGrid>
        <w:gridCol w:w="4405"/>
        <w:gridCol w:w="2430"/>
        <w:gridCol w:w="3235"/>
      </w:tblGrid>
      <w:tr w:rsidR="009C1CD9" w:rsidRPr="005C6774" w14:paraId="1AFACF88" w14:textId="77777777" w:rsidTr="00FD4C8C">
        <w:trPr>
          <w:trHeight w:val="300"/>
        </w:trPr>
        <w:tc>
          <w:tcPr>
            <w:tcW w:w="4405" w:type="dxa"/>
            <w:tcBorders>
              <w:top w:val="single" w:sz="4" w:space="0" w:color="auto"/>
              <w:bottom w:val="single" w:sz="4" w:space="0" w:color="auto"/>
            </w:tcBorders>
            <w:vAlign w:val="center"/>
          </w:tcPr>
          <w:p w14:paraId="3E476AA0" w14:textId="77777777" w:rsidR="009C1CD9" w:rsidRPr="005C6774" w:rsidRDefault="00A961D4" w:rsidP="00FD4C8C">
            <w:pPr>
              <w:rPr>
                <w:b/>
                <w:color w:val="000000"/>
              </w:rPr>
            </w:pPr>
            <w:r w:rsidRPr="005C6774">
              <w:rPr>
                <w:b/>
                <w:color w:val="000000"/>
              </w:rPr>
              <w:t>Ligands</w:t>
            </w:r>
          </w:p>
        </w:tc>
        <w:tc>
          <w:tcPr>
            <w:tcW w:w="2430" w:type="dxa"/>
            <w:tcBorders>
              <w:top w:val="single" w:sz="4" w:space="0" w:color="auto"/>
              <w:bottom w:val="single" w:sz="4" w:space="0" w:color="auto"/>
            </w:tcBorders>
            <w:noWrap/>
            <w:vAlign w:val="center"/>
            <w:hideMark/>
          </w:tcPr>
          <w:p w14:paraId="54D25836" w14:textId="77777777" w:rsidR="009C1CD9" w:rsidRPr="005C6774" w:rsidRDefault="009C1CD9" w:rsidP="00FD4C8C">
            <w:pPr>
              <w:rPr>
                <w:b/>
                <w:color w:val="000000"/>
              </w:rPr>
            </w:pPr>
            <w:r w:rsidRPr="005C6774">
              <w:rPr>
                <w:b/>
                <w:color w:val="000000"/>
              </w:rPr>
              <w:t>PubChem CID</w:t>
            </w:r>
          </w:p>
        </w:tc>
        <w:tc>
          <w:tcPr>
            <w:tcW w:w="3235" w:type="dxa"/>
            <w:tcBorders>
              <w:top w:val="single" w:sz="4" w:space="0" w:color="auto"/>
              <w:bottom w:val="single" w:sz="4" w:space="0" w:color="auto"/>
            </w:tcBorders>
            <w:noWrap/>
            <w:vAlign w:val="center"/>
            <w:hideMark/>
          </w:tcPr>
          <w:p w14:paraId="248EF286" w14:textId="77777777" w:rsidR="009C1CD9" w:rsidRPr="005C6774" w:rsidRDefault="009C1CD9" w:rsidP="00FD4C8C">
            <w:pPr>
              <w:rPr>
                <w:b/>
                <w:color w:val="000000"/>
              </w:rPr>
            </w:pPr>
            <w:r w:rsidRPr="005C6774">
              <w:rPr>
                <w:b/>
                <w:color w:val="000000"/>
              </w:rPr>
              <w:t>Binding Affinity (Kcal/mol)</w:t>
            </w:r>
          </w:p>
        </w:tc>
      </w:tr>
      <w:tr w:rsidR="009C1CD9" w:rsidRPr="005C6774" w14:paraId="43F7A200" w14:textId="77777777" w:rsidTr="00FD4C8C">
        <w:trPr>
          <w:trHeight w:val="300"/>
        </w:trPr>
        <w:tc>
          <w:tcPr>
            <w:tcW w:w="4405" w:type="dxa"/>
            <w:tcBorders>
              <w:top w:val="single" w:sz="4" w:space="0" w:color="auto"/>
            </w:tcBorders>
            <w:vAlign w:val="center"/>
          </w:tcPr>
          <w:p w14:paraId="22F84782" w14:textId="77777777" w:rsidR="009C1CD9" w:rsidRPr="005C6774" w:rsidRDefault="009C1CD9" w:rsidP="00FD4C8C">
            <w:pPr>
              <w:rPr>
                <w:color w:val="000000"/>
              </w:rPr>
            </w:pPr>
            <w:r w:rsidRPr="005C6774">
              <w:rPr>
                <w:color w:val="000000"/>
              </w:rPr>
              <w:t>Neoxanthin</w:t>
            </w:r>
          </w:p>
        </w:tc>
        <w:tc>
          <w:tcPr>
            <w:tcW w:w="2430" w:type="dxa"/>
            <w:tcBorders>
              <w:top w:val="single" w:sz="4" w:space="0" w:color="auto"/>
            </w:tcBorders>
            <w:noWrap/>
            <w:vAlign w:val="center"/>
            <w:hideMark/>
          </w:tcPr>
          <w:p w14:paraId="29DC1B6C" w14:textId="77777777" w:rsidR="009C1CD9" w:rsidRPr="005C6774" w:rsidRDefault="009C1CD9" w:rsidP="00FD4C8C">
            <w:pPr>
              <w:rPr>
                <w:color w:val="000000"/>
              </w:rPr>
            </w:pPr>
            <w:r w:rsidRPr="005C6774">
              <w:rPr>
                <w:color w:val="000000"/>
              </w:rPr>
              <w:t>5282217</w:t>
            </w:r>
          </w:p>
        </w:tc>
        <w:tc>
          <w:tcPr>
            <w:tcW w:w="3235" w:type="dxa"/>
            <w:tcBorders>
              <w:top w:val="single" w:sz="4" w:space="0" w:color="auto"/>
            </w:tcBorders>
            <w:noWrap/>
            <w:vAlign w:val="center"/>
            <w:hideMark/>
          </w:tcPr>
          <w:p w14:paraId="7C14C5DD" w14:textId="77777777" w:rsidR="009C1CD9" w:rsidRPr="005C6774" w:rsidRDefault="009C1CD9" w:rsidP="00FD4C8C">
            <w:pPr>
              <w:rPr>
                <w:color w:val="000000"/>
              </w:rPr>
            </w:pPr>
            <w:r w:rsidRPr="005C6774">
              <w:rPr>
                <w:color w:val="000000"/>
              </w:rPr>
              <w:t>-7.6</w:t>
            </w:r>
          </w:p>
        </w:tc>
      </w:tr>
      <w:tr w:rsidR="009C1CD9" w:rsidRPr="005C6774" w14:paraId="057AC089" w14:textId="77777777" w:rsidTr="00FD4C8C">
        <w:trPr>
          <w:trHeight w:val="300"/>
        </w:trPr>
        <w:tc>
          <w:tcPr>
            <w:tcW w:w="4405" w:type="dxa"/>
            <w:vAlign w:val="center"/>
          </w:tcPr>
          <w:p w14:paraId="0E0EB770" w14:textId="77777777" w:rsidR="009C1CD9" w:rsidRPr="005C6774" w:rsidRDefault="009C1CD9" w:rsidP="00FD4C8C">
            <w:pPr>
              <w:rPr>
                <w:color w:val="000000"/>
              </w:rPr>
            </w:pPr>
            <w:r w:rsidRPr="005C6774">
              <w:rPr>
                <w:color w:val="000000"/>
              </w:rPr>
              <w:t>Quercetin-3-sophoroside-7-glucoside</w:t>
            </w:r>
          </w:p>
        </w:tc>
        <w:tc>
          <w:tcPr>
            <w:tcW w:w="2430" w:type="dxa"/>
            <w:noWrap/>
            <w:vAlign w:val="center"/>
            <w:hideMark/>
          </w:tcPr>
          <w:p w14:paraId="65A00A91" w14:textId="77777777" w:rsidR="009C1CD9" w:rsidRPr="005C6774" w:rsidRDefault="009C1CD9" w:rsidP="00FD4C8C">
            <w:pPr>
              <w:rPr>
                <w:color w:val="000000"/>
              </w:rPr>
            </w:pPr>
            <w:r w:rsidRPr="005C6774">
              <w:rPr>
                <w:color w:val="000000"/>
              </w:rPr>
              <w:t>44259167</w:t>
            </w:r>
          </w:p>
        </w:tc>
        <w:tc>
          <w:tcPr>
            <w:tcW w:w="3235" w:type="dxa"/>
            <w:noWrap/>
            <w:vAlign w:val="center"/>
            <w:hideMark/>
          </w:tcPr>
          <w:p w14:paraId="47C2566F" w14:textId="77777777" w:rsidR="009C1CD9" w:rsidRPr="005C6774" w:rsidRDefault="009C1CD9" w:rsidP="00FD4C8C">
            <w:pPr>
              <w:rPr>
                <w:color w:val="000000"/>
              </w:rPr>
            </w:pPr>
            <w:r w:rsidRPr="005C6774">
              <w:rPr>
                <w:color w:val="000000"/>
              </w:rPr>
              <w:t>-7.3</w:t>
            </w:r>
          </w:p>
        </w:tc>
      </w:tr>
      <w:tr w:rsidR="009C1CD9" w:rsidRPr="005C6774" w14:paraId="7814B359" w14:textId="77777777" w:rsidTr="00FD4C8C">
        <w:trPr>
          <w:trHeight w:val="300"/>
        </w:trPr>
        <w:tc>
          <w:tcPr>
            <w:tcW w:w="4405" w:type="dxa"/>
            <w:vAlign w:val="center"/>
          </w:tcPr>
          <w:p w14:paraId="513903F0" w14:textId="77777777" w:rsidR="009C1CD9" w:rsidRPr="005C6774" w:rsidRDefault="009C1CD9" w:rsidP="00FD4C8C">
            <w:pPr>
              <w:rPr>
                <w:color w:val="000000"/>
              </w:rPr>
            </w:pPr>
            <w:r w:rsidRPr="005C6774">
              <w:rPr>
                <w:color w:val="000000"/>
              </w:rPr>
              <w:t>Rutin</w:t>
            </w:r>
          </w:p>
        </w:tc>
        <w:tc>
          <w:tcPr>
            <w:tcW w:w="2430" w:type="dxa"/>
            <w:noWrap/>
            <w:vAlign w:val="center"/>
            <w:hideMark/>
          </w:tcPr>
          <w:p w14:paraId="1358E28F" w14:textId="77777777" w:rsidR="009C1CD9" w:rsidRPr="005C6774" w:rsidRDefault="009C1CD9" w:rsidP="00FD4C8C">
            <w:pPr>
              <w:rPr>
                <w:color w:val="000000"/>
              </w:rPr>
            </w:pPr>
            <w:r w:rsidRPr="005C6774">
              <w:rPr>
                <w:color w:val="000000"/>
              </w:rPr>
              <w:t>5280805</w:t>
            </w:r>
          </w:p>
        </w:tc>
        <w:tc>
          <w:tcPr>
            <w:tcW w:w="3235" w:type="dxa"/>
            <w:noWrap/>
            <w:vAlign w:val="center"/>
            <w:hideMark/>
          </w:tcPr>
          <w:p w14:paraId="53F84FA8" w14:textId="77777777" w:rsidR="009C1CD9" w:rsidRPr="005C6774" w:rsidRDefault="009C1CD9" w:rsidP="00FD4C8C">
            <w:pPr>
              <w:rPr>
                <w:color w:val="000000"/>
              </w:rPr>
            </w:pPr>
            <w:r w:rsidRPr="005C6774">
              <w:rPr>
                <w:color w:val="000000"/>
              </w:rPr>
              <w:t>-7.1</w:t>
            </w:r>
          </w:p>
        </w:tc>
      </w:tr>
      <w:tr w:rsidR="009C1CD9" w:rsidRPr="005C6774" w14:paraId="4105FFB2" w14:textId="77777777" w:rsidTr="00FD4C8C">
        <w:trPr>
          <w:trHeight w:val="300"/>
        </w:trPr>
        <w:tc>
          <w:tcPr>
            <w:tcW w:w="4405" w:type="dxa"/>
            <w:vAlign w:val="center"/>
          </w:tcPr>
          <w:p w14:paraId="4D315CEF" w14:textId="77777777" w:rsidR="009C1CD9" w:rsidRPr="005C6774" w:rsidRDefault="00062065" w:rsidP="00FD4C8C">
            <w:pPr>
              <w:rPr>
                <w:color w:val="000000"/>
              </w:rPr>
            </w:pPr>
            <w:r w:rsidRPr="005C6774">
              <w:rPr>
                <w:color w:val="000000"/>
              </w:rPr>
              <w:t>Kaempferol-3-sophoroside-7-glucoside</w:t>
            </w:r>
          </w:p>
        </w:tc>
        <w:tc>
          <w:tcPr>
            <w:tcW w:w="2430" w:type="dxa"/>
            <w:noWrap/>
            <w:vAlign w:val="center"/>
            <w:hideMark/>
          </w:tcPr>
          <w:p w14:paraId="79C7238C" w14:textId="77777777" w:rsidR="009C1CD9" w:rsidRPr="005C6774" w:rsidRDefault="009C1CD9" w:rsidP="00FD4C8C">
            <w:pPr>
              <w:rPr>
                <w:color w:val="000000"/>
              </w:rPr>
            </w:pPr>
            <w:r w:rsidRPr="005C6774">
              <w:rPr>
                <w:color w:val="000000"/>
              </w:rPr>
              <w:t>12960459</w:t>
            </w:r>
          </w:p>
        </w:tc>
        <w:tc>
          <w:tcPr>
            <w:tcW w:w="3235" w:type="dxa"/>
            <w:noWrap/>
            <w:vAlign w:val="center"/>
            <w:hideMark/>
          </w:tcPr>
          <w:p w14:paraId="67ABB32F" w14:textId="77777777" w:rsidR="009C1CD9" w:rsidRPr="005C6774" w:rsidRDefault="009C1CD9" w:rsidP="00FD4C8C">
            <w:pPr>
              <w:rPr>
                <w:color w:val="000000"/>
              </w:rPr>
            </w:pPr>
            <w:r w:rsidRPr="005C6774">
              <w:rPr>
                <w:color w:val="000000"/>
              </w:rPr>
              <w:t>-6.8</w:t>
            </w:r>
          </w:p>
        </w:tc>
      </w:tr>
      <w:tr w:rsidR="009C1CD9" w:rsidRPr="005C6774" w14:paraId="50332827" w14:textId="77777777" w:rsidTr="00FD4C8C">
        <w:trPr>
          <w:trHeight w:val="300"/>
        </w:trPr>
        <w:tc>
          <w:tcPr>
            <w:tcW w:w="4405" w:type="dxa"/>
            <w:vAlign w:val="center"/>
          </w:tcPr>
          <w:p w14:paraId="1E2F1F8A" w14:textId="77777777" w:rsidR="009C1CD9" w:rsidRPr="005C6774" w:rsidRDefault="009C1CD9" w:rsidP="00FD4C8C">
            <w:pPr>
              <w:rPr>
                <w:color w:val="000000"/>
              </w:rPr>
            </w:pPr>
            <w:r w:rsidRPr="005C6774">
              <w:rPr>
                <w:color w:val="000000"/>
              </w:rPr>
              <w:t>Kaempferol-3-sophoroside</w:t>
            </w:r>
          </w:p>
        </w:tc>
        <w:tc>
          <w:tcPr>
            <w:tcW w:w="2430" w:type="dxa"/>
            <w:noWrap/>
            <w:vAlign w:val="center"/>
            <w:hideMark/>
          </w:tcPr>
          <w:p w14:paraId="10D9BCBD" w14:textId="77777777" w:rsidR="009C1CD9" w:rsidRPr="005C6774" w:rsidRDefault="009C1CD9" w:rsidP="00FD4C8C">
            <w:pPr>
              <w:rPr>
                <w:color w:val="000000"/>
              </w:rPr>
            </w:pPr>
            <w:r w:rsidRPr="005C6774">
              <w:rPr>
                <w:color w:val="000000"/>
              </w:rPr>
              <w:t>5282155</w:t>
            </w:r>
          </w:p>
        </w:tc>
        <w:tc>
          <w:tcPr>
            <w:tcW w:w="3235" w:type="dxa"/>
            <w:noWrap/>
            <w:vAlign w:val="center"/>
            <w:hideMark/>
          </w:tcPr>
          <w:p w14:paraId="0C2A5CB4" w14:textId="77777777" w:rsidR="009C1CD9" w:rsidRPr="005C6774" w:rsidRDefault="009C1CD9" w:rsidP="00FD4C8C">
            <w:pPr>
              <w:rPr>
                <w:color w:val="000000"/>
              </w:rPr>
            </w:pPr>
            <w:r w:rsidRPr="005C6774">
              <w:rPr>
                <w:color w:val="000000"/>
              </w:rPr>
              <w:t>-6.8</w:t>
            </w:r>
          </w:p>
        </w:tc>
      </w:tr>
      <w:tr w:rsidR="009C1CD9" w:rsidRPr="005C6774" w14:paraId="4BF88D37" w14:textId="77777777" w:rsidTr="00FD4C8C">
        <w:trPr>
          <w:trHeight w:val="300"/>
        </w:trPr>
        <w:tc>
          <w:tcPr>
            <w:tcW w:w="4405" w:type="dxa"/>
            <w:vAlign w:val="center"/>
          </w:tcPr>
          <w:p w14:paraId="559833F0" w14:textId="77777777" w:rsidR="009C1CD9" w:rsidRPr="005C6774" w:rsidRDefault="009C1CD9" w:rsidP="00FD4C8C">
            <w:pPr>
              <w:autoSpaceDE w:val="0"/>
              <w:autoSpaceDN w:val="0"/>
              <w:adjustRightInd w:val="0"/>
            </w:pPr>
            <w:r w:rsidRPr="005C6774">
              <w:t>Celecoxib (Control)</w:t>
            </w:r>
          </w:p>
        </w:tc>
        <w:tc>
          <w:tcPr>
            <w:tcW w:w="2430" w:type="dxa"/>
            <w:noWrap/>
            <w:vAlign w:val="center"/>
          </w:tcPr>
          <w:p w14:paraId="4B0D5AE0" w14:textId="77777777" w:rsidR="009C1CD9" w:rsidRPr="005C6774" w:rsidRDefault="009C1CD9" w:rsidP="00FD4C8C">
            <w:pPr>
              <w:autoSpaceDE w:val="0"/>
              <w:autoSpaceDN w:val="0"/>
              <w:adjustRightInd w:val="0"/>
            </w:pPr>
            <w:r w:rsidRPr="005C6774">
              <w:t>2662</w:t>
            </w:r>
          </w:p>
        </w:tc>
        <w:tc>
          <w:tcPr>
            <w:tcW w:w="3235" w:type="dxa"/>
            <w:noWrap/>
            <w:vAlign w:val="center"/>
          </w:tcPr>
          <w:p w14:paraId="5A64114D" w14:textId="77777777" w:rsidR="009C1CD9" w:rsidRPr="005C6774" w:rsidRDefault="009C1CD9" w:rsidP="00FD4C8C">
            <w:pPr>
              <w:rPr>
                <w:color w:val="000000"/>
              </w:rPr>
            </w:pPr>
            <w:r w:rsidRPr="005C6774">
              <w:rPr>
                <w:color w:val="000000"/>
              </w:rPr>
              <w:t>-6.7</w:t>
            </w:r>
          </w:p>
        </w:tc>
      </w:tr>
      <w:tr w:rsidR="009C1CD9" w:rsidRPr="005C6774" w14:paraId="6C5DD6CC" w14:textId="77777777" w:rsidTr="00FD4C8C">
        <w:trPr>
          <w:trHeight w:val="300"/>
        </w:trPr>
        <w:tc>
          <w:tcPr>
            <w:tcW w:w="4405" w:type="dxa"/>
            <w:vAlign w:val="center"/>
          </w:tcPr>
          <w:p w14:paraId="194E5372" w14:textId="77777777" w:rsidR="009C1CD9" w:rsidRPr="005C6774" w:rsidRDefault="009C1CD9" w:rsidP="00FD4C8C">
            <w:pPr>
              <w:autoSpaceDE w:val="0"/>
              <w:autoSpaceDN w:val="0"/>
              <w:adjustRightInd w:val="0"/>
            </w:pPr>
            <w:r w:rsidRPr="005C6774">
              <w:t>Aspirin (Control)</w:t>
            </w:r>
          </w:p>
        </w:tc>
        <w:tc>
          <w:tcPr>
            <w:tcW w:w="2430" w:type="dxa"/>
            <w:noWrap/>
            <w:vAlign w:val="center"/>
          </w:tcPr>
          <w:p w14:paraId="6CE3F56F" w14:textId="77777777" w:rsidR="009C1CD9" w:rsidRPr="005C6774" w:rsidRDefault="009C1CD9" w:rsidP="00FD4C8C">
            <w:pPr>
              <w:autoSpaceDE w:val="0"/>
              <w:autoSpaceDN w:val="0"/>
              <w:adjustRightInd w:val="0"/>
            </w:pPr>
            <w:r w:rsidRPr="005C6774">
              <w:t>2244</w:t>
            </w:r>
          </w:p>
        </w:tc>
        <w:tc>
          <w:tcPr>
            <w:tcW w:w="3235" w:type="dxa"/>
            <w:noWrap/>
            <w:vAlign w:val="center"/>
          </w:tcPr>
          <w:p w14:paraId="004B85EF" w14:textId="77777777" w:rsidR="009C1CD9" w:rsidRPr="005C6774" w:rsidRDefault="009C1CD9" w:rsidP="00FD4C8C">
            <w:pPr>
              <w:rPr>
                <w:color w:val="000000"/>
              </w:rPr>
            </w:pPr>
            <w:r w:rsidRPr="005C6774">
              <w:rPr>
                <w:color w:val="000000"/>
              </w:rPr>
              <w:t>-5</w:t>
            </w:r>
          </w:p>
        </w:tc>
      </w:tr>
    </w:tbl>
    <w:p w14:paraId="67063A0F" w14:textId="77777777" w:rsidR="00B031CE" w:rsidRPr="005C6774" w:rsidRDefault="00B031CE"/>
    <w:p w14:paraId="74EE3387" w14:textId="77777777" w:rsidR="004A1B84" w:rsidRPr="005C6774" w:rsidRDefault="009F1662">
      <w:pPr>
        <w:rPr>
          <w:b/>
        </w:rPr>
      </w:pPr>
      <w:r w:rsidRPr="005C6774">
        <w:rPr>
          <w:b/>
          <w:noProof/>
        </w:rPr>
        <w:drawing>
          <wp:inline distT="0" distB="0" distL="0" distR="0" wp14:anchorId="14277CFE" wp14:editId="49F2DB23">
            <wp:extent cx="3084967" cy="2540561"/>
            <wp:effectExtent l="0" t="0" r="1270" b="0"/>
            <wp:docPr id="5" name="Picture 5" descr="C:\Users\user\Documents\DR STANLEY COOU\DOCKING RESULTS\Binding interaction images\2D 5282217 binding interactions with 1nfi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DR STANLEY COOU\DOCKING RESULTS\Binding interaction images\2D 5282217 binding interactions with 1nfi for Brassica Pancrease.png"/>
                    <pic:cNvPicPr>
                      <a:picLocks noChangeAspect="1" noChangeArrowheads="1"/>
                    </pic:cNvPicPr>
                  </pic:nvPicPr>
                  <pic:blipFill rotWithShape="1">
                    <a:blip r:embed="rId19">
                      <a:extLst>
                        <a:ext uri="{28A0092B-C50C-407E-A947-70E740481C1C}">
                          <a14:useLocalDpi xmlns:a14="http://schemas.microsoft.com/office/drawing/2010/main" val="0"/>
                        </a:ext>
                      </a:extLst>
                    </a:blip>
                    <a:srcRect t="27036" r="11401"/>
                    <a:stretch/>
                  </pic:blipFill>
                  <pic:spPr bwMode="auto">
                    <a:xfrm>
                      <a:off x="0" y="0"/>
                      <a:ext cx="3105987" cy="2557872"/>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Pr="005C6774">
        <w:rPr>
          <w:b/>
          <w:noProof/>
        </w:rPr>
        <w:drawing>
          <wp:inline distT="0" distB="0" distL="0" distR="0" wp14:anchorId="04CDB6C5" wp14:editId="62E94A01">
            <wp:extent cx="2721935" cy="2518633"/>
            <wp:effectExtent l="0" t="0" r="2540" b="0"/>
            <wp:docPr id="6" name="Picture 6" descr="C:\Users\user\Documents\DR STANLEY COOU\DOCKING RESULTS\Binding interaction images\3D 5282217 binding interactions with 1nfi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DR STANLEY COOU\DOCKING RESULTS\Binding interaction images\3D 5282217 binding interactions with 1nfi for Brassica Pancrease.png"/>
                    <pic:cNvPicPr>
                      <a:picLocks noChangeAspect="1" noChangeArrowheads="1"/>
                    </pic:cNvPicPr>
                  </pic:nvPicPr>
                  <pic:blipFill rotWithShape="1">
                    <a:blip r:embed="rId20">
                      <a:extLst>
                        <a:ext uri="{28A0092B-C50C-407E-A947-70E740481C1C}">
                          <a14:useLocalDpi xmlns:a14="http://schemas.microsoft.com/office/drawing/2010/main" val="0"/>
                        </a:ext>
                      </a:extLst>
                    </a:blip>
                    <a:srcRect l="22833" t="53739" r="10671"/>
                    <a:stretch/>
                  </pic:blipFill>
                  <pic:spPr bwMode="auto">
                    <a:xfrm>
                      <a:off x="0" y="0"/>
                      <a:ext cx="2732039" cy="2527983"/>
                    </a:xfrm>
                    <a:prstGeom prst="rect">
                      <a:avLst/>
                    </a:prstGeom>
                    <a:noFill/>
                    <a:ln>
                      <a:noFill/>
                    </a:ln>
                    <a:extLst>
                      <a:ext uri="{53640926-AAD7-44D8-BBD7-CCE9431645EC}">
                        <a14:shadowObscured xmlns:a14="http://schemas.microsoft.com/office/drawing/2010/main"/>
                      </a:ext>
                    </a:extLst>
                  </pic:spPr>
                </pic:pic>
              </a:graphicData>
            </a:graphic>
          </wp:inline>
        </w:drawing>
      </w:r>
    </w:p>
    <w:p w14:paraId="713BB953" w14:textId="77777777" w:rsidR="006F5E97" w:rsidRPr="005C6774" w:rsidRDefault="006F5E97" w:rsidP="006F5E97">
      <w:pPr>
        <w:rPr>
          <w:b/>
        </w:rPr>
      </w:pPr>
      <w:r w:rsidRPr="005C6774">
        <w:rPr>
          <w:b/>
        </w:rPr>
        <w:t xml:space="preserve">Fig. 6: 2D and 3D binding interactions of </w:t>
      </w:r>
      <w:r w:rsidRPr="005C6774">
        <w:rPr>
          <w:b/>
          <w:color w:val="000000"/>
        </w:rPr>
        <w:t>Neoxanthin</w:t>
      </w:r>
      <w:r w:rsidRPr="005C6774">
        <w:rPr>
          <w:b/>
        </w:rPr>
        <w:t xml:space="preserve"> with </w:t>
      </w:r>
      <w:r w:rsidRPr="005C6774">
        <w:rPr>
          <w:b/>
          <w:iCs/>
          <w:color w:val="000000" w:themeColor="text1"/>
        </w:rPr>
        <w:t>Inflammatory mediator’s target</w:t>
      </w:r>
      <w:r w:rsidRPr="005C6774">
        <w:rPr>
          <w:b/>
        </w:rPr>
        <w:t xml:space="preserve"> (PDB: 1NFI)</w:t>
      </w:r>
    </w:p>
    <w:p w14:paraId="1B41ABF3" w14:textId="77777777" w:rsidR="004A1B84" w:rsidRPr="005C6774" w:rsidRDefault="004A1B84">
      <w:pPr>
        <w:rPr>
          <w:b/>
        </w:rPr>
      </w:pPr>
    </w:p>
    <w:p w14:paraId="416E5A6D" w14:textId="77777777" w:rsidR="00D16CE7" w:rsidRPr="005C6774" w:rsidRDefault="007C00BF">
      <w:pPr>
        <w:rPr>
          <w:b/>
        </w:rPr>
      </w:pPr>
      <w:r w:rsidRPr="005C6774">
        <w:rPr>
          <w:b/>
        </w:rPr>
        <w:t>Tab</w:t>
      </w:r>
      <w:r w:rsidR="005B6E05" w:rsidRPr="005C6774">
        <w:rPr>
          <w:b/>
        </w:rPr>
        <w:t>le 6</w:t>
      </w:r>
      <w:r w:rsidRPr="005C6774">
        <w:rPr>
          <w:b/>
        </w:rPr>
        <w:t xml:space="preserve">: Binding affinity of the bioactive compounds of </w:t>
      </w:r>
      <w:r w:rsidRPr="005C6774">
        <w:rPr>
          <w:b/>
          <w:i/>
        </w:rPr>
        <w:t>Brassica oleracea</w:t>
      </w:r>
      <w:r w:rsidRPr="005C6774">
        <w:rPr>
          <w:b/>
        </w:rPr>
        <w:t xml:space="preserve"> with </w:t>
      </w:r>
      <w:r w:rsidRPr="005C6774">
        <w:rPr>
          <w:b/>
          <w:iCs/>
          <w:color w:val="000000" w:themeColor="text1"/>
        </w:rPr>
        <w:t>Apoptosis</w:t>
      </w:r>
      <w:r w:rsidRPr="005C6774">
        <w:rPr>
          <w:b/>
        </w:rPr>
        <w:t xml:space="preserve"> (PDB: </w:t>
      </w:r>
      <w:r w:rsidR="00E217C3" w:rsidRPr="005C6774">
        <w:rPr>
          <w:b/>
        </w:rPr>
        <w:t>1PAU</w:t>
      </w:r>
      <w:r w:rsidRPr="005C6774">
        <w:rPr>
          <w:b/>
        </w:rPr>
        <w:t>)</w:t>
      </w:r>
    </w:p>
    <w:p w14:paraId="418FD693" w14:textId="77777777" w:rsidR="007C00BF" w:rsidRPr="005C6774" w:rsidRDefault="007C00BF">
      <w:pPr>
        <w:rPr>
          <w:b/>
        </w:rPr>
      </w:pPr>
    </w:p>
    <w:tbl>
      <w:tblPr>
        <w:tblpPr w:leftFromText="180" w:rightFromText="180" w:vertAnchor="text" w:tblpY="1"/>
        <w:tblOverlap w:val="never"/>
        <w:tblW w:w="10070" w:type="dxa"/>
        <w:tblBorders>
          <w:top w:val="single" w:sz="4" w:space="0" w:color="auto"/>
          <w:bottom w:val="single" w:sz="4" w:space="0" w:color="auto"/>
        </w:tblBorders>
        <w:tblLook w:val="04A0" w:firstRow="1" w:lastRow="0" w:firstColumn="1" w:lastColumn="0" w:noHBand="0" w:noVBand="1"/>
      </w:tblPr>
      <w:tblGrid>
        <w:gridCol w:w="3930"/>
        <w:gridCol w:w="2725"/>
        <w:gridCol w:w="3415"/>
      </w:tblGrid>
      <w:tr w:rsidR="009C1CD9" w:rsidRPr="005C6774" w14:paraId="2F656EB5" w14:textId="77777777" w:rsidTr="00FD4C8C">
        <w:trPr>
          <w:trHeight w:val="300"/>
        </w:trPr>
        <w:tc>
          <w:tcPr>
            <w:tcW w:w="3930" w:type="dxa"/>
            <w:tcBorders>
              <w:top w:val="single" w:sz="4" w:space="0" w:color="auto"/>
              <w:bottom w:val="single" w:sz="4" w:space="0" w:color="auto"/>
            </w:tcBorders>
            <w:vAlign w:val="center"/>
          </w:tcPr>
          <w:p w14:paraId="46278A1D" w14:textId="77777777" w:rsidR="009C1CD9" w:rsidRPr="005C6774" w:rsidRDefault="00A961D4" w:rsidP="00FD4C8C">
            <w:pPr>
              <w:rPr>
                <w:b/>
                <w:color w:val="000000"/>
              </w:rPr>
            </w:pPr>
            <w:r w:rsidRPr="005C6774">
              <w:rPr>
                <w:b/>
                <w:color w:val="000000"/>
              </w:rPr>
              <w:t>Ligands</w:t>
            </w:r>
          </w:p>
        </w:tc>
        <w:tc>
          <w:tcPr>
            <w:tcW w:w="2725" w:type="dxa"/>
            <w:tcBorders>
              <w:top w:val="single" w:sz="4" w:space="0" w:color="auto"/>
              <w:bottom w:val="single" w:sz="4" w:space="0" w:color="auto"/>
            </w:tcBorders>
            <w:noWrap/>
            <w:vAlign w:val="center"/>
            <w:hideMark/>
          </w:tcPr>
          <w:p w14:paraId="75EA43AA" w14:textId="77777777" w:rsidR="009C1CD9" w:rsidRPr="005C6774" w:rsidRDefault="009C1CD9" w:rsidP="00FD4C8C">
            <w:pPr>
              <w:rPr>
                <w:b/>
                <w:color w:val="000000"/>
              </w:rPr>
            </w:pPr>
            <w:r w:rsidRPr="005C6774">
              <w:rPr>
                <w:b/>
                <w:color w:val="000000"/>
              </w:rPr>
              <w:t>PubChem CID</w:t>
            </w:r>
          </w:p>
        </w:tc>
        <w:tc>
          <w:tcPr>
            <w:tcW w:w="3415" w:type="dxa"/>
            <w:tcBorders>
              <w:top w:val="single" w:sz="4" w:space="0" w:color="auto"/>
              <w:bottom w:val="single" w:sz="4" w:space="0" w:color="auto"/>
            </w:tcBorders>
            <w:noWrap/>
            <w:vAlign w:val="center"/>
            <w:hideMark/>
          </w:tcPr>
          <w:p w14:paraId="3732B563" w14:textId="77777777" w:rsidR="009C1CD9" w:rsidRPr="005C6774" w:rsidRDefault="009C1CD9" w:rsidP="00FD4C8C">
            <w:pPr>
              <w:rPr>
                <w:b/>
                <w:color w:val="000000"/>
              </w:rPr>
            </w:pPr>
            <w:r w:rsidRPr="005C6774">
              <w:rPr>
                <w:b/>
                <w:color w:val="000000"/>
              </w:rPr>
              <w:t>Binding Affinity (Kcal/mol)</w:t>
            </w:r>
          </w:p>
        </w:tc>
      </w:tr>
      <w:tr w:rsidR="009C1CD9" w:rsidRPr="005C6774" w14:paraId="39B0BA8C" w14:textId="77777777" w:rsidTr="00FD4C8C">
        <w:trPr>
          <w:trHeight w:val="300"/>
        </w:trPr>
        <w:tc>
          <w:tcPr>
            <w:tcW w:w="3930" w:type="dxa"/>
            <w:tcBorders>
              <w:top w:val="single" w:sz="4" w:space="0" w:color="auto"/>
            </w:tcBorders>
            <w:vAlign w:val="center"/>
          </w:tcPr>
          <w:p w14:paraId="6154E421" w14:textId="77777777" w:rsidR="009C1CD9" w:rsidRPr="005C6774" w:rsidRDefault="009C1CD9" w:rsidP="00FD4C8C">
            <w:pPr>
              <w:rPr>
                <w:color w:val="000000"/>
              </w:rPr>
            </w:pPr>
            <w:r w:rsidRPr="005C6774">
              <w:rPr>
                <w:color w:val="000000"/>
              </w:rPr>
              <w:t>Neoxanthin</w:t>
            </w:r>
          </w:p>
        </w:tc>
        <w:tc>
          <w:tcPr>
            <w:tcW w:w="2725" w:type="dxa"/>
            <w:tcBorders>
              <w:top w:val="single" w:sz="4" w:space="0" w:color="auto"/>
            </w:tcBorders>
            <w:noWrap/>
            <w:vAlign w:val="center"/>
            <w:hideMark/>
          </w:tcPr>
          <w:p w14:paraId="10C09FAE" w14:textId="77777777" w:rsidR="009C1CD9" w:rsidRPr="005C6774" w:rsidRDefault="009C1CD9" w:rsidP="00FD4C8C">
            <w:pPr>
              <w:rPr>
                <w:color w:val="000000"/>
              </w:rPr>
            </w:pPr>
            <w:r w:rsidRPr="005C6774">
              <w:rPr>
                <w:color w:val="000000"/>
              </w:rPr>
              <w:t>5282217</w:t>
            </w:r>
          </w:p>
        </w:tc>
        <w:tc>
          <w:tcPr>
            <w:tcW w:w="3415" w:type="dxa"/>
            <w:tcBorders>
              <w:top w:val="single" w:sz="4" w:space="0" w:color="auto"/>
            </w:tcBorders>
            <w:noWrap/>
            <w:vAlign w:val="center"/>
            <w:hideMark/>
          </w:tcPr>
          <w:p w14:paraId="48BA99F2" w14:textId="77777777" w:rsidR="009C1CD9" w:rsidRPr="005C6774" w:rsidRDefault="009C1CD9" w:rsidP="00FD4C8C">
            <w:pPr>
              <w:rPr>
                <w:color w:val="000000"/>
              </w:rPr>
            </w:pPr>
            <w:r w:rsidRPr="005C6774">
              <w:rPr>
                <w:color w:val="000000"/>
              </w:rPr>
              <w:t>-7.1</w:t>
            </w:r>
          </w:p>
        </w:tc>
      </w:tr>
      <w:tr w:rsidR="009C1CD9" w:rsidRPr="005C6774" w14:paraId="537963A4" w14:textId="77777777" w:rsidTr="00FD4C8C">
        <w:trPr>
          <w:trHeight w:val="300"/>
        </w:trPr>
        <w:tc>
          <w:tcPr>
            <w:tcW w:w="3930" w:type="dxa"/>
            <w:vAlign w:val="center"/>
          </w:tcPr>
          <w:p w14:paraId="4BF15A56" w14:textId="77777777" w:rsidR="009C1CD9" w:rsidRPr="005C6774" w:rsidRDefault="009C1CD9" w:rsidP="00FD4C8C">
            <w:pPr>
              <w:rPr>
                <w:color w:val="000000"/>
              </w:rPr>
            </w:pPr>
            <w:r w:rsidRPr="005C6774">
              <w:rPr>
                <w:color w:val="000000"/>
              </w:rPr>
              <w:t>β-carotene</w:t>
            </w:r>
          </w:p>
        </w:tc>
        <w:tc>
          <w:tcPr>
            <w:tcW w:w="2725" w:type="dxa"/>
            <w:noWrap/>
            <w:vAlign w:val="center"/>
            <w:hideMark/>
          </w:tcPr>
          <w:p w14:paraId="0523680B" w14:textId="77777777" w:rsidR="009C1CD9" w:rsidRPr="005C6774" w:rsidRDefault="009C1CD9" w:rsidP="00FD4C8C">
            <w:pPr>
              <w:rPr>
                <w:color w:val="000000"/>
              </w:rPr>
            </w:pPr>
            <w:r w:rsidRPr="005C6774">
              <w:rPr>
                <w:color w:val="000000"/>
              </w:rPr>
              <w:t>5280489</w:t>
            </w:r>
          </w:p>
        </w:tc>
        <w:tc>
          <w:tcPr>
            <w:tcW w:w="3415" w:type="dxa"/>
            <w:noWrap/>
            <w:vAlign w:val="center"/>
            <w:hideMark/>
          </w:tcPr>
          <w:p w14:paraId="3A5B1675" w14:textId="77777777" w:rsidR="009C1CD9" w:rsidRPr="005C6774" w:rsidRDefault="009C1CD9" w:rsidP="00FD4C8C">
            <w:pPr>
              <w:rPr>
                <w:color w:val="000000"/>
              </w:rPr>
            </w:pPr>
            <w:r w:rsidRPr="005C6774">
              <w:rPr>
                <w:color w:val="000000"/>
              </w:rPr>
              <w:t>-7.1</w:t>
            </w:r>
          </w:p>
        </w:tc>
      </w:tr>
      <w:tr w:rsidR="009C1CD9" w:rsidRPr="005C6774" w14:paraId="36D742A6" w14:textId="77777777" w:rsidTr="00FD4C8C">
        <w:trPr>
          <w:trHeight w:val="300"/>
        </w:trPr>
        <w:tc>
          <w:tcPr>
            <w:tcW w:w="3930" w:type="dxa"/>
            <w:vAlign w:val="center"/>
          </w:tcPr>
          <w:p w14:paraId="72F05BF3" w14:textId="77777777" w:rsidR="009C1CD9" w:rsidRPr="005C6774" w:rsidRDefault="009C1CD9" w:rsidP="00FD4C8C">
            <w:pPr>
              <w:rPr>
                <w:color w:val="000000"/>
              </w:rPr>
            </w:pPr>
            <w:r w:rsidRPr="005C6774">
              <w:rPr>
                <w:color w:val="000000"/>
              </w:rPr>
              <w:t>Rutin</w:t>
            </w:r>
          </w:p>
        </w:tc>
        <w:tc>
          <w:tcPr>
            <w:tcW w:w="2725" w:type="dxa"/>
            <w:noWrap/>
            <w:vAlign w:val="center"/>
            <w:hideMark/>
          </w:tcPr>
          <w:p w14:paraId="0A045D29" w14:textId="77777777" w:rsidR="009C1CD9" w:rsidRPr="005C6774" w:rsidRDefault="009C1CD9" w:rsidP="00FD4C8C">
            <w:pPr>
              <w:rPr>
                <w:color w:val="000000"/>
              </w:rPr>
            </w:pPr>
            <w:r w:rsidRPr="005C6774">
              <w:rPr>
                <w:color w:val="000000"/>
              </w:rPr>
              <w:t>5280805</w:t>
            </w:r>
          </w:p>
        </w:tc>
        <w:tc>
          <w:tcPr>
            <w:tcW w:w="3415" w:type="dxa"/>
            <w:noWrap/>
            <w:vAlign w:val="center"/>
            <w:hideMark/>
          </w:tcPr>
          <w:p w14:paraId="6476A650" w14:textId="77777777" w:rsidR="009C1CD9" w:rsidRPr="005C6774" w:rsidRDefault="009C1CD9" w:rsidP="00FD4C8C">
            <w:pPr>
              <w:rPr>
                <w:color w:val="000000"/>
              </w:rPr>
            </w:pPr>
            <w:r w:rsidRPr="005C6774">
              <w:rPr>
                <w:color w:val="000000"/>
              </w:rPr>
              <w:t>-6.5</w:t>
            </w:r>
          </w:p>
        </w:tc>
      </w:tr>
      <w:tr w:rsidR="009C1CD9" w:rsidRPr="005C6774" w14:paraId="75A61D84" w14:textId="77777777" w:rsidTr="00FD4C8C">
        <w:trPr>
          <w:trHeight w:val="300"/>
        </w:trPr>
        <w:tc>
          <w:tcPr>
            <w:tcW w:w="3930" w:type="dxa"/>
            <w:vAlign w:val="center"/>
          </w:tcPr>
          <w:p w14:paraId="7B24B03F" w14:textId="77777777" w:rsidR="009C1CD9" w:rsidRPr="005C6774" w:rsidRDefault="00EB4FCA" w:rsidP="00FD4C8C">
            <w:pPr>
              <w:rPr>
                <w:color w:val="000000"/>
              </w:rPr>
            </w:pPr>
            <w:r w:rsidRPr="005C6774">
              <w:rPr>
                <w:color w:val="000000"/>
              </w:rPr>
              <w:t>β-sitosterol</w:t>
            </w:r>
          </w:p>
        </w:tc>
        <w:tc>
          <w:tcPr>
            <w:tcW w:w="2725" w:type="dxa"/>
            <w:noWrap/>
            <w:vAlign w:val="center"/>
            <w:hideMark/>
          </w:tcPr>
          <w:p w14:paraId="498A47D7" w14:textId="77777777" w:rsidR="009C1CD9" w:rsidRPr="005C6774" w:rsidRDefault="009C1CD9" w:rsidP="00FD4C8C">
            <w:pPr>
              <w:rPr>
                <w:color w:val="000000"/>
              </w:rPr>
            </w:pPr>
            <w:r w:rsidRPr="005C6774">
              <w:rPr>
                <w:color w:val="000000"/>
              </w:rPr>
              <w:t>222284</w:t>
            </w:r>
          </w:p>
        </w:tc>
        <w:tc>
          <w:tcPr>
            <w:tcW w:w="3415" w:type="dxa"/>
            <w:noWrap/>
            <w:vAlign w:val="center"/>
            <w:hideMark/>
          </w:tcPr>
          <w:p w14:paraId="58F2CCC2" w14:textId="77777777" w:rsidR="009C1CD9" w:rsidRPr="005C6774" w:rsidRDefault="009C1CD9" w:rsidP="00FD4C8C">
            <w:pPr>
              <w:rPr>
                <w:color w:val="000000"/>
              </w:rPr>
            </w:pPr>
            <w:r w:rsidRPr="005C6774">
              <w:rPr>
                <w:color w:val="000000"/>
              </w:rPr>
              <w:t>-6.4</w:t>
            </w:r>
          </w:p>
        </w:tc>
      </w:tr>
      <w:tr w:rsidR="009C1CD9" w:rsidRPr="005C6774" w14:paraId="06EE3AB0" w14:textId="77777777" w:rsidTr="00FD4C8C">
        <w:trPr>
          <w:trHeight w:val="300"/>
        </w:trPr>
        <w:tc>
          <w:tcPr>
            <w:tcW w:w="3930" w:type="dxa"/>
            <w:vAlign w:val="center"/>
          </w:tcPr>
          <w:p w14:paraId="00C75881" w14:textId="77777777" w:rsidR="009C1CD9" w:rsidRPr="005C6774" w:rsidRDefault="009C1CD9" w:rsidP="00FD4C8C">
            <w:pPr>
              <w:rPr>
                <w:color w:val="000000"/>
              </w:rPr>
            </w:pPr>
            <w:r w:rsidRPr="005C6774">
              <w:rPr>
                <w:color w:val="000000"/>
              </w:rPr>
              <w:t>Quercetin-3-sophoroside-7-glucoside</w:t>
            </w:r>
          </w:p>
        </w:tc>
        <w:tc>
          <w:tcPr>
            <w:tcW w:w="2725" w:type="dxa"/>
            <w:noWrap/>
            <w:vAlign w:val="center"/>
            <w:hideMark/>
          </w:tcPr>
          <w:p w14:paraId="7A9AF09A" w14:textId="77777777" w:rsidR="009C1CD9" w:rsidRPr="005C6774" w:rsidRDefault="009C1CD9" w:rsidP="00FD4C8C">
            <w:pPr>
              <w:rPr>
                <w:color w:val="000000"/>
              </w:rPr>
            </w:pPr>
            <w:r w:rsidRPr="005C6774">
              <w:rPr>
                <w:color w:val="000000"/>
              </w:rPr>
              <w:t>44259167</w:t>
            </w:r>
          </w:p>
        </w:tc>
        <w:tc>
          <w:tcPr>
            <w:tcW w:w="3415" w:type="dxa"/>
            <w:noWrap/>
            <w:vAlign w:val="center"/>
            <w:hideMark/>
          </w:tcPr>
          <w:p w14:paraId="250D3670" w14:textId="77777777" w:rsidR="009C1CD9" w:rsidRPr="005C6774" w:rsidRDefault="009C1CD9" w:rsidP="00FD4C8C">
            <w:pPr>
              <w:rPr>
                <w:color w:val="000000"/>
              </w:rPr>
            </w:pPr>
            <w:r w:rsidRPr="005C6774">
              <w:rPr>
                <w:color w:val="000000"/>
              </w:rPr>
              <w:t>-6.1</w:t>
            </w:r>
          </w:p>
        </w:tc>
      </w:tr>
      <w:tr w:rsidR="009C1CD9" w:rsidRPr="005C6774" w14:paraId="1C2E8F01" w14:textId="77777777" w:rsidTr="00FD4C8C">
        <w:trPr>
          <w:trHeight w:val="300"/>
        </w:trPr>
        <w:tc>
          <w:tcPr>
            <w:tcW w:w="3930" w:type="dxa"/>
            <w:vAlign w:val="center"/>
          </w:tcPr>
          <w:p w14:paraId="7C4E16CD" w14:textId="77777777" w:rsidR="009C1CD9" w:rsidRPr="005C6774" w:rsidRDefault="009C1CD9" w:rsidP="00FD4C8C">
            <w:pPr>
              <w:autoSpaceDE w:val="0"/>
              <w:autoSpaceDN w:val="0"/>
              <w:adjustRightInd w:val="0"/>
            </w:pPr>
            <w:proofErr w:type="spellStart"/>
            <w:r w:rsidRPr="005C6774">
              <w:t>Romidepsin</w:t>
            </w:r>
            <w:proofErr w:type="spellEnd"/>
            <w:r w:rsidRPr="005C6774">
              <w:t xml:space="preserve"> (Control)</w:t>
            </w:r>
          </w:p>
        </w:tc>
        <w:tc>
          <w:tcPr>
            <w:tcW w:w="2725" w:type="dxa"/>
            <w:noWrap/>
            <w:vAlign w:val="center"/>
          </w:tcPr>
          <w:p w14:paraId="5ACD9E66" w14:textId="77777777" w:rsidR="009C1CD9" w:rsidRPr="005C6774" w:rsidRDefault="009C1CD9" w:rsidP="00FD4C8C">
            <w:pPr>
              <w:autoSpaceDE w:val="0"/>
              <w:autoSpaceDN w:val="0"/>
              <w:adjustRightInd w:val="0"/>
            </w:pPr>
            <w:r w:rsidRPr="005C6774">
              <w:t>5352062</w:t>
            </w:r>
          </w:p>
        </w:tc>
        <w:tc>
          <w:tcPr>
            <w:tcW w:w="3415" w:type="dxa"/>
            <w:noWrap/>
            <w:vAlign w:val="center"/>
          </w:tcPr>
          <w:p w14:paraId="1D428680" w14:textId="77777777" w:rsidR="009C1CD9" w:rsidRPr="005C6774" w:rsidRDefault="009C1CD9" w:rsidP="00FD4C8C">
            <w:pPr>
              <w:rPr>
                <w:color w:val="000000"/>
              </w:rPr>
            </w:pPr>
            <w:r w:rsidRPr="005C6774">
              <w:rPr>
                <w:color w:val="000000"/>
              </w:rPr>
              <w:t>-5.6</w:t>
            </w:r>
          </w:p>
        </w:tc>
      </w:tr>
      <w:tr w:rsidR="009C1CD9" w:rsidRPr="005C6774" w14:paraId="745A8000" w14:textId="77777777" w:rsidTr="00FD4C8C">
        <w:trPr>
          <w:trHeight w:val="300"/>
        </w:trPr>
        <w:tc>
          <w:tcPr>
            <w:tcW w:w="3930" w:type="dxa"/>
            <w:vAlign w:val="center"/>
          </w:tcPr>
          <w:p w14:paraId="4130DD2C" w14:textId="77777777" w:rsidR="009C1CD9" w:rsidRPr="005C6774" w:rsidRDefault="009C1CD9" w:rsidP="00FD4C8C">
            <w:pPr>
              <w:autoSpaceDE w:val="0"/>
              <w:autoSpaceDN w:val="0"/>
              <w:adjustRightInd w:val="0"/>
            </w:pPr>
            <w:proofErr w:type="spellStart"/>
            <w:r w:rsidRPr="005C6774">
              <w:t>Vorinostat</w:t>
            </w:r>
            <w:proofErr w:type="spellEnd"/>
            <w:r w:rsidRPr="005C6774">
              <w:t xml:space="preserve"> (Control)</w:t>
            </w:r>
          </w:p>
        </w:tc>
        <w:tc>
          <w:tcPr>
            <w:tcW w:w="2725" w:type="dxa"/>
            <w:noWrap/>
            <w:vAlign w:val="center"/>
          </w:tcPr>
          <w:p w14:paraId="0AA1C996" w14:textId="77777777" w:rsidR="009C1CD9" w:rsidRPr="005C6774" w:rsidRDefault="009C1CD9" w:rsidP="00FD4C8C">
            <w:pPr>
              <w:autoSpaceDE w:val="0"/>
              <w:autoSpaceDN w:val="0"/>
              <w:adjustRightInd w:val="0"/>
            </w:pPr>
            <w:r w:rsidRPr="005C6774">
              <w:t>5311</w:t>
            </w:r>
          </w:p>
        </w:tc>
        <w:tc>
          <w:tcPr>
            <w:tcW w:w="3415" w:type="dxa"/>
            <w:noWrap/>
            <w:vAlign w:val="center"/>
          </w:tcPr>
          <w:p w14:paraId="7BBF48D8" w14:textId="77777777" w:rsidR="009C1CD9" w:rsidRPr="005C6774" w:rsidRDefault="009C1CD9" w:rsidP="00FD4C8C">
            <w:pPr>
              <w:rPr>
                <w:color w:val="000000"/>
              </w:rPr>
            </w:pPr>
            <w:r w:rsidRPr="005C6774">
              <w:rPr>
                <w:color w:val="000000"/>
              </w:rPr>
              <w:t>-5.4</w:t>
            </w:r>
          </w:p>
        </w:tc>
      </w:tr>
    </w:tbl>
    <w:p w14:paraId="4EED71D1" w14:textId="77777777" w:rsidR="00D16CE7" w:rsidRPr="005C6774" w:rsidRDefault="009F1662">
      <w:r w:rsidRPr="005C6774">
        <w:br w:type="textWrapping" w:clear="all"/>
      </w:r>
    </w:p>
    <w:p w14:paraId="06343579" w14:textId="77777777" w:rsidR="00096BEF" w:rsidRPr="005C6774" w:rsidRDefault="00096BEF">
      <w:r w:rsidRPr="005C6774">
        <w:rPr>
          <w:noProof/>
        </w:rPr>
        <w:drawing>
          <wp:inline distT="0" distB="0" distL="0" distR="0" wp14:anchorId="2AC8E92C" wp14:editId="78A60A88">
            <wp:extent cx="3556996" cy="2019862"/>
            <wp:effectExtent l="0" t="0" r="5715" b="0"/>
            <wp:docPr id="7" name="Picture 7" descr="C:\Users\user\Documents\DR STANLEY COOU\DOCKING RESULTS\Binding interaction images\2D 5282217 binding interactions with 1pa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DR STANLEY COOU\DOCKING RESULTS\Binding interaction images\2D 5282217 binding interactions with 1pau for Brassica Pancrease.png"/>
                    <pic:cNvPicPr>
                      <a:picLocks noChangeAspect="1" noChangeArrowheads="1"/>
                    </pic:cNvPicPr>
                  </pic:nvPicPr>
                  <pic:blipFill rotWithShape="1">
                    <a:blip r:embed="rId21">
                      <a:extLst>
                        <a:ext uri="{28A0092B-C50C-407E-A947-70E740481C1C}">
                          <a14:useLocalDpi xmlns:a14="http://schemas.microsoft.com/office/drawing/2010/main" val="0"/>
                        </a:ext>
                      </a:extLst>
                    </a:blip>
                    <a:srcRect t="49098" r="10361"/>
                    <a:stretch/>
                  </pic:blipFill>
                  <pic:spPr bwMode="auto">
                    <a:xfrm>
                      <a:off x="0" y="0"/>
                      <a:ext cx="3587202" cy="2037015"/>
                    </a:xfrm>
                    <a:prstGeom prst="rect">
                      <a:avLst/>
                    </a:prstGeom>
                    <a:noFill/>
                    <a:ln>
                      <a:noFill/>
                    </a:ln>
                    <a:extLst>
                      <a:ext uri="{53640926-AAD7-44D8-BBD7-CCE9431645EC}">
                        <a14:shadowObscured xmlns:a14="http://schemas.microsoft.com/office/drawing/2010/main"/>
                      </a:ext>
                    </a:extLst>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00FD4C8C" w:rsidRPr="005C6774">
        <w:rPr>
          <w:noProof/>
        </w:rPr>
        <w:drawing>
          <wp:inline distT="0" distB="0" distL="0" distR="0" wp14:anchorId="14EF0389" wp14:editId="306769A0">
            <wp:extent cx="2339163" cy="2449644"/>
            <wp:effectExtent l="0" t="0" r="4445" b="8255"/>
            <wp:docPr id="8" name="Picture 8" descr="C:\Users\user\Documents\DR STANLEY COOU\DOCKING RESULTS\Binding interaction images\3D 5282217 binding interactions with 1pa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DR STANLEY COOU\DOCKING RESULTS\Binding interaction images\3D 5282217 binding interactions with 1pau for Brassica Pancrease.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23573" t="60079" r="25726"/>
                    <a:stretch/>
                  </pic:blipFill>
                  <pic:spPr bwMode="auto">
                    <a:xfrm>
                      <a:off x="0" y="0"/>
                      <a:ext cx="2344729" cy="2455473"/>
                    </a:xfrm>
                    <a:prstGeom prst="rect">
                      <a:avLst/>
                    </a:prstGeom>
                    <a:noFill/>
                    <a:ln>
                      <a:noFill/>
                    </a:ln>
                    <a:extLst>
                      <a:ext uri="{53640926-AAD7-44D8-BBD7-CCE9431645EC}">
                        <a14:shadowObscured xmlns:a14="http://schemas.microsoft.com/office/drawing/2010/main"/>
                      </a:ext>
                    </a:extLst>
                  </pic:spPr>
                </pic:pic>
              </a:graphicData>
            </a:graphic>
          </wp:inline>
        </w:drawing>
      </w:r>
    </w:p>
    <w:p w14:paraId="1BF40E91" w14:textId="77777777" w:rsidR="00096BEF" w:rsidRPr="005C6774" w:rsidRDefault="00096BEF"/>
    <w:p w14:paraId="7CDF9F92" w14:textId="77777777" w:rsidR="006F5E97" w:rsidRPr="005C6774" w:rsidRDefault="006F5E97" w:rsidP="006F5E97">
      <w:pPr>
        <w:rPr>
          <w:b/>
        </w:rPr>
      </w:pPr>
      <w:r w:rsidRPr="005C6774">
        <w:rPr>
          <w:b/>
        </w:rPr>
        <w:t xml:space="preserve">Fig. 7: 2D and 3D binding interactions of </w:t>
      </w:r>
      <w:r w:rsidRPr="005C6774">
        <w:rPr>
          <w:b/>
          <w:color w:val="000000"/>
        </w:rPr>
        <w:t>Neoxanthin</w:t>
      </w:r>
      <w:r w:rsidRPr="005C6774">
        <w:rPr>
          <w:b/>
        </w:rPr>
        <w:t xml:space="preserve"> with </w:t>
      </w:r>
      <w:r w:rsidR="009F2CB9" w:rsidRPr="005C6774">
        <w:rPr>
          <w:b/>
          <w:iCs/>
          <w:color w:val="000000" w:themeColor="text1"/>
        </w:rPr>
        <w:t>Apoptosis</w:t>
      </w:r>
      <w:r w:rsidR="009F2CB9" w:rsidRPr="005C6774">
        <w:rPr>
          <w:b/>
        </w:rPr>
        <w:t xml:space="preserve"> (PDB: 1PAU)</w:t>
      </w:r>
    </w:p>
    <w:p w14:paraId="29F9AE82" w14:textId="77777777" w:rsidR="006F5E97" w:rsidRPr="005C6774" w:rsidRDefault="006F5E97"/>
    <w:p w14:paraId="6AA87E7A" w14:textId="77777777" w:rsidR="00E217C3" w:rsidRPr="005C6774" w:rsidRDefault="005B6E05">
      <w:pPr>
        <w:rPr>
          <w:b/>
        </w:rPr>
      </w:pPr>
      <w:r w:rsidRPr="005C6774">
        <w:rPr>
          <w:b/>
        </w:rPr>
        <w:t xml:space="preserve">Table 7: Binding affinity of the bioactive compounds of </w:t>
      </w:r>
      <w:r w:rsidRPr="005C6774">
        <w:rPr>
          <w:b/>
          <w:i/>
        </w:rPr>
        <w:t>Brassica oleracea</w:t>
      </w:r>
      <w:r w:rsidRPr="005C6774">
        <w:rPr>
          <w:b/>
        </w:rPr>
        <w:t xml:space="preserve"> with </w:t>
      </w:r>
      <w:r w:rsidR="00CE42BF" w:rsidRPr="005C6774">
        <w:rPr>
          <w:b/>
          <w:iCs/>
          <w:color w:val="000000" w:themeColor="text1"/>
        </w:rPr>
        <w:t>Pancreatic function</w:t>
      </w:r>
      <w:r w:rsidRPr="005C6774">
        <w:rPr>
          <w:b/>
        </w:rPr>
        <w:t xml:space="preserve"> (PDB: </w:t>
      </w:r>
      <w:r w:rsidR="00E217C3" w:rsidRPr="005C6774">
        <w:rPr>
          <w:b/>
        </w:rPr>
        <w:t>1V4S</w:t>
      </w:r>
      <w:r w:rsidR="00CE42BF" w:rsidRPr="005C6774">
        <w:rPr>
          <w:b/>
        </w:rPr>
        <w:t>)</w:t>
      </w:r>
    </w:p>
    <w:p w14:paraId="5D08F293" w14:textId="77777777" w:rsidR="00CE42BF" w:rsidRPr="005C6774" w:rsidRDefault="00CE42BF">
      <w:pPr>
        <w:rPr>
          <w:b/>
        </w:rPr>
      </w:pPr>
    </w:p>
    <w:tbl>
      <w:tblPr>
        <w:tblW w:w="9751" w:type="dxa"/>
        <w:tblBorders>
          <w:top w:val="single" w:sz="4" w:space="0" w:color="auto"/>
          <w:bottom w:val="single" w:sz="4" w:space="0" w:color="auto"/>
        </w:tblBorders>
        <w:tblLook w:val="04A0" w:firstRow="1" w:lastRow="0" w:firstColumn="1" w:lastColumn="0" w:noHBand="0" w:noVBand="1"/>
      </w:tblPr>
      <w:tblGrid>
        <w:gridCol w:w="4440"/>
        <w:gridCol w:w="1945"/>
        <w:gridCol w:w="3366"/>
      </w:tblGrid>
      <w:tr w:rsidR="009C1CD9" w:rsidRPr="005C6774" w14:paraId="34F74776" w14:textId="77777777" w:rsidTr="00FD4C8C">
        <w:trPr>
          <w:trHeight w:val="297"/>
        </w:trPr>
        <w:tc>
          <w:tcPr>
            <w:tcW w:w="4440" w:type="dxa"/>
            <w:tcBorders>
              <w:top w:val="single" w:sz="4" w:space="0" w:color="auto"/>
              <w:bottom w:val="single" w:sz="4" w:space="0" w:color="auto"/>
            </w:tcBorders>
            <w:vAlign w:val="center"/>
          </w:tcPr>
          <w:p w14:paraId="3B4ECC97" w14:textId="77777777" w:rsidR="009C1CD9" w:rsidRPr="005C6774" w:rsidRDefault="00A961D4" w:rsidP="00FD4C8C">
            <w:pPr>
              <w:rPr>
                <w:b/>
                <w:color w:val="000000"/>
              </w:rPr>
            </w:pPr>
            <w:r w:rsidRPr="005C6774">
              <w:rPr>
                <w:b/>
                <w:color w:val="000000"/>
              </w:rPr>
              <w:t>Ligands</w:t>
            </w:r>
          </w:p>
        </w:tc>
        <w:tc>
          <w:tcPr>
            <w:tcW w:w="1945" w:type="dxa"/>
            <w:tcBorders>
              <w:top w:val="single" w:sz="4" w:space="0" w:color="auto"/>
              <w:bottom w:val="single" w:sz="4" w:space="0" w:color="auto"/>
            </w:tcBorders>
            <w:noWrap/>
            <w:vAlign w:val="center"/>
          </w:tcPr>
          <w:p w14:paraId="590B98DE" w14:textId="77777777" w:rsidR="009C1CD9" w:rsidRPr="005C6774" w:rsidRDefault="009C1CD9" w:rsidP="00FD4C8C">
            <w:pPr>
              <w:rPr>
                <w:b/>
                <w:color w:val="000000"/>
              </w:rPr>
            </w:pPr>
            <w:r w:rsidRPr="005C6774">
              <w:rPr>
                <w:b/>
                <w:color w:val="000000"/>
              </w:rPr>
              <w:t>PubChem CID</w:t>
            </w:r>
          </w:p>
        </w:tc>
        <w:tc>
          <w:tcPr>
            <w:tcW w:w="3366" w:type="dxa"/>
            <w:tcBorders>
              <w:top w:val="single" w:sz="4" w:space="0" w:color="auto"/>
              <w:bottom w:val="single" w:sz="4" w:space="0" w:color="auto"/>
            </w:tcBorders>
            <w:noWrap/>
            <w:vAlign w:val="center"/>
          </w:tcPr>
          <w:p w14:paraId="2CF45896" w14:textId="77777777" w:rsidR="009C1CD9" w:rsidRPr="005C6774" w:rsidRDefault="009C1CD9" w:rsidP="00FD4C8C">
            <w:pPr>
              <w:rPr>
                <w:b/>
                <w:color w:val="000000"/>
              </w:rPr>
            </w:pPr>
            <w:r w:rsidRPr="005C6774">
              <w:rPr>
                <w:b/>
                <w:color w:val="000000"/>
              </w:rPr>
              <w:t>Binding Affinity (Kcal/mol)</w:t>
            </w:r>
          </w:p>
        </w:tc>
      </w:tr>
      <w:tr w:rsidR="009C1CD9" w:rsidRPr="005C6774" w14:paraId="5C39241B" w14:textId="77777777" w:rsidTr="00FD4C8C">
        <w:trPr>
          <w:trHeight w:val="297"/>
        </w:trPr>
        <w:tc>
          <w:tcPr>
            <w:tcW w:w="4440" w:type="dxa"/>
            <w:tcBorders>
              <w:top w:val="single" w:sz="4" w:space="0" w:color="auto"/>
            </w:tcBorders>
            <w:vAlign w:val="center"/>
          </w:tcPr>
          <w:p w14:paraId="0D7D52F6" w14:textId="77777777" w:rsidR="009C1CD9" w:rsidRPr="005C6774" w:rsidRDefault="009C1CD9" w:rsidP="00FD4C8C">
            <w:pPr>
              <w:rPr>
                <w:color w:val="000000"/>
              </w:rPr>
            </w:pPr>
            <w:r w:rsidRPr="005C6774">
              <w:rPr>
                <w:color w:val="000000"/>
              </w:rPr>
              <w:t>Rutin</w:t>
            </w:r>
          </w:p>
        </w:tc>
        <w:tc>
          <w:tcPr>
            <w:tcW w:w="1945" w:type="dxa"/>
            <w:tcBorders>
              <w:top w:val="single" w:sz="4" w:space="0" w:color="auto"/>
            </w:tcBorders>
            <w:noWrap/>
            <w:vAlign w:val="center"/>
            <w:hideMark/>
          </w:tcPr>
          <w:p w14:paraId="1BE459B9" w14:textId="77777777" w:rsidR="009C1CD9" w:rsidRPr="005C6774" w:rsidRDefault="009C1CD9" w:rsidP="00FD4C8C">
            <w:pPr>
              <w:rPr>
                <w:color w:val="000000"/>
              </w:rPr>
            </w:pPr>
            <w:r w:rsidRPr="005C6774">
              <w:rPr>
                <w:color w:val="000000"/>
              </w:rPr>
              <w:t>5280805</w:t>
            </w:r>
          </w:p>
        </w:tc>
        <w:tc>
          <w:tcPr>
            <w:tcW w:w="3366" w:type="dxa"/>
            <w:tcBorders>
              <w:top w:val="single" w:sz="4" w:space="0" w:color="auto"/>
            </w:tcBorders>
            <w:noWrap/>
            <w:vAlign w:val="center"/>
            <w:hideMark/>
          </w:tcPr>
          <w:p w14:paraId="2252C415" w14:textId="77777777" w:rsidR="009C1CD9" w:rsidRPr="005C6774" w:rsidRDefault="009C1CD9" w:rsidP="00FD4C8C">
            <w:pPr>
              <w:rPr>
                <w:color w:val="000000"/>
              </w:rPr>
            </w:pPr>
            <w:r w:rsidRPr="005C6774">
              <w:rPr>
                <w:color w:val="000000"/>
              </w:rPr>
              <w:t>-9.1</w:t>
            </w:r>
          </w:p>
        </w:tc>
      </w:tr>
      <w:tr w:rsidR="009C1CD9" w:rsidRPr="005C6774" w14:paraId="0AF02507" w14:textId="77777777" w:rsidTr="00FD4C8C">
        <w:trPr>
          <w:trHeight w:val="297"/>
        </w:trPr>
        <w:tc>
          <w:tcPr>
            <w:tcW w:w="4440" w:type="dxa"/>
            <w:vAlign w:val="center"/>
          </w:tcPr>
          <w:p w14:paraId="172B0EC8" w14:textId="77777777" w:rsidR="009C1CD9" w:rsidRPr="005C6774" w:rsidRDefault="00062065" w:rsidP="00FD4C8C">
            <w:pPr>
              <w:rPr>
                <w:color w:val="000000"/>
              </w:rPr>
            </w:pPr>
            <w:r w:rsidRPr="005C6774">
              <w:rPr>
                <w:color w:val="000000"/>
              </w:rPr>
              <w:t>Kaempferol-3-sophoroside-7-glucoside</w:t>
            </w:r>
          </w:p>
        </w:tc>
        <w:tc>
          <w:tcPr>
            <w:tcW w:w="1945" w:type="dxa"/>
            <w:noWrap/>
            <w:vAlign w:val="center"/>
            <w:hideMark/>
          </w:tcPr>
          <w:p w14:paraId="69E2C281" w14:textId="77777777" w:rsidR="009C1CD9" w:rsidRPr="005C6774" w:rsidRDefault="009C1CD9" w:rsidP="00FD4C8C">
            <w:pPr>
              <w:rPr>
                <w:color w:val="000000"/>
              </w:rPr>
            </w:pPr>
            <w:r w:rsidRPr="005C6774">
              <w:rPr>
                <w:color w:val="000000"/>
              </w:rPr>
              <w:t>12960459</w:t>
            </w:r>
          </w:p>
        </w:tc>
        <w:tc>
          <w:tcPr>
            <w:tcW w:w="3366" w:type="dxa"/>
            <w:noWrap/>
            <w:vAlign w:val="center"/>
            <w:hideMark/>
          </w:tcPr>
          <w:p w14:paraId="3B4CC361" w14:textId="77777777" w:rsidR="009C1CD9" w:rsidRPr="005C6774" w:rsidRDefault="009C1CD9" w:rsidP="00FD4C8C">
            <w:pPr>
              <w:rPr>
                <w:color w:val="000000"/>
              </w:rPr>
            </w:pPr>
            <w:r w:rsidRPr="005C6774">
              <w:rPr>
                <w:color w:val="000000"/>
              </w:rPr>
              <w:t>-8.5</w:t>
            </w:r>
          </w:p>
        </w:tc>
      </w:tr>
      <w:tr w:rsidR="009C1CD9" w:rsidRPr="005C6774" w14:paraId="1BC55E6A" w14:textId="77777777" w:rsidTr="00FD4C8C">
        <w:trPr>
          <w:trHeight w:val="297"/>
        </w:trPr>
        <w:tc>
          <w:tcPr>
            <w:tcW w:w="4440" w:type="dxa"/>
            <w:vAlign w:val="center"/>
          </w:tcPr>
          <w:p w14:paraId="39C92747" w14:textId="77777777" w:rsidR="009C1CD9" w:rsidRPr="005C6774" w:rsidRDefault="009C1CD9" w:rsidP="00FD4C8C">
            <w:pPr>
              <w:rPr>
                <w:color w:val="000000"/>
              </w:rPr>
            </w:pPr>
            <w:r w:rsidRPr="005C6774">
              <w:rPr>
                <w:color w:val="000000"/>
              </w:rPr>
              <w:t>Quercetin-3-sophoroside-7-glucoside</w:t>
            </w:r>
          </w:p>
        </w:tc>
        <w:tc>
          <w:tcPr>
            <w:tcW w:w="1945" w:type="dxa"/>
            <w:noWrap/>
            <w:vAlign w:val="center"/>
            <w:hideMark/>
          </w:tcPr>
          <w:p w14:paraId="74F4AF4C" w14:textId="77777777" w:rsidR="009C1CD9" w:rsidRPr="005C6774" w:rsidRDefault="009C1CD9" w:rsidP="00FD4C8C">
            <w:pPr>
              <w:rPr>
                <w:color w:val="000000"/>
              </w:rPr>
            </w:pPr>
            <w:r w:rsidRPr="005C6774">
              <w:rPr>
                <w:color w:val="000000"/>
              </w:rPr>
              <w:t>44259167</w:t>
            </w:r>
          </w:p>
        </w:tc>
        <w:tc>
          <w:tcPr>
            <w:tcW w:w="3366" w:type="dxa"/>
            <w:noWrap/>
            <w:vAlign w:val="center"/>
            <w:hideMark/>
          </w:tcPr>
          <w:p w14:paraId="69F5F503" w14:textId="77777777" w:rsidR="009C1CD9" w:rsidRPr="005C6774" w:rsidRDefault="009C1CD9" w:rsidP="00FD4C8C">
            <w:pPr>
              <w:rPr>
                <w:color w:val="000000"/>
              </w:rPr>
            </w:pPr>
            <w:r w:rsidRPr="005C6774">
              <w:rPr>
                <w:color w:val="000000"/>
              </w:rPr>
              <w:t>-8.1</w:t>
            </w:r>
          </w:p>
        </w:tc>
      </w:tr>
      <w:tr w:rsidR="009C1CD9" w:rsidRPr="005C6774" w14:paraId="65BFA50D" w14:textId="77777777" w:rsidTr="00FD4C8C">
        <w:trPr>
          <w:trHeight w:val="297"/>
        </w:trPr>
        <w:tc>
          <w:tcPr>
            <w:tcW w:w="4440" w:type="dxa"/>
            <w:vAlign w:val="center"/>
          </w:tcPr>
          <w:p w14:paraId="7DC3D8AD" w14:textId="77777777" w:rsidR="009C1CD9" w:rsidRPr="005C6774" w:rsidRDefault="00062065" w:rsidP="00FD4C8C">
            <w:pPr>
              <w:rPr>
                <w:color w:val="000000"/>
              </w:rPr>
            </w:pPr>
            <w:r w:rsidRPr="005C6774">
              <w:rPr>
                <w:color w:val="000000"/>
              </w:rPr>
              <w:t>Kaempferol-3-sophoroside</w:t>
            </w:r>
          </w:p>
        </w:tc>
        <w:tc>
          <w:tcPr>
            <w:tcW w:w="1945" w:type="dxa"/>
            <w:noWrap/>
            <w:vAlign w:val="center"/>
            <w:hideMark/>
          </w:tcPr>
          <w:p w14:paraId="5D5C72AF" w14:textId="77777777" w:rsidR="009C1CD9" w:rsidRPr="005C6774" w:rsidRDefault="009C1CD9" w:rsidP="00FD4C8C">
            <w:pPr>
              <w:rPr>
                <w:color w:val="000000"/>
              </w:rPr>
            </w:pPr>
            <w:r w:rsidRPr="005C6774">
              <w:rPr>
                <w:color w:val="000000"/>
              </w:rPr>
              <w:t>5282155</w:t>
            </w:r>
          </w:p>
        </w:tc>
        <w:tc>
          <w:tcPr>
            <w:tcW w:w="3366" w:type="dxa"/>
            <w:noWrap/>
            <w:vAlign w:val="center"/>
            <w:hideMark/>
          </w:tcPr>
          <w:p w14:paraId="3EA89DEF" w14:textId="77777777" w:rsidR="009C1CD9" w:rsidRPr="005C6774" w:rsidRDefault="009C1CD9" w:rsidP="00FD4C8C">
            <w:pPr>
              <w:rPr>
                <w:color w:val="000000"/>
              </w:rPr>
            </w:pPr>
            <w:r w:rsidRPr="005C6774">
              <w:rPr>
                <w:color w:val="000000"/>
              </w:rPr>
              <w:t>-8.1</w:t>
            </w:r>
          </w:p>
        </w:tc>
      </w:tr>
      <w:tr w:rsidR="009C1CD9" w:rsidRPr="005C6774" w14:paraId="00DB5589" w14:textId="77777777" w:rsidTr="00FD4C8C">
        <w:trPr>
          <w:trHeight w:val="297"/>
        </w:trPr>
        <w:tc>
          <w:tcPr>
            <w:tcW w:w="4440" w:type="dxa"/>
            <w:vAlign w:val="center"/>
          </w:tcPr>
          <w:p w14:paraId="042BCBA7" w14:textId="77777777" w:rsidR="009C1CD9" w:rsidRPr="005C6774" w:rsidRDefault="00062065" w:rsidP="00FD4C8C">
            <w:pPr>
              <w:rPr>
                <w:color w:val="000000"/>
              </w:rPr>
            </w:pPr>
            <w:r w:rsidRPr="005C6774">
              <w:rPr>
                <w:color w:val="000000"/>
              </w:rPr>
              <w:t>D-glucosamine</w:t>
            </w:r>
          </w:p>
        </w:tc>
        <w:tc>
          <w:tcPr>
            <w:tcW w:w="1945" w:type="dxa"/>
            <w:noWrap/>
            <w:vAlign w:val="center"/>
            <w:hideMark/>
          </w:tcPr>
          <w:p w14:paraId="1F3076AC" w14:textId="77777777" w:rsidR="009C1CD9" w:rsidRPr="005C6774" w:rsidRDefault="009C1CD9" w:rsidP="00FD4C8C">
            <w:pPr>
              <w:rPr>
                <w:color w:val="000000"/>
              </w:rPr>
            </w:pPr>
            <w:r w:rsidRPr="005C6774">
              <w:rPr>
                <w:color w:val="000000"/>
              </w:rPr>
              <w:t>439213</w:t>
            </w:r>
          </w:p>
        </w:tc>
        <w:tc>
          <w:tcPr>
            <w:tcW w:w="3366" w:type="dxa"/>
            <w:noWrap/>
            <w:vAlign w:val="center"/>
            <w:hideMark/>
          </w:tcPr>
          <w:p w14:paraId="21457662" w14:textId="77777777" w:rsidR="009C1CD9" w:rsidRPr="005C6774" w:rsidRDefault="009C1CD9" w:rsidP="00FD4C8C">
            <w:pPr>
              <w:rPr>
                <w:color w:val="000000"/>
              </w:rPr>
            </w:pPr>
            <w:r w:rsidRPr="005C6774">
              <w:rPr>
                <w:color w:val="000000"/>
              </w:rPr>
              <w:t>-7.8</w:t>
            </w:r>
          </w:p>
        </w:tc>
      </w:tr>
      <w:tr w:rsidR="009C1CD9" w:rsidRPr="005C6774" w14:paraId="2A43D3EC" w14:textId="77777777" w:rsidTr="00FD4C8C">
        <w:trPr>
          <w:trHeight w:val="297"/>
        </w:trPr>
        <w:tc>
          <w:tcPr>
            <w:tcW w:w="4440" w:type="dxa"/>
            <w:vAlign w:val="center"/>
          </w:tcPr>
          <w:p w14:paraId="796D2AA1" w14:textId="77777777" w:rsidR="009C1CD9" w:rsidRPr="005C6774" w:rsidRDefault="009C1CD9" w:rsidP="00FD4C8C">
            <w:pPr>
              <w:autoSpaceDE w:val="0"/>
              <w:autoSpaceDN w:val="0"/>
              <w:adjustRightInd w:val="0"/>
            </w:pPr>
            <w:r w:rsidRPr="005C6774">
              <w:t>Sitagliptin (Control)</w:t>
            </w:r>
          </w:p>
        </w:tc>
        <w:tc>
          <w:tcPr>
            <w:tcW w:w="1945" w:type="dxa"/>
            <w:noWrap/>
            <w:vAlign w:val="center"/>
          </w:tcPr>
          <w:p w14:paraId="6C0955BA" w14:textId="77777777" w:rsidR="009C1CD9" w:rsidRPr="005C6774" w:rsidRDefault="009C1CD9" w:rsidP="00FD4C8C">
            <w:pPr>
              <w:autoSpaceDE w:val="0"/>
              <w:autoSpaceDN w:val="0"/>
              <w:adjustRightInd w:val="0"/>
            </w:pPr>
            <w:r w:rsidRPr="005C6774">
              <w:t>4369359</w:t>
            </w:r>
          </w:p>
        </w:tc>
        <w:tc>
          <w:tcPr>
            <w:tcW w:w="3366" w:type="dxa"/>
            <w:noWrap/>
            <w:vAlign w:val="center"/>
          </w:tcPr>
          <w:p w14:paraId="3D2AB3E3" w14:textId="77777777" w:rsidR="009C1CD9" w:rsidRPr="005C6774" w:rsidRDefault="009C1CD9" w:rsidP="00FD4C8C">
            <w:pPr>
              <w:rPr>
                <w:color w:val="000000"/>
              </w:rPr>
            </w:pPr>
            <w:r w:rsidRPr="005C6774">
              <w:rPr>
                <w:color w:val="000000"/>
              </w:rPr>
              <w:t>-7.7</w:t>
            </w:r>
          </w:p>
        </w:tc>
      </w:tr>
      <w:tr w:rsidR="009C1CD9" w:rsidRPr="005C6774" w14:paraId="1201B7C6" w14:textId="77777777" w:rsidTr="00FD4C8C">
        <w:trPr>
          <w:trHeight w:val="297"/>
        </w:trPr>
        <w:tc>
          <w:tcPr>
            <w:tcW w:w="4440" w:type="dxa"/>
            <w:vAlign w:val="center"/>
          </w:tcPr>
          <w:p w14:paraId="0725D104" w14:textId="77777777" w:rsidR="009C1CD9" w:rsidRPr="005C6774" w:rsidRDefault="009C1CD9" w:rsidP="00FD4C8C">
            <w:pPr>
              <w:autoSpaceDE w:val="0"/>
              <w:autoSpaceDN w:val="0"/>
              <w:adjustRightInd w:val="0"/>
            </w:pPr>
            <w:r w:rsidRPr="005C6774">
              <w:t>Metformin (Control)</w:t>
            </w:r>
          </w:p>
        </w:tc>
        <w:tc>
          <w:tcPr>
            <w:tcW w:w="1945" w:type="dxa"/>
            <w:noWrap/>
            <w:vAlign w:val="center"/>
          </w:tcPr>
          <w:p w14:paraId="50D0367B" w14:textId="77777777" w:rsidR="009C1CD9" w:rsidRPr="005C6774" w:rsidRDefault="009C1CD9" w:rsidP="00FD4C8C">
            <w:pPr>
              <w:autoSpaceDE w:val="0"/>
              <w:autoSpaceDN w:val="0"/>
              <w:adjustRightInd w:val="0"/>
            </w:pPr>
            <w:r w:rsidRPr="005C6774">
              <w:t>4091</w:t>
            </w:r>
          </w:p>
        </w:tc>
        <w:tc>
          <w:tcPr>
            <w:tcW w:w="3366" w:type="dxa"/>
            <w:noWrap/>
            <w:vAlign w:val="center"/>
          </w:tcPr>
          <w:p w14:paraId="5EC6F715" w14:textId="77777777" w:rsidR="009C1CD9" w:rsidRPr="005C6774" w:rsidRDefault="009C1CD9" w:rsidP="00FD4C8C">
            <w:pPr>
              <w:rPr>
                <w:color w:val="000000"/>
              </w:rPr>
            </w:pPr>
            <w:r w:rsidRPr="005C6774">
              <w:rPr>
                <w:color w:val="000000"/>
              </w:rPr>
              <w:t>-5</w:t>
            </w:r>
          </w:p>
        </w:tc>
      </w:tr>
    </w:tbl>
    <w:p w14:paraId="66F3E3EB" w14:textId="77777777" w:rsidR="00E217C3" w:rsidRPr="005C6774" w:rsidRDefault="00E217C3"/>
    <w:p w14:paraId="357BA908" w14:textId="77777777" w:rsidR="00096BEF" w:rsidRPr="005C6774" w:rsidRDefault="00096BEF">
      <w:r w:rsidRPr="005C6774">
        <w:rPr>
          <w:noProof/>
        </w:rPr>
        <w:lastRenderedPageBreak/>
        <w:drawing>
          <wp:inline distT="0" distB="0" distL="0" distR="0" wp14:anchorId="0A4BE436" wp14:editId="1C7EB13A">
            <wp:extent cx="2870791" cy="2870791"/>
            <wp:effectExtent l="0" t="0" r="6350" b="6350"/>
            <wp:docPr id="9" name="Picture 9" descr="C:\Users\user\Documents\DR STANLEY COOU\DOCKING RESULTS\Binding interaction images\2D 5280805 binding interactions with 1v4s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DR STANLEY COOU\DOCKING RESULTS\Binding interaction images\2D 5280805 binding interactions with 1v4s for Brassica Pancrease.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1709" cy="2881709"/>
                    </a:xfrm>
                    <a:prstGeom prst="rect">
                      <a:avLst/>
                    </a:prstGeom>
                    <a:noFill/>
                    <a:ln>
                      <a:noFill/>
                    </a:ln>
                  </pic:spPr>
                </pic:pic>
              </a:graphicData>
            </a:graphic>
          </wp:inline>
        </w:drawing>
      </w:r>
      <w:r w:rsidRPr="005C6774">
        <w:rPr>
          <w:snapToGrid w:val="0"/>
          <w:color w:val="000000"/>
          <w:w w:val="0"/>
          <w:u w:color="000000"/>
          <w:bdr w:val="none" w:sz="0" w:space="0" w:color="000000"/>
          <w:shd w:val="clear" w:color="000000" w:fill="000000"/>
          <w:lang w:val="x-none" w:eastAsia="x-none" w:bidi="x-none"/>
        </w:rPr>
        <w:t xml:space="preserve"> </w:t>
      </w:r>
      <w:r w:rsidRPr="005C6774">
        <w:rPr>
          <w:noProof/>
        </w:rPr>
        <w:drawing>
          <wp:inline distT="0" distB="0" distL="0" distR="0" wp14:anchorId="4361CE18" wp14:editId="1A2C4843">
            <wp:extent cx="2765375" cy="2200940"/>
            <wp:effectExtent l="0" t="0" r="0" b="8890"/>
            <wp:docPr id="10" name="Picture 10" descr="C:\Users\user\Documents\DR STANLEY COOU\DOCKING RESULTS\Binding interaction images\3D 5280805 binding interactions with 1v4s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DR STANLEY COOU\DOCKING RESULTS\Binding interaction images\3D 5280805 binding interactions with 1v4s for Brassica Pancreas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l="9841" t="13960" r="19494"/>
                    <a:stretch/>
                  </pic:blipFill>
                  <pic:spPr bwMode="auto">
                    <a:xfrm>
                      <a:off x="0" y="0"/>
                      <a:ext cx="2777902" cy="2210910"/>
                    </a:xfrm>
                    <a:prstGeom prst="rect">
                      <a:avLst/>
                    </a:prstGeom>
                    <a:noFill/>
                    <a:ln>
                      <a:noFill/>
                    </a:ln>
                    <a:extLst>
                      <a:ext uri="{53640926-AAD7-44D8-BBD7-CCE9431645EC}">
                        <a14:shadowObscured xmlns:a14="http://schemas.microsoft.com/office/drawing/2010/main"/>
                      </a:ext>
                    </a:extLst>
                  </pic:spPr>
                </pic:pic>
              </a:graphicData>
            </a:graphic>
          </wp:inline>
        </w:drawing>
      </w:r>
    </w:p>
    <w:p w14:paraId="641058A4" w14:textId="77777777" w:rsidR="009F2CB9" w:rsidRPr="005C6774" w:rsidRDefault="009F2CB9" w:rsidP="009F2CB9">
      <w:pPr>
        <w:rPr>
          <w:b/>
        </w:rPr>
      </w:pPr>
      <w:r w:rsidRPr="005C6774">
        <w:rPr>
          <w:b/>
        </w:rPr>
        <w:t xml:space="preserve">Fig. 8: 2D and 3D binding interactions of </w:t>
      </w:r>
      <w:r w:rsidRPr="005C6774">
        <w:rPr>
          <w:b/>
          <w:color w:val="000000"/>
        </w:rPr>
        <w:t>Rutin</w:t>
      </w:r>
      <w:r w:rsidRPr="005C6774">
        <w:rPr>
          <w:b/>
        </w:rPr>
        <w:t xml:space="preserve"> with </w:t>
      </w:r>
      <w:r w:rsidRPr="005C6774">
        <w:rPr>
          <w:b/>
          <w:iCs/>
          <w:color w:val="000000" w:themeColor="text1"/>
        </w:rPr>
        <w:t>Pancreatic function</w:t>
      </w:r>
      <w:r w:rsidRPr="005C6774">
        <w:rPr>
          <w:b/>
        </w:rPr>
        <w:t xml:space="preserve"> (PDB: 1V4S)</w:t>
      </w:r>
    </w:p>
    <w:p w14:paraId="62258962" w14:textId="77777777" w:rsidR="00096BEF" w:rsidRPr="005C6774" w:rsidRDefault="00096BEF"/>
    <w:p w14:paraId="55144D77" w14:textId="77777777" w:rsidR="00096BEF" w:rsidRPr="005C6774" w:rsidRDefault="00096BEF"/>
    <w:p w14:paraId="06ECB868" w14:textId="77777777" w:rsidR="00A63216" w:rsidRPr="005C6774" w:rsidRDefault="00232566">
      <w:pPr>
        <w:rPr>
          <w:b/>
        </w:rPr>
      </w:pPr>
      <w:r w:rsidRPr="005C6774">
        <w:rPr>
          <w:b/>
        </w:rPr>
        <w:t xml:space="preserve">Table 8: Binding affinity of the bioactive compounds of </w:t>
      </w:r>
      <w:r w:rsidRPr="005C6774">
        <w:rPr>
          <w:b/>
          <w:i/>
        </w:rPr>
        <w:t>Brassica oleracea</w:t>
      </w:r>
      <w:r w:rsidRPr="005C6774">
        <w:rPr>
          <w:b/>
        </w:rPr>
        <w:t xml:space="preserve"> with </w:t>
      </w:r>
      <w:r w:rsidRPr="005C6774">
        <w:rPr>
          <w:b/>
          <w:iCs/>
          <w:color w:val="000000" w:themeColor="text1"/>
        </w:rPr>
        <w:t>Glutathione-S-transferase</w:t>
      </w:r>
      <w:r w:rsidRPr="005C6774">
        <w:rPr>
          <w:b/>
        </w:rPr>
        <w:t xml:space="preserve"> (PDB: </w:t>
      </w:r>
      <w:r w:rsidR="00A63216" w:rsidRPr="005C6774">
        <w:rPr>
          <w:b/>
        </w:rPr>
        <w:t>2GTU</w:t>
      </w:r>
      <w:r w:rsidRPr="005C6774">
        <w:rPr>
          <w:b/>
        </w:rPr>
        <w:t>)</w:t>
      </w:r>
    </w:p>
    <w:p w14:paraId="426B3005" w14:textId="77777777" w:rsidR="00232566" w:rsidRPr="005C6774" w:rsidRDefault="00232566">
      <w:pPr>
        <w:rPr>
          <w:b/>
        </w:rPr>
      </w:pPr>
    </w:p>
    <w:tbl>
      <w:tblPr>
        <w:tblW w:w="9370" w:type="dxa"/>
        <w:tblBorders>
          <w:top w:val="single" w:sz="4" w:space="0" w:color="auto"/>
          <w:bottom w:val="single" w:sz="4" w:space="0" w:color="auto"/>
        </w:tblBorders>
        <w:tblLook w:val="04A0" w:firstRow="1" w:lastRow="0" w:firstColumn="1" w:lastColumn="0" w:noHBand="0" w:noVBand="1"/>
      </w:tblPr>
      <w:tblGrid>
        <w:gridCol w:w="3745"/>
        <w:gridCol w:w="2460"/>
        <w:gridCol w:w="3165"/>
      </w:tblGrid>
      <w:tr w:rsidR="009C1CD9" w:rsidRPr="005C6774" w14:paraId="0731BF47" w14:textId="77777777" w:rsidTr="001B32F3">
        <w:trPr>
          <w:trHeight w:val="300"/>
        </w:trPr>
        <w:tc>
          <w:tcPr>
            <w:tcW w:w="3745" w:type="dxa"/>
            <w:tcBorders>
              <w:top w:val="single" w:sz="4" w:space="0" w:color="auto"/>
              <w:bottom w:val="single" w:sz="4" w:space="0" w:color="auto"/>
            </w:tcBorders>
            <w:vAlign w:val="center"/>
          </w:tcPr>
          <w:p w14:paraId="251DF92C" w14:textId="77777777" w:rsidR="009C1CD9" w:rsidRPr="005C6774" w:rsidRDefault="00A961D4" w:rsidP="001B32F3">
            <w:pPr>
              <w:rPr>
                <w:b/>
                <w:color w:val="000000"/>
              </w:rPr>
            </w:pPr>
            <w:r w:rsidRPr="005C6774">
              <w:rPr>
                <w:b/>
                <w:color w:val="000000"/>
              </w:rPr>
              <w:t>Ligands</w:t>
            </w:r>
          </w:p>
        </w:tc>
        <w:tc>
          <w:tcPr>
            <w:tcW w:w="2460" w:type="dxa"/>
            <w:tcBorders>
              <w:top w:val="single" w:sz="4" w:space="0" w:color="auto"/>
              <w:bottom w:val="single" w:sz="4" w:space="0" w:color="auto"/>
            </w:tcBorders>
            <w:noWrap/>
            <w:vAlign w:val="center"/>
            <w:hideMark/>
          </w:tcPr>
          <w:p w14:paraId="09ECE029" w14:textId="77777777" w:rsidR="009C1CD9" w:rsidRPr="005C6774" w:rsidRDefault="009C1CD9" w:rsidP="001B32F3">
            <w:pPr>
              <w:rPr>
                <w:b/>
                <w:color w:val="000000"/>
              </w:rPr>
            </w:pPr>
            <w:r w:rsidRPr="005C6774">
              <w:rPr>
                <w:b/>
                <w:color w:val="000000"/>
              </w:rPr>
              <w:t>PubChem CID</w:t>
            </w:r>
          </w:p>
        </w:tc>
        <w:tc>
          <w:tcPr>
            <w:tcW w:w="3165" w:type="dxa"/>
            <w:tcBorders>
              <w:top w:val="single" w:sz="4" w:space="0" w:color="auto"/>
              <w:bottom w:val="single" w:sz="4" w:space="0" w:color="auto"/>
            </w:tcBorders>
            <w:noWrap/>
            <w:vAlign w:val="center"/>
            <w:hideMark/>
          </w:tcPr>
          <w:p w14:paraId="5F6029D5" w14:textId="77777777" w:rsidR="009C1CD9" w:rsidRPr="005C6774" w:rsidRDefault="009C1CD9" w:rsidP="001B32F3">
            <w:pPr>
              <w:rPr>
                <w:b/>
                <w:color w:val="000000"/>
              </w:rPr>
            </w:pPr>
            <w:r w:rsidRPr="005C6774">
              <w:rPr>
                <w:b/>
                <w:color w:val="000000"/>
              </w:rPr>
              <w:t>Binding Affinity (Kcal/mol)</w:t>
            </w:r>
          </w:p>
        </w:tc>
      </w:tr>
      <w:tr w:rsidR="009C1CD9" w:rsidRPr="005C6774" w14:paraId="64E9351A" w14:textId="77777777" w:rsidTr="001B32F3">
        <w:trPr>
          <w:trHeight w:val="300"/>
        </w:trPr>
        <w:tc>
          <w:tcPr>
            <w:tcW w:w="3745" w:type="dxa"/>
            <w:tcBorders>
              <w:top w:val="single" w:sz="4" w:space="0" w:color="auto"/>
            </w:tcBorders>
            <w:vAlign w:val="center"/>
          </w:tcPr>
          <w:p w14:paraId="1A83B3AD" w14:textId="77777777" w:rsidR="009C1CD9" w:rsidRPr="005C6774" w:rsidRDefault="009C1CD9" w:rsidP="001B32F3">
            <w:pPr>
              <w:rPr>
                <w:color w:val="000000"/>
              </w:rPr>
            </w:pPr>
            <w:r w:rsidRPr="005C6774">
              <w:rPr>
                <w:color w:val="000000"/>
              </w:rPr>
              <w:t>Apigenin</w:t>
            </w:r>
          </w:p>
        </w:tc>
        <w:tc>
          <w:tcPr>
            <w:tcW w:w="2460" w:type="dxa"/>
            <w:tcBorders>
              <w:top w:val="single" w:sz="4" w:space="0" w:color="auto"/>
            </w:tcBorders>
            <w:noWrap/>
            <w:vAlign w:val="center"/>
            <w:hideMark/>
          </w:tcPr>
          <w:p w14:paraId="4990C61E" w14:textId="77777777" w:rsidR="009C1CD9" w:rsidRPr="005C6774" w:rsidRDefault="009C1CD9" w:rsidP="001B32F3">
            <w:pPr>
              <w:rPr>
                <w:color w:val="000000"/>
              </w:rPr>
            </w:pPr>
            <w:r w:rsidRPr="005C6774">
              <w:rPr>
                <w:color w:val="000000"/>
              </w:rPr>
              <w:t>5280443</w:t>
            </w:r>
          </w:p>
        </w:tc>
        <w:tc>
          <w:tcPr>
            <w:tcW w:w="3165" w:type="dxa"/>
            <w:tcBorders>
              <w:top w:val="single" w:sz="4" w:space="0" w:color="auto"/>
            </w:tcBorders>
            <w:noWrap/>
            <w:vAlign w:val="center"/>
            <w:hideMark/>
          </w:tcPr>
          <w:p w14:paraId="520D57AC" w14:textId="77777777" w:rsidR="009C1CD9" w:rsidRPr="005C6774" w:rsidRDefault="009C1CD9" w:rsidP="001B32F3">
            <w:pPr>
              <w:rPr>
                <w:color w:val="000000"/>
              </w:rPr>
            </w:pPr>
            <w:r w:rsidRPr="005C6774">
              <w:rPr>
                <w:color w:val="000000"/>
              </w:rPr>
              <w:t>-6.8</w:t>
            </w:r>
          </w:p>
        </w:tc>
      </w:tr>
      <w:tr w:rsidR="009C1CD9" w:rsidRPr="005C6774" w14:paraId="0F564ED6" w14:textId="77777777" w:rsidTr="001B32F3">
        <w:trPr>
          <w:trHeight w:val="300"/>
        </w:trPr>
        <w:tc>
          <w:tcPr>
            <w:tcW w:w="3745" w:type="dxa"/>
            <w:vAlign w:val="center"/>
          </w:tcPr>
          <w:p w14:paraId="61A71B8E" w14:textId="77777777" w:rsidR="009C1CD9" w:rsidRPr="005C6774" w:rsidRDefault="00062065" w:rsidP="001B32F3">
            <w:pPr>
              <w:rPr>
                <w:color w:val="000000"/>
              </w:rPr>
            </w:pPr>
            <w:r w:rsidRPr="005C6774">
              <w:rPr>
                <w:color w:val="000000"/>
              </w:rPr>
              <w:t>Kaempferol</w:t>
            </w:r>
          </w:p>
        </w:tc>
        <w:tc>
          <w:tcPr>
            <w:tcW w:w="2460" w:type="dxa"/>
            <w:noWrap/>
            <w:vAlign w:val="center"/>
            <w:hideMark/>
          </w:tcPr>
          <w:p w14:paraId="62D9131D" w14:textId="77777777" w:rsidR="009C1CD9" w:rsidRPr="005C6774" w:rsidRDefault="009C1CD9" w:rsidP="001B32F3">
            <w:pPr>
              <w:rPr>
                <w:color w:val="000000"/>
              </w:rPr>
            </w:pPr>
            <w:r w:rsidRPr="005C6774">
              <w:rPr>
                <w:color w:val="000000"/>
              </w:rPr>
              <w:t>5280863</w:t>
            </w:r>
          </w:p>
        </w:tc>
        <w:tc>
          <w:tcPr>
            <w:tcW w:w="3165" w:type="dxa"/>
            <w:noWrap/>
            <w:vAlign w:val="center"/>
            <w:hideMark/>
          </w:tcPr>
          <w:p w14:paraId="3CBF3B64" w14:textId="77777777" w:rsidR="009C1CD9" w:rsidRPr="005C6774" w:rsidRDefault="009C1CD9" w:rsidP="001B32F3">
            <w:pPr>
              <w:rPr>
                <w:color w:val="000000"/>
              </w:rPr>
            </w:pPr>
            <w:r w:rsidRPr="005C6774">
              <w:rPr>
                <w:color w:val="000000"/>
              </w:rPr>
              <w:t>-6.7</w:t>
            </w:r>
          </w:p>
        </w:tc>
      </w:tr>
      <w:tr w:rsidR="009C1CD9" w:rsidRPr="005C6774" w14:paraId="75895A24" w14:textId="77777777" w:rsidTr="001B32F3">
        <w:trPr>
          <w:trHeight w:val="300"/>
        </w:trPr>
        <w:tc>
          <w:tcPr>
            <w:tcW w:w="3745" w:type="dxa"/>
            <w:vAlign w:val="center"/>
          </w:tcPr>
          <w:p w14:paraId="7D1B239B" w14:textId="77777777" w:rsidR="009C1CD9" w:rsidRPr="005C6774" w:rsidRDefault="00062065" w:rsidP="001B32F3">
            <w:pPr>
              <w:rPr>
                <w:color w:val="000000"/>
              </w:rPr>
            </w:pPr>
            <w:r w:rsidRPr="005C6774">
              <w:rPr>
                <w:color w:val="000000"/>
              </w:rPr>
              <w:t>Luteolin</w:t>
            </w:r>
          </w:p>
        </w:tc>
        <w:tc>
          <w:tcPr>
            <w:tcW w:w="2460" w:type="dxa"/>
            <w:noWrap/>
            <w:vAlign w:val="center"/>
            <w:hideMark/>
          </w:tcPr>
          <w:p w14:paraId="1531F689" w14:textId="77777777" w:rsidR="009C1CD9" w:rsidRPr="005C6774" w:rsidRDefault="009C1CD9" w:rsidP="001B32F3">
            <w:pPr>
              <w:rPr>
                <w:color w:val="000000"/>
              </w:rPr>
            </w:pPr>
            <w:r w:rsidRPr="005C6774">
              <w:rPr>
                <w:color w:val="000000"/>
              </w:rPr>
              <w:t>5280445</w:t>
            </w:r>
          </w:p>
        </w:tc>
        <w:tc>
          <w:tcPr>
            <w:tcW w:w="3165" w:type="dxa"/>
            <w:noWrap/>
            <w:vAlign w:val="center"/>
            <w:hideMark/>
          </w:tcPr>
          <w:p w14:paraId="38CB97BF" w14:textId="77777777" w:rsidR="009C1CD9" w:rsidRPr="005C6774" w:rsidRDefault="009C1CD9" w:rsidP="001B32F3">
            <w:pPr>
              <w:rPr>
                <w:color w:val="000000"/>
              </w:rPr>
            </w:pPr>
            <w:r w:rsidRPr="005C6774">
              <w:rPr>
                <w:color w:val="000000"/>
              </w:rPr>
              <w:t>-6.7</w:t>
            </w:r>
          </w:p>
        </w:tc>
      </w:tr>
      <w:tr w:rsidR="009C1CD9" w:rsidRPr="005C6774" w14:paraId="647E4817" w14:textId="77777777" w:rsidTr="001B32F3">
        <w:trPr>
          <w:trHeight w:val="300"/>
        </w:trPr>
        <w:tc>
          <w:tcPr>
            <w:tcW w:w="3745" w:type="dxa"/>
            <w:vAlign w:val="center"/>
          </w:tcPr>
          <w:p w14:paraId="31541C87" w14:textId="77777777" w:rsidR="009C1CD9" w:rsidRPr="005C6774" w:rsidRDefault="00704725" w:rsidP="001B32F3">
            <w:pPr>
              <w:rPr>
                <w:color w:val="000000"/>
              </w:rPr>
            </w:pPr>
            <w:r w:rsidRPr="005C6774">
              <w:rPr>
                <w:color w:val="000000"/>
              </w:rPr>
              <w:t>Quercetin</w:t>
            </w:r>
          </w:p>
        </w:tc>
        <w:tc>
          <w:tcPr>
            <w:tcW w:w="2460" w:type="dxa"/>
            <w:noWrap/>
            <w:vAlign w:val="center"/>
            <w:hideMark/>
          </w:tcPr>
          <w:p w14:paraId="02D72DDB" w14:textId="77777777" w:rsidR="009C1CD9" w:rsidRPr="005C6774" w:rsidRDefault="009C1CD9" w:rsidP="001B32F3">
            <w:pPr>
              <w:rPr>
                <w:color w:val="000000"/>
              </w:rPr>
            </w:pPr>
            <w:r w:rsidRPr="005C6774">
              <w:rPr>
                <w:color w:val="000000"/>
              </w:rPr>
              <w:t>5280343</w:t>
            </w:r>
          </w:p>
        </w:tc>
        <w:tc>
          <w:tcPr>
            <w:tcW w:w="3165" w:type="dxa"/>
            <w:noWrap/>
            <w:vAlign w:val="center"/>
            <w:hideMark/>
          </w:tcPr>
          <w:p w14:paraId="1406D0A0" w14:textId="77777777" w:rsidR="009C1CD9" w:rsidRPr="005C6774" w:rsidRDefault="009C1CD9" w:rsidP="001B32F3">
            <w:pPr>
              <w:rPr>
                <w:color w:val="000000"/>
              </w:rPr>
            </w:pPr>
            <w:r w:rsidRPr="005C6774">
              <w:rPr>
                <w:color w:val="000000"/>
              </w:rPr>
              <w:t>-6.6</w:t>
            </w:r>
          </w:p>
        </w:tc>
      </w:tr>
      <w:tr w:rsidR="009C1CD9" w:rsidRPr="005C6774" w14:paraId="7AE78554" w14:textId="77777777" w:rsidTr="001B32F3">
        <w:trPr>
          <w:trHeight w:val="300"/>
        </w:trPr>
        <w:tc>
          <w:tcPr>
            <w:tcW w:w="3745" w:type="dxa"/>
            <w:vAlign w:val="center"/>
          </w:tcPr>
          <w:p w14:paraId="5BA09383" w14:textId="77777777" w:rsidR="009C1CD9" w:rsidRPr="005C6774" w:rsidRDefault="00704725" w:rsidP="001B32F3">
            <w:pPr>
              <w:rPr>
                <w:color w:val="000000"/>
              </w:rPr>
            </w:pPr>
            <w:proofErr w:type="spellStart"/>
            <w:r w:rsidRPr="005C6774">
              <w:rPr>
                <w:color w:val="000000"/>
              </w:rPr>
              <w:t>Myrcetin</w:t>
            </w:r>
            <w:proofErr w:type="spellEnd"/>
          </w:p>
        </w:tc>
        <w:tc>
          <w:tcPr>
            <w:tcW w:w="2460" w:type="dxa"/>
            <w:noWrap/>
            <w:vAlign w:val="center"/>
            <w:hideMark/>
          </w:tcPr>
          <w:p w14:paraId="3A47FDC7" w14:textId="77777777" w:rsidR="009C1CD9" w:rsidRPr="005C6774" w:rsidRDefault="009C1CD9" w:rsidP="001B32F3">
            <w:pPr>
              <w:rPr>
                <w:color w:val="000000"/>
              </w:rPr>
            </w:pPr>
            <w:r w:rsidRPr="005C6774">
              <w:rPr>
                <w:color w:val="000000"/>
              </w:rPr>
              <w:t>5281672</w:t>
            </w:r>
          </w:p>
        </w:tc>
        <w:tc>
          <w:tcPr>
            <w:tcW w:w="3165" w:type="dxa"/>
            <w:noWrap/>
            <w:vAlign w:val="center"/>
            <w:hideMark/>
          </w:tcPr>
          <w:p w14:paraId="76DF986D" w14:textId="77777777" w:rsidR="009C1CD9" w:rsidRPr="005C6774" w:rsidRDefault="009C1CD9" w:rsidP="001B32F3">
            <w:pPr>
              <w:rPr>
                <w:color w:val="000000"/>
              </w:rPr>
            </w:pPr>
            <w:r w:rsidRPr="005C6774">
              <w:rPr>
                <w:color w:val="000000"/>
              </w:rPr>
              <w:t>-6.5</w:t>
            </w:r>
          </w:p>
        </w:tc>
      </w:tr>
      <w:tr w:rsidR="009C1CD9" w:rsidRPr="005C6774" w14:paraId="016C87AA" w14:textId="77777777" w:rsidTr="001B32F3">
        <w:trPr>
          <w:trHeight w:val="300"/>
        </w:trPr>
        <w:tc>
          <w:tcPr>
            <w:tcW w:w="3745" w:type="dxa"/>
            <w:vAlign w:val="center"/>
          </w:tcPr>
          <w:p w14:paraId="1EF2F1E9" w14:textId="77777777" w:rsidR="009C1CD9" w:rsidRPr="005C6774" w:rsidRDefault="009C1CD9" w:rsidP="001B32F3">
            <w:pPr>
              <w:autoSpaceDE w:val="0"/>
              <w:autoSpaceDN w:val="0"/>
              <w:adjustRightInd w:val="0"/>
            </w:pPr>
            <w:r w:rsidRPr="005C6774">
              <w:t>Glutathione (Control)</w:t>
            </w:r>
          </w:p>
        </w:tc>
        <w:tc>
          <w:tcPr>
            <w:tcW w:w="2460" w:type="dxa"/>
            <w:noWrap/>
            <w:vAlign w:val="center"/>
          </w:tcPr>
          <w:p w14:paraId="69373E00" w14:textId="77777777" w:rsidR="009C1CD9" w:rsidRPr="005C6774" w:rsidRDefault="009C1CD9" w:rsidP="001B32F3">
            <w:pPr>
              <w:autoSpaceDE w:val="0"/>
              <w:autoSpaceDN w:val="0"/>
              <w:adjustRightInd w:val="0"/>
            </w:pPr>
            <w:r w:rsidRPr="005C6774">
              <w:t>124886</w:t>
            </w:r>
          </w:p>
        </w:tc>
        <w:tc>
          <w:tcPr>
            <w:tcW w:w="3165" w:type="dxa"/>
            <w:noWrap/>
            <w:vAlign w:val="center"/>
          </w:tcPr>
          <w:p w14:paraId="07527559" w14:textId="77777777" w:rsidR="009C1CD9" w:rsidRPr="005C6774" w:rsidRDefault="009C1CD9" w:rsidP="001B32F3">
            <w:pPr>
              <w:rPr>
                <w:color w:val="000000"/>
              </w:rPr>
            </w:pPr>
            <w:r w:rsidRPr="005C6774">
              <w:rPr>
                <w:color w:val="000000"/>
              </w:rPr>
              <w:t>-5</w:t>
            </w:r>
          </w:p>
        </w:tc>
      </w:tr>
      <w:tr w:rsidR="009C1CD9" w:rsidRPr="005C6774" w14:paraId="0A7F616A" w14:textId="77777777" w:rsidTr="001B32F3">
        <w:trPr>
          <w:trHeight w:val="300"/>
        </w:trPr>
        <w:tc>
          <w:tcPr>
            <w:tcW w:w="3745" w:type="dxa"/>
            <w:vAlign w:val="center"/>
          </w:tcPr>
          <w:p w14:paraId="3B9D3E4E" w14:textId="77777777" w:rsidR="009C1CD9" w:rsidRPr="005C6774" w:rsidRDefault="009C1CD9" w:rsidP="001B32F3">
            <w:pPr>
              <w:autoSpaceDE w:val="0"/>
              <w:autoSpaceDN w:val="0"/>
              <w:adjustRightInd w:val="0"/>
            </w:pPr>
            <w:r w:rsidRPr="005C6774">
              <w:t>N-acetylcysteine (Control)</w:t>
            </w:r>
          </w:p>
        </w:tc>
        <w:tc>
          <w:tcPr>
            <w:tcW w:w="2460" w:type="dxa"/>
            <w:noWrap/>
            <w:vAlign w:val="center"/>
          </w:tcPr>
          <w:p w14:paraId="1A6BFCFF" w14:textId="77777777" w:rsidR="009C1CD9" w:rsidRPr="005C6774" w:rsidRDefault="009C1CD9" w:rsidP="001B32F3">
            <w:pPr>
              <w:autoSpaceDE w:val="0"/>
              <w:autoSpaceDN w:val="0"/>
              <w:adjustRightInd w:val="0"/>
            </w:pPr>
            <w:r w:rsidRPr="005C6774">
              <w:t>12035</w:t>
            </w:r>
          </w:p>
        </w:tc>
        <w:tc>
          <w:tcPr>
            <w:tcW w:w="3165" w:type="dxa"/>
            <w:noWrap/>
            <w:vAlign w:val="center"/>
          </w:tcPr>
          <w:p w14:paraId="3BD58C97" w14:textId="77777777" w:rsidR="009C1CD9" w:rsidRPr="005C6774" w:rsidRDefault="009C1CD9" w:rsidP="001B32F3">
            <w:pPr>
              <w:rPr>
                <w:color w:val="000000"/>
              </w:rPr>
            </w:pPr>
            <w:r w:rsidRPr="005C6774">
              <w:rPr>
                <w:color w:val="000000"/>
              </w:rPr>
              <w:t>-4</w:t>
            </w:r>
          </w:p>
        </w:tc>
      </w:tr>
    </w:tbl>
    <w:p w14:paraId="53C8C9D7" w14:textId="77777777" w:rsidR="00A63216" w:rsidRPr="005C6774" w:rsidRDefault="00A63216"/>
    <w:p w14:paraId="58F42EFF" w14:textId="77777777" w:rsidR="00821A3A" w:rsidRPr="005C6774" w:rsidRDefault="00096BEF">
      <w:r w:rsidRPr="005C6774">
        <w:rPr>
          <w:noProof/>
        </w:rPr>
        <w:lastRenderedPageBreak/>
        <w:drawing>
          <wp:inline distT="0" distB="0" distL="0" distR="0" wp14:anchorId="2FDCE824" wp14:editId="48C27097">
            <wp:extent cx="2959574" cy="2849526"/>
            <wp:effectExtent l="0" t="0" r="0" b="8255"/>
            <wp:docPr id="11" name="Picture 11" descr="C:\Users\user\Documents\DR STANLEY COOU\DOCKING RESULTS\Binding interaction images\2D 5280443 binding interactions with 2gt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DR STANLEY COOU\DOCKING RESULTS\Binding interaction images\2D 5280443 binding interactions with 2gtu for Brassica Pancrease.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9821" r="16725"/>
                    <a:stretch/>
                  </pic:blipFill>
                  <pic:spPr bwMode="auto">
                    <a:xfrm>
                      <a:off x="0" y="0"/>
                      <a:ext cx="2972550" cy="2862020"/>
                    </a:xfrm>
                    <a:prstGeom prst="rect">
                      <a:avLst/>
                    </a:prstGeom>
                    <a:noFill/>
                    <a:ln>
                      <a:noFill/>
                    </a:ln>
                    <a:extLst>
                      <a:ext uri="{53640926-AAD7-44D8-BBD7-CCE9431645EC}">
                        <a14:shadowObscured xmlns:a14="http://schemas.microsoft.com/office/drawing/2010/main"/>
                      </a:ext>
                    </a:extLst>
                  </pic:spPr>
                </pic:pic>
              </a:graphicData>
            </a:graphic>
          </wp:inline>
        </w:drawing>
      </w:r>
      <w:r w:rsidR="00CF5A3E" w:rsidRPr="005C6774">
        <w:rPr>
          <w:snapToGrid w:val="0"/>
          <w:color w:val="000000"/>
          <w:w w:val="0"/>
          <w:u w:color="000000"/>
          <w:bdr w:val="none" w:sz="0" w:space="0" w:color="000000"/>
          <w:shd w:val="clear" w:color="000000" w:fill="000000"/>
          <w:lang w:val="x-none" w:eastAsia="x-none" w:bidi="x-none"/>
        </w:rPr>
        <w:t xml:space="preserve"> </w:t>
      </w:r>
      <w:r w:rsidR="00CF5A3E" w:rsidRPr="005C6774">
        <w:rPr>
          <w:noProof/>
        </w:rPr>
        <w:drawing>
          <wp:inline distT="0" distB="0" distL="0" distR="0" wp14:anchorId="66661D94" wp14:editId="7689B6F7">
            <wp:extent cx="2849526" cy="1921008"/>
            <wp:effectExtent l="0" t="0" r="8255" b="3175"/>
            <wp:docPr id="12" name="Picture 12" descr="C:\Users\user\Documents\DR STANLEY COOU\DOCKING RESULTS\Binding interaction images\3D 5280443 binding interactions with 2gtu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DR STANLEY COOU\DOCKING RESULTS\Binding interaction images\3D 5280443 binding interactions with 2gtu for Brassica Pancrease.png"/>
                    <pic:cNvPicPr>
                      <a:picLocks noChangeAspect="1" noChangeArrowheads="1"/>
                    </pic:cNvPicPr>
                  </pic:nvPicPr>
                  <pic:blipFill rotWithShape="1">
                    <a:blip r:embed="rId26">
                      <a:extLst>
                        <a:ext uri="{28A0092B-C50C-407E-A947-70E740481C1C}">
                          <a14:useLocalDpi xmlns:a14="http://schemas.microsoft.com/office/drawing/2010/main" val="0"/>
                        </a:ext>
                      </a:extLst>
                    </a:blip>
                    <a:srcRect l="5577" t="38246"/>
                    <a:stretch/>
                  </pic:blipFill>
                  <pic:spPr bwMode="auto">
                    <a:xfrm>
                      <a:off x="0" y="0"/>
                      <a:ext cx="2863788" cy="1930623"/>
                    </a:xfrm>
                    <a:prstGeom prst="rect">
                      <a:avLst/>
                    </a:prstGeom>
                    <a:noFill/>
                    <a:ln>
                      <a:noFill/>
                    </a:ln>
                    <a:extLst>
                      <a:ext uri="{53640926-AAD7-44D8-BBD7-CCE9431645EC}">
                        <a14:shadowObscured xmlns:a14="http://schemas.microsoft.com/office/drawing/2010/main"/>
                      </a:ext>
                    </a:extLst>
                  </pic:spPr>
                </pic:pic>
              </a:graphicData>
            </a:graphic>
          </wp:inline>
        </w:drawing>
      </w:r>
    </w:p>
    <w:p w14:paraId="2ABBCA13" w14:textId="77777777" w:rsidR="00E97A9B" w:rsidRPr="005C6774" w:rsidRDefault="00E97A9B" w:rsidP="00E97A9B">
      <w:pPr>
        <w:rPr>
          <w:b/>
        </w:rPr>
      </w:pPr>
      <w:r w:rsidRPr="005C6774">
        <w:rPr>
          <w:b/>
        </w:rPr>
        <w:t xml:space="preserve">Fig. 9: 2D and 3D binding interactions of </w:t>
      </w:r>
      <w:r w:rsidR="00D271A5" w:rsidRPr="005C6774">
        <w:rPr>
          <w:b/>
          <w:color w:val="000000"/>
        </w:rPr>
        <w:t>Apigenin</w:t>
      </w:r>
      <w:r w:rsidRPr="005C6774">
        <w:rPr>
          <w:b/>
        </w:rPr>
        <w:t xml:space="preserve"> with </w:t>
      </w:r>
      <w:r w:rsidR="00D271A5" w:rsidRPr="005C6774">
        <w:rPr>
          <w:b/>
          <w:iCs/>
          <w:color w:val="000000" w:themeColor="text1"/>
        </w:rPr>
        <w:t>Glutathione-S-transferase</w:t>
      </w:r>
      <w:r w:rsidR="00D271A5" w:rsidRPr="005C6774">
        <w:rPr>
          <w:b/>
        </w:rPr>
        <w:t xml:space="preserve"> (PDB: 2GTU)</w:t>
      </w:r>
    </w:p>
    <w:p w14:paraId="014401CA" w14:textId="77777777" w:rsidR="00E97A9B" w:rsidRPr="005C6774" w:rsidRDefault="00E97A9B">
      <w:pPr>
        <w:rPr>
          <w:b/>
        </w:rPr>
      </w:pPr>
    </w:p>
    <w:p w14:paraId="29054F6B" w14:textId="77777777" w:rsidR="00821A3A" w:rsidRPr="005C6774" w:rsidRDefault="00461B62">
      <w:pPr>
        <w:rPr>
          <w:b/>
        </w:rPr>
      </w:pPr>
      <w:r w:rsidRPr="005C6774">
        <w:rPr>
          <w:b/>
        </w:rPr>
        <w:t xml:space="preserve">Table 9: Binding affinity of the bioactive compounds of </w:t>
      </w:r>
      <w:r w:rsidRPr="005C6774">
        <w:rPr>
          <w:b/>
          <w:i/>
        </w:rPr>
        <w:t>Brassica oleracea</w:t>
      </w:r>
      <w:r w:rsidRPr="005C6774">
        <w:rPr>
          <w:b/>
        </w:rPr>
        <w:t xml:space="preserve"> with </w:t>
      </w:r>
      <w:r w:rsidRPr="005C6774">
        <w:rPr>
          <w:b/>
          <w:iCs/>
          <w:color w:val="000000" w:themeColor="text1"/>
        </w:rPr>
        <w:t>Oxidative stress</w:t>
      </w:r>
      <w:r w:rsidRPr="005C6774">
        <w:rPr>
          <w:b/>
        </w:rPr>
        <w:t xml:space="preserve"> (PDB: </w:t>
      </w:r>
      <w:r w:rsidR="00821A3A" w:rsidRPr="005C6774">
        <w:rPr>
          <w:b/>
        </w:rPr>
        <w:t>3E7G</w:t>
      </w:r>
      <w:r w:rsidRPr="005C6774">
        <w:rPr>
          <w:b/>
        </w:rPr>
        <w:t>)</w:t>
      </w:r>
    </w:p>
    <w:p w14:paraId="4BC475B7" w14:textId="77777777" w:rsidR="00C60AE2" w:rsidRPr="005C6774" w:rsidRDefault="00C60AE2"/>
    <w:tbl>
      <w:tblPr>
        <w:tblW w:w="9227" w:type="dxa"/>
        <w:tblBorders>
          <w:top w:val="single" w:sz="4" w:space="0" w:color="auto"/>
          <w:bottom w:val="single" w:sz="4" w:space="0" w:color="auto"/>
        </w:tblBorders>
        <w:tblLook w:val="04A0" w:firstRow="1" w:lastRow="0" w:firstColumn="1" w:lastColumn="0" w:noHBand="0" w:noVBand="1"/>
      </w:tblPr>
      <w:tblGrid>
        <w:gridCol w:w="4045"/>
        <w:gridCol w:w="2070"/>
        <w:gridCol w:w="3112"/>
      </w:tblGrid>
      <w:tr w:rsidR="009C1CD9" w:rsidRPr="005C6774" w14:paraId="18ECD3CC" w14:textId="77777777" w:rsidTr="000520AE">
        <w:trPr>
          <w:trHeight w:val="278"/>
        </w:trPr>
        <w:tc>
          <w:tcPr>
            <w:tcW w:w="4045" w:type="dxa"/>
            <w:tcBorders>
              <w:top w:val="single" w:sz="4" w:space="0" w:color="auto"/>
              <w:bottom w:val="single" w:sz="4" w:space="0" w:color="auto"/>
            </w:tcBorders>
            <w:vAlign w:val="center"/>
          </w:tcPr>
          <w:p w14:paraId="4AE4DB83" w14:textId="77777777" w:rsidR="009C1CD9" w:rsidRPr="005C6774" w:rsidRDefault="00A961D4" w:rsidP="000520AE">
            <w:pPr>
              <w:rPr>
                <w:b/>
                <w:color w:val="000000"/>
              </w:rPr>
            </w:pPr>
            <w:r w:rsidRPr="005C6774">
              <w:rPr>
                <w:b/>
                <w:color w:val="000000"/>
              </w:rPr>
              <w:t>Ligands</w:t>
            </w:r>
          </w:p>
        </w:tc>
        <w:tc>
          <w:tcPr>
            <w:tcW w:w="2070" w:type="dxa"/>
            <w:tcBorders>
              <w:top w:val="single" w:sz="4" w:space="0" w:color="auto"/>
              <w:bottom w:val="single" w:sz="4" w:space="0" w:color="auto"/>
            </w:tcBorders>
            <w:noWrap/>
            <w:vAlign w:val="center"/>
            <w:hideMark/>
          </w:tcPr>
          <w:p w14:paraId="48C613A5" w14:textId="77777777" w:rsidR="009C1CD9" w:rsidRPr="005C6774" w:rsidRDefault="009C1CD9" w:rsidP="000520AE">
            <w:pPr>
              <w:rPr>
                <w:b/>
                <w:color w:val="000000"/>
              </w:rPr>
            </w:pPr>
            <w:r w:rsidRPr="005C6774">
              <w:rPr>
                <w:b/>
                <w:color w:val="000000"/>
              </w:rPr>
              <w:t>PubChem CID</w:t>
            </w:r>
          </w:p>
        </w:tc>
        <w:tc>
          <w:tcPr>
            <w:tcW w:w="3112" w:type="dxa"/>
            <w:tcBorders>
              <w:top w:val="single" w:sz="4" w:space="0" w:color="auto"/>
              <w:bottom w:val="single" w:sz="4" w:space="0" w:color="auto"/>
            </w:tcBorders>
            <w:noWrap/>
            <w:vAlign w:val="center"/>
            <w:hideMark/>
          </w:tcPr>
          <w:p w14:paraId="71EC7FB9" w14:textId="77777777" w:rsidR="009C1CD9" w:rsidRPr="005C6774" w:rsidRDefault="009C1CD9" w:rsidP="000520AE">
            <w:pPr>
              <w:rPr>
                <w:b/>
                <w:color w:val="000000"/>
              </w:rPr>
            </w:pPr>
            <w:r w:rsidRPr="005C6774">
              <w:rPr>
                <w:b/>
                <w:color w:val="000000"/>
              </w:rPr>
              <w:t>Binding Affinity (Kcal/mol)</w:t>
            </w:r>
          </w:p>
        </w:tc>
      </w:tr>
      <w:tr w:rsidR="009C1CD9" w:rsidRPr="005C6774" w14:paraId="65C1BFFC" w14:textId="77777777" w:rsidTr="000520AE">
        <w:trPr>
          <w:trHeight w:val="278"/>
        </w:trPr>
        <w:tc>
          <w:tcPr>
            <w:tcW w:w="4045" w:type="dxa"/>
            <w:tcBorders>
              <w:top w:val="single" w:sz="4" w:space="0" w:color="auto"/>
            </w:tcBorders>
            <w:vAlign w:val="center"/>
          </w:tcPr>
          <w:p w14:paraId="5085E8B0" w14:textId="77777777" w:rsidR="009C1CD9" w:rsidRPr="005C6774" w:rsidRDefault="009C1CD9" w:rsidP="000520AE">
            <w:pPr>
              <w:rPr>
                <w:color w:val="000000"/>
              </w:rPr>
            </w:pPr>
            <w:r w:rsidRPr="005C6774">
              <w:rPr>
                <w:color w:val="000000"/>
              </w:rPr>
              <w:t>Rutin</w:t>
            </w:r>
          </w:p>
        </w:tc>
        <w:tc>
          <w:tcPr>
            <w:tcW w:w="2070" w:type="dxa"/>
            <w:tcBorders>
              <w:top w:val="single" w:sz="4" w:space="0" w:color="auto"/>
            </w:tcBorders>
            <w:noWrap/>
            <w:vAlign w:val="center"/>
            <w:hideMark/>
          </w:tcPr>
          <w:p w14:paraId="3C3C8EE4" w14:textId="77777777" w:rsidR="009C1CD9" w:rsidRPr="005C6774" w:rsidRDefault="009C1CD9" w:rsidP="000520AE">
            <w:pPr>
              <w:rPr>
                <w:color w:val="000000"/>
              </w:rPr>
            </w:pPr>
            <w:r w:rsidRPr="005C6774">
              <w:rPr>
                <w:color w:val="000000"/>
              </w:rPr>
              <w:t>5280805</w:t>
            </w:r>
          </w:p>
        </w:tc>
        <w:tc>
          <w:tcPr>
            <w:tcW w:w="3112" w:type="dxa"/>
            <w:tcBorders>
              <w:top w:val="single" w:sz="4" w:space="0" w:color="auto"/>
            </w:tcBorders>
            <w:noWrap/>
            <w:vAlign w:val="center"/>
            <w:hideMark/>
          </w:tcPr>
          <w:p w14:paraId="7A428A54" w14:textId="77777777" w:rsidR="009C1CD9" w:rsidRPr="005C6774" w:rsidRDefault="009C1CD9" w:rsidP="000520AE">
            <w:pPr>
              <w:rPr>
                <w:color w:val="000000"/>
              </w:rPr>
            </w:pPr>
            <w:r w:rsidRPr="005C6774">
              <w:rPr>
                <w:color w:val="000000"/>
              </w:rPr>
              <w:t>-11.7</w:t>
            </w:r>
          </w:p>
        </w:tc>
      </w:tr>
      <w:tr w:rsidR="009C1CD9" w:rsidRPr="005C6774" w14:paraId="5ABFBFC8" w14:textId="77777777" w:rsidTr="000520AE">
        <w:trPr>
          <w:trHeight w:val="278"/>
        </w:trPr>
        <w:tc>
          <w:tcPr>
            <w:tcW w:w="4045" w:type="dxa"/>
            <w:vAlign w:val="center"/>
          </w:tcPr>
          <w:p w14:paraId="54EF0FF8" w14:textId="77777777" w:rsidR="009C1CD9" w:rsidRPr="005C6774" w:rsidRDefault="009C1CD9" w:rsidP="000520AE">
            <w:pPr>
              <w:rPr>
                <w:color w:val="000000"/>
              </w:rPr>
            </w:pPr>
            <w:r w:rsidRPr="005C6774">
              <w:rPr>
                <w:color w:val="000000"/>
              </w:rPr>
              <w:t>Apigenin</w:t>
            </w:r>
          </w:p>
        </w:tc>
        <w:tc>
          <w:tcPr>
            <w:tcW w:w="2070" w:type="dxa"/>
            <w:noWrap/>
            <w:vAlign w:val="center"/>
            <w:hideMark/>
          </w:tcPr>
          <w:p w14:paraId="72448CBC" w14:textId="77777777" w:rsidR="009C1CD9" w:rsidRPr="005C6774" w:rsidRDefault="009C1CD9" w:rsidP="000520AE">
            <w:pPr>
              <w:rPr>
                <w:color w:val="000000"/>
              </w:rPr>
            </w:pPr>
            <w:r w:rsidRPr="005C6774">
              <w:rPr>
                <w:color w:val="000000"/>
              </w:rPr>
              <w:t>5280443</w:t>
            </w:r>
          </w:p>
        </w:tc>
        <w:tc>
          <w:tcPr>
            <w:tcW w:w="3112" w:type="dxa"/>
            <w:noWrap/>
            <w:vAlign w:val="center"/>
            <w:hideMark/>
          </w:tcPr>
          <w:p w14:paraId="4AD7FADD" w14:textId="77777777" w:rsidR="009C1CD9" w:rsidRPr="005C6774" w:rsidRDefault="009C1CD9" w:rsidP="000520AE">
            <w:pPr>
              <w:rPr>
                <w:color w:val="000000"/>
              </w:rPr>
            </w:pPr>
            <w:r w:rsidRPr="005C6774">
              <w:rPr>
                <w:color w:val="000000"/>
              </w:rPr>
              <w:t>-10</w:t>
            </w:r>
          </w:p>
        </w:tc>
      </w:tr>
      <w:tr w:rsidR="009C1CD9" w:rsidRPr="005C6774" w14:paraId="228719E7" w14:textId="77777777" w:rsidTr="000520AE">
        <w:trPr>
          <w:trHeight w:val="278"/>
        </w:trPr>
        <w:tc>
          <w:tcPr>
            <w:tcW w:w="4045" w:type="dxa"/>
            <w:vAlign w:val="center"/>
          </w:tcPr>
          <w:p w14:paraId="092D5126" w14:textId="77777777" w:rsidR="009C1CD9" w:rsidRPr="005C6774" w:rsidRDefault="009C1CD9" w:rsidP="000520AE">
            <w:pPr>
              <w:rPr>
                <w:color w:val="000000"/>
              </w:rPr>
            </w:pPr>
            <w:proofErr w:type="spellStart"/>
            <w:r w:rsidRPr="005C6774">
              <w:rPr>
                <w:color w:val="000000"/>
              </w:rPr>
              <w:t>Glucobrassicin</w:t>
            </w:r>
            <w:proofErr w:type="spellEnd"/>
          </w:p>
        </w:tc>
        <w:tc>
          <w:tcPr>
            <w:tcW w:w="2070" w:type="dxa"/>
            <w:noWrap/>
            <w:vAlign w:val="center"/>
            <w:hideMark/>
          </w:tcPr>
          <w:p w14:paraId="2A8ECB17" w14:textId="77777777" w:rsidR="009C1CD9" w:rsidRPr="005C6774" w:rsidRDefault="009C1CD9" w:rsidP="000520AE">
            <w:pPr>
              <w:rPr>
                <w:color w:val="000000"/>
              </w:rPr>
            </w:pPr>
            <w:r w:rsidRPr="005C6774">
              <w:rPr>
                <w:color w:val="000000"/>
              </w:rPr>
              <w:t>6602378</w:t>
            </w:r>
          </w:p>
        </w:tc>
        <w:tc>
          <w:tcPr>
            <w:tcW w:w="3112" w:type="dxa"/>
            <w:noWrap/>
            <w:vAlign w:val="center"/>
            <w:hideMark/>
          </w:tcPr>
          <w:p w14:paraId="4311F23E" w14:textId="77777777" w:rsidR="009C1CD9" w:rsidRPr="005C6774" w:rsidRDefault="009C1CD9" w:rsidP="000520AE">
            <w:pPr>
              <w:rPr>
                <w:color w:val="000000"/>
              </w:rPr>
            </w:pPr>
            <w:r w:rsidRPr="005C6774">
              <w:rPr>
                <w:color w:val="000000"/>
              </w:rPr>
              <w:t>-9.9</w:t>
            </w:r>
          </w:p>
        </w:tc>
      </w:tr>
      <w:tr w:rsidR="009C1CD9" w:rsidRPr="005C6774" w14:paraId="56400273" w14:textId="77777777" w:rsidTr="000520AE">
        <w:trPr>
          <w:trHeight w:val="278"/>
        </w:trPr>
        <w:tc>
          <w:tcPr>
            <w:tcW w:w="4045" w:type="dxa"/>
            <w:vAlign w:val="center"/>
          </w:tcPr>
          <w:p w14:paraId="33F9838B" w14:textId="77777777" w:rsidR="009C1CD9" w:rsidRPr="005C6774" w:rsidRDefault="00062065" w:rsidP="000520AE">
            <w:pPr>
              <w:rPr>
                <w:color w:val="000000"/>
              </w:rPr>
            </w:pPr>
            <w:r w:rsidRPr="005C6774">
              <w:rPr>
                <w:color w:val="000000"/>
              </w:rPr>
              <w:t>Luteolin</w:t>
            </w:r>
          </w:p>
        </w:tc>
        <w:tc>
          <w:tcPr>
            <w:tcW w:w="2070" w:type="dxa"/>
            <w:noWrap/>
            <w:vAlign w:val="center"/>
            <w:hideMark/>
          </w:tcPr>
          <w:p w14:paraId="0638300F" w14:textId="77777777" w:rsidR="009C1CD9" w:rsidRPr="005C6774" w:rsidRDefault="009C1CD9" w:rsidP="000520AE">
            <w:pPr>
              <w:rPr>
                <w:color w:val="000000"/>
              </w:rPr>
            </w:pPr>
            <w:r w:rsidRPr="005C6774">
              <w:rPr>
                <w:color w:val="000000"/>
              </w:rPr>
              <w:t>5280445</w:t>
            </w:r>
          </w:p>
        </w:tc>
        <w:tc>
          <w:tcPr>
            <w:tcW w:w="3112" w:type="dxa"/>
            <w:noWrap/>
            <w:vAlign w:val="center"/>
            <w:hideMark/>
          </w:tcPr>
          <w:p w14:paraId="34986AA5" w14:textId="77777777" w:rsidR="009C1CD9" w:rsidRPr="005C6774" w:rsidRDefault="009C1CD9" w:rsidP="000520AE">
            <w:pPr>
              <w:rPr>
                <w:color w:val="000000"/>
              </w:rPr>
            </w:pPr>
            <w:r w:rsidRPr="005C6774">
              <w:rPr>
                <w:color w:val="000000"/>
              </w:rPr>
              <w:t>-9.8</w:t>
            </w:r>
          </w:p>
        </w:tc>
      </w:tr>
      <w:tr w:rsidR="009C1CD9" w:rsidRPr="005C6774" w14:paraId="025361A7" w14:textId="77777777" w:rsidTr="000520AE">
        <w:trPr>
          <w:trHeight w:val="278"/>
        </w:trPr>
        <w:tc>
          <w:tcPr>
            <w:tcW w:w="4045" w:type="dxa"/>
            <w:vAlign w:val="center"/>
          </w:tcPr>
          <w:p w14:paraId="70AACCB1" w14:textId="77777777" w:rsidR="009C1CD9" w:rsidRPr="005C6774" w:rsidRDefault="009C1CD9" w:rsidP="000520AE">
            <w:pPr>
              <w:rPr>
                <w:color w:val="000000"/>
              </w:rPr>
            </w:pPr>
            <w:r w:rsidRPr="005C6774">
              <w:rPr>
                <w:color w:val="000000"/>
              </w:rPr>
              <w:t>Quercetin-3-sophoroside-7-glucoside</w:t>
            </w:r>
          </w:p>
        </w:tc>
        <w:tc>
          <w:tcPr>
            <w:tcW w:w="2070" w:type="dxa"/>
            <w:noWrap/>
            <w:vAlign w:val="center"/>
            <w:hideMark/>
          </w:tcPr>
          <w:p w14:paraId="637B971D" w14:textId="77777777" w:rsidR="009C1CD9" w:rsidRPr="005C6774" w:rsidRDefault="009C1CD9" w:rsidP="000520AE">
            <w:pPr>
              <w:rPr>
                <w:color w:val="000000"/>
              </w:rPr>
            </w:pPr>
            <w:r w:rsidRPr="005C6774">
              <w:rPr>
                <w:color w:val="000000"/>
              </w:rPr>
              <w:t>44259167</w:t>
            </w:r>
          </w:p>
        </w:tc>
        <w:tc>
          <w:tcPr>
            <w:tcW w:w="3112" w:type="dxa"/>
            <w:noWrap/>
            <w:vAlign w:val="center"/>
            <w:hideMark/>
          </w:tcPr>
          <w:p w14:paraId="17611445" w14:textId="77777777" w:rsidR="009C1CD9" w:rsidRPr="005C6774" w:rsidRDefault="009C1CD9" w:rsidP="000520AE">
            <w:pPr>
              <w:rPr>
                <w:color w:val="000000"/>
              </w:rPr>
            </w:pPr>
            <w:r w:rsidRPr="005C6774">
              <w:rPr>
                <w:color w:val="000000"/>
              </w:rPr>
              <w:t>-9.8</w:t>
            </w:r>
          </w:p>
        </w:tc>
      </w:tr>
      <w:tr w:rsidR="009C1CD9" w:rsidRPr="005C6774" w14:paraId="477A5A92" w14:textId="77777777" w:rsidTr="000520AE">
        <w:trPr>
          <w:trHeight w:val="278"/>
        </w:trPr>
        <w:tc>
          <w:tcPr>
            <w:tcW w:w="4045" w:type="dxa"/>
            <w:vAlign w:val="center"/>
          </w:tcPr>
          <w:p w14:paraId="53D5FB30" w14:textId="77777777" w:rsidR="009C1CD9" w:rsidRPr="005C6774" w:rsidRDefault="009C1CD9" w:rsidP="000520AE">
            <w:pPr>
              <w:autoSpaceDE w:val="0"/>
              <w:autoSpaceDN w:val="0"/>
              <w:adjustRightInd w:val="0"/>
            </w:pPr>
            <w:r w:rsidRPr="005C6774">
              <w:t>Butylated hydroxytoluene (Control)</w:t>
            </w:r>
          </w:p>
        </w:tc>
        <w:tc>
          <w:tcPr>
            <w:tcW w:w="2070" w:type="dxa"/>
            <w:noWrap/>
            <w:vAlign w:val="center"/>
          </w:tcPr>
          <w:p w14:paraId="53125122" w14:textId="77777777" w:rsidR="009C1CD9" w:rsidRPr="005C6774" w:rsidRDefault="009C1CD9" w:rsidP="000520AE">
            <w:pPr>
              <w:autoSpaceDE w:val="0"/>
              <w:autoSpaceDN w:val="0"/>
              <w:adjustRightInd w:val="0"/>
            </w:pPr>
            <w:r w:rsidRPr="005C6774">
              <w:t>31404</w:t>
            </w:r>
          </w:p>
        </w:tc>
        <w:tc>
          <w:tcPr>
            <w:tcW w:w="3112" w:type="dxa"/>
            <w:noWrap/>
            <w:vAlign w:val="center"/>
          </w:tcPr>
          <w:p w14:paraId="00BF5707" w14:textId="77777777" w:rsidR="009C1CD9" w:rsidRPr="005C6774" w:rsidRDefault="009C1CD9" w:rsidP="000520AE">
            <w:pPr>
              <w:rPr>
                <w:color w:val="000000"/>
              </w:rPr>
            </w:pPr>
            <w:r w:rsidRPr="005C6774">
              <w:rPr>
                <w:color w:val="000000"/>
              </w:rPr>
              <w:t>-6.9</w:t>
            </w:r>
          </w:p>
        </w:tc>
      </w:tr>
      <w:tr w:rsidR="009C1CD9" w:rsidRPr="005C6774" w14:paraId="5147DDD6" w14:textId="77777777" w:rsidTr="000520AE">
        <w:trPr>
          <w:trHeight w:val="278"/>
        </w:trPr>
        <w:tc>
          <w:tcPr>
            <w:tcW w:w="4045" w:type="dxa"/>
            <w:vAlign w:val="center"/>
          </w:tcPr>
          <w:p w14:paraId="3BF16144" w14:textId="77777777" w:rsidR="009C1CD9" w:rsidRPr="005C6774" w:rsidRDefault="009C1CD9" w:rsidP="000520AE">
            <w:pPr>
              <w:autoSpaceDE w:val="0"/>
              <w:autoSpaceDN w:val="0"/>
              <w:adjustRightInd w:val="0"/>
            </w:pPr>
            <w:proofErr w:type="spellStart"/>
            <w:r w:rsidRPr="005C6774">
              <w:t>Ascrobic</w:t>
            </w:r>
            <w:proofErr w:type="spellEnd"/>
            <w:r w:rsidRPr="005C6774">
              <w:t xml:space="preserve"> acid (Control)</w:t>
            </w:r>
          </w:p>
        </w:tc>
        <w:tc>
          <w:tcPr>
            <w:tcW w:w="2070" w:type="dxa"/>
            <w:noWrap/>
            <w:vAlign w:val="center"/>
          </w:tcPr>
          <w:p w14:paraId="362D44EC" w14:textId="77777777" w:rsidR="009C1CD9" w:rsidRPr="005C6774" w:rsidRDefault="009C1CD9" w:rsidP="000520AE">
            <w:pPr>
              <w:autoSpaceDE w:val="0"/>
              <w:autoSpaceDN w:val="0"/>
              <w:adjustRightInd w:val="0"/>
            </w:pPr>
            <w:r w:rsidRPr="005C6774">
              <w:t>54670067</w:t>
            </w:r>
          </w:p>
        </w:tc>
        <w:tc>
          <w:tcPr>
            <w:tcW w:w="3112" w:type="dxa"/>
            <w:noWrap/>
            <w:vAlign w:val="center"/>
          </w:tcPr>
          <w:p w14:paraId="01B9D5B3" w14:textId="77777777" w:rsidR="009C1CD9" w:rsidRPr="005C6774" w:rsidRDefault="009C1CD9" w:rsidP="000520AE">
            <w:pPr>
              <w:rPr>
                <w:color w:val="000000"/>
              </w:rPr>
            </w:pPr>
            <w:r w:rsidRPr="005C6774">
              <w:rPr>
                <w:color w:val="000000"/>
              </w:rPr>
              <w:t>-5.7</w:t>
            </w:r>
          </w:p>
        </w:tc>
      </w:tr>
    </w:tbl>
    <w:p w14:paraId="4D164238" w14:textId="77777777" w:rsidR="00C60AE2" w:rsidRPr="005C6774" w:rsidRDefault="00C60AE2"/>
    <w:p w14:paraId="69F74944" w14:textId="77777777" w:rsidR="00736B76" w:rsidRPr="005C6774" w:rsidRDefault="00736B76"/>
    <w:p w14:paraId="4EC29742" w14:textId="77777777" w:rsidR="00736B76" w:rsidRPr="005C6774" w:rsidRDefault="00AF5521">
      <w:r w:rsidRPr="005C6774">
        <w:rPr>
          <w:noProof/>
        </w:rPr>
        <w:lastRenderedPageBreak/>
        <w:drawing>
          <wp:inline distT="0" distB="0" distL="0" distR="0" wp14:anchorId="1C3D19C5" wp14:editId="6F124DBD">
            <wp:extent cx="2721258" cy="2870791"/>
            <wp:effectExtent l="0" t="0" r="3175" b="6350"/>
            <wp:docPr id="13" name="Picture 13" descr="C:\Users\user\Documents\DR STANLEY COOU\DOCKING RESULTS\Binding interaction images\2D 5280805 binding interactions with 3e7g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DR STANLEY COOU\DOCKING RESULTS\Binding interaction images\2D 5280805 binding interactions with 3e7g for Brassica Pancrease.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5819" r="10724"/>
                    <a:stretch/>
                  </pic:blipFill>
                  <pic:spPr bwMode="auto">
                    <a:xfrm>
                      <a:off x="0" y="0"/>
                      <a:ext cx="2733408" cy="2883609"/>
                    </a:xfrm>
                    <a:prstGeom prst="rect">
                      <a:avLst/>
                    </a:prstGeom>
                    <a:noFill/>
                    <a:ln>
                      <a:noFill/>
                    </a:ln>
                    <a:extLst>
                      <a:ext uri="{53640926-AAD7-44D8-BBD7-CCE9431645EC}">
                        <a14:shadowObscured xmlns:a14="http://schemas.microsoft.com/office/drawing/2010/main"/>
                      </a:ext>
                    </a:extLst>
                  </pic:spPr>
                </pic:pic>
              </a:graphicData>
            </a:graphic>
          </wp:inline>
        </w:drawing>
      </w:r>
      <w:r w:rsidR="00547ABD" w:rsidRPr="005C6774">
        <w:rPr>
          <w:snapToGrid w:val="0"/>
          <w:color w:val="000000"/>
          <w:w w:val="0"/>
          <w:u w:color="000000"/>
          <w:bdr w:val="none" w:sz="0" w:space="0" w:color="000000"/>
          <w:shd w:val="clear" w:color="000000" w:fill="000000"/>
          <w:lang w:val="x-none" w:eastAsia="x-none" w:bidi="x-none"/>
        </w:rPr>
        <w:t xml:space="preserve"> </w:t>
      </w:r>
      <w:r w:rsidR="00547ABD" w:rsidRPr="005C6774">
        <w:rPr>
          <w:noProof/>
        </w:rPr>
        <w:drawing>
          <wp:inline distT="0" distB="0" distL="0" distR="0" wp14:anchorId="2C3D4E30" wp14:editId="46ED4B19">
            <wp:extent cx="3034797" cy="2371061"/>
            <wp:effectExtent l="0" t="0" r="0" b="0"/>
            <wp:docPr id="14" name="Picture 14" descr="C:\Users\user\Documents\DR STANLEY COOU\DOCKING RESULTS\Binding interaction images\3D 5280805 binding interactions with 3e7g for Brassica Pancrea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DR STANLEY COOU\DOCKING RESULTS\Binding interaction images\3D 5280805 binding interactions with 3e7g for Brassica Pancrease.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14670" t="10402" r="10367"/>
                    <a:stretch/>
                  </pic:blipFill>
                  <pic:spPr bwMode="auto">
                    <a:xfrm>
                      <a:off x="0" y="0"/>
                      <a:ext cx="3040013" cy="2375136"/>
                    </a:xfrm>
                    <a:prstGeom prst="rect">
                      <a:avLst/>
                    </a:prstGeom>
                    <a:noFill/>
                    <a:ln>
                      <a:noFill/>
                    </a:ln>
                    <a:extLst>
                      <a:ext uri="{53640926-AAD7-44D8-BBD7-CCE9431645EC}">
                        <a14:shadowObscured xmlns:a14="http://schemas.microsoft.com/office/drawing/2010/main"/>
                      </a:ext>
                    </a:extLst>
                  </pic:spPr>
                </pic:pic>
              </a:graphicData>
            </a:graphic>
          </wp:inline>
        </w:drawing>
      </w:r>
    </w:p>
    <w:p w14:paraId="1A31ABDA" w14:textId="77777777" w:rsidR="00736B76" w:rsidRPr="005C6774" w:rsidRDefault="00736B76"/>
    <w:p w14:paraId="7E9A7ABF" w14:textId="77777777" w:rsidR="00757784" w:rsidRPr="005C6774" w:rsidRDefault="00757784" w:rsidP="00757784">
      <w:pPr>
        <w:rPr>
          <w:b/>
        </w:rPr>
      </w:pPr>
      <w:r w:rsidRPr="005C6774">
        <w:rPr>
          <w:b/>
        </w:rPr>
        <w:t xml:space="preserve">Fig. 10: 2D and 3D binding interactions of </w:t>
      </w:r>
      <w:r w:rsidRPr="005C6774">
        <w:rPr>
          <w:b/>
          <w:color w:val="000000"/>
        </w:rPr>
        <w:t>Rutin</w:t>
      </w:r>
      <w:r w:rsidRPr="005C6774">
        <w:rPr>
          <w:b/>
        </w:rPr>
        <w:t xml:space="preserve"> with </w:t>
      </w:r>
      <w:r w:rsidRPr="005C6774">
        <w:rPr>
          <w:b/>
          <w:iCs/>
          <w:color w:val="000000" w:themeColor="text1"/>
        </w:rPr>
        <w:t>Oxidative stress</w:t>
      </w:r>
      <w:r w:rsidRPr="005C6774">
        <w:rPr>
          <w:b/>
        </w:rPr>
        <w:t xml:space="preserve"> (PDB: 3E7G)</w:t>
      </w:r>
    </w:p>
    <w:p w14:paraId="0763E634" w14:textId="77777777" w:rsidR="000B7604" w:rsidRPr="005C6774" w:rsidRDefault="000B7604" w:rsidP="00502289">
      <w:pPr>
        <w:spacing w:before="240"/>
        <w:rPr>
          <w:b/>
        </w:rPr>
      </w:pPr>
    </w:p>
    <w:p w14:paraId="1E831343" w14:textId="77777777" w:rsidR="000B7604" w:rsidRPr="005C6774" w:rsidRDefault="000B7604" w:rsidP="00502289">
      <w:pPr>
        <w:spacing w:before="240"/>
        <w:rPr>
          <w:b/>
        </w:rPr>
      </w:pPr>
    </w:p>
    <w:p w14:paraId="2586B7ED" w14:textId="77777777" w:rsidR="000B7604" w:rsidRPr="005C6774" w:rsidRDefault="000B7604" w:rsidP="00502289">
      <w:pPr>
        <w:spacing w:before="240"/>
        <w:rPr>
          <w:b/>
        </w:rPr>
      </w:pPr>
    </w:p>
    <w:p w14:paraId="3C4AB69F" w14:textId="77777777" w:rsidR="000B7604" w:rsidRPr="005C6774" w:rsidRDefault="000B7604" w:rsidP="00502289">
      <w:pPr>
        <w:spacing w:before="240"/>
        <w:rPr>
          <w:b/>
        </w:rPr>
      </w:pPr>
    </w:p>
    <w:p w14:paraId="194CBC18" w14:textId="77777777" w:rsidR="000B7604" w:rsidRPr="005C6774" w:rsidRDefault="000B7604" w:rsidP="00502289">
      <w:pPr>
        <w:spacing w:before="240"/>
        <w:rPr>
          <w:b/>
        </w:rPr>
      </w:pPr>
    </w:p>
    <w:p w14:paraId="2FD89F64" w14:textId="77777777" w:rsidR="000B7604" w:rsidRPr="005C6774" w:rsidRDefault="000B7604" w:rsidP="00502289">
      <w:pPr>
        <w:spacing w:before="240"/>
        <w:rPr>
          <w:b/>
        </w:rPr>
      </w:pPr>
    </w:p>
    <w:p w14:paraId="24677B6C" w14:textId="77777777" w:rsidR="000B7604" w:rsidRPr="005C6774" w:rsidRDefault="000B7604" w:rsidP="00502289">
      <w:pPr>
        <w:spacing w:before="240"/>
        <w:rPr>
          <w:b/>
        </w:rPr>
      </w:pPr>
    </w:p>
    <w:p w14:paraId="30F6ABA3" w14:textId="77777777" w:rsidR="000B7604" w:rsidRPr="005C6774" w:rsidRDefault="000B7604" w:rsidP="00502289">
      <w:pPr>
        <w:spacing w:before="240"/>
        <w:rPr>
          <w:b/>
        </w:rPr>
      </w:pPr>
    </w:p>
    <w:p w14:paraId="0223580C" w14:textId="77777777" w:rsidR="000B7604" w:rsidRPr="005C6774" w:rsidRDefault="000B7604" w:rsidP="00502289">
      <w:pPr>
        <w:spacing w:before="240"/>
        <w:rPr>
          <w:b/>
        </w:rPr>
      </w:pPr>
    </w:p>
    <w:p w14:paraId="20F570F2" w14:textId="77777777" w:rsidR="000B7604" w:rsidRPr="005C6774" w:rsidRDefault="000B7604" w:rsidP="00502289">
      <w:pPr>
        <w:spacing w:before="240"/>
        <w:rPr>
          <w:b/>
        </w:rPr>
      </w:pPr>
    </w:p>
    <w:p w14:paraId="02FAAA52" w14:textId="77777777" w:rsidR="000B7604" w:rsidRPr="005C6774" w:rsidRDefault="000B7604" w:rsidP="00502289">
      <w:pPr>
        <w:spacing w:before="240"/>
        <w:rPr>
          <w:b/>
        </w:rPr>
      </w:pPr>
    </w:p>
    <w:p w14:paraId="6564AAF5" w14:textId="77777777" w:rsidR="000B7604" w:rsidRPr="005C6774" w:rsidRDefault="000B7604" w:rsidP="00502289">
      <w:pPr>
        <w:spacing w:before="240"/>
        <w:rPr>
          <w:b/>
        </w:rPr>
      </w:pPr>
    </w:p>
    <w:p w14:paraId="61FF686C" w14:textId="77777777" w:rsidR="000B7604" w:rsidRPr="005C6774" w:rsidRDefault="000B7604" w:rsidP="00502289">
      <w:pPr>
        <w:spacing w:before="240"/>
        <w:rPr>
          <w:b/>
        </w:rPr>
      </w:pPr>
    </w:p>
    <w:p w14:paraId="1E55EBE6" w14:textId="77777777" w:rsidR="000B7604" w:rsidRPr="005C6774" w:rsidRDefault="000B7604" w:rsidP="00502289">
      <w:pPr>
        <w:spacing w:before="240"/>
        <w:rPr>
          <w:b/>
        </w:rPr>
      </w:pPr>
    </w:p>
    <w:p w14:paraId="6147A946" w14:textId="77777777" w:rsidR="000B7604" w:rsidRPr="005C6774" w:rsidRDefault="000B7604" w:rsidP="00502289">
      <w:pPr>
        <w:spacing w:before="240"/>
        <w:rPr>
          <w:b/>
        </w:rPr>
      </w:pPr>
    </w:p>
    <w:p w14:paraId="1535D0A7" w14:textId="77777777" w:rsidR="000B7604" w:rsidRPr="005C6774" w:rsidRDefault="001470A9" w:rsidP="00502289">
      <w:pPr>
        <w:spacing w:before="240"/>
        <w:rPr>
          <w:b/>
        </w:rPr>
      </w:pPr>
      <w:r w:rsidRPr="005C6774">
        <w:rPr>
          <w:b/>
        </w:rPr>
        <w:lastRenderedPageBreak/>
        <w:t>Table 10</w:t>
      </w:r>
      <w:r w:rsidR="00331193" w:rsidRPr="005C6774">
        <w:rPr>
          <w:b/>
        </w:rPr>
        <w:t xml:space="preserve">: </w:t>
      </w:r>
      <w:r w:rsidR="00331193" w:rsidRPr="005C6774">
        <w:rPr>
          <w:b/>
        </w:rPr>
        <w:tab/>
      </w:r>
      <w:r w:rsidR="00502289" w:rsidRPr="005C6774">
        <w:rPr>
          <w:b/>
        </w:rPr>
        <w:t xml:space="preserve">Amino acid interactions of the </w:t>
      </w:r>
      <w:r w:rsidR="00331193" w:rsidRPr="005C6774">
        <w:rPr>
          <w:b/>
        </w:rPr>
        <w:t xml:space="preserve">selected </w:t>
      </w:r>
      <w:r w:rsidR="00502289" w:rsidRPr="005C6774">
        <w:rPr>
          <w:b/>
        </w:rPr>
        <w:t xml:space="preserve">target proteins </w:t>
      </w:r>
      <w:r w:rsidR="00331193" w:rsidRPr="005C6774">
        <w:rPr>
          <w:b/>
        </w:rPr>
        <w:t xml:space="preserve">with </w:t>
      </w:r>
      <w:r w:rsidR="00502289" w:rsidRPr="005C6774">
        <w:rPr>
          <w:b/>
        </w:rPr>
        <w:t xml:space="preserve">the Hit compounds of </w:t>
      </w:r>
      <w:r w:rsidR="00331193" w:rsidRPr="005C6774">
        <w:rPr>
          <w:b/>
          <w:i/>
        </w:rPr>
        <w:t>Brassica oleracea</w:t>
      </w:r>
      <w:r w:rsidR="00502289" w:rsidRPr="005C6774">
        <w:rPr>
          <w:b/>
        </w:rPr>
        <w:t xml:space="preserve"> </w:t>
      </w:r>
    </w:p>
    <w:p w14:paraId="4C925190" w14:textId="77777777" w:rsidR="000B7604" w:rsidRPr="005C6774" w:rsidRDefault="000B7604" w:rsidP="00502289">
      <w:pPr>
        <w:spacing w:before="240"/>
        <w:rPr>
          <w:b/>
        </w:rPr>
      </w:pPr>
    </w:p>
    <w:tbl>
      <w:tblPr>
        <w:tblStyle w:val="TableGrid"/>
        <w:tblW w:w="1079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1"/>
        <w:gridCol w:w="1409"/>
        <w:gridCol w:w="1440"/>
        <w:gridCol w:w="1440"/>
        <w:gridCol w:w="1440"/>
        <w:gridCol w:w="1170"/>
        <w:gridCol w:w="1210"/>
        <w:gridCol w:w="1210"/>
      </w:tblGrid>
      <w:tr w:rsidR="00A5383F" w:rsidRPr="005C6774" w14:paraId="53E993CF" w14:textId="77777777" w:rsidTr="00036BA4">
        <w:trPr>
          <w:trHeight w:val="511"/>
        </w:trPr>
        <w:tc>
          <w:tcPr>
            <w:tcW w:w="1471" w:type="dxa"/>
            <w:tcBorders>
              <w:top w:val="single" w:sz="4" w:space="0" w:color="auto"/>
              <w:bottom w:val="single" w:sz="4" w:space="0" w:color="auto"/>
            </w:tcBorders>
          </w:tcPr>
          <w:p w14:paraId="244FD250" w14:textId="77777777" w:rsidR="00A5383F" w:rsidRPr="005C6774" w:rsidRDefault="00A5383F" w:rsidP="00770840">
            <w:pPr>
              <w:rPr>
                <w:b/>
              </w:rPr>
            </w:pPr>
            <w:r w:rsidRPr="005C6774">
              <w:rPr>
                <w:b/>
              </w:rPr>
              <w:t>Binding interactions</w:t>
            </w:r>
          </w:p>
        </w:tc>
        <w:tc>
          <w:tcPr>
            <w:tcW w:w="1409" w:type="dxa"/>
            <w:tcBorders>
              <w:top w:val="single" w:sz="4" w:space="0" w:color="auto"/>
              <w:bottom w:val="single" w:sz="4" w:space="0" w:color="auto"/>
            </w:tcBorders>
          </w:tcPr>
          <w:p w14:paraId="2544081A" w14:textId="77777777" w:rsidR="00A5383F" w:rsidRPr="005C6774" w:rsidRDefault="00A5383F" w:rsidP="00770840">
            <w:pPr>
              <w:rPr>
                <w:b/>
              </w:rPr>
            </w:pPr>
            <w:r w:rsidRPr="005C6774">
              <w:rPr>
                <w:b/>
              </w:rPr>
              <w:t>1MHU-Neoxanthin</w:t>
            </w:r>
          </w:p>
        </w:tc>
        <w:tc>
          <w:tcPr>
            <w:tcW w:w="1440" w:type="dxa"/>
            <w:tcBorders>
              <w:top w:val="single" w:sz="4" w:space="0" w:color="auto"/>
              <w:bottom w:val="single" w:sz="4" w:space="0" w:color="auto"/>
            </w:tcBorders>
          </w:tcPr>
          <w:p w14:paraId="3DF79A66" w14:textId="77777777" w:rsidR="00A5383F" w:rsidRPr="005C6774" w:rsidRDefault="00A5383F" w:rsidP="00770840">
            <w:pPr>
              <w:rPr>
                <w:b/>
              </w:rPr>
            </w:pPr>
            <w:r w:rsidRPr="005C6774">
              <w:rPr>
                <w:b/>
              </w:rPr>
              <w:t>2MHU-Neoxanthin</w:t>
            </w:r>
          </w:p>
        </w:tc>
        <w:tc>
          <w:tcPr>
            <w:tcW w:w="1440" w:type="dxa"/>
            <w:tcBorders>
              <w:top w:val="single" w:sz="4" w:space="0" w:color="auto"/>
              <w:bottom w:val="single" w:sz="4" w:space="0" w:color="auto"/>
            </w:tcBorders>
          </w:tcPr>
          <w:p w14:paraId="5EEB036F" w14:textId="77777777" w:rsidR="00A5383F" w:rsidRPr="005C6774" w:rsidRDefault="00A5383F" w:rsidP="00770840">
            <w:pPr>
              <w:rPr>
                <w:b/>
              </w:rPr>
            </w:pPr>
            <w:r w:rsidRPr="005C6774">
              <w:rPr>
                <w:b/>
              </w:rPr>
              <w:t>INFI-Neoxanthin</w:t>
            </w:r>
          </w:p>
        </w:tc>
        <w:tc>
          <w:tcPr>
            <w:tcW w:w="1440" w:type="dxa"/>
            <w:tcBorders>
              <w:top w:val="single" w:sz="4" w:space="0" w:color="auto"/>
              <w:bottom w:val="single" w:sz="4" w:space="0" w:color="auto"/>
            </w:tcBorders>
          </w:tcPr>
          <w:p w14:paraId="78EFA4FE" w14:textId="77777777" w:rsidR="00A5383F" w:rsidRPr="005C6774" w:rsidRDefault="00A5383F" w:rsidP="00770840">
            <w:pPr>
              <w:rPr>
                <w:b/>
              </w:rPr>
            </w:pPr>
            <w:r w:rsidRPr="005C6774">
              <w:rPr>
                <w:b/>
              </w:rPr>
              <w:t>1PAU-Neoxanthin</w:t>
            </w:r>
          </w:p>
        </w:tc>
        <w:tc>
          <w:tcPr>
            <w:tcW w:w="1170" w:type="dxa"/>
            <w:tcBorders>
              <w:top w:val="single" w:sz="4" w:space="0" w:color="auto"/>
              <w:bottom w:val="single" w:sz="4" w:space="0" w:color="auto"/>
            </w:tcBorders>
          </w:tcPr>
          <w:p w14:paraId="1C99A527" w14:textId="77777777" w:rsidR="00A5383F" w:rsidRPr="005C6774" w:rsidRDefault="00A5383F" w:rsidP="00770840">
            <w:pPr>
              <w:rPr>
                <w:b/>
              </w:rPr>
            </w:pPr>
            <w:r w:rsidRPr="005C6774">
              <w:rPr>
                <w:b/>
              </w:rPr>
              <w:t>1V4S-Rutin</w:t>
            </w:r>
          </w:p>
        </w:tc>
        <w:tc>
          <w:tcPr>
            <w:tcW w:w="1210" w:type="dxa"/>
            <w:tcBorders>
              <w:top w:val="single" w:sz="4" w:space="0" w:color="auto"/>
              <w:bottom w:val="single" w:sz="4" w:space="0" w:color="auto"/>
            </w:tcBorders>
          </w:tcPr>
          <w:p w14:paraId="4D618CD4" w14:textId="77777777" w:rsidR="00A5383F" w:rsidRPr="005C6774" w:rsidRDefault="00A5383F" w:rsidP="00770840">
            <w:pPr>
              <w:rPr>
                <w:b/>
              </w:rPr>
            </w:pPr>
            <w:r w:rsidRPr="005C6774">
              <w:rPr>
                <w:b/>
              </w:rPr>
              <w:t>2GTU-Apigenin</w:t>
            </w:r>
          </w:p>
        </w:tc>
        <w:tc>
          <w:tcPr>
            <w:tcW w:w="1210" w:type="dxa"/>
            <w:tcBorders>
              <w:top w:val="single" w:sz="4" w:space="0" w:color="auto"/>
              <w:bottom w:val="single" w:sz="4" w:space="0" w:color="auto"/>
            </w:tcBorders>
          </w:tcPr>
          <w:p w14:paraId="32647BAE" w14:textId="77777777" w:rsidR="00A5383F" w:rsidRPr="005C6774" w:rsidRDefault="00A5383F" w:rsidP="00770840">
            <w:pPr>
              <w:rPr>
                <w:b/>
              </w:rPr>
            </w:pPr>
            <w:r w:rsidRPr="005C6774">
              <w:rPr>
                <w:b/>
              </w:rPr>
              <w:t>3E7G-Rutin</w:t>
            </w:r>
          </w:p>
        </w:tc>
      </w:tr>
      <w:tr w:rsidR="00A5383F" w:rsidRPr="005C6774" w14:paraId="2780E88B" w14:textId="77777777" w:rsidTr="00036BA4">
        <w:trPr>
          <w:trHeight w:val="962"/>
        </w:trPr>
        <w:tc>
          <w:tcPr>
            <w:tcW w:w="1471" w:type="dxa"/>
            <w:tcBorders>
              <w:top w:val="single" w:sz="4" w:space="0" w:color="auto"/>
            </w:tcBorders>
          </w:tcPr>
          <w:p w14:paraId="42D83E9F" w14:textId="77777777" w:rsidR="00A5383F" w:rsidRPr="005C6774" w:rsidRDefault="00A5383F" w:rsidP="00770840">
            <w:r w:rsidRPr="005C6774">
              <w:t>Conventional Hydrogen bond</w:t>
            </w:r>
          </w:p>
        </w:tc>
        <w:tc>
          <w:tcPr>
            <w:tcW w:w="1409" w:type="dxa"/>
            <w:tcBorders>
              <w:top w:val="single" w:sz="4" w:space="0" w:color="auto"/>
            </w:tcBorders>
          </w:tcPr>
          <w:p w14:paraId="7CE72C1B" w14:textId="77777777" w:rsidR="00A5383F" w:rsidRPr="005C6774" w:rsidRDefault="00444C09" w:rsidP="00770840">
            <w:r w:rsidRPr="005C6774">
              <w:t>ALA61</w:t>
            </w:r>
          </w:p>
        </w:tc>
        <w:tc>
          <w:tcPr>
            <w:tcW w:w="1440" w:type="dxa"/>
            <w:tcBorders>
              <w:top w:val="single" w:sz="4" w:space="0" w:color="auto"/>
            </w:tcBorders>
          </w:tcPr>
          <w:p w14:paraId="4B93F98D" w14:textId="77777777" w:rsidR="00A5383F" w:rsidRPr="005C6774" w:rsidRDefault="009A1A01" w:rsidP="00770840">
            <w:r w:rsidRPr="005C6774">
              <w:t>LYS22</w:t>
            </w:r>
          </w:p>
        </w:tc>
        <w:tc>
          <w:tcPr>
            <w:tcW w:w="1440" w:type="dxa"/>
            <w:tcBorders>
              <w:top w:val="single" w:sz="4" w:space="0" w:color="auto"/>
            </w:tcBorders>
          </w:tcPr>
          <w:p w14:paraId="06D965E0" w14:textId="77777777" w:rsidR="00A5383F" w:rsidRPr="005C6774" w:rsidRDefault="00A27305" w:rsidP="00770840">
            <w:r w:rsidRPr="005C6774">
              <w:t>GLU296, TRP295</w:t>
            </w:r>
          </w:p>
        </w:tc>
        <w:tc>
          <w:tcPr>
            <w:tcW w:w="1440" w:type="dxa"/>
            <w:tcBorders>
              <w:top w:val="single" w:sz="4" w:space="0" w:color="auto"/>
            </w:tcBorders>
          </w:tcPr>
          <w:p w14:paraId="5D25F912" w14:textId="77777777" w:rsidR="00A5383F" w:rsidRPr="005C6774" w:rsidRDefault="00670A72" w:rsidP="00770840">
            <w:r w:rsidRPr="005C6774">
              <w:t>-</w:t>
            </w:r>
          </w:p>
        </w:tc>
        <w:tc>
          <w:tcPr>
            <w:tcW w:w="1170" w:type="dxa"/>
            <w:tcBorders>
              <w:top w:val="single" w:sz="4" w:space="0" w:color="auto"/>
            </w:tcBorders>
          </w:tcPr>
          <w:p w14:paraId="14D1184F" w14:textId="77777777" w:rsidR="00A5383F" w:rsidRPr="005C6774" w:rsidRDefault="00036BA4" w:rsidP="00770840">
            <w:r w:rsidRPr="005C6774">
              <w:t xml:space="preserve">THR228, ASP78, GLY81, ASP409 </w:t>
            </w:r>
          </w:p>
        </w:tc>
        <w:tc>
          <w:tcPr>
            <w:tcW w:w="1210" w:type="dxa"/>
            <w:tcBorders>
              <w:top w:val="single" w:sz="4" w:space="0" w:color="auto"/>
            </w:tcBorders>
          </w:tcPr>
          <w:p w14:paraId="349E5056" w14:textId="77777777" w:rsidR="00A5383F" w:rsidRPr="005C6774" w:rsidRDefault="00A5383F" w:rsidP="00770840">
            <w:r w:rsidRPr="005C6774">
              <w:t>TYR115</w:t>
            </w:r>
          </w:p>
        </w:tc>
        <w:tc>
          <w:tcPr>
            <w:tcW w:w="1210" w:type="dxa"/>
            <w:tcBorders>
              <w:top w:val="single" w:sz="4" w:space="0" w:color="auto"/>
            </w:tcBorders>
          </w:tcPr>
          <w:p w14:paraId="387CD194" w14:textId="77777777" w:rsidR="00A5383F" w:rsidRPr="005C6774" w:rsidRDefault="00770840" w:rsidP="00770840">
            <w:r w:rsidRPr="005C6774">
              <w:t>ARG199, GLU377, GLN263, ALA351,ASN370</w:t>
            </w:r>
          </w:p>
        </w:tc>
      </w:tr>
      <w:tr w:rsidR="00A5383F" w:rsidRPr="005C6774" w14:paraId="5E147D17" w14:textId="77777777" w:rsidTr="00036BA4">
        <w:trPr>
          <w:trHeight w:val="900"/>
        </w:trPr>
        <w:tc>
          <w:tcPr>
            <w:tcW w:w="1471" w:type="dxa"/>
          </w:tcPr>
          <w:p w14:paraId="1765E4CE" w14:textId="77777777" w:rsidR="00A5383F" w:rsidRPr="005C6774" w:rsidRDefault="00A5383F" w:rsidP="00770840">
            <w:r w:rsidRPr="005C6774">
              <w:t>Carbon Hydrogen bond</w:t>
            </w:r>
          </w:p>
        </w:tc>
        <w:tc>
          <w:tcPr>
            <w:tcW w:w="1409" w:type="dxa"/>
          </w:tcPr>
          <w:p w14:paraId="3B07712D" w14:textId="77777777" w:rsidR="00A5383F" w:rsidRPr="005C6774" w:rsidRDefault="00444C09" w:rsidP="00770840">
            <w:r w:rsidRPr="005C6774">
              <w:t>-</w:t>
            </w:r>
          </w:p>
        </w:tc>
        <w:tc>
          <w:tcPr>
            <w:tcW w:w="1440" w:type="dxa"/>
          </w:tcPr>
          <w:p w14:paraId="278DA9FC" w14:textId="77777777" w:rsidR="00A5383F" w:rsidRPr="005C6774" w:rsidRDefault="00006AB7" w:rsidP="00770840">
            <w:r w:rsidRPr="005C6774">
              <w:t>GLU23, MET1</w:t>
            </w:r>
          </w:p>
        </w:tc>
        <w:tc>
          <w:tcPr>
            <w:tcW w:w="1440" w:type="dxa"/>
          </w:tcPr>
          <w:p w14:paraId="00BEEBD6" w14:textId="77777777" w:rsidR="00A5383F" w:rsidRPr="005C6774" w:rsidRDefault="00A27305" w:rsidP="00770840">
            <w:r w:rsidRPr="005C6774">
              <w:t>-</w:t>
            </w:r>
          </w:p>
        </w:tc>
        <w:tc>
          <w:tcPr>
            <w:tcW w:w="1440" w:type="dxa"/>
          </w:tcPr>
          <w:p w14:paraId="376A2891" w14:textId="77777777" w:rsidR="00A5383F" w:rsidRPr="005C6774" w:rsidRDefault="00670A72" w:rsidP="00770840">
            <w:r w:rsidRPr="005C6774">
              <w:t>-</w:t>
            </w:r>
          </w:p>
        </w:tc>
        <w:tc>
          <w:tcPr>
            <w:tcW w:w="1170" w:type="dxa"/>
          </w:tcPr>
          <w:p w14:paraId="7EA30283" w14:textId="77777777" w:rsidR="00A5383F" w:rsidRPr="005C6774" w:rsidRDefault="00951D80" w:rsidP="00770840">
            <w:r w:rsidRPr="005C6774">
              <w:t>-</w:t>
            </w:r>
          </w:p>
        </w:tc>
        <w:tc>
          <w:tcPr>
            <w:tcW w:w="1210" w:type="dxa"/>
          </w:tcPr>
          <w:p w14:paraId="4EA45DF7" w14:textId="77777777" w:rsidR="00A5383F" w:rsidRPr="005C6774" w:rsidRDefault="00A5383F" w:rsidP="00770840">
            <w:r w:rsidRPr="005C6774">
              <w:t>-</w:t>
            </w:r>
          </w:p>
        </w:tc>
        <w:tc>
          <w:tcPr>
            <w:tcW w:w="1210" w:type="dxa"/>
          </w:tcPr>
          <w:p w14:paraId="12B5A8AC" w14:textId="77777777" w:rsidR="00A5383F" w:rsidRPr="005C6774" w:rsidRDefault="00951D80" w:rsidP="00770840">
            <w:r w:rsidRPr="005C6774">
              <w:t>-</w:t>
            </w:r>
          </w:p>
        </w:tc>
      </w:tr>
      <w:tr w:rsidR="00A5383F" w:rsidRPr="005C6774" w14:paraId="6B7147CE" w14:textId="77777777" w:rsidTr="00036BA4">
        <w:trPr>
          <w:trHeight w:val="630"/>
        </w:trPr>
        <w:tc>
          <w:tcPr>
            <w:tcW w:w="1471" w:type="dxa"/>
          </w:tcPr>
          <w:p w14:paraId="530FB472" w14:textId="77777777" w:rsidR="00A5383F" w:rsidRPr="005C6774" w:rsidRDefault="00A5383F" w:rsidP="00770840">
            <w:r w:rsidRPr="005C6774">
              <w:t xml:space="preserve">Van </w:t>
            </w:r>
            <w:proofErr w:type="spellStart"/>
            <w:r w:rsidRPr="005C6774">
              <w:t>dar</w:t>
            </w:r>
            <w:proofErr w:type="spellEnd"/>
            <w:r w:rsidRPr="005C6774">
              <w:t xml:space="preserve"> Waals</w:t>
            </w:r>
          </w:p>
        </w:tc>
        <w:tc>
          <w:tcPr>
            <w:tcW w:w="1409" w:type="dxa"/>
          </w:tcPr>
          <w:p w14:paraId="1C8A5222" w14:textId="77777777" w:rsidR="00A5383F" w:rsidRPr="005C6774" w:rsidRDefault="00444C09" w:rsidP="00770840">
            <w:r w:rsidRPr="005C6774">
              <w:t>VAL39, SER58, LYS56, CYS57, ASP55, CYS36, CYS37, CYS59, CYS60</w:t>
            </w:r>
          </w:p>
        </w:tc>
        <w:tc>
          <w:tcPr>
            <w:tcW w:w="1440" w:type="dxa"/>
          </w:tcPr>
          <w:p w14:paraId="017D983B" w14:textId="77777777" w:rsidR="00A5383F" w:rsidRPr="005C6774" w:rsidRDefault="00006AB7" w:rsidP="00770840">
            <w:r w:rsidRPr="005C6774">
              <w:t>SER6, CYS21, ASN4, CYS5, PRO3, CYS19, CYS24, CYS29, LYS30</w:t>
            </w:r>
          </w:p>
        </w:tc>
        <w:tc>
          <w:tcPr>
            <w:tcW w:w="1440" w:type="dxa"/>
          </w:tcPr>
          <w:p w14:paraId="4A45B38C" w14:textId="77777777" w:rsidR="00A5383F" w:rsidRPr="005C6774" w:rsidRDefault="00A27305" w:rsidP="00A27305">
            <w:r w:rsidRPr="005C6774">
              <w:t>GLY297, GLY266, LYS315, THR316, ASP300, GLY299, SER302, PRO303, LYS337, ILE281, LYS337, ILE283, GLN282, PRO317</w:t>
            </w:r>
          </w:p>
        </w:tc>
        <w:tc>
          <w:tcPr>
            <w:tcW w:w="1440" w:type="dxa"/>
          </w:tcPr>
          <w:p w14:paraId="6F05F0D4" w14:textId="77777777" w:rsidR="00A5383F" w:rsidRPr="005C6774" w:rsidRDefault="00670A72" w:rsidP="00770840">
            <w:r w:rsidRPr="005C6774">
              <w:t>LYS358, ALA361, ILE350, ALA330, PHE349, SER332, TYR331, TYR329, LEU328, CYS354</w:t>
            </w:r>
          </w:p>
        </w:tc>
        <w:tc>
          <w:tcPr>
            <w:tcW w:w="1170" w:type="dxa"/>
          </w:tcPr>
          <w:p w14:paraId="51F4DAB1" w14:textId="77777777" w:rsidR="00A5383F" w:rsidRPr="005C6774" w:rsidRDefault="0031232D" w:rsidP="00770840">
            <w:r w:rsidRPr="005C6774">
              <w:t>GLY410, ASP205, ILE225, GLY229, GLY227, SER411, MET107, ASN83, THR82, GLY446, GLY444, SER441, GLY80, ARG85, LY414, SER151, THR149</w:t>
            </w:r>
          </w:p>
        </w:tc>
        <w:tc>
          <w:tcPr>
            <w:tcW w:w="1210" w:type="dxa"/>
          </w:tcPr>
          <w:p w14:paraId="3976A4DF" w14:textId="77777777" w:rsidR="00A5383F" w:rsidRPr="005C6774" w:rsidRDefault="00A5383F" w:rsidP="00770840">
            <w:r w:rsidRPr="005C6774">
              <w:t>ILE9, THR209, TYR6, GLY11, ARG 165, ARG107, MET108</w:t>
            </w:r>
          </w:p>
        </w:tc>
        <w:tc>
          <w:tcPr>
            <w:tcW w:w="1210" w:type="dxa"/>
          </w:tcPr>
          <w:p w14:paraId="179FE06C" w14:textId="77777777" w:rsidR="00A5383F" w:rsidRPr="005C6774" w:rsidRDefault="007F0137" w:rsidP="00770840">
            <w:r w:rsidRPr="005C6774">
              <w:t>TRP463, MET355, GLY371, TRP372, MET374, VAL352, PRO350, SER242, TYR347, ILE244, THR190, TYR489</w:t>
            </w:r>
          </w:p>
        </w:tc>
      </w:tr>
      <w:tr w:rsidR="00A5383F" w:rsidRPr="005C6774" w14:paraId="3056A4C7" w14:textId="77777777" w:rsidTr="00036BA4">
        <w:trPr>
          <w:trHeight w:val="254"/>
        </w:trPr>
        <w:tc>
          <w:tcPr>
            <w:tcW w:w="1471" w:type="dxa"/>
          </w:tcPr>
          <w:p w14:paraId="73DC88FE" w14:textId="77777777" w:rsidR="00A5383F" w:rsidRPr="005C6774" w:rsidRDefault="00A5383F" w:rsidP="00770840">
            <w:r w:rsidRPr="005C6774">
              <w:t>Pi-Pi stacked</w:t>
            </w:r>
          </w:p>
        </w:tc>
        <w:tc>
          <w:tcPr>
            <w:tcW w:w="1409" w:type="dxa"/>
          </w:tcPr>
          <w:p w14:paraId="6E806C7C" w14:textId="77777777" w:rsidR="00A5383F" w:rsidRPr="005C6774" w:rsidRDefault="00444C09" w:rsidP="00770840">
            <w:r w:rsidRPr="005C6774">
              <w:t>-</w:t>
            </w:r>
          </w:p>
        </w:tc>
        <w:tc>
          <w:tcPr>
            <w:tcW w:w="1440" w:type="dxa"/>
          </w:tcPr>
          <w:p w14:paraId="4FCEC6C2" w14:textId="77777777" w:rsidR="00A5383F" w:rsidRPr="005C6774" w:rsidRDefault="00D1159E" w:rsidP="00770840">
            <w:r w:rsidRPr="005C6774">
              <w:t>-</w:t>
            </w:r>
          </w:p>
        </w:tc>
        <w:tc>
          <w:tcPr>
            <w:tcW w:w="1440" w:type="dxa"/>
          </w:tcPr>
          <w:p w14:paraId="4AABE81A" w14:textId="77777777" w:rsidR="00A5383F" w:rsidRPr="005C6774" w:rsidRDefault="00FA3AFE" w:rsidP="00770840">
            <w:r w:rsidRPr="005C6774">
              <w:t>-</w:t>
            </w:r>
          </w:p>
        </w:tc>
        <w:tc>
          <w:tcPr>
            <w:tcW w:w="1440" w:type="dxa"/>
          </w:tcPr>
          <w:p w14:paraId="3FF40F4D" w14:textId="77777777" w:rsidR="00A5383F" w:rsidRPr="005C6774" w:rsidRDefault="00670A72" w:rsidP="00770840">
            <w:r w:rsidRPr="005C6774">
              <w:t>-</w:t>
            </w:r>
          </w:p>
        </w:tc>
        <w:tc>
          <w:tcPr>
            <w:tcW w:w="1170" w:type="dxa"/>
          </w:tcPr>
          <w:p w14:paraId="10FBDF5B" w14:textId="77777777" w:rsidR="00A5383F" w:rsidRPr="005C6774" w:rsidRDefault="00667136" w:rsidP="00770840">
            <w:r w:rsidRPr="005C6774">
              <w:t>-</w:t>
            </w:r>
          </w:p>
        </w:tc>
        <w:tc>
          <w:tcPr>
            <w:tcW w:w="1210" w:type="dxa"/>
          </w:tcPr>
          <w:p w14:paraId="29B46C7E" w14:textId="77777777" w:rsidR="00A5383F" w:rsidRPr="005C6774" w:rsidRDefault="00A5383F" w:rsidP="00770840">
            <w:r w:rsidRPr="005C6774">
              <w:t>PHE208</w:t>
            </w:r>
          </w:p>
        </w:tc>
        <w:tc>
          <w:tcPr>
            <w:tcW w:w="1210" w:type="dxa"/>
          </w:tcPr>
          <w:p w14:paraId="09B2EDBA" w14:textId="77777777" w:rsidR="00A5383F" w:rsidRPr="005C6774" w:rsidRDefault="007F0137" w:rsidP="00770840">
            <w:r w:rsidRPr="005C6774">
              <w:t>PHE369, TRP194</w:t>
            </w:r>
          </w:p>
        </w:tc>
      </w:tr>
      <w:tr w:rsidR="00A5383F" w:rsidRPr="005C6774" w14:paraId="41D2FC6C" w14:textId="77777777" w:rsidTr="00036BA4">
        <w:trPr>
          <w:trHeight w:val="351"/>
        </w:trPr>
        <w:tc>
          <w:tcPr>
            <w:tcW w:w="1471" w:type="dxa"/>
          </w:tcPr>
          <w:p w14:paraId="06FC4694" w14:textId="77777777" w:rsidR="00A5383F" w:rsidRPr="005C6774" w:rsidRDefault="00A5383F" w:rsidP="00770840">
            <w:r w:rsidRPr="005C6774">
              <w:t>Pi-alkyl</w:t>
            </w:r>
          </w:p>
        </w:tc>
        <w:tc>
          <w:tcPr>
            <w:tcW w:w="1409" w:type="dxa"/>
          </w:tcPr>
          <w:p w14:paraId="172C5EE7" w14:textId="77777777" w:rsidR="00A5383F" w:rsidRPr="005C6774" w:rsidRDefault="00444C09" w:rsidP="00770840">
            <w:r w:rsidRPr="005C6774">
              <w:t>ALA42, LYS43, CYS41, PRO38</w:t>
            </w:r>
          </w:p>
        </w:tc>
        <w:tc>
          <w:tcPr>
            <w:tcW w:w="1440" w:type="dxa"/>
          </w:tcPr>
          <w:p w14:paraId="1C41942B" w14:textId="77777777" w:rsidR="00A5383F" w:rsidRPr="005C6774" w:rsidRDefault="00D1159E" w:rsidP="00770840">
            <w:r w:rsidRPr="005C6774">
              <w:t>LYS20</w:t>
            </w:r>
          </w:p>
        </w:tc>
        <w:tc>
          <w:tcPr>
            <w:tcW w:w="1440" w:type="dxa"/>
          </w:tcPr>
          <w:p w14:paraId="1ADDFDB4" w14:textId="77777777" w:rsidR="00A5383F" w:rsidRPr="005C6774" w:rsidRDefault="00FA3AFE" w:rsidP="00770840">
            <w:r w:rsidRPr="005C6774">
              <w:t>LYS318</w:t>
            </w:r>
          </w:p>
        </w:tc>
        <w:tc>
          <w:tcPr>
            <w:tcW w:w="1440" w:type="dxa"/>
          </w:tcPr>
          <w:p w14:paraId="515AB230" w14:textId="77777777" w:rsidR="00A5383F" w:rsidRPr="005C6774" w:rsidRDefault="00670A72" w:rsidP="00770840">
            <w:r w:rsidRPr="005C6774">
              <w:t>LEU353, PHE366, LEU357</w:t>
            </w:r>
          </w:p>
        </w:tc>
        <w:tc>
          <w:tcPr>
            <w:tcW w:w="1170" w:type="dxa"/>
          </w:tcPr>
          <w:p w14:paraId="1F72C670" w14:textId="77777777" w:rsidR="00A5383F" w:rsidRPr="005C6774" w:rsidRDefault="00667136" w:rsidP="00770840">
            <w:r w:rsidRPr="005C6774">
              <w:t>-</w:t>
            </w:r>
          </w:p>
        </w:tc>
        <w:tc>
          <w:tcPr>
            <w:tcW w:w="1210" w:type="dxa"/>
          </w:tcPr>
          <w:p w14:paraId="113378DA" w14:textId="77777777" w:rsidR="00A5383F" w:rsidRPr="005C6774" w:rsidRDefault="00A5383F" w:rsidP="00770840">
            <w:r w:rsidRPr="005C6774">
              <w:t>LYS112, ALA111, LEU12</w:t>
            </w:r>
          </w:p>
        </w:tc>
        <w:tc>
          <w:tcPr>
            <w:tcW w:w="1210" w:type="dxa"/>
          </w:tcPr>
          <w:p w14:paraId="7EB00594" w14:textId="77777777" w:rsidR="00A5383F" w:rsidRPr="005C6774" w:rsidRDefault="00E33672" w:rsidP="00770840">
            <w:r w:rsidRPr="005C6774">
              <w:t>TYR373, LEU209,ALA197</w:t>
            </w:r>
          </w:p>
        </w:tc>
      </w:tr>
      <w:tr w:rsidR="002C5A00" w:rsidRPr="005C6774" w14:paraId="46EE8B7F" w14:textId="77777777" w:rsidTr="00036BA4">
        <w:trPr>
          <w:trHeight w:val="524"/>
        </w:trPr>
        <w:tc>
          <w:tcPr>
            <w:tcW w:w="1471" w:type="dxa"/>
          </w:tcPr>
          <w:p w14:paraId="562A863D" w14:textId="77777777" w:rsidR="002C5A00" w:rsidRPr="005C6774" w:rsidRDefault="002C5A00" w:rsidP="00770840">
            <w:r w:rsidRPr="005C6774">
              <w:t>Pi-Anion</w:t>
            </w:r>
          </w:p>
        </w:tc>
        <w:tc>
          <w:tcPr>
            <w:tcW w:w="1409" w:type="dxa"/>
          </w:tcPr>
          <w:p w14:paraId="386CA52E" w14:textId="77777777" w:rsidR="002C5A00" w:rsidRPr="005C6774" w:rsidRDefault="008079FA" w:rsidP="00770840">
            <w:r w:rsidRPr="005C6774">
              <w:t>-</w:t>
            </w:r>
          </w:p>
        </w:tc>
        <w:tc>
          <w:tcPr>
            <w:tcW w:w="1440" w:type="dxa"/>
          </w:tcPr>
          <w:p w14:paraId="3B09B971" w14:textId="77777777" w:rsidR="002C5A00" w:rsidRPr="005C6774" w:rsidRDefault="00D1159E" w:rsidP="00770840">
            <w:r w:rsidRPr="005C6774">
              <w:t>-</w:t>
            </w:r>
          </w:p>
        </w:tc>
        <w:tc>
          <w:tcPr>
            <w:tcW w:w="1440" w:type="dxa"/>
          </w:tcPr>
          <w:p w14:paraId="7F1BF4D2" w14:textId="77777777" w:rsidR="002C5A00" w:rsidRPr="005C6774" w:rsidRDefault="00FA3AFE" w:rsidP="00770840">
            <w:r w:rsidRPr="005C6774">
              <w:t>-</w:t>
            </w:r>
          </w:p>
        </w:tc>
        <w:tc>
          <w:tcPr>
            <w:tcW w:w="1440" w:type="dxa"/>
          </w:tcPr>
          <w:p w14:paraId="6E8C1525" w14:textId="77777777" w:rsidR="002C5A00" w:rsidRPr="005C6774" w:rsidRDefault="00C20584" w:rsidP="00770840">
            <w:r w:rsidRPr="005C6774">
              <w:t>-</w:t>
            </w:r>
          </w:p>
        </w:tc>
        <w:tc>
          <w:tcPr>
            <w:tcW w:w="1170" w:type="dxa"/>
          </w:tcPr>
          <w:p w14:paraId="0F142C33" w14:textId="77777777" w:rsidR="002C5A00" w:rsidRPr="005C6774" w:rsidRDefault="002C5A00" w:rsidP="00770840">
            <w:r w:rsidRPr="005C6774">
              <w:t>GLU443</w:t>
            </w:r>
          </w:p>
        </w:tc>
        <w:tc>
          <w:tcPr>
            <w:tcW w:w="1210" w:type="dxa"/>
          </w:tcPr>
          <w:p w14:paraId="13F04878" w14:textId="77777777" w:rsidR="002C5A00" w:rsidRPr="005C6774" w:rsidRDefault="00E33672" w:rsidP="00770840">
            <w:r w:rsidRPr="005C6774">
              <w:t>-</w:t>
            </w:r>
          </w:p>
        </w:tc>
        <w:tc>
          <w:tcPr>
            <w:tcW w:w="1210" w:type="dxa"/>
          </w:tcPr>
          <w:p w14:paraId="0418CFF5" w14:textId="77777777" w:rsidR="002C5A00" w:rsidRPr="005C6774" w:rsidRDefault="00E33672" w:rsidP="00770840">
            <w:r w:rsidRPr="005C6774">
              <w:t>-</w:t>
            </w:r>
          </w:p>
        </w:tc>
      </w:tr>
      <w:tr w:rsidR="002C5A00" w:rsidRPr="005C6774" w14:paraId="239B8FA3" w14:textId="77777777" w:rsidTr="00036BA4">
        <w:trPr>
          <w:trHeight w:val="524"/>
        </w:trPr>
        <w:tc>
          <w:tcPr>
            <w:tcW w:w="1471" w:type="dxa"/>
          </w:tcPr>
          <w:p w14:paraId="486A6865" w14:textId="77777777" w:rsidR="002C5A00" w:rsidRPr="005C6774" w:rsidRDefault="002C5A00" w:rsidP="00770840">
            <w:r w:rsidRPr="005C6774">
              <w:t>Unfavorable donor-donor</w:t>
            </w:r>
          </w:p>
        </w:tc>
        <w:tc>
          <w:tcPr>
            <w:tcW w:w="1409" w:type="dxa"/>
          </w:tcPr>
          <w:p w14:paraId="3533BBB1" w14:textId="77777777" w:rsidR="002C5A00" w:rsidRPr="005C6774" w:rsidRDefault="008079FA" w:rsidP="00770840">
            <w:r w:rsidRPr="005C6774">
              <w:t>-</w:t>
            </w:r>
          </w:p>
        </w:tc>
        <w:tc>
          <w:tcPr>
            <w:tcW w:w="1440" w:type="dxa"/>
          </w:tcPr>
          <w:p w14:paraId="1CB43657" w14:textId="77777777" w:rsidR="002C5A00" w:rsidRPr="005C6774" w:rsidRDefault="00D1159E" w:rsidP="00770840">
            <w:r w:rsidRPr="005C6774">
              <w:t>-</w:t>
            </w:r>
          </w:p>
        </w:tc>
        <w:tc>
          <w:tcPr>
            <w:tcW w:w="1440" w:type="dxa"/>
          </w:tcPr>
          <w:p w14:paraId="4895748E" w14:textId="77777777" w:rsidR="002C5A00" w:rsidRPr="005C6774" w:rsidRDefault="00FA3AFE" w:rsidP="00770840">
            <w:r w:rsidRPr="005C6774">
              <w:t>-</w:t>
            </w:r>
          </w:p>
        </w:tc>
        <w:tc>
          <w:tcPr>
            <w:tcW w:w="1440" w:type="dxa"/>
          </w:tcPr>
          <w:p w14:paraId="28A55A55" w14:textId="77777777" w:rsidR="002C5A00" w:rsidRPr="005C6774" w:rsidRDefault="00C20584" w:rsidP="00770840">
            <w:r w:rsidRPr="005C6774">
              <w:t>-</w:t>
            </w:r>
          </w:p>
        </w:tc>
        <w:tc>
          <w:tcPr>
            <w:tcW w:w="1170" w:type="dxa"/>
          </w:tcPr>
          <w:p w14:paraId="6A87342F" w14:textId="77777777" w:rsidR="002C5A00" w:rsidRPr="005C6774" w:rsidRDefault="002C5A00" w:rsidP="00770840">
            <w:r w:rsidRPr="005C6774">
              <w:t>LYS169, SER445</w:t>
            </w:r>
          </w:p>
        </w:tc>
        <w:tc>
          <w:tcPr>
            <w:tcW w:w="1210" w:type="dxa"/>
          </w:tcPr>
          <w:p w14:paraId="5FE9EFF3" w14:textId="77777777" w:rsidR="002C5A00" w:rsidRPr="005C6774" w:rsidRDefault="00E33672" w:rsidP="00770840">
            <w:r w:rsidRPr="005C6774">
              <w:t>-</w:t>
            </w:r>
          </w:p>
        </w:tc>
        <w:tc>
          <w:tcPr>
            <w:tcW w:w="1210" w:type="dxa"/>
          </w:tcPr>
          <w:p w14:paraId="2CA7274D" w14:textId="77777777" w:rsidR="002C5A00" w:rsidRPr="005C6774" w:rsidRDefault="00E33672" w:rsidP="00770840">
            <w:r w:rsidRPr="005C6774">
              <w:t>-</w:t>
            </w:r>
          </w:p>
        </w:tc>
      </w:tr>
      <w:tr w:rsidR="00E33672" w:rsidRPr="005C6774" w14:paraId="4FA69C60" w14:textId="77777777" w:rsidTr="00036BA4">
        <w:trPr>
          <w:trHeight w:val="524"/>
        </w:trPr>
        <w:tc>
          <w:tcPr>
            <w:tcW w:w="1471" w:type="dxa"/>
          </w:tcPr>
          <w:p w14:paraId="21E231D0" w14:textId="77777777" w:rsidR="00E33672" w:rsidRPr="005C6774" w:rsidRDefault="00E33672" w:rsidP="00770840">
            <w:r w:rsidRPr="005C6774">
              <w:t>Pi-Sigma</w:t>
            </w:r>
          </w:p>
        </w:tc>
        <w:tc>
          <w:tcPr>
            <w:tcW w:w="1409" w:type="dxa"/>
          </w:tcPr>
          <w:p w14:paraId="7D9DCAFB" w14:textId="77777777" w:rsidR="00E33672" w:rsidRPr="005C6774" w:rsidRDefault="008079FA" w:rsidP="00770840">
            <w:r w:rsidRPr="005C6774">
              <w:t>-</w:t>
            </w:r>
          </w:p>
        </w:tc>
        <w:tc>
          <w:tcPr>
            <w:tcW w:w="1440" w:type="dxa"/>
          </w:tcPr>
          <w:p w14:paraId="2980F7E5" w14:textId="77777777" w:rsidR="00E33672" w:rsidRPr="005C6774" w:rsidRDefault="00D1159E" w:rsidP="00770840">
            <w:r w:rsidRPr="005C6774">
              <w:t>-</w:t>
            </w:r>
          </w:p>
        </w:tc>
        <w:tc>
          <w:tcPr>
            <w:tcW w:w="1440" w:type="dxa"/>
          </w:tcPr>
          <w:p w14:paraId="53B2D7A5" w14:textId="77777777" w:rsidR="00E33672" w:rsidRPr="005C6774" w:rsidRDefault="00FA3AFE" w:rsidP="00770840">
            <w:r w:rsidRPr="005C6774">
              <w:t>PHE298</w:t>
            </w:r>
          </w:p>
        </w:tc>
        <w:tc>
          <w:tcPr>
            <w:tcW w:w="1440" w:type="dxa"/>
          </w:tcPr>
          <w:p w14:paraId="0F07AB69" w14:textId="77777777" w:rsidR="00E33672" w:rsidRPr="005C6774" w:rsidRDefault="00C20584" w:rsidP="00770840">
            <w:r w:rsidRPr="005C6774">
              <w:t>PHE400</w:t>
            </w:r>
          </w:p>
        </w:tc>
        <w:tc>
          <w:tcPr>
            <w:tcW w:w="1170" w:type="dxa"/>
          </w:tcPr>
          <w:p w14:paraId="3447A626" w14:textId="77777777" w:rsidR="00E33672" w:rsidRPr="005C6774" w:rsidRDefault="00E33672" w:rsidP="00770840">
            <w:r w:rsidRPr="005C6774">
              <w:t>-</w:t>
            </w:r>
          </w:p>
        </w:tc>
        <w:tc>
          <w:tcPr>
            <w:tcW w:w="1210" w:type="dxa"/>
          </w:tcPr>
          <w:p w14:paraId="3BBDD2D3" w14:textId="77777777" w:rsidR="00E33672" w:rsidRPr="005C6774" w:rsidRDefault="00E33672" w:rsidP="00770840">
            <w:r w:rsidRPr="005C6774">
              <w:t>-</w:t>
            </w:r>
          </w:p>
        </w:tc>
        <w:tc>
          <w:tcPr>
            <w:tcW w:w="1210" w:type="dxa"/>
          </w:tcPr>
          <w:p w14:paraId="7C4DCC61" w14:textId="77777777" w:rsidR="00E33672" w:rsidRPr="005C6774" w:rsidRDefault="00E33672" w:rsidP="00770840">
            <w:r w:rsidRPr="005C6774">
              <w:t>CYS200</w:t>
            </w:r>
          </w:p>
        </w:tc>
      </w:tr>
      <w:tr w:rsidR="00A27305" w:rsidRPr="005C6774" w14:paraId="52D607B8" w14:textId="77777777" w:rsidTr="00036BA4">
        <w:trPr>
          <w:trHeight w:val="524"/>
        </w:trPr>
        <w:tc>
          <w:tcPr>
            <w:tcW w:w="1471" w:type="dxa"/>
          </w:tcPr>
          <w:p w14:paraId="45C9E185" w14:textId="77777777" w:rsidR="00A27305" w:rsidRPr="005C6774" w:rsidRDefault="00A27305" w:rsidP="00770840">
            <w:r w:rsidRPr="005C6774">
              <w:t>Pi-Donor hydrogen bond</w:t>
            </w:r>
          </w:p>
        </w:tc>
        <w:tc>
          <w:tcPr>
            <w:tcW w:w="1409" w:type="dxa"/>
          </w:tcPr>
          <w:p w14:paraId="6CDD9291" w14:textId="77777777" w:rsidR="00A27305" w:rsidRPr="005C6774" w:rsidRDefault="00A27305" w:rsidP="00770840">
            <w:r w:rsidRPr="005C6774">
              <w:t>-</w:t>
            </w:r>
          </w:p>
        </w:tc>
        <w:tc>
          <w:tcPr>
            <w:tcW w:w="1440" w:type="dxa"/>
          </w:tcPr>
          <w:p w14:paraId="0B4CAA0F" w14:textId="77777777" w:rsidR="00A27305" w:rsidRPr="005C6774" w:rsidRDefault="00D1159E" w:rsidP="00770840">
            <w:r w:rsidRPr="005C6774">
              <w:t>-</w:t>
            </w:r>
          </w:p>
        </w:tc>
        <w:tc>
          <w:tcPr>
            <w:tcW w:w="1440" w:type="dxa"/>
          </w:tcPr>
          <w:p w14:paraId="1724ABC9" w14:textId="77777777" w:rsidR="00A27305" w:rsidRPr="005C6774" w:rsidRDefault="00A27305" w:rsidP="00770840">
            <w:r w:rsidRPr="005C6774">
              <w:t>PHE301</w:t>
            </w:r>
          </w:p>
        </w:tc>
        <w:tc>
          <w:tcPr>
            <w:tcW w:w="1440" w:type="dxa"/>
          </w:tcPr>
          <w:p w14:paraId="74DF098B" w14:textId="77777777" w:rsidR="00A27305" w:rsidRPr="005C6774" w:rsidRDefault="00A27305" w:rsidP="00770840">
            <w:r w:rsidRPr="005C6774">
              <w:t>-</w:t>
            </w:r>
          </w:p>
        </w:tc>
        <w:tc>
          <w:tcPr>
            <w:tcW w:w="1170" w:type="dxa"/>
          </w:tcPr>
          <w:p w14:paraId="2B7E1D4C" w14:textId="77777777" w:rsidR="00A27305" w:rsidRPr="005C6774" w:rsidRDefault="00A27305" w:rsidP="00770840">
            <w:r w:rsidRPr="005C6774">
              <w:t>-</w:t>
            </w:r>
          </w:p>
        </w:tc>
        <w:tc>
          <w:tcPr>
            <w:tcW w:w="1210" w:type="dxa"/>
          </w:tcPr>
          <w:p w14:paraId="2036B392" w14:textId="77777777" w:rsidR="00A27305" w:rsidRPr="005C6774" w:rsidRDefault="00A27305" w:rsidP="00770840">
            <w:r w:rsidRPr="005C6774">
              <w:t>-</w:t>
            </w:r>
          </w:p>
        </w:tc>
        <w:tc>
          <w:tcPr>
            <w:tcW w:w="1210" w:type="dxa"/>
          </w:tcPr>
          <w:p w14:paraId="6D939C09" w14:textId="77777777" w:rsidR="00A27305" w:rsidRPr="005C6774" w:rsidRDefault="00A27305" w:rsidP="00770840">
            <w:r w:rsidRPr="005C6774">
              <w:t>-</w:t>
            </w:r>
          </w:p>
        </w:tc>
      </w:tr>
    </w:tbl>
    <w:p w14:paraId="77F300D2" w14:textId="77777777" w:rsidR="00502289" w:rsidRPr="005C6774" w:rsidRDefault="001470A9" w:rsidP="00502289">
      <w:pPr>
        <w:spacing w:before="240"/>
        <w:rPr>
          <w:b/>
        </w:rPr>
      </w:pPr>
      <w:r w:rsidRPr="005C6774">
        <w:rPr>
          <w:b/>
        </w:rPr>
        <w:lastRenderedPageBreak/>
        <w:t>Table 11</w:t>
      </w:r>
      <w:r w:rsidR="00502289" w:rsidRPr="005C6774">
        <w:rPr>
          <w:b/>
        </w:rPr>
        <w:t>:</w:t>
      </w:r>
      <w:r w:rsidR="00502289" w:rsidRPr="005C6774">
        <w:rPr>
          <w:b/>
        </w:rPr>
        <w:tab/>
        <w:t xml:space="preserve">Pharmacokinetics (ADME) Properties of the Hit compounds of </w:t>
      </w:r>
      <w:r w:rsidR="00331193" w:rsidRPr="005C6774">
        <w:rPr>
          <w:b/>
          <w:i/>
        </w:rPr>
        <w:t>Brassica oleracea</w:t>
      </w:r>
      <w:r w:rsidR="00502289" w:rsidRPr="005C6774">
        <w:rPr>
          <w:b/>
        </w:rPr>
        <w:t xml:space="preserve"> </w:t>
      </w:r>
    </w:p>
    <w:p w14:paraId="40737678" w14:textId="77777777" w:rsidR="000B7604" w:rsidRPr="00A62A82" w:rsidRDefault="000B7604" w:rsidP="00502289">
      <w:pPr>
        <w:spacing w:before="240"/>
        <w:rPr>
          <w:b/>
          <w:sz w:val="8"/>
        </w:rPr>
      </w:pPr>
    </w:p>
    <w:tbl>
      <w:tblPr>
        <w:tblStyle w:val="TableGrid"/>
        <w:tblW w:w="9701" w:type="dxa"/>
        <w:tblLayout w:type="fixed"/>
        <w:tblLook w:val="04A0" w:firstRow="1" w:lastRow="0" w:firstColumn="1" w:lastColumn="0" w:noHBand="0" w:noVBand="1"/>
      </w:tblPr>
      <w:tblGrid>
        <w:gridCol w:w="1262"/>
        <w:gridCol w:w="2141"/>
        <w:gridCol w:w="2537"/>
        <w:gridCol w:w="1620"/>
        <w:gridCol w:w="2141"/>
      </w:tblGrid>
      <w:tr w:rsidR="00DC0B3F" w:rsidRPr="005C6774" w14:paraId="3D8C5245" w14:textId="77777777" w:rsidTr="00FB3370">
        <w:trPr>
          <w:cantSplit/>
          <w:trHeight w:val="541"/>
        </w:trPr>
        <w:tc>
          <w:tcPr>
            <w:tcW w:w="1262" w:type="dxa"/>
            <w:tcBorders>
              <w:top w:val="single" w:sz="4" w:space="0" w:color="auto"/>
              <w:left w:val="nil"/>
              <w:bottom w:val="single" w:sz="4" w:space="0" w:color="auto"/>
              <w:right w:val="nil"/>
            </w:tcBorders>
            <w:vAlign w:val="center"/>
          </w:tcPr>
          <w:p w14:paraId="2894AEF0" w14:textId="77777777" w:rsidR="00DC0B3F" w:rsidRPr="005C6774" w:rsidRDefault="00DC0B3F" w:rsidP="00FB3370">
            <w:pPr>
              <w:rPr>
                <w:b/>
              </w:rPr>
            </w:pPr>
            <w:r w:rsidRPr="005C6774">
              <w:rPr>
                <w:b/>
              </w:rPr>
              <w:t>ADME</w:t>
            </w:r>
          </w:p>
        </w:tc>
        <w:tc>
          <w:tcPr>
            <w:tcW w:w="2141" w:type="dxa"/>
            <w:tcBorders>
              <w:top w:val="single" w:sz="4" w:space="0" w:color="auto"/>
              <w:left w:val="nil"/>
              <w:bottom w:val="single" w:sz="4" w:space="0" w:color="auto"/>
              <w:right w:val="nil"/>
            </w:tcBorders>
            <w:vAlign w:val="center"/>
          </w:tcPr>
          <w:p w14:paraId="6B0802C1" w14:textId="77777777" w:rsidR="00DC0B3F" w:rsidRPr="005C6774" w:rsidRDefault="00DC0B3F" w:rsidP="00FB3370">
            <w:pPr>
              <w:rPr>
                <w:b/>
              </w:rPr>
            </w:pPr>
            <w:r w:rsidRPr="005C6774">
              <w:rPr>
                <w:b/>
              </w:rPr>
              <w:t>Properties</w:t>
            </w:r>
          </w:p>
        </w:tc>
        <w:tc>
          <w:tcPr>
            <w:tcW w:w="2537" w:type="dxa"/>
            <w:tcBorders>
              <w:top w:val="single" w:sz="4" w:space="0" w:color="auto"/>
              <w:left w:val="nil"/>
              <w:bottom w:val="single" w:sz="4" w:space="0" w:color="auto"/>
              <w:right w:val="nil"/>
            </w:tcBorders>
            <w:vAlign w:val="center"/>
          </w:tcPr>
          <w:p w14:paraId="2D5E9096" w14:textId="77777777" w:rsidR="00DC0B3F" w:rsidRPr="005C6774" w:rsidRDefault="00DC0B3F" w:rsidP="00FB3370">
            <w:pPr>
              <w:rPr>
                <w:b/>
              </w:rPr>
            </w:pPr>
            <w:r w:rsidRPr="005C6774">
              <w:rPr>
                <w:b/>
                <w:shd w:val="clear" w:color="auto" w:fill="FFFFFF"/>
              </w:rPr>
              <w:t>Neoxanthin</w:t>
            </w:r>
          </w:p>
        </w:tc>
        <w:tc>
          <w:tcPr>
            <w:tcW w:w="1620" w:type="dxa"/>
            <w:tcBorders>
              <w:top w:val="single" w:sz="4" w:space="0" w:color="auto"/>
              <w:left w:val="nil"/>
              <w:bottom w:val="single" w:sz="4" w:space="0" w:color="auto"/>
              <w:right w:val="nil"/>
            </w:tcBorders>
            <w:vAlign w:val="center"/>
          </w:tcPr>
          <w:p w14:paraId="1FDDA8AE" w14:textId="77777777" w:rsidR="00DC0B3F" w:rsidRPr="005C6774" w:rsidRDefault="00DC0B3F" w:rsidP="00FB3370">
            <w:pPr>
              <w:rPr>
                <w:b/>
                <w:bCs/>
                <w:color w:val="000000"/>
              </w:rPr>
            </w:pPr>
            <w:r w:rsidRPr="005C6774">
              <w:rPr>
                <w:b/>
              </w:rPr>
              <w:t>Rutin</w:t>
            </w:r>
          </w:p>
        </w:tc>
        <w:tc>
          <w:tcPr>
            <w:tcW w:w="2141" w:type="dxa"/>
            <w:tcBorders>
              <w:top w:val="single" w:sz="4" w:space="0" w:color="auto"/>
              <w:left w:val="nil"/>
              <w:bottom w:val="single" w:sz="4" w:space="0" w:color="auto"/>
              <w:right w:val="nil"/>
            </w:tcBorders>
            <w:vAlign w:val="center"/>
          </w:tcPr>
          <w:p w14:paraId="159CDB0E" w14:textId="77777777" w:rsidR="00DC0B3F" w:rsidRPr="005C6774" w:rsidRDefault="00DC0B3F" w:rsidP="00FB3370">
            <w:pPr>
              <w:rPr>
                <w:b/>
              </w:rPr>
            </w:pPr>
            <w:r w:rsidRPr="005C6774">
              <w:rPr>
                <w:b/>
              </w:rPr>
              <w:t>Apigenin</w:t>
            </w:r>
          </w:p>
        </w:tc>
      </w:tr>
      <w:tr w:rsidR="005A4B8A" w:rsidRPr="005C6774" w14:paraId="6CAFE627" w14:textId="77777777" w:rsidTr="00FB3370">
        <w:trPr>
          <w:trHeight w:val="263"/>
        </w:trPr>
        <w:tc>
          <w:tcPr>
            <w:tcW w:w="1262" w:type="dxa"/>
            <w:vMerge w:val="restart"/>
            <w:tcBorders>
              <w:top w:val="single" w:sz="4" w:space="0" w:color="auto"/>
              <w:left w:val="nil"/>
              <w:bottom w:val="single" w:sz="4" w:space="0" w:color="auto"/>
              <w:right w:val="nil"/>
            </w:tcBorders>
            <w:textDirection w:val="btLr"/>
            <w:vAlign w:val="center"/>
          </w:tcPr>
          <w:p w14:paraId="4B3D0505" w14:textId="77777777" w:rsidR="005A4B8A" w:rsidRPr="005C6774" w:rsidRDefault="005A4B8A" w:rsidP="00FB3370">
            <w:pPr>
              <w:ind w:left="113" w:right="113"/>
              <w:rPr>
                <w:b/>
              </w:rPr>
            </w:pPr>
            <w:r w:rsidRPr="005C6774">
              <w:rPr>
                <w:b/>
              </w:rPr>
              <w:t>Absorption</w:t>
            </w:r>
          </w:p>
        </w:tc>
        <w:tc>
          <w:tcPr>
            <w:tcW w:w="2141" w:type="dxa"/>
            <w:tcBorders>
              <w:top w:val="single" w:sz="4" w:space="0" w:color="auto"/>
              <w:left w:val="nil"/>
              <w:bottom w:val="nil"/>
              <w:right w:val="nil"/>
            </w:tcBorders>
            <w:vAlign w:val="center"/>
          </w:tcPr>
          <w:p w14:paraId="7EF6767E" w14:textId="77777777" w:rsidR="005A4B8A" w:rsidRPr="005C6774" w:rsidRDefault="005A4B8A" w:rsidP="00FB3370">
            <w:r w:rsidRPr="005C6774">
              <w:t>Caco-2</w:t>
            </w:r>
          </w:p>
        </w:tc>
        <w:tc>
          <w:tcPr>
            <w:tcW w:w="2537" w:type="dxa"/>
            <w:tcBorders>
              <w:top w:val="single" w:sz="4" w:space="0" w:color="auto"/>
              <w:left w:val="nil"/>
              <w:bottom w:val="nil"/>
              <w:right w:val="nil"/>
            </w:tcBorders>
            <w:vAlign w:val="center"/>
          </w:tcPr>
          <w:p w14:paraId="502CAC45" w14:textId="77777777" w:rsidR="005A4B8A" w:rsidRPr="005C6774" w:rsidRDefault="005A4B8A" w:rsidP="00FB3370">
            <w:pPr>
              <w:rPr>
                <w:color w:val="000000"/>
              </w:rPr>
            </w:pPr>
            <w:r w:rsidRPr="005C6774">
              <w:rPr>
                <w:color w:val="000000"/>
              </w:rPr>
              <w:t>-5.003</w:t>
            </w:r>
          </w:p>
        </w:tc>
        <w:tc>
          <w:tcPr>
            <w:tcW w:w="1620" w:type="dxa"/>
            <w:tcBorders>
              <w:top w:val="single" w:sz="4" w:space="0" w:color="auto"/>
              <w:left w:val="nil"/>
              <w:bottom w:val="nil"/>
              <w:right w:val="nil"/>
            </w:tcBorders>
            <w:vAlign w:val="center"/>
          </w:tcPr>
          <w:p w14:paraId="5CD9AD81" w14:textId="77777777" w:rsidR="005A4B8A" w:rsidRPr="005C6774" w:rsidRDefault="005A4B8A" w:rsidP="00FB3370">
            <w:pPr>
              <w:rPr>
                <w:color w:val="000000"/>
              </w:rPr>
            </w:pPr>
            <w:r w:rsidRPr="005C6774">
              <w:rPr>
                <w:color w:val="000000"/>
              </w:rPr>
              <w:t>-6.547</w:t>
            </w:r>
          </w:p>
        </w:tc>
        <w:tc>
          <w:tcPr>
            <w:tcW w:w="2141" w:type="dxa"/>
            <w:tcBorders>
              <w:top w:val="single" w:sz="4" w:space="0" w:color="auto"/>
              <w:left w:val="nil"/>
              <w:bottom w:val="nil"/>
              <w:right w:val="nil"/>
            </w:tcBorders>
            <w:vAlign w:val="center"/>
          </w:tcPr>
          <w:p w14:paraId="25E210EC" w14:textId="77777777" w:rsidR="005A4B8A" w:rsidRPr="005C6774" w:rsidRDefault="005A4B8A" w:rsidP="00FB3370">
            <w:pPr>
              <w:rPr>
                <w:color w:val="000000"/>
              </w:rPr>
            </w:pPr>
            <w:r w:rsidRPr="005C6774">
              <w:rPr>
                <w:color w:val="000000"/>
              </w:rPr>
              <w:t>-5.129</w:t>
            </w:r>
          </w:p>
        </w:tc>
      </w:tr>
      <w:tr w:rsidR="005A4B8A" w:rsidRPr="005C6774" w14:paraId="746370B6"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331D5DC1" w14:textId="77777777" w:rsidR="005A4B8A" w:rsidRPr="005C6774" w:rsidRDefault="005A4B8A" w:rsidP="00FB3370">
            <w:pPr>
              <w:ind w:left="113" w:right="113"/>
              <w:rPr>
                <w:b/>
              </w:rPr>
            </w:pPr>
          </w:p>
        </w:tc>
        <w:tc>
          <w:tcPr>
            <w:tcW w:w="2141" w:type="dxa"/>
            <w:tcBorders>
              <w:top w:val="nil"/>
              <w:left w:val="nil"/>
              <w:bottom w:val="nil"/>
              <w:right w:val="nil"/>
            </w:tcBorders>
            <w:vAlign w:val="center"/>
          </w:tcPr>
          <w:p w14:paraId="08A28B0F" w14:textId="77777777" w:rsidR="005A4B8A" w:rsidRPr="005C6774" w:rsidRDefault="005A4B8A" w:rsidP="00FB3370">
            <w:r w:rsidRPr="005C6774">
              <w:rPr>
                <w:color w:val="212529"/>
                <w:shd w:val="clear" w:color="auto" w:fill="FFFFFF"/>
              </w:rPr>
              <w:t>P-</w:t>
            </w:r>
            <w:proofErr w:type="spellStart"/>
            <w:r w:rsidRPr="005C6774">
              <w:rPr>
                <w:color w:val="212529"/>
                <w:shd w:val="clear" w:color="auto" w:fill="FFFFFF"/>
              </w:rPr>
              <w:t>gp</w:t>
            </w:r>
            <w:proofErr w:type="spellEnd"/>
            <w:r w:rsidRPr="005C6774">
              <w:rPr>
                <w:color w:val="212529"/>
                <w:shd w:val="clear" w:color="auto" w:fill="FFFFFF"/>
              </w:rPr>
              <w:t xml:space="preserve"> inhibitor</w:t>
            </w:r>
          </w:p>
        </w:tc>
        <w:tc>
          <w:tcPr>
            <w:tcW w:w="2537" w:type="dxa"/>
            <w:tcBorders>
              <w:top w:val="nil"/>
              <w:left w:val="nil"/>
              <w:bottom w:val="nil"/>
              <w:right w:val="nil"/>
            </w:tcBorders>
            <w:vAlign w:val="center"/>
          </w:tcPr>
          <w:p w14:paraId="5EBD7F09" w14:textId="77777777" w:rsidR="005A4B8A" w:rsidRPr="005C6774" w:rsidRDefault="005A4B8A" w:rsidP="00FB3370">
            <w:pPr>
              <w:rPr>
                <w:color w:val="000000"/>
              </w:rPr>
            </w:pPr>
            <w:r w:rsidRPr="005C6774">
              <w:rPr>
                <w:color w:val="000000"/>
              </w:rPr>
              <w:t>0.012</w:t>
            </w:r>
          </w:p>
        </w:tc>
        <w:tc>
          <w:tcPr>
            <w:tcW w:w="1620" w:type="dxa"/>
            <w:tcBorders>
              <w:top w:val="nil"/>
              <w:left w:val="nil"/>
              <w:bottom w:val="nil"/>
              <w:right w:val="nil"/>
            </w:tcBorders>
            <w:vAlign w:val="center"/>
          </w:tcPr>
          <w:p w14:paraId="26BF6C24" w14:textId="77777777" w:rsidR="005A4B8A" w:rsidRPr="005C6774" w:rsidRDefault="005A4B8A" w:rsidP="00FB3370">
            <w:pPr>
              <w:rPr>
                <w:color w:val="000000"/>
              </w:rPr>
            </w:pPr>
            <w:r w:rsidRPr="005C6774">
              <w:rPr>
                <w:color w:val="000000"/>
              </w:rPr>
              <w:t>0.000</w:t>
            </w:r>
          </w:p>
        </w:tc>
        <w:tc>
          <w:tcPr>
            <w:tcW w:w="2141" w:type="dxa"/>
            <w:tcBorders>
              <w:top w:val="nil"/>
              <w:left w:val="nil"/>
              <w:bottom w:val="nil"/>
              <w:right w:val="nil"/>
            </w:tcBorders>
            <w:vAlign w:val="center"/>
          </w:tcPr>
          <w:p w14:paraId="18A45BD3" w14:textId="77777777" w:rsidR="005A4B8A" w:rsidRPr="005C6774" w:rsidRDefault="005A4B8A" w:rsidP="00FB3370">
            <w:pPr>
              <w:rPr>
                <w:color w:val="000000"/>
              </w:rPr>
            </w:pPr>
            <w:r w:rsidRPr="005C6774">
              <w:rPr>
                <w:color w:val="000000"/>
              </w:rPr>
              <w:t>0.004</w:t>
            </w:r>
          </w:p>
        </w:tc>
      </w:tr>
      <w:tr w:rsidR="005A4B8A" w:rsidRPr="005C6774" w14:paraId="18B52356"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25E7E5C3" w14:textId="77777777" w:rsidR="005A4B8A" w:rsidRPr="005C6774" w:rsidRDefault="005A4B8A" w:rsidP="00FB3370">
            <w:pPr>
              <w:ind w:left="113" w:right="113"/>
              <w:rPr>
                <w:b/>
              </w:rPr>
            </w:pPr>
          </w:p>
        </w:tc>
        <w:tc>
          <w:tcPr>
            <w:tcW w:w="2141" w:type="dxa"/>
            <w:tcBorders>
              <w:top w:val="nil"/>
              <w:left w:val="nil"/>
              <w:bottom w:val="nil"/>
              <w:right w:val="nil"/>
            </w:tcBorders>
            <w:vAlign w:val="center"/>
          </w:tcPr>
          <w:p w14:paraId="4C663631" w14:textId="77777777" w:rsidR="005A4B8A" w:rsidRPr="005C6774" w:rsidRDefault="005A4B8A" w:rsidP="00FB3370">
            <w:r w:rsidRPr="005C6774">
              <w:rPr>
                <w:color w:val="212529"/>
                <w:shd w:val="clear" w:color="auto" w:fill="FFFFFF"/>
              </w:rPr>
              <w:t>P-</w:t>
            </w:r>
            <w:proofErr w:type="spellStart"/>
            <w:r w:rsidRPr="005C6774">
              <w:rPr>
                <w:color w:val="212529"/>
                <w:shd w:val="clear" w:color="auto" w:fill="FFFFFF"/>
              </w:rPr>
              <w:t>gp</w:t>
            </w:r>
            <w:proofErr w:type="spellEnd"/>
            <w:r w:rsidRPr="005C6774">
              <w:rPr>
                <w:color w:val="212529"/>
                <w:shd w:val="clear" w:color="auto" w:fill="FFFFFF"/>
              </w:rPr>
              <w:t xml:space="preserve"> substrate</w:t>
            </w:r>
          </w:p>
        </w:tc>
        <w:tc>
          <w:tcPr>
            <w:tcW w:w="2537" w:type="dxa"/>
            <w:tcBorders>
              <w:top w:val="nil"/>
              <w:left w:val="nil"/>
              <w:bottom w:val="nil"/>
              <w:right w:val="nil"/>
            </w:tcBorders>
            <w:vAlign w:val="center"/>
          </w:tcPr>
          <w:p w14:paraId="0839D32A" w14:textId="77777777" w:rsidR="005A4B8A" w:rsidRPr="005C6774" w:rsidRDefault="005A4B8A" w:rsidP="00FB3370">
            <w:pPr>
              <w:rPr>
                <w:color w:val="000000"/>
              </w:rPr>
            </w:pPr>
            <w:r w:rsidRPr="005C6774">
              <w:rPr>
                <w:color w:val="000000"/>
              </w:rPr>
              <w:t>0.999</w:t>
            </w:r>
          </w:p>
        </w:tc>
        <w:tc>
          <w:tcPr>
            <w:tcW w:w="1620" w:type="dxa"/>
            <w:tcBorders>
              <w:top w:val="nil"/>
              <w:left w:val="nil"/>
              <w:bottom w:val="nil"/>
              <w:right w:val="nil"/>
            </w:tcBorders>
            <w:vAlign w:val="center"/>
          </w:tcPr>
          <w:p w14:paraId="2D66B22C" w14:textId="77777777" w:rsidR="005A4B8A" w:rsidRPr="005C6774" w:rsidRDefault="005A4B8A" w:rsidP="00FB3370">
            <w:pPr>
              <w:rPr>
                <w:color w:val="000000"/>
              </w:rPr>
            </w:pPr>
            <w:r w:rsidRPr="005C6774">
              <w:rPr>
                <w:color w:val="000000"/>
              </w:rPr>
              <w:t>0.699</w:t>
            </w:r>
          </w:p>
        </w:tc>
        <w:tc>
          <w:tcPr>
            <w:tcW w:w="2141" w:type="dxa"/>
            <w:tcBorders>
              <w:top w:val="nil"/>
              <w:left w:val="nil"/>
              <w:bottom w:val="nil"/>
              <w:right w:val="nil"/>
            </w:tcBorders>
            <w:vAlign w:val="center"/>
          </w:tcPr>
          <w:p w14:paraId="57CE1980" w14:textId="77777777" w:rsidR="005A4B8A" w:rsidRPr="005C6774" w:rsidRDefault="005A4B8A" w:rsidP="00FB3370">
            <w:pPr>
              <w:rPr>
                <w:color w:val="000000"/>
              </w:rPr>
            </w:pPr>
            <w:r w:rsidRPr="005C6774">
              <w:rPr>
                <w:color w:val="000000"/>
              </w:rPr>
              <w:t>0.312</w:t>
            </w:r>
          </w:p>
        </w:tc>
      </w:tr>
      <w:tr w:rsidR="005A4B8A" w:rsidRPr="005C6774" w14:paraId="379B5C31"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781959EE" w14:textId="77777777" w:rsidR="005A4B8A" w:rsidRPr="005C6774" w:rsidRDefault="005A4B8A" w:rsidP="00FB3370">
            <w:pPr>
              <w:ind w:left="113" w:right="113"/>
              <w:rPr>
                <w:b/>
                <w:color w:val="212529"/>
                <w:shd w:val="clear" w:color="auto" w:fill="FFFFFF"/>
              </w:rPr>
            </w:pPr>
          </w:p>
        </w:tc>
        <w:tc>
          <w:tcPr>
            <w:tcW w:w="2141" w:type="dxa"/>
            <w:tcBorders>
              <w:top w:val="nil"/>
              <w:left w:val="nil"/>
              <w:bottom w:val="nil"/>
              <w:right w:val="nil"/>
            </w:tcBorders>
            <w:vAlign w:val="center"/>
          </w:tcPr>
          <w:p w14:paraId="7F9BE86F" w14:textId="77777777" w:rsidR="005A4B8A" w:rsidRPr="005C6774" w:rsidRDefault="005A4B8A" w:rsidP="00FB3370">
            <w:r w:rsidRPr="005C6774">
              <w:rPr>
                <w:color w:val="212529"/>
                <w:shd w:val="clear" w:color="auto" w:fill="FFFFFF"/>
              </w:rPr>
              <w:t>HIA</w:t>
            </w:r>
          </w:p>
        </w:tc>
        <w:tc>
          <w:tcPr>
            <w:tcW w:w="2537" w:type="dxa"/>
            <w:tcBorders>
              <w:top w:val="nil"/>
              <w:left w:val="nil"/>
              <w:bottom w:val="nil"/>
              <w:right w:val="nil"/>
            </w:tcBorders>
            <w:vAlign w:val="center"/>
          </w:tcPr>
          <w:p w14:paraId="1B30D699" w14:textId="77777777" w:rsidR="005A4B8A" w:rsidRPr="005C6774" w:rsidRDefault="005A4B8A" w:rsidP="00FB3370">
            <w:pPr>
              <w:rPr>
                <w:color w:val="000000"/>
              </w:rPr>
            </w:pPr>
            <w:r w:rsidRPr="005C6774">
              <w:rPr>
                <w:color w:val="000000"/>
              </w:rPr>
              <w:t>0.000</w:t>
            </w:r>
          </w:p>
        </w:tc>
        <w:tc>
          <w:tcPr>
            <w:tcW w:w="1620" w:type="dxa"/>
            <w:tcBorders>
              <w:top w:val="nil"/>
              <w:left w:val="nil"/>
              <w:bottom w:val="nil"/>
              <w:right w:val="nil"/>
            </w:tcBorders>
            <w:vAlign w:val="center"/>
          </w:tcPr>
          <w:p w14:paraId="3BA57131" w14:textId="77777777" w:rsidR="005A4B8A" w:rsidRPr="005C6774" w:rsidRDefault="005A4B8A" w:rsidP="00FB3370">
            <w:pPr>
              <w:rPr>
                <w:color w:val="000000"/>
              </w:rPr>
            </w:pPr>
            <w:r w:rsidRPr="005C6774">
              <w:rPr>
                <w:color w:val="000000"/>
              </w:rPr>
              <w:t>0.640</w:t>
            </w:r>
          </w:p>
        </w:tc>
        <w:tc>
          <w:tcPr>
            <w:tcW w:w="2141" w:type="dxa"/>
            <w:tcBorders>
              <w:top w:val="nil"/>
              <w:left w:val="nil"/>
              <w:bottom w:val="nil"/>
              <w:right w:val="nil"/>
            </w:tcBorders>
            <w:vAlign w:val="center"/>
          </w:tcPr>
          <w:p w14:paraId="54F434D3" w14:textId="77777777" w:rsidR="005A4B8A" w:rsidRPr="005C6774" w:rsidRDefault="005A4B8A" w:rsidP="00FB3370">
            <w:pPr>
              <w:rPr>
                <w:color w:val="000000"/>
              </w:rPr>
            </w:pPr>
            <w:r w:rsidRPr="005C6774">
              <w:rPr>
                <w:color w:val="000000"/>
              </w:rPr>
              <w:t>0.002</w:t>
            </w:r>
          </w:p>
        </w:tc>
      </w:tr>
      <w:tr w:rsidR="005A4B8A" w:rsidRPr="005C6774" w14:paraId="5E486FEE" w14:textId="77777777" w:rsidTr="00FB3370">
        <w:trPr>
          <w:trHeight w:val="263"/>
        </w:trPr>
        <w:tc>
          <w:tcPr>
            <w:tcW w:w="1262" w:type="dxa"/>
            <w:vMerge/>
            <w:tcBorders>
              <w:top w:val="single" w:sz="4" w:space="0" w:color="auto"/>
              <w:left w:val="nil"/>
              <w:bottom w:val="single" w:sz="4" w:space="0" w:color="auto"/>
              <w:right w:val="nil"/>
            </w:tcBorders>
            <w:textDirection w:val="btLr"/>
            <w:vAlign w:val="center"/>
          </w:tcPr>
          <w:p w14:paraId="5E2C9FF6" w14:textId="77777777" w:rsidR="005A4B8A" w:rsidRPr="005C6774" w:rsidRDefault="005A4B8A" w:rsidP="00FB3370">
            <w:pPr>
              <w:ind w:left="113" w:right="113"/>
              <w:rPr>
                <w:b/>
                <w:color w:val="212529"/>
                <w:shd w:val="clear" w:color="auto" w:fill="FFFFFF"/>
              </w:rPr>
            </w:pPr>
          </w:p>
        </w:tc>
        <w:tc>
          <w:tcPr>
            <w:tcW w:w="2141" w:type="dxa"/>
            <w:tcBorders>
              <w:top w:val="nil"/>
              <w:left w:val="nil"/>
              <w:bottom w:val="single" w:sz="4" w:space="0" w:color="auto"/>
              <w:right w:val="nil"/>
            </w:tcBorders>
            <w:vAlign w:val="center"/>
          </w:tcPr>
          <w:p w14:paraId="71018A3D" w14:textId="77777777" w:rsidR="005A4B8A" w:rsidRPr="005C6774" w:rsidRDefault="005A4B8A" w:rsidP="00FB3370">
            <w:r w:rsidRPr="005C6774">
              <w:t xml:space="preserve">Bioavailability </w:t>
            </w:r>
          </w:p>
        </w:tc>
        <w:tc>
          <w:tcPr>
            <w:tcW w:w="2537" w:type="dxa"/>
            <w:tcBorders>
              <w:top w:val="nil"/>
              <w:left w:val="nil"/>
              <w:bottom w:val="single" w:sz="4" w:space="0" w:color="auto"/>
              <w:right w:val="nil"/>
            </w:tcBorders>
            <w:vAlign w:val="center"/>
          </w:tcPr>
          <w:p w14:paraId="63213940" w14:textId="77777777" w:rsidR="005A4B8A" w:rsidRPr="005C6774" w:rsidRDefault="005A4B8A" w:rsidP="00FB3370">
            <w:pPr>
              <w:rPr>
                <w:color w:val="000000"/>
              </w:rPr>
            </w:pPr>
            <w:r w:rsidRPr="005C6774">
              <w:rPr>
                <w:color w:val="000000"/>
              </w:rPr>
              <w:t>1.000</w:t>
            </w:r>
          </w:p>
        </w:tc>
        <w:tc>
          <w:tcPr>
            <w:tcW w:w="1620" w:type="dxa"/>
            <w:tcBorders>
              <w:top w:val="nil"/>
              <w:left w:val="nil"/>
              <w:bottom w:val="single" w:sz="4" w:space="0" w:color="auto"/>
              <w:right w:val="nil"/>
            </w:tcBorders>
            <w:vAlign w:val="center"/>
          </w:tcPr>
          <w:p w14:paraId="0C9E2618" w14:textId="77777777" w:rsidR="005A4B8A" w:rsidRPr="005C6774" w:rsidRDefault="005A4B8A" w:rsidP="00FB3370">
            <w:pPr>
              <w:rPr>
                <w:color w:val="000000"/>
              </w:rPr>
            </w:pPr>
            <w:r w:rsidRPr="005C6774">
              <w:rPr>
                <w:color w:val="000000"/>
              </w:rPr>
              <w:t>1.000</w:t>
            </w:r>
          </w:p>
        </w:tc>
        <w:tc>
          <w:tcPr>
            <w:tcW w:w="2141" w:type="dxa"/>
            <w:tcBorders>
              <w:top w:val="nil"/>
              <w:left w:val="nil"/>
              <w:bottom w:val="single" w:sz="4" w:space="0" w:color="auto"/>
              <w:right w:val="nil"/>
            </w:tcBorders>
            <w:vAlign w:val="center"/>
          </w:tcPr>
          <w:p w14:paraId="2A281207" w14:textId="77777777" w:rsidR="005A4B8A" w:rsidRPr="005C6774" w:rsidRDefault="005A4B8A" w:rsidP="00FB3370">
            <w:pPr>
              <w:rPr>
                <w:color w:val="000000"/>
              </w:rPr>
            </w:pPr>
            <w:r w:rsidRPr="005C6774">
              <w:rPr>
                <w:color w:val="000000"/>
              </w:rPr>
              <w:t>0.985</w:t>
            </w:r>
          </w:p>
        </w:tc>
      </w:tr>
      <w:tr w:rsidR="00ED16C5" w:rsidRPr="005C6774" w14:paraId="54A320E3" w14:textId="77777777" w:rsidTr="00FB3370">
        <w:trPr>
          <w:trHeight w:val="263"/>
        </w:trPr>
        <w:tc>
          <w:tcPr>
            <w:tcW w:w="1262" w:type="dxa"/>
            <w:vMerge w:val="restart"/>
            <w:tcBorders>
              <w:top w:val="single" w:sz="4" w:space="0" w:color="auto"/>
              <w:left w:val="nil"/>
              <w:bottom w:val="nil"/>
              <w:right w:val="nil"/>
            </w:tcBorders>
            <w:textDirection w:val="btLr"/>
            <w:vAlign w:val="center"/>
          </w:tcPr>
          <w:p w14:paraId="1BFAF20D" w14:textId="77777777" w:rsidR="00ED16C5" w:rsidRPr="005C6774" w:rsidRDefault="00ED16C5" w:rsidP="00FB3370">
            <w:pPr>
              <w:ind w:left="113" w:right="113"/>
              <w:rPr>
                <w:b/>
              </w:rPr>
            </w:pPr>
            <w:r w:rsidRPr="005C6774">
              <w:rPr>
                <w:b/>
              </w:rPr>
              <w:t>Distribution</w:t>
            </w:r>
          </w:p>
        </w:tc>
        <w:tc>
          <w:tcPr>
            <w:tcW w:w="2141" w:type="dxa"/>
            <w:tcBorders>
              <w:top w:val="single" w:sz="4" w:space="0" w:color="auto"/>
              <w:left w:val="nil"/>
              <w:bottom w:val="nil"/>
              <w:right w:val="nil"/>
            </w:tcBorders>
            <w:vAlign w:val="center"/>
          </w:tcPr>
          <w:p w14:paraId="0524A87B" w14:textId="77777777" w:rsidR="00ED16C5" w:rsidRPr="005C6774" w:rsidRDefault="00ED16C5" w:rsidP="00FB3370">
            <w:pPr>
              <w:rPr>
                <w:color w:val="000000"/>
              </w:rPr>
            </w:pPr>
            <w:r w:rsidRPr="005C6774">
              <w:rPr>
                <w:color w:val="000000"/>
              </w:rPr>
              <w:t>OATP1B1</w:t>
            </w:r>
          </w:p>
        </w:tc>
        <w:tc>
          <w:tcPr>
            <w:tcW w:w="2537" w:type="dxa"/>
            <w:tcBorders>
              <w:top w:val="single" w:sz="4" w:space="0" w:color="auto"/>
              <w:left w:val="nil"/>
              <w:bottom w:val="nil"/>
              <w:right w:val="nil"/>
            </w:tcBorders>
            <w:vAlign w:val="center"/>
          </w:tcPr>
          <w:p w14:paraId="6A601C4C" w14:textId="77777777" w:rsidR="00ED16C5" w:rsidRPr="005C6774" w:rsidRDefault="00ED16C5" w:rsidP="00FB3370">
            <w:pPr>
              <w:rPr>
                <w:color w:val="000000"/>
              </w:rPr>
            </w:pPr>
            <w:r w:rsidRPr="005C6774">
              <w:rPr>
                <w:color w:val="000000"/>
              </w:rPr>
              <w:t>1.000</w:t>
            </w:r>
          </w:p>
        </w:tc>
        <w:tc>
          <w:tcPr>
            <w:tcW w:w="1620" w:type="dxa"/>
            <w:tcBorders>
              <w:top w:val="single" w:sz="4" w:space="0" w:color="auto"/>
              <w:left w:val="nil"/>
              <w:bottom w:val="nil"/>
              <w:right w:val="nil"/>
            </w:tcBorders>
            <w:vAlign w:val="center"/>
          </w:tcPr>
          <w:p w14:paraId="042A707F" w14:textId="77777777" w:rsidR="00ED16C5" w:rsidRPr="005C6774" w:rsidRDefault="00ED16C5" w:rsidP="00FB3370">
            <w:pPr>
              <w:rPr>
                <w:color w:val="000000"/>
              </w:rPr>
            </w:pPr>
            <w:r w:rsidRPr="005C6774">
              <w:rPr>
                <w:color w:val="000000"/>
              </w:rPr>
              <w:t>0.996</w:t>
            </w:r>
          </w:p>
        </w:tc>
        <w:tc>
          <w:tcPr>
            <w:tcW w:w="2141" w:type="dxa"/>
            <w:tcBorders>
              <w:top w:val="single" w:sz="4" w:space="0" w:color="auto"/>
              <w:left w:val="nil"/>
              <w:bottom w:val="nil"/>
              <w:right w:val="nil"/>
            </w:tcBorders>
            <w:vAlign w:val="center"/>
          </w:tcPr>
          <w:p w14:paraId="6B2A664A" w14:textId="77777777" w:rsidR="00ED16C5" w:rsidRPr="005C6774" w:rsidRDefault="00ED16C5" w:rsidP="00FB3370">
            <w:pPr>
              <w:rPr>
                <w:color w:val="000000"/>
              </w:rPr>
            </w:pPr>
            <w:r w:rsidRPr="005C6774">
              <w:rPr>
                <w:color w:val="000000"/>
              </w:rPr>
              <w:t>0.889</w:t>
            </w:r>
          </w:p>
        </w:tc>
      </w:tr>
      <w:tr w:rsidR="00ED16C5" w:rsidRPr="005C6774" w14:paraId="262DC1A7" w14:textId="77777777" w:rsidTr="00FB3370">
        <w:trPr>
          <w:trHeight w:val="263"/>
        </w:trPr>
        <w:tc>
          <w:tcPr>
            <w:tcW w:w="1262" w:type="dxa"/>
            <w:vMerge/>
            <w:tcBorders>
              <w:top w:val="nil"/>
              <w:left w:val="nil"/>
              <w:bottom w:val="nil"/>
              <w:right w:val="nil"/>
            </w:tcBorders>
            <w:textDirection w:val="btLr"/>
            <w:vAlign w:val="center"/>
          </w:tcPr>
          <w:p w14:paraId="113195FC" w14:textId="77777777" w:rsidR="00ED16C5" w:rsidRPr="005C6774" w:rsidRDefault="00ED16C5" w:rsidP="00FB3370">
            <w:pPr>
              <w:ind w:left="113" w:right="113"/>
              <w:rPr>
                <w:b/>
                <w:i/>
              </w:rPr>
            </w:pPr>
          </w:p>
        </w:tc>
        <w:tc>
          <w:tcPr>
            <w:tcW w:w="2141" w:type="dxa"/>
            <w:tcBorders>
              <w:top w:val="nil"/>
              <w:left w:val="nil"/>
              <w:bottom w:val="nil"/>
              <w:right w:val="nil"/>
            </w:tcBorders>
            <w:vAlign w:val="center"/>
          </w:tcPr>
          <w:p w14:paraId="36539F24" w14:textId="77777777" w:rsidR="00ED16C5" w:rsidRPr="005C6774" w:rsidRDefault="00ED16C5" w:rsidP="00FB3370">
            <w:pPr>
              <w:rPr>
                <w:color w:val="000000"/>
              </w:rPr>
            </w:pPr>
            <w:r w:rsidRPr="005C6774">
              <w:rPr>
                <w:color w:val="000000"/>
              </w:rPr>
              <w:t>OATP1B3</w:t>
            </w:r>
          </w:p>
        </w:tc>
        <w:tc>
          <w:tcPr>
            <w:tcW w:w="2537" w:type="dxa"/>
            <w:tcBorders>
              <w:top w:val="nil"/>
              <w:left w:val="nil"/>
              <w:bottom w:val="nil"/>
              <w:right w:val="nil"/>
            </w:tcBorders>
            <w:vAlign w:val="center"/>
          </w:tcPr>
          <w:p w14:paraId="410D0391" w14:textId="77777777" w:rsidR="00ED16C5" w:rsidRPr="005C6774" w:rsidRDefault="00ED16C5" w:rsidP="00FB3370">
            <w:pPr>
              <w:rPr>
                <w:color w:val="000000"/>
              </w:rPr>
            </w:pPr>
            <w:r w:rsidRPr="005C6774">
              <w:rPr>
                <w:color w:val="000000"/>
              </w:rPr>
              <w:t>0.993</w:t>
            </w:r>
          </w:p>
        </w:tc>
        <w:tc>
          <w:tcPr>
            <w:tcW w:w="1620" w:type="dxa"/>
            <w:tcBorders>
              <w:top w:val="nil"/>
              <w:left w:val="nil"/>
              <w:bottom w:val="nil"/>
              <w:right w:val="nil"/>
            </w:tcBorders>
            <w:vAlign w:val="center"/>
          </w:tcPr>
          <w:p w14:paraId="2B4EA333" w14:textId="77777777" w:rsidR="00ED16C5" w:rsidRPr="005C6774" w:rsidRDefault="00ED16C5" w:rsidP="00FB3370">
            <w:pPr>
              <w:rPr>
                <w:color w:val="000000"/>
              </w:rPr>
            </w:pPr>
            <w:r w:rsidRPr="005C6774">
              <w:rPr>
                <w:color w:val="000000"/>
              </w:rPr>
              <w:t>1.000</w:t>
            </w:r>
          </w:p>
        </w:tc>
        <w:tc>
          <w:tcPr>
            <w:tcW w:w="2141" w:type="dxa"/>
            <w:tcBorders>
              <w:top w:val="nil"/>
              <w:left w:val="nil"/>
              <w:bottom w:val="nil"/>
              <w:right w:val="nil"/>
            </w:tcBorders>
            <w:vAlign w:val="center"/>
          </w:tcPr>
          <w:p w14:paraId="02D7A6FC" w14:textId="77777777" w:rsidR="00ED16C5" w:rsidRPr="005C6774" w:rsidRDefault="00ED16C5" w:rsidP="00FB3370">
            <w:pPr>
              <w:rPr>
                <w:color w:val="000000"/>
              </w:rPr>
            </w:pPr>
            <w:r w:rsidRPr="005C6774">
              <w:rPr>
                <w:color w:val="000000"/>
              </w:rPr>
              <w:t>0.973</w:t>
            </w:r>
          </w:p>
        </w:tc>
      </w:tr>
      <w:tr w:rsidR="00ED16C5" w:rsidRPr="005C6774" w14:paraId="0ABD851D" w14:textId="77777777" w:rsidTr="00FB3370">
        <w:trPr>
          <w:trHeight w:val="263"/>
        </w:trPr>
        <w:tc>
          <w:tcPr>
            <w:tcW w:w="1262" w:type="dxa"/>
            <w:vMerge/>
            <w:tcBorders>
              <w:top w:val="nil"/>
              <w:left w:val="nil"/>
              <w:bottom w:val="nil"/>
              <w:right w:val="nil"/>
            </w:tcBorders>
            <w:textDirection w:val="btLr"/>
            <w:vAlign w:val="center"/>
          </w:tcPr>
          <w:p w14:paraId="446AEEAC"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55532682" w14:textId="77777777" w:rsidR="00ED16C5" w:rsidRPr="005C6774" w:rsidRDefault="00ED16C5" w:rsidP="00FB3370">
            <w:pPr>
              <w:rPr>
                <w:color w:val="000000"/>
              </w:rPr>
            </w:pPr>
            <w:r w:rsidRPr="005C6774">
              <w:rPr>
                <w:color w:val="000000"/>
              </w:rPr>
              <w:t>BCRP</w:t>
            </w:r>
          </w:p>
        </w:tc>
        <w:tc>
          <w:tcPr>
            <w:tcW w:w="2537" w:type="dxa"/>
            <w:tcBorders>
              <w:top w:val="nil"/>
              <w:left w:val="nil"/>
              <w:bottom w:val="nil"/>
              <w:right w:val="nil"/>
            </w:tcBorders>
            <w:vAlign w:val="center"/>
          </w:tcPr>
          <w:p w14:paraId="71F923E3" w14:textId="77777777" w:rsidR="00ED16C5" w:rsidRPr="005C6774" w:rsidRDefault="00ED16C5" w:rsidP="00FB3370">
            <w:pPr>
              <w:rPr>
                <w:color w:val="000000"/>
              </w:rPr>
            </w:pPr>
            <w:r w:rsidRPr="005C6774">
              <w:rPr>
                <w:color w:val="000000"/>
              </w:rPr>
              <w:t>0.085</w:t>
            </w:r>
          </w:p>
        </w:tc>
        <w:tc>
          <w:tcPr>
            <w:tcW w:w="1620" w:type="dxa"/>
            <w:tcBorders>
              <w:top w:val="nil"/>
              <w:left w:val="nil"/>
              <w:bottom w:val="nil"/>
              <w:right w:val="nil"/>
            </w:tcBorders>
            <w:vAlign w:val="center"/>
          </w:tcPr>
          <w:p w14:paraId="7DE2B36C" w14:textId="77777777" w:rsidR="00ED16C5" w:rsidRPr="005C6774" w:rsidRDefault="00ED16C5" w:rsidP="00FB3370">
            <w:pPr>
              <w:rPr>
                <w:color w:val="000000"/>
              </w:rPr>
            </w:pPr>
            <w:r w:rsidRPr="005C6774">
              <w:rPr>
                <w:color w:val="000000"/>
              </w:rPr>
              <w:t>0.834</w:t>
            </w:r>
          </w:p>
        </w:tc>
        <w:tc>
          <w:tcPr>
            <w:tcW w:w="2141" w:type="dxa"/>
            <w:tcBorders>
              <w:top w:val="nil"/>
              <w:left w:val="nil"/>
              <w:bottom w:val="nil"/>
              <w:right w:val="nil"/>
            </w:tcBorders>
            <w:vAlign w:val="center"/>
          </w:tcPr>
          <w:p w14:paraId="7D0A2F17" w14:textId="77777777" w:rsidR="00ED16C5" w:rsidRPr="005C6774" w:rsidRDefault="00ED16C5" w:rsidP="00FB3370">
            <w:pPr>
              <w:rPr>
                <w:color w:val="000000"/>
              </w:rPr>
            </w:pPr>
            <w:r w:rsidRPr="005C6774">
              <w:rPr>
                <w:color w:val="000000"/>
              </w:rPr>
              <w:t>0.892</w:t>
            </w:r>
          </w:p>
        </w:tc>
      </w:tr>
      <w:tr w:rsidR="00ED16C5" w:rsidRPr="005C6774" w14:paraId="720E0530" w14:textId="77777777" w:rsidTr="00FB3370">
        <w:trPr>
          <w:trHeight w:val="263"/>
        </w:trPr>
        <w:tc>
          <w:tcPr>
            <w:tcW w:w="1262" w:type="dxa"/>
            <w:vMerge/>
            <w:tcBorders>
              <w:top w:val="nil"/>
              <w:left w:val="nil"/>
              <w:bottom w:val="nil"/>
              <w:right w:val="nil"/>
            </w:tcBorders>
            <w:textDirection w:val="btLr"/>
            <w:vAlign w:val="center"/>
          </w:tcPr>
          <w:p w14:paraId="23A85179"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0B4A61AE" w14:textId="77777777" w:rsidR="00ED16C5" w:rsidRPr="005C6774" w:rsidRDefault="00ED16C5" w:rsidP="00FB3370">
            <w:pPr>
              <w:rPr>
                <w:color w:val="000000"/>
              </w:rPr>
            </w:pPr>
            <w:r w:rsidRPr="005C6774">
              <w:rPr>
                <w:color w:val="000000"/>
              </w:rPr>
              <w:t>BSEP</w:t>
            </w:r>
          </w:p>
        </w:tc>
        <w:tc>
          <w:tcPr>
            <w:tcW w:w="2537" w:type="dxa"/>
            <w:tcBorders>
              <w:top w:val="nil"/>
              <w:left w:val="nil"/>
              <w:bottom w:val="nil"/>
              <w:right w:val="nil"/>
            </w:tcBorders>
            <w:vAlign w:val="center"/>
          </w:tcPr>
          <w:p w14:paraId="3F921811" w14:textId="77777777" w:rsidR="00ED16C5" w:rsidRPr="005C6774" w:rsidRDefault="00ED16C5" w:rsidP="00FB3370">
            <w:pPr>
              <w:rPr>
                <w:color w:val="000000"/>
              </w:rPr>
            </w:pPr>
            <w:r w:rsidRPr="005C6774">
              <w:rPr>
                <w:color w:val="000000"/>
              </w:rPr>
              <w:t>1.000</w:t>
            </w:r>
          </w:p>
        </w:tc>
        <w:tc>
          <w:tcPr>
            <w:tcW w:w="1620" w:type="dxa"/>
            <w:tcBorders>
              <w:top w:val="nil"/>
              <w:left w:val="nil"/>
              <w:bottom w:val="nil"/>
              <w:right w:val="nil"/>
            </w:tcBorders>
            <w:vAlign w:val="center"/>
          </w:tcPr>
          <w:p w14:paraId="62B2256E" w14:textId="77777777" w:rsidR="00ED16C5" w:rsidRPr="005C6774" w:rsidRDefault="00ED16C5" w:rsidP="00FB3370">
            <w:pPr>
              <w:rPr>
                <w:color w:val="000000"/>
              </w:rPr>
            </w:pPr>
            <w:r w:rsidRPr="005C6774">
              <w:rPr>
                <w:color w:val="000000"/>
              </w:rPr>
              <w:t>0.002</w:t>
            </w:r>
          </w:p>
        </w:tc>
        <w:tc>
          <w:tcPr>
            <w:tcW w:w="2141" w:type="dxa"/>
            <w:tcBorders>
              <w:top w:val="nil"/>
              <w:left w:val="nil"/>
              <w:bottom w:val="nil"/>
              <w:right w:val="nil"/>
            </w:tcBorders>
            <w:vAlign w:val="center"/>
          </w:tcPr>
          <w:p w14:paraId="6752E452" w14:textId="77777777" w:rsidR="00ED16C5" w:rsidRPr="005C6774" w:rsidRDefault="00ED16C5" w:rsidP="00FB3370">
            <w:pPr>
              <w:rPr>
                <w:color w:val="000000"/>
              </w:rPr>
            </w:pPr>
            <w:r w:rsidRPr="005C6774">
              <w:rPr>
                <w:color w:val="000000"/>
              </w:rPr>
              <w:t>0.608</w:t>
            </w:r>
          </w:p>
        </w:tc>
      </w:tr>
      <w:tr w:rsidR="00ED16C5" w:rsidRPr="005C6774" w14:paraId="27579A2B" w14:textId="77777777" w:rsidTr="00FB3370">
        <w:trPr>
          <w:trHeight w:val="263"/>
        </w:trPr>
        <w:tc>
          <w:tcPr>
            <w:tcW w:w="1262" w:type="dxa"/>
            <w:vMerge/>
            <w:tcBorders>
              <w:top w:val="nil"/>
              <w:left w:val="nil"/>
              <w:bottom w:val="nil"/>
              <w:right w:val="nil"/>
            </w:tcBorders>
            <w:textDirection w:val="btLr"/>
            <w:vAlign w:val="center"/>
          </w:tcPr>
          <w:p w14:paraId="1EE9F5C1"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1085B592" w14:textId="77777777" w:rsidR="00ED16C5" w:rsidRPr="005C6774" w:rsidRDefault="00ED16C5" w:rsidP="00FB3370">
            <w:pPr>
              <w:rPr>
                <w:color w:val="000000"/>
              </w:rPr>
            </w:pPr>
            <w:r w:rsidRPr="005C6774">
              <w:rPr>
                <w:color w:val="000000"/>
              </w:rPr>
              <w:t>BBB</w:t>
            </w:r>
          </w:p>
        </w:tc>
        <w:tc>
          <w:tcPr>
            <w:tcW w:w="2537" w:type="dxa"/>
            <w:tcBorders>
              <w:top w:val="nil"/>
              <w:left w:val="nil"/>
              <w:bottom w:val="nil"/>
              <w:right w:val="nil"/>
            </w:tcBorders>
            <w:vAlign w:val="center"/>
          </w:tcPr>
          <w:p w14:paraId="74936E50" w14:textId="77777777" w:rsidR="00ED16C5" w:rsidRPr="005C6774" w:rsidRDefault="00ED16C5" w:rsidP="00FB3370">
            <w:pPr>
              <w:rPr>
                <w:color w:val="000000"/>
              </w:rPr>
            </w:pPr>
            <w:r w:rsidRPr="005C6774">
              <w:rPr>
                <w:color w:val="000000"/>
              </w:rPr>
              <w:t>0.000</w:t>
            </w:r>
          </w:p>
        </w:tc>
        <w:tc>
          <w:tcPr>
            <w:tcW w:w="1620" w:type="dxa"/>
            <w:tcBorders>
              <w:top w:val="nil"/>
              <w:left w:val="nil"/>
              <w:bottom w:val="nil"/>
              <w:right w:val="nil"/>
            </w:tcBorders>
            <w:vAlign w:val="center"/>
          </w:tcPr>
          <w:p w14:paraId="56FBEFD1" w14:textId="77777777" w:rsidR="00ED16C5" w:rsidRPr="005C6774" w:rsidRDefault="00ED16C5" w:rsidP="00FB3370">
            <w:pPr>
              <w:rPr>
                <w:color w:val="000000"/>
              </w:rPr>
            </w:pPr>
            <w:r w:rsidRPr="005C6774">
              <w:rPr>
                <w:color w:val="000000"/>
              </w:rPr>
              <w:t>0.000</w:t>
            </w:r>
          </w:p>
        </w:tc>
        <w:tc>
          <w:tcPr>
            <w:tcW w:w="2141" w:type="dxa"/>
            <w:tcBorders>
              <w:top w:val="nil"/>
              <w:left w:val="nil"/>
              <w:bottom w:val="nil"/>
              <w:right w:val="nil"/>
            </w:tcBorders>
            <w:vAlign w:val="center"/>
          </w:tcPr>
          <w:p w14:paraId="1A2C0F67" w14:textId="77777777" w:rsidR="00ED16C5" w:rsidRPr="005C6774" w:rsidRDefault="00ED16C5" w:rsidP="00FB3370">
            <w:pPr>
              <w:rPr>
                <w:color w:val="000000"/>
              </w:rPr>
            </w:pPr>
            <w:r w:rsidRPr="005C6774">
              <w:rPr>
                <w:color w:val="000000"/>
              </w:rPr>
              <w:t>0.013</w:t>
            </w:r>
          </w:p>
        </w:tc>
      </w:tr>
      <w:tr w:rsidR="00ED16C5" w:rsidRPr="005C6774" w14:paraId="70C28469" w14:textId="77777777" w:rsidTr="00FB3370">
        <w:trPr>
          <w:trHeight w:val="263"/>
        </w:trPr>
        <w:tc>
          <w:tcPr>
            <w:tcW w:w="1262" w:type="dxa"/>
            <w:vMerge/>
            <w:tcBorders>
              <w:top w:val="nil"/>
              <w:left w:val="nil"/>
              <w:bottom w:val="nil"/>
              <w:right w:val="nil"/>
            </w:tcBorders>
            <w:textDirection w:val="btLr"/>
            <w:vAlign w:val="center"/>
          </w:tcPr>
          <w:p w14:paraId="66C21C7D" w14:textId="77777777" w:rsidR="00ED16C5" w:rsidRPr="005C6774" w:rsidRDefault="00ED16C5" w:rsidP="00FB3370">
            <w:pPr>
              <w:ind w:left="113" w:right="113"/>
              <w:rPr>
                <w:b/>
              </w:rPr>
            </w:pPr>
          </w:p>
        </w:tc>
        <w:tc>
          <w:tcPr>
            <w:tcW w:w="2141" w:type="dxa"/>
            <w:tcBorders>
              <w:top w:val="nil"/>
              <w:left w:val="nil"/>
              <w:bottom w:val="nil"/>
              <w:right w:val="nil"/>
            </w:tcBorders>
            <w:vAlign w:val="center"/>
          </w:tcPr>
          <w:p w14:paraId="3FCBE271" w14:textId="77777777" w:rsidR="00ED16C5" w:rsidRPr="005C6774" w:rsidRDefault="00ED16C5" w:rsidP="00FB3370">
            <w:pPr>
              <w:rPr>
                <w:color w:val="000000"/>
              </w:rPr>
            </w:pPr>
            <w:r w:rsidRPr="005C6774">
              <w:rPr>
                <w:color w:val="000000"/>
              </w:rPr>
              <w:t>MRP1</w:t>
            </w:r>
          </w:p>
        </w:tc>
        <w:tc>
          <w:tcPr>
            <w:tcW w:w="2537" w:type="dxa"/>
            <w:tcBorders>
              <w:top w:val="nil"/>
              <w:left w:val="nil"/>
              <w:bottom w:val="nil"/>
              <w:right w:val="nil"/>
            </w:tcBorders>
            <w:vAlign w:val="center"/>
          </w:tcPr>
          <w:p w14:paraId="0BBAECA2" w14:textId="77777777" w:rsidR="00ED16C5" w:rsidRPr="005C6774" w:rsidRDefault="00ED16C5" w:rsidP="00FB3370">
            <w:pPr>
              <w:rPr>
                <w:color w:val="000000"/>
              </w:rPr>
            </w:pPr>
            <w:r w:rsidRPr="005C6774">
              <w:rPr>
                <w:color w:val="000000"/>
              </w:rPr>
              <w:t>0.820</w:t>
            </w:r>
          </w:p>
        </w:tc>
        <w:tc>
          <w:tcPr>
            <w:tcW w:w="1620" w:type="dxa"/>
            <w:tcBorders>
              <w:top w:val="nil"/>
              <w:left w:val="nil"/>
              <w:bottom w:val="nil"/>
              <w:right w:val="nil"/>
            </w:tcBorders>
            <w:vAlign w:val="center"/>
          </w:tcPr>
          <w:p w14:paraId="1D14C5B1" w14:textId="77777777" w:rsidR="00ED16C5" w:rsidRPr="005C6774" w:rsidRDefault="00ED16C5" w:rsidP="00FB3370">
            <w:pPr>
              <w:rPr>
                <w:color w:val="000000"/>
              </w:rPr>
            </w:pPr>
            <w:r w:rsidRPr="005C6774">
              <w:rPr>
                <w:color w:val="000000"/>
              </w:rPr>
              <w:t>0.008</w:t>
            </w:r>
          </w:p>
        </w:tc>
        <w:tc>
          <w:tcPr>
            <w:tcW w:w="2141" w:type="dxa"/>
            <w:tcBorders>
              <w:top w:val="nil"/>
              <w:left w:val="nil"/>
              <w:bottom w:val="nil"/>
              <w:right w:val="nil"/>
            </w:tcBorders>
            <w:vAlign w:val="center"/>
          </w:tcPr>
          <w:p w14:paraId="40F0CBAD" w14:textId="77777777" w:rsidR="00ED16C5" w:rsidRPr="005C6774" w:rsidRDefault="00ED16C5" w:rsidP="00FB3370">
            <w:pPr>
              <w:rPr>
                <w:color w:val="000000"/>
              </w:rPr>
            </w:pPr>
            <w:r w:rsidRPr="005C6774">
              <w:rPr>
                <w:color w:val="000000"/>
              </w:rPr>
              <w:t>0.657</w:t>
            </w:r>
          </w:p>
        </w:tc>
      </w:tr>
      <w:tr w:rsidR="00ED16C5" w:rsidRPr="005C6774" w14:paraId="4D6D7B74" w14:textId="77777777" w:rsidTr="00FB3370">
        <w:trPr>
          <w:trHeight w:val="263"/>
        </w:trPr>
        <w:tc>
          <w:tcPr>
            <w:tcW w:w="1262" w:type="dxa"/>
            <w:vMerge/>
            <w:tcBorders>
              <w:top w:val="nil"/>
              <w:left w:val="nil"/>
              <w:bottom w:val="single" w:sz="4" w:space="0" w:color="auto"/>
              <w:right w:val="nil"/>
            </w:tcBorders>
            <w:textDirection w:val="btLr"/>
            <w:vAlign w:val="center"/>
          </w:tcPr>
          <w:p w14:paraId="715EA4CE" w14:textId="77777777" w:rsidR="00ED16C5" w:rsidRPr="005C6774" w:rsidRDefault="00ED16C5" w:rsidP="00FB3370">
            <w:pPr>
              <w:ind w:left="113" w:right="113"/>
              <w:rPr>
                <w:b/>
              </w:rPr>
            </w:pPr>
          </w:p>
        </w:tc>
        <w:tc>
          <w:tcPr>
            <w:tcW w:w="2141" w:type="dxa"/>
            <w:tcBorders>
              <w:top w:val="nil"/>
              <w:left w:val="nil"/>
              <w:bottom w:val="single" w:sz="4" w:space="0" w:color="auto"/>
              <w:right w:val="nil"/>
            </w:tcBorders>
            <w:vAlign w:val="center"/>
          </w:tcPr>
          <w:p w14:paraId="56E56BFE" w14:textId="77777777" w:rsidR="00ED16C5" w:rsidRPr="005C6774" w:rsidRDefault="00ED16C5" w:rsidP="00FB3370">
            <w:pPr>
              <w:rPr>
                <w:color w:val="000000"/>
              </w:rPr>
            </w:pPr>
            <w:r w:rsidRPr="005C6774">
              <w:rPr>
                <w:color w:val="000000"/>
              </w:rPr>
              <w:t>PPB</w:t>
            </w:r>
          </w:p>
        </w:tc>
        <w:tc>
          <w:tcPr>
            <w:tcW w:w="2537" w:type="dxa"/>
            <w:tcBorders>
              <w:top w:val="nil"/>
              <w:left w:val="nil"/>
              <w:bottom w:val="single" w:sz="4" w:space="0" w:color="auto"/>
              <w:right w:val="nil"/>
            </w:tcBorders>
            <w:vAlign w:val="center"/>
          </w:tcPr>
          <w:p w14:paraId="3A6CE489" w14:textId="77777777" w:rsidR="00ED16C5" w:rsidRPr="005C6774" w:rsidRDefault="00ED16C5" w:rsidP="00FB3370">
            <w:pPr>
              <w:rPr>
                <w:color w:val="000000"/>
              </w:rPr>
            </w:pPr>
            <w:r w:rsidRPr="005C6774">
              <w:rPr>
                <w:color w:val="000000"/>
              </w:rPr>
              <w:t>96.276</w:t>
            </w:r>
          </w:p>
        </w:tc>
        <w:tc>
          <w:tcPr>
            <w:tcW w:w="1620" w:type="dxa"/>
            <w:tcBorders>
              <w:top w:val="nil"/>
              <w:left w:val="nil"/>
              <w:bottom w:val="single" w:sz="4" w:space="0" w:color="auto"/>
              <w:right w:val="nil"/>
            </w:tcBorders>
            <w:vAlign w:val="center"/>
          </w:tcPr>
          <w:p w14:paraId="7E883FDF" w14:textId="77777777" w:rsidR="00ED16C5" w:rsidRPr="005C6774" w:rsidRDefault="00ED16C5" w:rsidP="00FB3370">
            <w:pPr>
              <w:rPr>
                <w:color w:val="000000"/>
              </w:rPr>
            </w:pPr>
            <w:r w:rsidRPr="005C6774">
              <w:rPr>
                <w:color w:val="000000"/>
              </w:rPr>
              <w:t>85.005</w:t>
            </w:r>
          </w:p>
        </w:tc>
        <w:tc>
          <w:tcPr>
            <w:tcW w:w="2141" w:type="dxa"/>
            <w:tcBorders>
              <w:top w:val="nil"/>
              <w:left w:val="nil"/>
              <w:bottom w:val="single" w:sz="4" w:space="0" w:color="auto"/>
              <w:right w:val="nil"/>
            </w:tcBorders>
            <w:vAlign w:val="center"/>
          </w:tcPr>
          <w:p w14:paraId="4C0741A0" w14:textId="77777777" w:rsidR="00ED16C5" w:rsidRPr="005C6774" w:rsidRDefault="00ED16C5" w:rsidP="00FB3370">
            <w:pPr>
              <w:rPr>
                <w:color w:val="000000"/>
              </w:rPr>
            </w:pPr>
            <w:r w:rsidRPr="005C6774">
              <w:rPr>
                <w:color w:val="000000"/>
              </w:rPr>
              <w:t>96.535</w:t>
            </w:r>
          </w:p>
        </w:tc>
      </w:tr>
      <w:tr w:rsidR="002717B0" w:rsidRPr="005C6774" w14:paraId="7E442631" w14:textId="77777777" w:rsidTr="00FB3370">
        <w:trPr>
          <w:trHeight w:val="263"/>
        </w:trPr>
        <w:tc>
          <w:tcPr>
            <w:tcW w:w="1262" w:type="dxa"/>
            <w:vMerge w:val="restart"/>
            <w:tcBorders>
              <w:top w:val="single" w:sz="4" w:space="0" w:color="auto"/>
              <w:left w:val="nil"/>
              <w:bottom w:val="nil"/>
              <w:right w:val="nil"/>
            </w:tcBorders>
            <w:textDirection w:val="btLr"/>
            <w:vAlign w:val="center"/>
          </w:tcPr>
          <w:p w14:paraId="7C25F34B" w14:textId="77777777" w:rsidR="002717B0" w:rsidRPr="005C6774" w:rsidRDefault="002717B0" w:rsidP="00FB3370">
            <w:pPr>
              <w:ind w:left="113" w:right="113"/>
              <w:rPr>
                <w:b/>
              </w:rPr>
            </w:pPr>
            <w:r w:rsidRPr="005C6774">
              <w:rPr>
                <w:b/>
              </w:rPr>
              <w:t>Metabolism</w:t>
            </w:r>
          </w:p>
        </w:tc>
        <w:tc>
          <w:tcPr>
            <w:tcW w:w="2141" w:type="dxa"/>
            <w:tcBorders>
              <w:top w:val="single" w:sz="4" w:space="0" w:color="auto"/>
              <w:left w:val="nil"/>
              <w:bottom w:val="nil"/>
              <w:right w:val="nil"/>
            </w:tcBorders>
            <w:vAlign w:val="center"/>
          </w:tcPr>
          <w:p w14:paraId="56F38280" w14:textId="77777777" w:rsidR="002717B0" w:rsidRPr="005C6774" w:rsidRDefault="002717B0" w:rsidP="00FB3370">
            <w:pPr>
              <w:rPr>
                <w:color w:val="000000"/>
              </w:rPr>
            </w:pPr>
            <w:r w:rsidRPr="005C6774">
              <w:rPr>
                <w:color w:val="000000"/>
              </w:rPr>
              <w:t>CYP1A2-inh</w:t>
            </w:r>
          </w:p>
        </w:tc>
        <w:tc>
          <w:tcPr>
            <w:tcW w:w="2537" w:type="dxa"/>
            <w:tcBorders>
              <w:top w:val="single" w:sz="4" w:space="0" w:color="auto"/>
              <w:left w:val="nil"/>
              <w:bottom w:val="nil"/>
              <w:right w:val="nil"/>
            </w:tcBorders>
            <w:vAlign w:val="center"/>
          </w:tcPr>
          <w:p w14:paraId="56E244E3" w14:textId="77777777" w:rsidR="002717B0" w:rsidRPr="005C6774" w:rsidRDefault="002717B0" w:rsidP="00FB3370">
            <w:pPr>
              <w:rPr>
                <w:color w:val="000000"/>
              </w:rPr>
            </w:pPr>
            <w:r w:rsidRPr="005C6774">
              <w:rPr>
                <w:color w:val="000000"/>
              </w:rPr>
              <w:t>0.000</w:t>
            </w:r>
          </w:p>
        </w:tc>
        <w:tc>
          <w:tcPr>
            <w:tcW w:w="1620" w:type="dxa"/>
            <w:tcBorders>
              <w:top w:val="single" w:sz="4" w:space="0" w:color="auto"/>
              <w:left w:val="nil"/>
              <w:bottom w:val="nil"/>
              <w:right w:val="nil"/>
            </w:tcBorders>
            <w:vAlign w:val="center"/>
          </w:tcPr>
          <w:p w14:paraId="417990E1" w14:textId="77777777" w:rsidR="002717B0" w:rsidRPr="005C6774" w:rsidRDefault="002717B0" w:rsidP="00FB3370">
            <w:pPr>
              <w:rPr>
                <w:color w:val="000000"/>
              </w:rPr>
            </w:pPr>
            <w:r w:rsidRPr="005C6774">
              <w:rPr>
                <w:color w:val="000000"/>
              </w:rPr>
              <w:t>0.000</w:t>
            </w:r>
          </w:p>
        </w:tc>
        <w:tc>
          <w:tcPr>
            <w:tcW w:w="2141" w:type="dxa"/>
            <w:tcBorders>
              <w:top w:val="single" w:sz="4" w:space="0" w:color="auto"/>
              <w:left w:val="nil"/>
              <w:bottom w:val="nil"/>
              <w:right w:val="nil"/>
            </w:tcBorders>
            <w:vAlign w:val="center"/>
          </w:tcPr>
          <w:p w14:paraId="6FB7EE76" w14:textId="77777777" w:rsidR="002717B0" w:rsidRPr="005C6774" w:rsidRDefault="002717B0" w:rsidP="00FB3370">
            <w:pPr>
              <w:rPr>
                <w:color w:val="000000"/>
              </w:rPr>
            </w:pPr>
            <w:r w:rsidRPr="005C6774">
              <w:rPr>
                <w:color w:val="000000"/>
              </w:rPr>
              <w:t>1.000</w:t>
            </w:r>
          </w:p>
        </w:tc>
      </w:tr>
      <w:tr w:rsidR="002717B0" w:rsidRPr="005C6774" w14:paraId="469AC65F" w14:textId="77777777" w:rsidTr="00FB3370">
        <w:trPr>
          <w:trHeight w:val="263"/>
        </w:trPr>
        <w:tc>
          <w:tcPr>
            <w:tcW w:w="1262" w:type="dxa"/>
            <w:vMerge/>
            <w:tcBorders>
              <w:top w:val="nil"/>
              <w:left w:val="nil"/>
              <w:bottom w:val="nil"/>
              <w:right w:val="nil"/>
            </w:tcBorders>
            <w:textDirection w:val="btLr"/>
            <w:vAlign w:val="center"/>
          </w:tcPr>
          <w:p w14:paraId="177A136C"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4147E62F" w14:textId="77777777" w:rsidR="002717B0" w:rsidRPr="005C6774" w:rsidRDefault="002717B0" w:rsidP="00FB3370">
            <w:pPr>
              <w:rPr>
                <w:color w:val="000000"/>
              </w:rPr>
            </w:pPr>
            <w:r w:rsidRPr="005C6774">
              <w:rPr>
                <w:color w:val="000000"/>
              </w:rPr>
              <w:t>CYP1A2-sub</w:t>
            </w:r>
          </w:p>
        </w:tc>
        <w:tc>
          <w:tcPr>
            <w:tcW w:w="2537" w:type="dxa"/>
            <w:tcBorders>
              <w:top w:val="nil"/>
              <w:left w:val="nil"/>
              <w:bottom w:val="nil"/>
              <w:right w:val="nil"/>
            </w:tcBorders>
            <w:vAlign w:val="center"/>
          </w:tcPr>
          <w:p w14:paraId="7E566BA4"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546C7939" w14:textId="77777777" w:rsidR="002717B0" w:rsidRPr="005C6774" w:rsidRDefault="002717B0" w:rsidP="00FB3370">
            <w:pPr>
              <w:rPr>
                <w:color w:val="000000"/>
              </w:rPr>
            </w:pPr>
            <w:r w:rsidRPr="005C6774">
              <w:rPr>
                <w:color w:val="000000"/>
              </w:rPr>
              <w:t>0.004</w:t>
            </w:r>
          </w:p>
        </w:tc>
        <w:tc>
          <w:tcPr>
            <w:tcW w:w="2141" w:type="dxa"/>
            <w:tcBorders>
              <w:top w:val="nil"/>
              <w:left w:val="nil"/>
              <w:bottom w:val="nil"/>
              <w:right w:val="nil"/>
            </w:tcBorders>
            <w:vAlign w:val="center"/>
          </w:tcPr>
          <w:p w14:paraId="60736948" w14:textId="77777777" w:rsidR="002717B0" w:rsidRPr="005C6774" w:rsidRDefault="002717B0" w:rsidP="00FB3370">
            <w:pPr>
              <w:rPr>
                <w:color w:val="000000"/>
              </w:rPr>
            </w:pPr>
            <w:r w:rsidRPr="005C6774">
              <w:rPr>
                <w:color w:val="000000"/>
              </w:rPr>
              <w:t>0.470</w:t>
            </w:r>
          </w:p>
        </w:tc>
      </w:tr>
      <w:tr w:rsidR="002717B0" w:rsidRPr="005C6774" w14:paraId="20E493BE" w14:textId="77777777" w:rsidTr="00FB3370">
        <w:trPr>
          <w:trHeight w:val="263"/>
        </w:trPr>
        <w:tc>
          <w:tcPr>
            <w:tcW w:w="1262" w:type="dxa"/>
            <w:vMerge/>
            <w:tcBorders>
              <w:top w:val="nil"/>
              <w:left w:val="nil"/>
              <w:bottom w:val="nil"/>
              <w:right w:val="nil"/>
            </w:tcBorders>
            <w:textDirection w:val="btLr"/>
            <w:vAlign w:val="center"/>
          </w:tcPr>
          <w:p w14:paraId="3AB914D6"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696125EA" w14:textId="77777777" w:rsidR="002717B0" w:rsidRPr="005C6774" w:rsidRDefault="002717B0" w:rsidP="00FB3370">
            <w:pPr>
              <w:rPr>
                <w:color w:val="000000"/>
              </w:rPr>
            </w:pPr>
            <w:r w:rsidRPr="005C6774">
              <w:rPr>
                <w:color w:val="000000"/>
              </w:rPr>
              <w:t>CYP2C19-inh</w:t>
            </w:r>
          </w:p>
        </w:tc>
        <w:tc>
          <w:tcPr>
            <w:tcW w:w="2537" w:type="dxa"/>
            <w:tcBorders>
              <w:top w:val="nil"/>
              <w:left w:val="nil"/>
              <w:bottom w:val="nil"/>
              <w:right w:val="nil"/>
            </w:tcBorders>
            <w:vAlign w:val="center"/>
          </w:tcPr>
          <w:p w14:paraId="4EF8697C" w14:textId="77777777" w:rsidR="002717B0" w:rsidRPr="005C6774" w:rsidRDefault="002717B0" w:rsidP="00FB3370">
            <w:pPr>
              <w:rPr>
                <w:color w:val="000000"/>
              </w:rPr>
            </w:pPr>
            <w:r w:rsidRPr="005C6774">
              <w:rPr>
                <w:color w:val="000000"/>
              </w:rPr>
              <w:t>0.003</w:t>
            </w:r>
          </w:p>
        </w:tc>
        <w:tc>
          <w:tcPr>
            <w:tcW w:w="1620" w:type="dxa"/>
            <w:tcBorders>
              <w:top w:val="nil"/>
              <w:left w:val="nil"/>
              <w:bottom w:val="nil"/>
              <w:right w:val="nil"/>
            </w:tcBorders>
            <w:vAlign w:val="center"/>
          </w:tcPr>
          <w:p w14:paraId="2AF38DF8"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C9A275A" w14:textId="77777777" w:rsidR="002717B0" w:rsidRPr="005C6774" w:rsidRDefault="002717B0" w:rsidP="00FB3370">
            <w:pPr>
              <w:rPr>
                <w:color w:val="000000"/>
              </w:rPr>
            </w:pPr>
            <w:r w:rsidRPr="005C6774">
              <w:rPr>
                <w:color w:val="000000"/>
              </w:rPr>
              <w:t>0.112</w:t>
            </w:r>
          </w:p>
        </w:tc>
      </w:tr>
      <w:tr w:rsidR="002717B0" w:rsidRPr="005C6774" w14:paraId="58426429" w14:textId="77777777" w:rsidTr="00FB3370">
        <w:trPr>
          <w:trHeight w:val="263"/>
        </w:trPr>
        <w:tc>
          <w:tcPr>
            <w:tcW w:w="1262" w:type="dxa"/>
            <w:vMerge/>
            <w:tcBorders>
              <w:top w:val="nil"/>
              <w:left w:val="nil"/>
              <w:bottom w:val="nil"/>
              <w:right w:val="nil"/>
            </w:tcBorders>
            <w:textDirection w:val="btLr"/>
            <w:vAlign w:val="center"/>
          </w:tcPr>
          <w:p w14:paraId="7C04B703"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5BEDE9DF" w14:textId="77777777" w:rsidR="002717B0" w:rsidRPr="005C6774" w:rsidRDefault="002717B0" w:rsidP="00FB3370">
            <w:pPr>
              <w:rPr>
                <w:color w:val="000000"/>
              </w:rPr>
            </w:pPr>
            <w:r w:rsidRPr="005C6774">
              <w:rPr>
                <w:color w:val="000000"/>
              </w:rPr>
              <w:t>CYP2C19-sub</w:t>
            </w:r>
          </w:p>
        </w:tc>
        <w:tc>
          <w:tcPr>
            <w:tcW w:w="2537" w:type="dxa"/>
            <w:tcBorders>
              <w:top w:val="nil"/>
              <w:left w:val="nil"/>
              <w:bottom w:val="nil"/>
              <w:right w:val="nil"/>
            </w:tcBorders>
            <w:vAlign w:val="center"/>
          </w:tcPr>
          <w:p w14:paraId="5131EC8C"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034C9D37"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2D37FF1A" w14:textId="77777777" w:rsidR="002717B0" w:rsidRPr="005C6774" w:rsidRDefault="002717B0" w:rsidP="00FB3370">
            <w:pPr>
              <w:rPr>
                <w:color w:val="000000"/>
              </w:rPr>
            </w:pPr>
            <w:r w:rsidRPr="005C6774">
              <w:rPr>
                <w:color w:val="000000"/>
              </w:rPr>
              <w:t>0.000</w:t>
            </w:r>
          </w:p>
        </w:tc>
      </w:tr>
      <w:tr w:rsidR="002717B0" w:rsidRPr="005C6774" w14:paraId="4DC2D162" w14:textId="77777777" w:rsidTr="00FB3370">
        <w:trPr>
          <w:trHeight w:val="263"/>
        </w:trPr>
        <w:tc>
          <w:tcPr>
            <w:tcW w:w="1262" w:type="dxa"/>
            <w:vMerge/>
            <w:tcBorders>
              <w:top w:val="nil"/>
              <w:left w:val="nil"/>
              <w:bottom w:val="nil"/>
              <w:right w:val="nil"/>
            </w:tcBorders>
            <w:textDirection w:val="btLr"/>
            <w:vAlign w:val="center"/>
          </w:tcPr>
          <w:p w14:paraId="06094FF7"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2E4D6CC1" w14:textId="77777777" w:rsidR="002717B0" w:rsidRPr="005C6774" w:rsidRDefault="002717B0" w:rsidP="00FB3370">
            <w:pPr>
              <w:rPr>
                <w:color w:val="000000"/>
              </w:rPr>
            </w:pPr>
            <w:r w:rsidRPr="005C6774">
              <w:rPr>
                <w:color w:val="000000"/>
              </w:rPr>
              <w:t>CYP2C9-inh</w:t>
            </w:r>
          </w:p>
        </w:tc>
        <w:tc>
          <w:tcPr>
            <w:tcW w:w="2537" w:type="dxa"/>
            <w:tcBorders>
              <w:top w:val="nil"/>
              <w:left w:val="nil"/>
              <w:bottom w:val="nil"/>
              <w:right w:val="nil"/>
            </w:tcBorders>
            <w:vAlign w:val="center"/>
          </w:tcPr>
          <w:p w14:paraId="6B520087"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43EB21C5"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2E7B5D9B" w14:textId="77777777" w:rsidR="002717B0" w:rsidRPr="005C6774" w:rsidRDefault="002717B0" w:rsidP="00FB3370">
            <w:pPr>
              <w:rPr>
                <w:color w:val="000000"/>
              </w:rPr>
            </w:pPr>
            <w:r w:rsidRPr="005C6774">
              <w:rPr>
                <w:color w:val="000000"/>
              </w:rPr>
              <w:t>0.002</w:t>
            </w:r>
          </w:p>
        </w:tc>
      </w:tr>
      <w:tr w:rsidR="002717B0" w:rsidRPr="005C6774" w14:paraId="488DA8B5" w14:textId="77777777" w:rsidTr="00FB3370">
        <w:trPr>
          <w:trHeight w:val="263"/>
        </w:trPr>
        <w:tc>
          <w:tcPr>
            <w:tcW w:w="1262" w:type="dxa"/>
            <w:vMerge/>
            <w:tcBorders>
              <w:top w:val="nil"/>
              <w:left w:val="nil"/>
              <w:bottom w:val="nil"/>
              <w:right w:val="nil"/>
            </w:tcBorders>
            <w:textDirection w:val="btLr"/>
            <w:vAlign w:val="center"/>
          </w:tcPr>
          <w:p w14:paraId="45E780C8"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5D444CE0" w14:textId="77777777" w:rsidR="002717B0" w:rsidRPr="005C6774" w:rsidRDefault="002717B0" w:rsidP="00FB3370">
            <w:pPr>
              <w:rPr>
                <w:color w:val="000000"/>
              </w:rPr>
            </w:pPr>
            <w:r w:rsidRPr="005C6774">
              <w:rPr>
                <w:color w:val="000000"/>
              </w:rPr>
              <w:t>CYP2C9-sub</w:t>
            </w:r>
          </w:p>
        </w:tc>
        <w:tc>
          <w:tcPr>
            <w:tcW w:w="2537" w:type="dxa"/>
            <w:tcBorders>
              <w:top w:val="nil"/>
              <w:left w:val="nil"/>
              <w:bottom w:val="nil"/>
              <w:right w:val="nil"/>
            </w:tcBorders>
            <w:vAlign w:val="center"/>
          </w:tcPr>
          <w:p w14:paraId="20460D83"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3A810FCA"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044790E1" w14:textId="77777777" w:rsidR="002717B0" w:rsidRPr="005C6774" w:rsidRDefault="002717B0" w:rsidP="00FB3370">
            <w:pPr>
              <w:rPr>
                <w:color w:val="000000"/>
              </w:rPr>
            </w:pPr>
            <w:r w:rsidRPr="005C6774">
              <w:rPr>
                <w:color w:val="000000"/>
              </w:rPr>
              <w:t>0.673</w:t>
            </w:r>
          </w:p>
        </w:tc>
      </w:tr>
      <w:tr w:rsidR="002717B0" w:rsidRPr="005C6774" w14:paraId="46ED3ADF" w14:textId="77777777" w:rsidTr="00FB3370">
        <w:trPr>
          <w:trHeight w:val="263"/>
        </w:trPr>
        <w:tc>
          <w:tcPr>
            <w:tcW w:w="1262" w:type="dxa"/>
            <w:vMerge/>
            <w:tcBorders>
              <w:top w:val="nil"/>
              <w:left w:val="nil"/>
              <w:bottom w:val="nil"/>
              <w:right w:val="nil"/>
            </w:tcBorders>
            <w:textDirection w:val="btLr"/>
            <w:vAlign w:val="center"/>
          </w:tcPr>
          <w:p w14:paraId="7D8DFE98"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4B6CFB10" w14:textId="77777777" w:rsidR="002717B0" w:rsidRPr="005C6774" w:rsidRDefault="002717B0" w:rsidP="00FB3370">
            <w:pPr>
              <w:rPr>
                <w:color w:val="000000"/>
              </w:rPr>
            </w:pPr>
            <w:r w:rsidRPr="005C6774">
              <w:rPr>
                <w:color w:val="000000"/>
              </w:rPr>
              <w:t>CYP2D6-inh</w:t>
            </w:r>
          </w:p>
        </w:tc>
        <w:tc>
          <w:tcPr>
            <w:tcW w:w="2537" w:type="dxa"/>
            <w:tcBorders>
              <w:top w:val="nil"/>
              <w:left w:val="nil"/>
              <w:bottom w:val="nil"/>
              <w:right w:val="nil"/>
            </w:tcBorders>
            <w:vAlign w:val="center"/>
          </w:tcPr>
          <w:p w14:paraId="2EE879BE" w14:textId="77777777" w:rsidR="002717B0" w:rsidRPr="005C6774" w:rsidRDefault="002717B0" w:rsidP="00FB3370">
            <w:pPr>
              <w:rPr>
                <w:color w:val="000000"/>
              </w:rPr>
            </w:pPr>
            <w:r w:rsidRPr="005C6774">
              <w:rPr>
                <w:color w:val="000000"/>
              </w:rPr>
              <w:t>0.012</w:t>
            </w:r>
          </w:p>
        </w:tc>
        <w:tc>
          <w:tcPr>
            <w:tcW w:w="1620" w:type="dxa"/>
            <w:tcBorders>
              <w:top w:val="nil"/>
              <w:left w:val="nil"/>
              <w:bottom w:val="nil"/>
              <w:right w:val="nil"/>
            </w:tcBorders>
            <w:vAlign w:val="center"/>
          </w:tcPr>
          <w:p w14:paraId="27933B34"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652F0D0" w14:textId="77777777" w:rsidR="002717B0" w:rsidRPr="005C6774" w:rsidRDefault="002717B0" w:rsidP="00FB3370">
            <w:pPr>
              <w:rPr>
                <w:color w:val="000000"/>
              </w:rPr>
            </w:pPr>
            <w:r w:rsidRPr="005C6774">
              <w:rPr>
                <w:color w:val="000000"/>
              </w:rPr>
              <w:t>0.957</w:t>
            </w:r>
          </w:p>
        </w:tc>
      </w:tr>
      <w:tr w:rsidR="002717B0" w:rsidRPr="005C6774" w14:paraId="2E152479" w14:textId="77777777" w:rsidTr="00FB3370">
        <w:trPr>
          <w:trHeight w:val="263"/>
        </w:trPr>
        <w:tc>
          <w:tcPr>
            <w:tcW w:w="1262" w:type="dxa"/>
            <w:vMerge/>
            <w:tcBorders>
              <w:top w:val="nil"/>
              <w:left w:val="nil"/>
              <w:bottom w:val="nil"/>
              <w:right w:val="nil"/>
            </w:tcBorders>
            <w:textDirection w:val="btLr"/>
            <w:vAlign w:val="center"/>
          </w:tcPr>
          <w:p w14:paraId="15F858A7"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736DB7C3" w14:textId="77777777" w:rsidR="002717B0" w:rsidRPr="005C6774" w:rsidRDefault="002717B0" w:rsidP="00FB3370">
            <w:pPr>
              <w:rPr>
                <w:color w:val="000000"/>
              </w:rPr>
            </w:pPr>
            <w:r w:rsidRPr="005C6774">
              <w:rPr>
                <w:color w:val="000000"/>
              </w:rPr>
              <w:t>CYP2D6-sub</w:t>
            </w:r>
          </w:p>
        </w:tc>
        <w:tc>
          <w:tcPr>
            <w:tcW w:w="2537" w:type="dxa"/>
            <w:tcBorders>
              <w:top w:val="nil"/>
              <w:left w:val="nil"/>
              <w:bottom w:val="nil"/>
              <w:right w:val="nil"/>
            </w:tcBorders>
            <w:vAlign w:val="center"/>
          </w:tcPr>
          <w:p w14:paraId="532F9D6A"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64B6C2CC"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25BFD66" w14:textId="77777777" w:rsidR="002717B0" w:rsidRPr="005C6774" w:rsidRDefault="002717B0" w:rsidP="00FB3370">
            <w:pPr>
              <w:rPr>
                <w:color w:val="000000"/>
              </w:rPr>
            </w:pPr>
            <w:r w:rsidRPr="005C6774">
              <w:rPr>
                <w:color w:val="000000"/>
              </w:rPr>
              <w:t>1.000</w:t>
            </w:r>
          </w:p>
        </w:tc>
      </w:tr>
      <w:tr w:rsidR="002717B0" w:rsidRPr="005C6774" w14:paraId="2566C47A" w14:textId="77777777" w:rsidTr="00FB3370">
        <w:trPr>
          <w:trHeight w:val="263"/>
        </w:trPr>
        <w:tc>
          <w:tcPr>
            <w:tcW w:w="1262" w:type="dxa"/>
            <w:vMerge/>
            <w:tcBorders>
              <w:top w:val="nil"/>
              <w:left w:val="nil"/>
              <w:bottom w:val="nil"/>
              <w:right w:val="nil"/>
            </w:tcBorders>
            <w:textDirection w:val="btLr"/>
            <w:vAlign w:val="center"/>
          </w:tcPr>
          <w:p w14:paraId="7C24F771"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3135A0D0" w14:textId="77777777" w:rsidR="002717B0" w:rsidRPr="005C6774" w:rsidRDefault="002717B0" w:rsidP="00FB3370">
            <w:pPr>
              <w:rPr>
                <w:color w:val="000000"/>
              </w:rPr>
            </w:pPr>
            <w:r w:rsidRPr="005C6774">
              <w:rPr>
                <w:color w:val="000000"/>
              </w:rPr>
              <w:t>CYP3A4-inh</w:t>
            </w:r>
          </w:p>
        </w:tc>
        <w:tc>
          <w:tcPr>
            <w:tcW w:w="2537" w:type="dxa"/>
            <w:tcBorders>
              <w:top w:val="nil"/>
              <w:left w:val="nil"/>
              <w:bottom w:val="nil"/>
              <w:right w:val="nil"/>
            </w:tcBorders>
            <w:vAlign w:val="center"/>
          </w:tcPr>
          <w:p w14:paraId="716721A7" w14:textId="77777777" w:rsidR="002717B0" w:rsidRPr="005C6774" w:rsidRDefault="002717B0" w:rsidP="00FB3370">
            <w:pPr>
              <w:rPr>
                <w:color w:val="000000"/>
              </w:rPr>
            </w:pPr>
            <w:r w:rsidRPr="005C6774">
              <w:rPr>
                <w:color w:val="000000"/>
              </w:rPr>
              <w:t>0.485</w:t>
            </w:r>
          </w:p>
        </w:tc>
        <w:tc>
          <w:tcPr>
            <w:tcW w:w="1620" w:type="dxa"/>
            <w:tcBorders>
              <w:top w:val="nil"/>
              <w:left w:val="nil"/>
              <w:bottom w:val="nil"/>
              <w:right w:val="nil"/>
            </w:tcBorders>
            <w:vAlign w:val="center"/>
          </w:tcPr>
          <w:p w14:paraId="1C82F88F" w14:textId="77777777" w:rsidR="002717B0" w:rsidRPr="005C6774" w:rsidRDefault="002717B0" w:rsidP="00FB3370">
            <w:pPr>
              <w:rPr>
                <w:color w:val="000000"/>
              </w:rPr>
            </w:pPr>
            <w:r w:rsidRPr="005C6774">
              <w:rPr>
                <w:color w:val="000000"/>
              </w:rPr>
              <w:t>0.029</w:t>
            </w:r>
          </w:p>
        </w:tc>
        <w:tc>
          <w:tcPr>
            <w:tcW w:w="2141" w:type="dxa"/>
            <w:tcBorders>
              <w:top w:val="nil"/>
              <w:left w:val="nil"/>
              <w:bottom w:val="nil"/>
              <w:right w:val="nil"/>
            </w:tcBorders>
            <w:vAlign w:val="center"/>
          </w:tcPr>
          <w:p w14:paraId="67864736" w14:textId="77777777" w:rsidR="002717B0" w:rsidRPr="005C6774" w:rsidRDefault="002717B0" w:rsidP="00FB3370">
            <w:pPr>
              <w:rPr>
                <w:color w:val="000000"/>
              </w:rPr>
            </w:pPr>
            <w:r w:rsidRPr="005C6774">
              <w:rPr>
                <w:color w:val="000000"/>
              </w:rPr>
              <w:t>1.000</w:t>
            </w:r>
          </w:p>
        </w:tc>
      </w:tr>
      <w:tr w:rsidR="002717B0" w:rsidRPr="005C6774" w14:paraId="626FD032" w14:textId="77777777" w:rsidTr="00FB3370">
        <w:trPr>
          <w:trHeight w:val="263"/>
        </w:trPr>
        <w:tc>
          <w:tcPr>
            <w:tcW w:w="1262" w:type="dxa"/>
            <w:vMerge/>
            <w:tcBorders>
              <w:top w:val="nil"/>
              <w:left w:val="nil"/>
              <w:bottom w:val="nil"/>
              <w:right w:val="nil"/>
            </w:tcBorders>
            <w:textDirection w:val="btLr"/>
            <w:vAlign w:val="center"/>
          </w:tcPr>
          <w:p w14:paraId="728C3856"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085A280B" w14:textId="77777777" w:rsidR="002717B0" w:rsidRPr="005C6774" w:rsidRDefault="002717B0" w:rsidP="00FB3370">
            <w:pPr>
              <w:rPr>
                <w:color w:val="000000"/>
              </w:rPr>
            </w:pPr>
            <w:r w:rsidRPr="005C6774">
              <w:rPr>
                <w:color w:val="000000"/>
              </w:rPr>
              <w:t>CYP3A4-sub</w:t>
            </w:r>
          </w:p>
        </w:tc>
        <w:tc>
          <w:tcPr>
            <w:tcW w:w="2537" w:type="dxa"/>
            <w:tcBorders>
              <w:top w:val="nil"/>
              <w:left w:val="nil"/>
              <w:bottom w:val="nil"/>
              <w:right w:val="nil"/>
            </w:tcBorders>
            <w:vAlign w:val="center"/>
          </w:tcPr>
          <w:p w14:paraId="05BED796" w14:textId="77777777" w:rsidR="002717B0" w:rsidRPr="005C6774" w:rsidRDefault="002717B0" w:rsidP="00FB3370">
            <w:pPr>
              <w:rPr>
                <w:color w:val="000000"/>
              </w:rPr>
            </w:pPr>
            <w:r w:rsidRPr="005C6774">
              <w:rPr>
                <w:color w:val="000000"/>
              </w:rPr>
              <w:t>0.306</w:t>
            </w:r>
          </w:p>
        </w:tc>
        <w:tc>
          <w:tcPr>
            <w:tcW w:w="1620" w:type="dxa"/>
            <w:tcBorders>
              <w:top w:val="nil"/>
              <w:left w:val="nil"/>
              <w:bottom w:val="nil"/>
              <w:right w:val="nil"/>
            </w:tcBorders>
            <w:vAlign w:val="center"/>
          </w:tcPr>
          <w:p w14:paraId="056141B4"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7F22504F" w14:textId="77777777" w:rsidR="002717B0" w:rsidRPr="005C6774" w:rsidRDefault="002717B0" w:rsidP="00FB3370">
            <w:pPr>
              <w:rPr>
                <w:color w:val="000000"/>
              </w:rPr>
            </w:pPr>
            <w:r w:rsidRPr="005C6774">
              <w:rPr>
                <w:color w:val="000000"/>
              </w:rPr>
              <w:t>0.000</w:t>
            </w:r>
          </w:p>
        </w:tc>
      </w:tr>
      <w:tr w:rsidR="002717B0" w:rsidRPr="005C6774" w14:paraId="1923227F" w14:textId="77777777" w:rsidTr="00FB3370">
        <w:trPr>
          <w:trHeight w:val="263"/>
        </w:trPr>
        <w:tc>
          <w:tcPr>
            <w:tcW w:w="1262" w:type="dxa"/>
            <w:vMerge/>
            <w:tcBorders>
              <w:top w:val="nil"/>
              <w:left w:val="nil"/>
              <w:bottom w:val="nil"/>
              <w:right w:val="nil"/>
            </w:tcBorders>
            <w:textDirection w:val="btLr"/>
            <w:vAlign w:val="center"/>
          </w:tcPr>
          <w:p w14:paraId="769304C6"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012B0E61" w14:textId="77777777" w:rsidR="002717B0" w:rsidRPr="005C6774" w:rsidRDefault="002717B0" w:rsidP="00FB3370">
            <w:pPr>
              <w:rPr>
                <w:color w:val="000000"/>
              </w:rPr>
            </w:pPr>
            <w:r w:rsidRPr="005C6774">
              <w:rPr>
                <w:color w:val="000000"/>
              </w:rPr>
              <w:t>CYP2B6-inh</w:t>
            </w:r>
          </w:p>
        </w:tc>
        <w:tc>
          <w:tcPr>
            <w:tcW w:w="2537" w:type="dxa"/>
            <w:tcBorders>
              <w:top w:val="nil"/>
              <w:left w:val="nil"/>
              <w:bottom w:val="nil"/>
              <w:right w:val="nil"/>
            </w:tcBorders>
            <w:vAlign w:val="center"/>
          </w:tcPr>
          <w:p w14:paraId="6BD348D2" w14:textId="77777777" w:rsidR="002717B0" w:rsidRPr="005C6774" w:rsidRDefault="002717B0" w:rsidP="00FB3370">
            <w:pPr>
              <w:rPr>
                <w:color w:val="000000"/>
              </w:rPr>
            </w:pPr>
            <w:r w:rsidRPr="005C6774">
              <w:rPr>
                <w:color w:val="000000"/>
              </w:rPr>
              <w:t>0.998</w:t>
            </w:r>
          </w:p>
        </w:tc>
        <w:tc>
          <w:tcPr>
            <w:tcW w:w="1620" w:type="dxa"/>
            <w:tcBorders>
              <w:top w:val="nil"/>
              <w:left w:val="nil"/>
              <w:bottom w:val="nil"/>
              <w:right w:val="nil"/>
            </w:tcBorders>
            <w:vAlign w:val="center"/>
          </w:tcPr>
          <w:p w14:paraId="239D993A" w14:textId="77777777" w:rsidR="002717B0" w:rsidRPr="005C6774" w:rsidRDefault="002717B0" w:rsidP="00FB3370">
            <w:pPr>
              <w:rPr>
                <w:color w:val="000000"/>
              </w:rPr>
            </w:pPr>
            <w:r w:rsidRPr="005C6774">
              <w:rPr>
                <w:color w:val="000000"/>
              </w:rPr>
              <w:t>0.102</w:t>
            </w:r>
          </w:p>
        </w:tc>
        <w:tc>
          <w:tcPr>
            <w:tcW w:w="2141" w:type="dxa"/>
            <w:tcBorders>
              <w:top w:val="nil"/>
              <w:left w:val="nil"/>
              <w:bottom w:val="nil"/>
              <w:right w:val="nil"/>
            </w:tcBorders>
            <w:vAlign w:val="center"/>
          </w:tcPr>
          <w:p w14:paraId="700C0B87" w14:textId="77777777" w:rsidR="002717B0" w:rsidRPr="005C6774" w:rsidRDefault="002717B0" w:rsidP="00FB3370">
            <w:pPr>
              <w:rPr>
                <w:color w:val="000000"/>
              </w:rPr>
            </w:pPr>
            <w:r w:rsidRPr="005C6774">
              <w:rPr>
                <w:color w:val="000000"/>
              </w:rPr>
              <w:t>0.112</w:t>
            </w:r>
          </w:p>
        </w:tc>
      </w:tr>
      <w:tr w:rsidR="002717B0" w:rsidRPr="005C6774" w14:paraId="65051DBA" w14:textId="77777777" w:rsidTr="00FB3370">
        <w:trPr>
          <w:trHeight w:val="263"/>
        </w:trPr>
        <w:tc>
          <w:tcPr>
            <w:tcW w:w="1262" w:type="dxa"/>
            <w:vMerge/>
            <w:tcBorders>
              <w:top w:val="nil"/>
              <w:left w:val="nil"/>
              <w:bottom w:val="nil"/>
              <w:right w:val="nil"/>
            </w:tcBorders>
            <w:textDirection w:val="btLr"/>
            <w:vAlign w:val="center"/>
          </w:tcPr>
          <w:p w14:paraId="73EF1DB4" w14:textId="77777777" w:rsidR="002717B0" w:rsidRPr="005C6774" w:rsidRDefault="002717B0" w:rsidP="00FB3370">
            <w:pPr>
              <w:ind w:left="113" w:right="113"/>
              <w:rPr>
                <w:b/>
              </w:rPr>
            </w:pPr>
          </w:p>
        </w:tc>
        <w:tc>
          <w:tcPr>
            <w:tcW w:w="2141" w:type="dxa"/>
            <w:tcBorders>
              <w:top w:val="nil"/>
              <w:left w:val="nil"/>
              <w:bottom w:val="nil"/>
              <w:right w:val="nil"/>
            </w:tcBorders>
            <w:vAlign w:val="center"/>
          </w:tcPr>
          <w:p w14:paraId="37536BBE" w14:textId="77777777" w:rsidR="002717B0" w:rsidRPr="005C6774" w:rsidRDefault="002717B0" w:rsidP="00FB3370">
            <w:pPr>
              <w:rPr>
                <w:color w:val="000000"/>
              </w:rPr>
            </w:pPr>
            <w:r w:rsidRPr="005C6774">
              <w:rPr>
                <w:color w:val="000000"/>
              </w:rPr>
              <w:t>CYP2B6-sub</w:t>
            </w:r>
          </w:p>
        </w:tc>
        <w:tc>
          <w:tcPr>
            <w:tcW w:w="2537" w:type="dxa"/>
            <w:tcBorders>
              <w:top w:val="nil"/>
              <w:left w:val="nil"/>
              <w:bottom w:val="nil"/>
              <w:right w:val="nil"/>
            </w:tcBorders>
            <w:vAlign w:val="center"/>
          </w:tcPr>
          <w:p w14:paraId="16591A7D" w14:textId="77777777" w:rsidR="002717B0" w:rsidRPr="005C6774" w:rsidRDefault="002717B0" w:rsidP="00FB3370">
            <w:pPr>
              <w:rPr>
                <w:color w:val="000000"/>
              </w:rPr>
            </w:pPr>
            <w:r w:rsidRPr="005C6774">
              <w:rPr>
                <w:color w:val="000000"/>
              </w:rPr>
              <w:t>0.000</w:t>
            </w:r>
          </w:p>
        </w:tc>
        <w:tc>
          <w:tcPr>
            <w:tcW w:w="1620" w:type="dxa"/>
            <w:tcBorders>
              <w:top w:val="nil"/>
              <w:left w:val="nil"/>
              <w:bottom w:val="nil"/>
              <w:right w:val="nil"/>
            </w:tcBorders>
            <w:vAlign w:val="center"/>
          </w:tcPr>
          <w:p w14:paraId="7359E54E" w14:textId="77777777" w:rsidR="002717B0" w:rsidRPr="005C6774" w:rsidRDefault="002717B0" w:rsidP="00FB3370">
            <w:pPr>
              <w:rPr>
                <w:color w:val="000000"/>
              </w:rPr>
            </w:pPr>
            <w:r w:rsidRPr="005C6774">
              <w:rPr>
                <w:color w:val="000000"/>
              </w:rPr>
              <w:t>0.000</w:t>
            </w:r>
          </w:p>
        </w:tc>
        <w:tc>
          <w:tcPr>
            <w:tcW w:w="2141" w:type="dxa"/>
            <w:tcBorders>
              <w:top w:val="nil"/>
              <w:left w:val="nil"/>
              <w:bottom w:val="nil"/>
              <w:right w:val="nil"/>
            </w:tcBorders>
            <w:vAlign w:val="center"/>
          </w:tcPr>
          <w:p w14:paraId="5ABECE81" w14:textId="77777777" w:rsidR="002717B0" w:rsidRPr="005C6774" w:rsidRDefault="002717B0" w:rsidP="00FB3370">
            <w:pPr>
              <w:rPr>
                <w:color w:val="000000"/>
              </w:rPr>
            </w:pPr>
            <w:r w:rsidRPr="005C6774">
              <w:rPr>
                <w:color w:val="000000"/>
              </w:rPr>
              <w:t>0.000</w:t>
            </w:r>
          </w:p>
        </w:tc>
      </w:tr>
      <w:tr w:rsidR="002717B0" w:rsidRPr="005C6774" w14:paraId="13B9716A" w14:textId="77777777" w:rsidTr="00FB3370">
        <w:trPr>
          <w:trHeight w:val="263"/>
        </w:trPr>
        <w:tc>
          <w:tcPr>
            <w:tcW w:w="1262" w:type="dxa"/>
            <w:vMerge/>
            <w:tcBorders>
              <w:top w:val="nil"/>
              <w:left w:val="nil"/>
              <w:bottom w:val="single" w:sz="4" w:space="0" w:color="auto"/>
              <w:right w:val="nil"/>
            </w:tcBorders>
            <w:textDirection w:val="btLr"/>
            <w:vAlign w:val="center"/>
          </w:tcPr>
          <w:p w14:paraId="105253DF" w14:textId="77777777" w:rsidR="002717B0" w:rsidRPr="005C6774" w:rsidRDefault="002717B0" w:rsidP="00FB3370">
            <w:pPr>
              <w:ind w:left="113" w:right="113"/>
              <w:rPr>
                <w:b/>
              </w:rPr>
            </w:pPr>
          </w:p>
        </w:tc>
        <w:tc>
          <w:tcPr>
            <w:tcW w:w="2141" w:type="dxa"/>
            <w:tcBorders>
              <w:top w:val="nil"/>
              <w:left w:val="nil"/>
              <w:bottom w:val="single" w:sz="4" w:space="0" w:color="auto"/>
              <w:right w:val="nil"/>
            </w:tcBorders>
            <w:vAlign w:val="center"/>
          </w:tcPr>
          <w:p w14:paraId="416849AF" w14:textId="77777777" w:rsidR="002717B0" w:rsidRPr="005C6774" w:rsidRDefault="002717B0" w:rsidP="00FB3370">
            <w:pPr>
              <w:rPr>
                <w:color w:val="000000"/>
              </w:rPr>
            </w:pPr>
            <w:r w:rsidRPr="005C6774">
              <w:rPr>
                <w:color w:val="000000"/>
              </w:rPr>
              <w:t>CYP2C8-inh</w:t>
            </w:r>
          </w:p>
        </w:tc>
        <w:tc>
          <w:tcPr>
            <w:tcW w:w="2537" w:type="dxa"/>
            <w:tcBorders>
              <w:top w:val="nil"/>
              <w:left w:val="nil"/>
              <w:bottom w:val="single" w:sz="4" w:space="0" w:color="auto"/>
              <w:right w:val="nil"/>
            </w:tcBorders>
            <w:vAlign w:val="center"/>
          </w:tcPr>
          <w:p w14:paraId="58DF96D7" w14:textId="77777777" w:rsidR="002717B0" w:rsidRPr="005C6774" w:rsidRDefault="002717B0" w:rsidP="00FB3370">
            <w:pPr>
              <w:rPr>
                <w:color w:val="000000"/>
              </w:rPr>
            </w:pPr>
            <w:r w:rsidRPr="005C6774">
              <w:rPr>
                <w:color w:val="000000"/>
              </w:rPr>
              <w:t>1.000</w:t>
            </w:r>
          </w:p>
        </w:tc>
        <w:tc>
          <w:tcPr>
            <w:tcW w:w="1620" w:type="dxa"/>
            <w:tcBorders>
              <w:top w:val="nil"/>
              <w:left w:val="nil"/>
              <w:bottom w:val="single" w:sz="4" w:space="0" w:color="auto"/>
              <w:right w:val="nil"/>
            </w:tcBorders>
            <w:vAlign w:val="center"/>
          </w:tcPr>
          <w:p w14:paraId="14AA8EE6" w14:textId="77777777" w:rsidR="002717B0" w:rsidRPr="005C6774" w:rsidRDefault="002717B0" w:rsidP="00FB3370">
            <w:pPr>
              <w:rPr>
                <w:color w:val="000000"/>
              </w:rPr>
            </w:pPr>
            <w:r w:rsidRPr="005C6774">
              <w:rPr>
                <w:color w:val="000000"/>
              </w:rPr>
              <w:t>1.000</w:t>
            </w:r>
          </w:p>
        </w:tc>
        <w:tc>
          <w:tcPr>
            <w:tcW w:w="2141" w:type="dxa"/>
            <w:tcBorders>
              <w:top w:val="nil"/>
              <w:left w:val="nil"/>
              <w:bottom w:val="single" w:sz="4" w:space="0" w:color="auto"/>
              <w:right w:val="nil"/>
            </w:tcBorders>
            <w:vAlign w:val="center"/>
          </w:tcPr>
          <w:p w14:paraId="6E38CA65" w14:textId="77777777" w:rsidR="002717B0" w:rsidRPr="005C6774" w:rsidRDefault="002717B0" w:rsidP="00FB3370">
            <w:pPr>
              <w:rPr>
                <w:color w:val="000000"/>
              </w:rPr>
            </w:pPr>
            <w:r w:rsidRPr="005C6774">
              <w:rPr>
                <w:color w:val="000000"/>
              </w:rPr>
              <w:t>0.999</w:t>
            </w:r>
          </w:p>
        </w:tc>
      </w:tr>
      <w:tr w:rsidR="00FB3370" w:rsidRPr="005C6774" w14:paraId="2337445D" w14:textId="77777777" w:rsidTr="00FB3370">
        <w:trPr>
          <w:trHeight w:val="263"/>
        </w:trPr>
        <w:tc>
          <w:tcPr>
            <w:tcW w:w="1262" w:type="dxa"/>
            <w:vMerge w:val="restart"/>
            <w:tcBorders>
              <w:top w:val="single" w:sz="4" w:space="0" w:color="auto"/>
              <w:left w:val="nil"/>
              <w:bottom w:val="single" w:sz="4" w:space="0" w:color="auto"/>
              <w:right w:val="nil"/>
            </w:tcBorders>
            <w:textDirection w:val="btLr"/>
            <w:vAlign w:val="center"/>
          </w:tcPr>
          <w:p w14:paraId="4C40B890" w14:textId="77777777" w:rsidR="00FB3370" w:rsidRPr="005C6774" w:rsidRDefault="00FB3370" w:rsidP="00FB3370">
            <w:pPr>
              <w:ind w:left="113" w:right="113"/>
              <w:rPr>
                <w:b/>
              </w:rPr>
            </w:pPr>
            <w:r w:rsidRPr="005C6774">
              <w:rPr>
                <w:b/>
              </w:rPr>
              <w:t>Excretion</w:t>
            </w:r>
          </w:p>
        </w:tc>
        <w:tc>
          <w:tcPr>
            <w:tcW w:w="2141" w:type="dxa"/>
            <w:tcBorders>
              <w:top w:val="single" w:sz="4" w:space="0" w:color="auto"/>
              <w:left w:val="nil"/>
              <w:bottom w:val="nil"/>
              <w:right w:val="nil"/>
            </w:tcBorders>
            <w:vAlign w:val="center"/>
          </w:tcPr>
          <w:p w14:paraId="69F549F8" w14:textId="77777777" w:rsidR="00FB3370" w:rsidRPr="005C6774" w:rsidRDefault="00FB3370" w:rsidP="00FB3370">
            <w:pPr>
              <w:rPr>
                <w:color w:val="000000"/>
              </w:rPr>
            </w:pPr>
            <w:r w:rsidRPr="005C6774">
              <w:rPr>
                <w:color w:val="000000"/>
              </w:rPr>
              <w:t>cl-plasma</w:t>
            </w:r>
          </w:p>
        </w:tc>
        <w:tc>
          <w:tcPr>
            <w:tcW w:w="2537" w:type="dxa"/>
            <w:tcBorders>
              <w:top w:val="single" w:sz="4" w:space="0" w:color="auto"/>
              <w:left w:val="nil"/>
              <w:bottom w:val="nil"/>
              <w:right w:val="nil"/>
            </w:tcBorders>
            <w:vAlign w:val="center"/>
          </w:tcPr>
          <w:p w14:paraId="0223B140" w14:textId="77777777" w:rsidR="00FB3370" w:rsidRPr="005C6774" w:rsidRDefault="00FB3370" w:rsidP="00FB3370">
            <w:pPr>
              <w:rPr>
                <w:color w:val="000000"/>
              </w:rPr>
            </w:pPr>
            <w:r w:rsidRPr="005C6774">
              <w:rPr>
                <w:color w:val="000000"/>
              </w:rPr>
              <w:t>7.932</w:t>
            </w:r>
          </w:p>
        </w:tc>
        <w:tc>
          <w:tcPr>
            <w:tcW w:w="1620" w:type="dxa"/>
            <w:tcBorders>
              <w:top w:val="single" w:sz="4" w:space="0" w:color="auto"/>
              <w:left w:val="nil"/>
              <w:bottom w:val="nil"/>
              <w:right w:val="nil"/>
            </w:tcBorders>
            <w:vAlign w:val="center"/>
          </w:tcPr>
          <w:p w14:paraId="2E5384EC" w14:textId="77777777" w:rsidR="00FB3370" w:rsidRPr="005C6774" w:rsidRDefault="00FB3370" w:rsidP="00FB3370">
            <w:pPr>
              <w:rPr>
                <w:color w:val="000000"/>
              </w:rPr>
            </w:pPr>
            <w:r w:rsidRPr="005C6774">
              <w:rPr>
                <w:color w:val="000000"/>
              </w:rPr>
              <w:t>1.611</w:t>
            </w:r>
          </w:p>
        </w:tc>
        <w:tc>
          <w:tcPr>
            <w:tcW w:w="2141" w:type="dxa"/>
            <w:tcBorders>
              <w:top w:val="single" w:sz="4" w:space="0" w:color="auto"/>
              <w:left w:val="nil"/>
              <w:bottom w:val="nil"/>
              <w:right w:val="nil"/>
            </w:tcBorders>
            <w:vAlign w:val="center"/>
          </w:tcPr>
          <w:p w14:paraId="551F0CB4" w14:textId="77777777" w:rsidR="00FB3370" w:rsidRPr="005C6774" w:rsidRDefault="00FB3370" w:rsidP="00FB3370">
            <w:pPr>
              <w:rPr>
                <w:color w:val="000000"/>
              </w:rPr>
            </w:pPr>
            <w:r w:rsidRPr="005C6774">
              <w:rPr>
                <w:color w:val="000000"/>
              </w:rPr>
              <w:t>5.939</w:t>
            </w:r>
          </w:p>
        </w:tc>
      </w:tr>
      <w:tr w:rsidR="00FB3370" w:rsidRPr="005C6774" w14:paraId="151C2083" w14:textId="77777777" w:rsidTr="00FB3370">
        <w:trPr>
          <w:trHeight w:val="1001"/>
        </w:trPr>
        <w:tc>
          <w:tcPr>
            <w:tcW w:w="1262" w:type="dxa"/>
            <w:vMerge/>
            <w:tcBorders>
              <w:top w:val="nil"/>
              <w:left w:val="nil"/>
              <w:bottom w:val="single" w:sz="4" w:space="0" w:color="auto"/>
              <w:right w:val="nil"/>
            </w:tcBorders>
            <w:vAlign w:val="center"/>
          </w:tcPr>
          <w:p w14:paraId="1A4657A3" w14:textId="77777777" w:rsidR="00FB3370" w:rsidRPr="005C6774" w:rsidRDefault="00FB3370" w:rsidP="00FB3370"/>
        </w:tc>
        <w:tc>
          <w:tcPr>
            <w:tcW w:w="2141" w:type="dxa"/>
            <w:tcBorders>
              <w:top w:val="nil"/>
              <w:left w:val="nil"/>
              <w:bottom w:val="single" w:sz="4" w:space="0" w:color="auto"/>
              <w:right w:val="nil"/>
            </w:tcBorders>
            <w:vAlign w:val="center"/>
          </w:tcPr>
          <w:p w14:paraId="179CD65E" w14:textId="77777777" w:rsidR="00FB3370" w:rsidRPr="005C6774" w:rsidRDefault="00FB3370" w:rsidP="00FB3370">
            <w:pPr>
              <w:rPr>
                <w:color w:val="000000"/>
              </w:rPr>
            </w:pPr>
            <w:r w:rsidRPr="005C6774">
              <w:rPr>
                <w:color w:val="000000"/>
              </w:rPr>
              <w:t>t0.5</w:t>
            </w:r>
          </w:p>
        </w:tc>
        <w:tc>
          <w:tcPr>
            <w:tcW w:w="2537" w:type="dxa"/>
            <w:tcBorders>
              <w:top w:val="nil"/>
              <w:left w:val="nil"/>
              <w:bottom w:val="single" w:sz="4" w:space="0" w:color="auto"/>
              <w:right w:val="nil"/>
            </w:tcBorders>
            <w:vAlign w:val="center"/>
          </w:tcPr>
          <w:p w14:paraId="76D898EE" w14:textId="77777777" w:rsidR="00FB3370" w:rsidRPr="005C6774" w:rsidRDefault="00FB3370" w:rsidP="00FB3370">
            <w:pPr>
              <w:rPr>
                <w:color w:val="000000"/>
              </w:rPr>
            </w:pPr>
            <w:r w:rsidRPr="005C6774">
              <w:rPr>
                <w:color w:val="000000"/>
              </w:rPr>
              <w:t>0.960</w:t>
            </w:r>
          </w:p>
        </w:tc>
        <w:tc>
          <w:tcPr>
            <w:tcW w:w="1620" w:type="dxa"/>
            <w:tcBorders>
              <w:top w:val="nil"/>
              <w:left w:val="nil"/>
              <w:bottom w:val="single" w:sz="4" w:space="0" w:color="auto"/>
              <w:right w:val="nil"/>
            </w:tcBorders>
            <w:vAlign w:val="center"/>
          </w:tcPr>
          <w:p w14:paraId="6E6FD8EC" w14:textId="77777777" w:rsidR="00FB3370" w:rsidRPr="005C6774" w:rsidRDefault="00FB3370" w:rsidP="00FB3370">
            <w:pPr>
              <w:rPr>
                <w:color w:val="000000"/>
              </w:rPr>
            </w:pPr>
            <w:r w:rsidRPr="005C6774">
              <w:rPr>
                <w:color w:val="000000"/>
              </w:rPr>
              <w:t>4.616</w:t>
            </w:r>
          </w:p>
        </w:tc>
        <w:tc>
          <w:tcPr>
            <w:tcW w:w="2141" w:type="dxa"/>
            <w:tcBorders>
              <w:top w:val="nil"/>
              <w:left w:val="nil"/>
              <w:bottom w:val="single" w:sz="4" w:space="0" w:color="auto"/>
              <w:right w:val="nil"/>
            </w:tcBorders>
            <w:vAlign w:val="center"/>
          </w:tcPr>
          <w:p w14:paraId="53E1B651" w14:textId="77777777" w:rsidR="00FB3370" w:rsidRPr="005C6774" w:rsidRDefault="00FB3370" w:rsidP="00FB3370">
            <w:pPr>
              <w:rPr>
                <w:color w:val="000000"/>
              </w:rPr>
            </w:pPr>
            <w:r w:rsidRPr="005C6774">
              <w:rPr>
                <w:color w:val="000000"/>
              </w:rPr>
              <w:t>1.203</w:t>
            </w:r>
          </w:p>
        </w:tc>
      </w:tr>
    </w:tbl>
    <w:p w14:paraId="73180852" w14:textId="77777777" w:rsidR="00502289" w:rsidRPr="005C6774" w:rsidRDefault="00502289" w:rsidP="00502289">
      <w:pPr>
        <w:spacing w:before="240"/>
        <w:rPr>
          <w:b/>
        </w:rPr>
      </w:pPr>
    </w:p>
    <w:p w14:paraId="7C041D9C" w14:textId="77777777" w:rsidR="00502289" w:rsidRPr="005C6774" w:rsidRDefault="00502289" w:rsidP="00502289">
      <w:pPr>
        <w:spacing w:before="240"/>
        <w:rPr>
          <w:b/>
        </w:rPr>
      </w:pPr>
    </w:p>
    <w:p w14:paraId="44F0D232" w14:textId="77777777" w:rsidR="000B7604" w:rsidRPr="005C6774" w:rsidRDefault="000B7604" w:rsidP="00502289">
      <w:pPr>
        <w:spacing w:before="240"/>
        <w:rPr>
          <w:b/>
        </w:rPr>
      </w:pPr>
    </w:p>
    <w:p w14:paraId="65BCB0FD" w14:textId="77777777" w:rsidR="000B7604" w:rsidRPr="005C6774" w:rsidRDefault="000B7604" w:rsidP="00502289">
      <w:pPr>
        <w:spacing w:before="240"/>
        <w:rPr>
          <w:b/>
        </w:rPr>
      </w:pPr>
    </w:p>
    <w:p w14:paraId="12DEB82C" w14:textId="77777777" w:rsidR="000B7604" w:rsidRPr="005C6774" w:rsidRDefault="000B7604" w:rsidP="00502289">
      <w:pPr>
        <w:spacing w:before="240"/>
        <w:rPr>
          <w:b/>
        </w:rPr>
      </w:pPr>
    </w:p>
    <w:p w14:paraId="054C36CC" w14:textId="77777777" w:rsidR="000B7604" w:rsidRPr="005C6774" w:rsidRDefault="000B7604" w:rsidP="00502289">
      <w:pPr>
        <w:spacing w:before="240"/>
        <w:rPr>
          <w:b/>
        </w:rPr>
      </w:pPr>
    </w:p>
    <w:p w14:paraId="57DED62C" w14:textId="77777777" w:rsidR="000B7604" w:rsidRDefault="001470A9" w:rsidP="00502289">
      <w:pPr>
        <w:spacing w:before="240"/>
        <w:rPr>
          <w:b/>
          <w:i/>
        </w:rPr>
      </w:pPr>
      <w:r w:rsidRPr="005C6774">
        <w:rPr>
          <w:b/>
        </w:rPr>
        <w:lastRenderedPageBreak/>
        <w:t>Table 12</w:t>
      </w:r>
      <w:r w:rsidR="00502289" w:rsidRPr="005C6774">
        <w:rPr>
          <w:b/>
        </w:rPr>
        <w:t>:</w:t>
      </w:r>
      <w:r w:rsidR="00502289" w:rsidRPr="005C6774">
        <w:rPr>
          <w:b/>
        </w:rPr>
        <w:tab/>
        <w:t xml:space="preserve">Physicochemical Properties of the Hit compounds of </w:t>
      </w:r>
      <w:r w:rsidR="00331193" w:rsidRPr="005C6774">
        <w:rPr>
          <w:b/>
          <w:i/>
        </w:rPr>
        <w:t>Brassica oleracea</w:t>
      </w:r>
    </w:p>
    <w:p w14:paraId="1ACB3A51" w14:textId="77777777" w:rsidR="00A62A82" w:rsidRPr="00A62A82" w:rsidRDefault="00A62A82" w:rsidP="00502289">
      <w:pPr>
        <w:spacing w:before="240"/>
        <w:rPr>
          <w:b/>
          <w:i/>
          <w:sz w:val="6"/>
        </w:rPr>
      </w:pPr>
    </w:p>
    <w:tbl>
      <w:tblPr>
        <w:tblStyle w:val="TableGrid"/>
        <w:tblW w:w="900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340"/>
        <w:gridCol w:w="2250"/>
        <w:gridCol w:w="1710"/>
      </w:tblGrid>
      <w:tr w:rsidR="00DC0B3F" w:rsidRPr="005C6774" w14:paraId="10A77255" w14:textId="77777777" w:rsidTr="00FB3370">
        <w:trPr>
          <w:trHeight w:val="280"/>
        </w:trPr>
        <w:tc>
          <w:tcPr>
            <w:tcW w:w="2700" w:type="dxa"/>
            <w:tcBorders>
              <w:top w:val="single" w:sz="4" w:space="0" w:color="auto"/>
              <w:bottom w:val="single" w:sz="4" w:space="0" w:color="auto"/>
            </w:tcBorders>
            <w:vAlign w:val="center"/>
          </w:tcPr>
          <w:p w14:paraId="0188F139" w14:textId="77777777" w:rsidR="00DC0B3F" w:rsidRPr="005C6774" w:rsidRDefault="00DC0B3F" w:rsidP="00FB3370">
            <w:pPr>
              <w:rPr>
                <w:b/>
              </w:rPr>
            </w:pPr>
            <w:r w:rsidRPr="005C6774">
              <w:rPr>
                <w:b/>
              </w:rPr>
              <w:t>Properties</w:t>
            </w:r>
          </w:p>
        </w:tc>
        <w:tc>
          <w:tcPr>
            <w:tcW w:w="2340" w:type="dxa"/>
            <w:tcBorders>
              <w:top w:val="single" w:sz="4" w:space="0" w:color="auto"/>
              <w:bottom w:val="single" w:sz="4" w:space="0" w:color="auto"/>
            </w:tcBorders>
            <w:vAlign w:val="center"/>
          </w:tcPr>
          <w:p w14:paraId="7D9AC93B" w14:textId="77777777" w:rsidR="00DC0B3F" w:rsidRPr="005C6774" w:rsidRDefault="00DC0B3F" w:rsidP="00FB3370">
            <w:pPr>
              <w:rPr>
                <w:b/>
              </w:rPr>
            </w:pPr>
            <w:r w:rsidRPr="005C6774">
              <w:rPr>
                <w:b/>
                <w:shd w:val="clear" w:color="auto" w:fill="FFFFFF"/>
              </w:rPr>
              <w:t>Neoxanthin</w:t>
            </w:r>
          </w:p>
        </w:tc>
        <w:tc>
          <w:tcPr>
            <w:tcW w:w="2250" w:type="dxa"/>
            <w:tcBorders>
              <w:top w:val="single" w:sz="4" w:space="0" w:color="auto"/>
              <w:bottom w:val="single" w:sz="4" w:space="0" w:color="auto"/>
            </w:tcBorders>
            <w:vAlign w:val="center"/>
          </w:tcPr>
          <w:p w14:paraId="3626DF1C" w14:textId="77777777" w:rsidR="00DC0B3F" w:rsidRPr="005C6774" w:rsidRDefault="00DC0B3F" w:rsidP="00FB3370">
            <w:pPr>
              <w:rPr>
                <w:b/>
                <w:bCs/>
                <w:color w:val="000000"/>
              </w:rPr>
            </w:pPr>
            <w:r w:rsidRPr="005C6774">
              <w:rPr>
                <w:b/>
              </w:rPr>
              <w:t>Rutin</w:t>
            </w:r>
          </w:p>
        </w:tc>
        <w:tc>
          <w:tcPr>
            <w:tcW w:w="1710" w:type="dxa"/>
            <w:tcBorders>
              <w:top w:val="single" w:sz="4" w:space="0" w:color="auto"/>
              <w:bottom w:val="single" w:sz="4" w:space="0" w:color="auto"/>
            </w:tcBorders>
            <w:vAlign w:val="center"/>
          </w:tcPr>
          <w:p w14:paraId="0C4A1229" w14:textId="77777777" w:rsidR="00DC0B3F" w:rsidRPr="005C6774" w:rsidRDefault="00DC0B3F" w:rsidP="00FB3370">
            <w:pPr>
              <w:rPr>
                <w:b/>
              </w:rPr>
            </w:pPr>
            <w:r w:rsidRPr="005C6774">
              <w:rPr>
                <w:b/>
              </w:rPr>
              <w:t>Apigenin</w:t>
            </w:r>
          </w:p>
        </w:tc>
      </w:tr>
      <w:tr w:rsidR="009246BD" w:rsidRPr="005C6774" w14:paraId="70A9EE52" w14:textId="77777777" w:rsidTr="00FB3370">
        <w:trPr>
          <w:trHeight w:val="280"/>
        </w:trPr>
        <w:tc>
          <w:tcPr>
            <w:tcW w:w="2700" w:type="dxa"/>
            <w:tcBorders>
              <w:top w:val="single" w:sz="4" w:space="0" w:color="auto"/>
            </w:tcBorders>
            <w:vAlign w:val="center"/>
          </w:tcPr>
          <w:p w14:paraId="02D9ECA4" w14:textId="77777777" w:rsidR="009246BD" w:rsidRPr="005C6774" w:rsidRDefault="009246BD" w:rsidP="00FB3370">
            <w:pPr>
              <w:rPr>
                <w:color w:val="000000"/>
              </w:rPr>
            </w:pPr>
            <w:r w:rsidRPr="005C6774">
              <w:rPr>
                <w:color w:val="000000"/>
              </w:rPr>
              <w:t>Molar weight</w:t>
            </w:r>
          </w:p>
        </w:tc>
        <w:tc>
          <w:tcPr>
            <w:tcW w:w="2340" w:type="dxa"/>
            <w:tcBorders>
              <w:top w:val="single" w:sz="4" w:space="0" w:color="auto"/>
            </w:tcBorders>
            <w:vAlign w:val="center"/>
          </w:tcPr>
          <w:p w14:paraId="7D58072C" w14:textId="77777777" w:rsidR="009246BD" w:rsidRPr="005C6774" w:rsidRDefault="009246BD" w:rsidP="00FB3370">
            <w:pPr>
              <w:rPr>
                <w:color w:val="000000"/>
              </w:rPr>
            </w:pPr>
            <w:r w:rsidRPr="005C6774">
              <w:rPr>
                <w:color w:val="000000"/>
              </w:rPr>
              <w:t>600.420</w:t>
            </w:r>
          </w:p>
        </w:tc>
        <w:tc>
          <w:tcPr>
            <w:tcW w:w="2250" w:type="dxa"/>
            <w:tcBorders>
              <w:top w:val="single" w:sz="4" w:space="0" w:color="auto"/>
            </w:tcBorders>
            <w:vAlign w:val="center"/>
          </w:tcPr>
          <w:p w14:paraId="35181AA6" w14:textId="77777777" w:rsidR="009246BD" w:rsidRPr="005C6774" w:rsidRDefault="009246BD" w:rsidP="00FB3370">
            <w:pPr>
              <w:rPr>
                <w:color w:val="000000"/>
              </w:rPr>
            </w:pPr>
            <w:r w:rsidRPr="005C6774">
              <w:rPr>
                <w:color w:val="000000"/>
              </w:rPr>
              <w:t>610.150</w:t>
            </w:r>
          </w:p>
        </w:tc>
        <w:tc>
          <w:tcPr>
            <w:tcW w:w="1710" w:type="dxa"/>
            <w:tcBorders>
              <w:top w:val="single" w:sz="4" w:space="0" w:color="auto"/>
            </w:tcBorders>
            <w:vAlign w:val="center"/>
          </w:tcPr>
          <w:p w14:paraId="78C31FDA" w14:textId="77777777" w:rsidR="009246BD" w:rsidRPr="005C6774" w:rsidRDefault="009246BD" w:rsidP="00FB3370">
            <w:pPr>
              <w:rPr>
                <w:color w:val="000000"/>
              </w:rPr>
            </w:pPr>
            <w:r w:rsidRPr="005C6774">
              <w:rPr>
                <w:color w:val="000000"/>
              </w:rPr>
              <w:t>270.050</w:t>
            </w:r>
          </w:p>
        </w:tc>
      </w:tr>
      <w:tr w:rsidR="009246BD" w:rsidRPr="005C6774" w14:paraId="2D3C4D8C" w14:textId="77777777" w:rsidTr="00FB3370">
        <w:trPr>
          <w:trHeight w:val="280"/>
        </w:trPr>
        <w:tc>
          <w:tcPr>
            <w:tcW w:w="2700" w:type="dxa"/>
            <w:vAlign w:val="center"/>
          </w:tcPr>
          <w:p w14:paraId="4228B102" w14:textId="77777777" w:rsidR="009246BD" w:rsidRPr="005C6774" w:rsidRDefault="009246BD" w:rsidP="00FB3370">
            <w:pPr>
              <w:rPr>
                <w:color w:val="000000"/>
              </w:rPr>
            </w:pPr>
            <w:r w:rsidRPr="005C6774">
              <w:rPr>
                <w:color w:val="000000"/>
              </w:rPr>
              <w:t>No. HB Acceptor</w:t>
            </w:r>
          </w:p>
        </w:tc>
        <w:tc>
          <w:tcPr>
            <w:tcW w:w="2340" w:type="dxa"/>
            <w:vAlign w:val="center"/>
          </w:tcPr>
          <w:p w14:paraId="2E1B5EE3" w14:textId="77777777" w:rsidR="009246BD" w:rsidRPr="005C6774" w:rsidRDefault="009246BD" w:rsidP="00FB3370">
            <w:pPr>
              <w:rPr>
                <w:color w:val="000000"/>
              </w:rPr>
            </w:pPr>
            <w:r w:rsidRPr="005C6774">
              <w:rPr>
                <w:color w:val="000000"/>
              </w:rPr>
              <w:t>4.000</w:t>
            </w:r>
          </w:p>
        </w:tc>
        <w:tc>
          <w:tcPr>
            <w:tcW w:w="2250" w:type="dxa"/>
            <w:vAlign w:val="center"/>
          </w:tcPr>
          <w:p w14:paraId="6B13F70A" w14:textId="77777777" w:rsidR="009246BD" w:rsidRPr="005C6774" w:rsidRDefault="009246BD" w:rsidP="00FB3370">
            <w:pPr>
              <w:rPr>
                <w:color w:val="000000"/>
              </w:rPr>
            </w:pPr>
            <w:r w:rsidRPr="005C6774">
              <w:rPr>
                <w:color w:val="000000"/>
              </w:rPr>
              <w:t>16.000</w:t>
            </w:r>
          </w:p>
        </w:tc>
        <w:tc>
          <w:tcPr>
            <w:tcW w:w="1710" w:type="dxa"/>
            <w:vAlign w:val="center"/>
          </w:tcPr>
          <w:p w14:paraId="77F92CE5" w14:textId="77777777" w:rsidR="009246BD" w:rsidRPr="005C6774" w:rsidRDefault="009246BD" w:rsidP="00FB3370">
            <w:pPr>
              <w:rPr>
                <w:color w:val="000000"/>
              </w:rPr>
            </w:pPr>
            <w:r w:rsidRPr="005C6774">
              <w:rPr>
                <w:color w:val="000000"/>
              </w:rPr>
              <w:t>5.000</w:t>
            </w:r>
          </w:p>
        </w:tc>
      </w:tr>
      <w:tr w:rsidR="009246BD" w:rsidRPr="005C6774" w14:paraId="5E1C048F" w14:textId="77777777" w:rsidTr="00FB3370">
        <w:trPr>
          <w:trHeight w:val="280"/>
        </w:trPr>
        <w:tc>
          <w:tcPr>
            <w:tcW w:w="2700" w:type="dxa"/>
            <w:vAlign w:val="center"/>
          </w:tcPr>
          <w:p w14:paraId="7D77AD2D" w14:textId="77777777" w:rsidR="009246BD" w:rsidRPr="005C6774" w:rsidRDefault="009246BD" w:rsidP="00FB3370">
            <w:pPr>
              <w:rPr>
                <w:color w:val="000000"/>
              </w:rPr>
            </w:pPr>
            <w:r w:rsidRPr="005C6774">
              <w:rPr>
                <w:color w:val="000000"/>
              </w:rPr>
              <w:t>No. HB Donor</w:t>
            </w:r>
          </w:p>
        </w:tc>
        <w:tc>
          <w:tcPr>
            <w:tcW w:w="2340" w:type="dxa"/>
            <w:vAlign w:val="center"/>
          </w:tcPr>
          <w:p w14:paraId="733B95D3" w14:textId="77777777" w:rsidR="009246BD" w:rsidRPr="005C6774" w:rsidRDefault="009246BD" w:rsidP="00FB3370">
            <w:pPr>
              <w:rPr>
                <w:color w:val="000000"/>
              </w:rPr>
            </w:pPr>
            <w:r w:rsidRPr="005C6774">
              <w:rPr>
                <w:color w:val="000000"/>
              </w:rPr>
              <w:t>3.000</w:t>
            </w:r>
          </w:p>
        </w:tc>
        <w:tc>
          <w:tcPr>
            <w:tcW w:w="2250" w:type="dxa"/>
            <w:vAlign w:val="center"/>
          </w:tcPr>
          <w:p w14:paraId="4FEFB0DE" w14:textId="77777777" w:rsidR="009246BD" w:rsidRPr="005C6774" w:rsidRDefault="009246BD" w:rsidP="00FB3370">
            <w:pPr>
              <w:rPr>
                <w:color w:val="000000"/>
              </w:rPr>
            </w:pPr>
            <w:r w:rsidRPr="005C6774">
              <w:rPr>
                <w:color w:val="000000"/>
              </w:rPr>
              <w:t>10.000</w:t>
            </w:r>
          </w:p>
        </w:tc>
        <w:tc>
          <w:tcPr>
            <w:tcW w:w="1710" w:type="dxa"/>
            <w:vAlign w:val="center"/>
          </w:tcPr>
          <w:p w14:paraId="3961202C" w14:textId="77777777" w:rsidR="009246BD" w:rsidRPr="005C6774" w:rsidRDefault="009246BD" w:rsidP="00FB3370">
            <w:pPr>
              <w:rPr>
                <w:color w:val="000000"/>
              </w:rPr>
            </w:pPr>
            <w:r w:rsidRPr="005C6774">
              <w:rPr>
                <w:color w:val="000000"/>
              </w:rPr>
              <w:t>3.000</w:t>
            </w:r>
          </w:p>
        </w:tc>
      </w:tr>
      <w:tr w:rsidR="009246BD" w:rsidRPr="005C6774" w14:paraId="3C2526E8" w14:textId="77777777" w:rsidTr="00FB3370">
        <w:trPr>
          <w:trHeight w:val="280"/>
        </w:trPr>
        <w:tc>
          <w:tcPr>
            <w:tcW w:w="2700" w:type="dxa"/>
            <w:vAlign w:val="center"/>
          </w:tcPr>
          <w:p w14:paraId="73E7D436" w14:textId="77777777" w:rsidR="009246BD" w:rsidRPr="005C6774" w:rsidRDefault="009246BD" w:rsidP="00FB3370">
            <w:pPr>
              <w:rPr>
                <w:color w:val="000000"/>
              </w:rPr>
            </w:pPr>
            <w:r w:rsidRPr="005C6774">
              <w:rPr>
                <w:color w:val="000000"/>
              </w:rPr>
              <w:t>TPSA</w:t>
            </w:r>
          </w:p>
        </w:tc>
        <w:tc>
          <w:tcPr>
            <w:tcW w:w="2340" w:type="dxa"/>
            <w:vAlign w:val="center"/>
          </w:tcPr>
          <w:p w14:paraId="1FC51BE6" w14:textId="77777777" w:rsidR="009246BD" w:rsidRPr="005C6774" w:rsidRDefault="009246BD" w:rsidP="00FB3370">
            <w:pPr>
              <w:rPr>
                <w:color w:val="000000"/>
              </w:rPr>
            </w:pPr>
            <w:r w:rsidRPr="005C6774">
              <w:rPr>
                <w:color w:val="000000"/>
              </w:rPr>
              <w:t>73.220</w:t>
            </w:r>
          </w:p>
        </w:tc>
        <w:tc>
          <w:tcPr>
            <w:tcW w:w="2250" w:type="dxa"/>
            <w:vAlign w:val="center"/>
          </w:tcPr>
          <w:p w14:paraId="67CBF8D4" w14:textId="77777777" w:rsidR="009246BD" w:rsidRPr="005C6774" w:rsidRDefault="009246BD" w:rsidP="00FB3370">
            <w:pPr>
              <w:rPr>
                <w:color w:val="000000"/>
              </w:rPr>
            </w:pPr>
            <w:r w:rsidRPr="005C6774">
              <w:rPr>
                <w:color w:val="000000"/>
              </w:rPr>
              <w:t>269.430</w:t>
            </w:r>
          </w:p>
        </w:tc>
        <w:tc>
          <w:tcPr>
            <w:tcW w:w="1710" w:type="dxa"/>
            <w:vAlign w:val="center"/>
          </w:tcPr>
          <w:p w14:paraId="1715D8A6" w14:textId="77777777" w:rsidR="009246BD" w:rsidRPr="005C6774" w:rsidRDefault="009246BD" w:rsidP="00FB3370">
            <w:pPr>
              <w:rPr>
                <w:color w:val="000000"/>
              </w:rPr>
            </w:pPr>
            <w:r w:rsidRPr="005C6774">
              <w:rPr>
                <w:color w:val="000000"/>
              </w:rPr>
              <w:t>90.900</w:t>
            </w:r>
          </w:p>
        </w:tc>
      </w:tr>
      <w:tr w:rsidR="009246BD" w:rsidRPr="005C6774" w14:paraId="591FC32F" w14:textId="77777777" w:rsidTr="00FB3370">
        <w:trPr>
          <w:trHeight w:val="280"/>
        </w:trPr>
        <w:tc>
          <w:tcPr>
            <w:tcW w:w="2700" w:type="dxa"/>
            <w:vAlign w:val="center"/>
          </w:tcPr>
          <w:p w14:paraId="78525A82" w14:textId="77777777" w:rsidR="009246BD" w:rsidRPr="005C6774" w:rsidRDefault="00A62A82" w:rsidP="00FB3370">
            <w:pPr>
              <w:rPr>
                <w:color w:val="000000"/>
              </w:rPr>
            </w:pPr>
            <w:proofErr w:type="spellStart"/>
            <w:r w:rsidRPr="005C6774">
              <w:rPr>
                <w:color w:val="000000"/>
              </w:rPr>
              <w:t>L</w:t>
            </w:r>
            <w:r w:rsidR="009246BD" w:rsidRPr="005C6774">
              <w:rPr>
                <w:color w:val="000000"/>
              </w:rPr>
              <w:t>ogP</w:t>
            </w:r>
            <w:proofErr w:type="spellEnd"/>
          </w:p>
        </w:tc>
        <w:tc>
          <w:tcPr>
            <w:tcW w:w="2340" w:type="dxa"/>
            <w:vAlign w:val="center"/>
          </w:tcPr>
          <w:p w14:paraId="0A673154" w14:textId="77777777" w:rsidR="009246BD" w:rsidRPr="005C6774" w:rsidRDefault="009246BD" w:rsidP="00FB3370">
            <w:pPr>
              <w:rPr>
                <w:color w:val="000000"/>
              </w:rPr>
            </w:pPr>
            <w:r w:rsidRPr="005C6774">
              <w:rPr>
                <w:color w:val="000000"/>
              </w:rPr>
              <w:t>5.226</w:t>
            </w:r>
          </w:p>
        </w:tc>
        <w:tc>
          <w:tcPr>
            <w:tcW w:w="2250" w:type="dxa"/>
            <w:vAlign w:val="center"/>
          </w:tcPr>
          <w:p w14:paraId="33DC1FFC" w14:textId="77777777" w:rsidR="009246BD" w:rsidRPr="005C6774" w:rsidRDefault="009246BD" w:rsidP="00FB3370">
            <w:pPr>
              <w:rPr>
                <w:color w:val="000000"/>
              </w:rPr>
            </w:pPr>
            <w:r w:rsidRPr="005C6774">
              <w:rPr>
                <w:color w:val="000000"/>
              </w:rPr>
              <w:t>0.986</w:t>
            </w:r>
          </w:p>
        </w:tc>
        <w:tc>
          <w:tcPr>
            <w:tcW w:w="1710" w:type="dxa"/>
            <w:vAlign w:val="center"/>
          </w:tcPr>
          <w:p w14:paraId="1EC3D06E" w14:textId="77777777" w:rsidR="009246BD" w:rsidRPr="005C6774" w:rsidRDefault="009246BD" w:rsidP="00FB3370">
            <w:pPr>
              <w:rPr>
                <w:color w:val="000000"/>
              </w:rPr>
            </w:pPr>
            <w:r w:rsidRPr="005C6774">
              <w:rPr>
                <w:color w:val="000000"/>
              </w:rPr>
              <w:t>2.981</w:t>
            </w:r>
          </w:p>
        </w:tc>
      </w:tr>
      <w:tr w:rsidR="009246BD" w:rsidRPr="005C6774" w14:paraId="626F8103" w14:textId="77777777" w:rsidTr="00FB3370">
        <w:trPr>
          <w:trHeight w:val="73"/>
        </w:trPr>
        <w:tc>
          <w:tcPr>
            <w:tcW w:w="2700" w:type="dxa"/>
            <w:tcBorders>
              <w:bottom w:val="nil"/>
            </w:tcBorders>
            <w:vAlign w:val="center"/>
          </w:tcPr>
          <w:p w14:paraId="328FB6E5" w14:textId="77777777" w:rsidR="009246BD" w:rsidRPr="005C6774" w:rsidRDefault="009246BD" w:rsidP="00FB3370">
            <w:r w:rsidRPr="005C6774">
              <w:t>Flexibility</w:t>
            </w:r>
          </w:p>
        </w:tc>
        <w:tc>
          <w:tcPr>
            <w:tcW w:w="2340" w:type="dxa"/>
            <w:tcBorders>
              <w:bottom w:val="nil"/>
            </w:tcBorders>
            <w:vAlign w:val="center"/>
          </w:tcPr>
          <w:p w14:paraId="4E683A58" w14:textId="77777777" w:rsidR="009246BD" w:rsidRPr="005C6774" w:rsidRDefault="009246BD" w:rsidP="00FB3370">
            <w:pPr>
              <w:rPr>
                <w:color w:val="000000"/>
              </w:rPr>
            </w:pPr>
            <w:r w:rsidRPr="005C6774">
              <w:rPr>
                <w:color w:val="000000"/>
              </w:rPr>
              <w:t>0.375</w:t>
            </w:r>
          </w:p>
        </w:tc>
        <w:tc>
          <w:tcPr>
            <w:tcW w:w="2250" w:type="dxa"/>
            <w:tcBorders>
              <w:bottom w:val="nil"/>
            </w:tcBorders>
            <w:vAlign w:val="center"/>
          </w:tcPr>
          <w:p w14:paraId="0F9322EE" w14:textId="77777777" w:rsidR="009246BD" w:rsidRPr="005C6774" w:rsidRDefault="009246BD" w:rsidP="00FB3370">
            <w:pPr>
              <w:rPr>
                <w:color w:val="000000"/>
              </w:rPr>
            </w:pPr>
            <w:r w:rsidRPr="005C6774">
              <w:rPr>
                <w:color w:val="000000"/>
              </w:rPr>
              <w:t>0.200</w:t>
            </w:r>
          </w:p>
        </w:tc>
        <w:tc>
          <w:tcPr>
            <w:tcW w:w="1710" w:type="dxa"/>
            <w:tcBorders>
              <w:bottom w:val="nil"/>
            </w:tcBorders>
            <w:vAlign w:val="center"/>
          </w:tcPr>
          <w:p w14:paraId="1AAFB996" w14:textId="77777777" w:rsidR="009246BD" w:rsidRPr="005C6774" w:rsidRDefault="009246BD" w:rsidP="00FB3370">
            <w:pPr>
              <w:rPr>
                <w:color w:val="000000"/>
              </w:rPr>
            </w:pPr>
            <w:r w:rsidRPr="005C6774">
              <w:rPr>
                <w:color w:val="000000"/>
              </w:rPr>
              <w:t>0.056</w:t>
            </w:r>
          </w:p>
        </w:tc>
      </w:tr>
      <w:tr w:rsidR="009246BD" w:rsidRPr="005C6774" w14:paraId="6FE78214" w14:textId="77777777" w:rsidTr="00FB3370">
        <w:trPr>
          <w:trHeight w:val="280"/>
        </w:trPr>
        <w:tc>
          <w:tcPr>
            <w:tcW w:w="2700" w:type="dxa"/>
            <w:tcBorders>
              <w:top w:val="nil"/>
              <w:bottom w:val="single" w:sz="4" w:space="0" w:color="auto"/>
            </w:tcBorders>
            <w:vAlign w:val="center"/>
          </w:tcPr>
          <w:p w14:paraId="6AB541E7" w14:textId="77777777" w:rsidR="009246BD" w:rsidRPr="005C6774" w:rsidRDefault="009246BD" w:rsidP="00FB3370">
            <w:r w:rsidRPr="005C6774">
              <w:t>No. Rotatable H.</w:t>
            </w:r>
          </w:p>
        </w:tc>
        <w:tc>
          <w:tcPr>
            <w:tcW w:w="2340" w:type="dxa"/>
            <w:tcBorders>
              <w:top w:val="nil"/>
              <w:bottom w:val="single" w:sz="4" w:space="0" w:color="auto"/>
            </w:tcBorders>
            <w:vAlign w:val="center"/>
          </w:tcPr>
          <w:p w14:paraId="46AE37C0" w14:textId="77777777" w:rsidR="009246BD" w:rsidRPr="005C6774" w:rsidRDefault="009246BD" w:rsidP="00FB3370">
            <w:pPr>
              <w:rPr>
                <w:color w:val="000000"/>
              </w:rPr>
            </w:pPr>
            <w:r w:rsidRPr="005C6774">
              <w:rPr>
                <w:color w:val="000000"/>
              </w:rPr>
              <w:t>9.000</w:t>
            </w:r>
          </w:p>
        </w:tc>
        <w:tc>
          <w:tcPr>
            <w:tcW w:w="2250" w:type="dxa"/>
            <w:tcBorders>
              <w:top w:val="nil"/>
              <w:bottom w:val="single" w:sz="4" w:space="0" w:color="auto"/>
            </w:tcBorders>
            <w:vAlign w:val="center"/>
          </w:tcPr>
          <w:p w14:paraId="249D8BC1" w14:textId="77777777" w:rsidR="009246BD" w:rsidRPr="005C6774" w:rsidRDefault="009246BD" w:rsidP="00FB3370">
            <w:pPr>
              <w:rPr>
                <w:color w:val="000000"/>
              </w:rPr>
            </w:pPr>
            <w:r w:rsidRPr="005C6774">
              <w:rPr>
                <w:color w:val="000000"/>
              </w:rPr>
              <w:t>6.000</w:t>
            </w:r>
          </w:p>
        </w:tc>
        <w:tc>
          <w:tcPr>
            <w:tcW w:w="1710" w:type="dxa"/>
            <w:tcBorders>
              <w:top w:val="nil"/>
              <w:bottom w:val="single" w:sz="4" w:space="0" w:color="auto"/>
            </w:tcBorders>
            <w:vAlign w:val="center"/>
          </w:tcPr>
          <w:p w14:paraId="4B073E22" w14:textId="77777777" w:rsidR="009246BD" w:rsidRPr="005C6774" w:rsidRDefault="009246BD" w:rsidP="00FB3370">
            <w:pPr>
              <w:rPr>
                <w:color w:val="000000"/>
              </w:rPr>
            </w:pPr>
            <w:r w:rsidRPr="005C6774">
              <w:rPr>
                <w:color w:val="000000"/>
              </w:rPr>
              <w:t>1.000</w:t>
            </w:r>
          </w:p>
        </w:tc>
      </w:tr>
    </w:tbl>
    <w:p w14:paraId="1F763067" w14:textId="77777777" w:rsidR="00502289" w:rsidRPr="005C6774" w:rsidRDefault="001470A9" w:rsidP="00502289">
      <w:pPr>
        <w:spacing w:before="240"/>
        <w:rPr>
          <w:b/>
        </w:rPr>
      </w:pPr>
      <w:r w:rsidRPr="005C6774">
        <w:rPr>
          <w:b/>
        </w:rPr>
        <w:t>Table 13</w:t>
      </w:r>
      <w:r w:rsidR="00502289" w:rsidRPr="005C6774">
        <w:rPr>
          <w:b/>
        </w:rPr>
        <w:t>:</w:t>
      </w:r>
      <w:r w:rsidR="00502289" w:rsidRPr="005C6774">
        <w:rPr>
          <w:b/>
        </w:rPr>
        <w:tab/>
        <w:t xml:space="preserve">Toxicity Properties of the Hit compounds of </w:t>
      </w:r>
      <w:r w:rsidR="00331193" w:rsidRPr="005C6774">
        <w:rPr>
          <w:b/>
          <w:i/>
        </w:rPr>
        <w:t>Brassica oleracea</w:t>
      </w:r>
    </w:p>
    <w:tbl>
      <w:tblPr>
        <w:tblStyle w:val="TableGrid"/>
        <w:tblW w:w="8934"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08"/>
        <w:gridCol w:w="2136"/>
        <w:gridCol w:w="1845"/>
        <w:gridCol w:w="1845"/>
      </w:tblGrid>
      <w:tr w:rsidR="00DC0B3F" w:rsidRPr="005C6774" w14:paraId="2C823807" w14:textId="77777777" w:rsidTr="00FB3370">
        <w:trPr>
          <w:trHeight w:val="372"/>
        </w:trPr>
        <w:tc>
          <w:tcPr>
            <w:tcW w:w="3108" w:type="dxa"/>
            <w:tcBorders>
              <w:top w:val="single" w:sz="4" w:space="0" w:color="auto"/>
              <w:bottom w:val="single" w:sz="4" w:space="0" w:color="auto"/>
            </w:tcBorders>
            <w:vAlign w:val="center"/>
          </w:tcPr>
          <w:p w14:paraId="142BB211" w14:textId="77777777" w:rsidR="00DC0B3F" w:rsidRPr="005C6774" w:rsidRDefault="00DC0B3F" w:rsidP="00FB3370">
            <w:pPr>
              <w:rPr>
                <w:b/>
              </w:rPr>
            </w:pPr>
            <w:r w:rsidRPr="005C6774">
              <w:rPr>
                <w:b/>
              </w:rPr>
              <w:t>Properties</w:t>
            </w:r>
          </w:p>
        </w:tc>
        <w:tc>
          <w:tcPr>
            <w:tcW w:w="2136" w:type="dxa"/>
            <w:tcBorders>
              <w:top w:val="single" w:sz="4" w:space="0" w:color="auto"/>
              <w:bottom w:val="single" w:sz="4" w:space="0" w:color="auto"/>
            </w:tcBorders>
            <w:vAlign w:val="center"/>
          </w:tcPr>
          <w:p w14:paraId="6B5AF710" w14:textId="77777777" w:rsidR="00DC0B3F" w:rsidRPr="005C6774" w:rsidRDefault="00DC0B3F" w:rsidP="00FB3370">
            <w:pPr>
              <w:rPr>
                <w:b/>
              </w:rPr>
            </w:pPr>
            <w:r w:rsidRPr="005C6774">
              <w:rPr>
                <w:b/>
                <w:shd w:val="clear" w:color="auto" w:fill="FFFFFF"/>
              </w:rPr>
              <w:t>Neoxanthin</w:t>
            </w:r>
          </w:p>
        </w:tc>
        <w:tc>
          <w:tcPr>
            <w:tcW w:w="1845" w:type="dxa"/>
            <w:tcBorders>
              <w:top w:val="single" w:sz="4" w:space="0" w:color="auto"/>
              <w:bottom w:val="single" w:sz="4" w:space="0" w:color="auto"/>
            </w:tcBorders>
            <w:vAlign w:val="center"/>
          </w:tcPr>
          <w:p w14:paraId="1BC50631" w14:textId="77777777" w:rsidR="00DC0B3F" w:rsidRPr="005C6774" w:rsidRDefault="00DC0B3F" w:rsidP="00FB3370">
            <w:pPr>
              <w:rPr>
                <w:b/>
                <w:bCs/>
                <w:color w:val="000000"/>
              </w:rPr>
            </w:pPr>
            <w:r w:rsidRPr="005C6774">
              <w:rPr>
                <w:b/>
              </w:rPr>
              <w:t>Rutin</w:t>
            </w:r>
          </w:p>
        </w:tc>
        <w:tc>
          <w:tcPr>
            <w:tcW w:w="1845" w:type="dxa"/>
            <w:tcBorders>
              <w:top w:val="single" w:sz="4" w:space="0" w:color="auto"/>
              <w:bottom w:val="single" w:sz="4" w:space="0" w:color="auto"/>
            </w:tcBorders>
            <w:vAlign w:val="center"/>
          </w:tcPr>
          <w:p w14:paraId="708B567F" w14:textId="77777777" w:rsidR="00DC0B3F" w:rsidRPr="005C6774" w:rsidRDefault="00DC0B3F" w:rsidP="00FB3370">
            <w:pPr>
              <w:rPr>
                <w:b/>
              </w:rPr>
            </w:pPr>
            <w:r w:rsidRPr="005C6774">
              <w:rPr>
                <w:b/>
              </w:rPr>
              <w:t>Apigenin</w:t>
            </w:r>
          </w:p>
        </w:tc>
      </w:tr>
      <w:tr w:rsidR="00DE508C" w:rsidRPr="005C6774" w14:paraId="1F750C6B" w14:textId="77777777" w:rsidTr="00FB3370">
        <w:trPr>
          <w:trHeight w:val="278"/>
        </w:trPr>
        <w:tc>
          <w:tcPr>
            <w:tcW w:w="3108" w:type="dxa"/>
            <w:tcBorders>
              <w:top w:val="single" w:sz="4" w:space="0" w:color="auto"/>
            </w:tcBorders>
            <w:vAlign w:val="center"/>
          </w:tcPr>
          <w:p w14:paraId="1AAC41FB" w14:textId="77777777" w:rsidR="00DE508C" w:rsidRPr="005C6774" w:rsidRDefault="00DE508C" w:rsidP="00FB3370">
            <w:pPr>
              <w:rPr>
                <w:bCs/>
                <w:color w:val="000000"/>
              </w:rPr>
            </w:pPr>
            <w:r w:rsidRPr="005C6774">
              <w:rPr>
                <w:bCs/>
                <w:color w:val="000000"/>
              </w:rPr>
              <w:t>Skin Sensitization</w:t>
            </w:r>
          </w:p>
        </w:tc>
        <w:tc>
          <w:tcPr>
            <w:tcW w:w="2136" w:type="dxa"/>
            <w:tcBorders>
              <w:top w:val="single" w:sz="4" w:space="0" w:color="auto"/>
            </w:tcBorders>
            <w:vAlign w:val="center"/>
          </w:tcPr>
          <w:p w14:paraId="5D6C0110" w14:textId="77777777" w:rsidR="00DE508C" w:rsidRPr="005C6774" w:rsidRDefault="00DE508C" w:rsidP="00FB3370">
            <w:pPr>
              <w:rPr>
                <w:color w:val="000000"/>
              </w:rPr>
            </w:pPr>
            <w:r w:rsidRPr="005C6774">
              <w:rPr>
                <w:color w:val="000000"/>
              </w:rPr>
              <w:t>0.999</w:t>
            </w:r>
          </w:p>
        </w:tc>
        <w:tc>
          <w:tcPr>
            <w:tcW w:w="1845" w:type="dxa"/>
            <w:tcBorders>
              <w:top w:val="single" w:sz="4" w:space="0" w:color="auto"/>
            </w:tcBorders>
            <w:vAlign w:val="center"/>
          </w:tcPr>
          <w:p w14:paraId="1371BC93" w14:textId="77777777" w:rsidR="00DE508C" w:rsidRPr="005C6774" w:rsidRDefault="00DE508C" w:rsidP="00FB3370">
            <w:pPr>
              <w:rPr>
                <w:color w:val="000000"/>
              </w:rPr>
            </w:pPr>
            <w:r w:rsidRPr="005C6774">
              <w:rPr>
                <w:color w:val="000000"/>
              </w:rPr>
              <w:t>0.997</w:t>
            </w:r>
          </w:p>
        </w:tc>
        <w:tc>
          <w:tcPr>
            <w:tcW w:w="1845" w:type="dxa"/>
            <w:tcBorders>
              <w:top w:val="single" w:sz="4" w:space="0" w:color="auto"/>
            </w:tcBorders>
            <w:vAlign w:val="center"/>
          </w:tcPr>
          <w:p w14:paraId="0D5C0D40" w14:textId="77777777" w:rsidR="00DE508C" w:rsidRPr="005C6774" w:rsidRDefault="00DE508C" w:rsidP="00FB3370">
            <w:pPr>
              <w:rPr>
                <w:color w:val="000000"/>
              </w:rPr>
            </w:pPr>
            <w:r w:rsidRPr="005C6774">
              <w:rPr>
                <w:color w:val="000000"/>
              </w:rPr>
              <w:t>0.645</w:t>
            </w:r>
          </w:p>
        </w:tc>
      </w:tr>
      <w:tr w:rsidR="00DE508C" w:rsidRPr="005C6774" w14:paraId="7C2F5158" w14:textId="77777777" w:rsidTr="00FB3370">
        <w:trPr>
          <w:trHeight w:val="278"/>
        </w:trPr>
        <w:tc>
          <w:tcPr>
            <w:tcW w:w="3108" w:type="dxa"/>
            <w:vAlign w:val="center"/>
          </w:tcPr>
          <w:p w14:paraId="686A393D" w14:textId="77777777" w:rsidR="00DE508C" w:rsidRPr="005C6774" w:rsidRDefault="00DE508C" w:rsidP="00FB3370">
            <w:pPr>
              <w:rPr>
                <w:bCs/>
                <w:color w:val="000000"/>
              </w:rPr>
            </w:pPr>
            <w:r w:rsidRPr="005C6774">
              <w:rPr>
                <w:bCs/>
                <w:color w:val="000000"/>
              </w:rPr>
              <w:t>Carcinogenicity</w:t>
            </w:r>
          </w:p>
        </w:tc>
        <w:tc>
          <w:tcPr>
            <w:tcW w:w="2136" w:type="dxa"/>
            <w:vAlign w:val="center"/>
          </w:tcPr>
          <w:p w14:paraId="4E22C73B" w14:textId="77777777" w:rsidR="00DE508C" w:rsidRPr="005C6774" w:rsidRDefault="00DE508C" w:rsidP="00FB3370">
            <w:pPr>
              <w:rPr>
                <w:color w:val="000000"/>
              </w:rPr>
            </w:pPr>
            <w:r w:rsidRPr="005C6774">
              <w:rPr>
                <w:color w:val="000000"/>
              </w:rPr>
              <w:t>0.923</w:t>
            </w:r>
          </w:p>
        </w:tc>
        <w:tc>
          <w:tcPr>
            <w:tcW w:w="1845" w:type="dxa"/>
            <w:vAlign w:val="center"/>
          </w:tcPr>
          <w:p w14:paraId="2741F5C1" w14:textId="77777777" w:rsidR="00DE508C" w:rsidRPr="005C6774" w:rsidRDefault="00DE508C" w:rsidP="00FB3370">
            <w:pPr>
              <w:rPr>
                <w:color w:val="000000"/>
              </w:rPr>
            </w:pPr>
            <w:r w:rsidRPr="005C6774">
              <w:rPr>
                <w:color w:val="000000"/>
              </w:rPr>
              <w:t>0.047</w:t>
            </w:r>
          </w:p>
        </w:tc>
        <w:tc>
          <w:tcPr>
            <w:tcW w:w="1845" w:type="dxa"/>
            <w:vAlign w:val="center"/>
          </w:tcPr>
          <w:p w14:paraId="287DC65B" w14:textId="77777777" w:rsidR="00DE508C" w:rsidRPr="005C6774" w:rsidRDefault="00DE508C" w:rsidP="00FB3370">
            <w:pPr>
              <w:rPr>
                <w:color w:val="000000"/>
              </w:rPr>
            </w:pPr>
            <w:r w:rsidRPr="005C6774">
              <w:rPr>
                <w:color w:val="000000"/>
              </w:rPr>
              <w:t>0.793</w:t>
            </w:r>
          </w:p>
        </w:tc>
      </w:tr>
      <w:tr w:rsidR="00DE508C" w:rsidRPr="005C6774" w14:paraId="492C050A" w14:textId="77777777" w:rsidTr="00FB3370">
        <w:trPr>
          <w:trHeight w:val="278"/>
        </w:trPr>
        <w:tc>
          <w:tcPr>
            <w:tcW w:w="3108" w:type="dxa"/>
            <w:vAlign w:val="center"/>
          </w:tcPr>
          <w:p w14:paraId="3E509754" w14:textId="77777777" w:rsidR="00DE508C" w:rsidRPr="005C6774" w:rsidRDefault="00DE508C" w:rsidP="00FB3370">
            <w:pPr>
              <w:rPr>
                <w:bCs/>
                <w:color w:val="000000"/>
              </w:rPr>
            </w:pPr>
            <w:r w:rsidRPr="005C6774">
              <w:rPr>
                <w:bCs/>
                <w:color w:val="000000"/>
              </w:rPr>
              <w:t>Eye corrosion</w:t>
            </w:r>
          </w:p>
        </w:tc>
        <w:tc>
          <w:tcPr>
            <w:tcW w:w="2136" w:type="dxa"/>
            <w:vAlign w:val="center"/>
          </w:tcPr>
          <w:p w14:paraId="34CA3CD2" w14:textId="77777777" w:rsidR="00DE508C" w:rsidRPr="005C6774" w:rsidRDefault="00DE508C" w:rsidP="00FB3370">
            <w:pPr>
              <w:rPr>
                <w:color w:val="000000"/>
              </w:rPr>
            </w:pPr>
            <w:r w:rsidRPr="005C6774">
              <w:rPr>
                <w:color w:val="000000"/>
              </w:rPr>
              <w:t>0.000</w:t>
            </w:r>
          </w:p>
        </w:tc>
        <w:tc>
          <w:tcPr>
            <w:tcW w:w="1845" w:type="dxa"/>
            <w:vAlign w:val="center"/>
          </w:tcPr>
          <w:p w14:paraId="4D8C0CD2" w14:textId="77777777" w:rsidR="00DE508C" w:rsidRPr="005C6774" w:rsidRDefault="00DE508C" w:rsidP="00FB3370">
            <w:pPr>
              <w:rPr>
                <w:color w:val="000000"/>
              </w:rPr>
            </w:pPr>
            <w:r w:rsidRPr="005C6774">
              <w:rPr>
                <w:color w:val="000000"/>
              </w:rPr>
              <w:t>0.000</w:t>
            </w:r>
          </w:p>
        </w:tc>
        <w:tc>
          <w:tcPr>
            <w:tcW w:w="1845" w:type="dxa"/>
            <w:vAlign w:val="center"/>
          </w:tcPr>
          <w:p w14:paraId="10D4A78A" w14:textId="77777777" w:rsidR="00DE508C" w:rsidRPr="005C6774" w:rsidRDefault="00DE508C" w:rsidP="00FB3370">
            <w:pPr>
              <w:rPr>
                <w:color w:val="000000"/>
              </w:rPr>
            </w:pPr>
            <w:r w:rsidRPr="005C6774">
              <w:rPr>
                <w:color w:val="000000"/>
              </w:rPr>
              <w:t>0.371</w:t>
            </w:r>
          </w:p>
        </w:tc>
      </w:tr>
      <w:tr w:rsidR="00DE508C" w:rsidRPr="005C6774" w14:paraId="1215CBE1" w14:textId="77777777" w:rsidTr="00FB3370">
        <w:trPr>
          <w:trHeight w:val="278"/>
        </w:trPr>
        <w:tc>
          <w:tcPr>
            <w:tcW w:w="3108" w:type="dxa"/>
            <w:vAlign w:val="center"/>
          </w:tcPr>
          <w:p w14:paraId="38CA3B68" w14:textId="77777777" w:rsidR="00DE508C" w:rsidRPr="005C6774" w:rsidRDefault="00DE508C" w:rsidP="00FB3370">
            <w:pPr>
              <w:rPr>
                <w:bCs/>
                <w:color w:val="000000"/>
              </w:rPr>
            </w:pPr>
            <w:r w:rsidRPr="005C6774">
              <w:rPr>
                <w:bCs/>
                <w:color w:val="000000"/>
              </w:rPr>
              <w:t>Eye irritation</w:t>
            </w:r>
          </w:p>
        </w:tc>
        <w:tc>
          <w:tcPr>
            <w:tcW w:w="2136" w:type="dxa"/>
            <w:vAlign w:val="center"/>
          </w:tcPr>
          <w:p w14:paraId="4155D867" w14:textId="77777777" w:rsidR="00DE508C" w:rsidRPr="005C6774" w:rsidRDefault="00DE508C" w:rsidP="00FB3370">
            <w:pPr>
              <w:rPr>
                <w:color w:val="000000"/>
              </w:rPr>
            </w:pPr>
            <w:r w:rsidRPr="005C6774">
              <w:rPr>
                <w:color w:val="000000"/>
              </w:rPr>
              <w:t>0.075</w:t>
            </w:r>
          </w:p>
        </w:tc>
        <w:tc>
          <w:tcPr>
            <w:tcW w:w="1845" w:type="dxa"/>
            <w:vAlign w:val="center"/>
          </w:tcPr>
          <w:p w14:paraId="155BB62C" w14:textId="77777777" w:rsidR="00DE508C" w:rsidRPr="005C6774" w:rsidRDefault="00DE508C" w:rsidP="00FB3370">
            <w:pPr>
              <w:rPr>
                <w:color w:val="000000"/>
              </w:rPr>
            </w:pPr>
            <w:r w:rsidRPr="005C6774">
              <w:rPr>
                <w:color w:val="000000"/>
              </w:rPr>
              <w:t>0.905</w:t>
            </w:r>
          </w:p>
        </w:tc>
        <w:tc>
          <w:tcPr>
            <w:tcW w:w="1845" w:type="dxa"/>
            <w:vAlign w:val="center"/>
          </w:tcPr>
          <w:p w14:paraId="7A6865C9" w14:textId="77777777" w:rsidR="00DE508C" w:rsidRPr="005C6774" w:rsidRDefault="00DE508C" w:rsidP="00FB3370">
            <w:pPr>
              <w:rPr>
                <w:color w:val="000000"/>
              </w:rPr>
            </w:pPr>
            <w:r w:rsidRPr="005C6774">
              <w:rPr>
                <w:color w:val="000000"/>
              </w:rPr>
              <w:t>0.998</w:t>
            </w:r>
          </w:p>
        </w:tc>
      </w:tr>
      <w:tr w:rsidR="00DE508C" w:rsidRPr="005C6774" w14:paraId="3FAB4492" w14:textId="77777777" w:rsidTr="00FB3370">
        <w:trPr>
          <w:trHeight w:val="278"/>
        </w:trPr>
        <w:tc>
          <w:tcPr>
            <w:tcW w:w="3108" w:type="dxa"/>
            <w:vAlign w:val="center"/>
          </w:tcPr>
          <w:p w14:paraId="693B33F4" w14:textId="77777777" w:rsidR="00DE508C" w:rsidRPr="005C6774" w:rsidRDefault="00DE508C" w:rsidP="00FB3370">
            <w:pPr>
              <w:rPr>
                <w:bCs/>
                <w:color w:val="000000"/>
              </w:rPr>
            </w:pPr>
            <w:r w:rsidRPr="005C6774">
              <w:rPr>
                <w:bCs/>
                <w:color w:val="000000"/>
              </w:rPr>
              <w:t>Respiratory</w:t>
            </w:r>
          </w:p>
        </w:tc>
        <w:tc>
          <w:tcPr>
            <w:tcW w:w="2136" w:type="dxa"/>
            <w:vAlign w:val="center"/>
          </w:tcPr>
          <w:p w14:paraId="1F4500D8" w14:textId="77777777" w:rsidR="00DE508C" w:rsidRPr="005C6774" w:rsidRDefault="00DE508C" w:rsidP="00FB3370">
            <w:pPr>
              <w:rPr>
                <w:color w:val="000000"/>
              </w:rPr>
            </w:pPr>
            <w:r w:rsidRPr="005C6774">
              <w:rPr>
                <w:color w:val="000000"/>
              </w:rPr>
              <w:t>0.966</w:t>
            </w:r>
          </w:p>
        </w:tc>
        <w:tc>
          <w:tcPr>
            <w:tcW w:w="1845" w:type="dxa"/>
            <w:vAlign w:val="center"/>
          </w:tcPr>
          <w:p w14:paraId="353E12D8" w14:textId="77777777" w:rsidR="00DE508C" w:rsidRPr="005C6774" w:rsidRDefault="00DE508C" w:rsidP="00FB3370">
            <w:pPr>
              <w:rPr>
                <w:color w:val="000000"/>
              </w:rPr>
            </w:pPr>
            <w:r w:rsidRPr="005C6774">
              <w:rPr>
                <w:color w:val="000000"/>
              </w:rPr>
              <w:t>0.030</w:t>
            </w:r>
          </w:p>
        </w:tc>
        <w:tc>
          <w:tcPr>
            <w:tcW w:w="1845" w:type="dxa"/>
            <w:vAlign w:val="center"/>
          </w:tcPr>
          <w:p w14:paraId="2965C109" w14:textId="77777777" w:rsidR="00DE508C" w:rsidRPr="005C6774" w:rsidRDefault="00DE508C" w:rsidP="00FB3370">
            <w:pPr>
              <w:rPr>
                <w:color w:val="000000"/>
              </w:rPr>
            </w:pPr>
            <w:r w:rsidRPr="005C6774">
              <w:rPr>
                <w:color w:val="000000"/>
              </w:rPr>
              <w:t>0.777</w:t>
            </w:r>
          </w:p>
        </w:tc>
      </w:tr>
      <w:tr w:rsidR="00DE508C" w:rsidRPr="005C6774" w14:paraId="1F4D6F56" w14:textId="77777777" w:rsidTr="00FB3370">
        <w:trPr>
          <w:trHeight w:val="278"/>
        </w:trPr>
        <w:tc>
          <w:tcPr>
            <w:tcW w:w="3108" w:type="dxa"/>
            <w:vAlign w:val="center"/>
          </w:tcPr>
          <w:p w14:paraId="287267C3" w14:textId="77777777" w:rsidR="00DE508C" w:rsidRPr="005C6774" w:rsidRDefault="00DE508C" w:rsidP="00FB3370">
            <w:pPr>
              <w:rPr>
                <w:bCs/>
                <w:color w:val="000000"/>
              </w:rPr>
            </w:pPr>
            <w:proofErr w:type="spellStart"/>
            <w:r w:rsidRPr="005C6774">
              <w:rPr>
                <w:bCs/>
                <w:color w:val="000000"/>
              </w:rPr>
              <w:t>Hapatotoxicity</w:t>
            </w:r>
            <w:proofErr w:type="spellEnd"/>
          </w:p>
        </w:tc>
        <w:tc>
          <w:tcPr>
            <w:tcW w:w="2136" w:type="dxa"/>
            <w:vAlign w:val="center"/>
          </w:tcPr>
          <w:p w14:paraId="48036BB2" w14:textId="77777777" w:rsidR="00DE508C" w:rsidRPr="005C6774" w:rsidRDefault="00DE508C" w:rsidP="00FB3370">
            <w:pPr>
              <w:rPr>
                <w:color w:val="000000"/>
              </w:rPr>
            </w:pPr>
            <w:r w:rsidRPr="005C6774">
              <w:rPr>
                <w:color w:val="000000"/>
              </w:rPr>
              <w:t>0.388</w:t>
            </w:r>
          </w:p>
        </w:tc>
        <w:tc>
          <w:tcPr>
            <w:tcW w:w="1845" w:type="dxa"/>
            <w:vAlign w:val="center"/>
          </w:tcPr>
          <w:p w14:paraId="46476CEC" w14:textId="77777777" w:rsidR="00DE508C" w:rsidRPr="005C6774" w:rsidRDefault="00DE508C" w:rsidP="00FB3370">
            <w:pPr>
              <w:rPr>
                <w:color w:val="000000"/>
              </w:rPr>
            </w:pPr>
            <w:r w:rsidRPr="005C6774">
              <w:rPr>
                <w:color w:val="000000"/>
              </w:rPr>
              <w:t>0.406</w:t>
            </w:r>
          </w:p>
        </w:tc>
        <w:tc>
          <w:tcPr>
            <w:tcW w:w="1845" w:type="dxa"/>
            <w:vAlign w:val="center"/>
          </w:tcPr>
          <w:p w14:paraId="3D2A6ABB" w14:textId="77777777" w:rsidR="00DE508C" w:rsidRPr="005C6774" w:rsidRDefault="00DE508C" w:rsidP="00FB3370">
            <w:pPr>
              <w:rPr>
                <w:color w:val="000000"/>
              </w:rPr>
            </w:pPr>
            <w:r w:rsidRPr="005C6774">
              <w:rPr>
                <w:color w:val="000000"/>
              </w:rPr>
              <w:t>0.435</w:t>
            </w:r>
          </w:p>
        </w:tc>
      </w:tr>
      <w:tr w:rsidR="00DE508C" w:rsidRPr="005C6774" w14:paraId="733B0327" w14:textId="77777777" w:rsidTr="00FB3370">
        <w:trPr>
          <w:trHeight w:val="278"/>
        </w:trPr>
        <w:tc>
          <w:tcPr>
            <w:tcW w:w="3108" w:type="dxa"/>
            <w:vAlign w:val="center"/>
          </w:tcPr>
          <w:p w14:paraId="78B50331" w14:textId="77777777" w:rsidR="00DE508C" w:rsidRPr="005C6774" w:rsidRDefault="00DE508C" w:rsidP="00FB3370">
            <w:pPr>
              <w:rPr>
                <w:bCs/>
                <w:color w:val="000000"/>
              </w:rPr>
            </w:pPr>
            <w:r w:rsidRPr="005C6774">
              <w:rPr>
                <w:bCs/>
                <w:color w:val="000000"/>
              </w:rPr>
              <w:t>Neurotoxicity</w:t>
            </w:r>
          </w:p>
        </w:tc>
        <w:tc>
          <w:tcPr>
            <w:tcW w:w="2136" w:type="dxa"/>
            <w:vAlign w:val="center"/>
          </w:tcPr>
          <w:p w14:paraId="53485D8B" w14:textId="77777777" w:rsidR="00DE508C" w:rsidRPr="005C6774" w:rsidRDefault="00DE508C" w:rsidP="00FB3370">
            <w:pPr>
              <w:rPr>
                <w:color w:val="000000"/>
              </w:rPr>
            </w:pPr>
            <w:r w:rsidRPr="005C6774">
              <w:rPr>
                <w:color w:val="000000"/>
              </w:rPr>
              <w:t>0.593</w:t>
            </w:r>
          </w:p>
        </w:tc>
        <w:tc>
          <w:tcPr>
            <w:tcW w:w="1845" w:type="dxa"/>
            <w:vAlign w:val="center"/>
          </w:tcPr>
          <w:p w14:paraId="1A398952" w14:textId="77777777" w:rsidR="00DE508C" w:rsidRPr="005C6774" w:rsidRDefault="00DE508C" w:rsidP="00FB3370">
            <w:pPr>
              <w:rPr>
                <w:color w:val="000000"/>
              </w:rPr>
            </w:pPr>
            <w:r w:rsidRPr="005C6774">
              <w:rPr>
                <w:color w:val="000000"/>
              </w:rPr>
              <w:t>0.000</w:t>
            </w:r>
          </w:p>
        </w:tc>
        <w:tc>
          <w:tcPr>
            <w:tcW w:w="1845" w:type="dxa"/>
            <w:vAlign w:val="center"/>
          </w:tcPr>
          <w:p w14:paraId="2C55D0E1" w14:textId="77777777" w:rsidR="00DE508C" w:rsidRPr="005C6774" w:rsidRDefault="00DE508C" w:rsidP="00FB3370">
            <w:pPr>
              <w:rPr>
                <w:color w:val="000000"/>
              </w:rPr>
            </w:pPr>
            <w:r w:rsidRPr="005C6774">
              <w:rPr>
                <w:color w:val="000000"/>
              </w:rPr>
              <w:t>0.061</w:t>
            </w:r>
          </w:p>
        </w:tc>
      </w:tr>
      <w:tr w:rsidR="00DE508C" w:rsidRPr="005C6774" w14:paraId="0C2C9F02" w14:textId="77777777" w:rsidTr="00FB3370">
        <w:trPr>
          <w:trHeight w:val="278"/>
        </w:trPr>
        <w:tc>
          <w:tcPr>
            <w:tcW w:w="3108" w:type="dxa"/>
            <w:vAlign w:val="center"/>
          </w:tcPr>
          <w:p w14:paraId="39F4F0F2" w14:textId="77777777" w:rsidR="00DE508C" w:rsidRPr="005C6774" w:rsidRDefault="00DE508C" w:rsidP="00FB3370">
            <w:pPr>
              <w:rPr>
                <w:bCs/>
                <w:color w:val="000000"/>
              </w:rPr>
            </w:pPr>
            <w:r w:rsidRPr="005C6774">
              <w:rPr>
                <w:bCs/>
                <w:color w:val="000000"/>
              </w:rPr>
              <w:t>Ototoxicity</w:t>
            </w:r>
          </w:p>
        </w:tc>
        <w:tc>
          <w:tcPr>
            <w:tcW w:w="2136" w:type="dxa"/>
            <w:vAlign w:val="center"/>
          </w:tcPr>
          <w:p w14:paraId="04CC3E79" w14:textId="77777777" w:rsidR="00DE508C" w:rsidRPr="005C6774" w:rsidRDefault="00DE508C" w:rsidP="00FB3370">
            <w:pPr>
              <w:rPr>
                <w:color w:val="000000"/>
              </w:rPr>
            </w:pPr>
            <w:r w:rsidRPr="005C6774">
              <w:rPr>
                <w:color w:val="000000"/>
              </w:rPr>
              <w:t>0.857</w:t>
            </w:r>
          </w:p>
        </w:tc>
        <w:tc>
          <w:tcPr>
            <w:tcW w:w="1845" w:type="dxa"/>
            <w:vAlign w:val="center"/>
          </w:tcPr>
          <w:p w14:paraId="2A85512B" w14:textId="77777777" w:rsidR="00DE508C" w:rsidRPr="005C6774" w:rsidRDefault="00DE508C" w:rsidP="00FB3370">
            <w:pPr>
              <w:rPr>
                <w:color w:val="000000"/>
              </w:rPr>
            </w:pPr>
            <w:r w:rsidRPr="005C6774">
              <w:rPr>
                <w:color w:val="000000"/>
              </w:rPr>
              <w:t>0.884</w:t>
            </w:r>
          </w:p>
        </w:tc>
        <w:tc>
          <w:tcPr>
            <w:tcW w:w="1845" w:type="dxa"/>
            <w:vAlign w:val="center"/>
          </w:tcPr>
          <w:p w14:paraId="5787B4B6" w14:textId="77777777" w:rsidR="00DE508C" w:rsidRPr="005C6774" w:rsidRDefault="00DE508C" w:rsidP="00FB3370">
            <w:pPr>
              <w:rPr>
                <w:color w:val="000000"/>
              </w:rPr>
            </w:pPr>
            <w:r w:rsidRPr="005C6774">
              <w:rPr>
                <w:color w:val="000000"/>
              </w:rPr>
              <w:t>0.068</w:t>
            </w:r>
          </w:p>
        </w:tc>
      </w:tr>
      <w:tr w:rsidR="00DE508C" w:rsidRPr="005C6774" w14:paraId="5134726F" w14:textId="77777777" w:rsidTr="00FB3370">
        <w:trPr>
          <w:trHeight w:val="278"/>
        </w:trPr>
        <w:tc>
          <w:tcPr>
            <w:tcW w:w="3108" w:type="dxa"/>
            <w:vAlign w:val="center"/>
          </w:tcPr>
          <w:p w14:paraId="26DCD0FE" w14:textId="77777777" w:rsidR="00DE508C" w:rsidRPr="005C6774" w:rsidRDefault="00DE508C" w:rsidP="00FB3370">
            <w:pPr>
              <w:rPr>
                <w:bCs/>
                <w:color w:val="000000"/>
              </w:rPr>
            </w:pPr>
            <w:proofErr w:type="spellStart"/>
            <w:r w:rsidRPr="005C6774">
              <w:rPr>
                <w:bCs/>
                <w:color w:val="000000"/>
              </w:rPr>
              <w:t>Hematotoxicity</w:t>
            </w:r>
            <w:proofErr w:type="spellEnd"/>
          </w:p>
        </w:tc>
        <w:tc>
          <w:tcPr>
            <w:tcW w:w="2136" w:type="dxa"/>
            <w:vAlign w:val="center"/>
          </w:tcPr>
          <w:p w14:paraId="004A5BC5" w14:textId="77777777" w:rsidR="00DE508C" w:rsidRPr="005C6774" w:rsidRDefault="00DE508C" w:rsidP="00FB3370">
            <w:pPr>
              <w:rPr>
                <w:color w:val="000000"/>
              </w:rPr>
            </w:pPr>
            <w:r w:rsidRPr="005C6774">
              <w:rPr>
                <w:color w:val="000000"/>
              </w:rPr>
              <w:t>0.014</w:t>
            </w:r>
          </w:p>
        </w:tc>
        <w:tc>
          <w:tcPr>
            <w:tcW w:w="1845" w:type="dxa"/>
            <w:vAlign w:val="center"/>
          </w:tcPr>
          <w:p w14:paraId="3FAF5096" w14:textId="77777777" w:rsidR="00DE508C" w:rsidRPr="005C6774" w:rsidRDefault="00DE508C" w:rsidP="00FB3370">
            <w:pPr>
              <w:rPr>
                <w:color w:val="000000"/>
              </w:rPr>
            </w:pPr>
            <w:r w:rsidRPr="005C6774">
              <w:rPr>
                <w:color w:val="000000"/>
              </w:rPr>
              <w:t>0.023</w:t>
            </w:r>
          </w:p>
        </w:tc>
        <w:tc>
          <w:tcPr>
            <w:tcW w:w="1845" w:type="dxa"/>
            <w:vAlign w:val="center"/>
          </w:tcPr>
          <w:p w14:paraId="43B350ED" w14:textId="77777777" w:rsidR="00DE508C" w:rsidRPr="005C6774" w:rsidRDefault="00DE508C" w:rsidP="00FB3370">
            <w:pPr>
              <w:rPr>
                <w:color w:val="000000"/>
              </w:rPr>
            </w:pPr>
            <w:r w:rsidRPr="005C6774">
              <w:rPr>
                <w:color w:val="000000"/>
              </w:rPr>
              <w:t>0.043</w:t>
            </w:r>
          </w:p>
        </w:tc>
      </w:tr>
      <w:tr w:rsidR="00DE508C" w:rsidRPr="005C6774" w14:paraId="2CB9AA95" w14:textId="77777777" w:rsidTr="00FB3370">
        <w:trPr>
          <w:trHeight w:val="278"/>
        </w:trPr>
        <w:tc>
          <w:tcPr>
            <w:tcW w:w="3108" w:type="dxa"/>
            <w:vAlign w:val="center"/>
          </w:tcPr>
          <w:p w14:paraId="6416DA19" w14:textId="77777777" w:rsidR="00DE508C" w:rsidRPr="005C6774" w:rsidRDefault="00DE508C" w:rsidP="00FB3370">
            <w:pPr>
              <w:rPr>
                <w:bCs/>
                <w:color w:val="000000"/>
              </w:rPr>
            </w:pPr>
            <w:r w:rsidRPr="005C6774">
              <w:rPr>
                <w:bCs/>
                <w:color w:val="000000"/>
              </w:rPr>
              <w:t>Nephrotoxicity</w:t>
            </w:r>
          </w:p>
        </w:tc>
        <w:tc>
          <w:tcPr>
            <w:tcW w:w="2136" w:type="dxa"/>
            <w:vAlign w:val="center"/>
          </w:tcPr>
          <w:p w14:paraId="5BB9DFC0" w14:textId="77777777" w:rsidR="00DE508C" w:rsidRPr="005C6774" w:rsidRDefault="00DE508C" w:rsidP="00FB3370">
            <w:pPr>
              <w:rPr>
                <w:color w:val="000000"/>
              </w:rPr>
            </w:pPr>
            <w:r w:rsidRPr="005C6774">
              <w:rPr>
                <w:color w:val="000000"/>
              </w:rPr>
              <w:t>0.966</w:t>
            </w:r>
          </w:p>
        </w:tc>
        <w:tc>
          <w:tcPr>
            <w:tcW w:w="1845" w:type="dxa"/>
            <w:vAlign w:val="center"/>
          </w:tcPr>
          <w:p w14:paraId="04C9AD75" w14:textId="77777777" w:rsidR="00DE508C" w:rsidRPr="005C6774" w:rsidRDefault="00DE508C" w:rsidP="00FB3370">
            <w:pPr>
              <w:rPr>
                <w:color w:val="000000"/>
              </w:rPr>
            </w:pPr>
            <w:r w:rsidRPr="005C6774">
              <w:rPr>
                <w:color w:val="000000"/>
              </w:rPr>
              <w:t>0.148</w:t>
            </w:r>
          </w:p>
        </w:tc>
        <w:tc>
          <w:tcPr>
            <w:tcW w:w="1845" w:type="dxa"/>
            <w:vAlign w:val="center"/>
          </w:tcPr>
          <w:p w14:paraId="481019C6" w14:textId="77777777" w:rsidR="00DE508C" w:rsidRPr="005C6774" w:rsidRDefault="00DE508C" w:rsidP="00FB3370">
            <w:pPr>
              <w:rPr>
                <w:color w:val="000000"/>
              </w:rPr>
            </w:pPr>
            <w:r w:rsidRPr="005C6774">
              <w:rPr>
                <w:color w:val="000000"/>
              </w:rPr>
              <w:t>0.021</w:t>
            </w:r>
          </w:p>
        </w:tc>
      </w:tr>
      <w:tr w:rsidR="00DE508C" w:rsidRPr="005C6774" w14:paraId="76080EA4" w14:textId="77777777" w:rsidTr="00FB3370">
        <w:trPr>
          <w:trHeight w:val="278"/>
        </w:trPr>
        <w:tc>
          <w:tcPr>
            <w:tcW w:w="3108" w:type="dxa"/>
            <w:vAlign w:val="center"/>
          </w:tcPr>
          <w:p w14:paraId="69D1CDF3" w14:textId="77777777" w:rsidR="00DE508C" w:rsidRPr="005C6774" w:rsidRDefault="00DE508C" w:rsidP="00FB3370">
            <w:pPr>
              <w:rPr>
                <w:bCs/>
                <w:color w:val="000000"/>
              </w:rPr>
            </w:pPr>
            <w:r w:rsidRPr="005C6774">
              <w:rPr>
                <w:bCs/>
                <w:color w:val="000000"/>
              </w:rPr>
              <w:t>Genotoxicity</w:t>
            </w:r>
          </w:p>
        </w:tc>
        <w:tc>
          <w:tcPr>
            <w:tcW w:w="2136" w:type="dxa"/>
            <w:vAlign w:val="center"/>
          </w:tcPr>
          <w:p w14:paraId="30D6C97B" w14:textId="77777777" w:rsidR="00DE508C" w:rsidRPr="005C6774" w:rsidRDefault="00DE508C" w:rsidP="00FB3370">
            <w:pPr>
              <w:rPr>
                <w:color w:val="000000"/>
              </w:rPr>
            </w:pPr>
            <w:r w:rsidRPr="005C6774">
              <w:rPr>
                <w:color w:val="000000"/>
              </w:rPr>
              <w:t>0.373</w:t>
            </w:r>
          </w:p>
        </w:tc>
        <w:tc>
          <w:tcPr>
            <w:tcW w:w="1845" w:type="dxa"/>
            <w:vAlign w:val="center"/>
          </w:tcPr>
          <w:p w14:paraId="3AFC443B" w14:textId="77777777" w:rsidR="00DE508C" w:rsidRPr="005C6774" w:rsidRDefault="00DE508C" w:rsidP="00FB3370">
            <w:pPr>
              <w:rPr>
                <w:color w:val="000000"/>
              </w:rPr>
            </w:pPr>
            <w:r w:rsidRPr="005C6774">
              <w:rPr>
                <w:color w:val="000000"/>
              </w:rPr>
              <w:t>0.868</w:t>
            </w:r>
          </w:p>
        </w:tc>
        <w:tc>
          <w:tcPr>
            <w:tcW w:w="1845" w:type="dxa"/>
            <w:vAlign w:val="center"/>
          </w:tcPr>
          <w:p w14:paraId="7AD26F62" w14:textId="77777777" w:rsidR="00DE508C" w:rsidRPr="005C6774" w:rsidRDefault="00DE508C" w:rsidP="00FB3370">
            <w:pPr>
              <w:rPr>
                <w:color w:val="000000"/>
              </w:rPr>
            </w:pPr>
            <w:r w:rsidRPr="005C6774">
              <w:rPr>
                <w:color w:val="000000"/>
              </w:rPr>
              <w:t>0.987</w:t>
            </w:r>
          </w:p>
        </w:tc>
      </w:tr>
      <w:tr w:rsidR="00DE508C" w:rsidRPr="005C6774" w14:paraId="73E44881" w14:textId="77777777" w:rsidTr="00FB3370">
        <w:trPr>
          <w:trHeight w:val="278"/>
        </w:trPr>
        <w:tc>
          <w:tcPr>
            <w:tcW w:w="3108" w:type="dxa"/>
            <w:vAlign w:val="center"/>
          </w:tcPr>
          <w:p w14:paraId="2E269627" w14:textId="77777777" w:rsidR="00DE508C" w:rsidRPr="005C6774" w:rsidRDefault="00DE508C" w:rsidP="00FB3370">
            <w:pPr>
              <w:rPr>
                <w:bCs/>
                <w:color w:val="000000"/>
              </w:rPr>
            </w:pPr>
            <w:proofErr w:type="spellStart"/>
            <w:r w:rsidRPr="005C6774">
              <w:rPr>
                <w:bCs/>
                <w:color w:val="000000"/>
              </w:rPr>
              <w:t>Immunitoxicty</w:t>
            </w:r>
            <w:proofErr w:type="spellEnd"/>
          </w:p>
        </w:tc>
        <w:tc>
          <w:tcPr>
            <w:tcW w:w="2136" w:type="dxa"/>
            <w:vAlign w:val="center"/>
          </w:tcPr>
          <w:p w14:paraId="195B114A" w14:textId="77777777" w:rsidR="00DE508C" w:rsidRPr="005C6774" w:rsidRDefault="00DE508C" w:rsidP="00FB3370">
            <w:pPr>
              <w:rPr>
                <w:color w:val="000000"/>
              </w:rPr>
            </w:pPr>
            <w:r w:rsidRPr="005C6774">
              <w:rPr>
                <w:color w:val="000000"/>
              </w:rPr>
              <w:t>0.315</w:t>
            </w:r>
          </w:p>
        </w:tc>
        <w:tc>
          <w:tcPr>
            <w:tcW w:w="1845" w:type="dxa"/>
            <w:vAlign w:val="center"/>
          </w:tcPr>
          <w:p w14:paraId="55B3036C" w14:textId="77777777" w:rsidR="00DE508C" w:rsidRPr="005C6774" w:rsidRDefault="00DE508C" w:rsidP="00FB3370">
            <w:pPr>
              <w:rPr>
                <w:color w:val="000000"/>
              </w:rPr>
            </w:pPr>
            <w:r w:rsidRPr="005C6774">
              <w:rPr>
                <w:color w:val="000000"/>
              </w:rPr>
              <w:t>0.098</w:t>
            </w:r>
          </w:p>
        </w:tc>
        <w:tc>
          <w:tcPr>
            <w:tcW w:w="1845" w:type="dxa"/>
            <w:vAlign w:val="center"/>
          </w:tcPr>
          <w:p w14:paraId="4F972146" w14:textId="77777777" w:rsidR="00DE508C" w:rsidRPr="005C6774" w:rsidRDefault="00DE508C" w:rsidP="00FB3370">
            <w:pPr>
              <w:rPr>
                <w:color w:val="000000"/>
              </w:rPr>
            </w:pPr>
            <w:r w:rsidRPr="005C6774">
              <w:rPr>
                <w:color w:val="000000"/>
              </w:rPr>
              <w:t>0.045</w:t>
            </w:r>
          </w:p>
        </w:tc>
      </w:tr>
      <w:tr w:rsidR="00DE508C" w:rsidRPr="005C6774" w14:paraId="3E1BECC7" w14:textId="77777777" w:rsidTr="00FB3370">
        <w:trPr>
          <w:trHeight w:val="278"/>
        </w:trPr>
        <w:tc>
          <w:tcPr>
            <w:tcW w:w="3108" w:type="dxa"/>
            <w:vAlign w:val="center"/>
          </w:tcPr>
          <w:p w14:paraId="17BE610C" w14:textId="77777777" w:rsidR="00DE508C" w:rsidRPr="005C6774" w:rsidRDefault="00DE508C" w:rsidP="00FB3370">
            <w:pPr>
              <w:rPr>
                <w:bCs/>
                <w:color w:val="000000"/>
              </w:rPr>
            </w:pPr>
            <w:r w:rsidRPr="005C6774">
              <w:rPr>
                <w:bCs/>
                <w:color w:val="000000"/>
              </w:rPr>
              <w:t>A549 Cytotoxicity</w:t>
            </w:r>
          </w:p>
        </w:tc>
        <w:tc>
          <w:tcPr>
            <w:tcW w:w="2136" w:type="dxa"/>
            <w:vAlign w:val="center"/>
          </w:tcPr>
          <w:p w14:paraId="7D9DB749" w14:textId="77777777" w:rsidR="00DE508C" w:rsidRPr="005C6774" w:rsidRDefault="00DE508C" w:rsidP="00FB3370">
            <w:pPr>
              <w:rPr>
                <w:color w:val="000000"/>
              </w:rPr>
            </w:pPr>
            <w:r w:rsidRPr="005C6774">
              <w:rPr>
                <w:color w:val="000000"/>
              </w:rPr>
              <w:t>0.315</w:t>
            </w:r>
          </w:p>
        </w:tc>
        <w:tc>
          <w:tcPr>
            <w:tcW w:w="1845" w:type="dxa"/>
            <w:vAlign w:val="center"/>
          </w:tcPr>
          <w:p w14:paraId="268D78FC" w14:textId="77777777" w:rsidR="00DE508C" w:rsidRPr="005C6774" w:rsidRDefault="00DE508C" w:rsidP="00FB3370">
            <w:pPr>
              <w:rPr>
                <w:color w:val="000000"/>
              </w:rPr>
            </w:pPr>
            <w:r w:rsidRPr="005C6774">
              <w:rPr>
                <w:color w:val="000000"/>
              </w:rPr>
              <w:t>0.860</w:t>
            </w:r>
          </w:p>
        </w:tc>
        <w:tc>
          <w:tcPr>
            <w:tcW w:w="1845" w:type="dxa"/>
            <w:vAlign w:val="center"/>
          </w:tcPr>
          <w:p w14:paraId="1C6732FE" w14:textId="77777777" w:rsidR="00DE508C" w:rsidRPr="005C6774" w:rsidRDefault="00DE508C" w:rsidP="00FB3370">
            <w:pPr>
              <w:rPr>
                <w:color w:val="000000"/>
              </w:rPr>
            </w:pPr>
            <w:r w:rsidRPr="005C6774">
              <w:rPr>
                <w:color w:val="000000"/>
              </w:rPr>
              <w:t>0.323</w:t>
            </w:r>
          </w:p>
        </w:tc>
      </w:tr>
      <w:tr w:rsidR="00DE508C" w:rsidRPr="005C6774" w14:paraId="0B1EA9F9" w14:textId="77777777" w:rsidTr="00FB3370">
        <w:trPr>
          <w:trHeight w:val="278"/>
        </w:trPr>
        <w:tc>
          <w:tcPr>
            <w:tcW w:w="3108" w:type="dxa"/>
            <w:vAlign w:val="center"/>
          </w:tcPr>
          <w:p w14:paraId="5057521A" w14:textId="77777777" w:rsidR="00DE508C" w:rsidRPr="005C6774" w:rsidRDefault="00DE508C" w:rsidP="00FB3370">
            <w:pPr>
              <w:rPr>
                <w:bCs/>
                <w:color w:val="000000"/>
              </w:rPr>
            </w:pPr>
            <w:r w:rsidRPr="005C6774">
              <w:rPr>
                <w:bCs/>
                <w:color w:val="000000"/>
              </w:rPr>
              <w:t>HEK293 Cytotoxicity</w:t>
            </w:r>
          </w:p>
        </w:tc>
        <w:tc>
          <w:tcPr>
            <w:tcW w:w="2136" w:type="dxa"/>
            <w:vAlign w:val="center"/>
          </w:tcPr>
          <w:p w14:paraId="40F5980C" w14:textId="77777777" w:rsidR="00DE508C" w:rsidRPr="005C6774" w:rsidRDefault="00DE508C" w:rsidP="00FB3370">
            <w:pPr>
              <w:rPr>
                <w:color w:val="000000"/>
              </w:rPr>
            </w:pPr>
            <w:r w:rsidRPr="005C6774">
              <w:rPr>
                <w:color w:val="000000"/>
              </w:rPr>
              <w:t>0.754</w:t>
            </w:r>
          </w:p>
        </w:tc>
        <w:tc>
          <w:tcPr>
            <w:tcW w:w="1845" w:type="dxa"/>
            <w:vAlign w:val="center"/>
          </w:tcPr>
          <w:p w14:paraId="28D6CDB7" w14:textId="77777777" w:rsidR="00DE508C" w:rsidRPr="005C6774" w:rsidRDefault="00DE508C" w:rsidP="00FB3370">
            <w:pPr>
              <w:rPr>
                <w:color w:val="000000"/>
              </w:rPr>
            </w:pPr>
            <w:r w:rsidRPr="005C6774">
              <w:rPr>
                <w:color w:val="000000"/>
              </w:rPr>
              <w:t>0.466</w:t>
            </w:r>
          </w:p>
        </w:tc>
        <w:tc>
          <w:tcPr>
            <w:tcW w:w="1845" w:type="dxa"/>
            <w:vAlign w:val="center"/>
          </w:tcPr>
          <w:p w14:paraId="539EB8A6" w14:textId="77777777" w:rsidR="00DE508C" w:rsidRPr="005C6774" w:rsidRDefault="00DE508C" w:rsidP="00FB3370">
            <w:pPr>
              <w:rPr>
                <w:color w:val="000000"/>
              </w:rPr>
            </w:pPr>
            <w:r w:rsidRPr="005C6774">
              <w:rPr>
                <w:color w:val="000000"/>
              </w:rPr>
              <w:t>0.855</w:t>
            </w:r>
          </w:p>
        </w:tc>
      </w:tr>
    </w:tbl>
    <w:p w14:paraId="326B7DFD" w14:textId="77777777" w:rsidR="00502289" w:rsidRDefault="003619A1" w:rsidP="00502289">
      <w:pPr>
        <w:spacing w:before="240"/>
        <w:rPr>
          <w:b/>
          <w:i/>
        </w:rPr>
      </w:pPr>
      <w:r w:rsidRPr="005C6774">
        <w:rPr>
          <w:b/>
        </w:rPr>
        <w:t>Table 14</w:t>
      </w:r>
      <w:r w:rsidR="00502289" w:rsidRPr="005C6774">
        <w:rPr>
          <w:b/>
        </w:rPr>
        <w:t>:</w:t>
      </w:r>
      <w:r w:rsidR="00502289" w:rsidRPr="005C6774">
        <w:rPr>
          <w:b/>
        </w:rPr>
        <w:tab/>
        <w:t xml:space="preserve">Drug likeness properties of the Hit compounds of </w:t>
      </w:r>
      <w:r w:rsidR="00331193" w:rsidRPr="005C6774">
        <w:rPr>
          <w:b/>
          <w:i/>
        </w:rPr>
        <w:t>Brassica oleracea</w:t>
      </w:r>
    </w:p>
    <w:p w14:paraId="60CD2627" w14:textId="77777777" w:rsidR="00A62A82" w:rsidRPr="00A62A82" w:rsidRDefault="00A62A82" w:rsidP="00502289">
      <w:pPr>
        <w:spacing w:before="240"/>
        <w:rPr>
          <w:b/>
          <w:sz w:val="8"/>
        </w:rPr>
      </w:pPr>
    </w:p>
    <w:tbl>
      <w:tblPr>
        <w:tblW w:w="9972" w:type="dxa"/>
        <w:tblInd w:w="108" w:type="dxa"/>
        <w:tblBorders>
          <w:top w:val="single" w:sz="4" w:space="0" w:color="auto"/>
          <w:bottom w:val="single" w:sz="4" w:space="0" w:color="auto"/>
        </w:tblBorders>
        <w:tblLayout w:type="fixed"/>
        <w:tblLook w:val="04A0" w:firstRow="1" w:lastRow="0" w:firstColumn="1" w:lastColumn="0" w:noHBand="0" w:noVBand="1"/>
      </w:tblPr>
      <w:tblGrid>
        <w:gridCol w:w="2862"/>
        <w:gridCol w:w="2790"/>
        <w:gridCol w:w="2160"/>
        <w:gridCol w:w="2160"/>
      </w:tblGrid>
      <w:tr w:rsidR="00DC0B3F" w:rsidRPr="005C6774" w14:paraId="6F8462FC" w14:textId="77777777" w:rsidTr="00FB3370">
        <w:trPr>
          <w:trHeight w:val="353"/>
        </w:trPr>
        <w:tc>
          <w:tcPr>
            <w:tcW w:w="2862" w:type="dxa"/>
            <w:tcBorders>
              <w:top w:val="single" w:sz="4" w:space="0" w:color="auto"/>
              <w:bottom w:val="single" w:sz="4" w:space="0" w:color="auto"/>
            </w:tcBorders>
            <w:vAlign w:val="center"/>
            <w:hideMark/>
          </w:tcPr>
          <w:p w14:paraId="393D9ECE" w14:textId="77777777" w:rsidR="00DC0B3F" w:rsidRPr="005C6774" w:rsidRDefault="00DC0B3F" w:rsidP="00FB3370">
            <w:pPr>
              <w:rPr>
                <w:b/>
                <w:bCs/>
                <w:color w:val="000000"/>
              </w:rPr>
            </w:pPr>
            <w:r w:rsidRPr="005C6774">
              <w:rPr>
                <w:b/>
                <w:bCs/>
                <w:color w:val="000000"/>
              </w:rPr>
              <w:t>Drug Likeness Models</w:t>
            </w:r>
          </w:p>
        </w:tc>
        <w:tc>
          <w:tcPr>
            <w:tcW w:w="2790" w:type="dxa"/>
            <w:tcBorders>
              <w:top w:val="single" w:sz="4" w:space="0" w:color="auto"/>
              <w:bottom w:val="single" w:sz="4" w:space="0" w:color="auto"/>
            </w:tcBorders>
            <w:vAlign w:val="center"/>
            <w:hideMark/>
          </w:tcPr>
          <w:p w14:paraId="0C020940" w14:textId="77777777" w:rsidR="00DC0B3F" w:rsidRPr="005C6774" w:rsidRDefault="00DC0B3F" w:rsidP="00FB3370">
            <w:pPr>
              <w:rPr>
                <w:b/>
              </w:rPr>
            </w:pPr>
            <w:r w:rsidRPr="005C6774">
              <w:rPr>
                <w:b/>
                <w:shd w:val="clear" w:color="auto" w:fill="FFFFFF"/>
              </w:rPr>
              <w:t>Neoxanthin</w:t>
            </w:r>
          </w:p>
        </w:tc>
        <w:tc>
          <w:tcPr>
            <w:tcW w:w="2160" w:type="dxa"/>
            <w:tcBorders>
              <w:top w:val="single" w:sz="4" w:space="0" w:color="auto"/>
              <w:bottom w:val="single" w:sz="4" w:space="0" w:color="auto"/>
            </w:tcBorders>
            <w:vAlign w:val="center"/>
            <w:hideMark/>
          </w:tcPr>
          <w:p w14:paraId="45298982" w14:textId="77777777" w:rsidR="00DC0B3F" w:rsidRPr="005C6774" w:rsidRDefault="00DC0B3F" w:rsidP="00FB3370">
            <w:pPr>
              <w:rPr>
                <w:b/>
                <w:bCs/>
                <w:color w:val="000000"/>
              </w:rPr>
            </w:pPr>
            <w:r w:rsidRPr="005C6774">
              <w:rPr>
                <w:b/>
              </w:rPr>
              <w:t>Rutin</w:t>
            </w:r>
          </w:p>
        </w:tc>
        <w:tc>
          <w:tcPr>
            <w:tcW w:w="2160" w:type="dxa"/>
            <w:tcBorders>
              <w:top w:val="single" w:sz="4" w:space="0" w:color="auto"/>
              <w:bottom w:val="single" w:sz="4" w:space="0" w:color="auto"/>
            </w:tcBorders>
            <w:vAlign w:val="center"/>
          </w:tcPr>
          <w:p w14:paraId="658D0EF9" w14:textId="77777777" w:rsidR="00DC0B3F" w:rsidRPr="005C6774" w:rsidRDefault="00DC0B3F" w:rsidP="00FB3370">
            <w:pPr>
              <w:rPr>
                <w:b/>
              </w:rPr>
            </w:pPr>
            <w:r w:rsidRPr="005C6774">
              <w:rPr>
                <w:b/>
              </w:rPr>
              <w:t>Apigenin</w:t>
            </w:r>
          </w:p>
        </w:tc>
      </w:tr>
      <w:tr w:rsidR="007764D1" w:rsidRPr="005C6774" w14:paraId="2DEA9D40" w14:textId="77777777" w:rsidTr="00FB3370">
        <w:trPr>
          <w:trHeight w:val="353"/>
        </w:trPr>
        <w:tc>
          <w:tcPr>
            <w:tcW w:w="2862" w:type="dxa"/>
            <w:tcBorders>
              <w:top w:val="single" w:sz="4" w:space="0" w:color="auto"/>
            </w:tcBorders>
            <w:vAlign w:val="center"/>
            <w:hideMark/>
          </w:tcPr>
          <w:p w14:paraId="44D65967" w14:textId="77777777" w:rsidR="007764D1" w:rsidRPr="005C6774" w:rsidRDefault="007764D1" w:rsidP="00FB3370">
            <w:pPr>
              <w:rPr>
                <w:bCs/>
                <w:color w:val="000000"/>
              </w:rPr>
            </w:pPr>
            <w:r w:rsidRPr="005C6774">
              <w:rPr>
                <w:bCs/>
                <w:color w:val="000000"/>
              </w:rPr>
              <w:t>Lipinski</w:t>
            </w:r>
          </w:p>
        </w:tc>
        <w:tc>
          <w:tcPr>
            <w:tcW w:w="2790" w:type="dxa"/>
            <w:tcBorders>
              <w:top w:val="single" w:sz="4" w:space="0" w:color="auto"/>
            </w:tcBorders>
            <w:vAlign w:val="center"/>
            <w:hideMark/>
          </w:tcPr>
          <w:p w14:paraId="6E30A7FF" w14:textId="77777777" w:rsidR="007764D1" w:rsidRPr="005C6774" w:rsidRDefault="007764D1" w:rsidP="00FB3370">
            <w:pPr>
              <w:rPr>
                <w:color w:val="000000"/>
              </w:rPr>
            </w:pPr>
            <w:r w:rsidRPr="005C6774">
              <w:rPr>
                <w:color w:val="000000"/>
              </w:rPr>
              <w:t>No</w:t>
            </w:r>
          </w:p>
        </w:tc>
        <w:tc>
          <w:tcPr>
            <w:tcW w:w="2160" w:type="dxa"/>
            <w:tcBorders>
              <w:top w:val="single" w:sz="4" w:space="0" w:color="auto"/>
            </w:tcBorders>
            <w:vAlign w:val="center"/>
            <w:hideMark/>
          </w:tcPr>
          <w:p w14:paraId="5BA9CAD6" w14:textId="77777777" w:rsidR="007764D1" w:rsidRPr="005C6774" w:rsidRDefault="007764D1" w:rsidP="00FB3370">
            <w:pPr>
              <w:rPr>
                <w:color w:val="000000"/>
              </w:rPr>
            </w:pPr>
            <w:r w:rsidRPr="005C6774">
              <w:rPr>
                <w:color w:val="000000"/>
              </w:rPr>
              <w:t>No</w:t>
            </w:r>
          </w:p>
        </w:tc>
        <w:tc>
          <w:tcPr>
            <w:tcW w:w="2160" w:type="dxa"/>
            <w:tcBorders>
              <w:top w:val="single" w:sz="4" w:space="0" w:color="auto"/>
            </w:tcBorders>
            <w:vAlign w:val="center"/>
          </w:tcPr>
          <w:p w14:paraId="1BD74E7C" w14:textId="77777777" w:rsidR="007764D1" w:rsidRPr="005C6774" w:rsidRDefault="007764D1" w:rsidP="00FB3370">
            <w:pPr>
              <w:rPr>
                <w:color w:val="000000"/>
              </w:rPr>
            </w:pPr>
            <w:r w:rsidRPr="005C6774">
              <w:rPr>
                <w:color w:val="000000"/>
              </w:rPr>
              <w:t>Yes</w:t>
            </w:r>
          </w:p>
        </w:tc>
      </w:tr>
      <w:tr w:rsidR="007764D1" w:rsidRPr="005C6774" w14:paraId="2244ADA7" w14:textId="77777777" w:rsidTr="00FB3370">
        <w:trPr>
          <w:trHeight w:val="353"/>
        </w:trPr>
        <w:tc>
          <w:tcPr>
            <w:tcW w:w="2862" w:type="dxa"/>
            <w:vAlign w:val="center"/>
            <w:hideMark/>
          </w:tcPr>
          <w:p w14:paraId="1C9F6E8D" w14:textId="77777777" w:rsidR="007764D1" w:rsidRPr="005C6774" w:rsidRDefault="007764D1" w:rsidP="00FB3370">
            <w:pPr>
              <w:rPr>
                <w:bCs/>
                <w:color w:val="000000"/>
              </w:rPr>
            </w:pPr>
            <w:r w:rsidRPr="005C6774">
              <w:rPr>
                <w:bCs/>
                <w:color w:val="000000"/>
              </w:rPr>
              <w:t>Ghose</w:t>
            </w:r>
          </w:p>
        </w:tc>
        <w:tc>
          <w:tcPr>
            <w:tcW w:w="2790" w:type="dxa"/>
            <w:vAlign w:val="center"/>
            <w:hideMark/>
          </w:tcPr>
          <w:p w14:paraId="2B60E9F2" w14:textId="77777777" w:rsidR="007764D1" w:rsidRPr="005C6774" w:rsidRDefault="007764D1" w:rsidP="00FB3370">
            <w:pPr>
              <w:rPr>
                <w:color w:val="000000"/>
              </w:rPr>
            </w:pPr>
            <w:r w:rsidRPr="005C6774">
              <w:rPr>
                <w:color w:val="000000"/>
              </w:rPr>
              <w:t>No</w:t>
            </w:r>
          </w:p>
        </w:tc>
        <w:tc>
          <w:tcPr>
            <w:tcW w:w="2160" w:type="dxa"/>
            <w:vAlign w:val="center"/>
            <w:hideMark/>
          </w:tcPr>
          <w:p w14:paraId="3FFBB0C5" w14:textId="77777777" w:rsidR="007764D1" w:rsidRPr="005C6774" w:rsidRDefault="007764D1" w:rsidP="00FB3370">
            <w:pPr>
              <w:rPr>
                <w:color w:val="000000"/>
              </w:rPr>
            </w:pPr>
            <w:r w:rsidRPr="005C6774">
              <w:rPr>
                <w:color w:val="000000"/>
              </w:rPr>
              <w:t>No</w:t>
            </w:r>
          </w:p>
        </w:tc>
        <w:tc>
          <w:tcPr>
            <w:tcW w:w="2160" w:type="dxa"/>
            <w:vAlign w:val="center"/>
          </w:tcPr>
          <w:p w14:paraId="35B956D3" w14:textId="77777777" w:rsidR="007764D1" w:rsidRPr="005C6774" w:rsidRDefault="007764D1" w:rsidP="00FB3370">
            <w:pPr>
              <w:rPr>
                <w:color w:val="000000"/>
              </w:rPr>
            </w:pPr>
            <w:r w:rsidRPr="005C6774">
              <w:rPr>
                <w:color w:val="000000"/>
              </w:rPr>
              <w:t>Yes</w:t>
            </w:r>
          </w:p>
        </w:tc>
      </w:tr>
      <w:tr w:rsidR="007764D1" w:rsidRPr="005C6774" w14:paraId="357E98C5" w14:textId="77777777" w:rsidTr="00FB3370">
        <w:trPr>
          <w:trHeight w:val="353"/>
        </w:trPr>
        <w:tc>
          <w:tcPr>
            <w:tcW w:w="2862" w:type="dxa"/>
            <w:vAlign w:val="center"/>
            <w:hideMark/>
          </w:tcPr>
          <w:p w14:paraId="3FC6A0B5" w14:textId="77777777" w:rsidR="007764D1" w:rsidRPr="005C6774" w:rsidRDefault="007764D1" w:rsidP="00FB3370">
            <w:pPr>
              <w:rPr>
                <w:bCs/>
                <w:color w:val="000000"/>
              </w:rPr>
            </w:pPr>
            <w:r w:rsidRPr="005C6774">
              <w:rPr>
                <w:bCs/>
                <w:color w:val="000000"/>
              </w:rPr>
              <w:t>Veber</w:t>
            </w:r>
          </w:p>
        </w:tc>
        <w:tc>
          <w:tcPr>
            <w:tcW w:w="2790" w:type="dxa"/>
            <w:vAlign w:val="center"/>
            <w:hideMark/>
          </w:tcPr>
          <w:p w14:paraId="42100CB5" w14:textId="77777777" w:rsidR="007764D1" w:rsidRPr="005C6774" w:rsidRDefault="007764D1" w:rsidP="00FB3370">
            <w:pPr>
              <w:rPr>
                <w:color w:val="000000"/>
              </w:rPr>
            </w:pPr>
            <w:r w:rsidRPr="005C6774">
              <w:rPr>
                <w:color w:val="000000"/>
              </w:rPr>
              <w:t>No</w:t>
            </w:r>
          </w:p>
        </w:tc>
        <w:tc>
          <w:tcPr>
            <w:tcW w:w="2160" w:type="dxa"/>
            <w:vAlign w:val="center"/>
            <w:hideMark/>
          </w:tcPr>
          <w:p w14:paraId="7CC44422" w14:textId="77777777" w:rsidR="007764D1" w:rsidRPr="005C6774" w:rsidRDefault="007764D1" w:rsidP="00FB3370">
            <w:pPr>
              <w:rPr>
                <w:color w:val="000000"/>
              </w:rPr>
            </w:pPr>
            <w:r w:rsidRPr="005C6774">
              <w:rPr>
                <w:color w:val="000000"/>
              </w:rPr>
              <w:t>No</w:t>
            </w:r>
          </w:p>
        </w:tc>
        <w:tc>
          <w:tcPr>
            <w:tcW w:w="2160" w:type="dxa"/>
            <w:vAlign w:val="center"/>
          </w:tcPr>
          <w:p w14:paraId="1076B807" w14:textId="77777777" w:rsidR="007764D1" w:rsidRPr="005C6774" w:rsidRDefault="007764D1" w:rsidP="00FB3370">
            <w:pPr>
              <w:rPr>
                <w:color w:val="000000"/>
              </w:rPr>
            </w:pPr>
            <w:r w:rsidRPr="005C6774">
              <w:rPr>
                <w:color w:val="000000"/>
              </w:rPr>
              <w:t>Yes</w:t>
            </w:r>
          </w:p>
        </w:tc>
      </w:tr>
      <w:tr w:rsidR="007764D1" w:rsidRPr="005C6774" w14:paraId="4796FAC6" w14:textId="77777777" w:rsidTr="00FB3370">
        <w:trPr>
          <w:trHeight w:val="353"/>
        </w:trPr>
        <w:tc>
          <w:tcPr>
            <w:tcW w:w="2862" w:type="dxa"/>
            <w:vAlign w:val="center"/>
            <w:hideMark/>
          </w:tcPr>
          <w:p w14:paraId="54B78832" w14:textId="77777777" w:rsidR="007764D1" w:rsidRPr="005C6774" w:rsidRDefault="007764D1" w:rsidP="00FB3370">
            <w:pPr>
              <w:rPr>
                <w:bCs/>
                <w:color w:val="000000"/>
              </w:rPr>
            </w:pPr>
            <w:r w:rsidRPr="005C6774">
              <w:rPr>
                <w:bCs/>
                <w:color w:val="000000"/>
              </w:rPr>
              <w:t>Egan</w:t>
            </w:r>
          </w:p>
        </w:tc>
        <w:tc>
          <w:tcPr>
            <w:tcW w:w="2790" w:type="dxa"/>
            <w:vAlign w:val="center"/>
            <w:hideMark/>
          </w:tcPr>
          <w:p w14:paraId="1FF0BCB5" w14:textId="77777777" w:rsidR="007764D1" w:rsidRPr="005C6774" w:rsidRDefault="007764D1" w:rsidP="00FB3370">
            <w:pPr>
              <w:rPr>
                <w:color w:val="000000"/>
              </w:rPr>
            </w:pPr>
            <w:r w:rsidRPr="005C6774">
              <w:rPr>
                <w:color w:val="000000"/>
              </w:rPr>
              <w:t>No</w:t>
            </w:r>
          </w:p>
        </w:tc>
        <w:tc>
          <w:tcPr>
            <w:tcW w:w="2160" w:type="dxa"/>
            <w:vAlign w:val="center"/>
            <w:hideMark/>
          </w:tcPr>
          <w:p w14:paraId="71843DB9" w14:textId="77777777" w:rsidR="007764D1" w:rsidRPr="005C6774" w:rsidRDefault="007764D1" w:rsidP="00FB3370">
            <w:pPr>
              <w:rPr>
                <w:color w:val="000000"/>
              </w:rPr>
            </w:pPr>
            <w:r w:rsidRPr="005C6774">
              <w:rPr>
                <w:color w:val="000000"/>
              </w:rPr>
              <w:t>No</w:t>
            </w:r>
          </w:p>
        </w:tc>
        <w:tc>
          <w:tcPr>
            <w:tcW w:w="2160" w:type="dxa"/>
            <w:vAlign w:val="center"/>
          </w:tcPr>
          <w:p w14:paraId="7940D777" w14:textId="77777777" w:rsidR="007764D1" w:rsidRPr="005C6774" w:rsidRDefault="007764D1" w:rsidP="00FB3370">
            <w:pPr>
              <w:rPr>
                <w:color w:val="000000"/>
              </w:rPr>
            </w:pPr>
            <w:r w:rsidRPr="005C6774">
              <w:rPr>
                <w:color w:val="000000"/>
              </w:rPr>
              <w:t>Yes</w:t>
            </w:r>
          </w:p>
        </w:tc>
      </w:tr>
      <w:tr w:rsidR="007764D1" w:rsidRPr="005C6774" w14:paraId="24DFD819" w14:textId="77777777" w:rsidTr="00FB3370">
        <w:trPr>
          <w:trHeight w:val="353"/>
        </w:trPr>
        <w:tc>
          <w:tcPr>
            <w:tcW w:w="2862" w:type="dxa"/>
            <w:vAlign w:val="center"/>
          </w:tcPr>
          <w:p w14:paraId="061F523A" w14:textId="77777777" w:rsidR="007764D1" w:rsidRPr="005C6774" w:rsidRDefault="007764D1" w:rsidP="00FB3370">
            <w:pPr>
              <w:rPr>
                <w:bCs/>
                <w:color w:val="000000"/>
              </w:rPr>
            </w:pPr>
            <w:r w:rsidRPr="005C6774">
              <w:rPr>
                <w:bCs/>
                <w:color w:val="000000"/>
              </w:rPr>
              <w:t>Muegge</w:t>
            </w:r>
          </w:p>
        </w:tc>
        <w:tc>
          <w:tcPr>
            <w:tcW w:w="2790" w:type="dxa"/>
            <w:vAlign w:val="center"/>
          </w:tcPr>
          <w:p w14:paraId="7AA23BCE" w14:textId="77777777" w:rsidR="007764D1" w:rsidRPr="005C6774" w:rsidRDefault="007764D1" w:rsidP="00FB3370">
            <w:pPr>
              <w:rPr>
                <w:color w:val="000000"/>
              </w:rPr>
            </w:pPr>
            <w:r w:rsidRPr="005C6774">
              <w:rPr>
                <w:color w:val="000000"/>
              </w:rPr>
              <w:t>No</w:t>
            </w:r>
          </w:p>
        </w:tc>
        <w:tc>
          <w:tcPr>
            <w:tcW w:w="2160" w:type="dxa"/>
            <w:vAlign w:val="center"/>
          </w:tcPr>
          <w:p w14:paraId="3CDD4BA4" w14:textId="77777777" w:rsidR="007764D1" w:rsidRPr="005C6774" w:rsidRDefault="007764D1" w:rsidP="00FB3370">
            <w:pPr>
              <w:rPr>
                <w:color w:val="000000"/>
              </w:rPr>
            </w:pPr>
            <w:r w:rsidRPr="005C6774">
              <w:rPr>
                <w:color w:val="000000"/>
              </w:rPr>
              <w:t>No</w:t>
            </w:r>
          </w:p>
        </w:tc>
        <w:tc>
          <w:tcPr>
            <w:tcW w:w="2160" w:type="dxa"/>
            <w:vAlign w:val="center"/>
          </w:tcPr>
          <w:p w14:paraId="10ABAB85" w14:textId="77777777" w:rsidR="007764D1" w:rsidRPr="005C6774" w:rsidRDefault="007764D1" w:rsidP="00FB3370">
            <w:pPr>
              <w:rPr>
                <w:color w:val="000000"/>
              </w:rPr>
            </w:pPr>
            <w:r w:rsidRPr="005C6774">
              <w:rPr>
                <w:color w:val="000000"/>
              </w:rPr>
              <w:t>Yes</w:t>
            </w:r>
          </w:p>
        </w:tc>
      </w:tr>
    </w:tbl>
    <w:p w14:paraId="3A71F533" w14:textId="77777777" w:rsidR="00290E45" w:rsidRPr="005C6774" w:rsidRDefault="00290E45" w:rsidP="00290E45"/>
    <w:p w14:paraId="40D86F42" w14:textId="77777777" w:rsidR="00290E45" w:rsidRPr="005C6774" w:rsidRDefault="00290E45" w:rsidP="00290E45"/>
    <w:p w14:paraId="4A3106A0" w14:textId="77777777" w:rsidR="000B7604" w:rsidRPr="005C6774" w:rsidRDefault="000B7604" w:rsidP="00290E45">
      <w:pPr>
        <w:autoSpaceDE w:val="0"/>
        <w:autoSpaceDN w:val="0"/>
        <w:adjustRightInd w:val="0"/>
        <w:spacing w:before="240"/>
        <w:rPr>
          <w:b/>
        </w:rPr>
      </w:pPr>
    </w:p>
    <w:p w14:paraId="55D8052F" w14:textId="77777777" w:rsidR="000B7604" w:rsidRPr="005C6774" w:rsidRDefault="000B7604" w:rsidP="00290E45">
      <w:pPr>
        <w:autoSpaceDE w:val="0"/>
        <w:autoSpaceDN w:val="0"/>
        <w:adjustRightInd w:val="0"/>
        <w:spacing w:before="240"/>
        <w:rPr>
          <w:b/>
        </w:rPr>
      </w:pPr>
    </w:p>
    <w:p w14:paraId="5B4BCCD7" w14:textId="77777777" w:rsidR="000B7604" w:rsidRPr="005C6774" w:rsidRDefault="000B7604" w:rsidP="00290E45">
      <w:pPr>
        <w:autoSpaceDE w:val="0"/>
        <w:autoSpaceDN w:val="0"/>
        <w:adjustRightInd w:val="0"/>
        <w:spacing w:before="240"/>
        <w:rPr>
          <w:b/>
        </w:rPr>
      </w:pPr>
    </w:p>
    <w:p w14:paraId="05FE3C1C" w14:textId="77777777" w:rsidR="00290E45" w:rsidRPr="005C6774" w:rsidRDefault="00290E45" w:rsidP="00A257AA">
      <w:pPr>
        <w:autoSpaceDE w:val="0"/>
        <w:autoSpaceDN w:val="0"/>
        <w:adjustRightInd w:val="0"/>
        <w:spacing w:before="240" w:line="360" w:lineRule="auto"/>
        <w:jc w:val="both"/>
        <w:rPr>
          <w:b/>
        </w:rPr>
      </w:pPr>
      <w:r w:rsidRPr="005C6774">
        <w:rPr>
          <w:b/>
        </w:rPr>
        <w:lastRenderedPageBreak/>
        <w:t>DISCUSSION</w:t>
      </w:r>
    </w:p>
    <w:p w14:paraId="0554B626" w14:textId="77777777" w:rsidR="00AF4121" w:rsidRPr="005C6774" w:rsidRDefault="00AF4121" w:rsidP="00A257AA">
      <w:pPr>
        <w:spacing w:before="240" w:line="360" w:lineRule="auto"/>
        <w:jc w:val="both"/>
      </w:pPr>
      <w:r w:rsidRPr="005C6774">
        <w:t>The results demonstrate that lead acetate administration significantly impairs pancreatic function, evidenced by increased levels of amylase and lipase in Group B (lead acetate only). These enzymes are crucial for digestion, and their elevated levels are indicative of pancreatic damage or dysfunction, particularly pancreatitis or impaired exocrine function. Lead acetate-induced toxicity likely damages pancreatic cells, resulting in the leakage of enzymes into the bloodstream, which is consistent with previous studies showing that lead exposure disrupts the normal functioning of the pancreas by inducing oxidative stress and cellular damage (Abdel Moneim, 2015; Flora et al., 2012).</w:t>
      </w:r>
    </w:p>
    <w:p w14:paraId="1DDC7738" w14:textId="77777777" w:rsidR="00AF4121" w:rsidRPr="005C6774" w:rsidRDefault="00AF4121" w:rsidP="00A257AA">
      <w:pPr>
        <w:spacing w:before="240" w:line="360" w:lineRule="auto"/>
        <w:jc w:val="both"/>
      </w:pPr>
      <w:r w:rsidRPr="005C6774">
        <w:t>The oxidative stress caused by lead exposure generates reactive oxygen species (ROS), which attack pancreatic tissues, leading to inflammation, cell death, and impaired enzyme production. This ultimately disrupts the pancreas’ role in digestion and blood sugar regulation (Tchounwou et al., 2012).</w:t>
      </w:r>
    </w:p>
    <w:p w14:paraId="2DD667A7" w14:textId="77777777" w:rsidR="00AF4121" w:rsidRPr="005C6774" w:rsidRDefault="00AF4121" w:rsidP="00A257AA">
      <w:pPr>
        <w:spacing w:before="240" w:line="360" w:lineRule="auto"/>
        <w:jc w:val="both"/>
      </w:pPr>
      <w:r w:rsidRPr="005C6774">
        <w:t xml:space="preserve">In Groups C, D, and E, which were treated with various doses of </w:t>
      </w:r>
      <w:r w:rsidR="006969E1" w:rsidRPr="005C6774">
        <w:rPr>
          <w:i/>
        </w:rPr>
        <w:t>Brassica oleracea</w:t>
      </w:r>
      <w:r w:rsidRPr="005C6774">
        <w:t xml:space="preserve"> extract, there was a significant reduction in amylase and lipase levels compared to the lead acetate-only group (Group B). Particularly, Group D (moderate dose) showed the most notable improvement, with levels of these enzymes approaching normal. These results suggest that </w:t>
      </w:r>
      <w:r w:rsidR="006969E1" w:rsidRPr="005C6774">
        <w:rPr>
          <w:i/>
        </w:rPr>
        <w:t>Brassica oleracea</w:t>
      </w:r>
      <w:r w:rsidRPr="005C6774">
        <w:t xml:space="preserve"> extract has a</w:t>
      </w:r>
      <w:r w:rsidR="00AD045F" w:rsidRPr="005C6774">
        <w:t>n</w:t>
      </w:r>
      <w:r w:rsidRPr="005C6774">
        <w:t xml:space="preserve"> ameliorative effect on the pancreas, likely due to its rich antioxidant content. This aligns with studies suggesting that </w:t>
      </w:r>
      <w:r w:rsidRPr="005C6774">
        <w:rPr>
          <w:i/>
        </w:rPr>
        <w:t>Brassica oleracea</w:t>
      </w:r>
      <w:r w:rsidRPr="005C6774">
        <w:t xml:space="preserve"> is rich in compounds such as sulforaphane, vitamins C and E, and flavonoids, which help neutralize oxidative stress and support pancreatic health (</w:t>
      </w:r>
      <w:proofErr w:type="spellStart"/>
      <w:r w:rsidRPr="005C6774">
        <w:t>Podsedek</w:t>
      </w:r>
      <w:proofErr w:type="spellEnd"/>
      <w:r w:rsidRPr="005C6774">
        <w:t>, 2007; Verma et al., 2018).</w:t>
      </w:r>
    </w:p>
    <w:p w14:paraId="15533003" w14:textId="77777777" w:rsidR="00AF4121" w:rsidRPr="005C6774" w:rsidRDefault="00AF4121" w:rsidP="00A257AA">
      <w:pPr>
        <w:spacing w:before="240" w:line="360" w:lineRule="auto"/>
        <w:jc w:val="both"/>
      </w:pPr>
      <w:r w:rsidRPr="005C6774">
        <w:t xml:space="preserve">The improvement in pancreatic enzyme levels suggests that </w:t>
      </w:r>
      <w:r w:rsidR="006969E1" w:rsidRPr="005C6774">
        <w:rPr>
          <w:i/>
        </w:rPr>
        <w:t>Brassica oleracea</w:t>
      </w:r>
      <w:r w:rsidRPr="005C6774">
        <w:t xml:space="preserve"> extract helps prevent the breakdown of pancreatic cells, likely by reducing oxidative stress and enhancing the pancreas’ natural defense mechanisms. These findings are in line with other research showing that plant extracts with strong antioxidant properties can protect pancreatic tissues from toxic substances like lead (Khan et al., 2014).</w:t>
      </w:r>
    </w:p>
    <w:p w14:paraId="33659B5D" w14:textId="77777777" w:rsidR="00AF4121" w:rsidRPr="005C6774" w:rsidRDefault="00AF4121" w:rsidP="00A257AA">
      <w:pPr>
        <w:spacing w:before="240" w:line="360" w:lineRule="auto"/>
        <w:jc w:val="both"/>
      </w:pPr>
      <w:r w:rsidRPr="005C6774">
        <w:t xml:space="preserve">Lead acetate exposure is known to cause weight loss, as it affects multiple organs, including the pancreas. In this study, Group B exhibited significant weight loss, which is likely related to </w:t>
      </w:r>
      <w:r w:rsidRPr="005C6774">
        <w:lastRenderedPageBreak/>
        <w:t>impaired pancreatic function, leading to poor nutrient digestion and absorption. The pancreas plays a critical role in breaking down fats, proteins, and carbohydrates, and its dysfunction can result in malnutrition and weight loss (Pereira et al., 2017).</w:t>
      </w:r>
    </w:p>
    <w:p w14:paraId="5C060212" w14:textId="77777777" w:rsidR="00AF4121" w:rsidRPr="005C6774" w:rsidRDefault="00AF4121" w:rsidP="00A257AA">
      <w:pPr>
        <w:spacing w:before="240" w:line="360" w:lineRule="auto"/>
        <w:jc w:val="both"/>
      </w:pPr>
      <w:r w:rsidRPr="005C6774">
        <w:t xml:space="preserve">In contrast, the groups treated with </w:t>
      </w:r>
      <w:r w:rsidR="006969E1" w:rsidRPr="005C6774">
        <w:rPr>
          <w:i/>
        </w:rPr>
        <w:t>Brassica oleracea</w:t>
      </w:r>
      <w:r w:rsidRPr="005C6774">
        <w:t xml:space="preserve"> extract (Groups C, D, and E) showed significant weight recovery, with Group D (moderate dose) demonstrating the most balanced weight gain. This suggests that the </w:t>
      </w:r>
      <w:r w:rsidR="006969E1" w:rsidRPr="005C6774">
        <w:rPr>
          <w:i/>
        </w:rPr>
        <w:t>Brassica oleracea</w:t>
      </w:r>
      <w:r w:rsidRPr="005C6774">
        <w:t xml:space="preserve"> extract not only protected the pancreas but also improved overall metabolic function, likely by restoring proper digestion and nutrient absorption. The antioxidants and anti-inflammatory compounds in </w:t>
      </w:r>
      <w:r w:rsidR="006969E1" w:rsidRPr="005C6774">
        <w:rPr>
          <w:i/>
        </w:rPr>
        <w:t>Brassica oleracea</w:t>
      </w:r>
      <w:r w:rsidRPr="005C6774">
        <w:t xml:space="preserve"> may have contributed to the recovery of both pancreatic function and overall metabolism, leading to better weight outcomes in these groups (</w:t>
      </w:r>
      <w:proofErr w:type="spellStart"/>
      <w:r w:rsidRPr="005C6774">
        <w:t>Podsedek</w:t>
      </w:r>
      <w:proofErr w:type="spellEnd"/>
      <w:r w:rsidRPr="005C6774">
        <w:t>, 2007).</w:t>
      </w:r>
    </w:p>
    <w:p w14:paraId="6D8A4AB9" w14:textId="77777777" w:rsidR="00AF4121" w:rsidRPr="005C6774" w:rsidRDefault="00AF4121" w:rsidP="00A257AA">
      <w:pPr>
        <w:spacing w:before="240" w:line="360" w:lineRule="auto"/>
        <w:jc w:val="both"/>
      </w:pPr>
      <w:r w:rsidRPr="005C6774">
        <w:t>Histological analysis of the pancreatic tissues supports the biochemical findings. In Group B (lead acetate only), the pancreas showed extensive damage, including acinar cell degeneration, inflammation, and necrosis. This level of tissue destruction is consistent with what is expected in lead-induced pancreatic toxicity, where oxidative stress leads to cell death and inflammation (Flora et al., 2012).</w:t>
      </w:r>
    </w:p>
    <w:p w14:paraId="6D618168" w14:textId="77777777" w:rsidR="00AF4121" w:rsidRPr="005C6774" w:rsidRDefault="00AF4121" w:rsidP="00A257AA">
      <w:pPr>
        <w:spacing w:before="240" w:line="360" w:lineRule="auto"/>
        <w:jc w:val="both"/>
      </w:pPr>
      <w:r w:rsidRPr="005C6774">
        <w:t xml:space="preserve">However, in Groups C, D, and E, the administration of </w:t>
      </w:r>
      <w:r w:rsidR="006969E1" w:rsidRPr="005C6774">
        <w:rPr>
          <w:i/>
        </w:rPr>
        <w:t>Brassica oleracea</w:t>
      </w:r>
      <w:r w:rsidRPr="005C6774">
        <w:t xml:space="preserve"> extract resulted in marked improvements in pancreatic architecture. Group D, which received the moderate dose of </w:t>
      </w:r>
      <w:r w:rsidR="006969E1" w:rsidRPr="005C6774">
        <w:rPr>
          <w:i/>
        </w:rPr>
        <w:t>Brassica oleracea</w:t>
      </w:r>
      <w:r w:rsidRPr="005C6774">
        <w:t xml:space="preserve"> extract, exhibited near-normal pancreatic histology, with only mild signs of inflammation and minimal cell damage. This supports the hypothesis that Brassica oleracea helps repair pancreatic tissue by reducing oxidative damage and promoting cellular regeneration (Verma et al., 2018).</w:t>
      </w:r>
    </w:p>
    <w:p w14:paraId="50AE69B1" w14:textId="77777777" w:rsidR="000D0EAF" w:rsidRPr="005C6774" w:rsidRDefault="00AF4121" w:rsidP="00A257AA">
      <w:pPr>
        <w:spacing w:before="240" w:line="360" w:lineRule="auto"/>
        <w:jc w:val="both"/>
      </w:pPr>
      <w:r w:rsidRPr="005C6774">
        <w:t xml:space="preserve">Group E, treated with the highest dose of </w:t>
      </w:r>
      <w:r w:rsidR="006969E1" w:rsidRPr="005C6774">
        <w:rPr>
          <w:i/>
        </w:rPr>
        <w:t>Brassica oleracea</w:t>
      </w:r>
      <w:r w:rsidRPr="005C6774">
        <w:t xml:space="preserve"> extract, also showed improvement, though the extent of recovery was slightly less than in Group D. This suggests that a moderate dose of </w:t>
      </w:r>
      <w:r w:rsidR="006969E1" w:rsidRPr="005C6774">
        <w:rPr>
          <w:i/>
        </w:rPr>
        <w:t>Brassica oleracea</w:t>
      </w:r>
      <w:r w:rsidRPr="005C6774">
        <w:t xml:space="preserve"> extract may be optimal for pancreatic protection, as higher doses may not confer additional benefits and could even result in a plateau effect, where no further improvement is observed (Khan et al., 2014).</w:t>
      </w:r>
    </w:p>
    <w:p w14:paraId="4E198F54" w14:textId="77777777" w:rsidR="006C4B5B" w:rsidRPr="005C6774" w:rsidRDefault="006C4B5B" w:rsidP="00A257AA">
      <w:pPr>
        <w:spacing w:before="240" w:after="100" w:afterAutospacing="1" w:line="360" w:lineRule="auto"/>
        <w:jc w:val="both"/>
      </w:pPr>
      <w:r w:rsidRPr="005C6774">
        <w:t xml:space="preserve">The molecular docking simulations provided valuable insights into the potential therapeutic relevance of bioactive compounds in </w:t>
      </w:r>
      <w:r w:rsidRPr="005C6774">
        <w:rPr>
          <w:i/>
          <w:iCs/>
        </w:rPr>
        <w:t>Brassica oleracea</w:t>
      </w:r>
      <w:r w:rsidRPr="005C6774">
        <w:t xml:space="preserve"> against several biological targets </w:t>
      </w:r>
      <w:r w:rsidRPr="005C6774">
        <w:lastRenderedPageBreak/>
        <w:t>associated with detoxification, inflammation, oxidative stress, apoptosis, and metabolic functions.</w:t>
      </w:r>
      <w:r w:rsidRPr="005C6774">
        <w:br/>
        <w:t xml:space="preserve">The docking results against Metallothionein-1 (MT-1) revealed that neoxanthin exhibited the highest binding affinity (-5.8 kcal/mol) among the phytocompounds, followed closely by kaempferol-3-sophoroside-7-glucoside (-5.7 kcal/mol) and quercetin-3-sophoroside-7-glucoside (-5.6 kcal/mol), outperforming deferoxamine (-3.9 kcal/mol), one of the control chelators. Deferasirox, another control, showed a slightly better score (-5.9 kcal/mol) than neoxanthin, though the differences were minimal. These interactions suggest that these phytocompounds could effectively compete with standard chelating agents in binding metal ions and mitigating metal-induced toxicity (Henson &amp; </w:t>
      </w:r>
      <w:proofErr w:type="spellStart"/>
      <w:r w:rsidRPr="005C6774">
        <w:t>Chedrese</w:t>
      </w:r>
      <w:proofErr w:type="spellEnd"/>
      <w:r w:rsidRPr="005C6774">
        <w:t>, 2021).</w:t>
      </w:r>
      <w:r w:rsidRPr="005C6774">
        <w:br/>
        <w:t xml:space="preserve">Neoxanthin again demonstrated strong interaction with Metallothionein-2 (MT-2) at -6.2 kcal/mol, surpassing both </w:t>
      </w:r>
      <w:proofErr w:type="spellStart"/>
      <w:r w:rsidRPr="005C6774">
        <w:t>dimercaptosuccinic</w:t>
      </w:r>
      <w:proofErr w:type="spellEnd"/>
      <w:r w:rsidRPr="005C6774">
        <w:t xml:space="preserve"> acid (-3.8 kcal/mol) and dimercaprol (-2.7 kcal/mol). Other notable compounds included quercetin-3-sophoroside-7-glucoside and </w:t>
      </w:r>
      <w:proofErr w:type="spellStart"/>
      <w:r w:rsidRPr="005C6774">
        <w:t>glucobrassicin</w:t>
      </w:r>
      <w:proofErr w:type="spellEnd"/>
      <w:r w:rsidRPr="005C6774">
        <w:t>, both at -6.0 kcal/mol. These results highlight the potential of these compounds in chelating heavy metals and modulating MT-2, a protein known to play a vital role in metal detoxification and homeostasis (Palmiter, 2019).</w:t>
      </w:r>
      <w:r w:rsidRPr="005C6774">
        <w:br/>
        <w:t>Neoxanthin showed superior binding affinity (-7.6 kcal/mol) to the NF-</w:t>
      </w:r>
      <w:proofErr w:type="spellStart"/>
      <w:r w:rsidRPr="005C6774">
        <w:t>κB</w:t>
      </w:r>
      <w:proofErr w:type="spellEnd"/>
      <w:r w:rsidRPr="005C6774">
        <w:t xml:space="preserve"> complex compared to both controls—celecoxib (-6.7 kcal/mol) and aspirin (-5.0 kcal/mol). Quercetin derivatives and rutin also demonstrated high affinities, indicating their potential as anti-inflammatory agents through NF-</w:t>
      </w:r>
      <w:proofErr w:type="spellStart"/>
      <w:r w:rsidRPr="005C6774">
        <w:t>κB</w:t>
      </w:r>
      <w:proofErr w:type="spellEnd"/>
      <w:r w:rsidRPr="005C6774">
        <w:t xml:space="preserve"> inhibition (Lawrence, 2009). These interactions may underlie the inflammation-modulating properties attributed to cruciferous vegetables</w:t>
      </w:r>
      <w:r w:rsidR="00AD045F" w:rsidRPr="005C6774">
        <w:t xml:space="preserve"> like cabbage</w:t>
      </w:r>
      <w:r w:rsidRPr="005C6774">
        <w:t>.</w:t>
      </w:r>
      <w:r w:rsidRPr="005C6774">
        <w:br/>
        <w:t xml:space="preserve">Against the apoptosis-related target (1PAU), neoxanthin and β-carotene exhibited the strongest binding affinities at -7.1 kcal/mol. These values surpass those of standard pro-apoptotic agents like </w:t>
      </w:r>
      <w:proofErr w:type="spellStart"/>
      <w:r w:rsidRPr="005C6774">
        <w:t>romidepsin</w:t>
      </w:r>
      <w:proofErr w:type="spellEnd"/>
      <w:r w:rsidRPr="005C6774">
        <w:t xml:space="preserve"> (-5.6 kcal/mol) and </w:t>
      </w:r>
      <w:proofErr w:type="spellStart"/>
      <w:r w:rsidRPr="005C6774">
        <w:t>vorinostat</w:t>
      </w:r>
      <w:proofErr w:type="spellEnd"/>
      <w:r w:rsidRPr="005C6774">
        <w:t xml:space="preserve"> (-5.4 kcal/mol). The results suggest that neoxanthin and β-carotene may support apoptosis induction in damaged or mutated cells, contributing to chemoprevention (Elmore, 2007).</w:t>
      </w:r>
      <w:r w:rsidRPr="005C6774">
        <w:br/>
        <w:t xml:space="preserve">Rutin emerged as a potent ligand with an affinity of -9.1 kcal/mol against the pancreatic enzyme target, followed by kaempferol-3-sophoroside-7-glucoside (-8.5 kcal/mol) and quercetin derivatives (-8.1 kcal/mol), all outperforming the antidiabetic drugs sitagliptin (-7.7 kcal/mol) and metformin (-5.0 kcal/mol). These findings support the antidiabetic potential of </w:t>
      </w:r>
      <w:r w:rsidRPr="005C6774">
        <w:rPr>
          <w:i/>
          <w:iCs/>
        </w:rPr>
        <w:t>Brassica oleracea</w:t>
      </w:r>
      <w:r w:rsidRPr="005C6774">
        <w:t xml:space="preserve"> phytoconstituents, possibly via modulation of glucose metabolism or pancreatic β-cell protection (American Diabetes Association, 2020).</w:t>
      </w:r>
      <w:r w:rsidRPr="005C6774">
        <w:br/>
      </w:r>
      <w:r w:rsidRPr="005C6774">
        <w:lastRenderedPageBreak/>
        <w:t>Apigenin (-6.8 kcal/mol), kaempferol (-6.7 kcal/mol), and luteolin (-6.7 kcal/mol) showed better affinities than glutathione (-5.0 kcal/mol) and N-acetylcysteine (-4.0 kcal/mol). Since GSTs are critical in detoxification through glutathione conjugation, these compounds may enhance endogenous detox pathways and contribute to xenobiotic met</w:t>
      </w:r>
      <w:r w:rsidR="00AD045F" w:rsidRPr="005C6774">
        <w:t>abolism (Sheehan et al., 2001).</w:t>
      </w:r>
      <w:r w:rsidRPr="005C6774">
        <w:br/>
        <w:t xml:space="preserve">Rutin showed an exceptionally strong binding affinity (-11.7 kcal/mol) against the oxidative stress-related target, followed by apigenin (-10.0 kcal/mol) and </w:t>
      </w:r>
      <w:proofErr w:type="spellStart"/>
      <w:r w:rsidRPr="005C6774">
        <w:t>glucobrassicin</w:t>
      </w:r>
      <w:proofErr w:type="spellEnd"/>
      <w:r w:rsidRPr="005C6774">
        <w:t xml:space="preserve"> (-9.9 kcal/mol). These values were significantly better than those of known antioxidants like butylated hydroxytoluene (-6.9 kcal/mol) and ascorbic acid (-5.7 kcal/mol), emphasizing the antioxidant potency of these bioactive compounds (</w:t>
      </w:r>
      <w:proofErr w:type="spellStart"/>
      <w:r w:rsidRPr="005C6774">
        <w:t>Pisoschi</w:t>
      </w:r>
      <w:proofErr w:type="spellEnd"/>
      <w:r w:rsidRPr="005C6774">
        <w:t xml:space="preserve"> &amp; Pop, 2015).</w:t>
      </w:r>
    </w:p>
    <w:p w14:paraId="459C7629" w14:textId="77777777" w:rsidR="006C4B5B" w:rsidRPr="005C6774" w:rsidRDefault="006C4B5B" w:rsidP="00A257AA">
      <w:pPr>
        <w:spacing w:before="240" w:after="100" w:afterAutospacing="1" w:line="360" w:lineRule="auto"/>
        <w:jc w:val="both"/>
      </w:pPr>
      <w:r w:rsidRPr="005C6774">
        <w:t xml:space="preserve">The docking results consistently identified neoxanthin, rutin, quercetin-3-sophoroside-7-glucoside, apigenin, and kaempferol derivatives as leading bioactive candidates across multiple targets. Their superior binding affinities suggest that they could simultaneously modulate multiple pathological pathways, including metal chelation, inflammation, oxidative stress, apoptosis, and glucose metabolism. These findings support the therapeutic potential of </w:t>
      </w:r>
      <w:r w:rsidRPr="005C6774">
        <w:rPr>
          <w:i/>
          <w:iCs/>
        </w:rPr>
        <w:t>Brassica oleracea</w:t>
      </w:r>
      <w:r w:rsidRPr="005C6774">
        <w:t xml:space="preserve"> in managing complex disorders such as heavy metal toxicity, diabetes, and chronic inflammation through a multi-target approach.</w:t>
      </w:r>
    </w:p>
    <w:p w14:paraId="1E6DEB46" w14:textId="77777777" w:rsidR="006162C7" w:rsidRPr="005C6774" w:rsidRDefault="006162C7" w:rsidP="00A257AA">
      <w:pPr>
        <w:spacing w:before="240" w:after="100" w:afterAutospacing="1" w:line="360" w:lineRule="auto"/>
        <w:jc w:val="both"/>
      </w:pPr>
      <w:r w:rsidRPr="005C6774">
        <w:t xml:space="preserve">The molecular docking analysis of bioactive compounds from </w:t>
      </w:r>
      <w:r w:rsidRPr="005C6774">
        <w:rPr>
          <w:i/>
          <w:iCs/>
        </w:rPr>
        <w:t>Brassica oleracea</w:t>
      </w:r>
      <w:r w:rsidRPr="005C6774">
        <w:t xml:space="preserve"> reveals detailed interaction profiles with several key proteins implicated in metal detoxification, inflammation, apoptosis, pancreatic function, glutathione metabolism, and oxidative stress. These interactions help elucidate the mechanistic basis for the pharmacological potential of these phytochemicals.</w:t>
      </w:r>
    </w:p>
    <w:p w14:paraId="79E790E0" w14:textId="77777777" w:rsidR="006162C7" w:rsidRPr="005C6774" w:rsidRDefault="006162C7" w:rsidP="00A257AA">
      <w:pPr>
        <w:spacing w:before="240" w:after="100" w:afterAutospacing="1" w:line="360" w:lineRule="auto"/>
        <w:jc w:val="both"/>
      </w:pPr>
      <w:r w:rsidRPr="005C6774">
        <w:t xml:space="preserve">Neoxanthin’s hydrogen bonding with </w:t>
      </w:r>
      <w:r w:rsidRPr="005C6774">
        <w:rPr>
          <w:bCs/>
        </w:rPr>
        <w:t>ALA61</w:t>
      </w:r>
      <w:r w:rsidRPr="005C6774">
        <w:t xml:space="preserve"> in metallothionein-1 (1MHU) and </w:t>
      </w:r>
      <w:r w:rsidRPr="005C6774">
        <w:rPr>
          <w:bCs/>
        </w:rPr>
        <w:t>LYS22</w:t>
      </w:r>
      <w:r w:rsidRPr="005C6774">
        <w:t xml:space="preserve"> in metallothionein-2 (2MHU), along with extensive van der Waals contacts with cysteine and lysine residues, corroborate its role in modulating metal-binding proteins. Similar interactions with cysteine-rich residues have been documented as critical for metallothionein function (Zhang et al., 2021), where binding of antioxidants stabilized metallothionein structure to enhance heavy metal chelation. </w:t>
      </w:r>
      <w:r w:rsidR="00AD045F" w:rsidRPr="005C6774">
        <w:t>The</w:t>
      </w:r>
      <w:r w:rsidRPr="005C6774">
        <w:t xml:space="preserve"> docking results support these findings, demonstrating that neoxanthin likely contributes to metallothionein’s metal detoxification by stabilizing critical binding residues.</w:t>
      </w:r>
    </w:p>
    <w:p w14:paraId="43ADE746" w14:textId="77777777" w:rsidR="006162C7" w:rsidRPr="005C6774" w:rsidRDefault="006162C7" w:rsidP="00A257AA">
      <w:pPr>
        <w:spacing w:before="240" w:after="100" w:afterAutospacing="1" w:line="360" w:lineRule="auto"/>
        <w:jc w:val="both"/>
      </w:pPr>
      <w:r w:rsidRPr="005C6774">
        <w:lastRenderedPageBreak/>
        <w:t xml:space="preserve">The conventional hydrogen bonds with </w:t>
      </w:r>
      <w:r w:rsidRPr="005C6774">
        <w:rPr>
          <w:bCs/>
        </w:rPr>
        <w:t>GLU296</w:t>
      </w:r>
      <w:r w:rsidRPr="005C6774">
        <w:t xml:space="preserve"> and </w:t>
      </w:r>
      <w:r w:rsidRPr="005C6774">
        <w:rPr>
          <w:bCs/>
        </w:rPr>
        <w:t>TRP295</w:t>
      </w:r>
      <w:r w:rsidRPr="005C6774">
        <w:t xml:space="preserve"> and π interactions around </w:t>
      </w:r>
      <w:r w:rsidRPr="005C6774">
        <w:rPr>
          <w:bCs/>
        </w:rPr>
        <w:t>PHE298</w:t>
      </w:r>
      <w:r w:rsidRPr="005C6774">
        <w:t xml:space="preserve"> highlight neoxanthin’s ability to bind and potentially inhibit NF-</w:t>
      </w:r>
      <w:proofErr w:type="spellStart"/>
      <w:r w:rsidRPr="005C6774">
        <w:t>κB</w:t>
      </w:r>
      <w:proofErr w:type="spellEnd"/>
      <w:r w:rsidRPr="005C6774">
        <w:t>, a master regulator of inflammation. Recent work by Chen et al. (2022) showed that flavonoids inhibit NF-</w:t>
      </w:r>
      <w:proofErr w:type="spellStart"/>
      <w:r w:rsidRPr="005C6774">
        <w:t>κB</w:t>
      </w:r>
      <w:proofErr w:type="spellEnd"/>
      <w:r w:rsidRPr="005C6774">
        <w:t xml:space="preserve"> by stabilizing similar residues in the DNA-binding domain, suppressing inflammatory gene transcription. </w:t>
      </w:r>
      <w:r w:rsidR="001915EF" w:rsidRPr="005C6774">
        <w:t>The</w:t>
      </w:r>
      <w:r w:rsidRPr="005C6774">
        <w:t xml:space="preserve"> results extend this by implicating neoxanthin, a carotenoid, in a comparable mechanism, consistent with its reported anti-inflammatory effe</w:t>
      </w:r>
      <w:r w:rsidR="001915EF" w:rsidRPr="005C6774">
        <w:t>cts in vivo (Liu et al., 2023).</w:t>
      </w:r>
    </w:p>
    <w:p w14:paraId="018E32B0" w14:textId="77777777" w:rsidR="006162C7" w:rsidRPr="005C6774" w:rsidRDefault="006162C7" w:rsidP="00A257AA">
      <w:pPr>
        <w:spacing w:before="240" w:after="100" w:afterAutospacing="1" w:line="360" w:lineRule="auto"/>
        <w:jc w:val="both"/>
      </w:pPr>
      <w:r w:rsidRPr="005C6774">
        <w:t xml:space="preserve">Though lacking strong hydrogen bonding, neoxanthin’s van der Waals and π-alkyl interactions with residues such as </w:t>
      </w:r>
      <w:r w:rsidRPr="005C6774">
        <w:rPr>
          <w:bCs/>
        </w:rPr>
        <w:t>LYS358</w:t>
      </w:r>
      <w:r w:rsidRPr="005C6774">
        <w:t xml:space="preserve"> and </w:t>
      </w:r>
      <w:r w:rsidRPr="005C6774">
        <w:rPr>
          <w:bCs/>
        </w:rPr>
        <w:t>PHE366</w:t>
      </w:r>
      <w:r w:rsidRPr="005C6774">
        <w:t xml:space="preserve"> may influence apoptosis modulation. These hydrophobic contacts align with observations from Singh </w:t>
      </w:r>
      <w:r w:rsidR="001915EF" w:rsidRPr="005C6774">
        <w:t>et al.</w:t>
      </w:r>
      <w:r w:rsidRPr="005C6774">
        <w:t xml:space="preserve"> (2021), who noted that carotenoids modulate apoptotic proteins mainly through hydrophobic interactions, facilitating conformational changes that promote program</w:t>
      </w:r>
      <w:r w:rsidR="001915EF" w:rsidRPr="005C6774">
        <w:t>med cell death in cancer cells.</w:t>
      </w:r>
    </w:p>
    <w:p w14:paraId="473B3DA3" w14:textId="77777777" w:rsidR="001915EF" w:rsidRPr="005C6774" w:rsidRDefault="006162C7" w:rsidP="00A257AA">
      <w:pPr>
        <w:spacing w:before="240" w:after="100" w:afterAutospacing="1" w:line="360" w:lineRule="auto"/>
        <w:jc w:val="both"/>
      </w:pPr>
      <w:r w:rsidRPr="005C6774">
        <w:t xml:space="preserve">Rutin’s multiple hydrogen bonds with </w:t>
      </w:r>
      <w:r w:rsidRPr="005C6774">
        <w:rPr>
          <w:bCs/>
        </w:rPr>
        <w:t>THR228</w:t>
      </w:r>
      <w:r w:rsidRPr="005C6774">
        <w:t xml:space="preserve">, </w:t>
      </w:r>
      <w:r w:rsidRPr="005C6774">
        <w:rPr>
          <w:bCs/>
        </w:rPr>
        <w:t>ASP78</w:t>
      </w:r>
      <w:r w:rsidRPr="005C6774">
        <w:t xml:space="preserve">, and </w:t>
      </w:r>
      <w:r w:rsidRPr="005C6774">
        <w:rPr>
          <w:bCs/>
        </w:rPr>
        <w:t>ASP409</w:t>
      </w:r>
      <w:r w:rsidRPr="005C6774">
        <w:t xml:space="preserve">, and π-anion interaction with </w:t>
      </w:r>
      <w:r w:rsidRPr="005C6774">
        <w:rPr>
          <w:bCs/>
        </w:rPr>
        <w:t>GLU443</w:t>
      </w:r>
      <w:r w:rsidRPr="005C6774">
        <w:t xml:space="preserve">, suggest a robust binding mode, surpassing that of the controls (sitagliptin, metformin). This agrees with recent reports (Kumar et al., 2023), where rutin enhanced pancreatic beta-cell function by stabilizing active sites of pancreatic enzymes, supporting glycemic control. The unfavorable donor-donor interactions observed here were also noted in other docking studies but did not significantly affect overall binding </w:t>
      </w:r>
      <w:r w:rsidR="001915EF" w:rsidRPr="005C6774">
        <w:t>stability (Patel et al., 2021).</w:t>
      </w:r>
    </w:p>
    <w:p w14:paraId="46B87CCB" w14:textId="77777777" w:rsidR="006162C7" w:rsidRPr="005C6774" w:rsidRDefault="006162C7" w:rsidP="00A257AA">
      <w:pPr>
        <w:spacing w:before="240" w:after="100" w:afterAutospacing="1" w:line="360" w:lineRule="auto"/>
        <w:jc w:val="both"/>
      </w:pPr>
      <w:r w:rsidRPr="005C6774">
        <w:t xml:space="preserve">Apigenin’s hydrogen bond with </w:t>
      </w:r>
      <w:r w:rsidRPr="005C6774">
        <w:rPr>
          <w:bCs/>
        </w:rPr>
        <w:t>TYR115</w:t>
      </w:r>
      <w:r w:rsidRPr="005C6774">
        <w:t xml:space="preserve">, π-π stacking with </w:t>
      </w:r>
      <w:r w:rsidRPr="005C6774">
        <w:rPr>
          <w:bCs/>
        </w:rPr>
        <w:t>PHE208</w:t>
      </w:r>
      <w:r w:rsidRPr="005C6774">
        <w:t xml:space="preserve">, and multiple van der Waals interactions align well with literature emphasizing apigenin’s role in activating GST enzymes (Wang et al., 2020). GST activation is crucial in detoxification pathways and antioxidant defense, and </w:t>
      </w:r>
      <w:r w:rsidR="001915EF" w:rsidRPr="005C6774">
        <w:t>the present</w:t>
      </w:r>
      <w:r w:rsidRPr="005C6774">
        <w:t xml:space="preserve"> docking</w:t>
      </w:r>
      <w:r w:rsidR="001915EF" w:rsidRPr="005C6774">
        <w:t xml:space="preserve"> result</w:t>
      </w:r>
      <w:r w:rsidRPr="005C6774">
        <w:t xml:space="preserve"> confirms apigenin’s favorable interactions with residues implicated in catalysis and substrate binding, supp</w:t>
      </w:r>
      <w:r w:rsidR="001915EF" w:rsidRPr="005C6774">
        <w:t>orting its therapeutic promise.</w:t>
      </w:r>
    </w:p>
    <w:p w14:paraId="2E98503D" w14:textId="77777777" w:rsidR="006162C7" w:rsidRPr="005C6774" w:rsidRDefault="006162C7" w:rsidP="00A257AA">
      <w:pPr>
        <w:spacing w:before="240" w:after="100" w:afterAutospacing="1" w:line="360" w:lineRule="auto"/>
        <w:jc w:val="both"/>
      </w:pPr>
      <w:r w:rsidRPr="005C6774">
        <w:t>Rutin’s extensive hydrogen bonding with charged residues (</w:t>
      </w:r>
      <w:r w:rsidRPr="005C6774">
        <w:rPr>
          <w:bCs/>
        </w:rPr>
        <w:t>ARG199</w:t>
      </w:r>
      <w:r w:rsidRPr="005C6774">
        <w:t xml:space="preserve">, </w:t>
      </w:r>
      <w:r w:rsidRPr="005C6774">
        <w:rPr>
          <w:bCs/>
        </w:rPr>
        <w:t>GLU377</w:t>
      </w:r>
      <w:r w:rsidRPr="005C6774">
        <w:t>) and π-π stacking with aromatic residues (</w:t>
      </w:r>
      <w:r w:rsidRPr="005C6774">
        <w:rPr>
          <w:bCs/>
        </w:rPr>
        <w:t>PHE369</w:t>
      </w:r>
      <w:r w:rsidRPr="005C6774">
        <w:t xml:space="preserve">, </w:t>
      </w:r>
      <w:r w:rsidRPr="005C6774">
        <w:rPr>
          <w:bCs/>
        </w:rPr>
        <w:t>TRP194</w:t>
      </w:r>
      <w:r w:rsidRPr="005C6774">
        <w:t xml:space="preserve">) indicate strong antioxidant binding potential. These findings resonate with the recent study by Gonzalez et al. (2024), where rutin’s ability to quench reactive oxygen species was attributed to its tight binding within antioxidant enzyme active sites, mediated by similar amino acid interactions. The strong binding affinity (-11.7 kcal/mol) from </w:t>
      </w:r>
      <w:r w:rsidR="001915EF" w:rsidRPr="005C6774">
        <w:t>this</w:t>
      </w:r>
      <w:r w:rsidRPr="005C6774">
        <w:t xml:space="preserve"> study further strengthens rutin’s potential as a pot</w:t>
      </w:r>
      <w:r w:rsidR="001915EF" w:rsidRPr="005C6774">
        <w:t>ent oxidative stress mitigator.</w:t>
      </w:r>
    </w:p>
    <w:p w14:paraId="244AFB7E" w14:textId="77777777" w:rsidR="006162C7" w:rsidRPr="005C6774" w:rsidRDefault="001915EF" w:rsidP="00A257AA">
      <w:pPr>
        <w:spacing w:before="240" w:after="100" w:afterAutospacing="1" w:line="360" w:lineRule="auto"/>
        <w:jc w:val="both"/>
      </w:pPr>
      <w:r w:rsidRPr="005C6774">
        <w:lastRenderedPageBreak/>
        <w:t>However, the</w:t>
      </w:r>
      <w:r w:rsidR="006162C7" w:rsidRPr="005C6774">
        <w:t xml:space="preserve"> binding profiles observed for neoxanthin, rutin, and apigenin with their respective protein targets are consistent with recent biochemical and docking studies, underscoring the validity of these phytochemicals as bioactive agents. Their ability to form stable hydrogen bonds, hydrophobic, and π-interactions with critical residues supports mechanisms for detoxification, anti-inflammatory, apoptotic, and antioxidant effects rep</w:t>
      </w:r>
      <w:r w:rsidRPr="005C6774">
        <w:t xml:space="preserve">orted in contemporary research. </w:t>
      </w:r>
      <w:r w:rsidR="006162C7" w:rsidRPr="005C6774">
        <w:t xml:space="preserve">This comparison highlights that </w:t>
      </w:r>
      <w:r w:rsidR="006162C7" w:rsidRPr="005C6774">
        <w:rPr>
          <w:i/>
          <w:iCs/>
        </w:rPr>
        <w:t>Brassica oleracea</w:t>
      </w:r>
      <w:r w:rsidR="006162C7" w:rsidRPr="005C6774">
        <w:t xml:space="preserve"> compounds could be valuable leads for drug development targeting oxidative stress, inflammation, metabolic disorders, and heavy metal toxicity.</w:t>
      </w:r>
    </w:p>
    <w:p w14:paraId="6B9EE79D" w14:textId="77777777" w:rsidR="00625A0B" w:rsidRPr="005C6774" w:rsidRDefault="00625A0B" w:rsidP="00A257AA">
      <w:pPr>
        <w:spacing w:before="240" w:after="100" w:afterAutospacing="1" w:line="360" w:lineRule="auto"/>
        <w:jc w:val="both"/>
      </w:pPr>
      <w:r w:rsidRPr="005C6774">
        <w:t xml:space="preserve">The pharmacokinetic properties of drug candidates are crucial for determining their therapeutic viability, particularly in terms of their absorption, distribution, metabolism, and excretion (ADME). The ADME profile of three bioactive compounds derived from </w:t>
      </w:r>
      <w:r w:rsidRPr="005C6774">
        <w:rPr>
          <w:i/>
          <w:iCs/>
        </w:rPr>
        <w:t>Brassica oleracea</w:t>
      </w:r>
      <w:r w:rsidR="001915EF" w:rsidRPr="005C6774">
        <w:t xml:space="preserve"> neoxanthin, rutin, and apigenin </w:t>
      </w:r>
      <w:r w:rsidRPr="005C6774">
        <w:t>reveals distinctive pharmacokinetic behaviors that may influence their bioavailability and biological efficacy.</w:t>
      </w:r>
    </w:p>
    <w:p w14:paraId="4A285FE1" w14:textId="77777777" w:rsidR="00625A0B" w:rsidRPr="005C6774" w:rsidRDefault="00625A0B" w:rsidP="00A257AA">
      <w:pPr>
        <w:spacing w:before="240" w:after="100" w:afterAutospacing="1" w:line="360" w:lineRule="auto"/>
        <w:jc w:val="both"/>
      </w:pPr>
      <w:r w:rsidRPr="005C6774">
        <w:rPr>
          <w:bCs/>
        </w:rPr>
        <w:t>Absorption</w:t>
      </w:r>
      <w:r w:rsidRPr="005C6774">
        <w:t xml:space="preserve"> is a vital component that determines the degree to which a compound enters systemic circulation. The Caco-2 permeability scores for neoxanthin (-5.003), rutin (-6.547), and apigenin (-5.129) suggest relatively low intestinal permeability, with rutin exhibiting the poorest absorption. This is in line with previous reports indicating that glycosylated flavonoids like rutin exhibit poor membrane permeability due to their high molecular weight and hydrophilicity (</w:t>
      </w:r>
      <w:proofErr w:type="spellStart"/>
      <w:r w:rsidRPr="005C6774">
        <w:t>Manach</w:t>
      </w:r>
      <w:proofErr w:type="spellEnd"/>
      <w:r w:rsidRPr="005C6774">
        <w:t xml:space="preserve"> et al., 2005). While all three compounds are substrates of P-glycoprotein (P-</w:t>
      </w:r>
      <w:proofErr w:type="spellStart"/>
      <w:r w:rsidRPr="005C6774">
        <w:t>gp</w:t>
      </w:r>
      <w:proofErr w:type="spellEnd"/>
      <w:r w:rsidRPr="005C6774">
        <w:t>), which may further limit their absorption by promoting efflux from intestinal cells, only neoxanthin shows a relatively high P-</w:t>
      </w:r>
      <w:proofErr w:type="spellStart"/>
      <w:r w:rsidRPr="005C6774">
        <w:t>gp</w:t>
      </w:r>
      <w:proofErr w:type="spellEnd"/>
      <w:r w:rsidRPr="005C6774">
        <w:t xml:space="preserve"> substrate probability (0.999), suggesting a strong affinity for efflux, consistent with earlier findings on carotenoid compounds (Wang et al., 2020). Conversely, their human intestinal absorption (HIA) values indicate poor oral absorption, with neoxanthin and apigenin exhibiting extremely low HIA scores (0.000 and 0.002, respectively), while rutin shows moderate absorption potential (0.640). Despite this, all three compounds demonstrate high predicted oral </w:t>
      </w:r>
      <w:r w:rsidRPr="005C6774">
        <w:rPr>
          <w:bCs/>
        </w:rPr>
        <w:t>bioavailability</w:t>
      </w:r>
      <w:r w:rsidRPr="005C6774">
        <w:t>, exceeding 98%, likely due to favorable metabolic stability or active transport mechanisms (Li et al., 2019).</w:t>
      </w:r>
    </w:p>
    <w:p w14:paraId="09F31FAC" w14:textId="77777777" w:rsidR="00625A0B" w:rsidRPr="005C6774" w:rsidRDefault="00625A0B" w:rsidP="00A257AA">
      <w:pPr>
        <w:spacing w:before="240" w:after="100" w:afterAutospacing="1" w:line="360" w:lineRule="auto"/>
        <w:jc w:val="both"/>
      </w:pPr>
      <w:r w:rsidRPr="005C6774">
        <w:t xml:space="preserve">In terms of </w:t>
      </w:r>
      <w:r w:rsidRPr="005C6774">
        <w:rPr>
          <w:bCs/>
        </w:rPr>
        <w:t>distribution</w:t>
      </w:r>
      <w:r w:rsidRPr="005C6774">
        <w:t xml:space="preserve">, the compounds interact with key transporters. Neoxanthin and rutin display high affinity for OATP1B1 and OATP1B3 transporters (values near or equal to 1.000), </w:t>
      </w:r>
      <w:r w:rsidRPr="005C6774">
        <w:lastRenderedPageBreak/>
        <w:t xml:space="preserve">which are crucial in hepatic uptake, suggesting a propensity for liver accumulation. This may be beneficial for hepatic or systemic inflammatory conditions. Apigenin, although slightly lower in OATP interaction, still shows strong transporter affinity. Additionally, neoxanthin strongly interacts with the bile salt export pump (BSEP, 1.000), indicating a potential for biliary excretion, whereas rutin exhibits a minimal BSEP interaction (0.002), implying limited bile-mediated clearance. Interestingly, only apigenin shows a slight potential to cross the </w:t>
      </w:r>
      <w:r w:rsidRPr="005C6774">
        <w:rPr>
          <w:bCs/>
        </w:rPr>
        <w:t>blood–brain barrier</w:t>
      </w:r>
      <w:r w:rsidRPr="005C6774">
        <w:t xml:space="preserve"> (BBB, 0.013), indicating a possible central nervous system (CNS) effect, albeit minimal. The </w:t>
      </w:r>
      <w:r w:rsidRPr="005C6774">
        <w:rPr>
          <w:bCs/>
        </w:rPr>
        <w:t>plasma protein binding (PPB)</w:t>
      </w:r>
      <w:r w:rsidRPr="005C6774">
        <w:t xml:space="preserve"> values are high across all compounds (&gt;85%), with apigenin reaching the highest binding (96.535%), indicating a low free plasma concentration, which might affect its pharmacodynamics. High PPB can prolong half-life but may also reduce immediate therapeutic efficacy (Rowland &amp; Tozer, 2011).</w:t>
      </w:r>
    </w:p>
    <w:p w14:paraId="4F12B04C" w14:textId="77777777" w:rsidR="00625A0B" w:rsidRPr="005C6774" w:rsidRDefault="00625A0B" w:rsidP="00A257AA">
      <w:pPr>
        <w:spacing w:before="240" w:after="100" w:afterAutospacing="1" w:line="360" w:lineRule="auto"/>
        <w:jc w:val="both"/>
      </w:pPr>
      <w:r w:rsidRPr="005C6774">
        <w:t xml:space="preserve">The </w:t>
      </w:r>
      <w:r w:rsidRPr="005C6774">
        <w:rPr>
          <w:bCs/>
        </w:rPr>
        <w:t>metabolism</w:t>
      </w:r>
      <w:r w:rsidRPr="005C6774">
        <w:t xml:space="preserve"> profiles highlight varying degrees of interaction with cytochrome P450 (CYP) enzymes. Apigenin is notably active as a </w:t>
      </w:r>
      <w:r w:rsidRPr="005C6774">
        <w:rPr>
          <w:bCs/>
        </w:rPr>
        <w:t>CYP1A2 inhibitor and substrate</w:t>
      </w:r>
      <w:r w:rsidRPr="005C6774">
        <w:t xml:space="preserve">, along with significant interaction with </w:t>
      </w:r>
      <w:r w:rsidRPr="005C6774">
        <w:rPr>
          <w:bCs/>
        </w:rPr>
        <w:t>CYP2D6</w:t>
      </w:r>
      <w:r w:rsidRPr="005C6774">
        <w:t xml:space="preserve"> and </w:t>
      </w:r>
      <w:r w:rsidRPr="005C6774">
        <w:rPr>
          <w:bCs/>
        </w:rPr>
        <w:t>CYP3A4</w:t>
      </w:r>
      <w:r w:rsidRPr="005C6774">
        <w:t xml:space="preserve">, all crucial enzymes in xenobiotic metabolism. Such involvement could result in potential </w:t>
      </w:r>
      <w:r w:rsidRPr="005C6774">
        <w:rPr>
          <w:bCs/>
        </w:rPr>
        <w:t>drug–drug interactions</w:t>
      </w:r>
      <w:r w:rsidRPr="005C6774">
        <w:t xml:space="preserve"> (DDIs), making apigenin both a metabolic substrate and inhibitor (Guengerich, 2020). In contrast, neoxanthin and rutin show minimal interaction with most CYP enzymes, potentially reducing the likelihood of adverse DDIs. However, all three compounds demonstrate strong </w:t>
      </w:r>
      <w:r w:rsidRPr="005C6774">
        <w:rPr>
          <w:bCs/>
        </w:rPr>
        <w:t>CYP2C8 inhibition</w:t>
      </w:r>
      <w:r w:rsidRPr="005C6774">
        <w:t xml:space="preserve"> (&gt;0.999), which could influence the metabolism of co-administered drugs processed by this enzyme, warranting caution in combinational therapies.</w:t>
      </w:r>
    </w:p>
    <w:p w14:paraId="1B0230E6" w14:textId="77777777" w:rsidR="00625A0B" w:rsidRPr="005C6774" w:rsidRDefault="00625A0B" w:rsidP="00A257AA">
      <w:pPr>
        <w:spacing w:before="240" w:after="100" w:afterAutospacing="1" w:line="360" w:lineRule="auto"/>
        <w:jc w:val="both"/>
      </w:pPr>
      <w:r w:rsidRPr="005C6774">
        <w:t xml:space="preserve">Regarding </w:t>
      </w:r>
      <w:r w:rsidRPr="005C6774">
        <w:rPr>
          <w:bCs/>
        </w:rPr>
        <w:t>excretion</w:t>
      </w:r>
      <w:r w:rsidRPr="005C6774">
        <w:t xml:space="preserve">, the predicted plasma clearance (cl-plasma) values vary significantly, with neoxanthin showing the highest clearance rate (7.932 mL/min/kg), followed by apigenin (5.939 mL/min/kg), and rutin the lowest (1.611 mL/min/kg). This indicates that neoxanthin is rapidly cleared from the body, possibly limiting its duration of action. Rutin's prolonged </w:t>
      </w:r>
      <w:r w:rsidRPr="005C6774">
        <w:rPr>
          <w:bCs/>
        </w:rPr>
        <w:t>half-life (t0.5 = 4.616 hours)</w:t>
      </w:r>
      <w:r w:rsidRPr="005C6774">
        <w:t xml:space="preserve"> compared to neoxanthin (0.960 hours) and apigenin (1.203 hours) suggests sustained circulation, which may enhance its efficacy for prolonged therapeutic needs, a feature noted in previous pharmacokinetic studies on flavonoids (</w:t>
      </w:r>
      <w:proofErr w:type="spellStart"/>
      <w:r w:rsidRPr="005C6774">
        <w:t>Shimoi</w:t>
      </w:r>
      <w:proofErr w:type="spellEnd"/>
      <w:r w:rsidRPr="005C6774">
        <w:t xml:space="preserve"> et al., 2001).</w:t>
      </w:r>
    </w:p>
    <w:p w14:paraId="3E1AA080" w14:textId="77777777" w:rsidR="00625A0B" w:rsidRPr="005C6774" w:rsidRDefault="00625A0B" w:rsidP="00A257AA">
      <w:pPr>
        <w:spacing w:before="240" w:after="100" w:afterAutospacing="1" w:line="360" w:lineRule="auto"/>
        <w:jc w:val="both"/>
      </w:pPr>
      <w:r w:rsidRPr="005C6774">
        <w:t xml:space="preserve">Comparing these findings with recent literature, a study by Lin et al. (2023) affirmed that apigenin exhibits strong metabolic and efflux properties due to its interaction with multiple CYP enzymes </w:t>
      </w:r>
      <w:r w:rsidRPr="005C6774">
        <w:lastRenderedPageBreak/>
        <w:t>and transporters, corroborating our findings. Similarly, Sahu and Panda (2022) highlighted the poor intestinal absorption and high protein binding of rutin, emphasizing the need for formulation strategies to enhance its bioavailability. Neoxanthin, although less commonly studied, aligns with carotenoid pharmacokinetics reported by Paur et al. (2021), which noted low HIA but efficient hepatic distribution and rapid clearance.</w:t>
      </w:r>
    </w:p>
    <w:p w14:paraId="1E8C2A24" w14:textId="77777777" w:rsidR="00625A0B" w:rsidRPr="005C6774" w:rsidRDefault="001915EF" w:rsidP="00A257AA">
      <w:pPr>
        <w:spacing w:before="240" w:after="100" w:afterAutospacing="1" w:line="360" w:lineRule="auto"/>
        <w:jc w:val="both"/>
      </w:pPr>
      <w:r w:rsidRPr="005C6774">
        <w:t xml:space="preserve">While </w:t>
      </w:r>
      <w:r w:rsidR="00625A0B" w:rsidRPr="005C6774">
        <w:t xml:space="preserve">all three compounds from </w:t>
      </w:r>
      <w:r w:rsidR="00625A0B" w:rsidRPr="005C6774">
        <w:rPr>
          <w:i/>
          <w:iCs/>
        </w:rPr>
        <w:t>Brassica oleracea</w:t>
      </w:r>
      <w:r w:rsidR="00625A0B" w:rsidRPr="005C6774">
        <w:t xml:space="preserve"> present unique pharmacokinetic strengths and limitations, neoxanthin and apigenin appear favorable in terms of rapid metabolism and transporter interactions, whereas rutin’s prolonged half-life and high PPB suggest potential for sustained therapeutic effects. However, their low intestinal absorption and high P-</w:t>
      </w:r>
      <w:proofErr w:type="spellStart"/>
      <w:r w:rsidR="00625A0B" w:rsidRPr="005C6774">
        <w:t>gp</w:t>
      </w:r>
      <w:proofErr w:type="spellEnd"/>
      <w:r w:rsidR="00625A0B" w:rsidRPr="005C6774">
        <w:t xml:space="preserve"> substrate affinity necessitate advanced formulation strategies such as nanoparticles or co-administration with absorption enhancers to optimize their clinical utility.</w:t>
      </w:r>
    </w:p>
    <w:p w14:paraId="0239602D" w14:textId="77777777" w:rsidR="00625A0B" w:rsidRPr="005C6774" w:rsidRDefault="00625A0B" w:rsidP="00A257AA">
      <w:pPr>
        <w:spacing w:before="240" w:after="100" w:afterAutospacing="1" w:line="360" w:lineRule="auto"/>
        <w:jc w:val="both"/>
      </w:pPr>
      <w:r w:rsidRPr="005C6774">
        <w:t xml:space="preserve">The evaluation of physiochemical properties remains pivotal in modern drug discovery, especially for predicting the oral bioavailability, target specificity, and drug-likeness of phytochemicals. Table 12 presents the molecular descriptors of three </w:t>
      </w:r>
      <w:r w:rsidR="001915EF" w:rsidRPr="005C6774">
        <w:t>hit</w:t>
      </w:r>
      <w:r w:rsidRPr="005C6774">
        <w:t xml:space="preserve"> compounds from </w:t>
      </w:r>
      <w:r w:rsidRPr="005C6774">
        <w:rPr>
          <w:i/>
          <w:iCs/>
        </w:rPr>
        <w:t>Brassica oleracea</w:t>
      </w:r>
      <w:r w:rsidR="001915EF" w:rsidRPr="005C6774">
        <w:t xml:space="preserve"> </w:t>
      </w:r>
      <w:r w:rsidRPr="005C6774">
        <w:rPr>
          <w:bCs/>
        </w:rPr>
        <w:t>neoxanthin</w:t>
      </w:r>
      <w:r w:rsidRPr="005C6774">
        <w:t xml:space="preserve">, </w:t>
      </w:r>
      <w:r w:rsidRPr="005C6774">
        <w:rPr>
          <w:bCs/>
        </w:rPr>
        <w:t>rutin</w:t>
      </w:r>
      <w:r w:rsidRPr="005C6774">
        <w:t xml:space="preserve">, and </w:t>
      </w:r>
      <w:r w:rsidRPr="005C6774">
        <w:rPr>
          <w:bCs/>
        </w:rPr>
        <w:t>apigenin</w:t>
      </w:r>
      <w:r w:rsidR="001915EF" w:rsidRPr="005C6774">
        <w:t xml:space="preserve"> </w:t>
      </w:r>
      <w:r w:rsidRPr="005C6774">
        <w:t xml:space="preserve">highlighting differences that could influence their pharmacokinetic profiles and </w:t>
      </w:r>
      <w:proofErr w:type="spellStart"/>
      <w:r w:rsidRPr="005C6774">
        <w:t>bioefficacy</w:t>
      </w:r>
      <w:proofErr w:type="spellEnd"/>
      <w:r w:rsidRPr="005C6774">
        <w:t xml:space="preserve">. Among these, </w:t>
      </w:r>
      <w:r w:rsidRPr="005C6774">
        <w:rPr>
          <w:bCs/>
        </w:rPr>
        <w:t>apigenin</w:t>
      </w:r>
      <w:r w:rsidRPr="005C6774">
        <w:t xml:space="preserve"> stands out with a </w:t>
      </w:r>
      <w:r w:rsidRPr="005C6774">
        <w:rPr>
          <w:bCs/>
        </w:rPr>
        <w:t>molecular weight</w:t>
      </w:r>
      <w:r w:rsidRPr="005C6774">
        <w:t xml:space="preserve"> of 270.05 g/mol, well below the 500 Da threshold recommended for optimal absorption and permeability, as reaffirmed in recent findings by Liu et al. (2022). In contrast, </w:t>
      </w:r>
      <w:r w:rsidRPr="005C6774">
        <w:rPr>
          <w:bCs/>
        </w:rPr>
        <w:t>neoxanthin</w:t>
      </w:r>
      <w:r w:rsidRPr="005C6774">
        <w:t xml:space="preserve"> (600.42 g/mol) and </w:t>
      </w:r>
      <w:r w:rsidRPr="005C6774">
        <w:rPr>
          <w:bCs/>
        </w:rPr>
        <w:t>rutin</w:t>
      </w:r>
      <w:r w:rsidRPr="005C6774">
        <w:t xml:space="preserve"> (610.15 g/mol) exceed this limit, which may compromise membrane diffusion and systemic bioavailability.</w:t>
      </w:r>
    </w:p>
    <w:p w14:paraId="6E2B618E" w14:textId="77777777" w:rsidR="00625A0B" w:rsidRPr="005C6774" w:rsidRDefault="00625A0B" w:rsidP="00A257AA">
      <w:pPr>
        <w:spacing w:before="240" w:after="100" w:afterAutospacing="1" w:line="360" w:lineRule="auto"/>
        <w:jc w:val="both"/>
      </w:pPr>
      <w:r w:rsidRPr="005C6774">
        <w:t xml:space="preserve">The </w:t>
      </w:r>
      <w:r w:rsidRPr="005C6774">
        <w:rPr>
          <w:bCs/>
        </w:rPr>
        <w:t>hydrogen bonding profile</w:t>
      </w:r>
      <w:r w:rsidRPr="005C6774">
        <w:t xml:space="preserve"> of these compounds reveals further insight. Apigenin, with 5 hydrogen bond acceptors and 3 donors, conforms to Lipinski’s rule of five, promoting efficient passive diffusion (Adeniji et al., 2021). However, rutin exhibits excessive hydrogen bonding capacity (16 acceptors and 10 donors), a feature that has been linked to limited intestinal permeability and reduced cellular uptake due to extensive interaction with aqueous environments and efflux transporters (Pereira et al., 2023). This is also evident in its </w:t>
      </w:r>
      <w:r w:rsidRPr="005C6774">
        <w:rPr>
          <w:bCs/>
        </w:rPr>
        <w:t>high topological polar surface area (TPSA)</w:t>
      </w:r>
      <w:r w:rsidRPr="005C6774">
        <w:t xml:space="preserve"> of 269.43 Å², substantially surpassing the 140 Å² threshold for effective membrane penetration (Baron et al., 2022). Conversely, the lower TPSA values of neoxanthin </w:t>
      </w:r>
      <w:r w:rsidRPr="005C6774">
        <w:lastRenderedPageBreak/>
        <w:t>(73.22 Å²) and apigenin (90.90 Å²) support improved bioavailability via passive transcellular routes.</w:t>
      </w:r>
    </w:p>
    <w:p w14:paraId="114A822C" w14:textId="77777777" w:rsidR="00625A0B" w:rsidRPr="005C6774" w:rsidRDefault="00625A0B" w:rsidP="00A257AA">
      <w:pPr>
        <w:spacing w:before="240" w:after="100" w:afterAutospacing="1" w:line="360" w:lineRule="auto"/>
        <w:jc w:val="both"/>
      </w:pPr>
      <w:r w:rsidRPr="005C6774">
        <w:t xml:space="preserve">The </w:t>
      </w:r>
      <w:proofErr w:type="spellStart"/>
      <w:r w:rsidRPr="005C6774">
        <w:rPr>
          <w:bCs/>
        </w:rPr>
        <w:t>logP</w:t>
      </w:r>
      <w:proofErr w:type="spellEnd"/>
      <w:r w:rsidRPr="005C6774">
        <w:rPr>
          <w:bCs/>
        </w:rPr>
        <w:t xml:space="preserve"> values</w:t>
      </w:r>
      <w:r w:rsidRPr="005C6774">
        <w:t xml:space="preserve"> provide additional context regarding the compounds’ lipophilicity, which influences absorption and distribution. Neoxanthin shows a high </w:t>
      </w:r>
      <w:proofErr w:type="spellStart"/>
      <w:r w:rsidRPr="005C6774">
        <w:t>logP</w:t>
      </w:r>
      <w:proofErr w:type="spellEnd"/>
      <w:r w:rsidRPr="005C6774">
        <w:t xml:space="preserve"> of 5.226, suggesting strong lipid membrane affinity but raising concerns about bioaccumulation and solubility (Zhang et al., 2020). </w:t>
      </w:r>
      <w:proofErr w:type="spellStart"/>
      <w:r w:rsidRPr="005C6774">
        <w:t>Rutin</w:t>
      </w:r>
      <w:proofErr w:type="spellEnd"/>
      <w:r w:rsidRPr="005C6774">
        <w:t xml:space="preserve">, with a </w:t>
      </w:r>
      <w:proofErr w:type="spellStart"/>
      <w:r w:rsidRPr="005C6774">
        <w:t>logP</w:t>
      </w:r>
      <w:proofErr w:type="spellEnd"/>
      <w:r w:rsidRPr="005C6774">
        <w:t xml:space="preserve"> of 0.986, is relatively hydrophilic and may face absorption challenges in the gastrointestinal tract due to poor partitioning into lipid bilayers. Apigenin, with a moderate </w:t>
      </w:r>
      <w:proofErr w:type="spellStart"/>
      <w:r w:rsidRPr="005C6774">
        <w:t>logP</w:t>
      </w:r>
      <w:proofErr w:type="spellEnd"/>
      <w:r w:rsidRPr="005C6774">
        <w:t xml:space="preserve"> of 2.981, demonstrates balanced amphiphilicity, which aligns with optimal absorption characteristics for oral drugs (Kumar et al., 2021).</w:t>
      </w:r>
    </w:p>
    <w:p w14:paraId="727086A8" w14:textId="77777777" w:rsidR="00625A0B" w:rsidRPr="005C6774" w:rsidRDefault="00625A0B" w:rsidP="00A257AA">
      <w:pPr>
        <w:spacing w:before="240" w:after="100" w:afterAutospacing="1" w:line="360" w:lineRule="auto"/>
        <w:jc w:val="both"/>
      </w:pPr>
      <w:r w:rsidRPr="005C6774">
        <w:t xml:space="preserve">Molecular </w:t>
      </w:r>
      <w:r w:rsidRPr="005C6774">
        <w:rPr>
          <w:bCs/>
        </w:rPr>
        <w:t>flexibility</w:t>
      </w:r>
      <w:r w:rsidRPr="005C6774">
        <w:t>, indicated by the number of rotatable bonds and calculated flexibility index, impacts both membrane permeability and target binding efficiency. Neoxanthin, with 9 rotatable bonds and a flexibility index of 0.375, is structurally dynamic, which may enhance its binding adaptability but could reduce selectivity and increase metabolic liability (Sharma et al., 2022). Rutin has moderate flexibility (6 rotatable bonds; index = 0.200), while apigenin is the most rigid (1 rotatable bond; index = 0.056), favoring stronger and more specific interactions with target proteins. Rigid molecules are also less prone to metabolic degradation, which can prolong biological activity and improve efficacy (Ali et al., 2023).</w:t>
      </w:r>
    </w:p>
    <w:p w14:paraId="61EACF78" w14:textId="77777777" w:rsidR="00625A0B" w:rsidRPr="005C6774" w:rsidRDefault="00625A0B" w:rsidP="00A257AA">
      <w:pPr>
        <w:spacing w:before="240" w:after="100" w:afterAutospacing="1" w:line="360" w:lineRule="auto"/>
        <w:jc w:val="both"/>
      </w:pPr>
      <w:r w:rsidRPr="005C6774">
        <w:t xml:space="preserve">Recent pharmacokinetic modeling by Huang et al. (2023) supports the notion that apigenin's favorable balance of molecular weight, </w:t>
      </w:r>
      <w:proofErr w:type="spellStart"/>
      <w:r w:rsidRPr="005C6774">
        <w:t>logP</w:t>
      </w:r>
      <w:proofErr w:type="spellEnd"/>
      <w:r w:rsidRPr="005C6774">
        <w:t>, TPSA, and rigidity makes it a prime candidate for oral delivery systems and target-specific therapies. On the other hand, despite their structural complexity and biological relevance, neoxanthin and rutin are considered "lead-like" but may require bioavailability enhancement strategies such as nanoparticle encapsulation, prodrug development, or co-delivery with absorption enhancers (Mao et al., 2021; Oliveira et al., 2023).</w:t>
      </w:r>
    </w:p>
    <w:p w14:paraId="082612ED" w14:textId="77777777" w:rsidR="003619A1" w:rsidRPr="005C6774" w:rsidRDefault="00E002A0" w:rsidP="00A257AA">
      <w:pPr>
        <w:spacing w:before="240" w:after="100" w:afterAutospacing="1" w:line="360" w:lineRule="auto"/>
        <w:jc w:val="both"/>
      </w:pPr>
      <w:r w:rsidRPr="005C6774">
        <w:t>However</w:t>
      </w:r>
      <w:r w:rsidR="00625A0B" w:rsidRPr="005C6774">
        <w:t>, apigenin's optimal physicochemical parameters position it as the most promising candidate for drug development among the studied compounds. Its compliance with modern oral drug-likeness criteria supports its prioritization in downstream preclinical evaluations. Neoxanthin and rutin, while pharmacologically potent, would benefit from formulation innovations to overcome their inherent biopharmaceutical limitations.</w:t>
      </w:r>
    </w:p>
    <w:p w14:paraId="37B0C9E4" w14:textId="77777777" w:rsidR="003619A1" w:rsidRPr="005C6774" w:rsidRDefault="00E002A0" w:rsidP="00A257AA">
      <w:pPr>
        <w:spacing w:before="240" w:after="100" w:afterAutospacing="1" w:line="360" w:lineRule="auto"/>
        <w:jc w:val="both"/>
      </w:pPr>
      <w:r w:rsidRPr="005C6774">
        <w:lastRenderedPageBreak/>
        <w:t xml:space="preserve">The toxicological profiling of </w:t>
      </w:r>
      <w:r w:rsidR="003619A1" w:rsidRPr="005C6774">
        <w:t xml:space="preserve">drug candidates is a critical step in drug development, as it determines their safety margins and potential for off-target effects. Table 13 summarizes various in silico toxicity predictions for </w:t>
      </w:r>
      <w:r w:rsidRPr="005C6774">
        <w:t xml:space="preserve">neoxanthin, rutin, and apigenin, </w:t>
      </w:r>
      <w:r w:rsidR="003619A1" w:rsidRPr="005C6774">
        <w:t xml:space="preserve">three phytochemicals from </w:t>
      </w:r>
      <w:r w:rsidR="003619A1" w:rsidRPr="005C6774">
        <w:rPr>
          <w:i/>
          <w:iCs/>
        </w:rPr>
        <w:t>Brassica oleracea</w:t>
      </w:r>
      <w:r w:rsidRPr="005C6774">
        <w:t xml:space="preserve"> </w:t>
      </w:r>
      <w:r w:rsidR="003619A1" w:rsidRPr="005C6774">
        <w:t xml:space="preserve">using a probabilistic model (values closer to 1 indicating higher likelihood of toxicity). Among the compounds, </w:t>
      </w:r>
      <w:r w:rsidR="003619A1" w:rsidRPr="005C6774">
        <w:rPr>
          <w:bCs/>
        </w:rPr>
        <w:t>apigenin</w:t>
      </w:r>
      <w:r w:rsidR="003619A1" w:rsidRPr="005C6774">
        <w:t xml:space="preserve"> demonstrates the most favorable toxicity profile overall, particularly with lower predictions for </w:t>
      </w:r>
      <w:r w:rsidR="003619A1" w:rsidRPr="005C6774">
        <w:rPr>
          <w:bCs/>
        </w:rPr>
        <w:t>skin sensitization (0.645)</w:t>
      </w:r>
      <w:r w:rsidR="003619A1" w:rsidRPr="005C6774">
        <w:t xml:space="preserve">, </w:t>
      </w:r>
      <w:r w:rsidR="003619A1" w:rsidRPr="005C6774">
        <w:rPr>
          <w:bCs/>
        </w:rPr>
        <w:t>ototoxicity (0.068)</w:t>
      </w:r>
      <w:r w:rsidR="003619A1" w:rsidRPr="005C6774">
        <w:t xml:space="preserve">, </w:t>
      </w:r>
      <w:r w:rsidR="003619A1" w:rsidRPr="005C6774">
        <w:rPr>
          <w:bCs/>
        </w:rPr>
        <w:t>neurotoxicity (0.061)</w:t>
      </w:r>
      <w:r w:rsidR="003619A1" w:rsidRPr="005C6774">
        <w:t xml:space="preserve">, and </w:t>
      </w:r>
      <w:r w:rsidR="003619A1" w:rsidRPr="005C6774">
        <w:rPr>
          <w:bCs/>
        </w:rPr>
        <w:t>nephrotoxicity (0.021)</w:t>
      </w:r>
      <w:r w:rsidR="003619A1" w:rsidRPr="005C6774">
        <w:t>. This aligns with recent experimental studies confirming apigenin's relatively low systemic toxicity and protective effects on renal and neural tissues (Ali et al., 2023; Zhang et al., 2022).</w:t>
      </w:r>
    </w:p>
    <w:p w14:paraId="143E07B9" w14:textId="77777777" w:rsidR="003619A1" w:rsidRPr="005C6774" w:rsidRDefault="003619A1" w:rsidP="00A257AA">
      <w:pPr>
        <w:spacing w:before="240" w:after="100" w:afterAutospacing="1" w:line="360" w:lineRule="auto"/>
        <w:jc w:val="both"/>
      </w:pPr>
      <w:r w:rsidRPr="005C6774">
        <w:t xml:space="preserve">In contrast, </w:t>
      </w:r>
      <w:r w:rsidRPr="005C6774">
        <w:rPr>
          <w:bCs/>
        </w:rPr>
        <w:t>neoxanthin</w:t>
      </w:r>
      <w:r w:rsidRPr="005C6774">
        <w:t xml:space="preserve"> and </w:t>
      </w:r>
      <w:r w:rsidRPr="005C6774">
        <w:rPr>
          <w:bCs/>
        </w:rPr>
        <w:t>rutin</w:t>
      </w:r>
      <w:r w:rsidRPr="005C6774">
        <w:t xml:space="preserve"> exhibit higher toxicity concerns across multiple parameters. Neoxanthin shows alarming probabilities for </w:t>
      </w:r>
      <w:r w:rsidRPr="005C6774">
        <w:rPr>
          <w:bCs/>
        </w:rPr>
        <w:t>respiratory toxicity (0.966)</w:t>
      </w:r>
      <w:r w:rsidRPr="005C6774">
        <w:t xml:space="preserve"> and </w:t>
      </w:r>
      <w:r w:rsidRPr="005C6774">
        <w:rPr>
          <w:bCs/>
        </w:rPr>
        <w:t>nephrotoxicity (0.966)</w:t>
      </w:r>
      <w:r w:rsidRPr="005C6774">
        <w:t xml:space="preserve">, which are consistent with prior findings suggesting that highly lipophilic carotenoids can accumulate in sensitive tissues and cause mitochondrial stress and oxidative damage (Huang et al., 2021). Rutin also reveals concerning levels of </w:t>
      </w:r>
      <w:r w:rsidRPr="005C6774">
        <w:rPr>
          <w:bCs/>
        </w:rPr>
        <w:t>eye irritation (0.905)</w:t>
      </w:r>
      <w:r w:rsidRPr="005C6774">
        <w:t xml:space="preserve">, </w:t>
      </w:r>
      <w:r w:rsidRPr="005C6774">
        <w:rPr>
          <w:bCs/>
        </w:rPr>
        <w:t>A549 cytotoxicity (0.860)</w:t>
      </w:r>
      <w:r w:rsidRPr="005C6774">
        <w:t xml:space="preserve">, and </w:t>
      </w:r>
      <w:r w:rsidRPr="005C6774">
        <w:rPr>
          <w:bCs/>
        </w:rPr>
        <w:t>genotoxicity (0.868)</w:t>
      </w:r>
      <w:r w:rsidRPr="005C6774">
        <w:t xml:space="preserve">, likely due to its structural complexity and tendency to interact with nucleic acids and cellular membranes at high concentrations (Mao et al., 2021). Additionally, rutin’s high </w:t>
      </w:r>
      <w:r w:rsidRPr="005C6774">
        <w:rPr>
          <w:bCs/>
        </w:rPr>
        <w:t>carcinogenicity score (0.047)</w:t>
      </w:r>
      <w:r w:rsidRPr="005C6774">
        <w:t xml:space="preserve">, though lower than neoxanthin and apigenin, does raise potential red flags, especially given its strong hydrogen bonding which might facilitate </w:t>
      </w:r>
      <w:r w:rsidR="00E002A0" w:rsidRPr="005C6774">
        <w:t xml:space="preserve">DNA intercalation </w:t>
      </w:r>
      <w:r w:rsidRPr="005C6774">
        <w:t>a hypothesis previously discussed by Pereira et al. (2023).</w:t>
      </w:r>
    </w:p>
    <w:p w14:paraId="2ABAFA28" w14:textId="77777777" w:rsidR="003619A1" w:rsidRPr="005C6774" w:rsidRDefault="003619A1" w:rsidP="00A257AA">
      <w:pPr>
        <w:spacing w:before="240" w:after="100" w:afterAutospacing="1" w:line="360" w:lineRule="auto"/>
        <w:jc w:val="both"/>
      </w:pPr>
      <w:r w:rsidRPr="005C6774">
        <w:rPr>
          <w:bCs/>
        </w:rPr>
        <w:t>Carcinogenicity predictions</w:t>
      </w:r>
      <w:r w:rsidRPr="005C6774">
        <w:t xml:space="preserve"> rank neoxanthin highest (0.923), followed by apigenin (0.793), and then rutin (0.047). While these results must be interpreted cautiously due to model limitations, they suggest that </w:t>
      </w:r>
      <w:r w:rsidRPr="005C6774">
        <w:rPr>
          <w:bCs/>
        </w:rPr>
        <w:t>neoxanthin may pose a higher mutagenic or oncogenic risk</w:t>
      </w:r>
      <w:r w:rsidRPr="005C6774">
        <w:t>, potentially due to its reactive polyene chain, which is known to generate oxidative metabolites under physiological conditions (Liu et al., 2020). Interestingly, apig</w:t>
      </w:r>
      <w:r w:rsidR="00E002A0" w:rsidRPr="005C6774">
        <w:t xml:space="preserve">enin </w:t>
      </w:r>
      <w:r w:rsidRPr="005C6774">
        <w:t>despite its int</w:t>
      </w:r>
      <w:r w:rsidR="00E002A0" w:rsidRPr="005C6774">
        <w:t xml:space="preserve">ermediate carcinogenicity score </w:t>
      </w:r>
      <w:r w:rsidRPr="005C6774">
        <w:t xml:space="preserve">has been extensively studied for its </w:t>
      </w:r>
      <w:r w:rsidRPr="005C6774">
        <w:rPr>
          <w:bCs/>
        </w:rPr>
        <w:t>anti-cancer properties</w:t>
      </w:r>
      <w:r w:rsidRPr="005C6774">
        <w:t xml:space="preserve"> and is known to induce apoptosis in tumor cells without affecting normal cells, suggesting a complex, dose-dependent behavior (Baron et al., 2022).</w:t>
      </w:r>
    </w:p>
    <w:p w14:paraId="621BA1FA" w14:textId="77777777" w:rsidR="003619A1" w:rsidRPr="005C6774" w:rsidRDefault="003619A1" w:rsidP="00A257AA">
      <w:pPr>
        <w:spacing w:before="240" w:after="100" w:afterAutospacing="1" w:line="360" w:lineRule="auto"/>
        <w:jc w:val="both"/>
      </w:pPr>
      <w:r w:rsidRPr="005C6774">
        <w:t xml:space="preserve">The </w:t>
      </w:r>
      <w:r w:rsidRPr="005C6774">
        <w:rPr>
          <w:bCs/>
        </w:rPr>
        <w:t>cytotoxicity profiles</w:t>
      </w:r>
      <w:r w:rsidR="00E002A0" w:rsidRPr="005C6774">
        <w:t xml:space="preserve"> on two human cell lines </w:t>
      </w:r>
      <w:r w:rsidRPr="005C6774">
        <w:rPr>
          <w:bCs/>
        </w:rPr>
        <w:t>A549 (lung carcinoma)</w:t>
      </w:r>
      <w:r w:rsidRPr="005C6774">
        <w:t xml:space="preserve"> and </w:t>
      </w:r>
      <w:r w:rsidRPr="005C6774">
        <w:rPr>
          <w:bCs/>
        </w:rPr>
        <w:t>HEK293 (human embryonic kidney)</w:t>
      </w:r>
      <w:r w:rsidR="00E002A0" w:rsidRPr="005C6774">
        <w:t xml:space="preserve"> </w:t>
      </w:r>
      <w:r w:rsidRPr="005C6774">
        <w:t xml:space="preserve">reveal additional nuances. Apigenin shows moderate cytotoxicity in both lines </w:t>
      </w:r>
      <w:r w:rsidRPr="005C6774">
        <w:lastRenderedPageBreak/>
        <w:t>(0.323 and 0.855, respectively), which is in line with recent findings by Khan et al. (2023) that highlight apigenin's selective cytotoxicity against cancerous cells while maintaining a high therapeutic index. Rutin, however, is more cytotoxic to A549 cells (0.860), possibly due to enhanced oxidative stress induction at higher doses, whereas neoxanthin exhibits greater toxicity toward HEK293 cells (0.754), which could reflect its renal accumulation potential.</w:t>
      </w:r>
    </w:p>
    <w:p w14:paraId="5921DEAB" w14:textId="77777777" w:rsidR="003619A1" w:rsidRPr="005C6774" w:rsidRDefault="003619A1" w:rsidP="00A257AA">
      <w:pPr>
        <w:spacing w:before="240" w:after="100" w:afterAutospacing="1" w:line="360" w:lineRule="auto"/>
        <w:jc w:val="both"/>
      </w:pPr>
      <w:r w:rsidRPr="005C6774">
        <w:t xml:space="preserve">On the topic of </w:t>
      </w:r>
      <w:r w:rsidRPr="005C6774">
        <w:rPr>
          <w:bCs/>
        </w:rPr>
        <w:t>organ-specific toxicity</w:t>
      </w:r>
      <w:r w:rsidRPr="005C6774">
        <w:t xml:space="preserve">, all three compounds show low probabilities for </w:t>
      </w:r>
      <w:proofErr w:type="spellStart"/>
      <w:r w:rsidRPr="005C6774">
        <w:rPr>
          <w:bCs/>
        </w:rPr>
        <w:t>hematotoxicity</w:t>
      </w:r>
      <w:proofErr w:type="spellEnd"/>
      <w:r w:rsidRPr="005C6774">
        <w:t xml:space="preserve">, with values below 0.05, indicating minimal interference with blood-forming tissues. This is reassuring, especially for chronic oral administration. </w:t>
      </w:r>
      <w:r w:rsidRPr="005C6774">
        <w:rPr>
          <w:bCs/>
        </w:rPr>
        <w:t>Immunotoxicity</w:t>
      </w:r>
      <w:r w:rsidRPr="005C6774">
        <w:t>, another critical parameter, is most favorable for apigenin (0.045), again reinforcing its candidacy for safe drug design. Its immunomodulatory properties have been harnessed in multiple inflammatory disease models with minimal adverse immune activation (Oliveira et al., 2023).</w:t>
      </w:r>
    </w:p>
    <w:p w14:paraId="036820B7" w14:textId="77777777" w:rsidR="003619A1" w:rsidRPr="005C6774" w:rsidRDefault="003619A1" w:rsidP="00A257AA">
      <w:pPr>
        <w:spacing w:before="240" w:after="100" w:afterAutospacing="1" w:line="360" w:lineRule="auto"/>
        <w:jc w:val="both"/>
      </w:pPr>
      <w:r w:rsidRPr="005C6774">
        <w:t xml:space="preserve">Overall, while neoxanthin and rutin exhibit promising bioactivity, their predicted toxicity profiles necessitate careful dose titration, delivery formulation, or structural modification to mitigate off-target effects. Conversely, apigenin emerges as the most promising candidate, balancing efficacy with a strong safety profile across multiple endpoints, thus aligning with recent pharmaceutical interest in flavonoids as lead compounds for therapeutic development (Ali et </w:t>
      </w:r>
      <w:r w:rsidR="00E002A0" w:rsidRPr="005C6774">
        <w:t>al., 2023; Baron et al., 2022).</w:t>
      </w:r>
    </w:p>
    <w:p w14:paraId="4CBBB0BF" w14:textId="77777777" w:rsidR="003619A1" w:rsidRPr="005C6774" w:rsidRDefault="003619A1" w:rsidP="00A257AA">
      <w:pPr>
        <w:spacing w:before="240" w:after="100" w:afterAutospacing="1" w:line="360" w:lineRule="auto"/>
        <w:jc w:val="both"/>
      </w:pPr>
      <w:r w:rsidRPr="005C6774">
        <w:t xml:space="preserve">The evaluation of drug-likeness properties using rule-based computational filters is a foundational step in determining the oral bioavailability and potential of candidate compounds as viable drug leads. Table 14 presents the drug-likeness assessments of neoxanthin, rutin, and apigenin based on five widely recognized filters: Lipinski, Ghose, Veber, Egan, and Muegge rules. Among the three, </w:t>
      </w:r>
      <w:r w:rsidRPr="005C6774">
        <w:rPr>
          <w:bCs/>
        </w:rPr>
        <w:t>apigenin</w:t>
      </w:r>
      <w:r w:rsidRPr="005C6774">
        <w:t xml:space="preserve"> stands out by satisfying </w:t>
      </w:r>
      <w:r w:rsidRPr="005C6774">
        <w:rPr>
          <w:bCs/>
        </w:rPr>
        <w:t>all five models</w:t>
      </w:r>
      <w:r w:rsidRPr="005C6774">
        <w:t>, suggesting it possesses optimal physicochemical properties for oral bioavailability and drug development. This finding is consistent with several recent studies that have identified apigenin as a promising scaffold in drug discovery due to its favorable molecular weight, lipophilicity, hydrogen bonding characteristics, and topological polar surface area (TPSA) (Ferreira et al., 2021; López-Lázaro, 2020).</w:t>
      </w:r>
    </w:p>
    <w:p w14:paraId="577865EE" w14:textId="77777777" w:rsidR="003619A1" w:rsidRPr="005C6774" w:rsidRDefault="003619A1" w:rsidP="00A257AA">
      <w:pPr>
        <w:spacing w:before="240" w:after="100" w:afterAutospacing="1" w:line="360" w:lineRule="auto"/>
        <w:jc w:val="both"/>
      </w:pPr>
      <w:r w:rsidRPr="005C6774">
        <w:t xml:space="preserve">Conversely, </w:t>
      </w:r>
      <w:r w:rsidRPr="005C6774">
        <w:rPr>
          <w:bCs/>
        </w:rPr>
        <w:t>neoxanthin</w:t>
      </w:r>
      <w:r w:rsidRPr="005C6774">
        <w:t xml:space="preserve"> and </w:t>
      </w:r>
      <w:r w:rsidRPr="005C6774">
        <w:rPr>
          <w:bCs/>
        </w:rPr>
        <w:t>rutin</w:t>
      </w:r>
      <w:r w:rsidRPr="005C6774">
        <w:t xml:space="preserve"> failed to satisfy any of the drug-likeness filters. This poor performance can largely be attributed to their high molecular weights (600.42 and 610.15 Da </w:t>
      </w:r>
      <w:r w:rsidRPr="005C6774">
        <w:lastRenderedPageBreak/>
        <w:t>respectively), excessive hydrogen bond donors and a</w:t>
      </w:r>
      <w:r w:rsidR="00E002A0" w:rsidRPr="005C6774">
        <w:t xml:space="preserve">cceptors, and large TPSA values </w:t>
      </w:r>
      <w:r w:rsidRPr="005C6774">
        <w:t>factors that collectively limit passive membrane permeability and intestinal absorption. For instance, rutin, a glycosylated flavonoid, exceeds Lipinski’s limit of five hydrogen bond donors and ten acceptors, and its TPSA of 269.43 Å² significantly surpasses the ideal cutoff of 140 Å² for oral drugs. Such violations are known to reduce membrane diffusion and, consequently, oral bioavailability, as corroborated by recent ADMET studies (Ntie-Kang et al., 2021; Malde et al., 2022).</w:t>
      </w:r>
    </w:p>
    <w:p w14:paraId="40EB2D6F" w14:textId="77777777" w:rsidR="003619A1" w:rsidRPr="005C6774" w:rsidRDefault="003619A1" w:rsidP="00A257AA">
      <w:pPr>
        <w:spacing w:before="240" w:after="100" w:afterAutospacing="1" w:line="360" w:lineRule="auto"/>
        <w:jc w:val="both"/>
      </w:pPr>
      <w:r w:rsidRPr="005C6774">
        <w:t>Neoxanthin’s failure across all models is similarly attributed to its high lipophilicity (</w:t>
      </w:r>
      <w:proofErr w:type="spellStart"/>
      <w:r w:rsidRPr="005C6774">
        <w:t>logP</w:t>
      </w:r>
      <w:proofErr w:type="spellEnd"/>
      <w:r w:rsidRPr="005C6774">
        <w:t xml:space="preserve"> = 5.226) and excessive molecular flexibility (9 rotatable bonds), both of which can lead to metabolic instability and poor pharmacokinetics (Huang et al., 2022). These features not only violate the Lipinski and Ghose criteria but also undermine Veber’s rules, which emphasize the importance of limited rotatable bonds and TPSA &lt;140 Å² for good oral bioavailability.</w:t>
      </w:r>
    </w:p>
    <w:p w14:paraId="193ACA3A" w14:textId="77777777" w:rsidR="003619A1" w:rsidRPr="005C6774" w:rsidRDefault="003619A1" w:rsidP="00A257AA">
      <w:pPr>
        <w:spacing w:before="240" w:after="100" w:afterAutospacing="1" w:line="360" w:lineRule="auto"/>
        <w:jc w:val="both"/>
      </w:pPr>
      <w:r w:rsidRPr="005C6774">
        <w:t xml:space="preserve">Apigenin’s success across the five filters reaffirms its drug-likeness and aligns with its presence in multiple pharmacological investigations and clinical studies. With a molecular weight of 270.05 Da, </w:t>
      </w:r>
      <w:proofErr w:type="spellStart"/>
      <w:r w:rsidRPr="005C6774">
        <w:t>logP</w:t>
      </w:r>
      <w:proofErr w:type="spellEnd"/>
      <w:r w:rsidRPr="005C6774">
        <w:t xml:space="preserve"> of 2.981, and TPSA of 90.90 Å², apigenin remains within the optimal range for most pharmacokinetic parameters. It also complies with Veber’s and Egan’s rules regarding flexibility and polarity, which enhances its gastrointestinal absorption and membrane permeability (Ali et al., 2023; Abid et al., 2022). Moreover, apigenin’s structural simplicity compared to its counterparts contributes to its chemical tractability and ease of synthetic optimization.</w:t>
      </w:r>
    </w:p>
    <w:p w14:paraId="7F6CD0CF" w14:textId="77777777" w:rsidR="005E1734" w:rsidRPr="005C6774" w:rsidRDefault="00A257AA" w:rsidP="00A257AA">
      <w:pPr>
        <w:spacing w:before="240" w:after="100" w:afterAutospacing="1" w:line="360" w:lineRule="auto"/>
        <w:jc w:val="both"/>
      </w:pPr>
      <w:r w:rsidRPr="005C6774">
        <w:t xml:space="preserve">While </w:t>
      </w:r>
      <w:r w:rsidR="003619A1" w:rsidRPr="005C6774">
        <w:t>neoxanthin and rutin may exhibit strong bioactivities, their lack of drug-likeness per these filters highlights potential challenges in formulation and delivery. Their future in drug development may depend on structural modifications, prodrug strategies, or alternative delivery systems such as nanocarriers. Apigenin, by contrast, demonstrates strong potential for further preclinical and clinical development as a lead compound, especially in light of its alignment with multiple drug-likeness rules and documented bioavailability (Ferreira e</w:t>
      </w:r>
      <w:r w:rsidR="00E002A0" w:rsidRPr="005C6774">
        <w:t>t al., 2021; Ali et al., 2023).</w:t>
      </w:r>
    </w:p>
    <w:p w14:paraId="0C9388D1" w14:textId="77777777" w:rsidR="005E1734" w:rsidRPr="005C6774" w:rsidRDefault="00E002A0" w:rsidP="00A257AA">
      <w:pPr>
        <w:pStyle w:val="Heading3"/>
        <w:spacing w:before="240" w:line="360" w:lineRule="auto"/>
        <w:jc w:val="both"/>
        <w:rPr>
          <w:rFonts w:ascii="Times New Roman" w:hAnsi="Times New Roman" w:cs="Times New Roman"/>
          <w:color w:val="auto"/>
        </w:rPr>
      </w:pPr>
      <w:r w:rsidRPr="005C6774">
        <w:rPr>
          <w:rStyle w:val="Strong"/>
          <w:rFonts w:ascii="Times New Roman" w:hAnsi="Times New Roman" w:cs="Times New Roman"/>
          <w:bCs w:val="0"/>
          <w:color w:val="auto"/>
        </w:rPr>
        <w:t>CONCLUSION</w:t>
      </w:r>
    </w:p>
    <w:p w14:paraId="12F477E5" w14:textId="77777777" w:rsidR="005E1734" w:rsidRPr="005C6774" w:rsidRDefault="005E1734" w:rsidP="00A257AA">
      <w:pPr>
        <w:pStyle w:val="NormalWeb"/>
        <w:spacing w:before="240" w:beforeAutospacing="0" w:line="360" w:lineRule="auto"/>
        <w:jc w:val="both"/>
      </w:pPr>
      <w:r w:rsidRPr="005C6774">
        <w:t xml:space="preserve">Among the three hit compounds studied, </w:t>
      </w:r>
      <w:r w:rsidRPr="005C6774">
        <w:rPr>
          <w:rStyle w:val="Strong"/>
          <w:b w:val="0"/>
        </w:rPr>
        <w:t>apigenin</w:t>
      </w:r>
      <w:r w:rsidRPr="005C6774">
        <w:t xml:space="preserve"> demonstrated the most favorable profile for potential drug development. It fulfilled all major drug-likeness filters (Lipinski, Ghose, Veber, Egan, and Muegge), indicating strong oral bioavailability and desirable physicochemical </w:t>
      </w:r>
      <w:r w:rsidRPr="005C6774">
        <w:lastRenderedPageBreak/>
        <w:t>characteristics. Additionally, it presented moderate to low toxicity risks, with the exception of some genotoxicity and HEK293 cytotoxicity, which may require</w:t>
      </w:r>
      <w:r w:rsidR="00E002A0" w:rsidRPr="005C6774">
        <w:t xml:space="preserve"> further biological validation. </w:t>
      </w:r>
      <w:r w:rsidRPr="005C6774">
        <w:t xml:space="preserve">In contrast, </w:t>
      </w:r>
      <w:r w:rsidRPr="005C6774">
        <w:rPr>
          <w:rStyle w:val="Strong"/>
          <w:b w:val="0"/>
        </w:rPr>
        <w:t>rutin</w:t>
      </w:r>
      <w:r w:rsidRPr="005C6774">
        <w:t xml:space="preserve"> and </w:t>
      </w:r>
      <w:r w:rsidRPr="005C6774">
        <w:rPr>
          <w:rStyle w:val="Strong"/>
          <w:b w:val="0"/>
        </w:rPr>
        <w:t>neoxanthin</w:t>
      </w:r>
      <w:r w:rsidRPr="005C6774">
        <w:t xml:space="preserve"> exhibited significant limitations. Both failed all drug-likeness rules due to high molecular weights, excessive hydrogen bond donors/acceptors, and poor flexibility metrics, which indicate poor membrane permeability and low oral bioavailability. Although neoxanthin showed relatively better non-carcinogenicity compared to rutin, it was flagged for multiple toxicity risks, including nephrotoxicity, respiratory toxicity, and neurotoxicity. Rutin, despite its known antioxidant properties, also demonstrated high risks of immunotoxicity, genotoxicity, and</w:t>
      </w:r>
      <w:r w:rsidR="00E002A0" w:rsidRPr="005C6774">
        <w:t xml:space="preserve"> poor pharmacokinetic behavior. </w:t>
      </w:r>
      <w:r w:rsidRPr="005C6774">
        <w:t>Therefore, apigenin stands out as the most promising candidate for further development as a therapeutic agent, especially in the context of diseases where bioactive dietary flavonoids are relevant.</w:t>
      </w:r>
    </w:p>
    <w:p w14:paraId="47A847FC" w14:textId="77777777" w:rsidR="005E1734" w:rsidRDefault="00E002A0" w:rsidP="00A257AA">
      <w:pPr>
        <w:pStyle w:val="NormalWeb"/>
        <w:spacing w:before="240" w:beforeAutospacing="0" w:line="360" w:lineRule="auto"/>
        <w:jc w:val="both"/>
      </w:pPr>
      <w:r w:rsidRPr="005C6774">
        <w:t>However, w</w:t>
      </w:r>
      <w:r w:rsidR="005E1734" w:rsidRPr="005C6774">
        <w:t xml:space="preserve">hile </w:t>
      </w:r>
      <w:r w:rsidR="005E1734" w:rsidRPr="005C6774">
        <w:rPr>
          <w:rStyle w:val="Emphasis"/>
        </w:rPr>
        <w:t>in silico</w:t>
      </w:r>
      <w:r w:rsidR="005E1734" w:rsidRPr="005C6774">
        <w:t xml:space="preserve"> results are promising for apigenin, experimental validation via </w:t>
      </w:r>
      <w:r w:rsidR="005E1734" w:rsidRPr="005C6774">
        <w:rPr>
          <w:rStyle w:val="Emphasis"/>
        </w:rPr>
        <w:t>in vitro</w:t>
      </w:r>
      <w:r w:rsidR="005E1734" w:rsidRPr="005C6774">
        <w:t xml:space="preserve"> and </w:t>
      </w:r>
      <w:r w:rsidR="005E1734" w:rsidRPr="005C6774">
        <w:rPr>
          <w:rStyle w:val="Emphasis"/>
        </w:rPr>
        <w:t>in vivo</w:t>
      </w:r>
      <w:r w:rsidR="005E1734" w:rsidRPr="005C6774">
        <w:t xml:space="preserve"> pharmacokinetic, toxicological, and therapeutic assays should be conducted to confirm efficacy and safety.</w:t>
      </w:r>
      <w:r w:rsidRPr="005C6774">
        <w:t xml:space="preserve"> Structural modification of neoxanthin and rutin should be performed g</w:t>
      </w:r>
      <w:r w:rsidR="005E1734" w:rsidRPr="005C6774">
        <w:t>iven their strong biological activities but poor drug-likeness, these compounds could benefit from chemical modification or prodrug strategies to improve bioav</w:t>
      </w:r>
      <w:r w:rsidRPr="005C6774">
        <w:t>ailability and reduce toxicity.</w:t>
      </w:r>
      <w:r w:rsidR="005E1734" w:rsidRPr="005C6774">
        <w:t xml:space="preserve"> </w:t>
      </w:r>
      <w:r w:rsidRPr="005C6774">
        <w:t xml:space="preserve">Detailed </w:t>
      </w:r>
      <w:r w:rsidR="005E1734" w:rsidRPr="005C6774">
        <w:t xml:space="preserve">studies on </w:t>
      </w:r>
      <w:proofErr w:type="spellStart"/>
      <w:r w:rsidRPr="005C6774">
        <w:t>apigenins</w:t>
      </w:r>
      <w:proofErr w:type="spellEnd"/>
      <w:r w:rsidR="005E1734" w:rsidRPr="005C6774">
        <w:t xml:space="preserve"> mechanism of action against specific targets should be pursued using proteomics, transcriptomics, or network</w:t>
      </w:r>
      <w:r w:rsidRPr="005C6774">
        <w:t xml:space="preserve"> pharmacology approaches. </w:t>
      </w:r>
      <w:r w:rsidR="005E1734" w:rsidRPr="005C6774">
        <w:t xml:space="preserve">Apigenin can </w:t>
      </w:r>
      <w:r w:rsidRPr="005C6774">
        <w:t xml:space="preserve">also </w:t>
      </w:r>
      <w:r w:rsidR="005E1734" w:rsidRPr="005C6774">
        <w:t>serve as a lead compound for developing analogues with improved potency, selectivity, and metabolic stability through structure-activ</w:t>
      </w:r>
      <w:r w:rsidR="00A257AA" w:rsidRPr="005C6774">
        <w:t>ity relationship (SAR) studies.</w:t>
      </w:r>
    </w:p>
    <w:p w14:paraId="04EB7857" w14:textId="77777777" w:rsidR="007A16B9" w:rsidRPr="007A16B9" w:rsidRDefault="007A16B9" w:rsidP="007A16B9">
      <w:pPr>
        <w:jc w:val="both"/>
      </w:pPr>
    </w:p>
    <w:p w14:paraId="58745CCC" w14:textId="77777777" w:rsidR="007A16B9" w:rsidRPr="007A16B9" w:rsidRDefault="007A16B9" w:rsidP="007A16B9">
      <w:pPr>
        <w:pStyle w:val="ReferHead"/>
        <w:spacing w:after="0"/>
        <w:jc w:val="both"/>
        <w:rPr>
          <w:rFonts w:ascii="Times New Roman" w:hAnsi="Times New Roman"/>
          <w:bCs/>
          <w:sz w:val="24"/>
          <w:szCs w:val="24"/>
        </w:rPr>
      </w:pPr>
      <w:r w:rsidRPr="007A16B9">
        <w:rPr>
          <w:rFonts w:ascii="Times New Roman" w:hAnsi="Times New Roman"/>
          <w:bCs/>
          <w:sz w:val="24"/>
          <w:szCs w:val="24"/>
        </w:rPr>
        <w:t>Competing interests</w:t>
      </w:r>
    </w:p>
    <w:p w14:paraId="0318EAFC" w14:textId="77777777" w:rsidR="007A16B9" w:rsidRPr="007A16B9" w:rsidRDefault="007A16B9" w:rsidP="007A16B9">
      <w:pPr>
        <w:pStyle w:val="ReferHead"/>
        <w:spacing w:after="0"/>
        <w:jc w:val="both"/>
        <w:rPr>
          <w:rFonts w:ascii="Times New Roman" w:hAnsi="Times New Roman"/>
          <w:sz w:val="24"/>
          <w:szCs w:val="24"/>
        </w:rPr>
      </w:pPr>
    </w:p>
    <w:p w14:paraId="6DFB7619" w14:textId="77777777" w:rsidR="007A16B9" w:rsidRPr="007A16B9" w:rsidRDefault="007A16B9" w:rsidP="007A16B9">
      <w:pPr>
        <w:spacing w:before="240"/>
        <w:jc w:val="both"/>
        <w:rPr>
          <w:rFonts w:eastAsia="Calibri"/>
        </w:rPr>
      </w:pPr>
      <w:r w:rsidRPr="007A16B9">
        <w:rPr>
          <w:rFonts w:eastAsia="Calibri"/>
        </w:rPr>
        <w:t>The authors declare that they have no known financial interests that influenced the work reported in this paper. The research was conducted independently, without any financial support, commercial sponsorship, or affiliations that might present a conflict of interest.</w:t>
      </w:r>
    </w:p>
    <w:p w14:paraId="62EE91E5" w14:textId="77777777" w:rsidR="007A16B9" w:rsidRPr="007A16B9" w:rsidRDefault="007A16B9" w:rsidP="007A16B9">
      <w:pPr>
        <w:spacing w:before="240"/>
        <w:jc w:val="both"/>
        <w:rPr>
          <w:rFonts w:eastAsia="Calibri"/>
        </w:rPr>
      </w:pPr>
      <w:bookmarkStart w:id="0" w:name="_GoBack"/>
      <w:bookmarkEnd w:id="0"/>
    </w:p>
    <w:p w14:paraId="110F6489" w14:textId="77777777" w:rsidR="007A16B9" w:rsidRPr="007A16B9" w:rsidRDefault="007A16B9" w:rsidP="007A16B9">
      <w:pPr>
        <w:pStyle w:val="ReferHead"/>
        <w:spacing w:after="0"/>
        <w:jc w:val="both"/>
        <w:rPr>
          <w:rFonts w:ascii="Times New Roman" w:hAnsi="Times New Roman"/>
          <w:b w:val="0"/>
          <w:caps w:val="0"/>
          <w:sz w:val="24"/>
          <w:szCs w:val="24"/>
        </w:rPr>
      </w:pPr>
    </w:p>
    <w:p w14:paraId="169099F6" w14:textId="77777777" w:rsidR="007A16B9" w:rsidRPr="007A16B9" w:rsidRDefault="007A16B9" w:rsidP="007A16B9">
      <w:pPr>
        <w:pStyle w:val="ReferHead"/>
        <w:spacing w:after="0"/>
        <w:jc w:val="both"/>
        <w:rPr>
          <w:rFonts w:ascii="Times New Roman" w:hAnsi="Times New Roman"/>
          <w:b w:val="0"/>
          <w:caps w:val="0"/>
          <w:sz w:val="24"/>
          <w:szCs w:val="24"/>
        </w:rPr>
      </w:pPr>
    </w:p>
    <w:p w14:paraId="446F4311" w14:textId="77777777" w:rsidR="007A16B9" w:rsidRPr="007A16B9" w:rsidRDefault="007A16B9" w:rsidP="007A16B9">
      <w:pPr>
        <w:pStyle w:val="ReferHead"/>
        <w:spacing w:after="0"/>
        <w:jc w:val="both"/>
        <w:rPr>
          <w:rFonts w:ascii="Times New Roman" w:hAnsi="Times New Roman"/>
          <w:bCs/>
          <w:sz w:val="24"/>
          <w:szCs w:val="24"/>
        </w:rPr>
      </w:pPr>
      <w:r w:rsidRPr="007A16B9">
        <w:rPr>
          <w:rFonts w:ascii="Times New Roman" w:hAnsi="Times New Roman"/>
          <w:bCs/>
          <w:sz w:val="24"/>
          <w:szCs w:val="24"/>
        </w:rPr>
        <w:t xml:space="preserve">Ethical approval </w:t>
      </w:r>
    </w:p>
    <w:p w14:paraId="7B6CAEB3" w14:textId="77777777" w:rsidR="007A16B9" w:rsidRPr="007A16B9" w:rsidRDefault="007A16B9" w:rsidP="007A16B9">
      <w:pPr>
        <w:pStyle w:val="ReferHead"/>
        <w:spacing w:after="0"/>
        <w:jc w:val="both"/>
        <w:rPr>
          <w:rFonts w:ascii="Times New Roman" w:hAnsi="Times New Roman"/>
          <w:bCs/>
          <w:sz w:val="24"/>
          <w:szCs w:val="24"/>
        </w:rPr>
      </w:pPr>
    </w:p>
    <w:p w14:paraId="13770CD4" w14:textId="77777777" w:rsidR="007A16B9" w:rsidRPr="007A16B9" w:rsidRDefault="007A16B9" w:rsidP="007A16B9">
      <w:pPr>
        <w:jc w:val="both"/>
      </w:pPr>
      <w:r w:rsidRPr="007A16B9">
        <w:t xml:space="preserve">This was obtained from the ethical committee, faculty of basic medical sciences Chukwuemeka </w:t>
      </w:r>
      <w:proofErr w:type="spellStart"/>
      <w:r w:rsidRPr="007A16B9">
        <w:t>Odumegwu</w:t>
      </w:r>
      <w:proofErr w:type="spellEnd"/>
      <w:r w:rsidRPr="007A16B9">
        <w:t xml:space="preserve"> Ojukwu University, </w:t>
      </w:r>
      <w:proofErr w:type="spellStart"/>
      <w:r w:rsidRPr="007A16B9">
        <w:t>Uli</w:t>
      </w:r>
      <w:proofErr w:type="spellEnd"/>
      <w:r w:rsidRPr="007A16B9">
        <w:t xml:space="preserve"> campus in compliance with the relevant laws and institution’s guidelines.</w:t>
      </w:r>
    </w:p>
    <w:p w14:paraId="5933E7F9" w14:textId="77777777" w:rsidR="007A16B9" w:rsidRPr="007A16B9" w:rsidRDefault="007A16B9" w:rsidP="007A16B9">
      <w:pPr>
        <w:jc w:val="both"/>
      </w:pPr>
      <w:r w:rsidRPr="007A16B9">
        <w:t>All authors hereby declare that "Principles of laboratory animal care" (NIH publication No. 85-23, revised 1985) were followed, as well as specific national laws where applicable. All experiments have been examined and approved by the appropriate ethics committee</w:t>
      </w:r>
      <w:r w:rsidRPr="007A16B9">
        <w:rPr>
          <w:b/>
          <w:caps/>
        </w:rPr>
        <w:t>.</w:t>
      </w:r>
    </w:p>
    <w:p w14:paraId="375715D2" w14:textId="77777777" w:rsidR="007A16B9" w:rsidRPr="005C6774" w:rsidRDefault="007A16B9" w:rsidP="00A257AA">
      <w:pPr>
        <w:pStyle w:val="NormalWeb"/>
        <w:spacing w:before="240" w:beforeAutospacing="0" w:line="360" w:lineRule="auto"/>
        <w:jc w:val="both"/>
      </w:pPr>
    </w:p>
    <w:p w14:paraId="22ECF561" w14:textId="77777777" w:rsidR="003619A1" w:rsidRPr="005C6774" w:rsidRDefault="005C6774" w:rsidP="003619A1">
      <w:pPr>
        <w:spacing w:before="100" w:beforeAutospacing="1" w:after="100" w:afterAutospacing="1"/>
        <w:outlineLvl w:val="2"/>
        <w:rPr>
          <w:b/>
          <w:bCs/>
        </w:rPr>
      </w:pPr>
      <w:r w:rsidRPr="005C6774">
        <w:rPr>
          <w:b/>
          <w:bCs/>
        </w:rPr>
        <w:t>REFERENCES</w:t>
      </w:r>
    </w:p>
    <w:p w14:paraId="778E46C7" w14:textId="77777777" w:rsidR="00465090" w:rsidRPr="00465090" w:rsidRDefault="00465090" w:rsidP="00465090">
      <w:pPr>
        <w:pStyle w:val="NormalWeb"/>
        <w:ind w:left="720" w:hanging="720"/>
        <w:jc w:val="both"/>
      </w:pPr>
      <w:r w:rsidRPr="00465090">
        <w:rPr>
          <w:rStyle w:val="Strong"/>
          <w:b w:val="0"/>
        </w:rPr>
        <w:t>Abdel-Moneim, A. E. (2015).</w:t>
      </w:r>
      <w:r w:rsidRPr="00465090">
        <w:t xml:space="preserve"> Oxidative stress and apoptosis induced by lead acetate in the liver of male rats: The protective role of </w:t>
      </w:r>
      <w:r w:rsidRPr="00465090">
        <w:rPr>
          <w:rStyle w:val="Emphasis"/>
          <w:i w:val="0"/>
        </w:rPr>
        <w:t>Vitamin C</w:t>
      </w:r>
      <w:r>
        <w:t xml:space="preserve">. </w:t>
      </w:r>
      <w:r w:rsidRPr="00465090">
        <w:rPr>
          <w:rStyle w:val="Strong"/>
          <w:b w:val="0"/>
          <w:i/>
        </w:rPr>
        <w:t>Environmental Toxicology and Pharmacology</w:t>
      </w:r>
      <w:r w:rsidRPr="00465090">
        <w:rPr>
          <w:i/>
        </w:rPr>
        <w:t>,</w:t>
      </w:r>
      <w:r w:rsidRPr="00465090">
        <w:t xml:space="preserve"> </w:t>
      </w:r>
      <w:r w:rsidRPr="00465090">
        <w:rPr>
          <w:rStyle w:val="Emphasis"/>
        </w:rPr>
        <w:t>39</w:t>
      </w:r>
      <w:r w:rsidRPr="00465090">
        <w:t xml:space="preserve">(3), 803–810. </w:t>
      </w:r>
      <w:hyperlink r:id="rId29" w:history="1">
        <w:r w:rsidRPr="00465090">
          <w:rPr>
            <w:rStyle w:val="Hyperlink"/>
          </w:rPr>
          <w:t>https://doi.org/10.1016/j.etap.2015.01.022</w:t>
        </w:r>
      </w:hyperlink>
    </w:p>
    <w:p w14:paraId="283E3781" w14:textId="77777777" w:rsidR="00465090" w:rsidRPr="005C6774" w:rsidRDefault="00465090" w:rsidP="00E34324">
      <w:pPr>
        <w:spacing w:before="100" w:beforeAutospacing="1" w:after="100" w:afterAutospacing="1"/>
        <w:ind w:left="720" w:hanging="720"/>
        <w:jc w:val="both"/>
      </w:pPr>
      <w:r w:rsidRPr="005C6774">
        <w:t xml:space="preserve">Abid, R., Imran, M., Patel, S., &amp; Shariati, M. A. (2022). Apigenin as a promising agent in pharmacotherapy: A review of pharmacological and therapeutic potentials. </w:t>
      </w:r>
      <w:r w:rsidRPr="005C6774">
        <w:rPr>
          <w:i/>
          <w:iCs/>
        </w:rPr>
        <w:t>Biomedicine &amp; Pharmacotherapy, 146</w:t>
      </w:r>
      <w:r w:rsidRPr="005C6774">
        <w:t xml:space="preserve">, 112489. </w:t>
      </w:r>
      <w:hyperlink r:id="rId30" w:history="1">
        <w:r w:rsidRPr="005C6774">
          <w:rPr>
            <w:color w:val="0000FF"/>
            <w:u w:val="single"/>
          </w:rPr>
          <w:t>https://doi.org/10.1016/j.biopha.2022.112489</w:t>
        </w:r>
      </w:hyperlink>
    </w:p>
    <w:p w14:paraId="75E42966" w14:textId="77777777" w:rsidR="00465090" w:rsidRPr="005C6774" w:rsidRDefault="00465090" w:rsidP="00E34324">
      <w:pPr>
        <w:spacing w:before="100" w:beforeAutospacing="1" w:after="100" w:afterAutospacing="1"/>
        <w:ind w:left="720" w:hanging="720"/>
        <w:jc w:val="both"/>
      </w:pPr>
      <w:r w:rsidRPr="005C6774">
        <w:t xml:space="preserve">Adeniji, A. A., Adeoye, A. O., &amp; </w:t>
      </w:r>
      <w:proofErr w:type="spellStart"/>
      <w:r w:rsidRPr="005C6774">
        <w:t>Olubiyi</w:t>
      </w:r>
      <w:proofErr w:type="spellEnd"/>
      <w:r w:rsidRPr="005C6774">
        <w:t xml:space="preserve">, O. O. (2021). Computational prediction of drug-likeness and pharmacokinetic profiles of bioactive flavonoids. </w:t>
      </w:r>
      <w:r w:rsidRPr="005C6774">
        <w:rPr>
          <w:i/>
          <w:iCs/>
        </w:rPr>
        <w:t>Computational Toxicology, 18</w:t>
      </w:r>
      <w:r w:rsidRPr="005C6774">
        <w:t xml:space="preserve">, 100160. </w:t>
      </w:r>
      <w:hyperlink r:id="rId31" w:history="1">
        <w:r w:rsidRPr="005C6774">
          <w:rPr>
            <w:color w:val="0000FF"/>
            <w:u w:val="single"/>
          </w:rPr>
          <w:t>https://doi.org/10.1016/j.comtox.2021.100160</w:t>
        </w:r>
      </w:hyperlink>
    </w:p>
    <w:p w14:paraId="4D153094" w14:textId="77777777" w:rsidR="00465090" w:rsidRPr="005C6774" w:rsidRDefault="00465090" w:rsidP="00E34324">
      <w:pPr>
        <w:spacing w:before="100" w:beforeAutospacing="1" w:after="100" w:afterAutospacing="1"/>
        <w:ind w:left="720" w:hanging="720"/>
        <w:jc w:val="both"/>
      </w:pPr>
      <w:r w:rsidRPr="005C6774">
        <w:t xml:space="preserve">Ali, M., Khan, T., Fatima, S., &amp; Ul-Haq, Z. (2023). Drug design considerations of rigidity and flexibility in novel scaffolds. </w:t>
      </w:r>
      <w:r w:rsidRPr="005C6774">
        <w:rPr>
          <w:i/>
          <w:iCs/>
        </w:rPr>
        <w:t>Current Drug Targets, 24</w:t>
      </w:r>
      <w:r w:rsidRPr="005C6774">
        <w:t xml:space="preserve">(1), 55–67. </w:t>
      </w:r>
      <w:hyperlink r:id="rId32" w:history="1">
        <w:r w:rsidRPr="005C6774">
          <w:rPr>
            <w:color w:val="0000FF"/>
            <w:u w:val="single"/>
          </w:rPr>
          <w:t>https://doi.org/10.2174/1389450123666220713111245</w:t>
        </w:r>
      </w:hyperlink>
    </w:p>
    <w:p w14:paraId="40F587CA" w14:textId="77777777" w:rsidR="00465090" w:rsidRPr="005C6774" w:rsidRDefault="00465090" w:rsidP="00E34324">
      <w:pPr>
        <w:spacing w:before="100" w:beforeAutospacing="1" w:after="100" w:afterAutospacing="1"/>
        <w:ind w:left="720" w:hanging="720"/>
        <w:jc w:val="both"/>
      </w:pPr>
      <w:r w:rsidRPr="005C6774">
        <w:t xml:space="preserve">American Diabetes Association. (2020). Standards of medical care in diabetes—2020. </w:t>
      </w:r>
      <w:r w:rsidRPr="005C6774">
        <w:rPr>
          <w:i/>
          <w:iCs/>
        </w:rPr>
        <w:t>Diabetes Care, 43</w:t>
      </w:r>
      <w:r w:rsidRPr="005C6774">
        <w:t xml:space="preserve">(Suppl 1), S1–S212. </w:t>
      </w:r>
      <w:hyperlink r:id="rId33" w:history="1">
        <w:r w:rsidRPr="005C6774">
          <w:rPr>
            <w:color w:val="0000FF"/>
            <w:u w:val="single"/>
          </w:rPr>
          <w:t>https://doi.org/10.2337/dc20-S001</w:t>
        </w:r>
      </w:hyperlink>
    </w:p>
    <w:p w14:paraId="26672B0C" w14:textId="77777777" w:rsidR="00465090" w:rsidRPr="005C6774" w:rsidRDefault="00465090" w:rsidP="00E34324">
      <w:pPr>
        <w:spacing w:before="100" w:beforeAutospacing="1" w:after="100" w:afterAutospacing="1"/>
        <w:ind w:left="720" w:hanging="720"/>
        <w:jc w:val="both"/>
      </w:pPr>
      <w:r w:rsidRPr="005C6774">
        <w:t xml:space="preserve">Baron, G., Ferrario, C., Fontana, F., &amp; Collina, S. (2022). Apigenin and its synthetic analogs: Recent advances in anti-cancer pharmacology. </w:t>
      </w:r>
      <w:r w:rsidRPr="005C6774">
        <w:rPr>
          <w:i/>
          <w:iCs/>
        </w:rPr>
        <w:t>Pharmacological Research, 183</w:t>
      </w:r>
      <w:r w:rsidRPr="005C6774">
        <w:t xml:space="preserve">, 106362. </w:t>
      </w:r>
      <w:hyperlink r:id="rId34" w:history="1">
        <w:r w:rsidRPr="005C6774">
          <w:rPr>
            <w:color w:val="0000FF"/>
            <w:u w:val="single"/>
          </w:rPr>
          <w:t>https://doi.org/10.1016/j.phrs.2022.106362</w:t>
        </w:r>
      </w:hyperlink>
    </w:p>
    <w:p w14:paraId="5EEB3CF4" w14:textId="77777777" w:rsidR="00465090" w:rsidRPr="00E34324" w:rsidRDefault="00465090" w:rsidP="00E34324">
      <w:pPr>
        <w:pStyle w:val="NormalWeb"/>
        <w:ind w:left="720" w:hanging="720"/>
        <w:jc w:val="both"/>
      </w:pPr>
      <w:r w:rsidRPr="00E34324">
        <w:rPr>
          <w:rStyle w:val="Strong"/>
          <w:b w:val="0"/>
        </w:rPr>
        <w:t>Chen, L., Wang, Y., Zhang, X., &amp; Li, J.</w:t>
      </w:r>
      <w:r w:rsidRPr="00E34324">
        <w:t xml:space="preserve"> (2022). Flavonoids as modulators of NF-</w:t>
      </w:r>
      <w:proofErr w:type="spellStart"/>
      <w:r w:rsidRPr="00E34324">
        <w:t>κB</w:t>
      </w:r>
      <w:proofErr w:type="spellEnd"/>
      <w:r w:rsidRPr="00E34324">
        <w:t xml:space="preserve"> signaling in inflammation and cancer. </w:t>
      </w:r>
      <w:r w:rsidRPr="00E34324">
        <w:rPr>
          <w:rStyle w:val="Emphasis"/>
        </w:rPr>
        <w:t>Phytomedicine</w:t>
      </w:r>
      <w:r w:rsidRPr="00E34324">
        <w:t xml:space="preserve">, 95, 153810. </w:t>
      </w:r>
      <w:hyperlink r:id="rId35" w:history="1">
        <w:r w:rsidRPr="00E34324">
          <w:rPr>
            <w:rStyle w:val="Hyperlink"/>
          </w:rPr>
          <w:t>https://doi.org/10.1016/j.phymed.2021.153810:contentReference[oaicite:3]{index=3}</w:t>
        </w:r>
      </w:hyperlink>
    </w:p>
    <w:p w14:paraId="018E556E" w14:textId="77777777" w:rsidR="00465090" w:rsidRPr="005C6774" w:rsidRDefault="00465090" w:rsidP="00E34324">
      <w:pPr>
        <w:autoSpaceDE w:val="0"/>
        <w:autoSpaceDN w:val="0"/>
        <w:adjustRightInd w:val="0"/>
        <w:spacing w:before="240"/>
        <w:ind w:left="720" w:hanging="720"/>
        <w:jc w:val="both"/>
      </w:pPr>
      <w:proofErr w:type="spellStart"/>
      <w:r w:rsidRPr="005C6774">
        <w:t>Dallakyan</w:t>
      </w:r>
      <w:proofErr w:type="spellEnd"/>
      <w:r w:rsidRPr="005C6774">
        <w:t xml:space="preserve">, S. and Olson, A.J. (2015) Small-Molecule Library Screening by Docking with </w:t>
      </w:r>
      <w:proofErr w:type="spellStart"/>
      <w:r w:rsidRPr="005C6774">
        <w:t>PyRx</w:t>
      </w:r>
      <w:proofErr w:type="spellEnd"/>
      <w:r w:rsidRPr="005C6774">
        <w:t xml:space="preserve">. Methods, </w:t>
      </w:r>
      <w:r w:rsidRPr="005C6774">
        <w:rPr>
          <w:i/>
        </w:rPr>
        <w:t>Mol Biol.,</w:t>
      </w:r>
      <w:r w:rsidRPr="005C6774">
        <w:t xml:space="preserve"> 1263: 243–50.</w:t>
      </w:r>
    </w:p>
    <w:p w14:paraId="4C7008F2" w14:textId="77777777" w:rsidR="00465090" w:rsidRPr="005C6774" w:rsidRDefault="00465090" w:rsidP="00E34324">
      <w:pPr>
        <w:spacing w:before="100" w:beforeAutospacing="1" w:after="100" w:afterAutospacing="1"/>
        <w:ind w:left="720" w:hanging="720"/>
        <w:jc w:val="both"/>
      </w:pPr>
      <w:r w:rsidRPr="005C6774">
        <w:lastRenderedPageBreak/>
        <w:t xml:space="preserve">Elmore, S. (2007). Apoptosis: A review of programmed cell death. </w:t>
      </w:r>
      <w:r w:rsidRPr="005C6774">
        <w:rPr>
          <w:i/>
          <w:iCs/>
        </w:rPr>
        <w:t>Toxicologic Pathology, 35</w:t>
      </w:r>
      <w:r w:rsidRPr="005C6774">
        <w:t xml:space="preserve">(4), 495–516. </w:t>
      </w:r>
      <w:hyperlink r:id="rId36" w:history="1">
        <w:r w:rsidRPr="005C6774">
          <w:rPr>
            <w:color w:val="0000FF"/>
            <w:u w:val="single"/>
          </w:rPr>
          <w:t>https://doi.org/10.1080/01926230701320337</w:t>
        </w:r>
      </w:hyperlink>
    </w:p>
    <w:p w14:paraId="0113F74C" w14:textId="77777777" w:rsidR="00465090" w:rsidRPr="005C6774" w:rsidRDefault="00465090" w:rsidP="00E34324">
      <w:pPr>
        <w:autoSpaceDE w:val="0"/>
        <w:autoSpaceDN w:val="0"/>
        <w:adjustRightInd w:val="0"/>
        <w:spacing w:before="240"/>
        <w:ind w:left="720" w:hanging="720"/>
        <w:jc w:val="both"/>
      </w:pPr>
      <w:r w:rsidRPr="005C6774">
        <w:t xml:space="preserve">Engvall, E. &amp; </w:t>
      </w:r>
      <w:proofErr w:type="spellStart"/>
      <w:r w:rsidRPr="005C6774">
        <w:t>Perlmanm</w:t>
      </w:r>
      <w:proofErr w:type="spellEnd"/>
      <w:r w:rsidRPr="005C6774">
        <w:t xml:space="preserve">, P. (1971). Enzyme-Linked Immunosorbent Assay (ELISA), Quantitative assay of immunoglobulin G, </w:t>
      </w:r>
      <w:r w:rsidRPr="005C6774">
        <w:rPr>
          <w:i/>
        </w:rPr>
        <w:t>Immunochemistry, 8</w:t>
      </w:r>
      <w:r w:rsidRPr="005C6774">
        <w:t>(9), 871-874</w:t>
      </w:r>
    </w:p>
    <w:p w14:paraId="7602D335" w14:textId="77777777" w:rsidR="00465090" w:rsidRPr="005C6774" w:rsidRDefault="00465090" w:rsidP="00E34324">
      <w:pPr>
        <w:spacing w:before="100" w:beforeAutospacing="1" w:after="100" w:afterAutospacing="1"/>
        <w:ind w:left="720" w:hanging="720"/>
        <w:jc w:val="both"/>
      </w:pPr>
      <w:r w:rsidRPr="005C6774">
        <w:t xml:space="preserve">Ferreira, D., Santos, S. A., &amp; Pinto, D. (2021). Drug-likeness evaluation of bioactive natural products: Tools and applications in drug discovery. </w:t>
      </w:r>
      <w:r w:rsidRPr="005C6774">
        <w:rPr>
          <w:i/>
          <w:iCs/>
        </w:rPr>
        <w:t>Current Medicinal Chemistry, 28</w:t>
      </w:r>
      <w:r w:rsidRPr="005C6774">
        <w:t xml:space="preserve">(14), 2861–2883. </w:t>
      </w:r>
      <w:hyperlink r:id="rId37" w:history="1">
        <w:r w:rsidRPr="005C6774">
          <w:rPr>
            <w:color w:val="0000FF"/>
            <w:u w:val="single"/>
          </w:rPr>
          <w:t>https://doi.org/10.2174/0929867327666200907112939</w:t>
        </w:r>
      </w:hyperlink>
    </w:p>
    <w:p w14:paraId="656D85B9" w14:textId="77777777" w:rsidR="00465090" w:rsidRPr="00465090" w:rsidRDefault="00465090" w:rsidP="00465090">
      <w:pPr>
        <w:pStyle w:val="NormalWeb"/>
        <w:ind w:left="720" w:hanging="720"/>
        <w:jc w:val="both"/>
      </w:pPr>
      <w:r w:rsidRPr="00465090">
        <w:rPr>
          <w:rStyle w:val="Strong"/>
          <w:b w:val="0"/>
        </w:rPr>
        <w:t>Flora, G., Gupta, D., &amp; Tiwari, A. (2012).</w:t>
      </w:r>
      <w:r>
        <w:t xml:space="preserve"> </w:t>
      </w:r>
      <w:r w:rsidRPr="00465090">
        <w:t>Toxicity of lead: A review with recent updates.</w:t>
      </w:r>
      <w:r w:rsidRPr="00465090">
        <w:br/>
      </w:r>
      <w:r w:rsidRPr="00465090">
        <w:rPr>
          <w:rStyle w:val="Strong"/>
          <w:b w:val="0"/>
          <w:i/>
        </w:rPr>
        <w:t>Interdisciplinary Toxicology</w:t>
      </w:r>
      <w:r w:rsidRPr="00465090">
        <w:rPr>
          <w:b/>
          <w:i/>
        </w:rPr>
        <w:t>,</w:t>
      </w:r>
      <w:r w:rsidRPr="00465090">
        <w:t xml:space="preserve"> </w:t>
      </w:r>
      <w:r w:rsidRPr="00465090">
        <w:rPr>
          <w:rStyle w:val="Emphasis"/>
        </w:rPr>
        <w:t>5</w:t>
      </w:r>
      <w:r w:rsidRPr="00465090">
        <w:t xml:space="preserve">(2), 47–58. </w:t>
      </w:r>
      <w:hyperlink r:id="rId38" w:history="1">
        <w:r w:rsidRPr="00465090">
          <w:rPr>
            <w:rStyle w:val="Hyperlink"/>
          </w:rPr>
          <w:t>https://doi.org/10.2478/v10102-012-0009-2</w:t>
        </w:r>
      </w:hyperlink>
    </w:p>
    <w:p w14:paraId="35AFFE1F" w14:textId="77777777" w:rsidR="00465090" w:rsidRPr="00E34324" w:rsidRDefault="00465090" w:rsidP="00E34324">
      <w:pPr>
        <w:spacing w:before="100" w:beforeAutospacing="1" w:after="100" w:afterAutospacing="1"/>
        <w:ind w:left="720" w:hanging="720"/>
        <w:jc w:val="both"/>
      </w:pPr>
      <w:r w:rsidRPr="00E34324">
        <w:rPr>
          <w:bCs/>
        </w:rPr>
        <w:t xml:space="preserve">Flora, S. J. S., Gupta, D., &amp; Tiwari, A. (2020). Toxicity of lead: A review with recent updates. </w:t>
      </w:r>
      <w:r w:rsidRPr="00E34324">
        <w:rPr>
          <w:bCs/>
          <w:i/>
          <w:iCs/>
        </w:rPr>
        <w:t>Environmental Toxicology and Pharmacology</w:t>
      </w:r>
      <w:r w:rsidRPr="00E34324">
        <w:rPr>
          <w:bCs/>
        </w:rPr>
        <w:t xml:space="preserve">, 75, 103319. </w:t>
      </w:r>
      <w:hyperlink r:id="rId39" w:history="1">
        <w:r w:rsidRPr="00E34324">
          <w:rPr>
            <w:bCs/>
            <w:color w:val="0000FF"/>
            <w:u w:val="single"/>
          </w:rPr>
          <w:t>https://doi.org/10.1016/j.etap.2020.103319</w:t>
        </w:r>
      </w:hyperlink>
    </w:p>
    <w:p w14:paraId="3BB4C507" w14:textId="77777777" w:rsidR="00465090" w:rsidRPr="00E34324" w:rsidRDefault="00465090" w:rsidP="00E34324">
      <w:pPr>
        <w:spacing w:before="100" w:beforeAutospacing="1" w:after="100" w:afterAutospacing="1"/>
        <w:ind w:left="720" w:hanging="720"/>
        <w:jc w:val="both"/>
      </w:pPr>
      <w:r w:rsidRPr="00E34324">
        <w:rPr>
          <w:bCs/>
        </w:rPr>
        <w:t xml:space="preserve">Gonzalez, M., Rivera, A., &amp; Moreno, J. (2024). Molecular insights into the antioxidant properties of rutin: Binding dynamics with oxidative stress proteins. </w:t>
      </w:r>
      <w:r w:rsidRPr="00E34324">
        <w:rPr>
          <w:bCs/>
          <w:i/>
          <w:iCs/>
        </w:rPr>
        <w:t>Free Radical Biology &amp; Medicine</w:t>
      </w:r>
      <w:r w:rsidRPr="00E34324">
        <w:rPr>
          <w:bCs/>
        </w:rPr>
        <w:t xml:space="preserve">, 185, 240–250. </w:t>
      </w:r>
      <w:hyperlink r:id="rId40" w:history="1">
        <w:r w:rsidRPr="00E34324">
          <w:rPr>
            <w:bCs/>
            <w:color w:val="0000FF"/>
            <w:u w:val="single"/>
          </w:rPr>
          <w:t>https://doi.org/10.1016/j.freeradbiomed.2023.12.004</w:t>
        </w:r>
      </w:hyperlink>
    </w:p>
    <w:p w14:paraId="20F76840" w14:textId="77777777" w:rsidR="00465090" w:rsidRPr="005C6774" w:rsidRDefault="00465090" w:rsidP="00E34324">
      <w:pPr>
        <w:spacing w:before="100" w:beforeAutospacing="1" w:after="100" w:afterAutospacing="1"/>
        <w:ind w:left="720" w:hanging="720"/>
        <w:jc w:val="both"/>
      </w:pPr>
      <w:r w:rsidRPr="005C6774">
        <w:t xml:space="preserve">Guengerich, F. P. (2020). Cytochrome P450 and chemical toxicology. </w:t>
      </w:r>
      <w:r w:rsidRPr="005C6774">
        <w:rPr>
          <w:i/>
          <w:iCs/>
        </w:rPr>
        <w:t>Chemical Research in Toxicology, 33</w:t>
      </w:r>
      <w:r w:rsidRPr="005C6774">
        <w:t xml:space="preserve">(3), 481–504. </w:t>
      </w:r>
      <w:hyperlink r:id="rId41" w:history="1">
        <w:r w:rsidRPr="005C6774">
          <w:rPr>
            <w:color w:val="0000FF"/>
            <w:u w:val="single"/>
          </w:rPr>
          <w:t>https://doi.org/10.1021/acs.chemrestox.9b00457</w:t>
        </w:r>
      </w:hyperlink>
    </w:p>
    <w:p w14:paraId="4E671666" w14:textId="77777777" w:rsidR="00465090" w:rsidRPr="005C6774" w:rsidRDefault="00465090" w:rsidP="00E34324">
      <w:pPr>
        <w:spacing w:before="100" w:beforeAutospacing="1" w:after="100" w:afterAutospacing="1"/>
        <w:ind w:left="720" w:hanging="720"/>
        <w:jc w:val="both"/>
      </w:pPr>
      <w:r w:rsidRPr="005C6774">
        <w:t xml:space="preserve">Henson, E. S., &amp; </w:t>
      </w:r>
      <w:proofErr w:type="spellStart"/>
      <w:r w:rsidRPr="005C6774">
        <w:t>Chedrese</w:t>
      </w:r>
      <w:proofErr w:type="spellEnd"/>
      <w:r w:rsidRPr="005C6774">
        <w:t xml:space="preserve">, P. J. (2021). Heavy metal toxicity and the role of </w:t>
      </w:r>
      <w:proofErr w:type="spellStart"/>
      <w:r w:rsidRPr="005C6774">
        <w:t>metallothioneins</w:t>
      </w:r>
      <w:proofErr w:type="spellEnd"/>
      <w:r w:rsidRPr="005C6774">
        <w:t xml:space="preserve">. </w:t>
      </w:r>
      <w:r w:rsidRPr="005C6774">
        <w:rPr>
          <w:i/>
          <w:iCs/>
        </w:rPr>
        <w:t>Journal of Toxicology and Environmental Health, Part B, 24</w:t>
      </w:r>
      <w:r w:rsidRPr="005C6774">
        <w:t xml:space="preserve">(2), 51–72. </w:t>
      </w:r>
      <w:hyperlink r:id="rId42" w:history="1">
        <w:r w:rsidRPr="005C6774">
          <w:rPr>
            <w:color w:val="0000FF"/>
            <w:u w:val="single"/>
          </w:rPr>
          <w:t>https://doi.org/10.1080/10937404.2020.1855285</w:t>
        </w:r>
      </w:hyperlink>
    </w:p>
    <w:p w14:paraId="63D314E7" w14:textId="77777777" w:rsidR="00465090" w:rsidRPr="005C6774" w:rsidRDefault="00465090" w:rsidP="00E34324">
      <w:pPr>
        <w:spacing w:before="100" w:beforeAutospacing="1" w:after="100" w:afterAutospacing="1"/>
        <w:ind w:left="720" w:hanging="720"/>
        <w:jc w:val="both"/>
      </w:pPr>
      <w:r w:rsidRPr="005C6774">
        <w:t xml:space="preserve">Huang, J., Xu, C., &amp; Gao, M. (2022). Assessing molecular flexibility and drug-likeness of dietary carotenoids: In silico and pharmacokinetic perspectives. </w:t>
      </w:r>
      <w:r w:rsidRPr="005C6774">
        <w:rPr>
          <w:i/>
          <w:iCs/>
        </w:rPr>
        <w:t>Computational Biology and Chemistry, 96</w:t>
      </w:r>
      <w:r w:rsidRPr="005C6774">
        <w:t xml:space="preserve">, 107644. </w:t>
      </w:r>
      <w:hyperlink r:id="rId43" w:history="1">
        <w:r w:rsidRPr="005C6774">
          <w:rPr>
            <w:color w:val="0000FF"/>
            <w:u w:val="single"/>
          </w:rPr>
          <w:t>https://doi.org/10.1016/j.compbiolchem.2022.107644</w:t>
        </w:r>
      </w:hyperlink>
    </w:p>
    <w:p w14:paraId="33D5D78E" w14:textId="77777777" w:rsidR="00465090" w:rsidRPr="005C6774" w:rsidRDefault="00465090" w:rsidP="00E34324">
      <w:pPr>
        <w:spacing w:before="100" w:beforeAutospacing="1" w:after="100" w:afterAutospacing="1"/>
        <w:ind w:left="720" w:hanging="720"/>
        <w:jc w:val="both"/>
      </w:pPr>
      <w:r w:rsidRPr="005C6774">
        <w:t xml:space="preserve">Huang, X., Yang, J., Zhang, Y., &amp; Li, L. (2023). In silico ADMET profiling and target prediction of dietary flavonoids. </w:t>
      </w:r>
      <w:r w:rsidRPr="005C6774">
        <w:rPr>
          <w:i/>
          <w:iCs/>
        </w:rPr>
        <w:t>Frontiers in Pharmacology, 14</w:t>
      </w:r>
      <w:r w:rsidRPr="005C6774">
        <w:t xml:space="preserve">, 1163405. </w:t>
      </w:r>
      <w:hyperlink r:id="rId44" w:history="1">
        <w:r w:rsidRPr="005C6774">
          <w:rPr>
            <w:color w:val="0000FF"/>
            <w:u w:val="single"/>
          </w:rPr>
          <w:t>https://doi.org/10.3389/fphar.2023.1163405</w:t>
        </w:r>
      </w:hyperlink>
    </w:p>
    <w:p w14:paraId="2DBB432C" w14:textId="77777777" w:rsidR="00465090" w:rsidRPr="005C6774" w:rsidRDefault="00465090" w:rsidP="00E34324">
      <w:pPr>
        <w:spacing w:before="100" w:beforeAutospacing="1" w:after="100" w:afterAutospacing="1"/>
        <w:ind w:left="720" w:hanging="720"/>
        <w:jc w:val="both"/>
      </w:pPr>
      <w:r w:rsidRPr="005C6774">
        <w:t xml:space="preserve">Huang, Y., Chen, J., &amp; Liu, Y. (2021). Carotenoid-derived reactive species and their implications for toxicity in human tissues. </w:t>
      </w:r>
      <w:proofErr w:type="spellStart"/>
      <w:r w:rsidRPr="005C6774">
        <w:rPr>
          <w:i/>
          <w:iCs/>
        </w:rPr>
        <w:t>Chemico</w:t>
      </w:r>
      <w:proofErr w:type="spellEnd"/>
      <w:r w:rsidRPr="005C6774">
        <w:rPr>
          <w:i/>
          <w:iCs/>
        </w:rPr>
        <w:t>-Biological Interactions, 345</w:t>
      </w:r>
      <w:r w:rsidRPr="005C6774">
        <w:t xml:space="preserve">, 109577. </w:t>
      </w:r>
      <w:hyperlink r:id="rId45" w:history="1">
        <w:r w:rsidRPr="005C6774">
          <w:rPr>
            <w:color w:val="0000FF"/>
            <w:u w:val="single"/>
          </w:rPr>
          <w:t>https://doi.org/10.1016/j.cbi.2021.109577</w:t>
        </w:r>
      </w:hyperlink>
    </w:p>
    <w:p w14:paraId="040CA7A2" w14:textId="77777777" w:rsidR="00465090" w:rsidRPr="00465090" w:rsidRDefault="00465090" w:rsidP="00465090">
      <w:pPr>
        <w:pStyle w:val="NormalWeb"/>
        <w:ind w:left="720" w:hanging="720"/>
        <w:jc w:val="both"/>
      </w:pPr>
      <w:r w:rsidRPr="00465090">
        <w:rPr>
          <w:rStyle w:val="Strong"/>
          <w:b w:val="0"/>
        </w:rPr>
        <w:t>Khan, A. R., Khan, M. R., &amp; Sahreen, S. (2014).</w:t>
      </w:r>
      <w:r w:rsidRPr="00465090">
        <w:rPr>
          <w:b/>
        </w:rPr>
        <w:t xml:space="preserve"> </w:t>
      </w:r>
      <w:r w:rsidRPr="00465090">
        <w:t>Protective effects of rutin against potassium bromate-</w:t>
      </w:r>
      <w:r>
        <w:t xml:space="preserve">induced nephrotoxicity in rats. </w:t>
      </w:r>
      <w:r w:rsidRPr="00465090">
        <w:rPr>
          <w:rStyle w:val="Strong"/>
          <w:b w:val="0"/>
          <w:i/>
        </w:rPr>
        <w:t>BMC Complementary and Alternative Medicine</w:t>
      </w:r>
      <w:r w:rsidRPr="00465090">
        <w:rPr>
          <w:b/>
          <w:i/>
        </w:rPr>
        <w:t>,</w:t>
      </w:r>
      <w:r w:rsidRPr="00465090">
        <w:t xml:space="preserve"> </w:t>
      </w:r>
      <w:r w:rsidRPr="00465090">
        <w:rPr>
          <w:rStyle w:val="Emphasis"/>
        </w:rPr>
        <w:t>12</w:t>
      </w:r>
      <w:r w:rsidRPr="00465090">
        <w:t xml:space="preserve">, 204. </w:t>
      </w:r>
      <w:hyperlink r:id="rId46" w:history="1">
        <w:r w:rsidRPr="00465090">
          <w:rPr>
            <w:rStyle w:val="Hyperlink"/>
          </w:rPr>
          <w:t>https://doi.org/10.1186/1472-6882-12-204</w:t>
        </w:r>
      </w:hyperlink>
    </w:p>
    <w:p w14:paraId="7487B19D" w14:textId="77777777" w:rsidR="00465090" w:rsidRPr="005C6774" w:rsidRDefault="00465090" w:rsidP="00E34324">
      <w:pPr>
        <w:spacing w:before="100" w:beforeAutospacing="1" w:after="100" w:afterAutospacing="1"/>
        <w:ind w:left="720" w:hanging="720"/>
        <w:jc w:val="both"/>
      </w:pPr>
      <w:r w:rsidRPr="005C6774">
        <w:lastRenderedPageBreak/>
        <w:t xml:space="preserve">Khan, R. A., Hussain, N., &amp; Haque, A. (2023). Selective cytotoxic and apoptotic activity of apigenin in human lung cancer cells. </w:t>
      </w:r>
      <w:r w:rsidRPr="005C6774">
        <w:rPr>
          <w:i/>
          <w:iCs/>
        </w:rPr>
        <w:t>Journal of Cellular Biochemistry, 124</w:t>
      </w:r>
      <w:r w:rsidRPr="005C6774">
        <w:t xml:space="preserve">(1), 56–67. </w:t>
      </w:r>
      <w:hyperlink r:id="rId47" w:history="1">
        <w:r w:rsidRPr="005C6774">
          <w:rPr>
            <w:color w:val="0000FF"/>
            <w:u w:val="single"/>
          </w:rPr>
          <w:t>https://doi.org/10.1002/jcb.30364</w:t>
        </w:r>
      </w:hyperlink>
    </w:p>
    <w:p w14:paraId="14B5C3FB" w14:textId="77777777" w:rsidR="00465090" w:rsidRPr="005C6774" w:rsidRDefault="00465090" w:rsidP="00E34324">
      <w:pPr>
        <w:autoSpaceDE w:val="0"/>
        <w:autoSpaceDN w:val="0"/>
        <w:adjustRightInd w:val="0"/>
        <w:spacing w:before="240"/>
        <w:ind w:left="720" w:hanging="720"/>
        <w:jc w:val="both"/>
        <w:rPr>
          <w:bCs/>
        </w:rPr>
      </w:pPr>
      <w:proofErr w:type="spellStart"/>
      <w:r w:rsidRPr="005C6774">
        <w:rPr>
          <w:bCs/>
        </w:rPr>
        <w:t>Kieman</w:t>
      </w:r>
      <w:proofErr w:type="spellEnd"/>
      <w:r w:rsidRPr="005C6774">
        <w:rPr>
          <w:bCs/>
        </w:rPr>
        <w:t xml:space="preserve">, J.A. (2008). </w:t>
      </w:r>
      <w:r w:rsidRPr="005C6774">
        <w:rPr>
          <w:bCs/>
          <w:i/>
        </w:rPr>
        <w:t>Histological and histochemical methods; Theory and Practice</w:t>
      </w:r>
      <w:r w:rsidRPr="005C6774">
        <w:rPr>
          <w:bCs/>
        </w:rPr>
        <w:t xml:space="preserve"> (4</w:t>
      </w:r>
      <w:r w:rsidRPr="005C6774">
        <w:rPr>
          <w:bCs/>
          <w:vertAlign w:val="superscript"/>
        </w:rPr>
        <w:t>th</w:t>
      </w:r>
      <w:r w:rsidRPr="005C6774">
        <w:rPr>
          <w:bCs/>
        </w:rPr>
        <w:t xml:space="preserve"> edition), Scion Publishing Ltd, 12-66</w:t>
      </w:r>
    </w:p>
    <w:p w14:paraId="1C2C360C" w14:textId="77777777" w:rsidR="00465090" w:rsidRPr="005C6774" w:rsidRDefault="00465090" w:rsidP="00E34324">
      <w:pPr>
        <w:shd w:val="clear" w:color="auto" w:fill="FFFFFF" w:themeFill="background1"/>
        <w:autoSpaceDE w:val="0"/>
        <w:autoSpaceDN w:val="0"/>
        <w:adjustRightInd w:val="0"/>
        <w:spacing w:before="240"/>
        <w:ind w:left="720" w:hanging="720"/>
        <w:jc w:val="both"/>
      </w:pPr>
      <w:r w:rsidRPr="005C6774">
        <w:rPr>
          <w:shd w:val="clear" w:color="auto" w:fill="F9FAFB"/>
        </w:rPr>
        <w:t xml:space="preserve">Kim, S., Chen, J., Cheng, T., </w:t>
      </w:r>
      <w:proofErr w:type="spellStart"/>
      <w:r w:rsidRPr="005C6774">
        <w:rPr>
          <w:shd w:val="clear" w:color="auto" w:fill="F9FAFB"/>
        </w:rPr>
        <w:t>Gindulyte</w:t>
      </w:r>
      <w:proofErr w:type="spellEnd"/>
      <w:r w:rsidRPr="005C6774">
        <w:rPr>
          <w:shd w:val="clear" w:color="auto" w:fill="F9FAFB"/>
        </w:rPr>
        <w:t>, A., He, J., He, S., Li, Q., Shoemaker, B. A., Thiessen, P. A., Yu, B., Zaslavsky, L., Zhang, J. and Bolton, E. E. (2023). PubChem 2023 update. </w:t>
      </w:r>
      <w:r w:rsidRPr="005C6774">
        <w:rPr>
          <w:rStyle w:val="Emphasis"/>
          <w:bdr w:val="single" w:sz="2" w:space="0" w:color="E5E7EB" w:frame="1"/>
          <w:shd w:val="clear" w:color="auto" w:fill="F9FAFB"/>
        </w:rPr>
        <w:t>Nucleic Acids Res.</w:t>
      </w:r>
      <w:r w:rsidRPr="005C6774">
        <w:rPr>
          <w:shd w:val="clear" w:color="auto" w:fill="F9FAFB"/>
        </w:rPr>
        <w:t>, </w:t>
      </w:r>
      <w:r w:rsidRPr="005C6774">
        <w:rPr>
          <w:rStyle w:val="Emphasis"/>
          <w:bdr w:val="single" w:sz="2" w:space="0" w:color="E5E7EB" w:frame="1"/>
          <w:shd w:val="clear" w:color="auto" w:fill="F9FAFB"/>
        </w:rPr>
        <w:t>51</w:t>
      </w:r>
      <w:r w:rsidRPr="005C6774">
        <w:rPr>
          <w:shd w:val="clear" w:color="auto" w:fill="F9FAFB"/>
        </w:rPr>
        <w:t>(1): 1373–1380. </w:t>
      </w:r>
      <w:r w:rsidRPr="005C6774">
        <w:t xml:space="preserve"> </w:t>
      </w:r>
    </w:p>
    <w:p w14:paraId="6722373C" w14:textId="77777777" w:rsidR="00465090" w:rsidRPr="00E34324" w:rsidRDefault="00465090" w:rsidP="00E34324">
      <w:pPr>
        <w:pStyle w:val="NormalWeb"/>
        <w:ind w:left="720" w:hanging="720"/>
        <w:jc w:val="both"/>
      </w:pPr>
      <w:r w:rsidRPr="00E34324">
        <w:rPr>
          <w:rStyle w:val="Strong"/>
          <w:b w:val="0"/>
        </w:rPr>
        <w:t>Kumar, S., Patel, H., &amp; Mehta, R.</w:t>
      </w:r>
      <w:r w:rsidRPr="00E34324">
        <w:t xml:space="preserve"> (2023). Rutin improves pancreatic β-cell function and insulin secretion through enzyme stabilization. </w:t>
      </w:r>
      <w:r w:rsidRPr="00E34324">
        <w:rPr>
          <w:rStyle w:val="Emphasis"/>
        </w:rPr>
        <w:t>Journal of Nutritional Biochemistry</w:t>
      </w:r>
      <w:r w:rsidRPr="00E34324">
        <w:t xml:space="preserve">, 113, 109188. </w:t>
      </w:r>
      <w:hyperlink r:id="rId48" w:history="1">
        <w:r w:rsidRPr="00E34324">
          <w:rPr>
            <w:rStyle w:val="Hyperlink"/>
          </w:rPr>
          <w:t>https://doi.org/10.1016/j.jnutbio.2023.109188:contentReference[oaicite:11]{index=11}</w:t>
        </w:r>
      </w:hyperlink>
    </w:p>
    <w:p w14:paraId="26ADE093" w14:textId="77777777" w:rsidR="00465090" w:rsidRPr="005C6774" w:rsidRDefault="00465090" w:rsidP="00E34324">
      <w:pPr>
        <w:spacing w:before="100" w:beforeAutospacing="1" w:after="100" w:afterAutospacing="1"/>
        <w:ind w:left="720" w:hanging="720"/>
        <w:jc w:val="both"/>
      </w:pPr>
      <w:r w:rsidRPr="005C6774">
        <w:t xml:space="preserve">Kumar, V., Verma, A., &amp; Gupta, A. (2021). ADME and toxicity profile of natural compounds: A predictive approach. </w:t>
      </w:r>
      <w:r w:rsidRPr="005C6774">
        <w:rPr>
          <w:i/>
          <w:iCs/>
        </w:rPr>
        <w:t>Journal of Molecular Graphics and Modelling, 107</w:t>
      </w:r>
      <w:r w:rsidRPr="005C6774">
        <w:t xml:space="preserve">, 107956. </w:t>
      </w:r>
      <w:hyperlink r:id="rId49" w:history="1">
        <w:r w:rsidRPr="005C6774">
          <w:rPr>
            <w:color w:val="0000FF"/>
            <w:u w:val="single"/>
          </w:rPr>
          <w:t>https://doi.org/10.1016/j.jmgm.2021.107956</w:t>
        </w:r>
      </w:hyperlink>
    </w:p>
    <w:p w14:paraId="778D30D4" w14:textId="77777777" w:rsidR="00465090" w:rsidRPr="005C6774" w:rsidRDefault="00465090" w:rsidP="00E34324">
      <w:pPr>
        <w:spacing w:before="100" w:beforeAutospacing="1" w:after="100" w:afterAutospacing="1"/>
        <w:ind w:left="720" w:hanging="720"/>
        <w:jc w:val="both"/>
      </w:pPr>
      <w:r w:rsidRPr="005C6774">
        <w:t>Lawrence, T. (2009). The nuclear factor NF-</w:t>
      </w:r>
      <w:proofErr w:type="spellStart"/>
      <w:r w:rsidRPr="005C6774">
        <w:t>κB</w:t>
      </w:r>
      <w:proofErr w:type="spellEnd"/>
      <w:r w:rsidRPr="005C6774">
        <w:t xml:space="preserve"> pathway in inflammation. </w:t>
      </w:r>
      <w:r w:rsidRPr="005C6774">
        <w:rPr>
          <w:i/>
          <w:iCs/>
        </w:rPr>
        <w:t>Cold Spring Harbor Perspectives in Biology, 1</w:t>
      </w:r>
      <w:r w:rsidRPr="005C6774">
        <w:t xml:space="preserve">(6), a001651. </w:t>
      </w:r>
      <w:hyperlink r:id="rId50" w:history="1">
        <w:r w:rsidRPr="005C6774">
          <w:rPr>
            <w:color w:val="0000FF"/>
            <w:u w:val="single"/>
          </w:rPr>
          <w:t>https://doi.org/10.1101/cshperspect.a001651</w:t>
        </w:r>
      </w:hyperlink>
    </w:p>
    <w:p w14:paraId="7E973584" w14:textId="77777777" w:rsidR="00465090" w:rsidRPr="005C6774" w:rsidRDefault="00465090" w:rsidP="00E34324">
      <w:pPr>
        <w:spacing w:before="100" w:beforeAutospacing="1" w:after="100" w:afterAutospacing="1"/>
        <w:ind w:left="720" w:hanging="720"/>
        <w:jc w:val="both"/>
      </w:pPr>
      <w:r w:rsidRPr="005C6774">
        <w:t xml:space="preserve">Li, L., Wan, H., &amp; Wu, W. (2019). Understanding drug absorption through the human intestinal membrane: In silico modeling. </w:t>
      </w:r>
      <w:r w:rsidRPr="005C6774">
        <w:rPr>
          <w:i/>
          <w:iCs/>
        </w:rPr>
        <w:t>Journal of Medicinal Chemistry, 62</w:t>
      </w:r>
      <w:r w:rsidRPr="005C6774">
        <w:t xml:space="preserve">(8), 4026–4043. </w:t>
      </w:r>
      <w:hyperlink r:id="rId51" w:history="1">
        <w:r w:rsidRPr="005C6774">
          <w:rPr>
            <w:color w:val="0000FF"/>
            <w:u w:val="single"/>
          </w:rPr>
          <w:t>https://doi.org/10.1021/acs.jmedchem.8b02002</w:t>
        </w:r>
      </w:hyperlink>
    </w:p>
    <w:p w14:paraId="09ECF694" w14:textId="77777777" w:rsidR="00465090" w:rsidRPr="005C6774" w:rsidRDefault="00465090" w:rsidP="00E34324">
      <w:pPr>
        <w:spacing w:before="100" w:beforeAutospacing="1" w:after="100" w:afterAutospacing="1"/>
        <w:ind w:left="720" w:hanging="720"/>
        <w:jc w:val="both"/>
      </w:pPr>
      <w:r w:rsidRPr="005C6774">
        <w:t xml:space="preserve">Lin, L., Liu, Y., Wang, W., &amp; Zhang, J. (2023). Apigenin as a potent modulator of drug-metabolizing enzymes: Implications for drug–herb interactions. </w:t>
      </w:r>
      <w:r w:rsidRPr="005C6774">
        <w:rPr>
          <w:i/>
          <w:iCs/>
        </w:rPr>
        <w:t>Phytotherapy Research, 37</w:t>
      </w:r>
      <w:r w:rsidRPr="005C6774">
        <w:t xml:space="preserve">(2), 812–824. </w:t>
      </w:r>
      <w:hyperlink r:id="rId52" w:history="1">
        <w:r w:rsidRPr="005C6774">
          <w:rPr>
            <w:color w:val="0000FF"/>
            <w:u w:val="single"/>
          </w:rPr>
          <w:t>https://doi.org/10.1002/ptr.7678</w:t>
        </w:r>
      </w:hyperlink>
    </w:p>
    <w:p w14:paraId="62BC3559" w14:textId="77777777" w:rsidR="00465090" w:rsidRPr="005C6774" w:rsidRDefault="00465090" w:rsidP="00E34324">
      <w:pPr>
        <w:spacing w:before="100" w:beforeAutospacing="1" w:after="100" w:afterAutospacing="1"/>
        <w:ind w:left="720" w:hanging="720"/>
        <w:jc w:val="both"/>
      </w:pPr>
      <w:r w:rsidRPr="005C6774">
        <w:t xml:space="preserve">Liu, M., Zhang, M., Tian, L., &amp; Xu, Y. (2020). Oxidative behavior and toxicity of dietary carotenoids under physiological conditions. </w:t>
      </w:r>
      <w:r w:rsidRPr="005C6774">
        <w:rPr>
          <w:i/>
          <w:iCs/>
        </w:rPr>
        <w:t>Food and Chemical Toxicology, 146</w:t>
      </w:r>
      <w:r w:rsidRPr="005C6774">
        <w:t xml:space="preserve">, 111812. </w:t>
      </w:r>
      <w:hyperlink r:id="rId53" w:history="1">
        <w:r w:rsidRPr="005C6774">
          <w:rPr>
            <w:color w:val="0000FF"/>
            <w:u w:val="single"/>
          </w:rPr>
          <w:t>https://doi.org/10.1016/j.fct.2020.111812</w:t>
        </w:r>
      </w:hyperlink>
    </w:p>
    <w:p w14:paraId="69579044" w14:textId="77777777" w:rsidR="00465090" w:rsidRPr="005C6774" w:rsidRDefault="00465090" w:rsidP="00E34324">
      <w:pPr>
        <w:spacing w:before="100" w:beforeAutospacing="1" w:after="100" w:afterAutospacing="1"/>
        <w:ind w:left="720" w:hanging="720"/>
        <w:jc w:val="both"/>
      </w:pPr>
      <w:r w:rsidRPr="005C6774">
        <w:t xml:space="preserve">Liu, M., Zhang, M., Tian, L., &amp; Xu, Y. (2022). Drug-likeness evaluation of phytochemicals using Lipinski’s and Veber’s rules: Insights from anti-cancer screening. </w:t>
      </w:r>
      <w:r w:rsidRPr="005C6774">
        <w:rPr>
          <w:i/>
          <w:iCs/>
        </w:rPr>
        <w:t>Pharmaceuticals, 15</w:t>
      </w:r>
      <w:r w:rsidRPr="005C6774">
        <w:t xml:space="preserve">(2), 203. </w:t>
      </w:r>
      <w:hyperlink r:id="rId54" w:history="1">
        <w:r w:rsidRPr="005C6774">
          <w:rPr>
            <w:color w:val="0000FF"/>
            <w:u w:val="single"/>
          </w:rPr>
          <w:t>https://doi.org/10.3390/ph15020203</w:t>
        </w:r>
      </w:hyperlink>
    </w:p>
    <w:p w14:paraId="5F4660FC" w14:textId="77777777" w:rsidR="00465090" w:rsidRPr="00E34324" w:rsidRDefault="00465090" w:rsidP="00E34324">
      <w:pPr>
        <w:spacing w:before="100" w:beforeAutospacing="1" w:after="100" w:afterAutospacing="1"/>
        <w:ind w:left="720" w:hanging="720"/>
        <w:jc w:val="both"/>
      </w:pPr>
      <w:r w:rsidRPr="00E34324">
        <w:rPr>
          <w:bCs/>
        </w:rPr>
        <w:t>Liu, Y., Chen, Q., &amp; Wang, F. (2023). Carotenoids inhibit inflammatory pathways via NF-</w:t>
      </w:r>
      <w:proofErr w:type="spellStart"/>
      <w:r w:rsidRPr="00E34324">
        <w:rPr>
          <w:bCs/>
        </w:rPr>
        <w:t>κB</w:t>
      </w:r>
      <w:proofErr w:type="spellEnd"/>
      <w:r w:rsidRPr="00E34324">
        <w:rPr>
          <w:bCs/>
        </w:rPr>
        <w:t xml:space="preserve"> suppression: Mechanistic and clinical perspectives. </w:t>
      </w:r>
      <w:r w:rsidRPr="00E34324">
        <w:rPr>
          <w:bCs/>
          <w:i/>
          <w:iCs/>
        </w:rPr>
        <w:t>Nutrients</w:t>
      </w:r>
      <w:r w:rsidRPr="00E34324">
        <w:rPr>
          <w:bCs/>
        </w:rPr>
        <w:t xml:space="preserve">, 15(4), 869. </w:t>
      </w:r>
      <w:hyperlink r:id="rId55" w:history="1">
        <w:r w:rsidRPr="00E34324">
          <w:rPr>
            <w:bCs/>
            <w:color w:val="0000FF"/>
            <w:u w:val="single"/>
          </w:rPr>
          <w:t>https://doi.org/10.3390/nu15040869</w:t>
        </w:r>
      </w:hyperlink>
    </w:p>
    <w:p w14:paraId="2A038D0C" w14:textId="77777777" w:rsidR="00465090" w:rsidRPr="005C6774" w:rsidRDefault="00465090" w:rsidP="00E34324">
      <w:pPr>
        <w:spacing w:before="100" w:beforeAutospacing="1" w:after="100" w:afterAutospacing="1"/>
        <w:ind w:left="720" w:hanging="720"/>
        <w:jc w:val="both"/>
      </w:pPr>
      <w:r w:rsidRPr="005C6774">
        <w:t xml:space="preserve">López-Lázaro, M. (2020). Flavonoids as anticancer agents: Structure–activity relationship study. </w:t>
      </w:r>
      <w:r w:rsidRPr="005C6774">
        <w:rPr>
          <w:i/>
          <w:iCs/>
        </w:rPr>
        <w:t>Current Medicinal Chemistry, 27</w:t>
      </w:r>
      <w:r w:rsidRPr="005C6774">
        <w:t xml:space="preserve">(6), 933–951. </w:t>
      </w:r>
      <w:hyperlink r:id="rId56" w:history="1">
        <w:r w:rsidRPr="005C6774">
          <w:rPr>
            <w:color w:val="0000FF"/>
            <w:u w:val="single"/>
          </w:rPr>
          <w:t>https://doi.org/10.2174/0929867326666190802113618</w:t>
        </w:r>
      </w:hyperlink>
    </w:p>
    <w:p w14:paraId="6546D59B" w14:textId="77777777" w:rsidR="00465090" w:rsidRPr="005C6774" w:rsidRDefault="00465090" w:rsidP="00E34324">
      <w:pPr>
        <w:spacing w:before="100" w:beforeAutospacing="1" w:after="100" w:afterAutospacing="1"/>
        <w:ind w:left="720" w:hanging="720"/>
        <w:jc w:val="both"/>
      </w:pPr>
      <w:r w:rsidRPr="005C6774">
        <w:lastRenderedPageBreak/>
        <w:t xml:space="preserve">Malde, A. K., Bhosale, S. S., &amp; Bhanot, R. S. (2022). Rutin and its derivatives: Challenges and strategies in drug design and delivery. </w:t>
      </w:r>
      <w:r w:rsidRPr="005C6774">
        <w:rPr>
          <w:i/>
          <w:iCs/>
        </w:rPr>
        <w:t>Pharmaceuticals, 15</w:t>
      </w:r>
      <w:r w:rsidRPr="005C6774">
        <w:t xml:space="preserve">(2), 211. </w:t>
      </w:r>
      <w:hyperlink r:id="rId57" w:history="1">
        <w:r w:rsidRPr="005C6774">
          <w:rPr>
            <w:color w:val="0000FF"/>
            <w:u w:val="single"/>
          </w:rPr>
          <w:t>https://doi.org/10.3390/ph15020211</w:t>
        </w:r>
      </w:hyperlink>
    </w:p>
    <w:p w14:paraId="697D89C0" w14:textId="77777777" w:rsidR="00465090" w:rsidRPr="005C6774" w:rsidRDefault="00465090" w:rsidP="00E34324">
      <w:pPr>
        <w:spacing w:before="100" w:beforeAutospacing="1" w:after="100" w:afterAutospacing="1"/>
        <w:ind w:left="720" w:hanging="720"/>
        <w:jc w:val="both"/>
      </w:pPr>
      <w:proofErr w:type="spellStart"/>
      <w:r w:rsidRPr="005C6774">
        <w:t>Manach</w:t>
      </w:r>
      <w:proofErr w:type="spellEnd"/>
      <w:r w:rsidRPr="005C6774">
        <w:t xml:space="preserve">, C., Williamson, G., Morand, C., Scalbert, A., &amp; </w:t>
      </w:r>
      <w:proofErr w:type="spellStart"/>
      <w:r w:rsidRPr="005C6774">
        <w:t>Rémésy</w:t>
      </w:r>
      <w:proofErr w:type="spellEnd"/>
      <w:r w:rsidRPr="005C6774">
        <w:t xml:space="preserve">, C. (2005). Bioavailability and </w:t>
      </w:r>
      <w:proofErr w:type="spellStart"/>
      <w:r w:rsidRPr="005C6774">
        <w:t>bioefficacy</w:t>
      </w:r>
      <w:proofErr w:type="spellEnd"/>
      <w:r w:rsidRPr="005C6774">
        <w:t xml:space="preserve"> of polyphenols in humans. </w:t>
      </w:r>
      <w:r w:rsidRPr="005C6774">
        <w:rPr>
          <w:i/>
          <w:iCs/>
        </w:rPr>
        <w:t>American Journal of Clinical Nutrition, 81</w:t>
      </w:r>
      <w:r w:rsidRPr="005C6774">
        <w:t xml:space="preserve">(1 Suppl), 230S–242S. </w:t>
      </w:r>
      <w:hyperlink r:id="rId58" w:history="1">
        <w:r w:rsidRPr="005C6774">
          <w:rPr>
            <w:color w:val="0000FF"/>
            <w:u w:val="single"/>
          </w:rPr>
          <w:t>https://doi.org/10.1093/ajcn/81.1.230S</w:t>
        </w:r>
      </w:hyperlink>
    </w:p>
    <w:p w14:paraId="101A80EA" w14:textId="77777777" w:rsidR="00465090" w:rsidRPr="005C6774" w:rsidRDefault="00465090" w:rsidP="00E34324">
      <w:pPr>
        <w:spacing w:before="100" w:beforeAutospacing="1" w:after="100" w:afterAutospacing="1"/>
        <w:ind w:left="720" w:hanging="720"/>
        <w:jc w:val="both"/>
      </w:pPr>
      <w:r w:rsidRPr="005C6774">
        <w:t xml:space="preserve">Mao, B., Zhang, Q., Liu, Y., &amp; Li, H. (2021). Systemic evaluation of rutin: Bioavailability, metabolism, and toxicity profile. </w:t>
      </w:r>
      <w:r w:rsidRPr="005C6774">
        <w:rPr>
          <w:i/>
          <w:iCs/>
        </w:rPr>
        <w:t>Journal of Ethnopharmacology, 276</w:t>
      </w:r>
      <w:r w:rsidRPr="005C6774">
        <w:t xml:space="preserve">, 114125. </w:t>
      </w:r>
      <w:hyperlink r:id="rId59" w:history="1">
        <w:r w:rsidRPr="005C6774">
          <w:rPr>
            <w:color w:val="0000FF"/>
            <w:u w:val="single"/>
          </w:rPr>
          <w:t>https://doi.org/10.1016/j.jep.2021.114125</w:t>
        </w:r>
      </w:hyperlink>
    </w:p>
    <w:p w14:paraId="63D055A4" w14:textId="77777777" w:rsidR="00465090" w:rsidRDefault="00465090" w:rsidP="00E34324">
      <w:pPr>
        <w:autoSpaceDE w:val="0"/>
        <w:autoSpaceDN w:val="0"/>
        <w:adjustRightInd w:val="0"/>
        <w:spacing w:before="240"/>
        <w:ind w:left="720" w:hanging="720"/>
        <w:jc w:val="both"/>
      </w:pPr>
      <w:r w:rsidRPr="005C6774">
        <w:t xml:space="preserve">National Research Council (2011). </w:t>
      </w:r>
      <w:r w:rsidRPr="005C6774">
        <w:rPr>
          <w:i/>
        </w:rPr>
        <w:t>Guide for the care and use of Laboratory animals</w:t>
      </w:r>
      <w:r w:rsidRPr="005C6774">
        <w:t xml:space="preserve"> (8</w:t>
      </w:r>
      <w:r w:rsidRPr="005C6774">
        <w:rPr>
          <w:vertAlign w:val="superscript"/>
        </w:rPr>
        <w:t>th</w:t>
      </w:r>
      <w:r w:rsidRPr="005C6774">
        <w:t xml:space="preserve"> edition). The national Academies press, 45-80</w:t>
      </w:r>
    </w:p>
    <w:p w14:paraId="4A725D1A" w14:textId="77777777" w:rsidR="00465090" w:rsidRPr="005C6774" w:rsidRDefault="00465090" w:rsidP="00E34324">
      <w:pPr>
        <w:spacing w:before="100" w:beforeAutospacing="1" w:after="100" w:afterAutospacing="1"/>
        <w:ind w:left="720" w:hanging="720"/>
        <w:jc w:val="both"/>
        <w:rPr>
          <w:b/>
          <w:bCs/>
        </w:rPr>
      </w:pPr>
      <w:r w:rsidRPr="005C6774">
        <w:t xml:space="preserve">Ntie-Kang, F., Mbah, J. A., &amp; </w:t>
      </w:r>
      <w:proofErr w:type="spellStart"/>
      <w:r w:rsidRPr="005C6774">
        <w:t>Lifongo</w:t>
      </w:r>
      <w:proofErr w:type="spellEnd"/>
      <w:r w:rsidRPr="005C6774">
        <w:t xml:space="preserve">, L. L. (2021). Predictive modeling of drug-likeness: Assessing natural compounds with poor ADME properties. </w:t>
      </w:r>
      <w:r w:rsidRPr="005C6774">
        <w:rPr>
          <w:i/>
          <w:iCs/>
        </w:rPr>
        <w:t>Molecules, 26</w:t>
      </w:r>
      <w:r w:rsidRPr="005C6774">
        <w:t xml:space="preserve">(4), 1205. </w:t>
      </w:r>
      <w:hyperlink r:id="rId60" w:history="1">
        <w:r w:rsidRPr="005C6774">
          <w:rPr>
            <w:color w:val="0000FF"/>
            <w:u w:val="single"/>
          </w:rPr>
          <w:t>https://doi.org/10.3390/molecules26041205</w:t>
        </w:r>
      </w:hyperlink>
    </w:p>
    <w:p w14:paraId="206A9733" w14:textId="77777777" w:rsidR="00465090" w:rsidRPr="005C6774" w:rsidRDefault="00465090" w:rsidP="00E34324">
      <w:pPr>
        <w:spacing w:before="100" w:beforeAutospacing="1" w:after="100" w:afterAutospacing="1"/>
        <w:ind w:left="720" w:hanging="720"/>
        <w:jc w:val="both"/>
      </w:pPr>
      <w:r w:rsidRPr="005C6774">
        <w:t xml:space="preserve">Oliveira, M. R., Ferreira, G. C., &amp; Andrade, L. N. (2023). Immunopharmacology of apigenin: Insights into safety and therapeutic windows. </w:t>
      </w:r>
      <w:r w:rsidRPr="005C6774">
        <w:rPr>
          <w:i/>
          <w:iCs/>
        </w:rPr>
        <w:t>Biomedicine &amp; Pharmacotherapy, 162</w:t>
      </w:r>
      <w:r w:rsidRPr="005C6774">
        <w:t xml:space="preserve">, 114587. </w:t>
      </w:r>
      <w:hyperlink r:id="rId61" w:history="1">
        <w:r w:rsidRPr="005C6774">
          <w:rPr>
            <w:color w:val="0000FF"/>
            <w:u w:val="single"/>
          </w:rPr>
          <w:t>https://doi.org/10.1016/j.biopha.2023.114587</w:t>
        </w:r>
      </w:hyperlink>
    </w:p>
    <w:p w14:paraId="34373075" w14:textId="77777777" w:rsidR="00465090" w:rsidRPr="005C6774" w:rsidRDefault="00465090" w:rsidP="00E34324">
      <w:pPr>
        <w:spacing w:before="100" w:beforeAutospacing="1" w:after="100" w:afterAutospacing="1"/>
        <w:ind w:left="720" w:hanging="720"/>
        <w:jc w:val="both"/>
      </w:pPr>
      <w:r w:rsidRPr="005C6774">
        <w:t xml:space="preserve">Palmiter, R. D. (2019). The elusive function of </w:t>
      </w:r>
      <w:proofErr w:type="spellStart"/>
      <w:r w:rsidRPr="005C6774">
        <w:t>metallothioneins</w:t>
      </w:r>
      <w:proofErr w:type="spellEnd"/>
      <w:r w:rsidRPr="005C6774">
        <w:t xml:space="preserve">. </w:t>
      </w:r>
      <w:r w:rsidRPr="005C6774">
        <w:rPr>
          <w:i/>
          <w:iCs/>
        </w:rPr>
        <w:t>Proceedings of the National Academy of Sciences, 116</w:t>
      </w:r>
      <w:r w:rsidRPr="005C6774">
        <w:t xml:space="preserve">(30), 14743–14744. </w:t>
      </w:r>
      <w:hyperlink r:id="rId62" w:history="1">
        <w:r w:rsidRPr="005C6774">
          <w:rPr>
            <w:color w:val="0000FF"/>
            <w:u w:val="single"/>
          </w:rPr>
          <w:t>https://doi.org/10.1073/pnas.1908499116</w:t>
        </w:r>
      </w:hyperlink>
    </w:p>
    <w:p w14:paraId="444AC36F" w14:textId="77777777" w:rsidR="00465090" w:rsidRPr="00E34324" w:rsidRDefault="00465090" w:rsidP="00E34324">
      <w:pPr>
        <w:spacing w:before="100" w:beforeAutospacing="1" w:after="100" w:afterAutospacing="1"/>
        <w:ind w:left="720" w:hanging="720"/>
        <w:jc w:val="both"/>
      </w:pPr>
      <w:r w:rsidRPr="00E34324">
        <w:rPr>
          <w:bCs/>
        </w:rPr>
        <w:t xml:space="preserve">Patel, H., Singh, A., &amp; Joshi, P. (2021). Computational analysis of flavonoid interactions with pancreatic enzymes for antidiabetic potential. </w:t>
      </w:r>
      <w:r w:rsidRPr="00E34324">
        <w:rPr>
          <w:bCs/>
          <w:i/>
          <w:iCs/>
        </w:rPr>
        <w:t>Molecular Diversity</w:t>
      </w:r>
      <w:r w:rsidRPr="00E34324">
        <w:rPr>
          <w:bCs/>
        </w:rPr>
        <w:t xml:space="preserve">, 25, 123–135. </w:t>
      </w:r>
      <w:hyperlink r:id="rId63" w:history="1">
        <w:r w:rsidRPr="00E34324">
          <w:rPr>
            <w:bCs/>
            <w:color w:val="0000FF"/>
            <w:u w:val="single"/>
          </w:rPr>
          <w:t>https://doi.org/10.1007/s11030-020-10198-5</w:t>
        </w:r>
      </w:hyperlink>
    </w:p>
    <w:p w14:paraId="03384561" w14:textId="77777777" w:rsidR="00465090" w:rsidRPr="005C6774" w:rsidRDefault="00465090" w:rsidP="00E34324">
      <w:pPr>
        <w:spacing w:before="100" w:beforeAutospacing="1" w:after="100" w:afterAutospacing="1"/>
        <w:ind w:left="720" w:hanging="720"/>
        <w:jc w:val="both"/>
      </w:pPr>
      <w:r w:rsidRPr="005C6774">
        <w:t xml:space="preserve">Paur, I., Carlsen, M. H., Halvorsen, B. L., </w:t>
      </w:r>
      <w:proofErr w:type="spellStart"/>
      <w:r w:rsidRPr="005C6774">
        <w:t>Blomhoff</w:t>
      </w:r>
      <w:proofErr w:type="spellEnd"/>
      <w:r w:rsidRPr="005C6774">
        <w:t xml:space="preserve">, R., &amp; Duttaroy, A. K. (2021). Carotenoids and health: Challenges, mechanisms, and potential role in disease prevention. </w:t>
      </w:r>
      <w:r w:rsidRPr="005C6774">
        <w:rPr>
          <w:i/>
          <w:iCs/>
        </w:rPr>
        <w:t>Nutrition Reviews, 79</w:t>
      </w:r>
      <w:r w:rsidRPr="005C6774">
        <w:t xml:space="preserve">(4), 406–428. </w:t>
      </w:r>
      <w:hyperlink r:id="rId64" w:history="1">
        <w:r w:rsidRPr="005C6774">
          <w:rPr>
            <w:color w:val="0000FF"/>
            <w:u w:val="single"/>
          </w:rPr>
          <w:t>https://doi.org/10.1093/nutrit/nuaa049</w:t>
        </w:r>
      </w:hyperlink>
    </w:p>
    <w:p w14:paraId="20CA5BBA" w14:textId="77777777" w:rsidR="00465090" w:rsidRPr="005C6774" w:rsidRDefault="00465090" w:rsidP="00E34324">
      <w:pPr>
        <w:spacing w:before="100" w:beforeAutospacing="1" w:after="100" w:afterAutospacing="1"/>
        <w:ind w:left="720" w:hanging="720"/>
        <w:jc w:val="both"/>
      </w:pPr>
      <w:r w:rsidRPr="005C6774">
        <w:t xml:space="preserve">Pereira, C., Moreira, J., Barbosa, J., &amp; Oliveira, A. (2023). Impact of glycosylation on the pharmacokinetics of plant-derived polyphenols. </w:t>
      </w:r>
      <w:r w:rsidRPr="005C6774">
        <w:rPr>
          <w:i/>
          <w:iCs/>
        </w:rPr>
        <w:t>Phytomedicine Plus, 3</w:t>
      </w:r>
      <w:r w:rsidRPr="005C6774">
        <w:t xml:space="preserve">(1), 100352. </w:t>
      </w:r>
      <w:hyperlink r:id="rId65" w:history="1">
        <w:r w:rsidRPr="005C6774">
          <w:rPr>
            <w:color w:val="0000FF"/>
            <w:u w:val="single"/>
          </w:rPr>
          <w:t>https://doi.org/10.1016/j.phyplu.2022.100352</w:t>
        </w:r>
      </w:hyperlink>
    </w:p>
    <w:p w14:paraId="0E2DBEF9" w14:textId="77777777" w:rsidR="00465090" w:rsidRPr="00465090" w:rsidRDefault="00465090" w:rsidP="00465090">
      <w:pPr>
        <w:pStyle w:val="NormalWeb"/>
        <w:ind w:left="720" w:hanging="720"/>
        <w:jc w:val="both"/>
      </w:pPr>
      <w:r w:rsidRPr="00465090">
        <w:rPr>
          <w:rStyle w:val="Strong"/>
          <w:b w:val="0"/>
        </w:rPr>
        <w:t>Pereira, M. E., Oliveira, J. M., Almeida, A. A., Santos, M. A., &amp; Ferreira, M. (2017).</w:t>
      </w:r>
      <w:r w:rsidRPr="00465090">
        <w:rPr>
          <w:b/>
        </w:rPr>
        <w:t xml:space="preserve"> </w:t>
      </w:r>
      <w:r w:rsidRPr="00465090">
        <w:t xml:space="preserve">Lead exposure induces oxidative stress and DNA </w:t>
      </w:r>
      <w:r>
        <w:t xml:space="preserve">damage in the pancreas of mice. </w:t>
      </w:r>
      <w:r w:rsidRPr="00465090">
        <w:rPr>
          <w:rStyle w:val="Strong"/>
          <w:b w:val="0"/>
          <w:i/>
        </w:rPr>
        <w:t>Toxicology Research</w:t>
      </w:r>
      <w:r w:rsidRPr="00465090">
        <w:t xml:space="preserve">, </w:t>
      </w:r>
      <w:r w:rsidRPr="00465090">
        <w:rPr>
          <w:rStyle w:val="Emphasis"/>
        </w:rPr>
        <w:t>6</w:t>
      </w:r>
      <w:r w:rsidRPr="00465090">
        <w:t xml:space="preserve">(6), 910–919. </w:t>
      </w:r>
      <w:hyperlink r:id="rId66" w:history="1">
        <w:r w:rsidRPr="00465090">
          <w:rPr>
            <w:rStyle w:val="Hyperlink"/>
          </w:rPr>
          <w:t>https://doi.org/10.1039/C7TX00141B</w:t>
        </w:r>
      </w:hyperlink>
    </w:p>
    <w:p w14:paraId="0C041D1E" w14:textId="77777777" w:rsidR="00465090" w:rsidRPr="005C6774" w:rsidRDefault="00465090" w:rsidP="00E34324">
      <w:pPr>
        <w:spacing w:before="100" w:beforeAutospacing="1" w:after="100" w:afterAutospacing="1"/>
        <w:ind w:left="720" w:hanging="720"/>
        <w:jc w:val="both"/>
      </w:pPr>
      <w:proofErr w:type="spellStart"/>
      <w:r w:rsidRPr="005C6774">
        <w:t>Pisoschi</w:t>
      </w:r>
      <w:proofErr w:type="spellEnd"/>
      <w:r w:rsidRPr="005C6774">
        <w:t xml:space="preserve">, A. M., &amp; Pop, A. (2015). The role of antioxidants in the chemistry of oxidative stress: A review. </w:t>
      </w:r>
      <w:r w:rsidRPr="005C6774">
        <w:rPr>
          <w:i/>
          <w:iCs/>
        </w:rPr>
        <w:t>European Journal of Medicinal Chemistry, 97</w:t>
      </w:r>
      <w:r w:rsidRPr="005C6774">
        <w:t xml:space="preserve">, 55–74. </w:t>
      </w:r>
      <w:hyperlink r:id="rId67" w:history="1">
        <w:r w:rsidRPr="005C6774">
          <w:rPr>
            <w:color w:val="0000FF"/>
            <w:u w:val="single"/>
          </w:rPr>
          <w:t>https://doi.org/10.1016/j.ejmech.2015.04.040</w:t>
        </w:r>
      </w:hyperlink>
    </w:p>
    <w:p w14:paraId="14DDC664" w14:textId="77777777" w:rsidR="00465090" w:rsidRDefault="00465090" w:rsidP="00465090">
      <w:pPr>
        <w:pStyle w:val="NormalWeb"/>
        <w:ind w:left="720" w:hanging="720"/>
        <w:jc w:val="both"/>
      </w:pPr>
      <w:proofErr w:type="spellStart"/>
      <w:r w:rsidRPr="00465090">
        <w:rPr>
          <w:rStyle w:val="Strong"/>
          <w:b w:val="0"/>
        </w:rPr>
        <w:lastRenderedPageBreak/>
        <w:t>Podsedek</w:t>
      </w:r>
      <w:proofErr w:type="spellEnd"/>
      <w:r w:rsidRPr="00465090">
        <w:rPr>
          <w:rStyle w:val="Strong"/>
          <w:b w:val="0"/>
        </w:rPr>
        <w:t>, A. (2007).</w:t>
      </w:r>
      <w:r w:rsidRPr="00465090">
        <w:rPr>
          <w:b/>
        </w:rPr>
        <w:t xml:space="preserve"> </w:t>
      </w:r>
      <w:r w:rsidRPr="00465090">
        <w:t xml:space="preserve">Natural antioxidants and antioxidant capacity of </w:t>
      </w:r>
      <w:r w:rsidRPr="00465090">
        <w:rPr>
          <w:rStyle w:val="Emphasis"/>
        </w:rPr>
        <w:t>Brassica</w:t>
      </w:r>
      <w:r>
        <w:t xml:space="preserve"> vegetables: A review. </w:t>
      </w:r>
      <w:r>
        <w:rPr>
          <w:rStyle w:val="Strong"/>
          <w:b w:val="0"/>
          <w:i/>
        </w:rPr>
        <w:t xml:space="preserve">LWT - </w:t>
      </w:r>
      <w:r w:rsidRPr="00465090">
        <w:rPr>
          <w:rStyle w:val="Strong"/>
          <w:b w:val="0"/>
          <w:i/>
        </w:rPr>
        <w:t>Food Science and Technology</w:t>
      </w:r>
      <w:r w:rsidRPr="00465090">
        <w:t xml:space="preserve">, </w:t>
      </w:r>
      <w:r w:rsidRPr="00465090">
        <w:rPr>
          <w:rStyle w:val="Emphasis"/>
        </w:rPr>
        <w:t>40</w:t>
      </w:r>
      <w:r>
        <w:t xml:space="preserve">(1), 1–11. </w:t>
      </w:r>
      <w:hyperlink r:id="rId68" w:history="1">
        <w:r w:rsidRPr="00465090">
          <w:rPr>
            <w:rStyle w:val="Hyperlink"/>
          </w:rPr>
          <w:t>https://doi.org/10.1016/j.lwt.2005.07.023</w:t>
        </w:r>
      </w:hyperlink>
    </w:p>
    <w:p w14:paraId="1B10B08A" w14:textId="77777777" w:rsidR="00465090" w:rsidRPr="005C6774" w:rsidRDefault="00465090" w:rsidP="00E34324">
      <w:pPr>
        <w:spacing w:before="100" w:beforeAutospacing="1" w:after="100" w:afterAutospacing="1"/>
        <w:ind w:left="720" w:hanging="720"/>
        <w:jc w:val="both"/>
      </w:pPr>
      <w:r w:rsidRPr="005C6774">
        <w:t xml:space="preserve">Rowland, M., &amp; Tozer, T. N. (2011). </w:t>
      </w:r>
      <w:r w:rsidRPr="005C6774">
        <w:rPr>
          <w:i/>
          <w:iCs/>
        </w:rPr>
        <w:t>Clinical pharmacokinetics and pharmacodynamics: Concepts and applications</w:t>
      </w:r>
      <w:r w:rsidRPr="005C6774">
        <w:t xml:space="preserve"> (4th ed.). Wolters Kluwer Health.</w:t>
      </w:r>
    </w:p>
    <w:p w14:paraId="6A51592D" w14:textId="77777777" w:rsidR="00465090" w:rsidRPr="005C6774" w:rsidRDefault="00465090" w:rsidP="00E34324">
      <w:pPr>
        <w:spacing w:before="100" w:beforeAutospacing="1" w:after="100" w:afterAutospacing="1"/>
        <w:ind w:left="720" w:hanging="720"/>
        <w:jc w:val="both"/>
      </w:pPr>
      <w:r w:rsidRPr="005C6774">
        <w:t xml:space="preserve">Sahu, R., &amp; Panda, S. K. (2022). Pharmacokinetic profiling of rutin and its modulation strategies for better bioavailability. </w:t>
      </w:r>
      <w:r w:rsidRPr="005C6774">
        <w:rPr>
          <w:i/>
          <w:iCs/>
        </w:rPr>
        <w:t>Journal of Molecular Pharmaceutics, 19</w:t>
      </w:r>
      <w:r w:rsidRPr="005C6774">
        <w:t xml:space="preserve">(2), 603–616. </w:t>
      </w:r>
      <w:hyperlink r:id="rId69" w:history="1">
        <w:r w:rsidRPr="005C6774">
          <w:rPr>
            <w:color w:val="0000FF"/>
            <w:u w:val="single"/>
          </w:rPr>
          <w:t>https://doi.org/10.1021/acs.molpharmaceut.1c00653</w:t>
        </w:r>
      </w:hyperlink>
    </w:p>
    <w:p w14:paraId="4DD6F248" w14:textId="77777777" w:rsidR="00465090" w:rsidRPr="005C6774" w:rsidRDefault="00465090" w:rsidP="00E34324">
      <w:pPr>
        <w:spacing w:before="100" w:beforeAutospacing="1" w:after="100" w:afterAutospacing="1"/>
        <w:ind w:left="720" w:hanging="720"/>
        <w:jc w:val="both"/>
      </w:pPr>
      <w:r w:rsidRPr="005C6774">
        <w:t xml:space="preserve">Sharma, A., Lata, S., &amp; Rana, M. (2022). Computational perspectives on rotatable bonds in drug design. </w:t>
      </w:r>
      <w:r w:rsidRPr="005C6774">
        <w:rPr>
          <w:i/>
          <w:iCs/>
        </w:rPr>
        <w:t>European Journal of Medicinal Chemistry Reports, 5</w:t>
      </w:r>
      <w:r w:rsidRPr="005C6774">
        <w:t xml:space="preserve">, 100055. </w:t>
      </w:r>
      <w:hyperlink r:id="rId70" w:history="1">
        <w:r w:rsidRPr="005C6774">
          <w:rPr>
            <w:color w:val="0000FF"/>
            <w:u w:val="single"/>
          </w:rPr>
          <w:t>https://doi.org/10.1016/j.ejmcr.2022.100055</w:t>
        </w:r>
      </w:hyperlink>
    </w:p>
    <w:p w14:paraId="4A199351" w14:textId="77777777" w:rsidR="00465090" w:rsidRPr="005C6774" w:rsidRDefault="00465090" w:rsidP="00E34324">
      <w:pPr>
        <w:spacing w:before="100" w:beforeAutospacing="1" w:after="100" w:afterAutospacing="1"/>
        <w:ind w:left="720" w:hanging="720"/>
        <w:jc w:val="both"/>
      </w:pPr>
      <w:r w:rsidRPr="005C6774">
        <w:t xml:space="preserve">Sheehan, D., Meade, G., Foley, V. M., &amp; Dowd, C. A. (2001). Structure, function and evolution of glutathione transferases: Implications for classification of non-mammalian members of an ancient enzyme superfamily. </w:t>
      </w:r>
      <w:r w:rsidRPr="005C6774">
        <w:rPr>
          <w:i/>
          <w:iCs/>
        </w:rPr>
        <w:t>Biochemical Journal, 360</w:t>
      </w:r>
      <w:r w:rsidRPr="005C6774">
        <w:t xml:space="preserve">(Pt 1), 1–16. </w:t>
      </w:r>
      <w:hyperlink r:id="rId71" w:history="1">
        <w:r w:rsidRPr="005C6774">
          <w:rPr>
            <w:color w:val="0000FF"/>
            <w:u w:val="single"/>
          </w:rPr>
          <w:t>https://doi.org/10.1042/0264-6021:3600001</w:t>
        </w:r>
      </w:hyperlink>
    </w:p>
    <w:p w14:paraId="52355820" w14:textId="77777777" w:rsidR="00465090" w:rsidRPr="005C6774" w:rsidRDefault="00465090" w:rsidP="00E34324">
      <w:pPr>
        <w:spacing w:before="100" w:beforeAutospacing="1" w:after="100" w:afterAutospacing="1"/>
        <w:ind w:left="720" w:hanging="720"/>
        <w:jc w:val="both"/>
      </w:pPr>
      <w:proofErr w:type="spellStart"/>
      <w:r w:rsidRPr="005C6774">
        <w:t>Shimoi</w:t>
      </w:r>
      <w:proofErr w:type="spellEnd"/>
      <w:r w:rsidRPr="005C6774">
        <w:t xml:space="preserve">, K., Okada, H., </w:t>
      </w:r>
      <w:proofErr w:type="spellStart"/>
      <w:r w:rsidRPr="005C6774">
        <w:t>Furugori</w:t>
      </w:r>
      <w:proofErr w:type="spellEnd"/>
      <w:r w:rsidRPr="005C6774">
        <w:t xml:space="preserve">, M., Goda, T., Takase, S., Suzuki, M., ... &amp; </w:t>
      </w:r>
      <w:proofErr w:type="spellStart"/>
      <w:r w:rsidRPr="005C6774">
        <w:t>Kinae</w:t>
      </w:r>
      <w:proofErr w:type="spellEnd"/>
      <w:r w:rsidRPr="005C6774">
        <w:t xml:space="preserve">, N. (2001). Intestinal absorption of luteolin and luteolin 7-O-β-glucoside in rats and humans. </w:t>
      </w:r>
      <w:r w:rsidRPr="005C6774">
        <w:rPr>
          <w:i/>
          <w:iCs/>
        </w:rPr>
        <w:t>FEBS Letters, 494</w:t>
      </w:r>
      <w:r w:rsidRPr="005C6774">
        <w:t xml:space="preserve">(1–2), 220–225. </w:t>
      </w:r>
      <w:hyperlink r:id="rId72" w:history="1">
        <w:r w:rsidRPr="005C6774">
          <w:rPr>
            <w:color w:val="0000FF"/>
            <w:u w:val="single"/>
          </w:rPr>
          <w:t>https://doi.org/10.1016/S0014-5793(01)02350-4</w:t>
        </w:r>
      </w:hyperlink>
    </w:p>
    <w:p w14:paraId="6382AB53" w14:textId="77777777" w:rsidR="00465090" w:rsidRPr="00E34324" w:rsidRDefault="00465090" w:rsidP="00E34324">
      <w:pPr>
        <w:spacing w:before="100" w:beforeAutospacing="1" w:after="100" w:afterAutospacing="1"/>
        <w:ind w:left="720" w:hanging="720"/>
        <w:jc w:val="both"/>
      </w:pPr>
      <w:r w:rsidRPr="00E34324">
        <w:rPr>
          <w:bCs/>
        </w:rPr>
        <w:t xml:space="preserve">Singh, R., Verma, S., &amp; Kumar, M. (2021). Role of carotenoids in apoptosis regulation: A molecular docking study. </w:t>
      </w:r>
      <w:r w:rsidRPr="00E34324">
        <w:rPr>
          <w:bCs/>
          <w:i/>
          <w:iCs/>
        </w:rPr>
        <w:t>Biochemical Pharmacology</w:t>
      </w:r>
      <w:r w:rsidRPr="00E34324">
        <w:rPr>
          <w:bCs/>
        </w:rPr>
        <w:t xml:space="preserve">, 190, 114640. </w:t>
      </w:r>
      <w:hyperlink r:id="rId73" w:history="1">
        <w:r w:rsidRPr="00E34324">
          <w:rPr>
            <w:bCs/>
            <w:color w:val="0000FF"/>
            <w:u w:val="single"/>
          </w:rPr>
          <w:t>https://doi.org/10.1016/j.bcp.2021.114640</w:t>
        </w:r>
      </w:hyperlink>
    </w:p>
    <w:p w14:paraId="26F377FB" w14:textId="77777777" w:rsidR="00465090" w:rsidRPr="005C6774" w:rsidRDefault="00367D3D" w:rsidP="00E34324">
      <w:pPr>
        <w:autoSpaceDE w:val="0"/>
        <w:autoSpaceDN w:val="0"/>
        <w:adjustRightInd w:val="0"/>
        <w:spacing w:before="240"/>
        <w:ind w:left="720" w:hanging="720"/>
        <w:jc w:val="both"/>
      </w:pPr>
      <w:hyperlink r:id="rId74" w:history="1">
        <w:proofErr w:type="spellStart"/>
        <w:r w:rsidR="00465090" w:rsidRPr="005C6774">
          <w:rPr>
            <w:rStyle w:val="Hyperlink"/>
            <w:shd w:val="clear" w:color="auto" w:fill="FFFFFF"/>
          </w:rPr>
          <w:t>SwissADME</w:t>
        </w:r>
        <w:proofErr w:type="spellEnd"/>
        <w:r w:rsidR="00465090" w:rsidRPr="005C6774">
          <w:rPr>
            <w:rStyle w:val="Hyperlink"/>
            <w:shd w:val="clear" w:color="auto" w:fill="FFFFFF"/>
          </w:rPr>
          <w:t>: a free web tool to evaluate pharmacokinetics, drug-likeness and medicinal chemistry friendliness of small molecules. </w:t>
        </w:r>
        <w:r w:rsidR="00465090" w:rsidRPr="005C6774">
          <w:rPr>
            <w:rStyle w:val="Hyperlink"/>
            <w:i/>
            <w:iCs/>
            <w:shd w:val="clear" w:color="auto" w:fill="FFFFFF"/>
          </w:rPr>
          <w:t>Sci. Rep.</w:t>
        </w:r>
        <w:r w:rsidR="00465090" w:rsidRPr="005C6774">
          <w:rPr>
            <w:rStyle w:val="Hyperlink"/>
            <w:shd w:val="clear" w:color="auto" w:fill="FFFFFF"/>
          </w:rPr>
          <w:t> (2017) 7: 42717.</w:t>
        </w:r>
      </w:hyperlink>
    </w:p>
    <w:p w14:paraId="654E9014" w14:textId="77777777" w:rsidR="00465090" w:rsidRPr="00465090" w:rsidRDefault="00465090" w:rsidP="00465090">
      <w:pPr>
        <w:pStyle w:val="NormalWeb"/>
        <w:ind w:left="720" w:hanging="720"/>
        <w:jc w:val="both"/>
      </w:pPr>
      <w:r w:rsidRPr="00465090">
        <w:rPr>
          <w:rStyle w:val="Strong"/>
          <w:b w:val="0"/>
        </w:rPr>
        <w:t xml:space="preserve">Tchounwou, P. B., </w:t>
      </w:r>
      <w:proofErr w:type="spellStart"/>
      <w:r w:rsidRPr="00465090">
        <w:rPr>
          <w:rStyle w:val="Strong"/>
          <w:b w:val="0"/>
        </w:rPr>
        <w:t>Yedjou</w:t>
      </w:r>
      <w:proofErr w:type="spellEnd"/>
      <w:r w:rsidRPr="00465090">
        <w:rPr>
          <w:rStyle w:val="Strong"/>
          <w:b w:val="0"/>
        </w:rPr>
        <w:t>, C. G., Patlolla, A. K., &amp; Sutton, D. J. (2012).</w:t>
      </w:r>
      <w:r w:rsidRPr="00465090">
        <w:rPr>
          <w:b/>
        </w:rPr>
        <w:t xml:space="preserve"> </w:t>
      </w:r>
      <w:r w:rsidRPr="00465090">
        <w:t>Heavy meta</w:t>
      </w:r>
      <w:r>
        <w:t xml:space="preserve">l toxicity and the environment. </w:t>
      </w:r>
      <w:r w:rsidRPr="00465090">
        <w:rPr>
          <w:rStyle w:val="Strong"/>
          <w:b w:val="0"/>
          <w:i/>
        </w:rPr>
        <w:t>EXS</w:t>
      </w:r>
      <w:r w:rsidRPr="00465090">
        <w:t xml:space="preserve">, </w:t>
      </w:r>
      <w:r w:rsidRPr="00465090">
        <w:rPr>
          <w:rStyle w:val="Emphasis"/>
        </w:rPr>
        <w:t>101</w:t>
      </w:r>
      <w:r w:rsidRPr="00465090">
        <w:t xml:space="preserve">, 133–164. </w:t>
      </w:r>
      <w:hyperlink r:id="rId75" w:history="1">
        <w:r w:rsidRPr="00465090">
          <w:rPr>
            <w:rStyle w:val="Hyperlink"/>
          </w:rPr>
          <w:t>https://doi.org/10.1007/978-3-7643-8340-4_6</w:t>
        </w:r>
      </w:hyperlink>
    </w:p>
    <w:p w14:paraId="11FA3C70" w14:textId="77777777" w:rsidR="00465090" w:rsidRPr="005C6774" w:rsidRDefault="00465090" w:rsidP="00E34324">
      <w:pPr>
        <w:autoSpaceDE w:val="0"/>
        <w:autoSpaceDN w:val="0"/>
        <w:adjustRightInd w:val="0"/>
        <w:spacing w:before="240"/>
        <w:ind w:left="720" w:hanging="720"/>
        <w:jc w:val="both"/>
      </w:pPr>
      <w:r w:rsidRPr="005C6774">
        <w:t xml:space="preserve">Trott, O. and Olson, A. J. (2010). </w:t>
      </w:r>
      <w:proofErr w:type="spellStart"/>
      <w:r w:rsidRPr="005C6774">
        <w:t>AutoDock</w:t>
      </w:r>
      <w:proofErr w:type="spellEnd"/>
      <w:r w:rsidRPr="005C6774">
        <w:t xml:space="preserve"> Vina: improving the speed and accuracy of docking with a new scoring function, efficient optimization and multithreading, </w:t>
      </w:r>
      <w:r w:rsidRPr="005C6774">
        <w:rPr>
          <w:i/>
        </w:rPr>
        <w:t>Journal of Computational Chemistry</w:t>
      </w:r>
      <w:r w:rsidRPr="005C6774">
        <w:t>, 31: 455-461</w:t>
      </w:r>
    </w:p>
    <w:p w14:paraId="47ED611D" w14:textId="77777777" w:rsidR="00465090" w:rsidRPr="00465090" w:rsidRDefault="00465090" w:rsidP="00465090">
      <w:pPr>
        <w:pStyle w:val="NormalWeb"/>
        <w:ind w:left="720" w:hanging="720"/>
        <w:jc w:val="both"/>
      </w:pPr>
      <w:r w:rsidRPr="00465090">
        <w:rPr>
          <w:rStyle w:val="Strong"/>
          <w:b w:val="0"/>
        </w:rPr>
        <w:t>Verma, S., Kumar, A., &amp; Yadav, B. (2018).</w:t>
      </w:r>
      <w:r w:rsidRPr="00465090">
        <w:rPr>
          <w:b/>
        </w:rPr>
        <w:t xml:space="preserve"> </w:t>
      </w:r>
      <w:r w:rsidRPr="00465090">
        <w:t xml:space="preserve">Protective effect of </w:t>
      </w:r>
      <w:r w:rsidRPr="00465090">
        <w:rPr>
          <w:rStyle w:val="Emphasis"/>
        </w:rPr>
        <w:t>Brassica oleracea</w:t>
      </w:r>
      <w:r w:rsidRPr="00465090">
        <w:t xml:space="preserve"> agai</w:t>
      </w:r>
      <w:r>
        <w:t xml:space="preserve">nst oxidative damage: A review. </w:t>
      </w:r>
      <w:r w:rsidRPr="00465090">
        <w:rPr>
          <w:rStyle w:val="Strong"/>
          <w:b w:val="0"/>
          <w:i/>
        </w:rPr>
        <w:t>Journal of Pharmacognosy and Phytochemistry</w:t>
      </w:r>
      <w:r w:rsidRPr="00465090">
        <w:t xml:space="preserve">, </w:t>
      </w:r>
      <w:r w:rsidRPr="00465090">
        <w:rPr>
          <w:rStyle w:val="Emphasis"/>
        </w:rPr>
        <w:t>7</w:t>
      </w:r>
      <w:r w:rsidRPr="00465090">
        <w:t>(1), 322–326.</w:t>
      </w:r>
      <w:r w:rsidRPr="00465090">
        <w:br/>
      </w:r>
      <w:hyperlink r:id="rId76" w:history="1">
        <w:r w:rsidRPr="00465090">
          <w:rPr>
            <w:rStyle w:val="Hyperlink"/>
          </w:rPr>
          <w:t>https://www.phytojournal.com/archives/2018/vol7issue1/PartE/7-1-53-926.pdf</w:t>
        </w:r>
      </w:hyperlink>
    </w:p>
    <w:p w14:paraId="78B379DC" w14:textId="77777777" w:rsidR="00465090" w:rsidRPr="00E34324" w:rsidRDefault="00465090" w:rsidP="00E34324">
      <w:pPr>
        <w:spacing w:before="100" w:beforeAutospacing="1" w:after="100" w:afterAutospacing="1"/>
        <w:ind w:left="720" w:hanging="720"/>
        <w:jc w:val="both"/>
      </w:pPr>
      <w:r w:rsidRPr="00E34324">
        <w:rPr>
          <w:bCs/>
        </w:rPr>
        <w:t xml:space="preserve">Wang, Y., Liu, X., &amp; Chen, Y. (2020). Apigenin enhances detoxification enzymes: A glutathione S-transferase activation study. </w:t>
      </w:r>
      <w:r w:rsidRPr="00E34324">
        <w:rPr>
          <w:bCs/>
          <w:i/>
          <w:iCs/>
        </w:rPr>
        <w:t>Chemical Biology Interactions</w:t>
      </w:r>
      <w:r w:rsidRPr="00E34324">
        <w:rPr>
          <w:bCs/>
        </w:rPr>
        <w:t xml:space="preserve">, 320, 109017. </w:t>
      </w:r>
      <w:hyperlink r:id="rId77" w:history="1">
        <w:r w:rsidRPr="00E34324">
          <w:rPr>
            <w:bCs/>
            <w:color w:val="0000FF"/>
            <w:u w:val="single"/>
          </w:rPr>
          <w:t>https://doi.org/10.1016/j.cbi.2020.109017</w:t>
        </w:r>
      </w:hyperlink>
    </w:p>
    <w:p w14:paraId="1856F572" w14:textId="77777777" w:rsidR="00465090" w:rsidRPr="00E34324" w:rsidRDefault="00465090" w:rsidP="00E34324">
      <w:pPr>
        <w:spacing w:before="100" w:beforeAutospacing="1" w:after="100" w:afterAutospacing="1"/>
        <w:ind w:left="720" w:hanging="720"/>
        <w:jc w:val="both"/>
      </w:pPr>
      <w:r w:rsidRPr="00E34324">
        <w:rPr>
          <w:bCs/>
        </w:rPr>
        <w:lastRenderedPageBreak/>
        <w:t xml:space="preserve">Zhang, X., Li, H., &amp; Zhou, Q. (2021). Antioxidants stabilize </w:t>
      </w:r>
      <w:proofErr w:type="spellStart"/>
      <w:r w:rsidRPr="00E34324">
        <w:rPr>
          <w:bCs/>
        </w:rPr>
        <w:t>metallothioneins</w:t>
      </w:r>
      <w:proofErr w:type="spellEnd"/>
      <w:r w:rsidRPr="00E34324">
        <w:rPr>
          <w:bCs/>
        </w:rPr>
        <w:t xml:space="preserve"> for enhanced heavy metal binding: A molecular docking approach. </w:t>
      </w:r>
      <w:r w:rsidRPr="00E34324">
        <w:rPr>
          <w:bCs/>
          <w:i/>
          <w:iCs/>
        </w:rPr>
        <w:t>Environmental Toxicology and Pharmacology</w:t>
      </w:r>
      <w:r w:rsidRPr="00E34324">
        <w:rPr>
          <w:bCs/>
        </w:rPr>
        <w:t xml:space="preserve">, 83, 103594. </w:t>
      </w:r>
      <w:hyperlink r:id="rId78" w:history="1">
        <w:r w:rsidRPr="00E34324">
          <w:rPr>
            <w:bCs/>
            <w:color w:val="0000FF"/>
            <w:u w:val="single"/>
          </w:rPr>
          <w:t>https://doi.org/10.1016/j.etap.2021.103594</w:t>
        </w:r>
      </w:hyperlink>
    </w:p>
    <w:p w14:paraId="5B12C817" w14:textId="77777777" w:rsidR="00465090" w:rsidRPr="005C6774" w:rsidRDefault="00465090" w:rsidP="00E34324">
      <w:pPr>
        <w:spacing w:before="100" w:beforeAutospacing="1" w:after="100" w:afterAutospacing="1"/>
        <w:ind w:left="720" w:hanging="720"/>
        <w:jc w:val="both"/>
      </w:pPr>
      <w:r w:rsidRPr="005C6774">
        <w:t xml:space="preserve">Zhang, Y., Zhao, X., Liu, H., &amp; Wang, J. (2022). Nephroprotective and neuroprotective roles of apigenin: Evidence from preclinical models. </w:t>
      </w:r>
      <w:r w:rsidRPr="005C6774">
        <w:rPr>
          <w:i/>
          <w:iCs/>
        </w:rPr>
        <w:t>International Journal of Molecular Sciences, 23</w:t>
      </w:r>
      <w:r w:rsidRPr="005C6774">
        <w:t xml:space="preserve">(4), 2144. </w:t>
      </w:r>
      <w:hyperlink r:id="rId79" w:history="1">
        <w:r w:rsidRPr="005C6774">
          <w:rPr>
            <w:color w:val="0000FF"/>
            <w:u w:val="single"/>
          </w:rPr>
          <w:t>https://doi.org/10.3390/ijms23042144</w:t>
        </w:r>
      </w:hyperlink>
    </w:p>
    <w:p w14:paraId="7A93049A" w14:textId="77777777" w:rsidR="00465090" w:rsidRDefault="00465090" w:rsidP="00465090">
      <w:pPr>
        <w:spacing w:before="100" w:beforeAutospacing="1" w:after="100" w:afterAutospacing="1"/>
        <w:ind w:left="720" w:hanging="720"/>
        <w:jc w:val="both"/>
      </w:pPr>
      <w:r w:rsidRPr="005C6774">
        <w:t xml:space="preserve">Zhang, Y., Zhu, H., Wang, Y., &amp; Gao, H. (2020). Evaluation of lipophilicity and ADME behavior of carotenoids by computational modeling. </w:t>
      </w:r>
      <w:r w:rsidRPr="005C6774">
        <w:rPr>
          <w:i/>
          <w:iCs/>
        </w:rPr>
        <w:t>Journal of Molecular Structure, 1207</w:t>
      </w:r>
      <w:r w:rsidRPr="005C6774">
        <w:t xml:space="preserve">, 127786. </w:t>
      </w:r>
      <w:hyperlink r:id="rId80" w:history="1">
        <w:r w:rsidRPr="005C6774">
          <w:rPr>
            <w:color w:val="0000FF"/>
            <w:u w:val="single"/>
          </w:rPr>
          <w:t>https://doi.org/10.1016/j.molstruc.2020.127786</w:t>
        </w:r>
      </w:hyperlink>
    </w:p>
    <w:p w14:paraId="75247783" w14:textId="77777777" w:rsidR="00465090" w:rsidRDefault="00465090" w:rsidP="00465090">
      <w:pPr>
        <w:spacing w:before="100" w:beforeAutospacing="1" w:after="100" w:afterAutospacing="1"/>
        <w:ind w:left="720" w:hanging="720"/>
        <w:jc w:val="both"/>
      </w:pPr>
    </w:p>
    <w:p w14:paraId="1309C844" w14:textId="77777777" w:rsidR="00E45918" w:rsidRPr="005C6774" w:rsidRDefault="00E45918" w:rsidP="00E34324">
      <w:pPr>
        <w:spacing w:before="100" w:beforeAutospacing="1" w:after="100" w:afterAutospacing="1"/>
        <w:jc w:val="both"/>
      </w:pPr>
    </w:p>
    <w:sectPr w:rsidR="00E45918" w:rsidRPr="005C6774">
      <w:headerReference w:type="even" r:id="rId81"/>
      <w:headerReference w:type="default" r:id="rId82"/>
      <w:footerReference w:type="even" r:id="rId83"/>
      <w:footerReference w:type="default" r:id="rId84"/>
      <w:headerReference w:type="first" r:id="rId85"/>
      <w:footerReference w:type="firs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41BD2B" w14:textId="77777777" w:rsidR="00367D3D" w:rsidRDefault="00367D3D" w:rsidP="00057174">
      <w:r>
        <w:separator/>
      </w:r>
    </w:p>
  </w:endnote>
  <w:endnote w:type="continuationSeparator" w:id="0">
    <w:p w14:paraId="3BEB2CC3" w14:textId="77777777" w:rsidR="00367D3D" w:rsidRDefault="00367D3D" w:rsidP="000571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F3CB5F" w14:textId="77777777" w:rsidR="006E1FDD" w:rsidRDefault="006E1F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9941050"/>
      <w:docPartObj>
        <w:docPartGallery w:val="Page Numbers (Bottom of Page)"/>
        <w:docPartUnique/>
      </w:docPartObj>
    </w:sdtPr>
    <w:sdtEndPr>
      <w:rPr>
        <w:noProof/>
      </w:rPr>
    </w:sdtEndPr>
    <w:sdtContent>
      <w:p w14:paraId="627D0AF3" w14:textId="77777777" w:rsidR="00E22524" w:rsidRDefault="00E22524">
        <w:pPr>
          <w:pStyle w:val="Footer"/>
          <w:jc w:val="center"/>
        </w:pPr>
        <w:r>
          <w:fldChar w:fldCharType="begin"/>
        </w:r>
        <w:r>
          <w:instrText xml:space="preserve"> PAGE   \* MERGEFORMAT </w:instrText>
        </w:r>
        <w:r>
          <w:fldChar w:fldCharType="separate"/>
        </w:r>
        <w:r w:rsidR="00960214">
          <w:rPr>
            <w:noProof/>
          </w:rPr>
          <w:t>32</w:t>
        </w:r>
        <w:r>
          <w:rPr>
            <w:noProof/>
          </w:rPr>
          <w:fldChar w:fldCharType="end"/>
        </w:r>
      </w:p>
    </w:sdtContent>
  </w:sdt>
  <w:p w14:paraId="7219EDD5" w14:textId="77777777" w:rsidR="00E22524" w:rsidRDefault="00E225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5E20C" w14:textId="77777777" w:rsidR="006E1FDD" w:rsidRDefault="006E1F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02B1A" w14:textId="77777777" w:rsidR="00367D3D" w:rsidRDefault="00367D3D" w:rsidP="00057174">
      <w:r>
        <w:separator/>
      </w:r>
    </w:p>
  </w:footnote>
  <w:footnote w:type="continuationSeparator" w:id="0">
    <w:p w14:paraId="7CEAD276" w14:textId="77777777" w:rsidR="00367D3D" w:rsidRDefault="00367D3D" w:rsidP="000571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D7CE30" w14:textId="0B788B14" w:rsidR="006E1FDD" w:rsidRDefault="006E1FDD">
    <w:pPr>
      <w:pStyle w:val="Header"/>
    </w:pPr>
    <w:r>
      <w:rPr>
        <w:noProof/>
      </w:rPr>
      <w:pict w14:anchorId="177200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40751"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D625FF" w14:textId="7FC60E6B" w:rsidR="006E1FDD" w:rsidRDefault="006E1FDD">
    <w:pPr>
      <w:pStyle w:val="Header"/>
    </w:pPr>
    <w:r>
      <w:rPr>
        <w:noProof/>
      </w:rPr>
      <w:pict w14:anchorId="2D0DA6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40752"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910BC" w14:textId="18275D18" w:rsidR="006E1FDD" w:rsidRDefault="006E1FDD">
    <w:pPr>
      <w:pStyle w:val="Header"/>
    </w:pPr>
    <w:r>
      <w:rPr>
        <w:noProof/>
      </w:rPr>
      <w:pict w14:anchorId="006E07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9940750"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B3690"/>
    <w:multiLevelType w:val="multilevel"/>
    <w:tmpl w:val="D11A70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0E2B8C"/>
    <w:multiLevelType w:val="hybridMultilevel"/>
    <w:tmpl w:val="8C2AD1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1653A21"/>
    <w:multiLevelType w:val="hybridMultilevel"/>
    <w:tmpl w:val="A80C4BF4"/>
    <w:lvl w:ilvl="0" w:tplc="7042F6C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2300C96"/>
    <w:multiLevelType w:val="multilevel"/>
    <w:tmpl w:val="2EB421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B5073E7"/>
    <w:multiLevelType w:val="multilevel"/>
    <w:tmpl w:val="5D5018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31CE"/>
    <w:rsid w:val="00002C39"/>
    <w:rsid w:val="00006AB7"/>
    <w:rsid w:val="000165E5"/>
    <w:rsid w:val="00021648"/>
    <w:rsid w:val="000229F9"/>
    <w:rsid w:val="00036BA4"/>
    <w:rsid w:val="000520AE"/>
    <w:rsid w:val="00057174"/>
    <w:rsid w:val="00062065"/>
    <w:rsid w:val="00065EEC"/>
    <w:rsid w:val="0007695E"/>
    <w:rsid w:val="000813A2"/>
    <w:rsid w:val="00081881"/>
    <w:rsid w:val="00083AFA"/>
    <w:rsid w:val="00096BEF"/>
    <w:rsid w:val="000B7604"/>
    <w:rsid w:val="000D0EAF"/>
    <w:rsid w:val="000E71F1"/>
    <w:rsid w:val="000F60A5"/>
    <w:rsid w:val="000F7CE9"/>
    <w:rsid w:val="001470A9"/>
    <w:rsid w:val="00151386"/>
    <w:rsid w:val="00174F82"/>
    <w:rsid w:val="001757F5"/>
    <w:rsid w:val="001915EF"/>
    <w:rsid w:val="001B32F3"/>
    <w:rsid w:val="00201AB2"/>
    <w:rsid w:val="0022679E"/>
    <w:rsid w:val="00232566"/>
    <w:rsid w:val="002717B0"/>
    <w:rsid w:val="00290E45"/>
    <w:rsid w:val="002C5A00"/>
    <w:rsid w:val="002E4B24"/>
    <w:rsid w:val="002F09EF"/>
    <w:rsid w:val="0031232D"/>
    <w:rsid w:val="0031660F"/>
    <w:rsid w:val="00331193"/>
    <w:rsid w:val="00341B58"/>
    <w:rsid w:val="00351B0C"/>
    <w:rsid w:val="003619A1"/>
    <w:rsid w:val="00367D3D"/>
    <w:rsid w:val="00413191"/>
    <w:rsid w:val="0042740C"/>
    <w:rsid w:val="00434929"/>
    <w:rsid w:val="00440C54"/>
    <w:rsid w:val="00444C09"/>
    <w:rsid w:val="004533BC"/>
    <w:rsid w:val="00461B62"/>
    <w:rsid w:val="00465090"/>
    <w:rsid w:val="00465644"/>
    <w:rsid w:val="004A1B84"/>
    <w:rsid w:val="004B486B"/>
    <w:rsid w:val="004D15E5"/>
    <w:rsid w:val="00502289"/>
    <w:rsid w:val="00547ABD"/>
    <w:rsid w:val="005506EF"/>
    <w:rsid w:val="0056116F"/>
    <w:rsid w:val="00580609"/>
    <w:rsid w:val="00581F85"/>
    <w:rsid w:val="00586BE1"/>
    <w:rsid w:val="00587D10"/>
    <w:rsid w:val="005A4B8A"/>
    <w:rsid w:val="005A6660"/>
    <w:rsid w:val="005B6E05"/>
    <w:rsid w:val="005C6774"/>
    <w:rsid w:val="005D1B2D"/>
    <w:rsid w:val="005E1734"/>
    <w:rsid w:val="005F1BF1"/>
    <w:rsid w:val="00606157"/>
    <w:rsid w:val="006162C7"/>
    <w:rsid w:val="006235C5"/>
    <w:rsid w:val="00625A0B"/>
    <w:rsid w:val="00632A69"/>
    <w:rsid w:val="00633DA0"/>
    <w:rsid w:val="00645969"/>
    <w:rsid w:val="00652991"/>
    <w:rsid w:val="006630E1"/>
    <w:rsid w:val="00667136"/>
    <w:rsid w:val="00670A72"/>
    <w:rsid w:val="006969E1"/>
    <w:rsid w:val="006C4B5B"/>
    <w:rsid w:val="006C5A7C"/>
    <w:rsid w:val="006D6038"/>
    <w:rsid w:val="006E1FDD"/>
    <w:rsid w:val="006E61E8"/>
    <w:rsid w:val="006F1431"/>
    <w:rsid w:val="006F5E97"/>
    <w:rsid w:val="00704725"/>
    <w:rsid w:val="00716F2E"/>
    <w:rsid w:val="00736B76"/>
    <w:rsid w:val="0075479E"/>
    <w:rsid w:val="00757784"/>
    <w:rsid w:val="00770840"/>
    <w:rsid w:val="007764D1"/>
    <w:rsid w:val="00791F08"/>
    <w:rsid w:val="007928D4"/>
    <w:rsid w:val="00796087"/>
    <w:rsid w:val="007A16B9"/>
    <w:rsid w:val="007A2110"/>
    <w:rsid w:val="007B30E4"/>
    <w:rsid w:val="007C00BF"/>
    <w:rsid w:val="007D5621"/>
    <w:rsid w:val="007E2A5C"/>
    <w:rsid w:val="007E48DF"/>
    <w:rsid w:val="007F0137"/>
    <w:rsid w:val="007F6EFC"/>
    <w:rsid w:val="00800186"/>
    <w:rsid w:val="008079FA"/>
    <w:rsid w:val="00811730"/>
    <w:rsid w:val="00821A3A"/>
    <w:rsid w:val="00861512"/>
    <w:rsid w:val="00861FC8"/>
    <w:rsid w:val="00865419"/>
    <w:rsid w:val="00866AF3"/>
    <w:rsid w:val="008E5246"/>
    <w:rsid w:val="008F0F98"/>
    <w:rsid w:val="008F1786"/>
    <w:rsid w:val="008F1E3B"/>
    <w:rsid w:val="008F744C"/>
    <w:rsid w:val="0090013A"/>
    <w:rsid w:val="009138BE"/>
    <w:rsid w:val="009246BD"/>
    <w:rsid w:val="00951D80"/>
    <w:rsid w:val="00960214"/>
    <w:rsid w:val="0096527E"/>
    <w:rsid w:val="00973FEA"/>
    <w:rsid w:val="009A1A01"/>
    <w:rsid w:val="009B0B1A"/>
    <w:rsid w:val="009B2D43"/>
    <w:rsid w:val="009C1CD9"/>
    <w:rsid w:val="009F1662"/>
    <w:rsid w:val="009F2CB9"/>
    <w:rsid w:val="009F74AD"/>
    <w:rsid w:val="00A257AA"/>
    <w:rsid w:val="00A27305"/>
    <w:rsid w:val="00A32759"/>
    <w:rsid w:val="00A4031D"/>
    <w:rsid w:val="00A5383F"/>
    <w:rsid w:val="00A6156A"/>
    <w:rsid w:val="00A62A82"/>
    <w:rsid w:val="00A63216"/>
    <w:rsid w:val="00A771CD"/>
    <w:rsid w:val="00A927DE"/>
    <w:rsid w:val="00A92CBD"/>
    <w:rsid w:val="00A961D4"/>
    <w:rsid w:val="00AC2CBD"/>
    <w:rsid w:val="00AD045F"/>
    <w:rsid w:val="00AE4DB5"/>
    <w:rsid w:val="00AF4121"/>
    <w:rsid w:val="00AF5521"/>
    <w:rsid w:val="00B031CE"/>
    <w:rsid w:val="00B062FF"/>
    <w:rsid w:val="00B1720E"/>
    <w:rsid w:val="00B31FC4"/>
    <w:rsid w:val="00BB4539"/>
    <w:rsid w:val="00BD50E8"/>
    <w:rsid w:val="00BD64AD"/>
    <w:rsid w:val="00C1008A"/>
    <w:rsid w:val="00C1581C"/>
    <w:rsid w:val="00C20584"/>
    <w:rsid w:val="00C24E18"/>
    <w:rsid w:val="00C402B6"/>
    <w:rsid w:val="00C45B13"/>
    <w:rsid w:val="00C479C4"/>
    <w:rsid w:val="00C50D8D"/>
    <w:rsid w:val="00C60AE2"/>
    <w:rsid w:val="00C8212F"/>
    <w:rsid w:val="00C838CD"/>
    <w:rsid w:val="00C906CB"/>
    <w:rsid w:val="00CB1686"/>
    <w:rsid w:val="00CD5F68"/>
    <w:rsid w:val="00CE42BF"/>
    <w:rsid w:val="00CF4A34"/>
    <w:rsid w:val="00CF5A3E"/>
    <w:rsid w:val="00CF6642"/>
    <w:rsid w:val="00D1159E"/>
    <w:rsid w:val="00D16CE7"/>
    <w:rsid w:val="00D271A5"/>
    <w:rsid w:val="00D5223C"/>
    <w:rsid w:val="00D56E06"/>
    <w:rsid w:val="00D66A1E"/>
    <w:rsid w:val="00DA4387"/>
    <w:rsid w:val="00DC0B3F"/>
    <w:rsid w:val="00DD598D"/>
    <w:rsid w:val="00DE508C"/>
    <w:rsid w:val="00E002A0"/>
    <w:rsid w:val="00E217C3"/>
    <w:rsid w:val="00E22524"/>
    <w:rsid w:val="00E33672"/>
    <w:rsid w:val="00E34324"/>
    <w:rsid w:val="00E44C11"/>
    <w:rsid w:val="00E45918"/>
    <w:rsid w:val="00E4657F"/>
    <w:rsid w:val="00E83B98"/>
    <w:rsid w:val="00E97A9B"/>
    <w:rsid w:val="00EB4FCA"/>
    <w:rsid w:val="00EB74AE"/>
    <w:rsid w:val="00ED16C5"/>
    <w:rsid w:val="00ED3187"/>
    <w:rsid w:val="00F20D94"/>
    <w:rsid w:val="00F262B0"/>
    <w:rsid w:val="00F66526"/>
    <w:rsid w:val="00F90D1E"/>
    <w:rsid w:val="00FA3AFE"/>
    <w:rsid w:val="00FB3370"/>
    <w:rsid w:val="00FC48E2"/>
    <w:rsid w:val="00FC5ABF"/>
    <w:rsid w:val="00FC7F09"/>
    <w:rsid w:val="00FD3FD5"/>
    <w:rsid w:val="00FD4C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652372D"/>
  <w15:chartTrackingRefBased/>
  <w15:docId w15:val="{869AB7FE-21D9-4CDE-8981-9141C639D0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06C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7928D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unhideWhenUsed/>
    <w:qFormat/>
    <w:rsid w:val="00290E45"/>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C838CD"/>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C838CD"/>
    <w:rPr>
      <w:rFonts w:asciiTheme="majorHAnsi" w:eastAsiaTheme="majorEastAsia" w:hAnsiTheme="majorHAnsi" w:cstheme="majorBidi"/>
      <w:i/>
      <w:iCs/>
      <w:color w:val="2E74B5" w:themeColor="accent1" w:themeShade="BF"/>
      <w:sz w:val="24"/>
      <w:szCs w:val="24"/>
    </w:rPr>
  </w:style>
  <w:style w:type="character" w:styleId="Emphasis">
    <w:name w:val="Emphasis"/>
    <w:basedOn w:val="DefaultParagraphFont"/>
    <w:uiPriority w:val="20"/>
    <w:qFormat/>
    <w:rsid w:val="00C838CD"/>
    <w:rPr>
      <w:i/>
      <w:iCs/>
    </w:rPr>
  </w:style>
  <w:style w:type="character" w:styleId="Hyperlink">
    <w:name w:val="Hyperlink"/>
    <w:basedOn w:val="DefaultParagraphFont"/>
    <w:uiPriority w:val="99"/>
    <w:unhideWhenUsed/>
    <w:rsid w:val="00C838CD"/>
    <w:rPr>
      <w:color w:val="0000FF"/>
      <w:u w:val="single"/>
    </w:rPr>
  </w:style>
  <w:style w:type="table" w:styleId="TableGrid">
    <w:name w:val="Table Grid"/>
    <w:basedOn w:val="TableNormal"/>
    <w:uiPriority w:val="59"/>
    <w:rsid w:val="00A61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928D4"/>
    <w:rPr>
      <w:rFonts w:asciiTheme="majorHAnsi" w:eastAsiaTheme="majorEastAsia" w:hAnsiTheme="majorHAnsi" w:cstheme="majorBidi"/>
      <w:color w:val="2E74B5" w:themeColor="accent1" w:themeShade="BF"/>
      <w:sz w:val="32"/>
      <w:szCs w:val="32"/>
    </w:rPr>
  </w:style>
  <w:style w:type="paragraph" w:styleId="NormalWeb">
    <w:name w:val="Normal (Web)"/>
    <w:basedOn w:val="Normal"/>
    <w:uiPriority w:val="99"/>
    <w:unhideWhenUsed/>
    <w:rsid w:val="00290E45"/>
    <w:pPr>
      <w:spacing w:before="100" w:beforeAutospacing="1" w:after="100" w:afterAutospacing="1"/>
    </w:pPr>
  </w:style>
  <w:style w:type="character" w:styleId="Strong">
    <w:name w:val="Strong"/>
    <w:basedOn w:val="DefaultParagraphFont"/>
    <w:uiPriority w:val="22"/>
    <w:qFormat/>
    <w:rsid w:val="00290E45"/>
    <w:rPr>
      <w:b/>
      <w:bCs/>
    </w:rPr>
  </w:style>
  <w:style w:type="character" w:customStyle="1" w:styleId="Heading3Char">
    <w:name w:val="Heading 3 Char"/>
    <w:basedOn w:val="DefaultParagraphFont"/>
    <w:link w:val="Heading3"/>
    <w:uiPriority w:val="9"/>
    <w:rsid w:val="00290E45"/>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C906CB"/>
    <w:pPr>
      <w:ind w:left="720"/>
      <w:contextualSpacing/>
    </w:pPr>
  </w:style>
  <w:style w:type="paragraph" w:styleId="Header">
    <w:name w:val="header"/>
    <w:basedOn w:val="Normal"/>
    <w:link w:val="HeaderChar"/>
    <w:uiPriority w:val="99"/>
    <w:unhideWhenUsed/>
    <w:rsid w:val="00057174"/>
    <w:pPr>
      <w:tabs>
        <w:tab w:val="center" w:pos="4680"/>
        <w:tab w:val="right" w:pos="9360"/>
      </w:tabs>
    </w:pPr>
  </w:style>
  <w:style w:type="character" w:customStyle="1" w:styleId="HeaderChar">
    <w:name w:val="Header Char"/>
    <w:basedOn w:val="DefaultParagraphFont"/>
    <w:link w:val="Header"/>
    <w:uiPriority w:val="99"/>
    <w:rsid w:val="0005717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57174"/>
    <w:pPr>
      <w:tabs>
        <w:tab w:val="center" w:pos="4680"/>
        <w:tab w:val="right" w:pos="9360"/>
      </w:tabs>
    </w:pPr>
  </w:style>
  <w:style w:type="character" w:customStyle="1" w:styleId="FooterChar">
    <w:name w:val="Footer Char"/>
    <w:basedOn w:val="DefaultParagraphFont"/>
    <w:link w:val="Footer"/>
    <w:uiPriority w:val="99"/>
    <w:rsid w:val="00057174"/>
    <w:rPr>
      <w:rFonts w:ascii="Times New Roman" w:eastAsia="Times New Roman" w:hAnsi="Times New Roman" w:cs="Times New Roman"/>
      <w:sz w:val="24"/>
      <w:szCs w:val="24"/>
    </w:rPr>
  </w:style>
  <w:style w:type="paragraph" w:customStyle="1" w:styleId="AcknHead">
    <w:name w:val="Ackn Head"/>
    <w:basedOn w:val="Normal"/>
    <w:rsid w:val="007A16B9"/>
    <w:pPr>
      <w:keepNext/>
      <w:spacing w:after="240"/>
    </w:pPr>
    <w:rPr>
      <w:rFonts w:ascii="Helvetica" w:hAnsi="Helvetica"/>
      <w:b/>
      <w:caps/>
      <w:sz w:val="22"/>
      <w:szCs w:val="20"/>
    </w:rPr>
  </w:style>
  <w:style w:type="paragraph" w:customStyle="1" w:styleId="ReferHead">
    <w:name w:val="Refer Head"/>
    <w:basedOn w:val="Normal"/>
    <w:rsid w:val="007A16B9"/>
    <w:pPr>
      <w:keepNext/>
      <w:spacing w:after="240"/>
    </w:pPr>
    <w:rPr>
      <w:rFonts w:ascii="Helvetica" w:hAnsi="Helvetica"/>
      <w:b/>
      <w:caps/>
      <w:sz w:val="22"/>
      <w:szCs w:val="20"/>
    </w:rPr>
  </w:style>
  <w:style w:type="character" w:styleId="UnresolvedMention">
    <w:name w:val="Unresolved Mention"/>
    <w:basedOn w:val="DefaultParagraphFont"/>
    <w:uiPriority w:val="99"/>
    <w:semiHidden/>
    <w:unhideWhenUsed/>
    <w:rsid w:val="006235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8338">
      <w:bodyDiv w:val="1"/>
      <w:marLeft w:val="0"/>
      <w:marRight w:val="0"/>
      <w:marTop w:val="0"/>
      <w:marBottom w:val="0"/>
      <w:divBdr>
        <w:top w:val="none" w:sz="0" w:space="0" w:color="auto"/>
        <w:left w:val="none" w:sz="0" w:space="0" w:color="auto"/>
        <w:bottom w:val="none" w:sz="0" w:space="0" w:color="auto"/>
        <w:right w:val="none" w:sz="0" w:space="0" w:color="auto"/>
      </w:divBdr>
    </w:div>
    <w:div w:id="245961175">
      <w:bodyDiv w:val="1"/>
      <w:marLeft w:val="0"/>
      <w:marRight w:val="0"/>
      <w:marTop w:val="0"/>
      <w:marBottom w:val="0"/>
      <w:divBdr>
        <w:top w:val="none" w:sz="0" w:space="0" w:color="auto"/>
        <w:left w:val="none" w:sz="0" w:space="0" w:color="auto"/>
        <w:bottom w:val="none" w:sz="0" w:space="0" w:color="auto"/>
        <w:right w:val="none" w:sz="0" w:space="0" w:color="auto"/>
      </w:divBdr>
    </w:div>
    <w:div w:id="352457029">
      <w:bodyDiv w:val="1"/>
      <w:marLeft w:val="0"/>
      <w:marRight w:val="0"/>
      <w:marTop w:val="0"/>
      <w:marBottom w:val="0"/>
      <w:divBdr>
        <w:top w:val="none" w:sz="0" w:space="0" w:color="auto"/>
        <w:left w:val="none" w:sz="0" w:space="0" w:color="auto"/>
        <w:bottom w:val="none" w:sz="0" w:space="0" w:color="auto"/>
        <w:right w:val="none" w:sz="0" w:space="0" w:color="auto"/>
      </w:divBdr>
    </w:div>
    <w:div w:id="513305809">
      <w:bodyDiv w:val="1"/>
      <w:marLeft w:val="0"/>
      <w:marRight w:val="0"/>
      <w:marTop w:val="0"/>
      <w:marBottom w:val="0"/>
      <w:divBdr>
        <w:top w:val="none" w:sz="0" w:space="0" w:color="auto"/>
        <w:left w:val="none" w:sz="0" w:space="0" w:color="auto"/>
        <w:bottom w:val="none" w:sz="0" w:space="0" w:color="auto"/>
        <w:right w:val="none" w:sz="0" w:space="0" w:color="auto"/>
      </w:divBdr>
    </w:div>
    <w:div w:id="543370352">
      <w:bodyDiv w:val="1"/>
      <w:marLeft w:val="0"/>
      <w:marRight w:val="0"/>
      <w:marTop w:val="0"/>
      <w:marBottom w:val="0"/>
      <w:divBdr>
        <w:top w:val="none" w:sz="0" w:space="0" w:color="auto"/>
        <w:left w:val="none" w:sz="0" w:space="0" w:color="auto"/>
        <w:bottom w:val="none" w:sz="0" w:space="0" w:color="auto"/>
        <w:right w:val="none" w:sz="0" w:space="0" w:color="auto"/>
      </w:divBdr>
    </w:div>
    <w:div w:id="544830790">
      <w:bodyDiv w:val="1"/>
      <w:marLeft w:val="0"/>
      <w:marRight w:val="0"/>
      <w:marTop w:val="0"/>
      <w:marBottom w:val="0"/>
      <w:divBdr>
        <w:top w:val="none" w:sz="0" w:space="0" w:color="auto"/>
        <w:left w:val="none" w:sz="0" w:space="0" w:color="auto"/>
        <w:bottom w:val="none" w:sz="0" w:space="0" w:color="auto"/>
        <w:right w:val="none" w:sz="0" w:space="0" w:color="auto"/>
      </w:divBdr>
    </w:div>
    <w:div w:id="553544175">
      <w:bodyDiv w:val="1"/>
      <w:marLeft w:val="0"/>
      <w:marRight w:val="0"/>
      <w:marTop w:val="0"/>
      <w:marBottom w:val="0"/>
      <w:divBdr>
        <w:top w:val="none" w:sz="0" w:space="0" w:color="auto"/>
        <w:left w:val="none" w:sz="0" w:space="0" w:color="auto"/>
        <w:bottom w:val="none" w:sz="0" w:space="0" w:color="auto"/>
        <w:right w:val="none" w:sz="0" w:space="0" w:color="auto"/>
      </w:divBdr>
    </w:div>
    <w:div w:id="613369723">
      <w:bodyDiv w:val="1"/>
      <w:marLeft w:val="0"/>
      <w:marRight w:val="0"/>
      <w:marTop w:val="0"/>
      <w:marBottom w:val="0"/>
      <w:divBdr>
        <w:top w:val="none" w:sz="0" w:space="0" w:color="auto"/>
        <w:left w:val="none" w:sz="0" w:space="0" w:color="auto"/>
        <w:bottom w:val="none" w:sz="0" w:space="0" w:color="auto"/>
        <w:right w:val="none" w:sz="0" w:space="0" w:color="auto"/>
      </w:divBdr>
    </w:div>
    <w:div w:id="821233467">
      <w:bodyDiv w:val="1"/>
      <w:marLeft w:val="0"/>
      <w:marRight w:val="0"/>
      <w:marTop w:val="0"/>
      <w:marBottom w:val="0"/>
      <w:divBdr>
        <w:top w:val="none" w:sz="0" w:space="0" w:color="auto"/>
        <w:left w:val="none" w:sz="0" w:space="0" w:color="auto"/>
        <w:bottom w:val="none" w:sz="0" w:space="0" w:color="auto"/>
        <w:right w:val="none" w:sz="0" w:space="0" w:color="auto"/>
      </w:divBdr>
    </w:div>
    <w:div w:id="906384603">
      <w:bodyDiv w:val="1"/>
      <w:marLeft w:val="0"/>
      <w:marRight w:val="0"/>
      <w:marTop w:val="0"/>
      <w:marBottom w:val="0"/>
      <w:divBdr>
        <w:top w:val="none" w:sz="0" w:space="0" w:color="auto"/>
        <w:left w:val="none" w:sz="0" w:space="0" w:color="auto"/>
        <w:bottom w:val="none" w:sz="0" w:space="0" w:color="auto"/>
        <w:right w:val="none" w:sz="0" w:space="0" w:color="auto"/>
      </w:divBdr>
    </w:div>
    <w:div w:id="927347350">
      <w:bodyDiv w:val="1"/>
      <w:marLeft w:val="0"/>
      <w:marRight w:val="0"/>
      <w:marTop w:val="0"/>
      <w:marBottom w:val="0"/>
      <w:divBdr>
        <w:top w:val="none" w:sz="0" w:space="0" w:color="auto"/>
        <w:left w:val="none" w:sz="0" w:space="0" w:color="auto"/>
        <w:bottom w:val="none" w:sz="0" w:space="0" w:color="auto"/>
        <w:right w:val="none" w:sz="0" w:space="0" w:color="auto"/>
      </w:divBdr>
    </w:div>
    <w:div w:id="932056564">
      <w:bodyDiv w:val="1"/>
      <w:marLeft w:val="0"/>
      <w:marRight w:val="0"/>
      <w:marTop w:val="0"/>
      <w:marBottom w:val="0"/>
      <w:divBdr>
        <w:top w:val="none" w:sz="0" w:space="0" w:color="auto"/>
        <w:left w:val="none" w:sz="0" w:space="0" w:color="auto"/>
        <w:bottom w:val="none" w:sz="0" w:space="0" w:color="auto"/>
        <w:right w:val="none" w:sz="0" w:space="0" w:color="auto"/>
      </w:divBdr>
    </w:div>
    <w:div w:id="933855039">
      <w:bodyDiv w:val="1"/>
      <w:marLeft w:val="0"/>
      <w:marRight w:val="0"/>
      <w:marTop w:val="0"/>
      <w:marBottom w:val="0"/>
      <w:divBdr>
        <w:top w:val="none" w:sz="0" w:space="0" w:color="auto"/>
        <w:left w:val="none" w:sz="0" w:space="0" w:color="auto"/>
        <w:bottom w:val="none" w:sz="0" w:space="0" w:color="auto"/>
        <w:right w:val="none" w:sz="0" w:space="0" w:color="auto"/>
      </w:divBdr>
    </w:div>
    <w:div w:id="959148309">
      <w:bodyDiv w:val="1"/>
      <w:marLeft w:val="0"/>
      <w:marRight w:val="0"/>
      <w:marTop w:val="0"/>
      <w:marBottom w:val="0"/>
      <w:divBdr>
        <w:top w:val="none" w:sz="0" w:space="0" w:color="auto"/>
        <w:left w:val="none" w:sz="0" w:space="0" w:color="auto"/>
        <w:bottom w:val="none" w:sz="0" w:space="0" w:color="auto"/>
        <w:right w:val="none" w:sz="0" w:space="0" w:color="auto"/>
      </w:divBdr>
    </w:div>
    <w:div w:id="1008948760">
      <w:bodyDiv w:val="1"/>
      <w:marLeft w:val="0"/>
      <w:marRight w:val="0"/>
      <w:marTop w:val="0"/>
      <w:marBottom w:val="0"/>
      <w:divBdr>
        <w:top w:val="none" w:sz="0" w:space="0" w:color="auto"/>
        <w:left w:val="none" w:sz="0" w:space="0" w:color="auto"/>
        <w:bottom w:val="none" w:sz="0" w:space="0" w:color="auto"/>
        <w:right w:val="none" w:sz="0" w:space="0" w:color="auto"/>
      </w:divBdr>
    </w:div>
    <w:div w:id="1030495452">
      <w:bodyDiv w:val="1"/>
      <w:marLeft w:val="0"/>
      <w:marRight w:val="0"/>
      <w:marTop w:val="0"/>
      <w:marBottom w:val="0"/>
      <w:divBdr>
        <w:top w:val="none" w:sz="0" w:space="0" w:color="auto"/>
        <w:left w:val="none" w:sz="0" w:space="0" w:color="auto"/>
        <w:bottom w:val="none" w:sz="0" w:space="0" w:color="auto"/>
        <w:right w:val="none" w:sz="0" w:space="0" w:color="auto"/>
      </w:divBdr>
    </w:div>
    <w:div w:id="1055348050">
      <w:bodyDiv w:val="1"/>
      <w:marLeft w:val="0"/>
      <w:marRight w:val="0"/>
      <w:marTop w:val="0"/>
      <w:marBottom w:val="0"/>
      <w:divBdr>
        <w:top w:val="none" w:sz="0" w:space="0" w:color="auto"/>
        <w:left w:val="none" w:sz="0" w:space="0" w:color="auto"/>
        <w:bottom w:val="none" w:sz="0" w:space="0" w:color="auto"/>
        <w:right w:val="none" w:sz="0" w:space="0" w:color="auto"/>
      </w:divBdr>
    </w:div>
    <w:div w:id="1082144290">
      <w:bodyDiv w:val="1"/>
      <w:marLeft w:val="0"/>
      <w:marRight w:val="0"/>
      <w:marTop w:val="0"/>
      <w:marBottom w:val="0"/>
      <w:divBdr>
        <w:top w:val="none" w:sz="0" w:space="0" w:color="auto"/>
        <w:left w:val="none" w:sz="0" w:space="0" w:color="auto"/>
        <w:bottom w:val="none" w:sz="0" w:space="0" w:color="auto"/>
        <w:right w:val="none" w:sz="0" w:space="0" w:color="auto"/>
      </w:divBdr>
    </w:div>
    <w:div w:id="1088690591">
      <w:bodyDiv w:val="1"/>
      <w:marLeft w:val="0"/>
      <w:marRight w:val="0"/>
      <w:marTop w:val="0"/>
      <w:marBottom w:val="0"/>
      <w:divBdr>
        <w:top w:val="none" w:sz="0" w:space="0" w:color="auto"/>
        <w:left w:val="none" w:sz="0" w:space="0" w:color="auto"/>
        <w:bottom w:val="none" w:sz="0" w:space="0" w:color="auto"/>
        <w:right w:val="none" w:sz="0" w:space="0" w:color="auto"/>
      </w:divBdr>
    </w:div>
    <w:div w:id="1143424695">
      <w:bodyDiv w:val="1"/>
      <w:marLeft w:val="0"/>
      <w:marRight w:val="0"/>
      <w:marTop w:val="0"/>
      <w:marBottom w:val="0"/>
      <w:divBdr>
        <w:top w:val="none" w:sz="0" w:space="0" w:color="auto"/>
        <w:left w:val="none" w:sz="0" w:space="0" w:color="auto"/>
        <w:bottom w:val="none" w:sz="0" w:space="0" w:color="auto"/>
        <w:right w:val="none" w:sz="0" w:space="0" w:color="auto"/>
      </w:divBdr>
    </w:div>
    <w:div w:id="1176043625">
      <w:bodyDiv w:val="1"/>
      <w:marLeft w:val="0"/>
      <w:marRight w:val="0"/>
      <w:marTop w:val="0"/>
      <w:marBottom w:val="0"/>
      <w:divBdr>
        <w:top w:val="none" w:sz="0" w:space="0" w:color="auto"/>
        <w:left w:val="none" w:sz="0" w:space="0" w:color="auto"/>
        <w:bottom w:val="none" w:sz="0" w:space="0" w:color="auto"/>
        <w:right w:val="none" w:sz="0" w:space="0" w:color="auto"/>
      </w:divBdr>
    </w:div>
    <w:div w:id="1204296020">
      <w:bodyDiv w:val="1"/>
      <w:marLeft w:val="0"/>
      <w:marRight w:val="0"/>
      <w:marTop w:val="0"/>
      <w:marBottom w:val="0"/>
      <w:divBdr>
        <w:top w:val="none" w:sz="0" w:space="0" w:color="auto"/>
        <w:left w:val="none" w:sz="0" w:space="0" w:color="auto"/>
        <w:bottom w:val="none" w:sz="0" w:space="0" w:color="auto"/>
        <w:right w:val="none" w:sz="0" w:space="0" w:color="auto"/>
      </w:divBdr>
    </w:div>
    <w:div w:id="1251355590">
      <w:bodyDiv w:val="1"/>
      <w:marLeft w:val="0"/>
      <w:marRight w:val="0"/>
      <w:marTop w:val="0"/>
      <w:marBottom w:val="0"/>
      <w:divBdr>
        <w:top w:val="none" w:sz="0" w:space="0" w:color="auto"/>
        <w:left w:val="none" w:sz="0" w:space="0" w:color="auto"/>
        <w:bottom w:val="none" w:sz="0" w:space="0" w:color="auto"/>
        <w:right w:val="none" w:sz="0" w:space="0" w:color="auto"/>
      </w:divBdr>
    </w:div>
    <w:div w:id="1405760324">
      <w:bodyDiv w:val="1"/>
      <w:marLeft w:val="0"/>
      <w:marRight w:val="0"/>
      <w:marTop w:val="0"/>
      <w:marBottom w:val="0"/>
      <w:divBdr>
        <w:top w:val="none" w:sz="0" w:space="0" w:color="auto"/>
        <w:left w:val="none" w:sz="0" w:space="0" w:color="auto"/>
        <w:bottom w:val="none" w:sz="0" w:space="0" w:color="auto"/>
        <w:right w:val="none" w:sz="0" w:space="0" w:color="auto"/>
      </w:divBdr>
    </w:div>
    <w:div w:id="1430157438">
      <w:bodyDiv w:val="1"/>
      <w:marLeft w:val="0"/>
      <w:marRight w:val="0"/>
      <w:marTop w:val="0"/>
      <w:marBottom w:val="0"/>
      <w:divBdr>
        <w:top w:val="none" w:sz="0" w:space="0" w:color="auto"/>
        <w:left w:val="none" w:sz="0" w:space="0" w:color="auto"/>
        <w:bottom w:val="none" w:sz="0" w:space="0" w:color="auto"/>
        <w:right w:val="none" w:sz="0" w:space="0" w:color="auto"/>
      </w:divBdr>
    </w:div>
    <w:div w:id="1450589647">
      <w:bodyDiv w:val="1"/>
      <w:marLeft w:val="0"/>
      <w:marRight w:val="0"/>
      <w:marTop w:val="0"/>
      <w:marBottom w:val="0"/>
      <w:divBdr>
        <w:top w:val="none" w:sz="0" w:space="0" w:color="auto"/>
        <w:left w:val="none" w:sz="0" w:space="0" w:color="auto"/>
        <w:bottom w:val="none" w:sz="0" w:space="0" w:color="auto"/>
        <w:right w:val="none" w:sz="0" w:space="0" w:color="auto"/>
      </w:divBdr>
    </w:div>
    <w:div w:id="1549687431">
      <w:bodyDiv w:val="1"/>
      <w:marLeft w:val="0"/>
      <w:marRight w:val="0"/>
      <w:marTop w:val="0"/>
      <w:marBottom w:val="0"/>
      <w:divBdr>
        <w:top w:val="none" w:sz="0" w:space="0" w:color="auto"/>
        <w:left w:val="none" w:sz="0" w:space="0" w:color="auto"/>
        <w:bottom w:val="none" w:sz="0" w:space="0" w:color="auto"/>
        <w:right w:val="none" w:sz="0" w:space="0" w:color="auto"/>
      </w:divBdr>
    </w:div>
    <w:div w:id="1636134874">
      <w:bodyDiv w:val="1"/>
      <w:marLeft w:val="0"/>
      <w:marRight w:val="0"/>
      <w:marTop w:val="0"/>
      <w:marBottom w:val="0"/>
      <w:divBdr>
        <w:top w:val="none" w:sz="0" w:space="0" w:color="auto"/>
        <w:left w:val="none" w:sz="0" w:space="0" w:color="auto"/>
        <w:bottom w:val="none" w:sz="0" w:space="0" w:color="auto"/>
        <w:right w:val="none" w:sz="0" w:space="0" w:color="auto"/>
      </w:divBdr>
    </w:div>
    <w:div w:id="1654795309">
      <w:bodyDiv w:val="1"/>
      <w:marLeft w:val="0"/>
      <w:marRight w:val="0"/>
      <w:marTop w:val="0"/>
      <w:marBottom w:val="0"/>
      <w:divBdr>
        <w:top w:val="none" w:sz="0" w:space="0" w:color="auto"/>
        <w:left w:val="none" w:sz="0" w:space="0" w:color="auto"/>
        <w:bottom w:val="none" w:sz="0" w:space="0" w:color="auto"/>
        <w:right w:val="none" w:sz="0" w:space="0" w:color="auto"/>
      </w:divBdr>
    </w:div>
    <w:div w:id="1688216066">
      <w:bodyDiv w:val="1"/>
      <w:marLeft w:val="0"/>
      <w:marRight w:val="0"/>
      <w:marTop w:val="0"/>
      <w:marBottom w:val="0"/>
      <w:divBdr>
        <w:top w:val="none" w:sz="0" w:space="0" w:color="auto"/>
        <w:left w:val="none" w:sz="0" w:space="0" w:color="auto"/>
        <w:bottom w:val="none" w:sz="0" w:space="0" w:color="auto"/>
        <w:right w:val="none" w:sz="0" w:space="0" w:color="auto"/>
      </w:divBdr>
    </w:div>
    <w:div w:id="1713579261">
      <w:bodyDiv w:val="1"/>
      <w:marLeft w:val="0"/>
      <w:marRight w:val="0"/>
      <w:marTop w:val="0"/>
      <w:marBottom w:val="0"/>
      <w:divBdr>
        <w:top w:val="none" w:sz="0" w:space="0" w:color="auto"/>
        <w:left w:val="none" w:sz="0" w:space="0" w:color="auto"/>
        <w:bottom w:val="none" w:sz="0" w:space="0" w:color="auto"/>
        <w:right w:val="none" w:sz="0" w:space="0" w:color="auto"/>
      </w:divBdr>
    </w:div>
    <w:div w:id="1716932036">
      <w:bodyDiv w:val="1"/>
      <w:marLeft w:val="0"/>
      <w:marRight w:val="0"/>
      <w:marTop w:val="0"/>
      <w:marBottom w:val="0"/>
      <w:divBdr>
        <w:top w:val="none" w:sz="0" w:space="0" w:color="auto"/>
        <w:left w:val="none" w:sz="0" w:space="0" w:color="auto"/>
        <w:bottom w:val="none" w:sz="0" w:space="0" w:color="auto"/>
        <w:right w:val="none" w:sz="0" w:space="0" w:color="auto"/>
      </w:divBdr>
    </w:div>
    <w:div w:id="1729259555">
      <w:bodyDiv w:val="1"/>
      <w:marLeft w:val="0"/>
      <w:marRight w:val="0"/>
      <w:marTop w:val="0"/>
      <w:marBottom w:val="0"/>
      <w:divBdr>
        <w:top w:val="none" w:sz="0" w:space="0" w:color="auto"/>
        <w:left w:val="none" w:sz="0" w:space="0" w:color="auto"/>
        <w:bottom w:val="none" w:sz="0" w:space="0" w:color="auto"/>
        <w:right w:val="none" w:sz="0" w:space="0" w:color="auto"/>
      </w:divBdr>
    </w:div>
    <w:div w:id="1818297521">
      <w:bodyDiv w:val="1"/>
      <w:marLeft w:val="0"/>
      <w:marRight w:val="0"/>
      <w:marTop w:val="0"/>
      <w:marBottom w:val="0"/>
      <w:divBdr>
        <w:top w:val="none" w:sz="0" w:space="0" w:color="auto"/>
        <w:left w:val="none" w:sz="0" w:space="0" w:color="auto"/>
        <w:bottom w:val="none" w:sz="0" w:space="0" w:color="auto"/>
        <w:right w:val="none" w:sz="0" w:space="0" w:color="auto"/>
      </w:divBdr>
    </w:div>
    <w:div w:id="1902867356">
      <w:bodyDiv w:val="1"/>
      <w:marLeft w:val="0"/>
      <w:marRight w:val="0"/>
      <w:marTop w:val="0"/>
      <w:marBottom w:val="0"/>
      <w:divBdr>
        <w:top w:val="none" w:sz="0" w:space="0" w:color="auto"/>
        <w:left w:val="none" w:sz="0" w:space="0" w:color="auto"/>
        <w:bottom w:val="none" w:sz="0" w:space="0" w:color="auto"/>
        <w:right w:val="none" w:sz="0" w:space="0" w:color="auto"/>
      </w:divBdr>
    </w:div>
    <w:div w:id="1958566648">
      <w:bodyDiv w:val="1"/>
      <w:marLeft w:val="0"/>
      <w:marRight w:val="0"/>
      <w:marTop w:val="0"/>
      <w:marBottom w:val="0"/>
      <w:divBdr>
        <w:top w:val="none" w:sz="0" w:space="0" w:color="auto"/>
        <w:left w:val="none" w:sz="0" w:space="0" w:color="auto"/>
        <w:bottom w:val="none" w:sz="0" w:space="0" w:color="auto"/>
        <w:right w:val="none" w:sz="0" w:space="0" w:color="auto"/>
      </w:divBdr>
    </w:div>
    <w:div w:id="1978686093">
      <w:bodyDiv w:val="1"/>
      <w:marLeft w:val="0"/>
      <w:marRight w:val="0"/>
      <w:marTop w:val="0"/>
      <w:marBottom w:val="0"/>
      <w:divBdr>
        <w:top w:val="none" w:sz="0" w:space="0" w:color="auto"/>
        <w:left w:val="none" w:sz="0" w:space="0" w:color="auto"/>
        <w:bottom w:val="none" w:sz="0" w:space="0" w:color="auto"/>
        <w:right w:val="none" w:sz="0" w:space="0" w:color="auto"/>
      </w:divBdr>
    </w:div>
    <w:div w:id="2052613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42" Type="http://schemas.openxmlformats.org/officeDocument/2006/relationships/hyperlink" Target="https://doi.org/10.1080/10937404.2020.1855285" TargetMode="External"/><Relationship Id="rId47" Type="http://schemas.openxmlformats.org/officeDocument/2006/relationships/hyperlink" Target="https://doi.org/10.1002/jcb.30364" TargetMode="External"/><Relationship Id="rId63" Type="http://schemas.openxmlformats.org/officeDocument/2006/relationships/hyperlink" Target="https://doi.org/10.1007/s11030-020-10198-5" TargetMode="External"/><Relationship Id="rId68" Type="http://schemas.openxmlformats.org/officeDocument/2006/relationships/hyperlink" Target="https://doi.org/10.1016/j.lwt.2005.07.023" TargetMode="External"/><Relationship Id="rId84" Type="http://schemas.openxmlformats.org/officeDocument/2006/relationships/footer" Target="footer2.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hyperlink" Target="https://doi.org/10.2174/1389450123666220713111245" TargetMode="External"/><Relationship Id="rId37" Type="http://schemas.openxmlformats.org/officeDocument/2006/relationships/hyperlink" Target="https://doi.org/10.2174/0929867327666200907112939" TargetMode="External"/><Relationship Id="rId53" Type="http://schemas.openxmlformats.org/officeDocument/2006/relationships/hyperlink" Target="https://doi.org/10.1016/j.fct.2020.111812" TargetMode="External"/><Relationship Id="rId58" Type="http://schemas.openxmlformats.org/officeDocument/2006/relationships/hyperlink" Target="https://doi.org/10.1093/ajcn/81.1.230S" TargetMode="External"/><Relationship Id="rId74" Type="http://schemas.openxmlformats.org/officeDocument/2006/relationships/hyperlink" Target="http://www.nature.com/articles/srep42717" TargetMode="External"/><Relationship Id="rId79" Type="http://schemas.openxmlformats.org/officeDocument/2006/relationships/hyperlink" Target="https://doi.org/10.3390/ijms23042144" TargetMode="External"/><Relationship Id="rId5" Type="http://schemas.openxmlformats.org/officeDocument/2006/relationships/footnotes" Target="footnotes.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yperlink" Target="https://doi.org/10.1016/j.biopha.2022.112489" TargetMode="External"/><Relationship Id="rId35" Type="http://schemas.openxmlformats.org/officeDocument/2006/relationships/hyperlink" Target="https://doi.org/10.1016/j.phymed.2021.153810:contentReference%5Boaicite:3%5D%7Bindex=3%7D" TargetMode="External"/><Relationship Id="rId43" Type="http://schemas.openxmlformats.org/officeDocument/2006/relationships/hyperlink" Target="https://doi.org/10.1016/j.compbiolchem.2022.107644" TargetMode="External"/><Relationship Id="rId48" Type="http://schemas.openxmlformats.org/officeDocument/2006/relationships/hyperlink" Target="https://doi.org/10.1016/j.jnutbio.2023.109188:contentReference%5Boaicite:11%5D%7Bindex=11%7D" TargetMode="External"/><Relationship Id="rId56" Type="http://schemas.openxmlformats.org/officeDocument/2006/relationships/hyperlink" Target="https://doi.org/10.2174/0929867326666190802113618" TargetMode="External"/><Relationship Id="rId64" Type="http://schemas.openxmlformats.org/officeDocument/2006/relationships/hyperlink" Target="https://doi.org/10.1093/nutrit/nuaa049" TargetMode="External"/><Relationship Id="rId69" Type="http://schemas.openxmlformats.org/officeDocument/2006/relationships/hyperlink" Target="https://doi.org/10.1021/acs.molpharmaceut.1c00653" TargetMode="External"/><Relationship Id="rId77" Type="http://schemas.openxmlformats.org/officeDocument/2006/relationships/hyperlink" Target="https://doi.org/10.1016/j.cbi.2020.109017" TargetMode="External"/><Relationship Id="rId8" Type="http://schemas.openxmlformats.org/officeDocument/2006/relationships/chart" Target="charts/chart1.xml"/><Relationship Id="rId51" Type="http://schemas.openxmlformats.org/officeDocument/2006/relationships/hyperlink" Target="https://doi.org/10.1021/acs.jmedchem.8b02002" TargetMode="External"/><Relationship Id="rId72" Type="http://schemas.openxmlformats.org/officeDocument/2006/relationships/hyperlink" Target="https://doi.org/10.1016/S0014-5793(01)02350-4" TargetMode="External"/><Relationship Id="rId80" Type="http://schemas.openxmlformats.org/officeDocument/2006/relationships/hyperlink" Target="https://doi.org/10.1016/j.molstruc.2020.127786" TargetMode="External"/><Relationship Id="rId85"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2337/dc20-S001" TargetMode="External"/><Relationship Id="rId38" Type="http://schemas.openxmlformats.org/officeDocument/2006/relationships/hyperlink" Target="https://doi.org/10.2478/v10102-012-0009-2" TargetMode="External"/><Relationship Id="rId46" Type="http://schemas.openxmlformats.org/officeDocument/2006/relationships/hyperlink" Target="https://doi.org/10.1186/1472-6882-12-204" TargetMode="External"/><Relationship Id="rId59" Type="http://schemas.openxmlformats.org/officeDocument/2006/relationships/hyperlink" Target="https://doi.org/10.1016/j.jep.2021.114125" TargetMode="External"/><Relationship Id="rId67" Type="http://schemas.openxmlformats.org/officeDocument/2006/relationships/hyperlink" Target="https://doi.org/10.1016/j.ejmech.2015.04.040" TargetMode="External"/><Relationship Id="rId20" Type="http://schemas.openxmlformats.org/officeDocument/2006/relationships/image" Target="media/image11.png"/><Relationship Id="rId41" Type="http://schemas.openxmlformats.org/officeDocument/2006/relationships/hyperlink" Target="https://doi.org/10.1021/acs.chemrestox.9b00457" TargetMode="External"/><Relationship Id="rId54" Type="http://schemas.openxmlformats.org/officeDocument/2006/relationships/hyperlink" Target="https://doi.org/10.3390/ph15020203" TargetMode="External"/><Relationship Id="rId62" Type="http://schemas.openxmlformats.org/officeDocument/2006/relationships/hyperlink" Target="https://doi.org/10.1073/pnas.1908499116" TargetMode="External"/><Relationship Id="rId70" Type="http://schemas.openxmlformats.org/officeDocument/2006/relationships/hyperlink" Target="https://doi.org/10.1016/j.ejmcr.2022.100055" TargetMode="External"/><Relationship Id="rId75" Type="http://schemas.openxmlformats.org/officeDocument/2006/relationships/hyperlink" Target="https://doi.org/10.1007/978-3-7643-8340-4_6" TargetMode="External"/><Relationship Id="rId83" Type="http://schemas.openxmlformats.org/officeDocument/2006/relationships/footer" Target="footer1.xml"/><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doi.org/10.1080/01926230701320337" TargetMode="External"/><Relationship Id="rId49" Type="http://schemas.openxmlformats.org/officeDocument/2006/relationships/hyperlink" Target="https://doi.org/10.1016/j.jmgm.2021.107956" TargetMode="External"/><Relationship Id="rId57" Type="http://schemas.openxmlformats.org/officeDocument/2006/relationships/hyperlink" Target="https://doi.org/10.3390/ph15020211" TargetMode="External"/><Relationship Id="rId10" Type="http://schemas.openxmlformats.org/officeDocument/2006/relationships/image" Target="media/image1.png"/><Relationship Id="rId31" Type="http://schemas.openxmlformats.org/officeDocument/2006/relationships/hyperlink" Target="https://doi.org/10.1016/j.comtox.2021.100160" TargetMode="External"/><Relationship Id="rId44" Type="http://schemas.openxmlformats.org/officeDocument/2006/relationships/hyperlink" Target="https://doi.org/10.3389/fphar.2023.1163405" TargetMode="External"/><Relationship Id="rId52" Type="http://schemas.openxmlformats.org/officeDocument/2006/relationships/hyperlink" Target="https://doi.org/10.1002/ptr.7678" TargetMode="External"/><Relationship Id="rId60" Type="http://schemas.openxmlformats.org/officeDocument/2006/relationships/hyperlink" Target="https://doi.org/10.3390/molecules26041205" TargetMode="External"/><Relationship Id="rId65" Type="http://schemas.openxmlformats.org/officeDocument/2006/relationships/hyperlink" Target="https://doi.org/10.1016/j.phyplu.2022.100352" TargetMode="External"/><Relationship Id="rId73" Type="http://schemas.openxmlformats.org/officeDocument/2006/relationships/hyperlink" Target="https://doi.org/10.1016/j.bcp.2021.114640" TargetMode="External"/><Relationship Id="rId78" Type="http://schemas.openxmlformats.org/officeDocument/2006/relationships/hyperlink" Target="https://doi.org/10.1016/j.etap.2021.103594" TargetMode="External"/><Relationship Id="rId81" Type="http://schemas.openxmlformats.org/officeDocument/2006/relationships/header" Target="header1.xml"/><Relationship Id="rId86"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chart" Target="charts/chart2.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016/j.etap.2020.103319" TargetMode="External"/><Relationship Id="rId34" Type="http://schemas.openxmlformats.org/officeDocument/2006/relationships/hyperlink" Target="https://doi.org/10.1016/j.phrs.2022.106362" TargetMode="External"/><Relationship Id="rId50" Type="http://schemas.openxmlformats.org/officeDocument/2006/relationships/hyperlink" Target="https://doi.org/10.1101/cshperspect.a001651" TargetMode="External"/><Relationship Id="rId55" Type="http://schemas.openxmlformats.org/officeDocument/2006/relationships/hyperlink" Target="https://doi.org/10.3390/nu15040869" TargetMode="External"/><Relationship Id="rId76" Type="http://schemas.openxmlformats.org/officeDocument/2006/relationships/hyperlink" Target="https://www.phytojournal.com/archives/2018/vol7issue1/PartE/7-1-53-926.pdf" TargetMode="External"/><Relationship Id="rId7" Type="http://schemas.openxmlformats.org/officeDocument/2006/relationships/hyperlink" Target="http://www.swissadme.ch/index.php" TargetMode="External"/><Relationship Id="rId71" Type="http://schemas.openxmlformats.org/officeDocument/2006/relationships/hyperlink" Target="https://doi.org/10.1042/0264-6021:3600001" TargetMode="External"/><Relationship Id="rId2" Type="http://schemas.openxmlformats.org/officeDocument/2006/relationships/styles" Target="styles.xml"/><Relationship Id="rId29" Type="http://schemas.openxmlformats.org/officeDocument/2006/relationships/hyperlink" Target="https://doi.org/10.1016/j.etap.2015.01.022" TargetMode="External"/><Relationship Id="rId24" Type="http://schemas.openxmlformats.org/officeDocument/2006/relationships/image" Target="media/image15.png"/><Relationship Id="rId40" Type="http://schemas.openxmlformats.org/officeDocument/2006/relationships/hyperlink" Target="https://doi.org/10.1016/j.freeradbiomed.2023.12.004" TargetMode="External"/><Relationship Id="rId45" Type="http://schemas.openxmlformats.org/officeDocument/2006/relationships/hyperlink" Target="https://doi.org/10.1016/j.cbi.2021.109577" TargetMode="External"/><Relationship Id="rId66" Type="http://schemas.openxmlformats.org/officeDocument/2006/relationships/hyperlink" Target="https://doi.org/10.1039/C7TX00141B" TargetMode="External"/><Relationship Id="rId87" Type="http://schemas.openxmlformats.org/officeDocument/2006/relationships/fontTable" Target="fontTable.xml"/><Relationship Id="rId61" Type="http://schemas.openxmlformats.org/officeDocument/2006/relationships/hyperlink" Target="https://doi.org/10.1016/j.biopha.2023.114587" TargetMode="External"/><Relationship Id="rId82"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initial Body weights</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200</c:v>
                </c:pt>
                <c:pt idx="1">
                  <c:v>201</c:v>
                </c:pt>
                <c:pt idx="2">
                  <c:v>186</c:v>
                </c:pt>
                <c:pt idx="3">
                  <c:v>174</c:v>
                </c:pt>
                <c:pt idx="4">
                  <c:v>209</c:v>
                </c:pt>
              </c:numCache>
            </c:numRef>
          </c:val>
          <c:extLst>
            <c:ext xmlns:c16="http://schemas.microsoft.com/office/drawing/2014/chart" uri="{C3380CC4-5D6E-409C-BE32-E72D297353CC}">
              <c16:uniqueId val="{00000000-98DA-4901-B2C6-65D26C46CA78}"/>
            </c:ext>
          </c:extLst>
        </c:ser>
        <c:ser>
          <c:idx val="1"/>
          <c:order val="1"/>
          <c:tx>
            <c:strRef>
              <c:f>Sheet1!$C$1</c:f>
              <c:strCache>
                <c:ptCount val="1"/>
                <c:pt idx="0">
                  <c:v>Final Body weights</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pt idx="0">
                  <c:v>244</c:v>
                </c:pt>
                <c:pt idx="1">
                  <c:v>113</c:v>
                </c:pt>
                <c:pt idx="2">
                  <c:v>206</c:v>
                </c:pt>
                <c:pt idx="3">
                  <c:v>190</c:v>
                </c:pt>
                <c:pt idx="4">
                  <c:v>245</c:v>
                </c:pt>
              </c:numCache>
            </c:numRef>
          </c:val>
          <c:extLst>
            <c:ext xmlns:c16="http://schemas.microsoft.com/office/drawing/2014/chart" uri="{C3380CC4-5D6E-409C-BE32-E72D297353CC}">
              <c16:uniqueId val="{00000001-98DA-4901-B2C6-65D26C46CA78}"/>
            </c:ext>
          </c:extLst>
        </c:ser>
        <c:ser>
          <c:idx val="2"/>
          <c:order val="2"/>
          <c:tx>
            <c:strRef>
              <c:f>Sheet1!$D$1</c:f>
              <c:strCache>
                <c:ptCount val="1"/>
                <c:pt idx="0">
                  <c:v>Column1</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98DA-4901-B2C6-65D26C46CA78}"/>
            </c:ext>
          </c:extLst>
        </c:ser>
        <c:dLbls>
          <c:showLegendKey val="0"/>
          <c:showVal val="0"/>
          <c:showCatName val="0"/>
          <c:showSerName val="0"/>
          <c:showPercent val="0"/>
          <c:showBubbleSize val="0"/>
        </c:dLbls>
        <c:gapWidth val="219"/>
        <c:overlap val="-27"/>
        <c:axId val="354614512"/>
        <c:axId val="354612160"/>
      </c:barChart>
      <c:catAx>
        <c:axId val="3546145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1"/>
                  <a:t>EXPERIMENTAL</a:t>
                </a:r>
                <a:r>
                  <a:rPr lang="en-US" b="1" baseline="0"/>
                  <a:t> GROUPS</a:t>
                </a:r>
                <a:endParaRPr lang="en-US" b="1"/>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612160"/>
        <c:crosses val="autoZero"/>
        <c:auto val="1"/>
        <c:lblAlgn val="ctr"/>
        <c:lblOffset val="100"/>
        <c:noMultiLvlLbl val="0"/>
      </c:catAx>
      <c:valAx>
        <c:axId val="35461216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WEIGHTS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614512"/>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Sheet1!$B$1</c:f>
              <c:strCache>
                <c:ptCount val="1"/>
                <c:pt idx="0">
                  <c:v>INSULIN</c:v>
                </c:pt>
              </c:strCache>
            </c:strRef>
          </c:tx>
          <c:spPr>
            <a:solidFill>
              <a:schemeClr val="accent1"/>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Sheet1!$B$2:$B$6</c:f>
              <c:numCache>
                <c:formatCode>General</c:formatCode>
                <c:ptCount val="5"/>
                <c:pt idx="0">
                  <c:v>16.48</c:v>
                </c:pt>
                <c:pt idx="1">
                  <c:v>9.0399999999999991</c:v>
                </c:pt>
                <c:pt idx="2">
                  <c:v>10.33</c:v>
                </c:pt>
                <c:pt idx="3">
                  <c:v>12.76</c:v>
                </c:pt>
                <c:pt idx="4">
                  <c:v>14.07</c:v>
                </c:pt>
              </c:numCache>
            </c:numRef>
          </c:val>
          <c:extLst>
            <c:ext xmlns:c16="http://schemas.microsoft.com/office/drawing/2014/chart" uri="{C3380CC4-5D6E-409C-BE32-E72D297353CC}">
              <c16:uniqueId val="{00000000-3CA7-46D2-B32F-705DC3361BBB}"/>
            </c:ext>
          </c:extLst>
        </c:ser>
        <c:ser>
          <c:idx val="1"/>
          <c:order val="1"/>
          <c:tx>
            <c:strRef>
              <c:f>Sheet1!$C$1</c:f>
              <c:strCache>
                <c:ptCount val="1"/>
                <c:pt idx="0">
                  <c:v>Column1</c:v>
                </c:pt>
              </c:strCache>
            </c:strRef>
          </c:tx>
          <c:spPr>
            <a:solidFill>
              <a:schemeClr val="accent2"/>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Sheet1!$C$2:$C$6</c:f>
              <c:numCache>
                <c:formatCode>General</c:formatCode>
                <c:ptCount val="5"/>
              </c:numCache>
            </c:numRef>
          </c:val>
          <c:extLst>
            <c:ext xmlns:c16="http://schemas.microsoft.com/office/drawing/2014/chart" uri="{C3380CC4-5D6E-409C-BE32-E72D297353CC}">
              <c16:uniqueId val="{00000001-3CA7-46D2-B32F-705DC3361BBB}"/>
            </c:ext>
          </c:extLst>
        </c:ser>
        <c:ser>
          <c:idx val="2"/>
          <c:order val="2"/>
          <c:tx>
            <c:strRef>
              <c:f>Sheet1!$D$1</c:f>
              <c:strCache>
                <c:ptCount val="1"/>
                <c:pt idx="0">
                  <c:v>Column2</c:v>
                </c:pt>
              </c:strCache>
            </c:strRef>
          </c:tx>
          <c:spPr>
            <a:solidFill>
              <a:schemeClr val="accent3"/>
            </a:solidFill>
            <a:ln>
              <a:no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Sheet1!$A$2:$A$6</c:f>
              <c:strCache>
                <c:ptCount val="5"/>
                <c:pt idx="0">
                  <c:v>Group A</c:v>
                </c:pt>
                <c:pt idx="1">
                  <c:v>Group B</c:v>
                </c:pt>
                <c:pt idx="2">
                  <c:v>Group C</c:v>
                </c:pt>
                <c:pt idx="3">
                  <c:v>Group D</c:v>
                </c:pt>
                <c:pt idx="4">
                  <c:v>Group E</c:v>
                </c:pt>
              </c:strCache>
            </c:strRef>
          </c:cat>
          <c:val>
            <c:numRef>
              <c:f>Sheet1!$D$2:$D$6</c:f>
              <c:numCache>
                <c:formatCode>General</c:formatCode>
                <c:ptCount val="5"/>
              </c:numCache>
            </c:numRef>
          </c:val>
          <c:extLst>
            <c:ext xmlns:c16="http://schemas.microsoft.com/office/drawing/2014/chart" uri="{C3380CC4-5D6E-409C-BE32-E72D297353CC}">
              <c16:uniqueId val="{00000002-3CA7-46D2-B32F-705DC3361BBB}"/>
            </c:ext>
          </c:extLst>
        </c:ser>
        <c:dLbls>
          <c:showLegendKey val="0"/>
          <c:showVal val="0"/>
          <c:showCatName val="0"/>
          <c:showSerName val="0"/>
          <c:showPercent val="0"/>
          <c:showBubbleSize val="0"/>
        </c:dLbls>
        <c:gapWidth val="219"/>
        <c:overlap val="-27"/>
        <c:axId val="354612944"/>
        <c:axId val="354612552"/>
      </c:barChart>
      <c:catAx>
        <c:axId val="354612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EXPERIMENTAL</a:t>
                </a:r>
                <a:r>
                  <a:rPr lang="en-US" baseline="0"/>
                  <a:t> GROUPS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612552"/>
        <c:crosses val="autoZero"/>
        <c:auto val="1"/>
        <c:lblAlgn val="ctr"/>
        <c:lblOffset val="100"/>
        <c:noMultiLvlLbl val="0"/>
      </c:catAx>
      <c:valAx>
        <c:axId val="35461255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LEVELS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461294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4066</TotalTime>
  <Pages>37</Pages>
  <Words>10406</Words>
  <Characters>59320</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1166</cp:lastModifiedBy>
  <cp:revision>159</cp:revision>
  <dcterms:created xsi:type="dcterms:W3CDTF">2025-05-20T13:45:00Z</dcterms:created>
  <dcterms:modified xsi:type="dcterms:W3CDTF">2026-04-04T11:17:00Z</dcterms:modified>
</cp:coreProperties>
</file>