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A0137" w14:textId="77777777" w:rsidR="0069621A" w:rsidRPr="0069621A" w:rsidRDefault="0069621A" w:rsidP="0069621A">
      <w:pPr>
        <w:pStyle w:val="Title"/>
        <w:jc w:val="both"/>
        <w:rPr>
          <w:rFonts w:ascii="Arial" w:hAnsi="Arial" w:cs="Arial"/>
          <w:bCs/>
          <w:i/>
          <w:iCs/>
          <w:u w:val="single"/>
        </w:rPr>
      </w:pPr>
      <w:r w:rsidRPr="0069621A">
        <w:rPr>
          <w:rFonts w:ascii="Arial" w:hAnsi="Arial" w:cs="Arial"/>
          <w:bCs/>
          <w:i/>
          <w:iCs/>
          <w:u w:val="single"/>
        </w:rPr>
        <w:t>Systematic Review</w:t>
      </w:r>
    </w:p>
    <w:p w14:paraId="384F8BA7" w14:textId="77777777" w:rsidR="009511AC" w:rsidRPr="005E5B9F" w:rsidRDefault="009511AC" w:rsidP="00441B6F">
      <w:pPr>
        <w:pStyle w:val="Title"/>
        <w:spacing w:after="0"/>
        <w:jc w:val="both"/>
        <w:rPr>
          <w:rFonts w:ascii="Arial" w:hAnsi="Arial" w:cs="Arial"/>
        </w:rPr>
      </w:pPr>
    </w:p>
    <w:p w14:paraId="12B8F2AE" w14:textId="77777777" w:rsidR="00F97978" w:rsidRPr="005E5B9F" w:rsidRDefault="00F97978" w:rsidP="00F97978">
      <w:pPr>
        <w:spacing w:after="200" w:line="276" w:lineRule="auto"/>
        <w:rPr>
          <w:rFonts w:ascii="Times New Roman" w:eastAsiaTheme="minorHAnsi" w:hAnsiTheme="minorHAnsi" w:cstheme="minorBidi"/>
          <w:b/>
          <w:bCs/>
          <w:noProof/>
          <w:sz w:val="36"/>
          <w:szCs w:val="36"/>
        </w:rPr>
      </w:pPr>
      <w:r w:rsidRPr="005E5B9F">
        <w:rPr>
          <w:rFonts w:ascii="Times New Roman" w:eastAsiaTheme="minorHAnsi" w:hAnsiTheme="minorHAnsi" w:cstheme="minorBidi"/>
          <w:b/>
          <w:bCs/>
          <w:noProof/>
          <w:sz w:val="36"/>
          <w:szCs w:val="36"/>
        </w:rPr>
        <w:t xml:space="preserve">Midodrine Therapy in Cirrhosis with Refractory Ascites: Impact on Survival and Paracentesis Frequency Compared with Large-Volume Paracentesis </w:t>
      </w:r>
    </w:p>
    <w:p w14:paraId="6E38F17A" w14:textId="3A882A05" w:rsidR="008F130C" w:rsidRPr="005E5B9F" w:rsidRDefault="008F130C" w:rsidP="008F130C">
      <w:pPr>
        <w:pStyle w:val="Author"/>
        <w:jc w:val="both"/>
        <w:rPr>
          <w:rFonts w:ascii="Arial" w:hAnsi="Arial" w:cs="Arial"/>
          <w:bCs/>
          <w:iCs/>
          <w:kern w:val="28"/>
          <w:sz w:val="36"/>
        </w:rPr>
      </w:pPr>
      <w:r w:rsidRPr="005E5B9F">
        <w:rPr>
          <w:rFonts w:ascii="Arial" w:hAnsi="Arial" w:cs="Arial"/>
          <w:bCs/>
          <w:iCs/>
          <w:kern w:val="28"/>
          <w:sz w:val="36"/>
        </w:rPr>
        <w:br/>
      </w:r>
    </w:p>
    <w:p w14:paraId="1528509B" w14:textId="77777777" w:rsidR="00A258C3" w:rsidRPr="005E5B9F" w:rsidRDefault="00A258C3" w:rsidP="00441B6F">
      <w:pPr>
        <w:pStyle w:val="Author"/>
        <w:spacing w:line="240" w:lineRule="auto"/>
        <w:jc w:val="both"/>
        <w:rPr>
          <w:rFonts w:ascii="Arial" w:hAnsi="Arial" w:cs="Arial"/>
          <w:sz w:val="36"/>
        </w:rPr>
      </w:pPr>
    </w:p>
    <w:p w14:paraId="485DFECE" w14:textId="77777777" w:rsidR="005E5B9F" w:rsidRPr="005E5B9F" w:rsidRDefault="005E5B9F" w:rsidP="005E5B9F">
      <w:pPr>
        <w:pStyle w:val="Affiliation"/>
        <w:jc w:val="both"/>
        <w:rPr>
          <w:rFonts w:ascii="Arial" w:hAnsi="Arial" w:cs="Arial"/>
        </w:rPr>
      </w:pPr>
    </w:p>
    <w:p w14:paraId="359FC28C" w14:textId="77777777" w:rsidR="002C57D2" w:rsidRPr="005E5B9F" w:rsidRDefault="002C57D2" w:rsidP="00441B6F">
      <w:pPr>
        <w:pStyle w:val="Affiliation"/>
        <w:spacing w:after="0" w:line="240" w:lineRule="auto"/>
        <w:jc w:val="both"/>
        <w:rPr>
          <w:rFonts w:ascii="Arial" w:hAnsi="Arial" w:cs="Arial"/>
        </w:rPr>
      </w:pPr>
    </w:p>
    <w:p w14:paraId="4CF74721" w14:textId="77777777" w:rsidR="00B01FCD" w:rsidRPr="005E5B9F" w:rsidRDefault="00182A7A" w:rsidP="00441B6F">
      <w:pPr>
        <w:pStyle w:val="Copyright"/>
        <w:spacing w:after="0" w:line="240" w:lineRule="auto"/>
        <w:jc w:val="both"/>
        <w:rPr>
          <w:rFonts w:ascii="Arial" w:hAnsi="Arial" w:cs="Arial"/>
        </w:rPr>
        <w:sectPr w:rsidR="00B01FCD" w:rsidRPr="005E5B9F" w:rsidSect="005E5B9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6B7B0A5">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5E5B9F">
        <w:rPr>
          <w:rFonts w:ascii="Arial" w:hAnsi="Arial" w:cs="Arial"/>
        </w:rPr>
        <w:t>.</w:t>
      </w:r>
    </w:p>
    <w:p w14:paraId="4570A7C3" w14:textId="12DD718F" w:rsidR="00B01FCD" w:rsidRPr="005E5B9F" w:rsidRDefault="00B01FCD" w:rsidP="00441B6F">
      <w:pPr>
        <w:pStyle w:val="AbstHead"/>
        <w:spacing w:after="0"/>
        <w:jc w:val="both"/>
        <w:rPr>
          <w:rFonts w:ascii="Arial" w:hAnsi="Arial" w:cs="Arial"/>
        </w:rPr>
      </w:pPr>
      <w:r w:rsidRPr="005E5B9F">
        <w:rPr>
          <w:rFonts w:ascii="Arial" w:hAnsi="Arial" w:cs="Arial"/>
        </w:rPr>
        <w:t>ABSTRACT</w:t>
      </w:r>
    </w:p>
    <w:p w14:paraId="0DE0B777" w14:textId="77777777" w:rsidR="00790ADA" w:rsidRPr="005E5B9F"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5E5B9F" w14:paraId="605DF25B" w14:textId="77777777" w:rsidTr="001E44FE">
        <w:tc>
          <w:tcPr>
            <w:tcW w:w="9576" w:type="dxa"/>
            <w:shd w:val="clear" w:color="auto" w:fill="F2F2F2"/>
          </w:tcPr>
          <w:p w14:paraId="231BD553" w14:textId="77777777" w:rsidR="008F130C" w:rsidRPr="005E5B9F" w:rsidRDefault="008F130C" w:rsidP="008F130C">
            <w:pPr>
              <w:pStyle w:val="Body"/>
              <w:spacing w:after="0"/>
              <w:rPr>
                <w:rFonts w:ascii="Arial" w:eastAsia="Calibri" w:hAnsi="Arial" w:cs="Arial"/>
                <w:szCs w:val="22"/>
              </w:rPr>
            </w:pPr>
            <w:r w:rsidRPr="005E5B9F">
              <w:rPr>
                <w:rFonts w:ascii="Arial" w:eastAsia="Calibri" w:hAnsi="Arial" w:cs="Arial"/>
                <w:b/>
                <w:bCs/>
                <w:szCs w:val="22"/>
              </w:rPr>
              <w:t>Background:</w:t>
            </w:r>
            <w:r w:rsidRPr="005E5B9F">
              <w:rPr>
                <w:rFonts w:ascii="Arial" w:eastAsia="Calibri" w:hAnsi="Arial" w:cs="Arial"/>
                <w:szCs w:val="22"/>
              </w:rPr>
              <w:t> Refractory ascites is a major complication of cirrhosis with a 1-year survival rate of less than 50%. Large-volume paracentesis (LVP) is the standard treatment but does not improve survival and carries risks of circulatory dysfunction. Midodrine, an oral alpha-adrenergic agonist, with or without octreotide, has been studied as a potential alternative or adjunct therapy.</w:t>
            </w:r>
            <w:r w:rsidRPr="005E5B9F">
              <w:rPr>
                <w:rFonts w:ascii="Arial" w:eastAsia="Calibri" w:hAnsi="Arial" w:cs="Arial"/>
                <w:szCs w:val="22"/>
              </w:rPr>
              <w:br/>
            </w:r>
          </w:p>
          <w:p w14:paraId="7DD397E2" w14:textId="77777777" w:rsidR="008F130C" w:rsidRPr="005E5B9F" w:rsidRDefault="008F130C" w:rsidP="008F130C">
            <w:pPr>
              <w:pStyle w:val="Body"/>
              <w:spacing w:after="0"/>
              <w:rPr>
                <w:rFonts w:ascii="Arial" w:eastAsia="Calibri" w:hAnsi="Arial" w:cs="Arial"/>
                <w:szCs w:val="22"/>
              </w:rPr>
            </w:pPr>
            <w:r w:rsidRPr="005E5B9F">
              <w:rPr>
                <w:rFonts w:ascii="Arial" w:eastAsia="Calibri" w:hAnsi="Arial" w:cs="Arial"/>
                <w:b/>
                <w:bCs/>
                <w:szCs w:val="22"/>
              </w:rPr>
              <w:t>Methods:</w:t>
            </w:r>
            <w:r w:rsidRPr="005E5B9F">
              <w:rPr>
                <w:rFonts w:ascii="Arial" w:eastAsia="Calibri" w:hAnsi="Arial" w:cs="Arial"/>
                <w:szCs w:val="22"/>
              </w:rPr>
              <w:t> A systematic review was conducted using Ovid Medline, CINAHL, and Scopus. After screening, eight studies met inclusion criteria that evaluated midodrine, alone or in combination, in patients with cirrhosis and refractory ascites.</w:t>
            </w:r>
            <w:r w:rsidRPr="005E5B9F">
              <w:rPr>
                <w:rFonts w:ascii="Arial" w:eastAsia="Calibri" w:hAnsi="Arial" w:cs="Arial"/>
                <w:szCs w:val="22"/>
              </w:rPr>
              <w:br/>
            </w:r>
          </w:p>
          <w:p w14:paraId="3976A4ED" w14:textId="77777777" w:rsidR="008F130C" w:rsidRPr="005E5B9F" w:rsidRDefault="008F130C" w:rsidP="008F130C">
            <w:pPr>
              <w:pStyle w:val="Body"/>
              <w:spacing w:after="0"/>
              <w:rPr>
                <w:rFonts w:ascii="Arial" w:eastAsia="Calibri" w:hAnsi="Arial" w:cs="Arial"/>
                <w:szCs w:val="22"/>
              </w:rPr>
            </w:pPr>
            <w:r w:rsidRPr="005E5B9F">
              <w:rPr>
                <w:rFonts w:ascii="Arial" w:eastAsia="Calibri" w:hAnsi="Arial" w:cs="Arial"/>
                <w:b/>
                <w:bCs/>
                <w:szCs w:val="22"/>
              </w:rPr>
              <w:t>Results:</w:t>
            </w:r>
            <w:r w:rsidRPr="005E5B9F">
              <w:rPr>
                <w:rFonts w:ascii="Arial" w:eastAsia="Calibri" w:hAnsi="Arial" w:cs="Arial"/>
                <w:szCs w:val="22"/>
              </w:rPr>
              <w:t> Midodrine consistently improved systemic hemodynamics and renal function. Evidence for its role in reducing paracentesis-induced circulatory dysfunction and decreasing paracentesis frequency was mixed. Combination therapy with propranolol reduced first variceal bleeding and improved ascites control, while midodrine with octreotide was not superior to albumin. A pediatric study suggested renal protection but no improvement in ascites outcomes.</w:t>
            </w:r>
            <w:r w:rsidRPr="005E5B9F">
              <w:rPr>
                <w:rFonts w:ascii="Arial" w:eastAsia="Calibri" w:hAnsi="Arial" w:cs="Arial"/>
                <w:szCs w:val="22"/>
              </w:rPr>
              <w:br/>
            </w:r>
          </w:p>
          <w:p w14:paraId="73C4CF9F" w14:textId="17A1DA43" w:rsidR="00505F06" w:rsidRPr="005E5B9F" w:rsidRDefault="008F130C" w:rsidP="008F130C">
            <w:pPr>
              <w:pStyle w:val="Body"/>
              <w:spacing w:after="0"/>
              <w:rPr>
                <w:rFonts w:ascii="Arial" w:eastAsia="Calibri" w:hAnsi="Arial" w:cs="Arial"/>
                <w:szCs w:val="22"/>
              </w:rPr>
            </w:pPr>
            <w:r w:rsidRPr="005E5B9F">
              <w:rPr>
                <w:rFonts w:ascii="Arial" w:eastAsia="Calibri" w:hAnsi="Arial" w:cs="Arial"/>
                <w:b/>
                <w:bCs/>
                <w:szCs w:val="22"/>
              </w:rPr>
              <w:t>Discussion:</w:t>
            </w:r>
            <w:r w:rsidRPr="005E5B9F">
              <w:rPr>
                <w:rFonts w:ascii="Arial" w:eastAsia="Calibri" w:hAnsi="Arial" w:cs="Arial"/>
                <w:szCs w:val="22"/>
              </w:rPr>
              <w:t> Midodrine appears to provide circulatory and renal benefits and may be useful as an adjunct therapy. However, current evidence does not support its use as a replacement for albumin or as a treatment that reliably improves survival or reduces paracentesis frequency.</w:t>
            </w:r>
          </w:p>
        </w:tc>
      </w:tr>
    </w:tbl>
    <w:p w14:paraId="0F2786F8" w14:textId="77777777" w:rsidR="00636EB2" w:rsidRPr="005E5B9F" w:rsidRDefault="00636EB2" w:rsidP="00441B6F">
      <w:pPr>
        <w:pStyle w:val="Body"/>
        <w:spacing w:after="0"/>
        <w:rPr>
          <w:rFonts w:ascii="Arial" w:hAnsi="Arial" w:cs="Arial"/>
          <w:i/>
        </w:rPr>
      </w:pPr>
    </w:p>
    <w:p w14:paraId="740F2EA9" w14:textId="66F8DA64" w:rsidR="00790ADA" w:rsidRPr="005E5B9F" w:rsidRDefault="008F130C" w:rsidP="008F130C">
      <w:pPr>
        <w:pStyle w:val="Body"/>
        <w:spacing w:after="0"/>
        <w:rPr>
          <w:rFonts w:ascii="Arial" w:hAnsi="Arial" w:cs="Arial"/>
          <w:i/>
        </w:rPr>
      </w:pPr>
      <w:r w:rsidRPr="005E5B9F">
        <w:rPr>
          <w:rFonts w:ascii="Arial" w:hAnsi="Arial" w:cs="Arial"/>
          <w:b/>
          <w:bCs/>
          <w:i/>
        </w:rPr>
        <w:t>Keywords:</w:t>
      </w:r>
      <w:r w:rsidRPr="005E5B9F">
        <w:rPr>
          <w:rFonts w:ascii="Arial" w:hAnsi="Arial" w:cs="Arial"/>
          <w:i/>
        </w:rPr>
        <w:t> Cirrhosis, Refractory Ascites, Midodrine, Octreotide, Paracentesis</w:t>
      </w:r>
    </w:p>
    <w:p w14:paraId="2008F0E9" w14:textId="77777777" w:rsidR="0024282C" w:rsidRPr="005E5B9F" w:rsidRDefault="0024282C" w:rsidP="00441B6F">
      <w:pPr>
        <w:pStyle w:val="Body"/>
        <w:spacing w:after="0"/>
        <w:rPr>
          <w:rFonts w:ascii="Arial" w:hAnsi="Arial" w:cs="Arial"/>
          <w:i/>
          <w:sz w:val="18"/>
        </w:rPr>
      </w:pPr>
    </w:p>
    <w:p w14:paraId="120EDAF0" w14:textId="77777777" w:rsidR="00505F06" w:rsidRPr="005E5B9F" w:rsidRDefault="00505F06" w:rsidP="00441B6F">
      <w:pPr>
        <w:pStyle w:val="Body"/>
        <w:spacing w:after="0"/>
        <w:rPr>
          <w:rFonts w:ascii="Arial" w:hAnsi="Arial" w:cs="Arial"/>
          <w:i/>
        </w:rPr>
      </w:pPr>
    </w:p>
    <w:p w14:paraId="5EF1D6D1" w14:textId="21A23AB2" w:rsidR="007F7B32" w:rsidRPr="005E5B9F" w:rsidRDefault="00902823" w:rsidP="00441B6F">
      <w:pPr>
        <w:pStyle w:val="AbstHead"/>
        <w:spacing w:after="0"/>
        <w:jc w:val="both"/>
        <w:rPr>
          <w:rFonts w:ascii="Arial" w:hAnsi="Arial" w:cs="Arial"/>
        </w:rPr>
      </w:pPr>
      <w:r w:rsidRPr="005E5B9F">
        <w:rPr>
          <w:rFonts w:ascii="Arial" w:hAnsi="Arial" w:cs="Arial"/>
        </w:rPr>
        <w:t xml:space="preserve">1. </w:t>
      </w:r>
      <w:r w:rsidR="00B01FCD" w:rsidRPr="005E5B9F">
        <w:rPr>
          <w:rFonts w:ascii="Arial" w:hAnsi="Arial" w:cs="Arial"/>
        </w:rPr>
        <w:t>INTRODUCTION</w:t>
      </w:r>
      <w:r w:rsidR="007F7B32" w:rsidRPr="005E5B9F">
        <w:rPr>
          <w:rFonts w:ascii="Arial" w:hAnsi="Arial" w:cs="Arial"/>
        </w:rPr>
        <w:t xml:space="preserve"> </w:t>
      </w:r>
    </w:p>
    <w:p w14:paraId="7ECB0183" w14:textId="77777777" w:rsidR="00790ADA" w:rsidRPr="005E5B9F" w:rsidRDefault="00790ADA" w:rsidP="00441B6F">
      <w:pPr>
        <w:pStyle w:val="AbstHead"/>
        <w:spacing w:after="0"/>
        <w:jc w:val="both"/>
        <w:rPr>
          <w:rFonts w:ascii="Arial" w:hAnsi="Arial" w:cs="Arial"/>
        </w:rPr>
      </w:pPr>
    </w:p>
    <w:p w14:paraId="499BE5C7" w14:textId="77777777" w:rsidR="008F130C" w:rsidRPr="005E5B9F" w:rsidRDefault="008F130C" w:rsidP="008F130C">
      <w:pPr>
        <w:pStyle w:val="Body"/>
        <w:spacing w:after="0"/>
        <w:rPr>
          <w:rFonts w:ascii="Arial" w:hAnsi="Arial" w:cs="Arial"/>
        </w:rPr>
      </w:pPr>
      <w:r w:rsidRPr="005E5B9F">
        <w:rPr>
          <w:rFonts w:ascii="Arial" w:hAnsi="Arial" w:cs="Arial"/>
        </w:rPr>
        <w:t xml:space="preserve">Cirrhosis, a chronic condition caused by the scarring and fibrosis of the liver, is a major cause of death worldwide and the leading cause of ascites in patients. The increased prevalence of obesity and alcohol consumption has also increased the prevalence of non-alcoholic fatty liver disease and alcohol associated cirrhosis, and the number of deaths from cirrhosis is expected to rise in the coming decade [1]. Ascites is a common complication of cirrhosis and involves the accumulation of </w:t>
      </w:r>
      <w:r w:rsidRPr="005E5B9F">
        <w:rPr>
          <w:rFonts w:ascii="Arial" w:hAnsi="Arial" w:cs="Arial"/>
        </w:rPr>
        <w:lastRenderedPageBreak/>
        <w:t>fluid within the peritoneal cavity. Ascites is an indication of poor prognosis and marks the transition to decompensated cirrhosis. It directly contributes to increased mortality through complications such as spontaneous bacterial peritonitis and hepatorenal syndrome [2]. Patients who develop refractory ascites have a 1-year survival rate of less than 50%, carrying an even poorer prognosis [3].</w:t>
      </w:r>
    </w:p>
    <w:p w14:paraId="48A972D1" w14:textId="77777777" w:rsidR="008F130C" w:rsidRPr="005E5B9F" w:rsidRDefault="008F130C" w:rsidP="008F130C">
      <w:pPr>
        <w:pStyle w:val="Body"/>
        <w:spacing w:after="0"/>
        <w:rPr>
          <w:rFonts w:ascii="Arial" w:hAnsi="Arial" w:cs="Arial"/>
        </w:rPr>
      </w:pPr>
    </w:p>
    <w:p w14:paraId="7CCADCC1" w14:textId="77777777" w:rsidR="008F130C" w:rsidRPr="005E5B9F" w:rsidRDefault="008F130C" w:rsidP="008F130C">
      <w:pPr>
        <w:pStyle w:val="Body"/>
        <w:spacing w:after="0"/>
        <w:rPr>
          <w:rFonts w:ascii="Arial" w:hAnsi="Arial" w:cs="Arial"/>
        </w:rPr>
      </w:pPr>
      <w:r w:rsidRPr="005E5B9F">
        <w:rPr>
          <w:rFonts w:ascii="Arial" w:hAnsi="Arial" w:cs="Arial"/>
        </w:rPr>
        <w:t xml:space="preserve">The current standard of care for refractory ascites is repeated large-volume paracentesis, often in conjunction with albumin infusion [4]. While effective for fluid removal, this approach does not improve long-term survival and carries risks such as infection, circulatory dysfunction, and renal impairment. Alternative strategies such as </w:t>
      </w:r>
      <w:proofErr w:type="spellStart"/>
      <w:r w:rsidRPr="005E5B9F">
        <w:rPr>
          <w:rFonts w:ascii="Arial" w:hAnsi="Arial" w:cs="Arial"/>
        </w:rPr>
        <w:t>transjugular</w:t>
      </w:r>
      <w:proofErr w:type="spellEnd"/>
      <w:r w:rsidRPr="005E5B9F">
        <w:rPr>
          <w:rFonts w:ascii="Arial" w:hAnsi="Arial" w:cs="Arial"/>
        </w:rPr>
        <w:t xml:space="preserve"> intrahepatic portosystemic shunt (TIPS) may improve outcomes in select patients but are often limited by contraindications including advanced liver dysfunction or hepatic encephalopathy. Pharmacologic therapies such as midodrine, an alpha-adrenergic agonist that increases vascular tone and renal perfusion, have been proposed as a less invasive strategy to improve survival and reduce paracentesis requirements. When used in combination with octreotide, a somatostatin analog that reduces splanchnic vasodilation, midodrine may offer additional benefits in the management of refractory ascites.</w:t>
      </w:r>
    </w:p>
    <w:p w14:paraId="1C90EB73" w14:textId="77777777" w:rsidR="008F130C" w:rsidRPr="005E5B9F" w:rsidRDefault="008F130C" w:rsidP="008F130C">
      <w:pPr>
        <w:pStyle w:val="Body"/>
        <w:spacing w:after="0"/>
        <w:rPr>
          <w:rFonts w:ascii="Arial" w:hAnsi="Arial" w:cs="Arial"/>
        </w:rPr>
      </w:pPr>
    </w:p>
    <w:p w14:paraId="0D83D3AC" w14:textId="77777777" w:rsidR="008F130C" w:rsidRPr="005E5B9F" w:rsidRDefault="008F130C" w:rsidP="008F130C">
      <w:pPr>
        <w:pStyle w:val="Body"/>
        <w:spacing w:after="0"/>
        <w:rPr>
          <w:rFonts w:ascii="Arial" w:hAnsi="Arial" w:cs="Arial"/>
        </w:rPr>
      </w:pPr>
      <w:r w:rsidRPr="005E5B9F">
        <w:rPr>
          <w:rFonts w:ascii="Arial" w:hAnsi="Arial" w:cs="Arial"/>
        </w:rPr>
        <w:t>Given the significant morbidity and mortality associated with refractory ascites, as well as the limitations of current treatment strategies, further investigation into the role of midodrine, alone or in combination with octreotide, is warranted. This review examines the available evidence to determine whether midodrine therapy improves survival and decreases the frequency of large-volume paracentesis in patients with cirrhosis and refractory ascites.</w:t>
      </w:r>
    </w:p>
    <w:p w14:paraId="65FC1D93" w14:textId="77777777" w:rsidR="00790ADA" w:rsidRPr="005E5B9F" w:rsidRDefault="00790ADA" w:rsidP="00441B6F">
      <w:pPr>
        <w:pStyle w:val="Body"/>
        <w:spacing w:after="0"/>
        <w:rPr>
          <w:rFonts w:ascii="Arial" w:hAnsi="Arial" w:cs="Arial"/>
        </w:rPr>
      </w:pPr>
    </w:p>
    <w:p w14:paraId="7DB9E4B7" w14:textId="725FB4E2" w:rsidR="00790ADA" w:rsidRPr="005E5B9F" w:rsidRDefault="00902823" w:rsidP="00441B6F">
      <w:pPr>
        <w:pStyle w:val="AbstHead"/>
        <w:spacing w:after="0"/>
        <w:jc w:val="both"/>
        <w:rPr>
          <w:rFonts w:ascii="Arial" w:hAnsi="Arial" w:cs="Arial"/>
        </w:rPr>
      </w:pPr>
      <w:r w:rsidRPr="005E5B9F">
        <w:rPr>
          <w:rFonts w:ascii="Arial" w:hAnsi="Arial" w:cs="Arial"/>
        </w:rPr>
        <w:t>2. material and method</w:t>
      </w:r>
      <w:r w:rsidR="00000F8F" w:rsidRPr="005E5B9F">
        <w:rPr>
          <w:rFonts w:ascii="Arial" w:hAnsi="Arial" w:cs="Arial"/>
        </w:rPr>
        <w:t xml:space="preserve">s </w:t>
      </w:r>
    </w:p>
    <w:p w14:paraId="2A1729AC" w14:textId="77777777" w:rsidR="008F130C" w:rsidRPr="005E5B9F" w:rsidRDefault="008F130C" w:rsidP="008F130C">
      <w:pPr>
        <w:pStyle w:val="Body"/>
        <w:spacing w:after="0"/>
        <w:rPr>
          <w:rFonts w:ascii="Arial" w:hAnsi="Arial" w:cs="Arial"/>
        </w:rPr>
      </w:pPr>
      <w:r w:rsidRPr="005E5B9F">
        <w:rPr>
          <w:rFonts w:ascii="Arial" w:hAnsi="Arial" w:cs="Arial"/>
        </w:rPr>
        <w:t>A structured literature search was conducted using the Ovid Medline database with a preliminary search strategy developed by a librarian. The following search terms and Boolean operators were applied:</w:t>
      </w:r>
    </w:p>
    <w:p w14:paraId="55A67BA8" w14:textId="77777777" w:rsidR="008F130C" w:rsidRPr="005E5B9F" w:rsidRDefault="008F130C" w:rsidP="008F130C">
      <w:pPr>
        <w:pStyle w:val="Body"/>
        <w:numPr>
          <w:ilvl w:val="0"/>
          <w:numId w:val="31"/>
        </w:numPr>
        <w:spacing w:after="0"/>
        <w:rPr>
          <w:rFonts w:ascii="Arial" w:hAnsi="Arial" w:cs="Arial"/>
        </w:rPr>
      </w:pPr>
      <w:r w:rsidRPr="005E5B9F">
        <w:rPr>
          <w:rFonts w:ascii="Arial" w:hAnsi="Arial" w:cs="Arial"/>
          <w:i/>
          <w:iCs/>
        </w:rPr>
        <w:t>exp Fibrosis/</w:t>
      </w:r>
      <w:r w:rsidRPr="005E5B9F">
        <w:rPr>
          <w:rFonts w:ascii="Arial" w:hAnsi="Arial" w:cs="Arial"/>
        </w:rPr>
        <w:t> OR (</w:t>
      </w:r>
      <w:proofErr w:type="spellStart"/>
      <w:r w:rsidRPr="005E5B9F">
        <w:rPr>
          <w:rFonts w:ascii="Arial" w:hAnsi="Arial" w:cs="Arial"/>
        </w:rPr>
        <w:t>fibros</w:t>
      </w:r>
      <w:proofErr w:type="spellEnd"/>
      <w:r w:rsidRPr="005E5B9F">
        <w:rPr>
          <w:rFonts w:ascii="Arial" w:hAnsi="Arial" w:cs="Arial"/>
        </w:rPr>
        <w:t xml:space="preserve">* OR </w:t>
      </w:r>
      <w:proofErr w:type="spellStart"/>
      <w:r w:rsidRPr="005E5B9F">
        <w:rPr>
          <w:rFonts w:ascii="Arial" w:hAnsi="Arial" w:cs="Arial"/>
        </w:rPr>
        <w:t>cirrhos</w:t>
      </w:r>
      <w:proofErr w:type="spellEnd"/>
      <w:r w:rsidRPr="005E5B9F">
        <w:rPr>
          <w:rFonts w:ascii="Arial" w:hAnsi="Arial" w:cs="Arial"/>
        </w:rPr>
        <w:t>*).</w:t>
      </w:r>
      <w:proofErr w:type="spellStart"/>
      <w:r w:rsidRPr="005E5B9F">
        <w:rPr>
          <w:rFonts w:ascii="Arial" w:hAnsi="Arial" w:cs="Arial"/>
        </w:rPr>
        <w:t>mp</w:t>
      </w:r>
      <w:proofErr w:type="spellEnd"/>
    </w:p>
    <w:p w14:paraId="6EE2C381" w14:textId="77777777" w:rsidR="008F130C" w:rsidRPr="005E5B9F" w:rsidRDefault="008F130C" w:rsidP="008F130C">
      <w:pPr>
        <w:pStyle w:val="Body"/>
        <w:numPr>
          <w:ilvl w:val="0"/>
          <w:numId w:val="31"/>
        </w:numPr>
        <w:spacing w:after="0"/>
        <w:rPr>
          <w:rFonts w:ascii="Arial" w:hAnsi="Arial" w:cs="Arial"/>
        </w:rPr>
      </w:pPr>
      <w:r w:rsidRPr="005E5B9F">
        <w:rPr>
          <w:rFonts w:ascii="Arial" w:hAnsi="Arial" w:cs="Arial"/>
          <w:i/>
          <w:iCs/>
        </w:rPr>
        <w:t>Ascites/</w:t>
      </w:r>
      <w:r w:rsidRPr="005E5B9F">
        <w:rPr>
          <w:rFonts w:ascii="Arial" w:hAnsi="Arial" w:cs="Arial"/>
        </w:rPr>
        <w:t> OR ascite*.mp</w:t>
      </w:r>
    </w:p>
    <w:p w14:paraId="0C732626" w14:textId="77777777" w:rsidR="008F130C" w:rsidRPr="005E5B9F" w:rsidRDefault="008F130C" w:rsidP="008F130C">
      <w:pPr>
        <w:pStyle w:val="Body"/>
        <w:numPr>
          <w:ilvl w:val="0"/>
          <w:numId w:val="31"/>
        </w:numPr>
        <w:spacing w:after="0"/>
        <w:rPr>
          <w:rFonts w:ascii="Arial" w:hAnsi="Arial" w:cs="Arial"/>
        </w:rPr>
      </w:pPr>
      <w:r w:rsidRPr="005E5B9F">
        <w:rPr>
          <w:rFonts w:ascii="Arial" w:hAnsi="Arial" w:cs="Arial"/>
          <w:i/>
          <w:iCs/>
        </w:rPr>
        <w:t>exp Midodrine/</w:t>
      </w:r>
      <w:r w:rsidRPr="005E5B9F">
        <w:rPr>
          <w:rFonts w:ascii="Arial" w:hAnsi="Arial" w:cs="Arial"/>
        </w:rPr>
        <w:t> OR (</w:t>
      </w:r>
      <w:proofErr w:type="spellStart"/>
      <w:r w:rsidRPr="005E5B9F">
        <w:rPr>
          <w:rFonts w:ascii="Arial" w:hAnsi="Arial" w:cs="Arial"/>
        </w:rPr>
        <w:t>midodrin</w:t>
      </w:r>
      <w:proofErr w:type="spellEnd"/>
      <w:r w:rsidRPr="005E5B9F">
        <w:rPr>
          <w:rFonts w:ascii="Arial" w:hAnsi="Arial" w:cs="Arial"/>
        </w:rPr>
        <w:t xml:space="preserve">* OR st-1085 OR st1085 OR </w:t>
      </w:r>
      <w:proofErr w:type="spellStart"/>
      <w:r w:rsidRPr="005E5B9F">
        <w:rPr>
          <w:rFonts w:ascii="Arial" w:hAnsi="Arial" w:cs="Arial"/>
        </w:rPr>
        <w:t>gutron</w:t>
      </w:r>
      <w:proofErr w:type="spellEnd"/>
      <w:r w:rsidRPr="005E5B9F">
        <w:rPr>
          <w:rFonts w:ascii="Arial" w:hAnsi="Arial" w:cs="Arial"/>
        </w:rPr>
        <w:t xml:space="preserve"> OR </w:t>
      </w:r>
      <w:proofErr w:type="spellStart"/>
      <w:r w:rsidRPr="005E5B9F">
        <w:rPr>
          <w:rFonts w:ascii="Arial" w:hAnsi="Arial" w:cs="Arial"/>
        </w:rPr>
        <w:t>amatine</w:t>
      </w:r>
      <w:proofErr w:type="spellEnd"/>
      <w:r w:rsidRPr="005E5B9F">
        <w:rPr>
          <w:rFonts w:ascii="Arial" w:hAnsi="Arial" w:cs="Arial"/>
        </w:rPr>
        <w:t xml:space="preserve"> OR </w:t>
      </w:r>
      <w:proofErr w:type="spellStart"/>
      <w:r w:rsidRPr="005E5B9F">
        <w:rPr>
          <w:rFonts w:ascii="Arial" w:hAnsi="Arial" w:cs="Arial"/>
        </w:rPr>
        <w:t>midon</w:t>
      </w:r>
      <w:proofErr w:type="spellEnd"/>
      <w:r w:rsidRPr="005E5B9F">
        <w:rPr>
          <w:rFonts w:ascii="Arial" w:hAnsi="Arial" w:cs="Arial"/>
        </w:rPr>
        <w:t>).</w:t>
      </w:r>
      <w:proofErr w:type="spellStart"/>
      <w:r w:rsidRPr="005E5B9F">
        <w:rPr>
          <w:rFonts w:ascii="Arial" w:hAnsi="Arial" w:cs="Arial"/>
        </w:rPr>
        <w:t>mp</w:t>
      </w:r>
      <w:proofErr w:type="spellEnd"/>
    </w:p>
    <w:p w14:paraId="388B4411" w14:textId="77777777" w:rsidR="008F130C" w:rsidRPr="005E5B9F" w:rsidRDefault="008F130C" w:rsidP="008F130C">
      <w:pPr>
        <w:pStyle w:val="Body"/>
        <w:numPr>
          <w:ilvl w:val="0"/>
          <w:numId w:val="31"/>
        </w:numPr>
        <w:spacing w:after="0"/>
        <w:rPr>
          <w:rFonts w:ascii="Arial" w:hAnsi="Arial" w:cs="Arial"/>
        </w:rPr>
      </w:pPr>
      <w:r w:rsidRPr="005E5B9F">
        <w:rPr>
          <w:rFonts w:ascii="Arial" w:hAnsi="Arial" w:cs="Arial"/>
        </w:rPr>
        <w:t>1 AND 2 AND 3</w:t>
      </w:r>
    </w:p>
    <w:p w14:paraId="51BF05DC" w14:textId="77777777" w:rsidR="008F130C" w:rsidRPr="005E5B9F" w:rsidRDefault="008F130C" w:rsidP="008F130C">
      <w:pPr>
        <w:pStyle w:val="Body"/>
        <w:spacing w:after="0"/>
        <w:rPr>
          <w:rFonts w:ascii="Arial" w:hAnsi="Arial" w:cs="Arial"/>
          <w:i/>
          <w:iCs/>
        </w:rPr>
      </w:pPr>
      <w:r w:rsidRPr="005E5B9F">
        <w:rPr>
          <w:rFonts w:ascii="Arial" w:hAnsi="Arial" w:cs="Arial"/>
        </w:rPr>
        <w:t>This strategy yielded 57 articles in Ovid Medline. All records were imported into a citation manager, and no duplicates were identified. Titles and abstracts were screened for relevance to the research question: </w:t>
      </w:r>
      <w:r w:rsidRPr="005E5B9F">
        <w:rPr>
          <w:rFonts w:ascii="Arial" w:hAnsi="Arial" w:cs="Arial"/>
          <w:i/>
          <w:iCs/>
        </w:rPr>
        <w:t>In patients with cirrhosis and refractory ascites, does midodrine (with or without octreotide) improve survival and reduce paracentesis frequency compared with large-volume paracentesis?</w:t>
      </w:r>
    </w:p>
    <w:p w14:paraId="1008EB88" w14:textId="77777777" w:rsidR="008F130C" w:rsidRPr="005E5B9F" w:rsidRDefault="008F130C" w:rsidP="008F130C">
      <w:pPr>
        <w:pStyle w:val="Body"/>
        <w:spacing w:after="0"/>
        <w:rPr>
          <w:rFonts w:ascii="Arial" w:hAnsi="Arial" w:cs="Arial"/>
        </w:rPr>
      </w:pPr>
    </w:p>
    <w:p w14:paraId="28509FEA" w14:textId="77777777" w:rsidR="008F130C" w:rsidRPr="005E5B9F" w:rsidRDefault="008F130C" w:rsidP="008F130C">
      <w:pPr>
        <w:pStyle w:val="Body"/>
        <w:spacing w:after="0"/>
        <w:rPr>
          <w:rFonts w:ascii="Arial" w:hAnsi="Arial" w:cs="Arial"/>
        </w:rPr>
      </w:pPr>
      <w:r w:rsidRPr="005E5B9F">
        <w:rPr>
          <w:rFonts w:ascii="Arial" w:hAnsi="Arial" w:cs="Arial"/>
        </w:rPr>
        <w:t>During the initial screening, 28 articles were excluded because they did not address cirrhosis or refractory ascites. The remaining 29 articles underwent full-text review. Of these, 21 were excluded: 2 for not discussing outcomes of cirrhosis and refractory ascites, 4 for not evaluating midodrine (with or without octreotide), 14 for being conducted outside of the United States, and 1 for being the incorrect article type.</w:t>
      </w:r>
    </w:p>
    <w:p w14:paraId="5A9FAF28" w14:textId="77777777" w:rsidR="008F130C" w:rsidRPr="005E5B9F" w:rsidRDefault="008F130C" w:rsidP="008F130C">
      <w:pPr>
        <w:pStyle w:val="Body"/>
        <w:spacing w:after="0"/>
        <w:rPr>
          <w:rFonts w:ascii="Arial" w:hAnsi="Arial" w:cs="Arial"/>
        </w:rPr>
      </w:pPr>
    </w:p>
    <w:p w14:paraId="0E2818DF" w14:textId="572C09C9" w:rsidR="008F130C" w:rsidRPr="005E5B9F" w:rsidRDefault="008F130C" w:rsidP="008F130C">
      <w:pPr>
        <w:pStyle w:val="Body"/>
        <w:spacing w:after="0"/>
        <w:rPr>
          <w:rFonts w:ascii="Arial" w:hAnsi="Arial" w:cs="Arial"/>
        </w:rPr>
      </w:pPr>
      <w:r w:rsidRPr="005E5B9F">
        <w:rPr>
          <w:rFonts w:ascii="Arial" w:hAnsi="Arial" w:cs="Arial"/>
        </w:rPr>
        <w:t>A final total of 8 studies met the inclusion criteria and were included in this review. Inclusion criteria consisted of human studies that examined midodrine therapy, with or without octreotide, in cirrhosis and refractory ascites, with outcomes related to survival or paracentesis frequency. Exclusion criteria included non-human studies, studies not reporting outcomes of interest, studies conducted outside the United States, and irrelevant article types (e.g., narrative reviews, case reports with fewer than five patients). The study selection process is summarized in </w:t>
      </w:r>
      <w:r w:rsidRPr="005E5B9F">
        <w:rPr>
          <w:rFonts w:ascii="Arial" w:hAnsi="Arial" w:cs="Arial"/>
          <w:b/>
          <w:bCs/>
        </w:rPr>
        <w:t>Figure 1</w:t>
      </w:r>
      <w:r w:rsidRPr="005E5B9F">
        <w:rPr>
          <w:rFonts w:ascii="Arial" w:hAnsi="Arial" w:cs="Arial"/>
        </w:rPr>
        <w:t>, presented according to PRISMA guidelines.</w:t>
      </w:r>
    </w:p>
    <w:p w14:paraId="6CEB891B" w14:textId="77777777" w:rsidR="008F130C" w:rsidRPr="005E5B9F" w:rsidRDefault="008F130C" w:rsidP="008F130C">
      <w:pPr>
        <w:pStyle w:val="Body"/>
        <w:spacing w:after="0"/>
        <w:rPr>
          <w:rFonts w:ascii="Arial" w:hAnsi="Arial" w:cs="Arial"/>
        </w:rPr>
      </w:pPr>
    </w:p>
    <w:p w14:paraId="32D1EEDD" w14:textId="77777777" w:rsidR="008F130C" w:rsidRPr="005E5B9F" w:rsidRDefault="008F130C" w:rsidP="008F130C">
      <w:pPr>
        <w:pStyle w:val="Body"/>
        <w:spacing w:after="0"/>
        <w:jc w:val="center"/>
        <w:rPr>
          <w:rFonts w:ascii="Arial" w:hAnsi="Arial" w:cs="Arial"/>
        </w:rPr>
      </w:pPr>
      <w:r w:rsidRPr="005E5B9F">
        <w:rPr>
          <w:rFonts w:ascii="Arial" w:hAnsi="Arial" w:cs="Arial"/>
          <w:noProof/>
        </w:rPr>
        <w:lastRenderedPageBreak/>
        <w:drawing>
          <wp:inline distT="0" distB="0" distL="0" distR="0" wp14:anchorId="3AC569C7" wp14:editId="50E88AEA">
            <wp:extent cx="4501661" cy="5158153"/>
            <wp:effectExtent l="0" t="0" r="0" b="0"/>
            <wp:docPr id="375805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05636" name="Picture 37580563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20848" cy="5180138"/>
                    </a:xfrm>
                    <a:prstGeom prst="rect">
                      <a:avLst/>
                    </a:prstGeom>
                  </pic:spPr>
                </pic:pic>
              </a:graphicData>
            </a:graphic>
          </wp:inline>
        </w:drawing>
      </w:r>
      <w:r w:rsidRPr="005E5B9F">
        <w:rPr>
          <w:rFonts w:ascii="Arial" w:hAnsi="Arial" w:cs="Arial"/>
        </w:rPr>
        <w:br/>
      </w:r>
      <w:r w:rsidRPr="005E5B9F">
        <w:rPr>
          <w:rFonts w:ascii="Arial" w:hAnsi="Arial" w:cs="Arial"/>
          <w:b/>
          <w:bCs/>
        </w:rPr>
        <w:t>Figure 1.</w:t>
      </w:r>
      <w:r w:rsidRPr="005E5B9F">
        <w:rPr>
          <w:rFonts w:ascii="Arial" w:hAnsi="Arial" w:cs="Arial"/>
        </w:rPr>
        <w:t xml:space="preserve"> PRISMA Model Data Collection</w:t>
      </w:r>
    </w:p>
    <w:p w14:paraId="4C3CBC29" w14:textId="77777777" w:rsidR="008F130C" w:rsidRPr="005E5B9F" w:rsidRDefault="008F130C" w:rsidP="008F130C">
      <w:pPr>
        <w:pStyle w:val="Body"/>
        <w:spacing w:after="0"/>
        <w:rPr>
          <w:rFonts w:ascii="Arial" w:hAnsi="Arial" w:cs="Arial"/>
        </w:rPr>
      </w:pPr>
    </w:p>
    <w:p w14:paraId="4D68CACF" w14:textId="77777777" w:rsidR="00790ADA" w:rsidRPr="005E5B9F" w:rsidRDefault="00790ADA" w:rsidP="00441B6F">
      <w:pPr>
        <w:pStyle w:val="Body"/>
        <w:spacing w:after="0"/>
        <w:rPr>
          <w:rFonts w:ascii="Arial" w:hAnsi="Arial" w:cs="Arial"/>
        </w:rPr>
      </w:pPr>
    </w:p>
    <w:p w14:paraId="48395592" w14:textId="77777777" w:rsidR="00902823" w:rsidRPr="005E5B9F" w:rsidRDefault="00000F8F" w:rsidP="00441B6F">
      <w:pPr>
        <w:pStyle w:val="Head1"/>
        <w:spacing w:after="0"/>
        <w:jc w:val="both"/>
        <w:rPr>
          <w:rFonts w:ascii="Arial" w:hAnsi="Arial" w:cs="Arial"/>
        </w:rPr>
      </w:pPr>
      <w:r w:rsidRPr="005E5B9F">
        <w:rPr>
          <w:rFonts w:ascii="Arial" w:hAnsi="Arial" w:cs="Arial"/>
        </w:rPr>
        <w:t>3</w:t>
      </w:r>
      <w:r w:rsidR="00902823" w:rsidRPr="005E5B9F">
        <w:rPr>
          <w:rFonts w:ascii="Arial" w:hAnsi="Arial" w:cs="Arial"/>
        </w:rPr>
        <w:t xml:space="preserve">. </w:t>
      </w:r>
      <w:r w:rsidRPr="005E5B9F">
        <w:rPr>
          <w:rFonts w:ascii="Arial" w:hAnsi="Arial" w:cs="Arial"/>
        </w:rPr>
        <w:t>results and discussion</w:t>
      </w:r>
    </w:p>
    <w:p w14:paraId="5A948ADE" w14:textId="77777777" w:rsidR="00790ADA" w:rsidRPr="005E5B9F" w:rsidRDefault="00790ADA" w:rsidP="00441B6F">
      <w:pPr>
        <w:pStyle w:val="Head1"/>
        <w:spacing w:after="0"/>
        <w:jc w:val="both"/>
        <w:rPr>
          <w:rFonts w:ascii="Arial" w:hAnsi="Arial" w:cs="Arial"/>
        </w:rPr>
      </w:pPr>
    </w:p>
    <w:p w14:paraId="7BF6595B" w14:textId="77777777" w:rsidR="008142D2" w:rsidRPr="005E5B9F" w:rsidRDefault="008142D2" w:rsidP="008142D2">
      <w:pPr>
        <w:pStyle w:val="Body"/>
        <w:rPr>
          <w:rFonts w:ascii="Arial" w:hAnsi="Arial" w:cs="Arial"/>
        </w:rPr>
      </w:pPr>
      <w:r w:rsidRPr="005E5B9F">
        <w:rPr>
          <w:rFonts w:ascii="Arial" w:hAnsi="Arial" w:cs="Arial"/>
        </w:rPr>
        <w:t>A total of 8 studies were included in this systematic review that fit the inclusion criteria. All studies investigated the role of midodrine, alone or in combination with other therapies, in patients with cirrhosis and refractory ascites. The studies collectively evaluated outcomes including survival, paracentesis frequency, renal function, hemodynamic stability, and complications such as paracentesis-induced circulatory dysfunction (PICD). While findings varied, several trials suggested potential benefits of midodrine on circulatory and renal function, though results regarding survival and paracentesis reduction were inconsistent.</w:t>
      </w:r>
    </w:p>
    <w:p w14:paraId="34CEE00F" w14:textId="77777777" w:rsidR="008142D2" w:rsidRPr="005E5B9F" w:rsidRDefault="008142D2" w:rsidP="008142D2">
      <w:pPr>
        <w:pStyle w:val="Body"/>
        <w:rPr>
          <w:rFonts w:ascii="Arial" w:hAnsi="Arial" w:cs="Arial"/>
        </w:rPr>
      </w:pPr>
    </w:p>
    <w:p w14:paraId="7F767DC8" w14:textId="77777777" w:rsidR="008142D2" w:rsidRPr="005E5B9F" w:rsidRDefault="008142D2" w:rsidP="008142D2">
      <w:pPr>
        <w:pStyle w:val="Body"/>
        <w:spacing w:after="0"/>
        <w:rPr>
          <w:rFonts w:ascii="Arial" w:hAnsi="Arial" w:cs="Arial"/>
        </w:rPr>
      </w:pPr>
      <w:r w:rsidRPr="005E5B9F">
        <w:rPr>
          <w:rFonts w:ascii="Arial" w:hAnsi="Arial" w:cs="Arial"/>
        </w:rPr>
        <w:t xml:space="preserve">To better organize the findings, the included studies were divided into four main themes based on their focus and objectives. Theme 1, Hemodynamic and Renal Effects of Midodrine, included one article that focused their studies on renal effects of midodrine in cirrhotic patients with ascites. Theme 2, Midodrine in the Prevention of Paracentesis-Induced Circulatory Dysfunction (PICD), included four articles that focused their studies that compared midodrine with albumin, or with albumin plus </w:t>
      </w:r>
      <w:proofErr w:type="spellStart"/>
      <w:r w:rsidRPr="005E5B9F">
        <w:rPr>
          <w:rFonts w:ascii="Arial" w:hAnsi="Arial" w:cs="Arial"/>
        </w:rPr>
        <w:t>terlipressin</w:t>
      </w:r>
      <w:proofErr w:type="spellEnd"/>
      <w:r w:rsidRPr="005E5B9F">
        <w:rPr>
          <w:rFonts w:ascii="Arial" w:hAnsi="Arial" w:cs="Arial"/>
        </w:rPr>
        <w:t xml:space="preserve">, to assess prevention of PICD following large-volume paracentesis. Theme 3, Combination Therapy with Midodrine, included two articles that focused on midodrine in combination with other therapies. The last theme, Theme 4, Midodrine in Pediatric Cirrhosis, included one article that focused on the use of midodrine for the management and treatment of pediatric cirrhosis. </w:t>
      </w:r>
    </w:p>
    <w:p w14:paraId="7FC455CB" w14:textId="77777777" w:rsidR="008142D2" w:rsidRPr="005E5B9F" w:rsidRDefault="008142D2" w:rsidP="008142D2">
      <w:pPr>
        <w:pStyle w:val="Body"/>
        <w:spacing w:after="0"/>
        <w:rPr>
          <w:rFonts w:ascii="Arial" w:hAnsi="Arial" w:cs="Arial"/>
        </w:rPr>
      </w:pPr>
    </w:p>
    <w:p w14:paraId="2A1C3B6B" w14:textId="77777777" w:rsidR="008142D2" w:rsidRPr="005E5B9F" w:rsidRDefault="008142D2" w:rsidP="008142D2">
      <w:pPr>
        <w:pStyle w:val="Body"/>
        <w:spacing w:after="0"/>
        <w:rPr>
          <w:rFonts w:ascii="Arial" w:hAnsi="Arial" w:cs="Arial"/>
          <w:b/>
          <w:bCs/>
          <w:u w:val="single"/>
        </w:rPr>
      </w:pPr>
      <w:r w:rsidRPr="005E5B9F">
        <w:rPr>
          <w:rFonts w:ascii="Arial" w:hAnsi="Arial" w:cs="Arial"/>
          <w:b/>
          <w:bCs/>
          <w:u w:val="single"/>
        </w:rPr>
        <w:t>Theme 1: Hemodynamic and Renal Effects of Midodrine</w:t>
      </w:r>
    </w:p>
    <w:p w14:paraId="1820364A" w14:textId="77777777" w:rsidR="008142D2" w:rsidRPr="005E5B9F" w:rsidRDefault="008142D2" w:rsidP="008142D2">
      <w:pPr>
        <w:pStyle w:val="Body"/>
        <w:spacing w:after="0"/>
        <w:rPr>
          <w:rFonts w:ascii="Arial" w:hAnsi="Arial" w:cs="Arial"/>
          <w:i/>
          <w:iCs/>
        </w:rPr>
      </w:pPr>
      <w:r w:rsidRPr="005E5B9F">
        <w:rPr>
          <w:rFonts w:ascii="Arial" w:hAnsi="Arial" w:cs="Arial"/>
          <w:i/>
          <w:iCs/>
        </w:rPr>
        <w:lastRenderedPageBreak/>
        <w:t xml:space="preserve">Acute effects of the oral administration of midodrine, an alpha-adrenergic agonist, on renal hemodynamics and renal function in cirrhotic patients with ascites: </w:t>
      </w:r>
      <w:r w:rsidRPr="005E5B9F">
        <w:rPr>
          <w:rFonts w:ascii="Arial" w:hAnsi="Arial" w:cs="Arial"/>
          <w:i/>
          <w:iCs/>
        </w:rPr>
        <w:br/>
      </w:r>
      <w:r w:rsidRPr="005E5B9F">
        <w:rPr>
          <w:rFonts w:ascii="Arial" w:hAnsi="Arial" w:cs="Arial"/>
          <w:i/>
          <w:iCs/>
        </w:rPr>
        <w:br/>
      </w:r>
      <w:r w:rsidRPr="005E5B9F">
        <w:rPr>
          <w:rFonts w:ascii="Arial" w:hAnsi="Arial" w:cs="Arial"/>
        </w:rPr>
        <w:t>This study examined whether oral midodrine, an alpha-adrenergic agonist, could improve systemic and renal hemodynamics in cirrhotic patients with ascites, both with and without type 2 hepatorenal syndrome (HRS). The trial included 25 patients, assessing changes in blood pressure, cardiac output, renal plasma flow, glomerular filtration rate, urinary sodium excretion, and hormonal markers before and after a 15 mg oral dose. In patients without HRS, midodrine significantly increased mean arterial pressure and systemic vascular resistance while reducing cardiac output and heart rate, which was accompanied by improved renal perfusion, higher glomerular filtration rate, and increased sodium excretion. These improvements were associated with reduced plasma renin activity, antidiuretic hormone, and nitric oxide metabolites. In contrast, patients with type 2 HRS showed only modest systemic hemodynamic improvement. and no meaningful changes in renal function or sodium handling. The findings suggest that midodrine acutely enhances systemic and renal function in cirrhotic patients without HRS but is less effective in advanced renal dysfunction, highlighting the need for further long-term studies [5].</w:t>
      </w:r>
    </w:p>
    <w:p w14:paraId="1F944934" w14:textId="77777777" w:rsidR="008142D2" w:rsidRPr="005E5B9F" w:rsidRDefault="008142D2" w:rsidP="008142D2">
      <w:pPr>
        <w:pStyle w:val="Body"/>
        <w:spacing w:after="0"/>
        <w:rPr>
          <w:rFonts w:ascii="Arial" w:hAnsi="Arial" w:cs="Arial"/>
          <w:b/>
          <w:bCs/>
          <w:u w:val="single"/>
        </w:rPr>
      </w:pPr>
    </w:p>
    <w:p w14:paraId="26CF7420" w14:textId="33CB76AB" w:rsidR="008142D2" w:rsidRPr="005E5B9F" w:rsidRDefault="008142D2" w:rsidP="008142D2">
      <w:pPr>
        <w:pStyle w:val="Body"/>
        <w:spacing w:after="0"/>
        <w:rPr>
          <w:rFonts w:ascii="Arial" w:hAnsi="Arial" w:cs="Arial"/>
          <w:b/>
          <w:bCs/>
          <w:u w:val="single"/>
        </w:rPr>
      </w:pPr>
      <w:r w:rsidRPr="005E5B9F">
        <w:rPr>
          <w:rFonts w:ascii="Arial" w:hAnsi="Arial" w:cs="Arial"/>
          <w:b/>
          <w:bCs/>
          <w:u w:val="single"/>
        </w:rPr>
        <w:t>Theme 2: Midodrine in the Prevention of Paracentesis- Induced Circulatory Dysfunction (PICD)</w:t>
      </w:r>
    </w:p>
    <w:p w14:paraId="7FA6AEC9" w14:textId="77777777" w:rsidR="008142D2" w:rsidRPr="005E5B9F" w:rsidRDefault="008142D2" w:rsidP="008142D2">
      <w:pPr>
        <w:pStyle w:val="Body"/>
        <w:spacing w:after="0"/>
        <w:rPr>
          <w:rFonts w:ascii="Arial" w:hAnsi="Arial" w:cs="Arial"/>
        </w:rPr>
      </w:pPr>
      <w:r w:rsidRPr="005E5B9F">
        <w:rPr>
          <w:rFonts w:ascii="Arial" w:hAnsi="Arial" w:cs="Arial"/>
          <w:i/>
          <w:iCs/>
        </w:rPr>
        <w:t xml:space="preserve">Addition of midodrine to albumin reduces the incidence of complications of large volume paracentesis: an RCT comparing midodrine, </w:t>
      </w:r>
      <w:proofErr w:type="spellStart"/>
      <w:r w:rsidRPr="005E5B9F">
        <w:rPr>
          <w:rFonts w:ascii="Arial" w:hAnsi="Arial" w:cs="Arial"/>
          <w:i/>
          <w:iCs/>
        </w:rPr>
        <w:t>terlipressin</w:t>
      </w:r>
      <w:proofErr w:type="spellEnd"/>
      <w:r w:rsidRPr="005E5B9F">
        <w:rPr>
          <w:rFonts w:ascii="Arial" w:hAnsi="Arial" w:cs="Arial"/>
          <w:i/>
          <w:iCs/>
        </w:rPr>
        <w:t>, and albumin:</w:t>
      </w:r>
      <w:r w:rsidRPr="005E5B9F">
        <w:rPr>
          <w:rFonts w:ascii="Arial" w:hAnsi="Arial" w:cs="Arial"/>
          <w:i/>
          <w:iCs/>
        </w:rPr>
        <w:br/>
      </w:r>
      <w:r w:rsidRPr="005E5B9F">
        <w:rPr>
          <w:rFonts w:ascii="Arial" w:hAnsi="Arial" w:cs="Arial"/>
          <w:i/>
          <w:iCs/>
        </w:rPr>
        <w:br/>
      </w:r>
      <w:r w:rsidRPr="005E5B9F">
        <w:rPr>
          <w:rFonts w:ascii="Arial" w:hAnsi="Arial" w:cs="Arial"/>
        </w:rPr>
        <w:t xml:space="preserve">This study addressed whether adding vasoconstrictors to albumin could lower complications of large-volume paracentesis (LVP) in cirrhotic patients with refractory ascites, a procedure often complicated by paracentesis-induced circulatory dysfunction (PICD). In this randomized controlled trial, 165 patients were allocated to albumin alone, </w:t>
      </w:r>
      <w:proofErr w:type="spellStart"/>
      <w:r w:rsidRPr="005E5B9F">
        <w:rPr>
          <w:rFonts w:ascii="Arial" w:hAnsi="Arial" w:cs="Arial"/>
        </w:rPr>
        <w:t>terlipressin</w:t>
      </w:r>
      <w:proofErr w:type="spellEnd"/>
      <w:r w:rsidRPr="005E5B9F">
        <w:rPr>
          <w:rFonts w:ascii="Arial" w:hAnsi="Arial" w:cs="Arial"/>
        </w:rPr>
        <w:t xml:space="preserve"> with albumin, or midodrine with albumin. Results showed that the incidence of PICD was similar across groups (14% in albumin, 7% in </w:t>
      </w:r>
      <w:proofErr w:type="spellStart"/>
      <w:r w:rsidRPr="005E5B9F">
        <w:rPr>
          <w:rFonts w:ascii="Arial" w:hAnsi="Arial" w:cs="Arial"/>
        </w:rPr>
        <w:t>terlipressin</w:t>
      </w:r>
      <w:proofErr w:type="spellEnd"/>
      <w:r w:rsidRPr="005E5B9F">
        <w:rPr>
          <w:rFonts w:ascii="Arial" w:hAnsi="Arial" w:cs="Arial"/>
        </w:rPr>
        <w:t xml:space="preserve">, 11% in midodrine), but midodrine significantly improved hemodynamics by raising mean arterial pressure and reducing plasma renin activity. The incidence of new-onset complications was much lower in the midodrine group compared to the other two. Although mortality at 28 days was not different, midodrine was associated with fewer hospitalizations, fewer repeat paracenteses, and fewer adverse events compared to </w:t>
      </w:r>
      <w:proofErr w:type="spellStart"/>
      <w:r w:rsidRPr="005E5B9F">
        <w:rPr>
          <w:rFonts w:ascii="Arial" w:hAnsi="Arial" w:cs="Arial"/>
        </w:rPr>
        <w:t>terlipressin</w:t>
      </w:r>
      <w:proofErr w:type="spellEnd"/>
      <w:r w:rsidRPr="005E5B9F">
        <w:rPr>
          <w:rFonts w:ascii="Arial" w:hAnsi="Arial" w:cs="Arial"/>
        </w:rPr>
        <w:t xml:space="preserve">. The authors concluded that the addition of oral midodrine to albumin is a safe and effective approach to reduce complications following LVP. [6] </w:t>
      </w:r>
    </w:p>
    <w:p w14:paraId="388C59F1" w14:textId="77777777" w:rsidR="008142D2" w:rsidRPr="005E5B9F" w:rsidRDefault="008142D2" w:rsidP="008142D2">
      <w:pPr>
        <w:pStyle w:val="Body"/>
        <w:spacing w:after="0"/>
        <w:rPr>
          <w:rFonts w:ascii="Arial" w:hAnsi="Arial" w:cs="Arial"/>
        </w:rPr>
      </w:pPr>
    </w:p>
    <w:p w14:paraId="7B63553A" w14:textId="77777777" w:rsidR="008142D2" w:rsidRPr="005E5B9F" w:rsidRDefault="008142D2" w:rsidP="008142D2">
      <w:pPr>
        <w:pStyle w:val="Body"/>
        <w:spacing w:after="0"/>
        <w:rPr>
          <w:rFonts w:ascii="Arial" w:hAnsi="Arial" w:cs="Arial"/>
          <w:i/>
          <w:iCs/>
        </w:rPr>
      </w:pPr>
      <w:r w:rsidRPr="005E5B9F">
        <w:rPr>
          <w:rFonts w:ascii="Arial" w:hAnsi="Arial" w:cs="Arial"/>
          <w:i/>
          <w:iCs/>
        </w:rPr>
        <w:t xml:space="preserve">Comparison of midodrine and albumin in the prevention of paracentesis-induced circulatory dysfunction in cirrhotic patients: a randomized pilot study: </w:t>
      </w:r>
    </w:p>
    <w:p w14:paraId="2CC99ABE" w14:textId="77777777" w:rsidR="008142D2" w:rsidRPr="005E5B9F" w:rsidRDefault="008142D2" w:rsidP="008142D2">
      <w:pPr>
        <w:pStyle w:val="Body"/>
        <w:spacing w:after="0"/>
        <w:rPr>
          <w:rFonts w:ascii="Arial" w:hAnsi="Arial" w:cs="Arial"/>
        </w:rPr>
      </w:pPr>
      <w:r w:rsidRPr="005E5B9F">
        <w:rPr>
          <w:rFonts w:ascii="Arial" w:hAnsi="Arial" w:cs="Arial"/>
          <w:i/>
          <w:iCs/>
        </w:rPr>
        <w:br/>
      </w:r>
      <w:r w:rsidRPr="005E5B9F">
        <w:rPr>
          <w:rFonts w:ascii="Arial" w:hAnsi="Arial" w:cs="Arial"/>
        </w:rPr>
        <w:t xml:space="preserve">This randomized pilot study compared the effectiveness of midodrine and albumin in preventing paracentesis-induced circulatory dysfunction (PICD) among 50 cirrhotic patients with tense refractory ascites. Patients were randomized to receive either midodrine (n=25) or albumin (n=25) after large-volume paracentesis, with outcomes measured through serum creatinine, sodium, plasma renin activity, and aldosterone levels before and six days after the procedure. The study found that midodrine was less costly but led to significant worsening in kidney function and circulatory markers, while albumin maintained stable parameters. Seven patients in the midodrine group, most with hepatocellular carcinoma, died from complications such as liver failure and renal dysfunction, whereas no deaths or major complications occurred in the albumin group. The findings suggest that albumin remains superior for preventing PICD and related complications. Overall, this pilot trial concludes that midodrine is not as effective or safe as albumin, particularly in cirrhotic patients with coexisting hepatocellular carcinoma [7]. </w:t>
      </w:r>
      <w:r w:rsidRPr="005E5B9F">
        <w:rPr>
          <w:rFonts w:ascii="Arial" w:hAnsi="Arial" w:cs="Arial"/>
        </w:rPr>
        <w:br/>
      </w:r>
    </w:p>
    <w:p w14:paraId="4D422A7D" w14:textId="77777777" w:rsidR="008142D2" w:rsidRPr="005E5B9F" w:rsidRDefault="008142D2" w:rsidP="008142D2">
      <w:pPr>
        <w:pStyle w:val="Body"/>
        <w:spacing w:after="0"/>
        <w:rPr>
          <w:rFonts w:ascii="Arial" w:hAnsi="Arial" w:cs="Arial"/>
          <w:i/>
          <w:iCs/>
        </w:rPr>
      </w:pPr>
      <w:r w:rsidRPr="005E5B9F">
        <w:rPr>
          <w:rFonts w:ascii="Arial" w:hAnsi="Arial" w:cs="Arial"/>
          <w:i/>
          <w:iCs/>
        </w:rPr>
        <w:t xml:space="preserve">Midodrine versus albumin in the prevention of paracentesis-induced circulatory dysfunction in </w:t>
      </w:r>
      <w:proofErr w:type="spellStart"/>
      <w:r w:rsidRPr="005E5B9F">
        <w:rPr>
          <w:rFonts w:ascii="Arial" w:hAnsi="Arial" w:cs="Arial"/>
          <w:i/>
          <w:iCs/>
        </w:rPr>
        <w:t>cirrhotics</w:t>
      </w:r>
      <w:proofErr w:type="spellEnd"/>
      <w:r w:rsidRPr="005E5B9F">
        <w:rPr>
          <w:rFonts w:ascii="Arial" w:hAnsi="Arial" w:cs="Arial"/>
          <w:i/>
          <w:iCs/>
        </w:rPr>
        <w:t xml:space="preserve">: a randomized pilot study: </w:t>
      </w:r>
      <w:r w:rsidRPr="005E5B9F">
        <w:rPr>
          <w:rFonts w:ascii="Arial" w:hAnsi="Arial" w:cs="Arial"/>
          <w:i/>
          <w:iCs/>
        </w:rPr>
        <w:br/>
      </w:r>
      <w:r w:rsidRPr="005E5B9F">
        <w:rPr>
          <w:rFonts w:ascii="Arial" w:hAnsi="Arial" w:cs="Arial"/>
          <w:i/>
          <w:iCs/>
        </w:rPr>
        <w:br/>
      </w:r>
      <w:r w:rsidRPr="005E5B9F">
        <w:rPr>
          <w:rFonts w:ascii="Arial" w:hAnsi="Arial" w:cs="Arial"/>
        </w:rPr>
        <w:t xml:space="preserve">This randomized pilot study compared oral midodrine and intravenous albumin for preventing paracentesis-induced circulatory dysfunction (PICD) in cirrhotic patients with tense ascites. The study enrolled 40 patients dividing them equally into midodrine and albumin groups. Results showed that both treatments maintained stable plasma renin activity after paracentesis, with only two patients in the albumin group showing increases suggestive of PICD, and none in the midodrine group. Importantly, the midodrine group had greater 24-hour urine output and sodium excretion, while safety profiles were similar. The study concluded that midodrine may be as effective as albumin in preventing PICD, but at a fraction of the cost and with the added benefit of oral administration [8]. </w:t>
      </w:r>
    </w:p>
    <w:p w14:paraId="7E64D17A" w14:textId="77777777" w:rsidR="008142D2" w:rsidRPr="005E5B9F" w:rsidRDefault="008142D2" w:rsidP="008142D2">
      <w:pPr>
        <w:pStyle w:val="Body"/>
        <w:spacing w:after="0"/>
        <w:rPr>
          <w:rFonts w:ascii="Arial" w:hAnsi="Arial" w:cs="Arial"/>
          <w:i/>
          <w:iCs/>
        </w:rPr>
      </w:pPr>
      <w:r w:rsidRPr="005E5B9F">
        <w:rPr>
          <w:rFonts w:ascii="Arial" w:hAnsi="Arial" w:cs="Arial"/>
        </w:rPr>
        <w:br/>
      </w:r>
      <w:r w:rsidRPr="005E5B9F">
        <w:rPr>
          <w:rFonts w:ascii="Arial" w:hAnsi="Arial" w:cs="Arial"/>
          <w:i/>
          <w:iCs/>
        </w:rPr>
        <w:t xml:space="preserve">Prevention of paracentesis-induced circulatory dysfunction: midodrine vs albumin. A randomized pilot study: </w:t>
      </w:r>
    </w:p>
    <w:p w14:paraId="7CC52DE0" w14:textId="77777777" w:rsidR="008142D2" w:rsidRPr="005E5B9F" w:rsidRDefault="008142D2" w:rsidP="008142D2">
      <w:pPr>
        <w:pStyle w:val="Body"/>
        <w:spacing w:after="0"/>
        <w:rPr>
          <w:rFonts w:ascii="Arial" w:hAnsi="Arial" w:cs="Arial"/>
        </w:rPr>
      </w:pPr>
      <w:r w:rsidRPr="005E5B9F">
        <w:rPr>
          <w:rFonts w:ascii="Arial" w:hAnsi="Arial" w:cs="Arial"/>
        </w:rPr>
        <w:t xml:space="preserve">This randomized pilot study compared midodrine with intravenous albumin in preventing paracentesis-induced circulatory dysfunction (PICD) in cirrhotic patients with tense ascites. The trial included 24 patients who underwent large-volume paracentesis and were assigned to either midodrine or albumin treatment. PICD was defined by a significant rise in plasma renin activity and additional measures included aldosterone levels, renal function, and hemodynamic changes. </w:t>
      </w:r>
      <w:r w:rsidRPr="005E5B9F">
        <w:rPr>
          <w:rFonts w:ascii="Arial" w:hAnsi="Arial" w:cs="Arial"/>
        </w:rPr>
        <w:lastRenderedPageBreak/>
        <w:t xml:space="preserve">Results showed that 60% of patients in the midodrine group developed PICD compared to 31% in the albumin group and that midodrine was also associated with a significant rise in aldosterone levels. Renal function parameters such as creatinine clearance and sodium remained similar between groups, although one patient on midodrine developed type 1 hepatorenal syndrome. The authors concluded that short-term oral midodrine at a fixed dose was less effective than albumin in preventing circulatory dysfunction after large-volume paracentesis in cirrhotic patients [9]. </w:t>
      </w:r>
    </w:p>
    <w:p w14:paraId="33B72C33" w14:textId="77777777" w:rsidR="008142D2" w:rsidRPr="005E5B9F" w:rsidRDefault="008142D2" w:rsidP="008142D2">
      <w:pPr>
        <w:pStyle w:val="Body"/>
        <w:spacing w:after="0"/>
        <w:rPr>
          <w:rFonts w:ascii="Arial" w:hAnsi="Arial" w:cs="Arial"/>
          <w:b/>
          <w:bCs/>
          <w:u w:val="single"/>
        </w:rPr>
      </w:pPr>
    </w:p>
    <w:p w14:paraId="337DF49E" w14:textId="7CC52F5E" w:rsidR="008142D2" w:rsidRPr="005E5B9F" w:rsidRDefault="008142D2" w:rsidP="008142D2">
      <w:pPr>
        <w:pStyle w:val="Body"/>
        <w:spacing w:after="0"/>
        <w:rPr>
          <w:rFonts w:ascii="Arial" w:hAnsi="Arial" w:cs="Arial"/>
          <w:b/>
          <w:bCs/>
          <w:u w:val="single"/>
        </w:rPr>
      </w:pPr>
      <w:r w:rsidRPr="005E5B9F">
        <w:rPr>
          <w:rFonts w:ascii="Arial" w:hAnsi="Arial" w:cs="Arial"/>
          <w:b/>
          <w:bCs/>
          <w:u w:val="single"/>
        </w:rPr>
        <w:t>Theme 3: Combination Therapy with Midodrine</w:t>
      </w:r>
    </w:p>
    <w:p w14:paraId="021E3030" w14:textId="77777777" w:rsidR="008142D2" w:rsidRPr="005E5B9F" w:rsidRDefault="008142D2" w:rsidP="008142D2">
      <w:pPr>
        <w:pStyle w:val="Body"/>
        <w:spacing w:after="0"/>
        <w:rPr>
          <w:rFonts w:ascii="Arial" w:hAnsi="Arial" w:cs="Arial"/>
          <w:i/>
          <w:iCs/>
        </w:rPr>
      </w:pPr>
      <w:r w:rsidRPr="005E5B9F">
        <w:rPr>
          <w:rFonts w:ascii="Arial" w:hAnsi="Arial" w:cs="Arial"/>
          <w:i/>
          <w:iCs/>
        </w:rPr>
        <w:t xml:space="preserve">Midodrine plus propranolol versus propranolol alone in preventing first bleed in patients with cirrhosis and severe ascites: a randomized controlled trial: </w:t>
      </w:r>
      <w:r w:rsidRPr="005E5B9F">
        <w:rPr>
          <w:rFonts w:ascii="Arial" w:hAnsi="Arial" w:cs="Arial"/>
          <w:i/>
          <w:iCs/>
        </w:rPr>
        <w:br/>
      </w:r>
    </w:p>
    <w:p w14:paraId="5B2B4C4C" w14:textId="77777777" w:rsidR="008142D2" w:rsidRPr="005E5B9F" w:rsidRDefault="008142D2" w:rsidP="008142D2">
      <w:pPr>
        <w:pStyle w:val="Body"/>
        <w:spacing w:after="0"/>
        <w:rPr>
          <w:rFonts w:ascii="Arial" w:hAnsi="Arial" w:cs="Arial"/>
        </w:rPr>
      </w:pPr>
      <w:r w:rsidRPr="005E5B9F">
        <w:rPr>
          <w:rFonts w:ascii="Arial" w:hAnsi="Arial" w:cs="Arial"/>
        </w:rPr>
        <w:t xml:space="preserve">This randomized controlled trial evaluated whether adding midodrine to propranolol could prevent first variceal bleeding in cirrhotic patients with severe or refractory ascites. A total of 140 patients were randomized to either propranolol alone or propranolol plus midodrine, with outcomes followed over one year. The study found that combination therapy significantly reduced the risk of first variceal bleeding (8.5% vs. 27.1%), allowed for higher maximum tolerated doses of propranolol, and increased the proportion of patients achieving target heart rate. Patients in the midodrine group also had better ascites control, less need for paracentesis, and fewer complications such as paracentesis-induced circulatory dysfunction and spontaneous bacterial peritonitis. The combination produced greater reductions in hepatic venous pressure gradient and plasma renin activity, reflecting improved systemic and renal hemodynamics. Overall, the addition of midodrine enhanced both the safety and effectiveness of propranolol, reducing bleeding and ascites-related complications in this high-risk patient group [10]. </w:t>
      </w:r>
      <w:r w:rsidRPr="005E5B9F">
        <w:rPr>
          <w:rFonts w:ascii="Arial" w:hAnsi="Arial" w:cs="Arial"/>
        </w:rPr>
        <w:br/>
      </w:r>
    </w:p>
    <w:p w14:paraId="271AD58E" w14:textId="77777777" w:rsidR="008142D2" w:rsidRPr="005E5B9F" w:rsidRDefault="008142D2" w:rsidP="008142D2">
      <w:pPr>
        <w:pStyle w:val="Body"/>
        <w:spacing w:after="0"/>
        <w:rPr>
          <w:rFonts w:ascii="Arial" w:hAnsi="Arial" w:cs="Arial"/>
          <w:i/>
          <w:iCs/>
        </w:rPr>
      </w:pPr>
      <w:r w:rsidRPr="005E5B9F">
        <w:rPr>
          <w:rFonts w:ascii="Arial" w:hAnsi="Arial" w:cs="Arial"/>
          <w:i/>
          <w:iCs/>
        </w:rPr>
        <w:t xml:space="preserve">Midodrine reduces new-onset acute kidney injury and hyponatremia in children with cirrhosis and ascites awaiting liver transplantation: Results from an open-label RCT: </w:t>
      </w:r>
      <w:r w:rsidRPr="005E5B9F">
        <w:rPr>
          <w:rFonts w:ascii="Arial" w:hAnsi="Arial" w:cs="Arial"/>
          <w:i/>
          <w:iCs/>
        </w:rPr>
        <w:br/>
      </w:r>
    </w:p>
    <w:p w14:paraId="4B7F802D" w14:textId="77777777" w:rsidR="008142D2" w:rsidRPr="005E5B9F" w:rsidRDefault="008142D2" w:rsidP="008142D2">
      <w:pPr>
        <w:pStyle w:val="Body"/>
        <w:spacing w:after="0"/>
        <w:rPr>
          <w:rFonts w:ascii="Arial" w:hAnsi="Arial" w:cs="Arial"/>
        </w:rPr>
      </w:pPr>
      <w:r w:rsidRPr="005E5B9F">
        <w:rPr>
          <w:rFonts w:ascii="Arial" w:hAnsi="Arial" w:cs="Arial"/>
        </w:rPr>
        <w:t xml:space="preserve">This randomized controlled trial evaluated midodrine in children under 18 with cirrhosis and ascites awaiting liver transplantation. The study compared midodrine with standard medical therapy to standard therapy alone over six months, focusing on cirrhosis-related complications. Midodrine significantly reduced the incidence of new-onset acute kidney injury and hyponatremia, while also improving renal function and systemic hemodynamics. However, it did not affect ascites resolution, recurrence, need for paracentesis, albumin use, or rates of spontaneous bacterial peritonitis and encephalopathy. These findings suggest midodrine provides renal and circulatory protection in pediatric </w:t>
      </w:r>
      <w:proofErr w:type="spellStart"/>
      <w:r w:rsidRPr="005E5B9F">
        <w:rPr>
          <w:rFonts w:ascii="Arial" w:hAnsi="Arial" w:cs="Arial"/>
        </w:rPr>
        <w:t>cirrhotics</w:t>
      </w:r>
      <w:proofErr w:type="spellEnd"/>
      <w:r w:rsidRPr="005E5B9F">
        <w:rPr>
          <w:rFonts w:ascii="Arial" w:hAnsi="Arial" w:cs="Arial"/>
        </w:rPr>
        <w:t xml:space="preserve"> on transplant waitlists, but it does not modify ascites outcomes. Overall, the trial supports midodrine as a safe and beneficial adjunct to standard care in this high-risk population [11]. </w:t>
      </w:r>
    </w:p>
    <w:p w14:paraId="4861D8E9" w14:textId="77777777" w:rsidR="008142D2" w:rsidRPr="005E5B9F" w:rsidRDefault="008142D2" w:rsidP="008142D2">
      <w:pPr>
        <w:pStyle w:val="Body"/>
        <w:spacing w:after="0"/>
        <w:rPr>
          <w:rFonts w:ascii="Arial" w:hAnsi="Arial" w:cs="Arial"/>
          <w:b/>
          <w:bCs/>
          <w:u w:val="single"/>
        </w:rPr>
      </w:pPr>
    </w:p>
    <w:p w14:paraId="75652525" w14:textId="3913D1BC" w:rsidR="008142D2" w:rsidRPr="005E5B9F" w:rsidRDefault="008142D2" w:rsidP="008142D2">
      <w:pPr>
        <w:pStyle w:val="Body"/>
        <w:spacing w:after="0"/>
        <w:rPr>
          <w:rFonts w:ascii="Arial" w:hAnsi="Arial" w:cs="Arial"/>
          <w:b/>
          <w:bCs/>
          <w:u w:val="single"/>
        </w:rPr>
      </w:pPr>
      <w:r w:rsidRPr="005E5B9F">
        <w:rPr>
          <w:rFonts w:ascii="Arial" w:hAnsi="Arial" w:cs="Arial"/>
          <w:b/>
          <w:bCs/>
          <w:u w:val="single"/>
        </w:rPr>
        <w:t>Theme 4: Midodrine in Pediatric Cirrhosis</w:t>
      </w:r>
    </w:p>
    <w:p w14:paraId="444F04BC" w14:textId="77777777" w:rsidR="008142D2" w:rsidRPr="005E5B9F" w:rsidRDefault="008142D2" w:rsidP="008142D2">
      <w:pPr>
        <w:pStyle w:val="Body"/>
        <w:spacing w:after="0"/>
        <w:rPr>
          <w:rFonts w:ascii="Arial" w:hAnsi="Arial" w:cs="Arial"/>
        </w:rPr>
      </w:pPr>
      <w:r w:rsidRPr="005E5B9F">
        <w:rPr>
          <w:rFonts w:ascii="Arial" w:hAnsi="Arial" w:cs="Arial"/>
          <w:i/>
          <w:iCs/>
        </w:rPr>
        <w:t xml:space="preserve">The combination of octreotide and midodrine is not superior to albumin in preventing recurrence of ascites after large-volume paracentesis: </w:t>
      </w:r>
      <w:r w:rsidRPr="005E5B9F">
        <w:rPr>
          <w:rFonts w:ascii="Arial" w:hAnsi="Arial" w:cs="Arial"/>
          <w:i/>
          <w:iCs/>
        </w:rPr>
        <w:br/>
      </w:r>
      <w:r w:rsidRPr="005E5B9F">
        <w:rPr>
          <w:rFonts w:ascii="Arial" w:hAnsi="Arial" w:cs="Arial"/>
          <w:i/>
          <w:iCs/>
        </w:rPr>
        <w:br/>
      </w:r>
      <w:r w:rsidRPr="005E5B9F">
        <w:rPr>
          <w:rFonts w:ascii="Arial" w:hAnsi="Arial" w:cs="Arial"/>
        </w:rPr>
        <w:t>This randomized, double-blind trial investigated whether combining midodrine and octreotide could be as effective as albumin in preventing complications after large-volume paracentesis in patients with cirrhosis and refractory ascites. The trial enrolled 25 patients and compared single-dose intravenous albumin with oral midodrine plus long-acting intramuscular octreotide. The results showed no significant differences in the time to recurrence of ascites (10 days with albumin vs 8 days with vasoconstrictors) or in the rates of post-paracentesis circulatory dysfunction. Patients receiving vasoconstrictors had slightly higher serum creatinine levels and worsening MELD (Model for End-Stage Liver Disease) scores at recurrence, suggesting a trend toward poorer renal outcomes. The trial concluded that midodrine and octreotide did not improve outcomes compared with albumin and may even be less favorable for kidney function. These findings support albumin as the standard therapy and suggest that larger trials with this vasoconstrictor combination are not warranted [12].</w:t>
      </w:r>
      <w:r w:rsidRPr="005E5B9F">
        <w:rPr>
          <w:rFonts w:ascii="Arial" w:hAnsi="Arial" w:cs="Arial"/>
          <w:i/>
          <w:iCs/>
        </w:rPr>
        <w:br/>
      </w:r>
    </w:p>
    <w:p w14:paraId="267589B9" w14:textId="77777777" w:rsidR="008142D2" w:rsidRPr="005E5B9F" w:rsidRDefault="008142D2" w:rsidP="008142D2">
      <w:pPr>
        <w:pStyle w:val="Body"/>
        <w:rPr>
          <w:rFonts w:ascii="Arial" w:hAnsi="Arial" w:cs="Arial"/>
          <w:b/>
          <w:bCs/>
        </w:rPr>
      </w:pPr>
      <w:r w:rsidRPr="005E5B9F">
        <w:rPr>
          <w:rFonts w:ascii="Arial" w:hAnsi="Arial" w:cs="Arial"/>
        </w:rPr>
        <w:t>In summary, the eight included studies highlight both the potential benefits and limitations of midodrine in the management of cirrhosis with refractory ascites. While midodrine improves hemodynamics and may reduce select complications, evidence remains conflicting regarding its ability to replace albumin or improve survival. Table 1 provides a detailed summary of the findings from each included study.</w:t>
      </w:r>
    </w:p>
    <w:p w14:paraId="040275BA" w14:textId="77777777" w:rsidR="008142D2" w:rsidRPr="005E5B9F" w:rsidRDefault="008142D2" w:rsidP="008142D2">
      <w:pPr>
        <w:pStyle w:val="Body"/>
        <w:rPr>
          <w:rFonts w:ascii="Arial" w:hAnsi="Arial" w:cs="Arial"/>
        </w:rPr>
      </w:pPr>
      <w:r w:rsidRPr="005E5B9F">
        <w:rPr>
          <w:rFonts w:ascii="Arial" w:hAnsi="Arial" w:cs="Arial"/>
          <w:b/>
          <w:bCs/>
        </w:rPr>
        <w:t>Table 1.</w:t>
      </w:r>
      <w:r w:rsidRPr="005E5B9F">
        <w:rPr>
          <w:rFonts w:ascii="Arial" w:hAnsi="Arial" w:cs="Arial"/>
        </w:rPr>
        <w:t xml:space="preserve"> Summary of Each Article Included in the Review</w:t>
      </w:r>
    </w:p>
    <w:tbl>
      <w:tblPr>
        <w:tblpPr w:leftFromText="180" w:rightFromText="180" w:topFromText="180" w:bottomFromText="180" w:vertAnchor="text" w:horzAnchor="margin" w:tblpXSpec="center" w:tblpY="18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1327"/>
        <w:gridCol w:w="3353"/>
      </w:tblGrid>
      <w:tr w:rsidR="008142D2" w:rsidRPr="005E5B9F" w14:paraId="681A690D" w14:textId="77777777" w:rsidTr="00353904">
        <w:tc>
          <w:tcPr>
            <w:tcW w:w="2340" w:type="dxa"/>
            <w:tcBorders>
              <w:top w:val="single" w:sz="18" w:space="0" w:color="000000"/>
              <w:left w:val="single" w:sz="18" w:space="0" w:color="000000"/>
              <w:bottom w:val="single" w:sz="18" w:space="0" w:color="000000"/>
              <w:right w:val="single" w:sz="18" w:space="0" w:color="000000"/>
            </w:tcBorders>
          </w:tcPr>
          <w:p w14:paraId="6D6B2607" w14:textId="77777777" w:rsidR="008142D2" w:rsidRPr="005E5B9F" w:rsidRDefault="008142D2" w:rsidP="008142D2">
            <w:pPr>
              <w:pStyle w:val="Body"/>
              <w:rPr>
                <w:rFonts w:ascii="Arial" w:hAnsi="Arial" w:cs="Arial"/>
                <w:b/>
              </w:rPr>
            </w:pPr>
            <w:r w:rsidRPr="005E5B9F">
              <w:rPr>
                <w:rFonts w:ascii="Arial" w:hAnsi="Arial" w:cs="Arial"/>
                <w:b/>
              </w:rPr>
              <w:t>Article Title</w:t>
            </w:r>
          </w:p>
        </w:tc>
        <w:tc>
          <w:tcPr>
            <w:tcW w:w="2340" w:type="dxa"/>
            <w:tcBorders>
              <w:top w:val="single" w:sz="18" w:space="0" w:color="000000"/>
              <w:left w:val="single" w:sz="18" w:space="0" w:color="000000"/>
              <w:bottom w:val="single" w:sz="18" w:space="0" w:color="000000"/>
              <w:right w:val="single" w:sz="18" w:space="0" w:color="000000"/>
            </w:tcBorders>
          </w:tcPr>
          <w:p w14:paraId="429EC2FE" w14:textId="77777777" w:rsidR="008142D2" w:rsidRPr="005E5B9F" w:rsidRDefault="008142D2" w:rsidP="008142D2">
            <w:pPr>
              <w:pStyle w:val="Body"/>
              <w:rPr>
                <w:rFonts w:ascii="Arial" w:hAnsi="Arial" w:cs="Arial"/>
                <w:b/>
              </w:rPr>
            </w:pPr>
            <w:r w:rsidRPr="005E5B9F">
              <w:rPr>
                <w:rFonts w:ascii="Arial" w:hAnsi="Arial" w:cs="Arial"/>
                <w:b/>
              </w:rPr>
              <w:t>Authors</w:t>
            </w:r>
          </w:p>
        </w:tc>
        <w:tc>
          <w:tcPr>
            <w:tcW w:w="1327" w:type="dxa"/>
            <w:tcBorders>
              <w:top w:val="single" w:sz="18" w:space="0" w:color="000000"/>
              <w:left w:val="single" w:sz="18" w:space="0" w:color="000000"/>
              <w:bottom w:val="single" w:sz="18" w:space="0" w:color="000000"/>
              <w:right w:val="single" w:sz="18" w:space="0" w:color="000000"/>
            </w:tcBorders>
          </w:tcPr>
          <w:p w14:paraId="5FAB6C0E" w14:textId="77777777" w:rsidR="008142D2" w:rsidRPr="005E5B9F" w:rsidRDefault="008142D2" w:rsidP="008142D2">
            <w:pPr>
              <w:pStyle w:val="Body"/>
              <w:rPr>
                <w:rFonts w:ascii="Arial" w:hAnsi="Arial" w:cs="Arial"/>
                <w:b/>
              </w:rPr>
            </w:pPr>
            <w:r w:rsidRPr="005E5B9F">
              <w:rPr>
                <w:rFonts w:ascii="Arial" w:hAnsi="Arial" w:cs="Arial"/>
                <w:b/>
              </w:rPr>
              <w:t xml:space="preserve">Year Published </w:t>
            </w:r>
          </w:p>
        </w:tc>
        <w:tc>
          <w:tcPr>
            <w:tcW w:w="3353" w:type="dxa"/>
            <w:tcBorders>
              <w:top w:val="single" w:sz="18" w:space="0" w:color="000000"/>
              <w:left w:val="single" w:sz="18" w:space="0" w:color="000000"/>
              <w:bottom w:val="single" w:sz="18" w:space="0" w:color="000000"/>
              <w:right w:val="single" w:sz="18" w:space="0" w:color="000000"/>
            </w:tcBorders>
          </w:tcPr>
          <w:p w14:paraId="4E5D307F" w14:textId="77777777" w:rsidR="008142D2" w:rsidRPr="005E5B9F" w:rsidRDefault="008142D2" w:rsidP="008142D2">
            <w:pPr>
              <w:pStyle w:val="Body"/>
              <w:rPr>
                <w:rFonts w:ascii="Arial" w:hAnsi="Arial" w:cs="Arial"/>
                <w:b/>
              </w:rPr>
            </w:pPr>
            <w:r w:rsidRPr="005E5B9F">
              <w:rPr>
                <w:rFonts w:ascii="Arial" w:hAnsi="Arial" w:cs="Arial"/>
                <w:b/>
              </w:rPr>
              <w:t>Study Summary</w:t>
            </w:r>
          </w:p>
        </w:tc>
      </w:tr>
      <w:tr w:rsidR="008142D2" w:rsidRPr="005E5B9F" w14:paraId="5EE1F0A2" w14:textId="77777777" w:rsidTr="00353904">
        <w:tc>
          <w:tcPr>
            <w:tcW w:w="2340" w:type="dxa"/>
            <w:tcBorders>
              <w:top w:val="single" w:sz="18" w:space="0" w:color="000000"/>
              <w:left w:val="single" w:sz="18" w:space="0" w:color="000000"/>
            </w:tcBorders>
          </w:tcPr>
          <w:p w14:paraId="583D0DA9" w14:textId="77777777" w:rsidR="008142D2" w:rsidRPr="005E5B9F" w:rsidRDefault="008142D2" w:rsidP="008142D2">
            <w:pPr>
              <w:pStyle w:val="Body"/>
              <w:rPr>
                <w:rFonts w:ascii="Arial" w:hAnsi="Arial" w:cs="Arial"/>
              </w:rPr>
            </w:pPr>
            <w:r w:rsidRPr="005E5B9F">
              <w:rPr>
                <w:rFonts w:ascii="Arial" w:hAnsi="Arial" w:cs="Arial"/>
              </w:rPr>
              <w:lastRenderedPageBreak/>
              <w:t>Acute effects of the oral administration of midodrine, an alpha-adrenergic agonist, on renal hemodynamics and renal function in cirrhotic patients with ascites [5]</w:t>
            </w:r>
          </w:p>
        </w:tc>
        <w:tc>
          <w:tcPr>
            <w:tcW w:w="2340" w:type="dxa"/>
            <w:tcBorders>
              <w:top w:val="single" w:sz="18" w:space="0" w:color="000000"/>
            </w:tcBorders>
          </w:tcPr>
          <w:p w14:paraId="3941E27D" w14:textId="77777777" w:rsidR="008142D2" w:rsidRPr="005E5B9F" w:rsidRDefault="008142D2" w:rsidP="008142D2">
            <w:pPr>
              <w:pStyle w:val="Body"/>
              <w:rPr>
                <w:rFonts w:ascii="Arial" w:hAnsi="Arial" w:cs="Arial"/>
              </w:rPr>
            </w:pPr>
            <w:r w:rsidRPr="005E5B9F">
              <w:rPr>
                <w:rFonts w:ascii="Arial" w:hAnsi="Arial" w:cs="Arial"/>
              </w:rPr>
              <w:t>Paolo Angeli, Roberta Volpin, Donatella Piovan, Andrea Bortoluzzi, Raffaella Craighero, Stefania Bottaro, Gian Franco Finucci, Edoardo Casiglia, Antonietta Sticca, Renzo De Toni, Lucia Pavan, Angelo Gatta</w:t>
            </w:r>
          </w:p>
        </w:tc>
        <w:tc>
          <w:tcPr>
            <w:tcW w:w="1327" w:type="dxa"/>
            <w:tcBorders>
              <w:top w:val="single" w:sz="18" w:space="0" w:color="000000"/>
            </w:tcBorders>
          </w:tcPr>
          <w:p w14:paraId="2F9AA3F0" w14:textId="77777777" w:rsidR="008142D2" w:rsidRPr="005E5B9F" w:rsidRDefault="008142D2" w:rsidP="008142D2">
            <w:pPr>
              <w:pStyle w:val="Body"/>
              <w:rPr>
                <w:rFonts w:ascii="Arial" w:hAnsi="Arial" w:cs="Arial"/>
              </w:rPr>
            </w:pPr>
            <w:r w:rsidRPr="005E5B9F">
              <w:rPr>
                <w:rFonts w:ascii="Arial" w:hAnsi="Arial" w:cs="Arial"/>
              </w:rPr>
              <w:t>1998</w:t>
            </w:r>
          </w:p>
        </w:tc>
        <w:tc>
          <w:tcPr>
            <w:tcW w:w="3353" w:type="dxa"/>
            <w:tcBorders>
              <w:top w:val="single" w:sz="18" w:space="0" w:color="000000"/>
              <w:right w:val="single" w:sz="18" w:space="0" w:color="000000"/>
            </w:tcBorders>
          </w:tcPr>
          <w:p w14:paraId="5A8FEF73" w14:textId="77777777" w:rsidR="008142D2" w:rsidRPr="005E5B9F" w:rsidRDefault="008142D2" w:rsidP="008142D2">
            <w:pPr>
              <w:pStyle w:val="Body"/>
              <w:rPr>
                <w:rFonts w:ascii="Arial" w:hAnsi="Arial" w:cs="Arial"/>
              </w:rPr>
            </w:pPr>
            <w:r w:rsidRPr="005E5B9F">
              <w:rPr>
                <w:rFonts w:ascii="Arial" w:hAnsi="Arial" w:cs="Arial"/>
              </w:rPr>
              <w:t>This randomized trial evaluates the acute effects of oral midodrine, an α-adrenergic agonist, on systemic and renal hemodynamics in cirrhotic patients with ascites, showing improved renal perfusion and sodium excretion in patients without hepatorenal syndrome but no real benefit in those with type 2 HRS.</w:t>
            </w:r>
          </w:p>
        </w:tc>
      </w:tr>
      <w:tr w:rsidR="008142D2" w:rsidRPr="005E5B9F" w14:paraId="546BD60D" w14:textId="77777777" w:rsidTr="00353904">
        <w:tc>
          <w:tcPr>
            <w:tcW w:w="2340" w:type="dxa"/>
            <w:tcBorders>
              <w:left w:val="single" w:sz="18" w:space="0" w:color="000000"/>
            </w:tcBorders>
          </w:tcPr>
          <w:p w14:paraId="1CD9593C" w14:textId="77777777" w:rsidR="008142D2" w:rsidRPr="005E5B9F" w:rsidRDefault="008142D2" w:rsidP="008142D2">
            <w:pPr>
              <w:pStyle w:val="Body"/>
              <w:rPr>
                <w:rFonts w:ascii="Arial" w:hAnsi="Arial" w:cs="Arial"/>
              </w:rPr>
            </w:pPr>
            <w:r w:rsidRPr="005E5B9F">
              <w:rPr>
                <w:rFonts w:ascii="Arial" w:hAnsi="Arial" w:cs="Arial"/>
              </w:rPr>
              <w:t xml:space="preserve">Addition of midodrine to albumin reduces the incidence of complications of large-volume paracentesis: an RCT comparing midodrine, </w:t>
            </w:r>
            <w:proofErr w:type="spellStart"/>
            <w:r w:rsidRPr="005E5B9F">
              <w:rPr>
                <w:rFonts w:ascii="Arial" w:hAnsi="Arial" w:cs="Arial"/>
              </w:rPr>
              <w:t>terlipressin</w:t>
            </w:r>
            <w:proofErr w:type="spellEnd"/>
            <w:r w:rsidRPr="005E5B9F">
              <w:rPr>
                <w:rFonts w:ascii="Arial" w:hAnsi="Arial" w:cs="Arial"/>
              </w:rPr>
              <w:t>, and albumin [6]</w:t>
            </w:r>
          </w:p>
          <w:p w14:paraId="5941193A" w14:textId="77777777" w:rsidR="008142D2" w:rsidRPr="005E5B9F" w:rsidRDefault="008142D2" w:rsidP="008142D2">
            <w:pPr>
              <w:pStyle w:val="Body"/>
              <w:rPr>
                <w:rFonts w:ascii="Arial" w:hAnsi="Arial" w:cs="Arial"/>
              </w:rPr>
            </w:pPr>
          </w:p>
        </w:tc>
        <w:tc>
          <w:tcPr>
            <w:tcW w:w="2340" w:type="dxa"/>
          </w:tcPr>
          <w:p w14:paraId="3171BC62" w14:textId="77777777" w:rsidR="008142D2" w:rsidRPr="005E5B9F" w:rsidRDefault="008142D2" w:rsidP="008142D2">
            <w:pPr>
              <w:pStyle w:val="Body"/>
              <w:rPr>
                <w:rFonts w:ascii="Arial" w:hAnsi="Arial" w:cs="Arial"/>
              </w:rPr>
            </w:pPr>
            <w:r w:rsidRPr="005E5B9F">
              <w:rPr>
                <w:rFonts w:ascii="Arial" w:hAnsi="Arial" w:cs="Arial"/>
              </w:rPr>
              <w:t xml:space="preserve">Anand Kulkarni, Rakhi Maiwall, Vinod Arora, Ankur Jindal, Sherin Thomas, Rehmat Ali, Sukriti </w:t>
            </w:r>
            <w:proofErr w:type="spellStart"/>
            <w:r w:rsidRPr="005E5B9F">
              <w:rPr>
                <w:rFonts w:ascii="Arial" w:hAnsi="Arial" w:cs="Arial"/>
              </w:rPr>
              <w:t>Baweja</w:t>
            </w:r>
            <w:proofErr w:type="spellEnd"/>
            <w:r w:rsidRPr="005E5B9F">
              <w:rPr>
                <w:rFonts w:ascii="Arial" w:hAnsi="Arial" w:cs="Arial"/>
              </w:rPr>
              <w:t xml:space="preserve">, Ankit Bhardwaj, </w:t>
            </w:r>
            <w:proofErr w:type="spellStart"/>
            <w:r w:rsidRPr="005E5B9F">
              <w:rPr>
                <w:rFonts w:ascii="Arial" w:hAnsi="Arial" w:cs="Arial"/>
              </w:rPr>
              <w:t>Guresh</w:t>
            </w:r>
            <w:proofErr w:type="spellEnd"/>
            <w:r w:rsidRPr="005E5B9F">
              <w:rPr>
                <w:rFonts w:ascii="Arial" w:hAnsi="Arial" w:cs="Arial"/>
              </w:rPr>
              <w:t xml:space="preserve"> Kumar, Shiv Kumar Sarin</w:t>
            </w:r>
          </w:p>
          <w:p w14:paraId="7354CE2B" w14:textId="77777777" w:rsidR="008142D2" w:rsidRPr="005E5B9F" w:rsidRDefault="008142D2" w:rsidP="008142D2">
            <w:pPr>
              <w:pStyle w:val="Body"/>
              <w:rPr>
                <w:rFonts w:ascii="Arial" w:hAnsi="Arial" w:cs="Arial"/>
              </w:rPr>
            </w:pPr>
          </w:p>
          <w:p w14:paraId="17764E45" w14:textId="77777777" w:rsidR="008142D2" w:rsidRPr="005E5B9F" w:rsidRDefault="008142D2" w:rsidP="008142D2">
            <w:pPr>
              <w:pStyle w:val="Body"/>
              <w:rPr>
                <w:rFonts w:ascii="Arial" w:hAnsi="Arial" w:cs="Arial"/>
              </w:rPr>
            </w:pPr>
          </w:p>
        </w:tc>
        <w:tc>
          <w:tcPr>
            <w:tcW w:w="1327" w:type="dxa"/>
          </w:tcPr>
          <w:p w14:paraId="30A57047" w14:textId="77777777" w:rsidR="008142D2" w:rsidRPr="005E5B9F" w:rsidRDefault="008142D2" w:rsidP="008142D2">
            <w:pPr>
              <w:pStyle w:val="Body"/>
              <w:rPr>
                <w:rFonts w:ascii="Arial" w:hAnsi="Arial" w:cs="Arial"/>
              </w:rPr>
            </w:pPr>
            <w:r w:rsidRPr="005E5B9F">
              <w:rPr>
                <w:rFonts w:ascii="Arial" w:hAnsi="Arial" w:cs="Arial"/>
              </w:rPr>
              <w:t>2025</w:t>
            </w:r>
          </w:p>
        </w:tc>
        <w:tc>
          <w:tcPr>
            <w:tcW w:w="3353" w:type="dxa"/>
            <w:tcBorders>
              <w:right w:val="single" w:sz="18" w:space="0" w:color="000000"/>
            </w:tcBorders>
          </w:tcPr>
          <w:p w14:paraId="55D12B02" w14:textId="77777777" w:rsidR="008142D2" w:rsidRPr="005E5B9F" w:rsidRDefault="008142D2" w:rsidP="008142D2">
            <w:pPr>
              <w:pStyle w:val="Body"/>
              <w:rPr>
                <w:rFonts w:ascii="Arial" w:hAnsi="Arial" w:cs="Arial"/>
              </w:rPr>
            </w:pPr>
            <w:r w:rsidRPr="005E5B9F">
              <w:rPr>
                <w:rFonts w:ascii="Arial" w:hAnsi="Arial" w:cs="Arial"/>
              </w:rPr>
              <w:t xml:space="preserve">This randomized controlled trial evaluates whether adding oral midodrine or </w:t>
            </w:r>
            <w:proofErr w:type="spellStart"/>
            <w:r w:rsidRPr="005E5B9F">
              <w:rPr>
                <w:rFonts w:ascii="Arial" w:hAnsi="Arial" w:cs="Arial"/>
              </w:rPr>
              <w:t>terlipressin</w:t>
            </w:r>
            <w:proofErr w:type="spellEnd"/>
            <w:r w:rsidRPr="005E5B9F">
              <w:rPr>
                <w:rFonts w:ascii="Arial" w:hAnsi="Arial" w:cs="Arial"/>
              </w:rPr>
              <w:t xml:space="preserve"> to albumin reduces complications of large-volume paracentesis in cirrhotic patients with refractory ascites, showing that midodrine plus albumin prevents hypotension and lowers new-onset complication rates compared to albumin alone.</w:t>
            </w:r>
          </w:p>
        </w:tc>
      </w:tr>
      <w:tr w:rsidR="008142D2" w:rsidRPr="005E5B9F" w14:paraId="7BA7D7A8" w14:textId="77777777" w:rsidTr="00353904">
        <w:tc>
          <w:tcPr>
            <w:tcW w:w="2340" w:type="dxa"/>
            <w:tcBorders>
              <w:left w:val="single" w:sz="18" w:space="0" w:color="000000"/>
            </w:tcBorders>
          </w:tcPr>
          <w:p w14:paraId="47FF80E5" w14:textId="77777777" w:rsidR="008142D2" w:rsidRPr="005E5B9F" w:rsidRDefault="008142D2" w:rsidP="008142D2">
            <w:pPr>
              <w:pStyle w:val="Body"/>
              <w:rPr>
                <w:rFonts w:ascii="Arial" w:hAnsi="Arial" w:cs="Arial"/>
              </w:rPr>
            </w:pPr>
            <w:r w:rsidRPr="005E5B9F">
              <w:rPr>
                <w:rFonts w:ascii="Arial" w:hAnsi="Arial" w:cs="Arial"/>
              </w:rPr>
              <w:t>Comparison of midodrine and albumin in the prevention of paracentesis-induced circulatory dysfunction in cirrhotic patients: a randomized pilot study [7]</w:t>
            </w:r>
          </w:p>
        </w:tc>
        <w:tc>
          <w:tcPr>
            <w:tcW w:w="2340" w:type="dxa"/>
          </w:tcPr>
          <w:p w14:paraId="3000B8AB" w14:textId="77777777" w:rsidR="008142D2" w:rsidRPr="005E5B9F" w:rsidRDefault="008142D2" w:rsidP="008142D2">
            <w:pPr>
              <w:pStyle w:val="Body"/>
              <w:rPr>
                <w:rFonts w:ascii="Arial" w:hAnsi="Arial" w:cs="Arial"/>
              </w:rPr>
            </w:pPr>
            <w:r w:rsidRPr="005E5B9F">
              <w:rPr>
                <w:rFonts w:ascii="Arial" w:hAnsi="Arial" w:cs="Arial"/>
              </w:rPr>
              <w:t>Hassan Hamdy, Ahmed Elbaz, Ahmed Hassan, Omayma Hassanin</w:t>
            </w:r>
          </w:p>
        </w:tc>
        <w:tc>
          <w:tcPr>
            <w:tcW w:w="1327" w:type="dxa"/>
          </w:tcPr>
          <w:p w14:paraId="26B94C0B" w14:textId="77777777" w:rsidR="008142D2" w:rsidRPr="005E5B9F" w:rsidRDefault="008142D2" w:rsidP="008142D2">
            <w:pPr>
              <w:pStyle w:val="Body"/>
              <w:rPr>
                <w:rFonts w:ascii="Arial" w:hAnsi="Arial" w:cs="Arial"/>
              </w:rPr>
            </w:pPr>
            <w:r w:rsidRPr="005E5B9F">
              <w:rPr>
                <w:rFonts w:ascii="Arial" w:hAnsi="Arial" w:cs="Arial"/>
              </w:rPr>
              <w:t>2014</w:t>
            </w:r>
          </w:p>
        </w:tc>
        <w:tc>
          <w:tcPr>
            <w:tcW w:w="3353" w:type="dxa"/>
            <w:tcBorders>
              <w:right w:val="single" w:sz="18" w:space="0" w:color="000000"/>
            </w:tcBorders>
          </w:tcPr>
          <w:p w14:paraId="2DA70642" w14:textId="77777777" w:rsidR="008142D2" w:rsidRPr="005E5B9F" w:rsidRDefault="008142D2" w:rsidP="008142D2">
            <w:pPr>
              <w:pStyle w:val="Body"/>
              <w:rPr>
                <w:rFonts w:ascii="Arial" w:hAnsi="Arial" w:cs="Arial"/>
              </w:rPr>
            </w:pPr>
            <w:r w:rsidRPr="005E5B9F">
              <w:rPr>
                <w:rFonts w:ascii="Arial" w:hAnsi="Arial" w:cs="Arial"/>
              </w:rPr>
              <w:t>This study compares oral midodrine with intravenous albumin for preventing paracentesis-induced circulatory dysfunction in cirrhotic patients with tense ascites, finding that midodrine is less effective than albumin, particularly in patients with hepatocellular carcinoma, and associated with worse renal and survival outcomes despite lower cost.</w:t>
            </w:r>
          </w:p>
        </w:tc>
      </w:tr>
      <w:tr w:rsidR="008142D2" w:rsidRPr="005E5B9F" w14:paraId="73871DAD" w14:textId="77777777" w:rsidTr="00353904">
        <w:tc>
          <w:tcPr>
            <w:tcW w:w="2340" w:type="dxa"/>
            <w:tcBorders>
              <w:left w:val="single" w:sz="18" w:space="0" w:color="000000"/>
            </w:tcBorders>
          </w:tcPr>
          <w:p w14:paraId="71094562" w14:textId="77777777" w:rsidR="008142D2" w:rsidRPr="005E5B9F" w:rsidRDefault="008142D2" w:rsidP="008142D2">
            <w:pPr>
              <w:pStyle w:val="Body"/>
              <w:rPr>
                <w:rFonts w:ascii="Arial" w:hAnsi="Arial" w:cs="Arial"/>
              </w:rPr>
            </w:pPr>
            <w:r w:rsidRPr="005E5B9F">
              <w:rPr>
                <w:rFonts w:ascii="Arial" w:hAnsi="Arial" w:cs="Arial"/>
              </w:rPr>
              <w:t xml:space="preserve">Midodrine versus albumin in the prevention of paracentesis-induced circulatory dysfunction in </w:t>
            </w:r>
            <w:proofErr w:type="spellStart"/>
            <w:r w:rsidRPr="005E5B9F">
              <w:rPr>
                <w:rFonts w:ascii="Arial" w:hAnsi="Arial" w:cs="Arial"/>
              </w:rPr>
              <w:t>cirrhotics</w:t>
            </w:r>
            <w:proofErr w:type="spellEnd"/>
            <w:r w:rsidRPr="005E5B9F">
              <w:rPr>
                <w:rFonts w:ascii="Arial" w:hAnsi="Arial" w:cs="Arial"/>
              </w:rPr>
              <w:t>: a randomized pilot study [8]</w:t>
            </w:r>
          </w:p>
          <w:p w14:paraId="0BB7BC76" w14:textId="77777777" w:rsidR="008142D2" w:rsidRPr="005E5B9F" w:rsidRDefault="008142D2" w:rsidP="008142D2">
            <w:pPr>
              <w:pStyle w:val="Body"/>
              <w:rPr>
                <w:rFonts w:ascii="Arial" w:hAnsi="Arial" w:cs="Arial"/>
              </w:rPr>
            </w:pPr>
          </w:p>
        </w:tc>
        <w:tc>
          <w:tcPr>
            <w:tcW w:w="2340" w:type="dxa"/>
          </w:tcPr>
          <w:p w14:paraId="22C5B816" w14:textId="77777777" w:rsidR="008142D2" w:rsidRPr="005E5B9F" w:rsidRDefault="008142D2" w:rsidP="008142D2">
            <w:pPr>
              <w:pStyle w:val="Body"/>
              <w:rPr>
                <w:rFonts w:ascii="Arial" w:hAnsi="Arial" w:cs="Arial"/>
              </w:rPr>
            </w:pPr>
            <w:r w:rsidRPr="005E5B9F">
              <w:rPr>
                <w:rFonts w:ascii="Arial" w:hAnsi="Arial" w:cs="Arial"/>
              </w:rPr>
              <w:t>Virendra Singh, Prashant Dheerendra, Baljinder Singh, Chander Nain, Divya Chawla, Navneet Sharma, Ashish Bhalla, Sushil Mahi</w:t>
            </w:r>
          </w:p>
        </w:tc>
        <w:tc>
          <w:tcPr>
            <w:tcW w:w="1327" w:type="dxa"/>
          </w:tcPr>
          <w:p w14:paraId="1633E6D5" w14:textId="77777777" w:rsidR="008142D2" w:rsidRPr="005E5B9F" w:rsidRDefault="008142D2" w:rsidP="008142D2">
            <w:pPr>
              <w:pStyle w:val="Body"/>
              <w:rPr>
                <w:rFonts w:ascii="Arial" w:hAnsi="Arial" w:cs="Arial"/>
              </w:rPr>
            </w:pPr>
            <w:r w:rsidRPr="005E5B9F">
              <w:rPr>
                <w:rFonts w:ascii="Arial" w:hAnsi="Arial" w:cs="Arial"/>
              </w:rPr>
              <w:t>2008</w:t>
            </w:r>
          </w:p>
        </w:tc>
        <w:tc>
          <w:tcPr>
            <w:tcW w:w="3353" w:type="dxa"/>
            <w:tcBorders>
              <w:right w:val="single" w:sz="18" w:space="0" w:color="000000"/>
            </w:tcBorders>
          </w:tcPr>
          <w:p w14:paraId="602B2DC1" w14:textId="77777777" w:rsidR="008142D2" w:rsidRPr="005E5B9F" w:rsidRDefault="008142D2" w:rsidP="008142D2">
            <w:pPr>
              <w:pStyle w:val="Body"/>
              <w:rPr>
                <w:rFonts w:ascii="Arial" w:hAnsi="Arial" w:cs="Arial"/>
              </w:rPr>
            </w:pPr>
            <w:r w:rsidRPr="005E5B9F">
              <w:rPr>
                <w:rFonts w:ascii="Arial" w:hAnsi="Arial" w:cs="Arial"/>
              </w:rPr>
              <w:t>This randomized pilot study compares midodrine and albumin in preventing paracentesis-induced circulatory dysfunction in cirrhotic patients with tense ascites, showing that midodrine may be as effective as albumin while offering lower cost and additional benefits in urine output and sodium excretion.</w:t>
            </w:r>
          </w:p>
        </w:tc>
      </w:tr>
      <w:tr w:rsidR="008142D2" w:rsidRPr="005E5B9F" w14:paraId="3E88ABB0" w14:textId="77777777" w:rsidTr="00353904">
        <w:tc>
          <w:tcPr>
            <w:tcW w:w="2340" w:type="dxa"/>
            <w:tcBorders>
              <w:left w:val="single" w:sz="18" w:space="0" w:color="000000"/>
            </w:tcBorders>
          </w:tcPr>
          <w:p w14:paraId="218A6A83" w14:textId="77777777" w:rsidR="008142D2" w:rsidRPr="005E5B9F" w:rsidRDefault="008142D2" w:rsidP="008142D2">
            <w:pPr>
              <w:pStyle w:val="Body"/>
              <w:rPr>
                <w:rFonts w:ascii="Arial" w:hAnsi="Arial" w:cs="Arial"/>
              </w:rPr>
            </w:pPr>
            <w:r w:rsidRPr="005E5B9F">
              <w:rPr>
                <w:rFonts w:ascii="Arial" w:hAnsi="Arial" w:cs="Arial"/>
              </w:rPr>
              <w:t>Prevention of paracentesis-induced circulatory dysfunction: midodrine vs albumin. A randomized pilot study [9]</w:t>
            </w:r>
          </w:p>
        </w:tc>
        <w:tc>
          <w:tcPr>
            <w:tcW w:w="2340" w:type="dxa"/>
          </w:tcPr>
          <w:p w14:paraId="5624F662" w14:textId="77777777" w:rsidR="008142D2" w:rsidRPr="005E5B9F" w:rsidRDefault="008142D2" w:rsidP="008142D2">
            <w:pPr>
              <w:pStyle w:val="Body"/>
              <w:rPr>
                <w:rFonts w:ascii="Arial" w:hAnsi="Arial" w:cs="Arial"/>
              </w:rPr>
            </w:pPr>
            <w:proofErr w:type="spellStart"/>
            <w:r w:rsidRPr="005E5B9F">
              <w:rPr>
                <w:rFonts w:ascii="Arial" w:hAnsi="Arial" w:cs="Arial"/>
              </w:rPr>
              <w:t>Beate</w:t>
            </w:r>
            <w:proofErr w:type="spellEnd"/>
            <w:r w:rsidRPr="005E5B9F">
              <w:rPr>
                <w:rFonts w:ascii="Arial" w:hAnsi="Arial" w:cs="Arial"/>
              </w:rPr>
              <w:t xml:space="preserve"> </w:t>
            </w:r>
            <w:proofErr w:type="spellStart"/>
            <w:r w:rsidRPr="005E5B9F">
              <w:rPr>
                <w:rFonts w:ascii="Arial" w:hAnsi="Arial" w:cs="Arial"/>
              </w:rPr>
              <w:t>Appenrodt</w:t>
            </w:r>
            <w:proofErr w:type="spellEnd"/>
            <w:r w:rsidRPr="005E5B9F">
              <w:rPr>
                <w:rFonts w:ascii="Arial" w:hAnsi="Arial" w:cs="Arial"/>
              </w:rPr>
              <w:t>, Andrea Wolf, Frank Grünhage, Jonel Trebicka, Michael Schepke, Christian Rabe, Frank Lammert, Tilman Sauerbruch, J. Heller</w:t>
            </w:r>
          </w:p>
        </w:tc>
        <w:tc>
          <w:tcPr>
            <w:tcW w:w="1327" w:type="dxa"/>
          </w:tcPr>
          <w:p w14:paraId="630D02CA" w14:textId="77777777" w:rsidR="008142D2" w:rsidRPr="005E5B9F" w:rsidRDefault="008142D2" w:rsidP="008142D2">
            <w:pPr>
              <w:pStyle w:val="Body"/>
              <w:rPr>
                <w:rFonts w:ascii="Arial" w:hAnsi="Arial" w:cs="Arial"/>
              </w:rPr>
            </w:pPr>
            <w:r w:rsidRPr="005E5B9F">
              <w:rPr>
                <w:rFonts w:ascii="Arial" w:hAnsi="Arial" w:cs="Arial"/>
              </w:rPr>
              <w:t>2008</w:t>
            </w:r>
          </w:p>
        </w:tc>
        <w:tc>
          <w:tcPr>
            <w:tcW w:w="3353" w:type="dxa"/>
            <w:tcBorders>
              <w:right w:val="single" w:sz="18" w:space="0" w:color="000000"/>
            </w:tcBorders>
          </w:tcPr>
          <w:p w14:paraId="0530DC86" w14:textId="77777777" w:rsidR="008142D2" w:rsidRPr="005E5B9F" w:rsidRDefault="008142D2" w:rsidP="008142D2">
            <w:pPr>
              <w:pStyle w:val="Body"/>
              <w:rPr>
                <w:rFonts w:ascii="Arial" w:hAnsi="Arial" w:cs="Arial"/>
              </w:rPr>
            </w:pPr>
            <w:r w:rsidRPr="005E5B9F">
              <w:rPr>
                <w:rFonts w:ascii="Arial" w:hAnsi="Arial" w:cs="Arial"/>
              </w:rPr>
              <w:t xml:space="preserve">This randomized pilot study compares oral midodrine with intravenous albumin in preventing paracentesis-induced circulatory dysfunction in cirrhotic patients with tense ascites, finding that midodrine was less effective than albumin, with higher rates of circulatory dysfunction and renal </w:t>
            </w:r>
            <w:r w:rsidRPr="005E5B9F">
              <w:rPr>
                <w:rFonts w:ascii="Arial" w:hAnsi="Arial" w:cs="Arial"/>
              </w:rPr>
              <w:lastRenderedPageBreak/>
              <w:t>impairment in the midodrine group.</w:t>
            </w:r>
          </w:p>
        </w:tc>
      </w:tr>
      <w:tr w:rsidR="008142D2" w:rsidRPr="005E5B9F" w14:paraId="4C44959C" w14:textId="77777777" w:rsidTr="00353904">
        <w:tc>
          <w:tcPr>
            <w:tcW w:w="2340" w:type="dxa"/>
            <w:tcBorders>
              <w:left w:val="single" w:sz="18" w:space="0" w:color="000000"/>
            </w:tcBorders>
          </w:tcPr>
          <w:p w14:paraId="1C2F62D2" w14:textId="77777777" w:rsidR="008142D2" w:rsidRPr="005E5B9F" w:rsidRDefault="008142D2" w:rsidP="008142D2">
            <w:pPr>
              <w:pStyle w:val="Body"/>
              <w:rPr>
                <w:rFonts w:ascii="Arial" w:hAnsi="Arial" w:cs="Arial"/>
              </w:rPr>
            </w:pPr>
            <w:r w:rsidRPr="005E5B9F">
              <w:rPr>
                <w:rFonts w:ascii="Arial" w:hAnsi="Arial" w:cs="Arial"/>
              </w:rPr>
              <w:lastRenderedPageBreak/>
              <w:t>Midodrine plus propranolol versus propranolol alone in preventing first bleed in patients with cirrhosis and severe ascites: a randomized controlled trial [10]</w:t>
            </w:r>
          </w:p>
        </w:tc>
        <w:tc>
          <w:tcPr>
            <w:tcW w:w="2340" w:type="dxa"/>
          </w:tcPr>
          <w:p w14:paraId="60EECAA2" w14:textId="77777777" w:rsidR="008142D2" w:rsidRPr="005E5B9F" w:rsidRDefault="008142D2" w:rsidP="008142D2">
            <w:pPr>
              <w:pStyle w:val="Body"/>
              <w:rPr>
                <w:rFonts w:ascii="Arial" w:hAnsi="Arial" w:cs="Arial"/>
              </w:rPr>
            </w:pPr>
            <w:r w:rsidRPr="005E5B9F">
              <w:rPr>
                <w:rFonts w:ascii="Arial" w:hAnsi="Arial" w:cs="Arial"/>
              </w:rPr>
              <w:t xml:space="preserve">Abhijeet Ranjan, Ankur Jindal, Rakhi </w:t>
            </w:r>
            <w:proofErr w:type="spellStart"/>
            <w:r w:rsidRPr="005E5B9F">
              <w:rPr>
                <w:rFonts w:ascii="Arial" w:hAnsi="Arial" w:cs="Arial"/>
              </w:rPr>
              <w:t>Maiwall</w:t>
            </w:r>
            <w:proofErr w:type="spellEnd"/>
            <w:r w:rsidRPr="005E5B9F">
              <w:rPr>
                <w:rFonts w:ascii="Arial" w:hAnsi="Arial" w:cs="Arial"/>
              </w:rPr>
              <w:t xml:space="preserve">, </w:t>
            </w:r>
            <w:proofErr w:type="spellStart"/>
            <w:r w:rsidRPr="005E5B9F">
              <w:rPr>
                <w:rFonts w:ascii="Arial" w:hAnsi="Arial" w:cs="Arial"/>
              </w:rPr>
              <w:t>Chitranshu</w:t>
            </w:r>
            <w:proofErr w:type="spellEnd"/>
            <w:r w:rsidRPr="005E5B9F">
              <w:rPr>
                <w:rFonts w:ascii="Arial" w:hAnsi="Arial" w:cs="Arial"/>
              </w:rPr>
              <w:t xml:space="preserve"> </w:t>
            </w:r>
            <w:proofErr w:type="spellStart"/>
            <w:r w:rsidRPr="005E5B9F">
              <w:rPr>
                <w:rFonts w:ascii="Arial" w:hAnsi="Arial" w:cs="Arial"/>
              </w:rPr>
              <w:t>Vashishtha</w:t>
            </w:r>
            <w:proofErr w:type="spellEnd"/>
            <w:r w:rsidRPr="005E5B9F">
              <w:rPr>
                <w:rFonts w:ascii="Arial" w:hAnsi="Arial" w:cs="Arial"/>
              </w:rPr>
              <w:t xml:space="preserve">, </w:t>
            </w:r>
            <w:proofErr w:type="spellStart"/>
            <w:r w:rsidRPr="005E5B9F">
              <w:rPr>
                <w:rFonts w:ascii="Arial" w:hAnsi="Arial" w:cs="Arial"/>
              </w:rPr>
              <w:t>Rajan</w:t>
            </w:r>
            <w:proofErr w:type="spellEnd"/>
            <w:r w:rsidRPr="005E5B9F">
              <w:rPr>
                <w:rFonts w:ascii="Arial" w:hAnsi="Arial" w:cs="Arial"/>
              </w:rPr>
              <w:t xml:space="preserve"> Vijayaraghavan, Vinod Arora, Shiv Kumar Sarin</w:t>
            </w:r>
          </w:p>
        </w:tc>
        <w:tc>
          <w:tcPr>
            <w:tcW w:w="1327" w:type="dxa"/>
          </w:tcPr>
          <w:p w14:paraId="43E09978" w14:textId="77777777" w:rsidR="008142D2" w:rsidRPr="005E5B9F" w:rsidRDefault="008142D2" w:rsidP="008142D2">
            <w:pPr>
              <w:pStyle w:val="Body"/>
              <w:rPr>
                <w:rFonts w:ascii="Arial" w:hAnsi="Arial" w:cs="Arial"/>
              </w:rPr>
            </w:pPr>
            <w:r w:rsidRPr="005E5B9F">
              <w:rPr>
                <w:rFonts w:ascii="Arial" w:hAnsi="Arial" w:cs="Arial"/>
              </w:rPr>
              <w:t>2024</w:t>
            </w:r>
          </w:p>
        </w:tc>
        <w:tc>
          <w:tcPr>
            <w:tcW w:w="3353" w:type="dxa"/>
            <w:tcBorders>
              <w:right w:val="single" w:sz="18" w:space="0" w:color="000000"/>
            </w:tcBorders>
          </w:tcPr>
          <w:p w14:paraId="1A6C6AA9" w14:textId="77777777" w:rsidR="008142D2" w:rsidRPr="005E5B9F" w:rsidRDefault="008142D2" w:rsidP="008142D2">
            <w:pPr>
              <w:pStyle w:val="Body"/>
              <w:rPr>
                <w:rFonts w:ascii="Arial" w:hAnsi="Arial" w:cs="Arial"/>
              </w:rPr>
            </w:pPr>
            <w:r w:rsidRPr="005E5B9F">
              <w:rPr>
                <w:rFonts w:ascii="Arial" w:hAnsi="Arial" w:cs="Arial"/>
              </w:rPr>
              <w:t>This randomized controlled trial evaluates whether adding midodrine to propranolol improves prevention of first variceal bleed in cirrhotic patients with severe ascites, showing that the combination achieves greater portal pressure reduction, higher tolerated propranolol doses, better ascites control, and fewer complications compared to propranolol alone.</w:t>
            </w:r>
          </w:p>
        </w:tc>
      </w:tr>
      <w:tr w:rsidR="008142D2" w:rsidRPr="005E5B9F" w14:paraId="5CA8807B" w14:textId="77777777" w:rsidTr="00353904">
        <w:tc>
          <w:tcPr>
            <w:tcW w:w="2340" w:type="dxa"/>
            <w:tcBorders>
              <w:left w:val="single" w:sz="18" w:space="0" w:color="000000"/>
            </w:tcBorders>
          </w:tcPr>
          <w:p w14:paraId="7E2C4EB2" w14:textId="77777777" w:rsidR="008142D2" w:rsidRPr="005E5B9F" w:rsidRDefault="008142D2" w:rsidP="008142D2">
            <w:pPr>
              <w:pStyle w:val="Body"/>
              <w:rPr>
                <w:rFonts w:ascii="Arial" w:hAnsi="Arial" w:cs="Arial"/>
              </w:rPr>
            </w:pPr>
            <w:r w:rsidRPr="005E5B9F">
              <w:rPr>
                <w:rFonts w:ascii="Arial" w:hAnsi="Arial" w:cs="Arial"/>
              </w:rPr>
              <w:t>Midodrine reduces new-onset acute kidney injury and hyponatremia in children with cirrhosis and ascites awaiting liver transplantation: Results from an open-label RCT [11]</w:t>
            </w:r>
          </w:p>
          <w:p w14:paraId="04D3F861" w14:textId="77777777" w:rsidR="008142D2" w:rsidRPr="005E5B9F" w:rsidRDefault="008142D2" w:rsidP="008142D2">
            <w:pPr>
              <w:pStyle w:val="Body"/>
              <w:rPr>
                <w:rFonts w:ascii="Arial" w:hAnsi="Arial" w:cs="Arial"/>
              </w:rPr>
            </w:pPr>
          </w:p>
        </w:tc>
        <w:tc>
          <w:tcPr>
            <w:tcW w:w="2340" w:type="dxa"/>
          </w:tcPr>
          <w:p w14:paraId="52EC6280" w14:textId="77777777" w:rsidR="008142D2" w:rsidRPr="005E5B9F" w:rsidRDefault="008142D2" w:rsidP="008142D2">
            <w:pPr>
              <w:pStyle w:val="Body"/>
              <w:rPr>
                <w:rFonts w:ascii="Arial" w:hAnsi="Arial" w:cs="Arial"/>
              </w:rPr>
            </w:pPr>
            <w:proofErr w:type="spellStart"/>
            <w:r w:rsidRPr="005E5B9F">
              <w:rPr>
                <w:rFonts w:ascii="Arial" w:hAnsi="Arial" w:cs="Arial"/>
              </w:rPr>
              <w:t>Ashritha</w:t>
            </w:r>
            <w:proofErr w:type="spellEnd"/>
            <w:r w:rsidRPr="005E5B9F">
              <w:rPr>
                <w:rFonts w:ascii="Arial" w:hAnsi="Arial" w:cs="Arial"/>
              </w:rPr>
              <w:t xml:space="preserve"> </w:t>
            </w:r>
            <w:proofErr w:type="spellStart"/>
            <w:r w:rsidRPr="005E5B9F">
              <w:rPr>
                <w:rFonts w:ascii="Arial" w:hAnsi="Arial" w:cs="Arial"/>
              </w:rPr>
              <w:t>Ashritha</w:t>
            </w:r>
            <w:proofErr w:type="spellEnd"/>
            <w:r w:rsidRPr="005E5B9F">
              <w:rPr>
                <w:rFonts w:ascii="Arial" w:hAnsi="Arial" w:cs="Arial"/>
              </w:rPr>
              <w:t xml:space="preserve">, </w:t>
            </w:r>
            <w:proofErr w:type="spellStart"/>
            <w:r w:rsidRPr="005E5B9F">
              <w:rPr>
                <w:rFonts w:ascii="Arial" w:hAnsi="Arial" w:cs="Arial"/>
              </w:rPr>
              <w:t>Bikrant</w:t>
            </w:r>
            <w:proofErr w:type="spellEnd"/>
            <w:r w:rsidRPr="005E5B9F">
              <w:rPr>
                <w:rFonts w:ascii="Arial" w:hAnsi="Arial" w:cs="Arial"/>
              </w:rPr>
              <w:t xml:space="preserve"> Lal, Rajeev Khanna, Vikrant Sood, Arun Sood, Seema Alam</w:t>
            </w:r>
          </w:p>
        </w:tc>
        <w:tc>
          <w:tcPr>
            <w:tcW w:w="1327" w:type="dxa"/>
          </w:tcPr>
          <w:p w14:paraId="518BAA5B" w14:textId="77777777" w:rsidR="008142D2" w:rsidRPr="005E5B9F" w:rsidRDefault="008142D2" w:rsidP="008142D2">
            <w:pPr>
              <w:pStyle w:val="Body"/>
              <w:rPr>
                <w:rFonts w:ascii="Arial" w:hAnsi="Arial" w:cs="Arial"/>
              </w:rPr>
            </w:pPr>
            <w:r w:rsidRPr="005E5B9F">
              <w:rPr>
                <w:rFonts w:ascii="Arial" w:hAnsi="Arial" w:cs="Arial"/>
              </w:rPr>
              <w:t>2024</w:t>
            </w:r>
          </w:p>
        </w:tc>
        <w:tc>
          <w:tcPr>
            <w:tcW w:w="3353" w:type="dxa"/>
            <w:tcBorders>
              <w:right w:val="single" w:sz="18" w:space="0" w:color="000000"/>
            </w:tcBorders>
          </w:tcPr>
          <w:p w14:paraId="76134770" w14:textId="77777777" w:rsidR="008142D2" w:rsidRPr="005E5B9F" w:rsidRDefault="008142D2" w:rsidP="008142D2">
            <w:pPr>
              <w:pStyle w:val="Body"/>
              <w:rPr>
                <w:rFonts w:ascii="Arial" w:hAnsi="Arial" w:cs="Arial"/>
              </w:rPr>
            </w:pPr>
            <w:r w:rsidRPr="005E5B9F">
              <w:rPr>
                <w:rFonts w:ascii="Arial" w:hAnsi="Arial" w:cs="Arial"/>
              </w:rPr>
              <w:t>This open-label randomized controlled trial evaluates the effectiveness of midodrine in reducing new-onset acute kidney injury and hyponatremia in children with cirrhosis and ascites awaiting liver transplantation, showing improved renal and systemic hemodynamics but no significant effect on ascites control or survival.</w:t>
            </w:r>
          </w:p>
        </w:tc>
      </w:tr>
      <w:tr w:rsidR="008142D2" w:rsidRPr="005E5B9F" w14:paraId="1B8A9E51" w14:textId="77777777" w:rsidTr="00353904">
        <w:tc>
          <w:tcPr>
            <w:tcW w:w="2340" w:type="dxa"/>
            <w:tcBorders>
              <w:left w:val="single" w:sz="18" w:space="0" w:color="000000"/>
            </w:tcBorders>
          </w:tcPr>
          <w:p w14:paraId="4755E4FF" w14:textId="77777777" w:rsidR="008142D2" w:rsidRPr="005E5B9F" w:rsidRDefault="008142D2" w:rsidP="008142D2">
            <w:pPr>
              <w:pStyle w:val="Body"/>
              <w:rPr>
                <w:rFonts w:ascii="Arial" w:hAnsi="Arial" w:cs="Arial"/>
              </w:rPr>
            </w:pPr>
            <w:r w:rsidRPr="005E5B9F">
              <w:rPr>
                <w:rFonts w:ascii="Arial" w:hAnsi="Arial" w:cs="Arial"/>
              </w:rPr>
              <w:t>The combination of octreotide and midodrine is not superior to albumin in preventing recurrence of ascites after large-volume paracentesis. [12]</w:t>
            </w:r>
          </w:p>
        </w:tc>
        <w:tc>
          <w:tcPr>
            <w:tcW w:w="2340" w:type="dxa"/>
          </w:tcPr>
          <w:p w14:paraId="453EDD35" w14:textId="77777777" w:rsidR="008142D2" w:rsidRPr="005E5B9F" w:rsidRDefault="008142D2" w:rsidP="008142D2">
            <w:pPr>
              <w:pStyle w:val="Body"/>
              <w:rPr>
                <w:rFonts w:ascii="Arial" w:hAnsi="Arial" w:cs="Arial"/>
              </w:rPr>
            </w:pPr>
            <w:r w:rsidRPr="005E5B9F">
              <w:rPr>
                <w:rFonts w:ascii="Arial" w:hAnsi="Arial" w:cs="Arial"/>
              </w:rPr>
              <w:t xml:space="preserve">Khurram Bari, Cecilia </w:t>
            </w:r>
            <w:proofErr w:type="spellStart"/>
            <w:r w:rsidRPr="005E5B9F">
              <w:rPr>
                <w:rFonts w:ascii="Arial" w:hAnsi="Arial" w:cs="Arial"/>
              </w:rPr>
              <w:t>Minano</w:t>
            </w:r>
            <w:proofErr w:type="spellEnd"/>
            <w:r w:rsidRPr="005E5B9F">
              <w:rPr>
                <w:rFonts w:ascii="Arial" w:hAnsi="Arial" w:cs="Arial"/>
              </w:rPr>
              <w:t xml:space="preserve">, Martha Shea, </w:t>
            </w:r>
            <w:proofErr w:type="spellStart"/>
            <w:r w:rsidRPr="005E5B9F">
              <w:rPr>
                <w:rFonts w:ascii="Arial" w:hAnsi="Arial" w:cs="Arial"/>
              </w:rPr>
              <w:t>Irteza</w:t>
            </w:r>
            <w:proofErr w:type="spellEnd"/>
            <w:r w:rsidRPr="005E5B9F">
              <w:rPr>
                <w:rFonts w:ascii="Arial" w:hAnsi="Arial" w:cs="Arial"/>
              </w:rPr>
              <w:t xml:space="preserve"> Inayat, Hashem </w:t>
            </w:r>
            <w:proofErr w:type="spellStart"/>
            <w:r w:rsidRPr="005E5B9F">
              <w:rPr>
                <w:rFonts w:ascii="Arial" w:hAnsi="Arial" w:cs="Arial"/>
              </w:rPr>
              <w:t>Hashem</w:t>
            </w:r>
            <w:proofErr w:type="spellEnd"/>
            <w:r w:rsidRPr="005E5B9F">
              <w:rPr>
                <w:rFonts w:ascii="Arial" w:hAnsi="Arial" w:cs="Arial"/>
              </w:rPr>
              <w:t xml:space="preserve">, </w:t>
            </w:r>
            <w:proofErr w:type="spellStart"/>
            <w:r w:rsidRPr="005E5B9F">
              <w:rPr>
                <w:rFonts w:ascii="Arial" w:hAnsi="Arial" w:cs="Arial"/>
              </w:rPr>
              <w:t>HoChong</w:t>
            </w:r>
            <w:proofErr w:type="spellEnd"/>
            <w:r w:rsidRPr="005E5B9F">
              <w:rPr>
                <w:rFonts w:ascii="Arial" w:hAnsi="Arial" w:cs="Arial"/>
              </w:rPr>
              <w:t xml:space="preserve"> Gilles, Douglas </w:t>
            </w:r>
            <w:proofErr w:type="spellStart"/>
            <w:r w:rsidRPr="005E5B9F">
              <w:rPr>
                <w:rFonts w:ascii="Arial" w:hAnsi="Arial" w:cs="Arial"/>
              </w:rPr>
              <w:t>Heuman</w:t>
            </w:r>
            <w:proofErr w:type="spellEnd"/>
            <w:r w:rsidRPr="005E5B9F">
              <w:rPr>
                <w:rFonts w:ascii="Arial" w:hAnsi="Arial" w:cs="Arial"/>
              </w:rPr>
              <w:t>, Guadalupe Garcia-Tsao</w:t>
            </w:r>
          </w:p>
        </w:tc>
        <w:tc>
          <w:tcPr>
            <w:tcW w:w="1327" w:type="dxa"/>
          </w:tcPr>
          <w:p w14:paraId="17B91A8A" w14:textId="77777777" w:rsidR="008142D2" w:rsidRPr="005E5B9F" w:rsidRDefault="008142D2" w:rsidP="008142D2">
            <w:pPr>
              <w:pStyle w:val="Body"/>
              <w:rPr>
                <w:rFonts w:ascii="Arial" w:hAnsi="Arial" w:cs="Arial"/>
              </w:rPr>
            </w:pPr>
            <w:r w:rsidRPr="005E5B9F">
              <w:rPr>
                <w:rFonts w:ascii="Arial" w:hAnsi="Arial" w:cs="Arial"/>
              </w:rPr>
              <w:t>2012</w:t>
            </w:r>
          </w:p>
        </w:tc>
        <w:tc>
          <w:tcPr>
            <w:tcW w:w="3353" w:type="dxa"/>
            <w:tcBorders>
              <w:right w:val="single" w:sz="18" w:space="0" w:color="000000"/>
            </w:tcBorders>
          </w:tcPr>
          <w:p w14:paraId="333BE345" w14:textId="77777777" w:rsidR="008142D2" w:rsidRPr="005E5B9F" w:rsidRDefault="008142D2" w:rsidP="008142D2">
            <w:pPr>
              <w:pStyle w:val="Body"/>
              <w:rPr>
                <w:rFonts w:ascii="Arial" w:hAnsi="Arial" w:cs="Arial"/>
              </w:rPr>
            </w:pPr>
            <w:r w:rsidRPr="005E5B9F">
              <w:rPr>
                <w:rFonts w:ascii="Arial" w:hAnsi="Arial" w:cs="Arial"/>
              </w:rPr>
              <w:t>This randomized double-blind trial compares long-term vasoconstrictor therapy with midodrine plus octreotide to intravenous albumin after large-volume paracentesis in cirrhotic patients with refractory ascites, showing that the combination is not superior to albumin in preventing circulatory dysfunction or delaying ascites recurrence, and may worsen renal function and MELD score.</w:t>
            </w:r>
          </w:p>
        </w:tc>
      </w:tr>
    </w:tbl>
    <w:p w14:paraId="70B27C5A" w14:textId="77777777" w:rsidR="008142D2" w:rsidRPr="005E5B9F" w:rsidRDefault="008142D2" w:rsidP="008142D2">
      <w:pPr>
        <w:pStyle w:val="Body"/>
        <w:spacing w:after="0"/>
        <w:rPr>
          <w:rFonts w:ascii="Arial" w:hAnsi="Arial" w:cs="Arial"/>
        </w:rPr>
      </w:pPr>
      <w:r w:rsidRPr="005E5B9F">
        <w:rPr>
          <w:rFonts w:ascii="Arial" w:hAnsi="Arial" w:cs="Arial"/>
        </w:rPr>
        <w:t>This review examined eight studies evaluating midodrine, alone or in combination, in patients with cirrhosis and refractory ascites. Across trials, midodrine consistently improved systemic hemodynamics and renal perfusion, reflected by increased mean arterial pressure and reduced plasma renin activity. These effects were most notable in patients without advanced hepatorenal syndrome, suggesting midodrine may provide early benefits in circulatory support.</w:t>
      </w:r>
    </w:p>
    <w:p w14:paraId="67FF0D2E" w14:textId="77777777" w:rsidR="008142D2" w:rsidRPr="005E5B9F" w:rsidRDefault="008142D2" w:rsidP="008142D2">
      <w:pPr>
        <w:pStyle w:val="Body"/>
        <w:spacing w:after="0"/>
        <w:rPr>
          <w:rFonts w:ascii="Arial" w:hAnsi="Arial" w:cs="Arial"/>
        </w:rPr>
      </w:pPr>
    </w:p>
    <w:p w14:paraId="0A598288" w14:textId="77777777" w:rsidR="008142D2" w:rsidRPr="005E5B9F" w:rsidRDefault="008142D2" w:rsidP="008142D2">
      <w:pPr>
        <w:pStyle w:val="Body"/>
        <w:spacing w:after="0"/>
        <w:rPr>
          <w:rFonts w:ascii="Arial" w:hAnsi="Arial" w:cs="Arial"/>
        </w:rPr>
      </w:pPr>
      <w:bookmarkStart w:id="1" w:name="_Hlk226115895"/>
      <w:r w:rsidRPr="005E5B9F">
        <w:rPr>
          <w:rFonts w:ascii="Arial" w:hAnsi="Arial" w:cs="Arial"/>
        </w:rPr>
        <w:t>The evidence for midodrine in preventing paracentesis-induced circulatory dysfunction was mixed. Some small studies suggested midodrine could be as effective as albumin at a lower cost, while others reported poorer renal outcomes and higher complication rates, reinforcing albumin as the standard of care. Combination therapy also produced varied results: midodrine with propranolol improved bleeding prevention and ascites control, while midodrine with octreotide offered no advantage over albumin and was associated with worse renal outcomes. In pediatric patients, midodrine reduced acute kidney injury and hyponatremia but did not affect ascites control</w:t>
      </w:r>
      <w:bookmarkEnd w:id="1"/>
      <w:r w:rsidRPr="005E5B9F">
        <w:rPr>
          <w:rFonts w:ascii="Arial" w:hAnsi="Arial" w:cs="Arial"/>
        </w:rPr>
        <w:t>.</w:t>
      </w:r>
    </w:p>
    <w:p w14:paraId="40ED07D6" w14:textId="77777777" w:rsidR="008142D2" w:rsidRPr="005E5B9F" w:rsidRDefault="008142D2" w:rsidP="008142D2">
      <w:pPr>
        <w:pStyle w:val="Body"/>
        <w:spacing w:after="0"/>
        <w:rPr>
          <w:rFonts w:ascii="Arial" w:hAnsi="Arial" w:cs="Arial"/>
        </w:rPr>
      </w:pPr>
    </w:p>
    <w:p w14:paraId="26F15C39" w14:textId="77777777" w:rsidR="008142D2" w:rsidRPr="005E5B9F" w:rsidRDefault="008142D2" w:rsidP="008142D2">
      <w:pPr>
        <w:pStyle w:val="Body"/>
        <w:spacing w:after="0"/>
        <w:rPr>
          <w:rFonts w:ascii="Arial" w:hAnsi="Arial" w:cs="Arial"/>
        </w:rPr>
      </w:pPr>
      <w:r w:rsidRPr="005E5B9F">
        <w:rPr>
          <w:rFonts w:ascii="Arial" w:hAnsi="Arial" w:cs="Arial"/>
        </w:rPr>
        <w:t>Overall, the findings suggest midodrine may serve as a useful adjunct therapy to improve hemodynamics and reduce select complications, but evidence remains inconsistent regarding its ability to reduce paracentesis frequency or improve survival. Larger trials are needed to better define its role and clarify which patient populations benefit most.</w:t>
      </w:r>
    </w:p>
    <w:p w14:paraId="500EA24C" w14:textId="77777777" w:rsidR="00E053D0" w:rsidRPr="005E5B9F" w:rsidRDefault="00E053D0" w:rsidP="00441B6F">
      <w:pPr>
        <w:pStyle w:val="Body"/>
        <w:spacing w:after="0"/>
        <w:rPr>
          <w:rFonts w:ascii="Arial" w:hAnsi="Arial" w:cs="Arial"/>
        </w:rPr>
      </w:pPr>
    </w:p>
    <w:p w14:paraId="5C75247C" w14:textId="77777777" w:rsidR="00790ADA" w:rsidRPr="005E5B9F" w:rsidRDefault="00790ADA" w:rsidP="00441B6F">
      <w:pPr>
        <w:pStyle w:val="Body"/>
        <w:spacing w:after="0"/>
        <w:rPr>
          <w:rFonts w:ascii="Arial" w:hAnsi="Arial" w:cs="Arial"/>
        </w:rPr>
      </w:pPr>
    </w:p>
    <w:p w14:paraId="150591F3" w14:textId="77777777" w:rsidR="00B01FCD" w:rsidRPr="005E5B9F" w:rsidRDefault="00000F8F" w:rsidP="00441B6F">
      <w:pPr>
        <w:pStyle w:val="ConcHead"/>
        <w:spacing w:after="0"/>
        <w:jc w:val="both"/>
        <w:rPr>
          <w:rFonts w:ascii="Arial" w:hAnsi="Arial" w:cs="Arial"/>
        </w:rPr>
      </w:pPr>
      <w:r w:rsidRPr="005E5B9F">
        <w:rPr>
          <w:rFonts w:ascii="Arial" w:hAnsi="Arial" w:cs="Arial"/>
        </w:rPr>
        <w:lastRenderedPageBreak/>
        <w:t xml:space="preserve">4. </w:t>
      </w:r>
      <w:r w:rsidR="00B01FCD" w:rsidRPr="005E5B9F">
        <w:rPr>
          <w:rFonts w:ascii="Arial" w:hAnsi="Arial" w:cs="Arial"/>
        </w:rPr>
        <w:t>Conclusion</w:t>
      </w:r>
    </w:p>
    <w:p w14:paraId="11BCD625" w14:textId="77777777" w:rsidR="00790ADA" w:rsidRPr="005E5B9F" w:rsidRDefault="00790ADA" w:rsidP="00441B6F">
      <w:pPr>
        <w:pStyle w:val="ConcHead"/>
        <w:spacing w:after="0"/>
        <w:jc w:val="both"/>
        <w:rPr>
          <w:rFonts w:ascii="Arial" w:hAnsi="Arial" w:cs="Arial"/>
        </w:rPr>
      </w:pPr>
    </w:p>
    <w:p w14:paraId="3CD0C354" w14:textId="77777777" w:rsidR="008142D2" w:rsidRPr="005E5B9F" w:rsidRDefault="008142D2" w:rsidP="008142D2">
      <w:pPr>
        <w:pStyle w:val="Body"/>
        <w:rPr>
          <w:rFonts w:ascii="Arial" w:hAnsi="Arial" w:cs="Arial"/>
          <w:lang w:val="en"/>
        </w:rPr>
      </w:pPr>
      <w:r w:rsidRPr="005E5B9F">
        <w:rPr>
          <w:rFonts w:ascii="Arial" w:hAnsi="Arial" w:cs="Arial"/>
        </w:rPr>
        <w:t>Midodrine shows promise in improving circulatory and renal parameters in cirrhotic patients with ascites, with potential benefits in reducing complications when used alongside standard therapies. However, current evidence does not support its use as a replacement for albumin in preventing paracentesis-induced complications or as a therapy that meaningfully improves survival. At present, midodrine should be considered as an adjunctive option in selected patients, with further research required to establish its long-term impact on survival and paracentesis frequency.</w:t>
      </w:r>
    </w:p>
    <w:p w14:paraId="77D25A51" w14:textId="77777777" w:rsidR="008142D2" w:rsidRPr="005E5B9F" w:rsidRDefault="008142D2" w:rsidP="00441B6F">
      <w:pPr>
        <w:pStyle w:val="ReferHead"/>
        <w:spacing w:after="0"/>
        <w:jc w:val="both"/>
        <w:rPr>
          <w:rFonts w:ascii="Arial" w:hAnsi="Arial" w:cs="Arial"/>
          <w:b w:val="0"/>
          <w:caps w:val="0"/>
          <w:sz w:val="20"/>
        </w:rPr>
      </w:pPr>
    </w:p>
    <w:p w14:paraId="69796AAA" w14:textId="4E5A433D" w:rsidR="00B01FCD" w:rsidRPr="005E5B9F" w:rsidRDefault="00B01FCD" w:rsidP="00441B6F">
      <w:pPr>
        <w:pStyle w:val="ReferHead"/>
        <w:spacing w:after="0"/>
        <w:jc w:val="both"/>
        <w:rPr>
          <w:rFonts w:ascii="Arial" w:hAnsi="Arial" w:cs="Arial"/>
        </w:rPr>
      </w:pPr>
      <w:r w:rsidRPr="005E5B9F">
        <w:rPr>
          <w:rFonts w:ascii="Arial" w:hAnsi="Arial" w:cs="Arial"/>
        </w:rPr>
        <w:t>References</w:t>
      </w:r>
    </w:p>
    <w:p w14:paraId="71FDED32" w14:textId="77777777" w:rsidR="00790ADA" w:rsidRPr="005E5B9F" w:rsidRDefault="00790ADA" w:rsidP="00441B6F">
      <w:pPr>
        <w:pStyle w:val="ReferHead"/>
        <w:spacing w:after="0"/>
        <w:jc w:val="both"/>
        <w:rPr>
          <w:rFonts w:ascii="Arial" w:hAnsi="Arial" w:cs="Arial"/>
        </w:rPr>
      </w:pPr>
    </w:p>
    <w:p w14:paraId="19F30813" w14:textId="77777777" w:rsidR="008142D2" w:rsidRPr="005E5B9F" w:rsidRDefault="008142D2" w:rsidP="008142D2">
      <w:pPr>
        <w:pStyle w:val="Appendix"/>
        <w:numPr>
          <w:ilvl w:val="0"/>
          <w:numId w:val="32"/>
        </w:numPr>
        <w:rPr>
          <w:rFonts w:ascii="Arial" w:hAnsi="Arial" w:cs="Arial"/>
          <w:b w:val="0"/>
          <w:bCs/>
        </w:rPr>
      </w:pPr>
      <w:r w:rsidRPr="005E5B9F">
        <w:rPr>
          <w:rFonts w:ascii="Arial" w:hAnsi="Arial" w:cs="Arial"/>
          <w:b w:val="0"/>
          <w:bCs/>
        </w:rPr>
        <w:t>Huang DQ, Terrault NA, Tacke F, Gluud LL, Arrese M, Bugianesi E, Loomba R. Global epidemiology of cirrhosis - aetiology, trends and predictions. Nat Rev Gastroenterol Hepatol. 2023 Jun;20(6):388-398. doi: 10.1038/s41575-023-00759-2. Epub 2023 Mar 28. PMID: 36977794; PMCID: PMC10043867.</w:t>
      </w:r>
    </w:p>
    <w:p w14:paraId="1B898E4E" w14:textId="77777777" w:rsidR="008142D2" w:rsidRPr="005E5B9F" w:rsidRDefault="008142D2" w:rsidP="008142D2">
      <w:pPr>
        <w:pStyle w:val="Appendix"/>
        <w:numPr>
          <w:ilvl w:val="0"/>
          <w:numId w:val="32"/>
        </w:numPr>
        <w:rPr>
          <w:rFonts w:ascii="Arial" w:hAnsi="Arial" w:cs="Arial"/>
          <w:b w:val="0"/>
          <w:bCs/>
        </w:rPr>
      </w:pPr>
      <w:r w:rsidRPr="005E5B9F">
        <w:rPr>
          <w:rFonts w:ascii="Arial" w:hAnsi="Arial" w:cs="Arial"/>
          <w:b w:val="0"/>
          <w:bCs/>
        </w:rPr>
        <w:t>Chiejina M, Kudaravalli P, Samant H. Ascites. [Updated 2023 Aug 8]. In: StatPearls [Internet]. Treasure Island (FL): StatPearls Publishing; 2025 Jan-. Available from: https://www.ncbi.nlm.nih.gov/books/NBK470482/ (2)</w:t>
      </w:r>
    </w:p>
    <w:p w14:paraId="0725122B" w14:textId="77777777" w:rsidR="008142D2" w:rsidRPr="005E5B9F" w:rsidRDefault="008142D2" w:rsidP="008142D2">
      <w:pPr>
        <w:pStyle w:val="Appendix"/>
        <w:numPr>
          <w:ilvl w:val="0"/>
          <w:numId w:val="32"/>
        </w:numPr>
        <w:rPr>
          <w:rFonts w:ascii="Arial" w:hAnsi="Arial" w:cs="Arial"/>
          <w:b w:val="0"/>
          <w:bCs/>
        </w:rPr>
      </w:pPr>
      <w:r w:rsidRPr="005E5B9F">
        <w:rPr>
          <w:rFonts w:ascii="Arial" w:hAnsi="Arial" w:cs="Arial"/>
          <w:b w:val="0"/>
          <w:bCs/>
        </w:rPr>
        <w:t>Tergast TL, Griemsmann M, Stockhoff L, et al. Daily Low-Volume Paracentesis and Clinical Complications in Patients With Refractory Ascites. JAMA Netw Open. 2023;6(7</w:t>
      </w:r>
      <w:proofErr w:type="gramStart"/>
      <w:r w:rsidRPr="005E5B9F">
        <w:rPr>
          <w:rFonts w:ascii="Arial" w:hAnsi="Arial" w:cs="Arial"/>
          <w:b w:val="0"/>
          <w:bCs/>
        </w:rPr>
        <w:t>):e</w:t>
      </w:r>
      <w:proofErr w:type="gramEnd"/>
      <w:r w:rsidRPr="005E5B9F">
        <w:rPr>
          <w:rFonts w:ascii="Arial" w:hAnsi="Arial" w:cs="Arial"/>
          <w:b w:val="0"/>
          <w:bCs/>
        </w:rPr>
        <w:t>2322048. doi:10.1001/jamanetworkopen.2023.22048</w:t>
      </w:r>
    </w:p>
    <w:p w14:paraId="3436A834" w14:textId="77777777" w:rsidR="008142D2" w:rsidRPr="005E5B9F" w:rsidRDefault="008142D2" w:rsidP="008142D2">
      <w:pPr>
        <w:pStyle w:val="Appendix"/>
        <w:numPr>
          <w:ilvl w:val="0"/>
          <w:numId w:val="32"/>
        </w:numPr>
        <w:rPr>
          <w:rFonts w:ascii="Arial" w:hAnsi="Arial" w:cs="Arial"/>
          <w:b w:val="0"/>
          <w:bCs/>
        </w:rPr>
      </w:pPr>
      <w:r w:rsidRPr="005E5B9F">
        <w:rPr>
          <w:rFonts w:ascii="Arial" w:hAnsi="Arial" w:cs="Arial"/>
          <w:b w:val="0"/>
          <w:bCs/>
        </w:rPr>
        <w:t xml:space="preserve">Yosry A, Soliman ZA, Eletreby R, Hamza I, Ismail A, Elkady MA. Oral midodrine is comparable to albumin infusion in cirrhotic patients with refractory ascites undergoing large-volume paracentesis: results of a pilot study. Eur J Gastroenterol Hepatol. 2019 Mar;31(3):345-351. doi: 10.1097/MEG.0000000000001277. </w:t>
      </w:r>
    </w:p>
    <w:p w14:paraId="2FDFAFA7" w14:textId="77777777" w:rsidR="008142D2" w:rsidRPr="005E5B9F" w:rsidRDefault="008142D2" w:rsidP="008142D2">
      <w:pPr>
        <w:pStyle w:val="Appendix"/>
        <w:numPr>
          <w:ilvl w:val="0"/>
          <w:numId w:val="32"/>
        </w:numPr>
        <w:spacing w:after="0"/>
        <w:rPr>
          <w:rFonts w:ascii="Arial" w:hAnsi="Arial" w:cs="Arial"/>
          <w:b w:val="0"/>
          <w:bCs/>
        </w:rPr>
      </w:pPr>
      <w:r w:rsidRPr="005E5B9F">
        <w:rPr>
          <w:rFonts w:ascii="Arial" w:hAnsi="Arial" w:cs="Arial"/>
          <w:b w:val="0"/>
          <w:bCs/>
        </w:rPr>
        <w:t xml:space="preserve">Angeli P, Volpin R, Piovan D, Bortoluzzi A, Craighero R, Bottaro S, Finucci GF, Casiglia E, Sticca A, De Toni R, Pavan L, Gatta A. Acute effects of the oral administration of midodrine, an alpha-adrenergic agonist, on renal hemodynamics and renal function in cirrhotic patients with ascites. Hepatology. 1998 Oct;28(4):937-43. doi: 10.1002/hep.510280407. </w:t>
      </w:r>
    </w:p>
    <w:p w14:paraId="33626E90" w14:textId="77777777" w:rsidR="008142D2" w:rsidRPr="005E5B9F" w:rsidRDefault="008142D2" w:rsidP="008142D2">
      <w:pPr>
        <w:pStyle w:val="Appendix"/>
        <w:numPr>
          <w:ilvl w:val="0"/>
          <w:numId w:val="32"/>
        </w:numPr>
        <w:spacing w:after="0"/>
        <w:rPr>
          <w:rFonts w:ascii="Arial" w:hAnsi="Arial" w:cs="Arial"/>
          <w:b w:val="0"/>
          <w:bCs/>
        </w:rPr>
      </w:pPr>
      <w:r w:rsidRPr="005E5B9F">
        <w:rPr>
          <w:rFonts w:ascii="Arial" w:hAnsi="Arial" w:cs="Arial"/>
          <w:b w:val="0"/>
          <w:bCs/>
        </w:rPr>
        <w:t xml:space="preserve">Kulkarni AV, Maiwall R, Arora V, Jindal A, Thomas S, Ali R, Baweja S, Bhardwaj A, Kumar G, Sarin SK. Addition of midodrine to albumin reduces the incidence of complications of large-volume paracentesis: an RCT comparing midodrine, terlipressin, and albumin. Hepatol Int. 2025 Jul 4. doi: 10.1007/s12072-025-10841-3. Epub ahead of print. </w:t>
      </w:r>
    </w:p>
    <w:p w14:paraId="62385C6F" w14:textId="77777777" w:rsidR="008142D2" w:rsidRPr="005E5B9F" w:rsidRDefault="008142D2" w:rsidP="008142D2">
      <w:pPr>
        <w:pStyle w:val="Appendix"/>
        <w:numPr>
          <w:ilvl w:val="0"/>
          <w:numId w:val="32"/>
        </w:numPr>
        <w:spacing w:after="0"/>
        <w:rPr>
          <w:rFonts w:ascii="Arial" w:hAnsi="Arial" w:cs="Arial"/>
          <w:b w:val="0"/>
          <w:bCs/>
        </w:rPr>
      </w:pPr>
      <w:r w:rsidRPr="005E5B9F">
        <w:rPr>
          <w:rFonts w:ascii="Arial" w:hAnsi="Arial" w:cs="Arial"/>
          <w:b w:val="0"/>
          <w:bCs/>
        </w:rPr>
        <w:t>Hamdy H, ElBaz AA, Hassan A, Hassanin O. Comparison of midodrine and albumin in the prevention of paracentesis-induced circulatory dysfunction in cirrhotic patients: a randomized pilot study. J Clin Gastroenterol. 2014 Feb;48(2):184-8. doi: 10.1097/MCG.0b013e31829ae376</w:t>
      </w:r>
    </w:p>
    <w:p w14:paraId="273EEB2A" w14:textId="77777777" w:rsidR="008142D2" w:rsidRPr="005E5B9F" w:rsidRDefault="008142D2" w:rsidP="008142D2">
      <w:pPr>
        <w:pStyle w:val="Appendix"/>
        <w:numPr>
          <w:ilvl w:val="0"/>
          <w:numId w:val="32"/>
        </w:numPr>
        <w:spacing w:after="0"/>
        <w:rPr>
          <w:rFonts w:ascii="Arial" w:hAnsi="Arial" w:cs="Arial"/>
          <w:b w:val="0"/>
          <w:bCs/>
        </w:rPr>
      </w:pPr>
      <w:r w:rsidRPr="005E5B9F">
        <w:rPr>
          <w:rFonts w:ascii="Arial" w:hAnsi="Arial" w:cs="Arial"/>
          <w:b w:val="0"/>
          <w:bCs/>
        </w:rPr>
        <w:t>Singh V, Dheerendra PC, Singh B, Nain CK, Chawla D, Sharma N, Bhalla A, Mahi SK. Midodrine versus albumin in the prevention of paracentesis-induced circulatory dysfunction in cirrhotics: a randomized pilot study. Am J Gastroenterol. 2008 Jun;103(6):1399-405. doi: 10.1111/j.1572-0241.2008.</w:t>
      </w:r>
      <w:proofErr w:type="gramStart"/>
      <w:r w:rsidRPr="005E5B9F">
        <w:rPr>
          <w:rFonts w:ascii="Arial" w:hAnsi="Arial" w:cs="Arial"/>
          <w:b w:val="0"/>
          <w:bCs/>
        </w:rPr>
        <w:t>01787.x.</w:t>
      </w:r>
      <w:proofErr w:type="gramEnd"/>
      <w:r w:rsidRPr="005E5B9F">
        <w:rPr>
          <w:rFonts w:ascii="Arial" w:hAnsi="Arial" w:cs="Arial"/>
          <w:b w:val="0"/>
          <w:bCs/>
        </w:rPr>
        <w:t xml:space="preserve"> </w:t>
      </w:r>
    </w:p>
    <w:p w14:paraId="33D05FC2" w14:textId="77777777" w:rsidR="008142D2" w:rsidRPr="005E5B9F" w:rsidRDefault="008142D2" w:rsidP="008142D2">
      <w:pPr>
        <w:pStyle w:val="Appendix"/>
        <w:numPr>
          <w:ilvl w:val="0"/>
          <w:numId w:val="32"/>
        </w:numPr>
        <w:spacing w:after="0"/>
        <w:rPr>
          <w:rFonts w:ascii="Arial" w:hAnsi="Arial" w:cs="Arial"/>
          <w:b w:val="0"/>
          <w:bCs/>
        </w:rPr>
      </w:pPr>
      <w:r w:rsidRPr="005E5B9F">
        <w:rPr>
          <w:rFonts w:ascii="Arial" w:hAnsi="Arial" w:cs="Arial"/>
          <w:b w:val="0"/>
          <w:bCs/>
        </w:rPr>
        <w:t>Appenrodt B, Wolf A, Grünhage F, Trebicka J, Schepke M, Rabe C, Lammert F, Sauerbruch T, Heller J. Prevention of paracentesis-induced circulatory dysfunction: midodrine vs albumin. A randomized pilot study. Liver Int. 2008 Aug;28(7):1019-25. doi: 10.1111/j.1478-3231.2008.</w:t>
      </w:r>
      <w:proofErr w:type="gramStart"/>
      <w:r w:rsidRPr="005E5B9F">
        <w:rPr>
          <w:rFonts w:ascii="Arial" w:hAnsi="Arial" w:cs="Arial"/>
          <w:b w:val="0"/>
          <w:bCs/>
        </w:rPr>
        <w:t>01734.x.</w:t>
      </w:r>
      <w:proofErr w:type="gramEnd"/>
      <w:r w:rsidRPr="005E5B9F">
        <w:rPr>
          <w:rFonts w:ascii="Arial" w:hAnsi="Arial" w:cs="Arial"/>
          <w:b w:val="0"/>
          <w:bCs/>
        </w:rPr>
        <w:t xml:space="preserve"> Epub 2008 Apr 11.</w:t>
      </w:r>
    </w:p>
    <w:p w14:paraId="5BF6637A" w14:textId="77777777" w:rsidR="008142D2" w:rsidRPr="005E5B9F" w:rsidRDefault="008142D2" w:rsidP="008142D2">
      <w:pPr>
        <w:pStyle w:val="Appendix"/>
        <w:numPr>
          <w:ilvl w:val="0"/>
          <w:numId w:val="32"/>
        </w:numPr>
        <w:spacing w:after="0"/>
        <w:rPr>
          <w:rFonts w:ascii="Arial" w:hAnsi="Arial" w:cs="Arial"/>
          <w:b w:val="0"/>
          <w:bCs/>
        </w:rPr>
      </w:pPr>
      <w:r w:rsidRPr="005E5B9F">
        <w:rPr>
          <w:rFonts w:ascii="Arial" w:hAnsi="Arial" w:cs="Arial"/>
          <w:b w:val="0"/>
          <w:bCs/>
        </w:rPr>
        <w:t xml:space="preserve">Ranjan A, Jindal A, Maiwall R, Vashishtha C, Vijayaraghavan R, Arora V, Sarin SK. Midodrine plus propranolol versus propranolol alone in preventing first bleed in patients with cirrhosis and severe ascites: a randomized controlled </w:t>
      </w:r>
      <w:r w:rsidRPr="005E5B9F">
        <w:rPr>
          <w:rFonts w:ascii="Arial" w:hAnsi="Arial" w:cs="Arial"/>
          <w:b w:val="0"/>
          <w:bCs/>
        </w:rPr>
        <w:lastRenderedPageBreak/>
        <w:t xml:space="preserve">trial. Hepatol Int. 2024 Aug;18(4):1261-1270. doi: 10.1007/s12072-024-10687-1. Epub 2024 May 10. </w:t>
      </w:r>
    </w:p>
    <w:p w14:paraId="16531C89" w14:textId="77777777" w:rsidR="008142D2" w:rsidRPr="005E5B9F" w:rsidRDefault="008142D2" w:rsidP="008142D2">
      <w:pPr>
        <w:pStyle w:val="Appendix"/>
        <w:numPr>
          <w:ilvl w:val="0"/>
          <w:numId w:val="32"/>
        </w:numPr>
        <w:spacing w:after="0"/>
        <w:rPr>
          <w:rFonts w:ascii="Arial" w:hAnsi="Arial" w:cs="Arial"/>
          <w:b w:val="0"/>
          <w:bCs/>
        </w:rPr>
      </w:pPr>
      <w:r w:rsidRPr="005E5B9F">
        <w:rPr>
          <w:rFonts w:ascii="Arial" w:hAnsi="Arial" w:cs="Arial"/>
          <w:b w:val="0"/>
          <w:bCs/>
        </w:rPr>
        <w:t>Ashritha A, Lal BB, Khanna R, Sood V, Sood AK, Alam S. Midodrine reduces new-onset acute kidney injury and hyponatremia in children with cirrhosis and ascites awaiting liver transplantation: Results from an open-label RCT. J Pediatr Gastroenterol Nutr. 2024 Feb;78(2):350-359. doi: 10.1002/jpn3.12077. Epub 2023 Dec 11.</w:t>
      </w:r>
    </w:p>
    <w:p w14:paraId="0D7A65C0" w14:textId="77777777" w:rsidR="008142D2" w:rsidRPr="005E5B9F" w:rsidRDefault="008142D2" w:rsidP="008142D2">
      <w:pPr>
        <w:pStyle w:val="Appendix"/>
        <w:numPr>
          <w:ilvl w:val="0"/>
          <w:numId w:val="32"/>
        </w:numPr>
        <w:spacing w:after="0"/>
        <w:rPr>
          <w:rFonts w:ascii="Arial" w:hAnsi="Arial" w:cs="Arial"/>
          <w:b w:val="0"/>
          <w:bCs/>
        </w:rPr>
      </w:pPr>
      <w:r w:rsidRPr="005E5B9F">
        <w:rPr>
          <w:rFonts w:ascii="Arial" w:hAnsi="Arial" w:cs="Arial"/>
          <w:b w:val="0"/>
          <w:bCs/>
        </w:rPr>
        <w:t xml:space="preserve">Bari K, Miñano C, Shea M, Inayat IB, Hashem HJ, Gilles H, Heuman D, Garcia-Tsao G. The combination of octreotide and midodrine is not superior to albumin in preventing recurrence of ascites after large-volume paracentesis. Clin Gastroenterol Hepatol. 2012 Oct;10(10):1169-75. doi: 10.1016/j.cgh.2012.06.027. Epub 2012 Jul 16. </w:t>
      </w:r>
    </w:p>
    <w:p w14:paraId="27DAB398" w14:textId="77777777" w:rsidR="00B01FCD" w:rsidRPr="008142D2" w:rsidRDefault="00B01FCD" w:rsidP="00441B6F">
      <w:pPr>
        <w:pStyle w:val="Appendix"/>
        <w:spacing w:after="0"/>
        <w:jc w:val="both"/>
        <w:rPr>
          <w:rFonts w:ascii="Arial" w:hAnsi="Arial" w:cs="Arial"/>
          <w:b w:val="0"/>
        </w:rPr>
      </w:pPr>
    </w:p>
    <w:sectPr w:rsidR="00B01FCD" w:rsidRPr="008142D2" w:rsidSect="005E5B9F">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29F9C" w14:textId="77777777" w:rsidR="00182A7A" w:rsidRDefault="00182A7A" w:rsidP="00C37E61">
      <w:r>
        <w:separator/>
      </w:r>
    </w:p>
  </w:endnote>
  <w:endnote w:type="continuationSeparator" w:id="0">
    <w:p w14:paraId="68EAC2E9" w14:textId="77777777" w:rsidR="00182A7A" w:rsidRDefault="00182A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E61C4" w14:textId="77777777" w:rsidR="009E5CA1" w:rsidRDefault="009E5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358D5" w14:textId="77777777" w:rsidR="009E5CA1" w:rsidRDefault="009E5C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4B2E2" w14:textId="34288B83" w:rsidR="00754C9A" w:rsidRPr="00E20771" w:rsidRDefault="00754C9A" w:rsidP="00E2077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DA27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32D84" w14:textId="77777777" w:rsidR="00182A7A" w:rsidRDefault="00182A7A" w:rsidP="00C37E61">
      <w:r>
        <w:separator/>
      </w:r>
    </w:p>
  </w:footnote>
  <w:footnote w:type="continuationSeparator" w:id="0">
    <w:p w14:paraId="13031FFA" w14:textId="77777777" w:rsidR="00182A7A" w:rsidRDefault="00182A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DBB04" w14:textId="4B1A10F0" w:rsidR="009E5CA1" w:rsidRDefault="009E5CA1">
    <w:pPr>
      <w:pStyle w:val="Header"/>
    </w:pPr>
    <w:r>
      <w:rPr>
        <w:noProof/>
      </w:rPr>
      <w:pict w14:anchorId="3B8DD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9409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EB05A" w14:textId="18986FAF" w:rsidR="009E5CA1" w:rsidRDefault="009E5CA1">
    <w:pPr>
      <w:pStyle w:val="Header"/>
    </w:pPr>
    <w:r>
      <w:rPr>
        <w:noProof/>
      </w:rPr>
      <w:pict w14:anchorId="4BA51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9409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822CC" w14:textId="49839E37" w:rsidR="00296529" w:rsidRPr="00296529" w:rsidRDefault="009E5CA1" w:rsidP="00296529">
    <w:pPr>
      <w:ind w:left="2160"/>
      <w:jc w:val="center"/>
      <w:rPr>
        <w:rFonts w:ascii="Times New Roman" w:eastAsia="Calibri" w:hAnsi="Times New Roman"/>
        <w:i/>
        <w:sz w:val="18"/>
        <w:szCs w:val="22"/>
      </w:rPr>
    </w:pPr>
    <w:r>
      <w:rPr>
        <w:noProof/>
      </w:rPr>
      <w:pict w14:anchorId="07D67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9409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A7BCA9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1804E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8204E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025DE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D9D7F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3EDF2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6EA05" w14:textId="6A9FBDB4" w:rsidR="009E5CA1" w:rsidRDefault="009E5CA1">
    <w:pPr>
      <w:pStyle w:val="Header"/>
    </w:pPr>
    <w:r>
      <w:rPr>
        <w:noProof/>
      </w:rPr>
      <w:pict w14:anchorId="15F4C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9409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C73EE" w14:textId="656A9517" w:rsidR="009E5CA1" w:rsidRDefault="009E5CA1">
    <w:pPr>
      <w:pStyle w:val="Header"/>
    </w:pPr>
    <w:r>
      <w:rPr>
        <w:noProof/>
      </w:rPr>
      <w:pict w14:anchorId="6EEF1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9409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9CF7E" w14:textId="7117816D" w:rsidR="009E5CA1" w:rsidRDefault="009E5CA1">
    <w:pPr>
      <w:pStyle w:val="Header"/>
    </w:pPr>
    <w:r>
      <w:rPr>
        <w:noProof/>
      </w:rPr>
      <w:pict w14:anchorId="7D20D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9409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55E658C"/>
    <w:multiLevelType w:val="multilevel"/>
    <w:tmpl w:val="E9CC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C826270"/>
    <w:multiLevelType w:val="hybridMultilevel"/>
    <w:tmpl w:val="D4042C4C"/>
    <w:lvl w:ilvl="0" w:tplc="E89EAD2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0D41"/>
    <w:rsid w:val="0004579C"/>
    <w:rsid w:val="000A47FA"/>
    <w:rsid w:val="000A65D3"/>
    <w:rsid w:val="000B1E33"/>
    <w:rsid w:val="000D689F"/>
    <w:rsid w:val="000E7B7B"/>
    <w:rsid w:val="000E7D62"/>
    <w:rsid w:val="00103357"/>
    <w:rsid w:val="00123C9F"/>
    <w:rsid w:val="00126190"/>
    <w:rsid w:val="00130F17"/>
    <w:rsid w:val="001320BF"/>
    <w:rsid w:val="00163BC4"/>
    <w:rsid w:val="00182A7A"/>
    <w:rsid w:val="00191062"/>
    <w:rsid w:val="00192B72"/>
    <w:rsid w:val="001A29D8"/>
    <w:rsid w:val="001A5CAA"/>
    <w:rsid w:val="001B0427"/>
    <w:rsid w:val="001B1FFD"/>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198D"/>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733FB"/>
    <w:rsid w:val="005B7798"/>
    <w:rsid w:val="005C784C"/>
    <w:rsid w:val="005D17F6"/>
    <w:rsid w:val="005E5539"/>
    <w:rsid w:val="005E5B9F"/>
    <w:rsid w:val="00602BF5"/>
    <w:rsid w:val="00610CD3"/>
    <w:rsid w:val="00617FDD"/>
    <w:rsid w:val="00633614"/>
    <w:rsid w:val="00633F68"/>
    <w:rsid w:val="00636EB2"/>
    <w:rsid w:val="006375B8"/>
    <w:rsid w:val="0066510A"/>
    <w:rsid w:val="00673F9F"/>
    <w:rsid w:val="00686953"/>
    <w:rsid w:val="00687DEA"/>
    <w:rsid w:val="00687E67"/>
    <w:rsid w:val="0069621A"/>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2D2"/>
    <w:rsid w:val="0081431A"/>
    <w:rsid w:val="0083216F"/>
    <w:rsid w:val="00855439"/>
    <w:rsid w:val="00860000"/>
    <w:rsid w:val="00863BD3"/>
    <w:rsid w:val="008641ED"/>
    <w:rsid w:val="00866D66"/>
    <w:rsid w:val="008671C6"/>
    <w:rsid w:val="00875803"/>
    <w:rsid w:val="008B459E"/>
    <w:rsid w:val="008E13AE"/>
    <w:rsid w:val="008E1506"/>
    <w:rsid w:val="008E710C"/>
    <w:rsid w:val="008F130C"/>
    <w:rsid w:val="008F69D6"/>
    <w:rsid w:val="00902823"/>
    <w:rsid w:val="00915CA6"/>
    <w:rsid w:val="00927834"/>
    <w:rsid w:val="0093196C"/>
    <w:rsid w:val="009500A6"/>
    <w:rsid w:val="009511AC"/>
    <w:rsid w:val="00957C18"/>
    <w:rsid w:val="009659BA"/>
    <w:rsid w:val="00983040"/>
    <w:rsid w:val="009B3FB9"/>
    <w:rsid w:val="009C2465"/>
    <w:rsid w:val="009D35A0"/>
    <w:rsid w:val="009D7EB7"/>
    <w:rsid w:val="009E048A"/>
    <w:rsid w:val="009E08E9"/>
    <w:rsid w:val="009E3DB9"/>
    <w:rsid w:val="009E5CA1"/>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0A0E"/>
    <w:rsid w:val="00AE008F"/>
    <w:rsid w:val="00B01FCD"/>
    <w:rsid w:val="00B1776C"/>
    <w:rsid w:val="00B52583"/>
    <w:rsid w:val="00B52896"/>
    <w:rsid w:val="00B93413"/>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14DA"/>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49A9"/>
    <w:rsid w:val="00E053D0"/>
    <w:rsid w:val="00E13217"/>
    <w:rsid w:val="00E15994"/>
    <w:rsid w:val="00E20771"/>
    <w:rsid w:val="00E3114E"/>
    <w:rsid w:val="00E31A70"/>
    <w:rsid w:val="00E35B02"/>
    <w:rsid w:val="00E36C5A"/>
    <w:rsid w:val="00E66496"/>
    <w:rsid w:val="00E66B35"/>
    <w:rsid w:val="00E66E10"/>
    <w:rsid w:val="00E769F6"/>
    <w:rsid w:val="00E8407C"/>
    <w:rsid w:val="00E84F3C"/>
    <w:rsid w:val="00EA012C"/>
    <w:rsid w:val="00EB1B51"/>
    <w:rsid w:val="00EC6A55"/>
    <w:rsid w:val="00ED0288"/>
    <w:rsid w:val="00EE52CB"/>
    <w:rsid w:val="00EF581D"/>
    <w:rsid w:val="00EF7FD8"/>
    <w:rsid w:val="00F06F59"/>
    <w:rsid w:val="00F17988"/>
    <w:rsid w:val="00F469F0"/>
    <w:rsid w:val="00F53273"/>
    <w:rsid w:val="00F755E4"/>
    <w:rsid w:val="00F77D02"/>
    <w:rsid w:val="00F97978"/>
    <w:rsid w:val="00FB3A86"/>
    <w:rsid w:val="00FD36C8"/>
    <w:rsid w:val="00FE1E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39B07E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F130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8F130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67B62-F221-489A-9EDD-59379433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TotalTime>
  <Pages>9</Pages>
  <Words>4208</Words>
  <Characters>23990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28142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2014-10-25T14:34:00Z</dcterms:created>
  <dcterms:modified xsi:type="dcterms:W3CDTF">2026-04-04T11:22:00Z</dcterms:modified>
</cp:coreProperties>
</file>