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1A5CD" w14:textId="38E8F632" w:rsidR="00C856F9" w:rsidRDefault="00791165">
      <w:pPr>
        <w:jc w:val="both"/>
        <w:rPr>
          <w:rFonts w:ascii="Times New Roman" w:eastAsia="Times New Roman" w:hAnsi="Times New Roman" w:cs="Times New Roman"/>
          <w:b/>
          <w:bCs/>
          <w:i/>
          <w:iCs/>
          <w:sz w:val="24"/>
          <w:szCs w:val="24"/>
        </w:rPr>
      </w:pPr>
      <w:r w:rsidRPr="00791165">
        <w:rPr>
          <w:rFonts w:ascii="Times New Roman" w:eastAsia="Times New Roman" w:hAnsi="Times New Roman" w:cs="Times New Roman"/>
          <w:b/>
          <w:bCs/>
          <w:i/>
          <w:iCs/>
          <w:sz w:val="24"/>
          <w:szCs w:val="24"/>
        </w:rPr>
        <w:t>Systematic Review</w:t>
      </w:r>
    </w:p>
    <w:p w14:paraId="2914438F" w14:textId="77777777" w:rsidR="00791165" w:rsidRDefault="00791165">
      <w:pPr>
        <w:jc w:val="both"/>
        <w:rPr>
          <w:rFonts w:ascii="Times New Roman" w:eastAsia="Times New Roman" w:hAnsi="Times New Roman" w:cs="Times New Roman"/>
          <w:b/>
          <w:bCs/>
          <w:sz w:val="24"/>
          <w:szCs w:val="24"/>
        </w:rPr>
      </w:pPr>
    </w:p>
    <w:p w14:paraId="13F27F6B" w14:textId="77777777" w:rsidR="00C856F9" w:rsidRDefault="004E2CB7">
      <w:pPr>
        <w:pStyle w:val="Title"/>
        <w:spacing w:after="200"/>
        <w:jc w:val="center"/>
        <w:rPr>
          <w:rFonts w:ascii="Times New Roman" w:eastAsia="Times New Roman" w:hAnsi="Times New Roman" w:cs="Times New Roman"/>
          <w:b/>
          <w:bCs/>
          <w:sz w:val="32"/>
          <w:szCs w:val="32"/>
        </w:rPr>
      </w:pPr>
      <w:bookmarkStart w:id="0" w:name="_wwszt9jxzeyo" w:colFirst="0" w:colLast="0"/>
      <w:bookmarkEnd w:id="0"/>
      <w:r>
        <w:rPr>
          <w:rFonts w:ascii="Times New Roman" w:eastAsia="Times New Roman" w:hAnsi="Times New Roman" w:cs="Times New Roman"/>
          <w:b/>
          <w:bCs/>
          <w:sz w:val="32"/>
          <w:szCs w:val="32"/>
        </w:rPr>
        <w:t>A Review on Lymphadenectomy Strategies in Early Gastric Cancer: Sentinel Node Navigation Surgery Versus Regional Lymphadenectomy</w:t>
      </w:r>
    </w:p>
    <w:p w14:paraId="590EEC75" w14:textId="77777777" w:rsidR="00C856F9" w:rsidRDefault="00C856F9">
      <w:pPr>
        <w:jc w:val="both"/>
        <w:rPr>
          <w:rFonts w:ascii="Times New Roman" w:eastAsia="Times New Roman" w:hAnsi="Times New Roman" w:cs="Times New Roman"/>
          <w:b/>
          <w:bCs/>
          <w:sz w:val="24"/>
          <w:szCs w:val="24"/>
        </w:rPr>
      </w:pPr>
    </w:p>
    <w:p w14:paraId="218EB2E6" w14:textId="77777777" w:rsidR="00C856F9" w:rsidRDefault="00C856F9">
      <w:pPr>
        <w:jc w:val="both"/>
        <w:rPr>
          <w:rFonts w:ascii="Times New Roman" w:eastAsia="Times New Roman" w:hAnsi="Times New Roman" w:cs="Times New Roman"/>
          <w:b/>
          <w:bCs/>
          <w:sz w:val="24"/>
          <w:szCs w:val="24"/>
        </w:rPr>
      </w:pPr>
    </w:p>
    <w:p w14:paraId="7A71ECDB" w14:textId="77777777" w:rsidR="00C856F9" w:rsidRDefault="00C856F9">
      <w:pPr>
        <w:jc w:val="both"/>
        <w:rPr>
          <w:rFonts w:ascii="Times New Roman" w:eastAsia="Times New Roman" w:hAnsi="Times New Roman" w:cs="Times New Roman"/>
          <w:b/>
          <w:bCs/>
          <w:sz w:val="24"/>
          <w:szCs w:val="24"/>
        </w:rPr>
      </w:pPr>
    </w:p>
    <w:p w14:paraId="0CDECB28" w14:textId="77777777" w:rsidR="004E2CB7" w:rsidRDefault="004E2CB7">
      <w:pPr>
        <w:spacing w:line="240" w:lineRule="auto"/>
        <w:ind w:left="-142" w:right="-482"/>
        <w:rPr>
          <w:rFonts w:ascii="Times New Roman" w:eastAsia="Times New Roman" w:hAnsi="Times New Roman" w:cs="Times New Roman"/>
          <w:b/>
          <w:bCs/>
          <w:sz w:val="24"/>
          <w:szCs w:val="24"/>
        </w:rPr>
      </w:pPr>
    </w:p>
    <w:p w14:paraId="42A8B00E" w14:textId="77777777" w:rsidR="004E2CB7" w:rsidRDefault="004E2CB7">
      <w:pPr>
        <w:spacing w:line="240" w:lineRule="auto"/>
        <w:ind w:left="-142" w:right="-482"/>
        <w:rPr>
          <w:rFonts w:ascii="Times New Roman" w:eastAsia="Times New Roman" w:hAnsi="Times New Roman" w:cs="Times New Roman"/>
          <w:b/>
          <w:bCs/>
          <w:sz w:val="24"/>
          <w:szCs w:val="24"/>
        </w:rPr>
      </w:pPr>
    </w:p>
    <w:p w14:paraId="5717B957" w14:textId="77777777" w:rsidR="004E2CB7" w:rsidRDefault="004E2CB7">
      <w:pPr>
        <w:spacing w:line="240" w:lineRule="auto"/>
        <w:ind w:left="-142" w:right="-482"/>
        <w:rPr>
          <w:rFonts w:ascii="Times New Roman" w:eastAsia="Times New Roman" w:hAnsi="Times New Roman" w:cs="Times New Roman"/>
          <w:b/>
          <w:bCs/>
          <w:sz w:val="24"/>
          <w:szCs w:val="24"/>
        </w:rPr>
      </w:pPr>
    </w:p>
    <w:p w14:paraId="3710A33A" w14:textId="77777777" w:rsidR="004E2CB7" w:rsidRDefault="004E2CB7">
      <w:pPr>
        <w:spacing w:line="240" w:lineRule="auto"/>
        <w:ind w:left="-142" w:right="-482"/>
        <w:rPr>
          <w:rFonts w:ascii="Times New Roman" w:eastAsia="Times New Roman" w:hAnsi="Times New Roman" w:cs="Times New Roman"/>
          <w:b/>
          <w:bCs/>
          <w:sz w:val="24"/>
          <w:szCs w:val="24"/>
        </w:rPr>
      </w:pPr>
    </w:p>
    <w:p w14:paraId="4298BF57" w14:textId="77777777" w:rsidR="004E2CB7" w:rsidRDefault="004E2CB7">
      <w:pPr>
        <w:spacing w:line="240" w:lineRule="auto"/>
        <w:ind w:left="-142" w:right="-482"/>
        <w:rPr>
          <w:rFonts w:ascii="Times New Roman" w:eastAsia="Times New Roman" w:hAnsi="Times New Roman" w:cs="Times New Roman"/>
          <w:b/>
          <w:bCs/>
          <w:sz w:val="24"/>
          <w:szCs w:val="24"/>
        </w:rPr>
      </w:pPr>
    </w:p>
    <w:p w14:paraId="55F2EFE6" w14:textId="77777777" w:rsidR="004E2CB7" w:rsidRDefault="004E2CB7">
      <w:pPr>
        <w:jc w:val="both"/>
        <w:rPr>
          <w:rFonts w:ascii="Times New Roman" w:eastAsia="Times New Roman" w:hAnsi="Times New Roman" w:cs="Times New Roman"/>
          <w:b/>
          <w:bCs/>
          <w:sz w:val="24"/>
          <w:szCs w:val="24"/>
        </w:rPr>
      </w:pPr>
    </w:p>
    <w:p w14:paraId="2AA24FEC" w14:textId="77777777" w:rsidR="004E2CB7" w:rsidRDefault="004E2CB7">
      <w:pPr>
        <w:jc w:val="both"/>
        <w:rPr>
          <w:rFonts w:ascii="Times New Roman" w:eastAsia="Times New Roman" w:hAnsi="Times New Roman" w:cs="Times New Roman"/>
          <w:b/>
          <w:bCs/>
          <w:sz w:val="24"/>
          <w:szCs w:val="24"/>
        </w:rPr>
      </w:pPr>
    </w:p>
    <w:p w14:paraId="60C50FE5" w14:textId="77777777" w:rsidR="004E2CB7" w:rsidRDefault="004E2CB7">
      <w:pPr>
        <w:jc w:val="both"/>
        <w:rPr>
          <w:rFonts w:ascii="Times New Roman" w:eastAsia="Times New Roman" w:hAnsi="Times New Roman" w:cs="Times New Roman"/>
          <w:b/>
          <w:bCs/>
          <w:sz w:val="24"/>
          <w:szCs w:val="24"/>
        </w:rPr>
      </w:pPr>
    </w:p>
    <w:p w14:paraId="24FF37D4" w14:textId="77777777" w:rsidR="004E2CB7" w:rsidRDefault="004E2CB7">
      <w:pPr>
        <w:jc w:val="both"/>
        <w:rPr>
          <w:rFonts w:ascii="Times New Roman" w:eastAsia="Times New Roman" w:hAnsi="Times New Roman" w:cs="Times New Roman"/>
          <w:b/>
          <w:bCs/>
          <w:sz w:val="24"/>
          <w:szCs w:val="24"/>
        </w:rPr>
      </w:pPr>
    </w:p>
    <w:p w14:paraId="58AFF189" w14:textId="77777777" w:rsidR="004E2CB7" w:rsidRDefault="004E2CB7">
      <w:pPr>
        <w:jc w:val="both"/>
        <w:rPr>
          <w:rFonts w:ascii="Times New Roman" w:eastAsia="Times New Roman" w:hAnsi="Times New Roman" w:cs="Times New Roman"/>
          <w:b/>
          <w:bCs/>
          <w:sz w:val="24"/>
          <w:szCs w:val="24"/>
        </w:rPr>
      </w:pPr>
    </w:p>
    <w:p w14:paraId="12937C6E" w14:textId="78F135F5" w:rsidR="00C856F9" w:rsidRDefault="004E2CB7">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3F194C72" w14:textId="77777777" w:rsidR="00C856F9" w:rsidRDefault="00C856F9">
      <w:pPr>
        <w:spacing w:line="240" w:lineRule="auto"/>
        <w:jc w:val="both"/>
        <w:rPr>
          <w:rFonts w:ascii="Times New Roman" w:eastAsia="Times New Roman" w:hAnsi="Times New Roman" w:cs="Times New Roman"/>
          <w:b/>
          <w:bCs/>
          <w:sz w:val="24"/>
          <w:szCs w:val="24"/>
        </w:rPr>
      </w:pPr>
    </w:p>
    <w:p w14:paraId="48968C01" w14:textId="77777777" w:rsidR="00C856F9" w:rsidRDefault="004E2CB7">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5285CCFE" w14:textId="77777777" w:rsidR="00C856F9" w:rsidRDefault="004E2CB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Conventional management of early gastric cancer (EGC) includes standard anatomical gastrectomy along with D1/D2 lymph node dissection. In spite of achieving oncological excellence, this approach affects patients' quality of life. Few approaches have been developed to counter this. Most notable among these are - “Sentinel Node Navigation Surgery” (SNNS) and “Regional Lymphadenectomy” (RL).</w:t>
      </w:r>
    </w:p>
    <w:p w14:paraId="721602D0" w14:textId="77777777" w:rsidR="00C856F9" w:rsidRDefault="00C856F9">
      <w:pPr>
        <w:spacing w:line="240" w:lineRule="auto"/>
        <w:jc w:val="both"/>
        <w:rPr>
          <w:rFonts w:ascii="Times New Roman" w:eastAsia="Times New Roman" w:hAnsi="Times New Roman" w:cs="Times New Roman"/>
          <w:b/>
          <w:bCs/>
          <w:sz w:val="24"/>
          <w:szCs w:val="24"/>
        </w:rPr>
      </w:pPr>
    </w:p>
    <w:p w14:paraId="5176DDE6" w14:textId="77777777" w:rsidR="00C856F9" w:rsidRDefault="004E2CB7">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METHODS AND MATERIALS</w:t>
      </w:r>
    </w:p>
    <w:p w14:paraId="582B8F9A" w14:textId="77777777" w:rsidR="00C856F9" w:rsidRDefault="004E2CB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PUBMED/EMBASE/SCOPUS databases were searched with keywords - “Early Gastric Cancer”, "Lymphadenectomy Strategy”, “</w:t>
      </w:r>
      <w:r>
        <w:rPr>
          <w:rFonts w:ascii="Times New Roman" w:eastAsia="Times New Roman" w:hAnsi="Times New Roman" w:cs="Times New Roman"/>
          <w:sz w:val="24"/>
          <w:szCs w:val="24"/>
          <w:highlight w:val="white"/>
        </w:rPr>
        <w:t xml:space="preserve">Sentinel Node Navigation Surgery”, “Regional </w:t>
      </w:r>
      <w:r>
        <w:rPr>
          <w:rFonts w:ascii="Times New Roman" w:eastAsia="Times New Roman" w:hAnsi="Times New Roman" w:cs="Times New Roman"/>
          <w:sz w:val="24"/>
          <w:szCs w:val="24"/>
        </w:rPr>
        <w:t xml:space="preserve">Lymphadenectomy”. Animal studies, studies containing amalgamated subsets of several gastrointestinal cancers, case reports, editorials, letters, conference abstracts without sufficient data, preprints and review articles were excluded. The review only included studies published in English. Studies published within the last 5 years and only with available full texts were included. This review included studies conducted in hospital-based or tertiary care settings where patients with EGC underwent surgical treatment with SNNS or RL.  </w:t>
      </w:r>
    </w:p>
    <w:p w14:paraId="1A30F8FD" w14:textId="77777777" w:rsidR="00C856F9" w:rsidRDefault="00C856F9">
      <w:pPr>
        <w:spacing w:line="240" w:lineRule="auto"/>
        <w:jc w:val="both"/>
        <w:rPr>
          <w:rFonts w:ascii="Times New Roman" w:eastAsia="Times New Roman" w:hAnsi="Times New Roman" w:cs="Times New Roman"/>
          <w:b/>
          <w:bCs/>
          <w:sz w:val="24"/>
          <w:szCs w:val="24"/>
        </w:rPr>
      </w:pPr>
    </w:p>
    <w:p w14:paraId="63CCC6EB" w14:textId="77777777" w:rsidR="00C856F9" w:rsidRDefault="004E2CB7">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w:t>
      </w:r>
    </w:p>
    <w:p w14:paraId="41F80A60" w14:textId="77777777" w:rsidR="00C856F9" w:rsidRDefault="004E2CB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post hoc analysis of the SENORITA trial demonstrated clear superiority of SNNS over the RL approach in terms of diagnostic performance. </w:t>
      </w:r>
      <w:r>
        <w:rPr>
          <w:rFonts w:ascii="Times New Roman" w:eastAsia="Times New Roman" w:hAnsi="Times New Roman" w:cs="Times New Roman"/>
          <w:sz w:val="24"/>
          <w:szCs w:val="24"/>
          <w:highlight w:val="white"/>
        </w:rPr>
        <w:t xml:space="preserve">With </w:t>
      </w:r>
      <w:r>
        <w:rPr>
          <w:rFonts w:ascii="Times New Roman" w:eastAsia="Times New Roman" w:hAnsi="Times New Roman" w:cs="Times New Roman"/>
          <w:sz w:val="24"/>
          <w:szCs w:val="24"/>
        </w:rPr>
        <w:t>RL</w:t>
      </w:r>
      <w:r>
        <w:rPr>
          <w:rFonts w:ascii="Times New Roman" w:eastAsia="Times New Roman" w:hAnsi="Times New Roman" w:cs="Times New Roman"/>
          <w:sz w:val="24"/>
          <w:szCs w:val="24"/>
          <w:highlight w:val="white"/>
        </w:rPr>
        <w:t>, the rate of the skip metastasis was 2.5%</w:t>
      </w:r>
      <w:r>
        <w:rPr>
          <w:rFonts w:ascii="Times New Roman" w:eastAsia="Times New Roman" w:hAnsi="Times New Roman" w:cs="Times New Roman"/>
          <w:sz w:val="24"/>
          <w:szCs w:val="24"/>
        </w:rPr>
        <w:t xml:space="preserve">. Oncological safety of SNNS was found to be non-inferior to that of standard guidelines surgery. Its diagnostic accuracy was influenced by cohort demographics and certain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characteristics. Combination of Maruyama computer program (MCP) with SNNS yielded a 100% negative predictive value (NPV).</w:t>
      </w:r>
    </w:p>
    <w:p w14:paraId="63B2D905" w14:textId="77777777" w:rsidR="00C856F9" w:rsidRDefault="00C856F9">
      <w:pPr>
        <w:spacing w:line="240" w:lineRule="auto"/>
        <w:jc w:val="both"/>
        <w:rPr>
          <w:rFonts w:ascii="Times New Roman" w:eastAsia="Times New Roman" w:hAnsi="Times New Roman" w:cs="Times New Roman"/>
          <w:sz w:val="24"/>
          <w:szCs w:val="24"/>
        </w:rPr>
      </w:pPr>
    </w:p>
    <w:p w14:paraId="5F3C6DFB" w14:textId="77777777" w:rsidR="00C856F9" w:rsidRDefault="004E2CB7">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2C5415DE" w14:textId="77777777" w:rsidR="00C856F9" w:rsidRDefault="004E2CB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Though both the approaches including SNNS and RL are novel in terms of their principle, the oncological efficacy and safety varies significantly. Significant rates of skip metastasis and lower negative predictive value has rendered the fixed RL approach </w:t>
      </w:r>
      <w:proofErr w:type="spellStart"/>
      <w:r>
        <w:rPr>
          <w:rFonts w:ascii="Times New Roman" w:eastAsia="Times New Roman" w:hAnsi="Times New Roman" w:cs="Times New Roman"/>
          <w:sz w:val="24"/>
          <w:szCs w:val="24"/>
        </w:rPr>
        <w:t>oncologically</w:t>
      </w:r>
      <w:proofErr w:type="spellEnd"/>
      <w:r>
        <w:rPr>
          <w:rFonts w:ascii="Times New Roman" w:eastAsia="Times New Roman" w:hAnsi="Times New Roman" w:cs="Times New Roman"/>
          <w:sz w:val="24"/>
          <w:szCs w:val="24"/>
        </w:rPr>
        <w:t xml:space="preserve"> inadequate. Despite the benefits, SNNS has some pitfalls which need to be addressed in further clinical studies.</w:t>
      </w:r>
    </w:p>
    <w:p w14:paraId="30D7BDC4" w14:textId="77777777" w:rsidR="00C856F9" w:rsidRDefault="00C856F9">
      <w:pPr>
        <w:jc w:val="both"/>
        <w:rPr>
          <w:rFonts w:ascii="Times New Roman" w:eastAsia="Times New Roman" w:hAnsi="Times New Roman" w:cs="Times New Roman"/>
          <w:sz w:val="24"/>
          <w:szCs w:val="24"/>
        </w:rPr>
      </w:pPr>
    </w:p>
    <w:p w14:paraId="5F97D30E" w14:textId="77777777" w:rsidR="00C856F9" w:rsidRDefault="00C856F9">
      <w:pPr>
        <w:jc w:val="both"/>
        <w:rPr>
          <w:rFonts w:ascii="Times New Roman" w:eastAsia="Times New Roman" w:hAnsi="Times New Roman" w:cs="Times New Roman"/>
          <w:b/>
          <w:bCs/>
          <w:sz w:val="24"/>
          <w:szCs w:val="24"/>
        </w:rPr>
      </w:pPr>
    </w:p>
    <w:p w14:paraId="5E88AB88" w14:textId="523A6E85" w:rsidR="00C856F9" w:rsidRDefault="004E2CB7">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Keywords</w:t>
      </w:r>
    </w:p>
    <w:p w14:paraId="3C296C61" w14:textId="77777777" w:rsidR="00C856F9" w:rsidRDefault="004E2CB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Gastric cancer; Lymph node dissection; </w:t>
      </w:r>
      <w:r>
        <w:rPr>
          <w:rFonts w:ascii="Times New Roman" w:eastAsia="Times New Roman" w:hAnsi="Times New Roman" w:cs="Times New Roman"/>
          <w:sz w:val="24"/>
          <w:szCs w:val="24"/>
          <w:highlight w:val="white"/>
        </w:rPr>
        <w:t xml:space="preserve">Sentinel lymph node biopsy; </w:t>
      </w:r>
      <w:r>
        <w:rPr>
          <w:rFonts w:ascii="Times New Roman" w:eastAsia="Times New Roman" w:hAnsi="Times New Roman" w:cs="Times New Roman"/>
          <w:sz w:val="24"/>
          <w:szCs w:val="24"/>
        </w:rPr>
        <w:t>Sentinel basin dissection; Maruyama index</w:t>
      </w:r>
    </w:p>
    <w:p w14:paraId="375C02C8" w14:textId="77777777" w:rsidR="004E2CB7" w:rsidRPr="004E2CB7" w:rsidRDefault="004E2CB7" w:rsidP="004E2CB7">
      <w:bookmarkStart w:id="1" w:name="_22qh5nuex7ta" w:colFirst="0" w:colLast="0"/>
      <w:bookmarkEnd w:id="1"/>
    </w:p>
    <w:p w14:paraId="3AB43397" w14:textId="77777777" w:rsidR="004E2CB7" w:rsidRDefault="004E2CB7" w:rsidP="004E2CB7">
      <w:pPr>
        <w:pStyle w:val="Subtitle"/>
        <w:spacing w:after="0" w:line="240" w:lineRule="auto"/>
        <w:jc w:val="both"/>
        <w:rPr>
          <w:rFonts w:ascii="Times New Roman" w:eastAsia="Times New Roman" w:hAnsi="Times New Roman" w:cs="Times New Roman"/>
          <w:b/>
          <w:bCs/>
          <w:color w:val="000000"/>
          <w:sz w:val="28"/>
          <w:szCs w:val="28"/>
        </w:rPr>
      </w:pPr>
    </w:p>
    <w:p w14:paraId="74D1EC6D" w14:textId="19A29BC1" w:rsidR="00C856F9" w:rsidRDefault="004E2CB7">
      <w:pPr>
        <w:pStyle w:val="Subtitle"/>
        <w:spacing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INTRODUCTION</w:t>
      </w:r>
    </w:p>
    <w:p w14:paraId="346804B0" w14:textId="20CF17AF" w:rsidR="00C856F9" w:rsidRDefault="004E2CB7">
      <w:pPr>
        <w:spacing w:before="20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Gastric cancer can be broadly classified into - early, locally advanced and metastatic. Early gastric cancer (EGC) is defined as the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confined to mucosa or submucosa irrespective of the lymph nodal status [1]. Current diagnostic and therapeutic advancements have made a paradigm shift in the outcomes of EGC. Recent literature demonstrates 5-year survival exceeding 90% [1,2]. With this oncological benefit, one new question has arrived - whether these patients are being overtreated.</w:t>
      </w:r>
    </w:p>
    <w:p w14:paraId="1588ADC8" w14:textId="1DBAEB38" w:rsidR="00C856F9" w:rsidRDefault="004E2CB7">
      <w:pPr>
        <w:spacing w:before="20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Conventionally, oncological outcomes have always received priority while choosing a treatment for cancer. Recent advancements in the field of oncology have questioned this approach of radicality. Likewise, in EGC, the gold standard treatment is standard anatomical gastrectomy with D1/D2 lymphadenectomy - except for a very select group of patients for whom endoscopic resection criteria is met [3-6]. Most cases of EGC do not have pathological lymph nodal metastasis. As per data, the rate of nodal metastasis in EGC is 10-20% [7-11]. The radical approach is effective in terms of oncological outcomes like survival and locoregional recurrence. But it has a significant impact on the patients “Quality of Life” (QoL) [12-15]. Anatomical gastrectomy follows with multiple complications like - dumping syndrome, </w:t>
      </w:r>
      <w:proofErr w:type="spellStart"/>
      <w:r>
        <w:rPr>
          <w:rFonts w:ascii="Times New Roman" w:eastAsia="Times New Roman" w:hAnsi="Times New Roman" w:cs="Times New Roman"/>
          <w:sz w:val="24"/>
          <w:szCs w:val="24"/>
          <w:highlight w:val="white"/>
        </w:rPr>
        <w:t>anemia</w:t>
      </w:r>
      <w:proofErr w:type="spellEnd"/>
      <w:r>
        <w:rPr>
          <w:rFonts w:ascii="Times New Roman" w:eastAsia="Times New Roman" w:hAnsi="Times New Roman" w:cs="Times New Roman"/>
          <w:sz w:val="24"/>
          <w:szCs w:val="24"/>
          <w:highlight w:val="white"/>
        </w:rPr>
        <w:t xml:space="preserve">, weight loss, reflux - collectively termed as “Post-Gastrectomy Syndromes” [12-15]. </w:t>
      </w:r>
    </w:p>
    <w:p w14:paraId="377F7CF7" w14:textId="77777777" w:rsidR="00C856F9" w:rsidRDefault="004E2CB7">
      <w:pPr>
        <w:spacing w:before="20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 address these issues, some emerging techniques have been developed. The basin concept has been introduced in gastric cancer during “Sentinel Node Navigation Surgery” (SNNS) [7,16-18]. Here the entire lymphatic basin containing the sentinel nodes is dissected and examined for metastasis. Further dissection depends on the pathological status of the sentinel basin. This approach allows for function preserving and non-standard </w:t>
      </w:r>
      <w:proofErr w:type="spellStart"/>
      <w:r>
        <w:rPr>
          <w:rFonts w:ascii="Times New Roman" w:eastAsia="Times New Roman" w:hAnsi="Times New Roman" w:cs="Times New Roman"/>
          <w:sz w:val="24"/>
          <w:szCs w:val="24"/>
          <w:highlight w:val="white"/>
        </w:rPr>
        <w:t>gastrectomies</w:t>
      </w:r>
      <w:proofErr w:type="spellEnd"/>
      <w:r>
        <w:rPr>
          <w:rFonts w:ascii="Times New Roman" w:eastAsia="Times New Roman" w:hAnsi="Times New Roman" w:cs="Times New Roman"/>
          <w:sz w:val="24"/>
          <w:szCs w:val="24"/>
          <w:highlight w:val="white"/>
        </w:rPr>
        <w:t xml:space="preserve"> [7,19]. Currently SNNS has emerged as an exciting option in the treatment of EGC [16,20-29]. Multiple studies including the SENORITA trial have utilized this technique [28]. For a select group of patients, oncological outcomes have been similar to the standard gastrectomy with D1/D2 lymphadenectomy [20-28]. There is divergent evidence regarding the locoregional recurrences post SNSS. It has its own benefits - stark contrast is noted with radical approach in terms of QoL [12-15]. </w:t>
      </w:r>
    </w:p>
    <w:p w14:paraId="30E9E91F" w14:textId="77777777"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“Sentinel Lymph Node Biopsy” (SLNB) is a unique concept [30]. Its efficacy is already proven in breast cancer, penile cancer, endometrial cancer and melanoma surgery [31,32]. Sentinel node is defined as the first echelon node to receive lymphatic drainage from the concerned organ. SLNB relies on the concept that - if the sentinel lymph node is negative for metastasis, it implies that remaining nodes will also be negative [30]. Individual nodes are handled, dissected and biopsied in SLNB of breast cancer or melanoma surgery [31,32]. Gastric </w:t>
      </w:r>
      <w:r>
        <w:rPr>
          <w:rFonts w:ascii="Times New Roman" w:eastAsia="Times New Roman" w:hAnsi="Times New Roman" w:cs="Times New Roman"/>
          <w:sz w:val="24"/>
          <w:szCs w:val="24"/>
          <w:highlight w:val="white"/>
        </w:rPr>
        <w:lastRenderedPageBreak/>
        <w:t xml:space="preserve">lymphatic drainage is multidirectional and mostly unpredictable [33-36]. So unlike SLNB, the concept of “Sentinel Basin Dissection” (SBD) has been introduced in EGC </w:t>
      </w:r>
      <w:r>
        <w:rPr>
          <w:rFonts w:ascii="Times New Roman" w:eastAsia="Times New Roman" w:hAnsi="Times New Roman" w:cs="Times New Roman"/>
          <w:sz w:val="24"/>
          <w:szCs w:val="24"/>
        </w:rPr>
        <w:t>[7,16-18]</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Currently SNNS is of much importance in the field of EGC - owing to its persistent benefits [16,20-29]. This approach limits the extent of radical lymph node dissection - this in turn helps to avoid standard radical gastrectomy. Essential stomach volume is thus preserved and multiple post-operative complications can be avoided [12-15].</w:t>
      </w:r>
    </w:p>
    <w:p w14:paraId="18A1187D" w14:textId="15AF3458" w:rsidR="00C856F9" w:rsidRDefault="004E2CB7">
      <w:pPr>
        <w:spacing w:before="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Logistical requirements for this approach can be challenging - radioisotopes, dyes or fluorescence agents are mandatory [16,20]. SNSS starts with initial endoscopic tracer injection around the primary gastric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[16,20,27,28]. The tracer follows the pattern of gastric lymphatic drainage, and it allows the surgeons to identify the concerned sentinel basin [37-40]. Followed by which SBD is performed and sent for pathological analysis. Pathological non-involvement of these nodes limits the procedure strictly to the concerned sentinel basin [18,37,39] - thus favouring function-preserving stomach surgery.</w:t>
      </w:r>
    </w:p>
    <w:p w14:paraId="77353F29" w14:textId="77777777"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requirement of special dyes and isotopes has made the SNNS procedure logistically challenging [16,20,27,28]. To avoid this, the concept of fixed “Regional Lymphadenectomy” (RL) has emerged [37]. This approach overcomes the technical difficulties faced in SNNS. No fancy instrument or device is required for RL. This is a simple procedure based on anatomy. </w:t>
      </w:r>
      <w:proofErr w:type="gramStart"/>
      <w:r>
        <w:rPr>
          <w:rFonts w:ascii="Times New Roman" w:eastAsia="Times New Roman" w:hAnsi="Times New Roman" w:cs="Times New Roman"/>
          <w:sz w:val="24"/>
          <w:szCs w:val="24"/>
        </w:rPr>
        <w:t>Thus</w:t>
      </w:r>
      <w:proofErr w:type="gramEnd"/>
      <w:r>
        <w:rPr>
          <w:rFonts w:ascii="Times New Roman" w:eastAsia="Times New Roman" w:hAnsi="Times New Roman" w:cs="Times New Roman"/>
          <w:sz w:val="24"/>
          <w:szCs w:val="24"/>
        </w:rPr>
        <w:t xml:space="preserve"> RL also reduces the operation time and requires less logistical support. </w:t>
      </w:r>
    </w:p>
    <w:p w14:paraId="50C4FA3C" w14:textId="77777777"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hypothesis behind this approach is - lymphatic metastasis in EGC follows predictability of anatomic location. It is postulated to be limited to the anatomical adjacent nodes to the primary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These nodes are termed as regional lymph nodes [37]. The location of the primary gastric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is further categorized by its longitudinal (upper/middle/lower third of the stomach) and circumferential coordinates (lesser curvature (LC)/greater curvature (GC) or anterior/posterior wall) [37,41]. Based on this location, the regional lymph nodes are assigned and fixed regional nodal dissection area is decided preoperatively. This simplifies the procedure and is technically less demanding. RL can also potentially facilitate stomach preserving approaches. </w:t>
      </w:r>
    </w:p>
    <w:p w14:paraId="2FC0B0D5" w14:textId="77777777" w:rsidR="00C856F9" w:rsidRDefault="004E2CB7">
      <w:pPr>
        <w:spacing w:before="20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Owing to the complexity of gastric lymphatic network, risk of skip metastasis - presence of lymph nodal metastasis in the distant nodes bypassing the nearest ones, is significant in stomach cancer [36]. Limiting lymphatic dissection only to anatomical nearest region can affect prognosis, as risk of leaving behind skip metastasis is quite high. So, this RL concept, though novel, can lack safety and feasibility.</w:t>
      </w:r>
    </w:p>
    <w:p w14:paraId="0E4C977A" w14:textId="77777777" w:rsidR="00C856F9" w:rsidRDefault="00C856F9">
      <w:pPr>
        <w:spacing w:before="200" w:line="240" w:lineRule="auto"/>
        <w:jc w:val="both"/>
        <w:rPr>
          <w:rFonts w:ascii="Times New Roman" w:eastAsia="Times New Roman" w:hAnsi="Times New Roman" w:cs="Times New Roman"/>
          <w:sz w:val="24"/>
          <w:szCs w:val="24"/>
          <w:highlight w:val="white"/>
        </w:rPr>
      </w:pPr>
    </w:p>
    <w:p w14:paraId="2B5BCA5C" w14:textId="77777777" w:rsidR="00C856F9" w:rsidRDefault="004E2CB7">
      <w:pPr>
        <w:spacing w:before="20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114300" distB="114300" distL="114300" distR="114300" wp14:anchorId="77FA388B" wp14:editId="55582953">
            <wp:extent cx="5731200" cy="3200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31200" cy="3200400"/>
                    </a:xfrm>
                    <a:prstGeom prst="rect">
                      <a:avLst/>
                    </a:prstGeom>
                    <a:ln/>
                  </pic:spPr>
                </pic:pic>
              </a:graphicData>
            </a:graphic>
          </wp:inline>
        </w:drawing>
      </w:r>
    </w:p>
    <w:p w14:paraId="7B6EF73F" w14:textId="77777777" w:rsidR="00C856F9" w:rsidRDefault="004E2CB7">
      <w:pPr>
        <w:spacing w:before="20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Figure 1. Steps of Sentinel Node Navigation Surgery</w:t>
      </w:r>
    </w:p>
    <w:p w14:paraId="6B102531" w14:textId="77777777" w:rsidR="00C856F9" w:rsidRDefault="00C856F9">
      <w:pPr>
        <w:spacing w:before="200" w:line="240" w:lineRule="auto"/>
        <w:jc w:val="both"/>
        <w:rPr>
          <w:rFonts w:ascii="Times New Roman" w:eastAsia="Times New Roman" w:hAnsi="Times New Roman" w:cs="Times New Roman"/>
          <w:sz w:val="24"/>
          <w:szCs w:val="24"/>
        </w:rPr>
      </w:pPr>
    </w:p>
    <w:p w14:paraId="656FCC00" w14:textId="77777777" w:rsidR="00C856F9" w:rsidRDefault="004E2CB7">
      <w:pPr>
        <w:spacing w:before="20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METHODOLOGY</w:t>
      </w:r>
    </w:p>
    <w:p w14:paraId="0CF1F7F1" w14:textId="77777777" w:rsidR="00C856F9" w:rsidRDefault="00C856F9">
      <w:pPr>
        <w:spacing w:line="240" w:lineRule="auto"/>
        <w:jc w:val="both"/>
        <w:rPr>
          <w:rFonts w:ascii="Times New Roman" w:eastAsia="Times New Roman" w:hAnsi="Times New Roman" w:cs="Times New Roman"/>
          <w:sz w:val="24"/>
          <w:szCs w:val="24"/>
        </w:rPr>
      </w:pPr>
    </w:p>
    <w:p w14:paraId="39C18728" w14:textId="77777777" w:rsidR="00C856F9" w:rsidRDefault="004E2CB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PUBMED/EMBASE/SCOPUS databases were systematically searched with keywords - “Early Gastric Cancer”, "Lymphadenectomy Strategy”, “</w:t>
      </w:r>
      <w:r>
        <w:rPr>
          <w:rFonts w:ascii="Times New Roman" w:eastAsia="Times New Roman" w:hAnsi="Times New Roman" w:cs="Times New Roman"/>
          <w:sz w:val="24"/>
          <w:szCs w:val="24"/>
          <w:highlight w:val="white"/>
        </w:rPr>
        <w:t xml:space="preserve">Sentinel Node Navigation Surgery”, “Regional </w:t>
      </w:r>
      <w:r>
        <w:rPr>
          <w:rFonts w:ascii="Times New Roman" w:eastAsia="Times New Roman" w:hAnsi="Times New Roman" w:cs="Times New Roman"/>
          <w:sz w:val="24"/>
          <w:szCs w:val="24"/>
        </w:rPr>
        <w:t xml:space="preserve">Lymphadenectomy”. The review was registered in PROSPERO </w:t>
      </w:r>
      <w:r>
        <w:rPr>
          <w:rFonts w:ascii="Times New Roman" w:eastAsia="Times New Roman" w:hAnsi="Times New Roman" w:cs="Times New Roman"/>
          <w:sz w:val="24"/>
          <w:szCs w:val="24"/>
          <w:highlight w:val="white"/>
        </w:rPr>
        <w:t>(CRD420261321691)</w:t>
      </w:r>
      <w:r>
        <w:rPr>
          <w:rFonts w:ascii="Times New Roman" w:eastAsia="Times New Roman" w:hAnsi="Times New Roman" w:cs="Times New Roman"/>
          <w:sz w:val="24"/>
          <w:szCs w:val="24"/>
        </w:rPr>
        <w:t>. Animal studies, studies containing amalgamated subsets of several gastrointestinal cancers, case reports, editorials, letters, conference abstracts without sufficient data, preprints and review articles were excluded. The review only included studies published in English. Studies published within the last 5 years and only with available full texts were included. This review included studies conducted in hospital-based or tertiary care settings where patients with EGC underwent surgical treatment with SNNS or RL. There were no geographic restrictions. Two independent reviewers extracted and assessed the data. The search and screening process followed the PRISMA recommendations. All retrieved records were imported into reference management software and duplicates were removed before screening. Titles and abstracts were screened independently by two reviewers, followed by full-text assessment for eligibility. Any disagreements were resolved through discussion or consultation with a third reviewer. Risk of bias was assessed using Newcastle-Ottawa scale. The certainty of evidence for key outcomes were assessed using the GRADE approach. The complete search strategy has been summarized in table 1.</w:t>
      </w:r>
    </w:p>
    <w:p w14:paraId="506AE29F" w14:textId="77777777" w:rsidR="00C856F9" w:rsidRDefault="00C856F9">
      <w:pPr>
        <w:spacing w:line="240" w:lineRule="auto"/>
        <w:jc w:val="both"/>
        <w:rPr>
          <w:rFonts w:ascii="Times New Roman" w:eastAsia="Times New Roman" w:hAnsi="Times New Roman" w:cs="Times New Roman"/>
          <w:sz w:val="24"/>
          <w:szCs w:val="24"/>
        </w:rPr>
      </w:pPr>
    </w:p>
    <w:p w14:paraId="13BF128F" w14:textId="60A7CBDC" w:rsidR="00C856F9" w:rsidRDefault="004E2CB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Search Strategy</w:t>
      </w:r>
    </w:p>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6735"/>
      </w:tblGrid>
      <w:tr w:rsidR="00C856F9" w14:paraId="24DD9AE4" w14:textId="77777777">
        <w:tc>
          <w:tcPr>
            <w:tcW w:w="2265" w:type="dxa"/>
            <w:tcMar>
              <w:top w:w="100" w:type="dxa"/>
              <w:left w:w="100" w:type="dxa"/>
              <w:bottom w:w="100" w:type="dxa"/>
              <w:right w:w="100" w:type="dxa"/>
            </w:tcMar>
          </w:tcPr>
          <w:p w14:paraId="2437C26E" w14:textId="77777777" w:rsidR="00C856F9" w:rsidRDefault="004E2CB7">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Items</w:t>
            </w:r>
          </w:p>
        </w:tc>
        <w:tc>
          <w:tcPr>
            <w:tcW w:w="6735" w:type="dxa"/>
            <w:tcMar>
              <w:top w:w="100" w:type="dxa"/>
              <w:left w:w="100" w:type="dxa"/>
              <w:bottom w:w="100" w:type="dxa"/>
              <w:right w:w="100" w:type="dxa"/>
            </w:tcMar>
          </w:tcPr>
          <w:p w14:paraId="0A2ABE92" w14:textId="77777777" w:rsidR="00C856F9" w:rsidRDefault="004E2CB7">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Specifications</w:t>
            </w:r>
          </w:p>
        </w:tc>
      </w:tr>
      <w:tr w:rsidR="00C856F9" w14:paraId="4A81F131" w14:textId="77777777">
        <w:tc>
          <w:tcPr>
            <w:tcW w:w="2265" w:type="dxa"/>
            <w:tcMar>
              <w:top w:w="100" w:type="dxa"/>
              <w:left w:w="100" w:type="dxa"/>
              <w:bottom w:w="100" w:type="dxa"/>
              <w:right w:w="100" w:type="dxa"/>
            </w:tcMar>
          </w:tcPr>
          <w:p w14:paraId="648BEAFA" w14:textId="77777777" w:rsidR="00C856F9" w:rsidRDefault="004E2CB7">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Databases</w:t>
            </w:r>
          </w:p>
        </w:tc>
        <w:tc>
          <w:tcPr>
            <w:tcW w:w="6735" w:type="dxa"/>
            <w:tcMar>
              <w:top w:w="100" w:type="dxa"/>
              <w:left w:w="100" w:type="dxa"/>
              <w:bottom w:w="100" w:type="dxa"/>
              <w:right w:w="100" w:type="dxa"/>
            </w:tcMar>
          </w:tcPr>
          <w:p w14:paraId="66C263F7" w14:textId="77777777" w:rsidR="00C856F9" w:rsidRDefault="004E2CB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PUBMED/EMBASE/SCOPUS</w:t>
            </w:r>
          </w:p>
        </w:tc>
      </w:tr>
      <w:tr w:rsidR="00C856F9" w14:paraId="30FE1FFC" w14:textId="77777777">
        <w:tc>
          <w:tcPr>
            <w:tcW w:w="2265" w:type="dxa"/>
            <w:tcMar>
              <w:top w:w="100" w:type="dxa"/>
              <w:left w:w="100" w:type="dxa"/>
              <w:bottom w:w="100" w:type="dxa"/>
              <w:right w:w="100" w:type="dxa"/>
            </w:tcMar>
          </w:tcPr>
          <w:p w14:paraId="760EC54E" w14:textId="77777777" w:rsidR="00C856F9" w:rsidRDefault="004E2CB7">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Keywords</w:t>
            </w:r>
          </w:p>
        </w:tc>
        <w:tc>
          <w:tcPr>
            <w:tcW w:w="6735" w:type="dxa"/>
            <w:tcMar>
              <w:top w:w="100" w:type="dxa"/>
              <w:left w:w="100" w:type="dxa"/>
              <w:bottom w:w="100" w:type="dxa"/>
              <w:right w:w="100" w:type="dxa"/>
            </w:tcMar>
          </w:tcPr>
          <w:p w14:paraId="2FB43FBE" w14:textId="77777777" w:rsidR="00C856F9" w:rsidRDefault="004E2CB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“Early Gastric Cancer”, "Lymphadenectomy Strategy”, “</w:t>
            </w:r>
            <w:r>
              <w:rPr>
                <w:rFonts w:ascii="Times New Roman" w:eastAsia="Times New Roman" w:hAnsi="Times New Roman" w:cs="Times New Roman"/>
                <w:sz w:val="24"/>
                <w:szCs w:val="24"/>
                <w:highlight w:val="white"/>
              </w:rPr>
              <w:t xml:space="preserve">Sentinel Node Navigation Surgery”, “Regional </w:t>
            </w:r>
            <w:r>
              <w:rPr>
                <w:rFonts w:ascii="Times New Roman" w:eastAsia="Times New Roman" w:hAnsi="Times New Roman" w:cs="Times New Roman"/>
                <w:sz w:val="24"/>
                <w:szCs w:val="24"/>
              </w:rPr>
              <w:t>Lymphadenectomy”</w:t>
            </w:r>
          </w:p>
        </w:tc>
      </w:tr>
      <w:tr w:rsidR="00C856F9" w14:paraId="635475B5" w14:textId="77777777">
        <w:tc>
          <w:tcPr>
            <w:tcW w:w="2265" w:type="dxa"/>
            <w:tcMar>
              <w:top w:w="100" w:type="dxa"/>
              <w:left w:w="100" w:type="dxa"/>
              <w:bottom w:w="100" w:type="dxa"/>
              <w:right w:w="100" w:type="dxa"/>
            </w:tcMar>
          </w:tcPr>
          <w:p w14:paraId="201DD6B9" w14:textId="77777777" w:rsidR="00C856F9" w:rsidRDefault="004E2CB7">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Timeframe</w:t>
            </w:r>
          </w:p>
        </w:tc>
        <w:tc>
          <w:tcPr>
            <w:tcW w:w="6735" w:type="dxa"/>
            <w:tcMar>
              <w:top w:w="100" w:type="dxa"/>
              <w:left w:w="100" w:type="dxa"/>
              <w:bottom w:w="100" w:type="dxa"/>
              <w:right w:w="100" w:type="dxa"/>
            </w:tcMar>
          </w:tcPr>
          <w:p w14:paraId="33C33852" w14:textId="77777777" w:rsidR="00C856F9" w:rsidRDefault="004E2CB7">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Last 5 years</w:t>
            </w:r>
          </w:p>
        </w:tc>
      </w:tr>
      <w:tr w:rsidR="00C856F9" w14:paraId="348FADBA" w14:textId="77777777">
        <w:tc>
          <w:tcPr>
            <w:tcW w:w="2265" w:type="dxa"/>
            <w:tcMar>
              <w:top w:w="100" w:type="dxa"/>
              <w:left w:w="100" w:type="dxa"/>
              <w:bottom w:w="100" w:type="dxa"/>
              <w:right w:w="100" w:type="dxa"/>
            </w:tcMar>
          </w:tcPr>
          <w:p w14:paraId="3A348B61" w14:textId="77777777" w:rsidR="00C856F9" w:rsidRDefault="004E2CB7">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Inclusion Criteria</w:t>
            </w:r>
          </w:p>
        </w:tc>
        <w:tc>
          <w:tcPr>
            <w:tcW w:w="6735" w:type="dxa"/>
            <w:tcMar>
              <w:top w:w="100" w:type="dxa"/>
              <w:left w:w="100" w:type="dxa"/>
              <w:bottom w:w="100" w:type="dxa"/>
              <w:right w:w="100" w:type="dxa"/>
            </w:tcMar>
          </w:tcPr>
          <w:p w14:paraId="0CD3CDED" w14:textId="77777777" w:rsidR="00C856F9" w:rsidRDefault="004E2CB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Studies conducted in hospital-based or tertiary care settings in English and with available full texts (where patients with EGC underwent surgical treatment with SNNS or RL)</w:t>
            </w:r>
          </w:p>
        </w:tc>
      </w:tr>
      <w:tr w:rsidR="00C856F9" w14:paraId="0EC39EC5" w14:textId="77777777">
        <w:tc>
          <w:tcPr>
            <w:tcW w:w="2265" w:type="dxa"/>
            <w:tcMar>
              <w:top w:w="100" w:type="dxa"/>
              <w:left w:w="100" w:type="dxa"/>
              <w:bottom w:w="100" w:type="dxa"/>
              <w:right w:w="100" w:type="dxa"/>
            </w:tcMar>
          </w:tcPr>
          <w:p w14:paraId="07088DFE" w14:textId="77777777" w:rsidR="00C856F9" w:rsidRDefault="004E2CB7">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Exclusion Criteria</w:t>
            </w:r>
          </w:p>
        </w:tc>
        <w:tc>
          <w:tcPr>
            <w:tcW w:w="6735" w:type="dxa"/>
            <w:tcMar>
              <w:top w:w="100" w:type="dxa"/>
              <w:left w:w="100" w:type="dxa"/>
              <w:bottom w:w="100" w:type="dxa"/>
              <w:right w:w="100" w:type="dxa"/>
            </w:tcMar>
          </w:tcPr>
          <w:p w14:paraId="6E3BFF72" w14:textId="77777777" w:rsidR="00C856F9" w:rsidRDefault="004E2CB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Animal studies, studies containing amalgamated subsets of several gastrointestinal cancers, case reports, editorials, letters, conference abstracts without sufficient data, preprints and review articles</w:t>
            </w:r>
          </w:p>
        </w:tc>
      </w:tr>
    </w:tbl>
    <w:p w14:paraId="01AEA3D7" w14:textId="77777777" w:rsidR="00C856F9" w:rsidRDefault="00C856F9">
      <w:pPr>
        <w:spacing w:line="240" w:lineRule="auto"/>
        <w:jc w:val="both"/>
        <w:rPr>
          <w:rFonts w:ascii="Times New Roman" w:eastAsia="Times New Roman" w:hAnsi="Times New Roman" w:cs="Times New Roman"/>
          <w:sz w:val="24"/>
          <w:szCs w:val="24"/>
        </w:rPr>
      </w:pPr>
    </w:p>
    <w:p w14:paraId="23D03265" w14:textId="77777777" w:rsidR="00C856F9" w:rsidRDefault="00C856F9">
      <w:pPr>
        <w:spacing w:line="240" w:lineRule="auto"/>
        <w:jc w:val="both"/>
        <w:rPr>
          <w:rFonts w:ascii="Times New Roman" w:eastAsia="Times New Roman" w:hAnsi="Times New Roman" w:cs="Times New Roman"/>
          <w:sz w:val="24"/>
          <w:szCs w:val="24"/>
        </w:rPr>
      </w:pPr>
    </w:p>
    <w:p w14:paraId="052A0485" w14:textId="77777777" w:rsidR="00C856F9" w:rsidRDefault="00C856F9">
      <w:pPr>
        <w:spacing w:line="240" w:lineRule="auto"/>
        <w:jc w:val="both"/>
        <w:rPr>
          <w:rFonts w:ascii="Times New Roman" w:eastAsia="Times New Roman" w:hAnsi="Times New Roman" w:cs="Times New Roman"/>
          <w:sz w:val="24"/>
          <w:szCs w:val="24"/>
        </w:rPr>
      </w:pPr>
    </w:p>
    <w:p w14:paraId="37FC12CC" w14:textId="77777777" w:rsidR="00C856F9" w:rsidRDefault="004E2CB7">
      <w:pPr>
        <w:spacing w:line="240" w:lineRule="auto"/>
        <w:jc w:val="both"/>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RESULT</w:t>
      </w:r>
    </w:p>
    <w:p w14:paraId="5C69E397" w14:textId="77777777" w:rsidR="00C856F9" w:rsidRDefault="004E2CB7">
      <w:pPr>
        <w:spacing w:before="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Comparison of Diagnostic Accuracy</w:t>
      </w:r>
    </w:p>
    <w:p w14:paraId="654CFCA2" w14:textId="653126CF"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Park et al evaluated the RL concept as an alternative to SNNS in a post hoc analysis of the SENORITA trial [37]. The established dataset of the trial was used. Feasibility and safety of the RL approach were analysed. The SENORITA trial included 237 patients with EGC. Two distinct concepts to manage lymph node metastasis in EGC were compared in the post hoc analysis - SNNS and RL. In RL, a regional area was decided before surgery. Based on the location of the primary gastric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the anatomically closest group of nodes were identified and designated as regional nodes. For all LC primary, regional stations included station 3. Lower third gastric </w:t>
      </w:r>
      <w:proofErr w:type="spellStart"/>
      <w:r>
        <w:rPr>
          <w:rFonts w:ascii="Times New Roman" w:eastAsia="Times New Roman" w:hAnsi="Times New Roman" w:cs="Times New Roman"/>
          <w:sz w:val="24"/>
          <w:szCs w:val="24"/>
        </w:rPr>
        <w:t>tumors</w:t>
      </w:r>
      <w:proofErr w:type="spellEnd"/>
      <w:r>
        <w:rPr>
          <w:rFonts w:ascii="Times New Roman" w:eastAsia="Times New Roman" w:hAnsi="Times New Roman" w:cs="Times New Roman"/>
          <w:sz w:val="24"/>
          <w:szCs w:val="24"/>
        </w:rPr>
        <w:t xml:space="preserve"> along the GC mandated removal of station 4d and 6. Similarly, for lower third and anterior/posterior wall primary, station 3, 4d and 6 were included. In the SNNS analysis, lymph node metastasis was classified as - within the sentinel basin or non-sentinel basins. For RL, it was classified as within regional node stations or non-regional stations. Thus, the feasibility and oncological safety of the RL approach was critically evaluated and compared with SNNS [37].</w:t>
      </w:r>
    </w:p>
    <w:p w14:paraId="5584B874" w14:textId="77777777"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post hoc analysis of the SENORITA trial demonstrated clear superiority of SNNS over the RL approach in terms of diagnostic performance in terms of sensitivity (96.8% vs. 80.6%; p=0.016), false negative rate (FNR) (3.2% vs. 19.4%; p=0.016) and negative predictive value (NPV) (99.5% vs. 97.2%; p=0.021).</w:t>
      </w:r>
    </w:p>
    <w:p w14:paraId="5FA51FAB" w14:textId="77777777" w:rsidR="00C856F9" w:rsidRDefault="004E2CB7">
      <w:pPr>
        <w:spacing w:before="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Oncological Safety and Survival</w:t>
      </w:r>
    </w:p>
    <w:p w14:paraId="5CBCC1AE" w14:textId="77777777"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Significant events of skip metastasis may render the RL approach </w:t>
      </w:r>
      <w:proofErr w:type="spellStart"/>
      <w:r>
        <w:rPr>
          <w:rFonts w:ascii="Times New Roman" w:eastAsia="Times New Roman" w:hAnsi="Times New Roman" w:cs="Times New Roman"/>
          <w:sz w:val="24"/>
          <w:szCs w:val="24"/>
        </w:rPr>
        <w:t>oncologically</w:t>
      </w:r>
      <w:proofErr w:type="spellEnd"/>
      <w:r>
        <w:rPr>
          <w:rFonts w:ascii="Times New Roman" w:eastAsia="Times New Roman" w:hAnsi="Times New Roman" w:cs="Times New Roman"/>
          <w:sz w:val="24"/>
          <w:szCs w:val="24"/>
        </w:rPr>
        <w:t xml:space="preserve"> inadequate and unsafe [37]. Meanwhile, SNNS approach provides a technically sound alternative in the management of EGC [16,20-29,37]. With limited lymphadenectomy, it tailors a path towards function-preserving limited gastrectomy [12-15]. </w:t>
      </w:r>
    </w:p>
    <w:p w14:paraId="505F12E4" w14:textId="77777777" w:rsidR="00C856F9" w:rsidRDefault="004E2CB7">
      <w:pPr>
        <w:spacing w:before="20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Kinami</w:t>
      </w:r>
      <w:proofErr w:type="spellEnd"/>
      <w:r>
        <w:rPr>
          <w:rFonts w:ascii="Times New Roman" w:eastAsia="Times New Roman" w:hAnsi="Times New Roman" w:cs="Times New Roman"/>
          <w:sz w:val="24"/>
          <w:szCs w:val="24"/>
        </w:rPr>
        <w:t xml:space="preserve"> et al validated this novel approach’s </w:t>
      </w:r>
      <w:proofErr w:type="gramStart"/>
      <w:r>
        <w:rPr>
          <w:rFonts w:ascii="Times New Roman" w:eastAsia="Times New Roman" w:hAnsi="Times New Roman" w:cs="Times New Roman"/>
          <w:sz w:val="24"/>
          <w:szCs w:val="24"/>
        </w:rPr>
        <w:t>long term</w:t>
      </w:r>
      <w:proofErr w:type="gramEnd"/>
      <w:r>
        <w:rPr>
          <w:rFonts w:ascii="Times New Roman" w:eastAsia="Times New Roman" w:hAnsi="Times New Roman" w:cs="Times New Roman"/>
          <w:sz w:val="24"/>
          <w:szCs w:val="24"/>
        </w:rPr>
        <w:t xml:space="preserve"> oncological safety through a retrospective cohort study [38]. This study analysed records of 239 patients of EGC who underwent SNNS guided gastrectomy along with 423 patients of EGC who underwent standard radical gastrectomy with adequate lymph node dissection. The study found that the oncological safety of SNNS was non-inferior to that of standard guidelines surgery. 5-year overall survival (OS) rate was 96.8% in the SNNS group compared to 91.3% in the control group (p=0.0014) in the original cohort. After propensity score matching (adjusting for factors like age, sex,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location etc.), the SNNS group maintained a significantly better OS rate than the control group (5-year OS 96.7% vs. 93.6%; p=0.030). The recurrence free survival (RFS) rate in the </w:t>
      </w:r>
      <w:r>
        <w:rPr>
          <w:rFonts w:ascii="Times New Roman" w:eastAsia="Times New Roman" w:hAnsi="Times New Roman" w:cs="Times New Roman"/>
          <w:sz w:val="24"/>
          <w:szCs w:val="24"/>
        </w:rPr>
        <w:lastRenderedPageBreak/>
        <w:t xml:space="preserve">SNNS group was 99.6% at 5 years, versus 98.1% in the control group. After propensity score matching, the cumulative recurrence rate at 5 years was 0.43% in the SNNS group and 1.30% in the control group (no statistically significant difference). The only factor identified on multivariate analysis was the pathological nodal status which had a significant impact on the recurrence rates [38]. </w:t>
      </w:r>
    </w:p>
    <w:p w14:paraId="6A649722" w14:textId="77777777" w:rsidR="00C856F9" w:rsidRDefault="004E2CB7">
      <w:pPr>
        <w:spacing w:before="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Surgical Extent Comparison</w:t>
      </w:r>
    </w:p>
    <w:p w14:paraId="3006D92E" w14:textId="77777777"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per this study by </w:t>
      </w:r>
      <w:proofErr w:type="spellStart"/>
      <w:r>
        <w:rPr>
          <w:rFonts w:ascii="Times New Roman" w:eastAsia="Times New Roman" w:hAnsi="Times New Roman" w:cs="Times New Roman"/>
          <w:sz w:val="24"/>
          <w:szCs w:val="24"/>
        </w:rPr>
        <w:t>Kinami</w:t>
      </w:r>
      <w:proofErr w:type="spellEnd"/>
      <w:r>
        <w:rPr>
          <w:rFonts w:ascii="Times New Roman" w:eastAsia="Times New Roman" w:hAnsi="Times New Roman" w:cs="Times New Roman"/>
          <w:sz w:val="24"/>
          <w:szCs w:val="24"/>
        </w:rPr>
        <w:t xml:space="preserve"> et al [38], most patients in the control arm (67.6%) underwent distal/total gastrectomy and only 26.7% underwent modified gastrectomy. 84.7% of these patients had D1+ or D2 lymph node dissection. The extent of resection and lymphadenectomy varied significantly between both the study groups. In the SNNS arm, a mere 18.4% underwent standard radical surgery and only 14.2% underwent modified gastrectomy. 67.4% of patients in the SNNS arm received function preserving surgeries - like segmental gastrectomy, mini-distal gastrectomy, mini-proximal gastrectomy and local resection. These results showed a marked contrast with the standard surgery arm. Moreover, 174 out of 239 patients (72.8%) in the SNNS arm had a D0 dissection i.e. they underwent effective and tailored sentinel basin dissection only. These findings reinforced and solidified the SNNS approach in terms of its ability to deescalate the surgical radicality.</w:t>
      </w:r>
    </w:p>
    <w:p w14:paraId="11C68DC9" w14:textId="77777777" w:rsidR="00C856F9" w:rsidRDefault="004E2CB7">
      <w:pPr>
        <w:spacing w:before="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Metachronous Multiple Gastric Cancer (MMGC)</w:t>
      </w:r>
    </w:p>
    <w:p w14:paraId="093A03DB" w14:textId="77777777"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concept of “Metachronous Multiple Gastric Cancer” (MMGC) is defined as cancer occurring in the remnant stomach [42-45]. There is a potential risk for MMGC post function preserving gastrectomy. This has created a concern for the SNNS guided limited surgeries. In contrast to radical gastrectomy, SNNS guided limited gastrectomy results in larger residual mucosal area in the remnant stomach - which may </w:t>
      </w:r>
      <w:proofErr w:type="spellStart"/>
      <w:r>
        <w:rPr>
          <w:rFonts w:ascii="Times New Roman" w:eastAsia="Times New Roman" w:hAnsi="Times New Roman" w:cs="Times New Roman"/>
          <w:sz w:val="24"/>
          <w:szCs w:val="24"/>
        </w:rPr>
        <w:t>harbor</w:t>
      </w:r>
      <w:proofErr w:type="spellEnd"/>
      <w:r>
        <w:rPr>
          <w:rFonts w:ascii="Times New Roman" w:eastAsia="Times New Roman" w:hAnsi="Times New Roman" w:cs="Times New Roman"/>
          <w:sz w:val="24"/>
          <w:szCs w:val="24"/>
        </w:rPr>
        <w:t xml:space="preserve"> precancerous field changes. But as per the study by </w:t>
      </w:r>
      <w:proofErr w:type="spellStart"/>
      <w:r>
        <w:rPr>
          <w:rFonts w:ascii="Times New Roman" w:eastAsia="Times New Roman" w:hAnsi="Times New Roman" w:cs="Times New Roman"/>
          <w:sz w:val="24"/>
          <w:szCs w:val="24"/>
        </w:rPr>
        <w:t>Kinami</w:t>
      </w:r>
      <w:proofErr w:type="spellEnd"/>
      <w:r>
        <w:rPr>
          <w:rFonts w:ascii="Times New Roman" w:eastAsia="Times New Roman" w:hAnsi="Times New Roman" w:cs="Times New Roman"/>
          <w:sz w:val="24"/>
          <w:szCs w:val="24"/>
        </w:rPr>
        <w:t xml:space="preserve"> et al, there was no statistically significant difference in the MMGC rates between the two arms. The cumulative MMGC rates at 5 years were 1.7% and 2.3% respectively in the SNNS arm and control arm [38].</w:t>
      </w:r>
    </w:p>
    <w:p w14:paraId="11B2A601" w14:textId="77777777" w:rsidR="00C856F9" w:rsidRDefault="004E2CB7">
      <w:pPr>
        <w:spacing w:before="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Procedural Burden in Sentinel Node Navigation Surgery</w:t>
      </w:r>
    </w:p>
    <w:p w14:paraId="0D9725BF" w14:textId="77777777"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oncological safety of SNNS has been proven but the technical difficulties associated with this procedure make it cumbersome [37,46]. The steps include - endoscopic tracer injection followed by sentinel basin detection [16,20,27,28,37,39] and frozen section biopsy [47,48]. This further hampers its clinical application. </w:t>
      </w:r>
      <w:proofErr w:type="gramStart"/>
      <w:r>
        <w:rPr>
          <w:rFonts w:ascii="Times New Roman" w:eastAsia="Times New Roman" w:hAnsi="Times New Roman" w:cs="Times New Roman"/>
          <w:sz w:val="24"/>
          <w:szCs w:val="24"/>
        </w:rPr>
        <w:t>Oh</w:t>
      </w:r>
      <w:proofErr w:type="gramEnd"/>
      <w:r>
        <w:rPr>
          <w:rFonts w:ascii="Times New Roman" w:eastAsia="Times New Roman" w:hAnsi="Times New Roman" w:cs="Times New Roman"/>
          <w:sz w:val="24"/>
          <w:szCs w:val="24"/>
        </w:rPr>
        <w:t xml:space="preserve"> et al reported the mean sentinel study time 109.4+/-17.9 minutes [39]. It included time from tracer injection to obtaining the frozen biopsy report that determined the final resection extent.</w:t>
      </w:r>
    </w:p>
    <w:p w14:paraId="7A8FB865" w14:textId="77777777"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Diagnostic Accuracy in Western Cohorts</w:t>
      </w:r>
    </w:p>
    <w:p w14:paraId="76A1FABE" w14:textId="77777777"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large US-based study by Abate et al (n=129 patients undergoing Indocyanine green fluorescence-guided mapping) reported lower overall performance metrics [46] - SLN detection rate was 86.8%, overall NPV was 83.1%, overall sensitivity was 65.8% and FNR was 34.2%.</w:t>
      </w:r>
    </w:p>
    <w:p w14:paraId="3F1D3532" w14:textId="77777777" w:rsidR="00C856F9" w:rsidRDefault="004E2CB7">
      <w:pPr>
        <w:spacing w:before="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Impact of Tumor Characteristics on SNNS Accuracy</w:t>
      </w:r>
    </w:p>
    <w:p w14:paraId="5E8EA7D6" w14:textId="77777777" w:rsidR="00C856F9" w:rsidRDefault="00C856F9">
      <w:pPr>
        <w:pStyle w:val="Heading4"/>
        <w:keepNext w:val="0"/>
        <w:keepLines w:val="0"/>
        <w:spacing w:before="0" w:after="0" w:line="240" w:lineRule="auto"/>
        <w:jc w:val="both"/>
        <w:rPr>
          <w:rFonts w:ascii="Times New Roman" w:eastAsia="Times New Roman" w:hAnsi="Times New Roman" w:cs="Times New Roman"/>
          <w:color w:val="000000"/>
          <w:highlight w:val="white"/>
        </w:rPr>
      </w:pPr>
    </w:p>
    <w:p w14:paraId="21C9B36E" w14:textId="77777777" w:rsidR="00C856F9" w:rsidRDefault="004E2CB7">
      <w:pPr>
        <w:pStyle w:val="Heading4"/>
        <w:keepNext w:val="0"/>
        <w:keepLines w:val="0"/>
        <w:spacing w:before="0" w:after="0" w:line="240" w:lineRule="auto"/>
        <w:jc w:val="both"/>
        <w:rPr>
          <w:rFonts w:ascii="Times New Roman" w:eastAsia="Times New Roman" w:hAnsi="Times New Roman" w:cs="Times New Roman"/>
        </w:rPr>
      </w:pPr>
      <w:r>
        <w:rPr>
          <w:rFonts w:ascii="Times New Roman" w:eastAsia="Times New Roman" w:hAnsi="Times New Roman" w:cs="Times New Roman"/>
          <w:color w:val="000000"/>
          <w:highlight w:val="white"/>
        </w:rPr>
        <w:t xml:space="preserve">SNNS approach’s reliability is based on the detection of sentinel node basins. </w:t>
      </w:r>
      <w:proofErr w:type="spellStart"/>
      <w:r>
        <w:rPr>
          <w:rFonts w:ascii="Times New Roman" w:eastAsia="Times New Roman" w:hAnsi="Times New Roman" w:cs="Times New Roman"/>
          <w:color w:val="000000"/>
          <w:highlight w:val="white"/>
        </w:rPr>
        <w:t>Lymphovascular</w:t>
      </w:r>
      <w:proofErr w:type="spellEnd"/>
      <w:r>
        <w:rPr>
          <w:rFonts w:ascii="Times New Roman" w:eastAsia="Times New Roman" w:hAnsi="Times New Roman" w:cs="Times New Roman"/>
          <w:color w:val="000000"/>
          <w:highlight w:val="white"/>
        </w:rPr>
        <w:t xml:space="preserve"> invasion (LVI) is defined as invasion of </w:t>
      </w:r>
      <w:proofErr w:type="spellStart"/>
      <w:r>
        <w:rPr>
          <w:rFonts w:ascii="Times New Roman" w:eastAsia="Times New Roman" w:hAnsi="Times New Roman" w:cs="Times New Roman"/>
          <w:color w:val="000000"/>
          <w:highlight w:val="white"/>
        </w:rPr>
        <w:t>tumor</w:t>
      </w:r>
      <w:proofErr w:type="spellEnd"/>
      <w:r>
        <w:rPr>
          <w:rFonts w:ascii="Times New Roman" w:eastAsia="Times New Roman" w:hAnsi="Times New Roman" w:cs="Times New Roman"/>
          <w:color w:val="000000"/>
          <w:highlight w:val="white"/>
        </w:rPr>
        <w:t xml:space="preserve"> cells in the body's small lymphatics. The diagnostic accuracy of SNNS is reduced by presence of LVI [49-51].</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Patients with no LVI showed a substantially high NPV of 96.0%.</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 xml:space="preserve">In contrast, patients with LVI saw the NPV </w:t>
      </w:r>
      <w:r>
        <w:rPr>
          <w:rFonts w:ascii="Times New Roman" w:eastAsia="Times New Roman" w:hAnsi="Times New Roman" w:cs="Times New Roman"/>
          <w:color w:val="000000"/>
          <w:highlight w:val="white"/>
        </w:rPr>
        <w:lastRenderedPageBreak/>
        <w:t>plummet to a much less reliable 59.3% (p &lt; 0.001) [46].</w:t>
      </w:r>
      <w:r>
        <w:rPr>
          <w:rFonts w:ascii="Times New Roman" w:eastAsia="Times New Roman" w:hAnsi="Times New Roman" w:cs="Times New Roman"/>
          <w:highlight w:val="white"/>
        </w:rPr>
        <w:br/>
      </w:r>
    </w:p>
    <w:p w14:paraId="51F55202" w14:textId="77777777" w:rsidR="00C856F9" w:rsidRDefault="004E2CB7">
      <w:pPr>
        <w:pStyle w:val="Heading4"/>
        <w:keepNext w:val="0"/>
        <w:keepLines w:val="0"/>
        <w:spacing w:before="0"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 xml:space="preserve">The depth of </w:t>
      </w:r>
      <w:proofErr w:type="spellStart"/>
      <w:r>
        <w:rPr>
          <w:rFonts w:ascii="Times New Roman" w:eastAsia="Times New Roman" w:hAnsi="Times New Roman" w:cs="Times New Roman"/>
          <w:color w:val="000000"/>
          <w:highlight w:val="white"/>
        </w:rPr>
        <w:t>tumor</w:t>
      </w:r>
      <w:proofErr w:type="spellEnd"/>
      <w:r>
        <w:rPr>
          <w:rFonts w:ascii="Times New Roman" w:eastAsia="Times New Roman" w:hAnsi="Times New Roman" w:cs="Times New Roman"/>
          <w:color w:val="000000"/>
          <w:highlight w:val="white"/>
        </w:rPr>
        <w:t xml:space="preserve"> invasion, as defined by the pathological T stage (</w:t>
      </w:r>
      <w:proofErr w:type="spellStart"/>
      <w:r>
        <w:rPr>
          <w:rFonts w:ascii="Times New Roman" w:eastAsia="Times New Roman" w:hAnsi="Times New Roman" w:cs="Times New Roman"/>
          <w:color w:val="000000"/>
          <w:highlight w:val="white"/>
        </w:rPr>
        <w:t>pT</w:t>
      </w:r>
      <w:proofErr w:type="spellEnd"/>
      <w:r>
        <w:rPr>
          <w:rFonts w:ascii="Times New Roman" w:eastAsia="Times New Roman" w:hAnsi="Times New Roman" w:cs="Times New Roman"/>
          <w:color w:val="000000"/>
          <w:highlight w:val="white"/>
        </w:rPr>
        <w:t>), also significantly affects mapping accuracy [49-51].</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 xml:space="preserve">Patients with early </w:t>
      </w:r>
      <w:proofErr w:type="spellStart"/>
      <w:r>
        <w:rPr>
          <w:rFonts w:ascii="Times New Roman" w:eastAsia="Times New Roman" w:hAnsi="Times New Roman" w:cs="Times New Roman"/>
          <w:color w:val="000000"/>
          <w:highlight w:val="white"/>
        </w:rPr>
        <w:t>pT</w:t>
      </w:r>
      <w:proofErr w:type="spellEnd"/>
      <w:r>
        <w:rPr>
          <w:rFonts w:ascii="Times New Roman" w:eastAsia="Times New Roman" w:hAnsi="Times New Roman" w:cs="Times New Roman"/>
          <w:color w:val="000000"/>
          <w:highlight w:val="white"/>
        </w:rPr>
        <w:t xml:space="preserve"> stage (e.g., invasion limited to the submucosa, </w:t>
      </w:r>
      <w:proofErr w:type="spellStart"/>
      <w:r>
        <w:rPr>
          <w:rFonts w:ascii="Times New Roman" w:eastAsia="Times New Roman" w:hAnsi="Times New Roman" w:cs="Times New Roman"/>
          <w:color w:val="000000"/>
          <w:highlight w:val="white"/>
        </w:rPr>
        <w:t>pT</w:t>
      </w:r>
      <w:proofErr w:type="spellEnd"/>
      <w:r>
        <w:rPr>
          <w:rFonts w:ascii="Times New Roman" w:eastAsia="Times New Roman" w:hAnsi="Times New Roman" w:cs="Times New Roman"/>
          <w:color w:val="000000"/>
          <w:highlight w:val="white"/>
        </w:rPr>
        <w:t xml:space="preserve"> &lt; 3) had a significantly higher NPV of 92.0% [46]. However, in patients with late </w:t>
      </w:r>
      <w:proofErr w:type="spellStart"/>
      <w:r>
        <w:rPr>
          <w:rFonts w:ascii="Times New Roman" w:eastAsia="Times New Roman" w:hAnsi="Times New Roman" w:cs="Times New Roman"/>
          <w:color w:val="000000"/>
          <w:highlight w:val="white"/>
        </w:rPr>
        <w:t>pT</w:t>
      </w:r>
      <w:proofErr w:type="spellEnd"/>
      <w:r>
        <w:rPr>
          <w:rFonts w:ascii="Times New Roman" w:eastAsia="Times New Roman" w:hAnsi="Times New Roman" w:cs="Times New Roman"/>
          <w:color w:val="000000"/>
          <w:highlight w:val="white"/>
        </w:rPr>
        <w:t xml:space="preserve"> stage (&gt;= 3), the NPV dropped to 66.7% (p=0.009) [46].</w:t>
      </w:r>
    </w:p>
    <w:p w14:paraId="4B5808C4" w14:textId="77777777" w:rsidR="00C856F9" w:rsidRDefault="004E2CB7">
      <w:pPr>
        <w:spacing w:before="20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diagnostic reliability (NPV and sensitivity) of SNNS was found to be not influenced by whether the patients had previously received neoadjuvant chemotherapy (NACT) or whether the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was classified as intestinal type versus diffuse type [46].</w:t>
      </w:r>
    </w:p>
    <w:p w14:paraId="0B553294" w14:textId="77777777" w:rsidR="00C856F9" w:rsidRDefault="004E2CB7">
      <w:pPr>
        <w:spacing w:before="200"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Effect of Integration of Maruyama Index with SNNS</w:t>
      </w:r>
    </w:p>
    <w:p w14:paraId="5E821667" w14:textId="1D89CA81" w:rsidR="00C856F9" w:rsidRDefault="004E2CB7">
      <w:pPr>
        <w:spacing w:before="20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Varga</w:t>
      </w:r>
      <w:proofErr w:type="spellEnd"/>
      <w:r>
        <w:rPr>
          <w:rFonts w:ascii="Times New Roman" w:eastAsia="Times New Roman" w:hAnsi="Times New Roman" w:cs="Times New Roman"/>
          <w:sz w:val="24"/>
          <w:szCs w:val="24"/>
        </w:rPr>
        <w:t xml:space="preserve"> et al combined SNNS (with blue dye) along with Maruyama Computer Program (MCP) [40]. MCP is a computer programme and a risk predictive model [52,53]. Based on some defined preoperative factors, MCP can estimate the probability of involvement of certain lymph node stations [54,55]. Thus, MCP can provide an independent measure of lymph nodal metastasis. They introduced critical safety checkpoints and used MCP as a secondary filter for non-stained lymph node stations in a patient whose sentinel nodes were found to be free of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cutoff</w:t>
      </w:r>
      <w:proofErr w:type="spellEnd"/>
      <w:r>
        <w:rPr>
          <w:rFonts w:ascii="Times New Roman" w:eastAsia="Times New Roman" w:hAnsi="Times New Roman" w:cs="Times New Roman"/>
          <w:sz w:val="24"/>
          <w:szCs w:val="24"/>
        </w:rPr>
        <w:t xml:space="preserve"> value of Maruyama Index (MI) was set as &gt;= 28 [40]. Any non-stained station with MI &gt;= 28 was marked as high risk for skip metastasis and included in the lymphadenectomy procedure. MCP alone was diagnostically inferior. The synergistic combination of SNNS and MCP achieved a perfect 100% sensitivity and 100% NPV [40].</w:t>
      </w:r>
    </w:p>
    <w:p w14:paraId="3FA267ED" w14:textId="77777777" w:rsidR="00C856F9" w:rsidRDefault="00C856F9">
      <w:pPr>
        <w:spacing w:before="200" w:line="240" w:lineRule="auto"/>
        <w:jc w:val="both"/>
        <w:rPr>
          <w:rFonts w:ascii="Times New Roman" w:eastAsia="Times New Roman" w:hAnsi="Times New Roman" w:cs="Times New Roman"/>
          <w:sz w:val="24"/>
          <w:szCs w:val="24"/>
        </w:rPr>
      </w:pPr>
    </w:p>
    <w:p w14:paraId="5479C843" w14:textId="77777777" w:rsidR="00C856F9" w:rsidRDefault="004E2CB7">
      <w:pPr>
        <w:spacing w:before="200" w:line="240" w:lineRule="auto"/>
        <w:jc w:val="both"/>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DISCUSSION</w:t>
      </w:r>
    </w:p>
    <w:p w14:paraId="5F049206" w14:textId="77777777" w:rsidR="00C856F9" w:rsidRDefault="004E2CB7">
      <w:pPr>
        <w:spacing w:before="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Findings of Metastasis Pattern</w:t>
      </w:r>
    </w:p>
    <w:p w14:paraId="4D62C84B" w14:textId="58FC14BE" w:rsidR="00C856F9" w:rsidRDefault="004E2CB7">
      <w:pPr>
        <w:spacing w:before="20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Stomach has a complex lymphatic drainage [33-36,37]. EGC similarly follows an unpredictable route of lymph nodal spread. This was the main reason behind the inferiority of RL as compared to SNNS technique [37]. As per SNNS, FNR was merely 3.2% - implying exclusive metastasis in non-sentinel basins is an extremely rare event [37]. It further strengthened the hypothesis of sentinel lymph node biopsy. Skip metastasis resulted in the </w:t>
      </w:r>
      <w:bookmarkStart w:id="2" w:name="_GoBack"/>
      <w:bookmarkEnd w:id="2"/>
      <w:r>
        <w:rPr>
          <w:rFonts w:ascii="Times New Roman" w:eastAsia="Times New Roman" w:hAnsi="Times New Roman" w:cs="Times New Roman"/>
          <w:sz w:val="24"/>
          <w:szCs w:val="24"/>
          <w:highlight w:val="white"/>
        </w:rPr>
        <w:t xml:space="preserve">failure of the RL approach. Skip metastasis is defined as bypassing the first draining nodes and presence of metastasis only in the non-regional stations [36]. With RL, the rate of the skip metastasis was quite high - 2.5% [37]. This implied that the hypothesis of fixed RL based on anatomic location of the primary gastric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was technically not feasible. As it would always miss the spread of disease in a small but significant portion of the population at risk.</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RL had significantly less sensitivity and NPV [37]. FNR was significantly higher. This further reinforced the non-feasibility and unacceptable oncological safety of the RL approach.</w:t>
      </w:r>
    </w:p>
    <w:p w14:paraId="61AAD676" w14:textId="77777777" w:rsidR="00C856F9" w:rsidRDefault="004E2CB7">
      <w:pPr>
        <w:spacing w:before="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Cause of Improved Survival</w:t>
      </w:r>
    </w:p>
    <w:p w14:paraId="71F25850" w14:textId="7F76F4AE"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per the study by </w:t>
      </w:r>
      <w:proofErr w:type="spellStart"/>
      <w:r>
        <w:rPr>
          <w:rFonts w:ascii="Times New Roman" w:eastAsia="Times New Roman" w:hAnsi="Times New Roman" w:cs="Times New Roman"/>
          <w:sz w:val="24"/>
          <w:szCs w:val="24"/>
        </w:rPr>
        <w:t>Kinami</w:t>
      </w:r>
      <w:proofErr w:type="spellEnd"/>
      <w:r>
        <w:rPr>
          <w:rFonts w:ascii="Times New Roman" w:eastAsia="Times New Roman" w:hAnsi="Times New Roman" w:cs="Times New Roman"/>
          <w:sz w:val="24"/>
          <w:szCs w:val="24"/>
        </w:rPr>
        <w:t xml:space="preserve"> et al [38], there was an improved OS rate in the SNNS group. Even after propensity score matching, this benefit persisted. The hypothesis suggested behind this OS benefit was reduction in non-cancer related deaths. The cumulative incidence of non-cancer related deaths at 5 years post-surgery in the SNNS group was 2.6%. It was significantly less compared to 5.7% observed in the control group. It was suggested that SNNS tailored function preserving surgeries maintained the </w:t>
      </w:r>
      <w:proofErr w:type="gramStart"/>
      <w:r>
        <w:rPr>
          <w:rFonts w:ascii="Times New Roman" w:eastAsia="Times New Roman" w:hAnsi="Times New Roman" w:cs="Times New Roman"/>
          <w:sz w:val="24"/>
          <w:szCs w:val="24"/>
        </w:rPr>
        <w:t>patients</w:t>
      </w:r>
      <w:proofErr w:type="gramEnd"/>
      <w:r>
        <w:rPr>
          <w:rFonts w:ascii="Times New Roman" w:eastAsia="Times New Roman" w:hAnsi="Times New Roman" w:cs="Times New Roman"/>
          <w:sz w:val="24"/>
          <w:szCs w:val="24"/>
        </w:rPr>
        <w:t xml:space="preserve"> nutritional status and general physiological functions better than the radical surgeries. This consequently reduced the events of non-cancer </w:t>
      </w:r>
      <w:r>
        <w:rPr>
          <w:rFonts w:ascii="Times New Roman" w:eastAsia="Times New Roman" w:hAnsi="Times New Roman" w:cs="Times New Roman"/>
          <w:sz w:val="24"/>
          <w:szCs w:val="24"/>
        </w:rPr>
        <w:lastRenderedPageBreak/>
        <w:t>related deaths. This concept was crucial, though it needs further evidence to solidify the hypothesis.</w:t>
      </w:r>
    </w:p>
    <w:p w14:paraId="7932E108" w14:textId="77777777" w:rsidR="00C856F9" w:rsidRDefault="004E2CB7">
      <w:pPr>
        <w:spacing w:before="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Technical and Logistical Challenges of SNNS</w:t>
      </w:r>
    </w:p>
    <w:p w14:paraId="2FEFE65F" w14:textId="77777777"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SNNS steps include some specialized dyes and equipment, which make the procedure logistically challenging. Moreover, this also enhances the operative time [39]. It starts with intraoperative endoscopy and localisation of the primary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A specific tracer is injected endoscopically. The options include - radioisotope (99mTc-nannocolloid), vital dye (Methylene blue) or fluorescence agent (Indocyanine green) [16,20,27,28,37,39]. More than one agent is preferred. This enhances the accuracy. Sufficient time is allowed for the tracer to migrate along the drainage pathways to the sentinel basin. The average time as per literature being 15 minutes [37,39]. A special device is required to pick up and detect the concerned sentinel basin region. Options being - gamma probe for radioisotope signal and special camera (like near infrared camera for Indocyanine green) or viewing system for vital dyes or fluorescence agents [16,20,27,28,37,39]. After sentinel basin dissection, an immediate frozen section biopsy is recommended to confirm metastasis [47,48].</w:t>
      </w:r>
    </w:p>
    <w:p w14:paraId="216584BC" w14:textId="77777777"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of these make the entire procedure complex and increase the operative time. If radioisotopes are used as tracers, it further enhances the potential for risk of radiation exposure to both patient and operating room staffs - this also is a matter of concern [39].</w:t>
      </w:r>
    </w:p>
    <w:p w14:paraId="4EA1D8F1" w14:textId="77777777" w:rsidR="00C856F9" w:rsidRDefault="004E2CB7">
      <w:pPr>
        <w:spacing w:before="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Variability in Diagnostic Accuracy</w:t>
      </w:r>
    </w:p>
    <w:p w14:paraId="320C7BAE" w14:textId="77777777"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diagnostic accuracy of SNNS is influenced by cohort demographics and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characteristics [37,46]. Meta-analyses and major trials typically reported high accuracy of SNNS in the Asian cohorts. One meta-analysis by </w:t>
      </w:r>
      <w:r>
        <w:rPr>
          <w:rFonts w:ascii="Times New Roman" w:eastAsia="Times New Roman" w:hAnsi="Times New Roman" w:cs="Times New Roman"/>
          <w:sz w:val="24"/>
          <w:szCs w:val="24"/>
          <w:highlight w:val="white"/>
        </w:rPr>
        <w:t xml:space="preserve">Ryu et al. </w:t>
      </w:r>
      <w:r>
        <w:rPr>
          <w:rFonts w:ascii="Times New Roman" w:eastAsia="Times New Roman" w:hAnsi="Times New Roman" w:cs="Times New Roman"/>
          <w:sz w:val="24"/>
          <w:szCs w:val="24"/>
        </w:rPr>
        <w:t xml:space="preserve">reported sensitivity and NPV of SNNS to be 87.8% and 91.8%, respectively [15]. Another </w:t>
      </w:r>
      <w:proofErr w:type="spellStart"/>
      <w:r>
        <w:rPr>
          <w:rFonts w:ascii="Times New Roman" w:eastAsia="Times New Roman" w:hAnsi="Times New Roman" w:cs="Times New Roman"/>
          <w:sz w:val="24"/>
          <w:szCs w:val="24"/>
        </w:rPr>
        <w:t>metaanalysis</w:t>
      </w:r>
      <w:proofErr w:type="spellEnd"/>
      <w:r>
        <w:rPr>
          <w:rFonts w:ascii="Times New Roman" w:eastAsia="Times New Roman" w:hAnsi="Times New Roman" w:cs="Times New Roman"/>
          <w:sz w:val="24"/>
          <w:szCs w:val="24"/>
        </w:rPr>
        <w:t xml:space="preserve"> of 38 studies by </w:t>
      </w:r>
      <w:r>
        <w:rPr>
          <w:rFonts w:ascii="Times New Roman" w:eastAsia="Times New Roman" w:hAnsi="Times New Roman" w:cs="Times New Roman"/>
          <w:sz w:val="24"/>
          <w:szCs w:val="24"/>
          <w:highlight w:val="white"/>
        </w:rPr>
        <w:t>Wang et al.</w:t>
      </w:r>
      <w:r>
        <w:rPr>
          <w:rFonts w:ascii="Times New Roman" w:eastAsia="Times New Roman" w:hAnsi="Times New Roman" w:cs="Times New Roman"/>
          <w:sz w:val="24"/>
          <w:szCs w:val="24"/>
        </w:rPr>
        <w:t xml:space="preserve"> reported sensitivity and NPV of SNNS as 93.7% and 76.9% [56]. The post-hoc SENORITA analysis showed particularly high accuracy - sensitivity 96.8% and NPV 99.5% [37]. The diagnostic accuracy was found to be less in the western cohorts as per the study by Abate et al [46].</w:t>
      </w:r>
    </w:p>
    <w:p w14:paraId="23F18BCB" w14:textId="77777777"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Patients with LVI had a much less reliable NPV of 59.3% [46]. In patients with late </w:t>
      </w:r>
      <w:proofErr w:type="spellStart"/>
      <w:r>
        <w:rPr>
          <w:rFonts w:ascii="Times New Roman" w:eastAsia="Times New Roman" w:hAnsi="Times New Roman" w:cs="Times New Roman"/>
          <w:sz w:val="24"/>
          <w:szCs w:val="24"/>
          <w:highlight w:val="white"/>
        </w:rPr>
        <w:t>pT</w:t>
      </w:r>
      <w:proofErr w:type="spellEnd"/>
      <w:r>
        <w:rPr>
          <w:rFonts w:ascii="Times New Roman" w:eastAsia="Times New Roman" w:hAnsi="Times New Roman" w:cs="Times New Roman"/>
          <w:sz w:val="24"/>
          <w:szCs w:val="24"/>
          <w:highlight w:val="white"/>
        </w:rPr>
        <w:t xml:space="preserve"> stage (&gt;= 3), the NPV dropped to 66.7%. Available literature has reported the NPV exceeding 90% for SNNS in T1 and T2 gastric cancer [49-51]. The low sensitivity of SNNS in certain groups of patients renders a high FNR. This implies that in some cohorts (western population, presence of LVI, higher </w:t>
      </w:r>
      <w:proofErr w:type="spellStart"/>
      <w:r>
        <w:rPr>
          <w:rFonts w:ascii="Times New Roman" w:eastAsia="Times New Roman" w:hAnsi="Times New Roman" w:cs="Times New Roman"/>
          <w:sz w:val="24"/>
          <w:szCs w:val="24"/>
          <w:highlight w:val="white"/>
        </w:rPr>
        <w:t>pT</w:t>
      </w:r>
      <w:proofErr w:type="spellEnd"/>
      <w:r>
        <w:rPr>
          <w:rFonts w:ascii="Times New Roman" w:eastAsia="Times New Roman" w:hAnsi="Times New Roman" w:cs="Times New Roman"/>
          <w:sz w:val="24"/>
          <w:szCs w:val="24"/>
          <w:highlight w:val="white"/>
        </w:rPr>
        <w:t xml:space="preserve"> stage) the reliability of SNNS is doubtful [46].</w:t>
      </w:r>
    </w:p>
    <w:p w14:paraId="048CAC76" w14:textId="77777777" w:rsidR="00C856F9" w:rsidRDefault="004E2CB7">
      <w:pPr>
        <w:spacing w:before="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Strategies for Simplification </w:t>
      </w:r>
    </w:p>
    <w:p w14:paraId="23C0E9CF" w14:textId="77777777"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technical limitations and variable accuracy of the SNNS approach has mandated the need for certain changes in the procedure. Either simplification of the procedural complexity or adding another approach with SNNS to augment its findings may be the way forward. To simplify the SNNS procedures logistical burden, the approach of fixed RL was studied and analysed in the post hoc analysis of the SENORITA trial [37]. The post hoc analysis provided crucial reference measurements for the SB longitudinal extent (table 2).</w:t>
      </w:r>
    </w:p>
    <w:p w14:paraId="5027613D" w14:textId="06F784A1"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 Sentinel Basin Longitudinal extent Reference Measurements</w:t>
      </w:r>
    </w:p>
    <w:tbl>
      <w:tblPr>
        <w:tblStyle w:val="a0"/>
        <w:tblW w:w="10170" w:type="dxa"/>
        <w:tblInd w:w="-540" w:type="dxa"/>
        <w:tblLayout w:type="fixed"/>
        <w:tblLook w:val="0400" w:firstRow="0" w:lastRow="0" w:firstColumn="0" w:lastColumn="0" w:noHBand="0" w:noVBand="1"/>
      </w:tblPr>
      <w:tblGrid>
        <w:gridCol w:w="3525"/>
        <w:gridCol w:w="2235"/>
        <w:gridCol w:w="2085"/>
        <w:gridCol w:w="2325"/>
      </w:tblGrid>
      <w:tr w:rsidR="00C856F9" w14:paraId="6DBDEBDB" w14:textId="77777777">
        <w:trPr>
          <w:trHeight w:val="600"/>
        </w:trPr>
        <w:tc>
          <w:tcPr>
            <w:tcW w:w="3525" w:type="dxa"/>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11CA4258"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LOCATION</w:t>
            </w:r>
          </w:p>
        </w:tc>
        <w:tc>
          <w:tcPr>
            <w:tcW w:w="2235" w:type="dxa"/>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175FF400"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PARAMETER</w:t>
            </w:r>
          </w:p>
        </w:tc>
        <w:tc>
          <w:tcPr>
            <w:tcW w:w="2085" w:type="dxa"/>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57206928"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MEDIAN LENGTH</w:t>
            </w:r>
          </w:p>
        </w:tc>
        <w:tc>
          <w:tcPr>
            <w:tcW w:w="2325" w:type="dxa"/>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116F1679"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RANGE</w:t>
            </w:r>
          </w:p>
        </w:tc>
      </w:tr>
      <w:tr w:rsidR="00C856F9" w14:paraId="740F2A14" w14:textId="77777777">
        <w:trPr>
          <w:trHeight w:val="705"/>
        </w:trPr>
        <w:tc>
          <w:tcPr>
            <w:tcW w:w="3525" w:type="dxa"/>
            <w:vMerge w:val="restart"/>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2A0E30D6"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lastRenderedPageBreak/>
              <w:t>Lesser Curvature (LC)</w:t>
            </w:r>
          </w:p>
        </w:tc>
        <w:tc>
          <w:tcPr>
            <w:tcW w:w="2235" w:type="dxa"/>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7D745A61"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Proximal SB length</w:t>
            </w:r>
          </w:p>
        </w:tc>
        <w:tc>
          <w:tcPr>
            <w:tcW w:w="2085" w:type="dxa"/>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73BC36DE"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 cm</w:t>
            </w:r>
          </w:p>
        </w:tc>
        <w:tc>
          <w:tcPr>
            <w:tcW w:w="2325" w:type="dxa"/>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1691D7C4"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 5.0 cm</w:t>
            </w:r>
          </w:p>
        </w:tc>
      </w:tr>
      <w:tr w:rsidR="00C856F9" w14:paraId="22AADBBB" w14:textId="77777777">
        <w:trPr>
          <w:trHeight w:val="690"/>
        </w:trPr>
        <w:tc>
          <w:tcPr>
            <w:tcW w:w="3525" w:type="dxa"/>
            <w:vMerge/>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04CE4418" w14:textId="77777777" w:rsidR="00C856F9" w:rsidRDefault="00C856F9">
            <w:pPr>
              <w:widowControl w:val="0"/>
              <w:spacing w:before="200" w:line="240" w:lineRule="auto"/>
              <w:rPr>
                <w:rFonts w:ascii="Times New Roman" w:eastAsia="Times New Roman" w:hAnsi="Times New Roman" w:cs="Times New Roman"/>
                <w:sz w:val="24"/>
                <w:szCs w:val="24"/>
              </w:rPr>
            </w:pPr>
          </w:p>
        </w:tc>
        <w:tc>
          <w:tcPr>
            <w:tcW w:w="2235" w:type="dxa"/>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781705E3"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Distal SB length</w:t>
            </w:r>
          </w:p>
        </w:tc>
        <w:tc>
          <w:tcPr>
            <w:tcW w:w="2085" w:type="dxa"/>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2649C602"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cm</w:t>
            </w:r>
          </w:p>
        </w:tc>
        <w:tc>
          <w:tcPr>
            <w:tcW w:w="2325" w:type="dxa"/>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773E0DF8"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 – 5.5 cm</w:t>
            </w:r>
          </w:p>
        </w:tc>
      </w:tr>
      <w:tr w:rsidR="00C856F9" w14:paraId="3B0D7B8D" w14:textId="77777777">
        <w:trPr>
          <w:trHeight w:val="705"/>
        </w:trPr>
        <w:tc>
          <w:tcPr>
            <w:tcW w:w="3525" w:type="dxa"/>
            <w:vMerge w:val="restart"/>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0FBC597F"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Greater Curvature (GC)</w:t>
            </w:r>
          </w:p>
        </w:tc>
        <w:tc>
          <w:tcPr>
            <w:tcW w:w="2235" w:type="dxa"/>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47C21854"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Proximal SB length</w:t>
            </w:r>
          </w:p>
        </w:tc>
        <w:tc>
          <w:tcPr>
            <w:tcW w:w="2085" w:type="dxa"/>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7C2C3B62"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 cm</w:t>
            </w:r>
          </w:p>
        </w:tc>
        <w:tc>
          <w:tcPr>
            <w:tcW w:w="2325" w:type="dxa"/>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47EF1BE2"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 – 11.0 cm</w:t>
            </w:r>
          </w:p>
        </w:tc>
      </w:tr>
      <w:tr w:rsidR="00C856F9" w14:paraId="64112456" w14:textId="77777777">
        <w:trPr>
          <w:trHeight w:val="630"/>
        </w:trPr>
        <w:tc>
          <w:tcPr>
            <w:tcW w:w="3525" w:type="dxa"/>
            <w:vMerge/>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0F49B0E2" w14:textId="77777777" w:rsidR="00C856F9" w:rsidRDefault="00C856F9">
            <w:pPr>
              <w:widowControl w:val="0"/>
              <w:spacing w:before="200" w:line="240" w:lineRule="auto"/>
              <w:rPr>
                <w:rFonts w:ascii="Times New Roman" w:eastAsia="Times New Roman" w:hAnsi="Times New Roman" w:cs="Times New Roman"/>
                <w:sz w:val="24"/>
                <w:szCs w:val="24"/>
              </w:rPr>
            </w:pPr>
          </w:p>
        </w:tc>
        <w:tc>
          <w:tcPr>
            <w:tcW w:w="2235" w:type="dxa"/>
            <w:tcBorders>
              <w:top w:val="single" w:sz="6" w:space="0" w:color="1F1F1F"/>
              <w:left w:val="single" w:sz="6" w:space="0" w:color="1F1F1F"/>
              <w:bottom w:val="single" w:sz="6" w:space="0" w:color="1F1F1F"/>
              <w:right w:val="single" w:sz="6" w:space="0" w:color="1F1F1F"/>
            </w:tcBorders>
            <w:tcMar>
              <w:top w:w="0" w:type="dxa"/>
              <w:left w:w="0" w:type="dxa"/>
              <w:bottom w:w="0" w:type="dxa"/>
              <w:right w:w="0" w:type="dxa"/>
            </w:tcMar>
          </w:tcPr>
          <w:p w14:paraId="19138DB8"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Distal SB length</w:t>
            </w:r>
          </w:p>
        </w:tc>
        <w:tc>
          <w:tcPr>
            <w:tcW w:w="2085" w:type="dxa"/>
            <w:tcBorders>
              <w:top w:val="single" w:sz="6" w:space="0" w:color="1F1F1F"/>
              <w:left w:val="single" w:sz="6" w:space="0" w:color="1F1F1F"/>
              <w:bottom w:val="single" w:sz="6" w:space="0" w:color="1F1F1F"/>
              <w:right w:val="single" w:sz="6" w:space="0" w:color="1F1F1F"/>
            </w:tcBorders>
            <w:tcMar>
              <w:top w:w="0" w:type="dxa"/>
              <w:left w:w="0" w:type="dxa"/>
              <w:bottom w:w="0" w:type="dxa"/>
              <w:right w:w="0" w:type="dxa"/>
            </w:tcMar>
          </w:tcPr>
          <w:p w14:paraId="1E30877D"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 cm</w:t>
            </w:r>
          </w:p>
        </w:tc>
        <w:tc>
          <w:tcPr>
            <w:tcW w:w="2325" w:type="dxa"/>
            <w:tcBorders>
              <w:top w:val="single" w:sz="6" w:space="0" w:color="1F1F1F"/>
              <w:left w:val="single" w:sz="6" w:space="0" w:color="1F1F1F"/>
              <w:bottom w:val="single" w:sz="6" w:space="0" w:color="1F1F1F"/>
              <w:right w:val="single" w:sz="6" w:space="0" w:color="1F1F1F"/>
            </w:tcBorders>
            <w:tcMar>
              <w:top w:w="0" w:type="dxa"/>
              <w:left w:w="0" w:type="dxa"/>
              <w:bottom w:w="0" w:type="dxa"/>
              <w:right w:w="0" w:type="dxa"/>
            </w:tcMar>
          </w:tcPr>
          <w:p w14:paraId="46CA905D"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 – 9.5 cm</w:t>
            </w:r>
          </w:p>
        </w:tc>
      </w:tr>
    </w:tbl>
    <w:p w14:paraId="00ABEE4F" w14:textId="77777777"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approach tried to utilize the knowledge of anatomy to reduce the complexity of SNNS. The objective was to predetermine a fixed anatomical region for lymphatic dissection based on the longitudinal and circumferential location of the primary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This could have reduced the operative time and solved the logistical issues associated with SNNS approach. But the study failed to validate this concept's reliability. Future perspective studies and further evidence will be required to explore this novel technique.</w:t>
      </w:r>
    </w:p>
    <w:p w14:paraId="5EE1F1DD" w14:textId="77777777" w:rsidR="00C856F9" w:rsidRDefault="004E2CB7">
      <w:pPr>
        <w:spacing w:before="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Strategies for Enhancement</w:t>
      </w:r>
    </w:p>
    <w:p w14:paraId="1D0888B9" w14:textId="79BA9BCA"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SNNS had a persistent risk, albeit low, of false negative results. This was inherent to any tracer-based techniques. So, another approach focused on a technique to augment the findings of SNNS with an external predictive model. This technique utilized the MCP along with SNNS. Combination of MCP with SNNS yielded a 100% NPV in </w:t>
      </w:r>
      <w:proofErr w:type="spellStart"/>
      <w:r>
        <w:rPr>
          <w:rFonts w:ascii="Times New Roman" w:eastAsia="Times New Roman" w:hAnsi="Times New Roman" w:cs="Times New Roman"/>
          <w:sz w:val="24"/>
          <w:szCs w:val="24"/>
        </w:rPr>
        <w:t>Varga’s</w:t>
      </w:r>
      <w:proofErr w:type="spellEnd"/>
      <w:r>
        <w:rPr>
          <w:rFonts w:ascii="Times New Roman" w:eastAsia="Times New Roman" w:hAnsi="Times New Roman" w:cs="Times New Roman"/>
          <w:sz w:val="24"/>
          <w:szCs w:val="24"/>
        </w:rPr>
        <w:t xml:space="preserve"> study [40]. This signifies that if the combined criteria of SNNS and MCP deem the patient as free of lymph node metastasis - there is virtually no risk of skip metastasis. This is a novel combination technique as it designates high risk lymph node stations irrespective of their anatomic location and staining pattern. This approach can tailor to a customized lymphadenectomy in EGC which would potentially not leave any disease behind.</w:t>
      </w:r>
    </w:p>
    <w:p w14:paraId="6B71F38D" w14:textId="77777777" w:rsidR="00C856F9" w:rsidRDefault="00C856F9">
      <w:pPr>
        <w:spacing w:before="200" w:line="240" w:lineRule="auto"/>
        <w:jc w:val="both"/>
        <w:rPr>
          <w:rFonts w:ascii="Times New Roman" w:eastAsia="Times New Roman" w:hAnsi="Times New Roman" w:cs="Times New Roman"/>
          <w:sz w:val="24"/>
          <w:szCs w:val="24"/>
        </w:rPr>
      </w:pPr>
    </w:p>
    <w:p w14:paraId="0D9959F8" w14:textId="77777777" w:rsidR="00C856F9" w:rsidRDefault="004E2CB7">
      <w:pPr>
        <w:spacing w:before="200" w:line="240" w:lineRule="auto"/>
        <w:jc w:val="both"/>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CONCLUSION</w:t>
      </w:r>
    </w:p>
    <w:p w14:paraId="4F1D2861" w14:textId="3D8D6E05"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current era of </w:t>
      </w:r>
      <w:proofErr w:type="spellStart"/>
      <w:r>
        <w:rPr>
          <w:rFonts w:ascii="Times New Roman" w:eastAsia="Times New Roman" w:hAnsi="Times New Roman" w:cs="Times New Roman"/>
          <w:sz w:val="24"/>
          <w:szCs w:val="24"/>
        </w:rPr>
        <w:t>deescalation</w:t>
      </w:r>
      <w:proofErr w:type="spellEnd"/>
      <w:r>
        <w:rPr>
          <w:rFonts w:ascii="Times New Roman" w:eastAsia="Times New Roman" w:hAnsi="Times New Roman" w:cs="Times New Roman"/>
          <w:sz w:val="24"/>
          <w:szCs w:val="24"/>
        </w:rPr>
        <w:t xml:space="preserve">, radicality is intended to be avoided. Similarly, for EGC the new way forward has been developed. Avoiding the procedural burden and major </w:t>
      </w:r>
      <w:proofErr w:type="spellStart"/>
      <w:r>
        <w:rPr>
          <w:rFonts w:ascii="Times New Roman" w:eastAsia="Times New Roman" w:hAnsi="Times New Roman" w:cs="Times New Roman"/>
          <w:sz w:val="24"/>
          <w:szCs w:val="24"/>
        </w:rPr>
        <w:t>post operative</w:t>
      </w:r>
      <w:proofErr w:type="spellEnd"/>
      <w:r>
        <w:rPr>
          <w:rFonts w:ascii="Times New Roman" w:eastAsia="Times New Roman" w:hAnsi="Times New Roman" w:cs="Times New Roman"/>
          <w:sz w:val="24"/>
          <w:szCs w:val="24"/>
        </w:rPr>
        <w:t xml:space="preserve"> morbidities post standard gastrectomy and D1/D2 lymph node dissection has become the need of the hour. Though both the approaches including SNNS and RL are novel in terms of their principle, the oncological efficacy and safety varies significantly. Significant rates of skip metastasis and lower NPV has rendered the fixed RL approach </w:t>
      </w:r>
      <w:proofErr w:type="spellStart"/>
      <w:r>
        <w:rPr>
          <w:rFonts w:ascii="Times New Roman" w:eastAsia="Times New Roman" w:hAnsi="Times New Roman" w:cs="Times New Roman"/>
          <w:sz w:val="24"/>
          <w:szCs w:val="24"/>
        </w:rPr>
        <w:t>oncologically</w:t>
      </w:r>
      <w:proofErr w:type="spellEnd"/>
      <w:r>
        <w:rPr>
          <w:rFonts w:ascii="Times New Roman" w:eastAsia="Times New Roman" w:hAnsi="Times New Roman" w:cs="Times New Roman"/>
          <w:sz w:val="24"/>
          <w:szCs w:val="24"/>
        </w:rPr>
        <w:t xml:space="preserve"> inadequate. SNNS has emerged as a useful alternative and shown comparability with standard D1/D2 lymph node dissection in terms of safety and </w:t>
      </w:r>
      <w:proofErr w:type="gramStart"/>
      <w:r>
        <w:rPr>
          <w:rFonts w:ascii="Times New Roman" w:eastAsia="Times New Roman" w:hAnsi="Times New Roman" w:cs="Times New Roman"/>
          <w:sz w:val="24"/>
          <w:szCs w:val="24"/>
        </w:rPr>
        <w:t>long term</w:t>
      </w:r>
      <w:proofErr w:type="gramEnd"/>
      <w:r>
        <w:rPr>
          <w:rFonts w:ascii="Times New Roman" w:eastAsia="Times New Roman" w:hAnsi="Times New Roman" w:cs="Times New Roman"/>
          <w:sz w:val="24"/>
          <w:szCs w:val="24"/>
        </w:rPr>
        <w:t xml:space="preserve"> oncological outcomes. Moreover, this approach can tailor to a limited function-preserving gastrectomy - thus enhancing the quality of life for the patient. </w:t>
      </w:r>
    </w:p>
    <w:p w14:paraId="2CA2EE4D" w14:textId="77777777"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benefits, SNNS has some pitfalls which need to be addressed in further clinical studies. One of the major drawbacks being the variable diagnostic accuracy in some cohorts. Some further modifications like integration of MI with SNNS can increase the predictive value - but requires further prospective evidence. Future studies with appropriate evidence may solidify the role of tailored lymphadenectomy approach as a standard of care for early gastric cancer.</w:t>
      </w:r>
    </w:p>
    <w:p w14:paraId="019CCA61" w14:textId="77777777" w:rsidR="00C856F9" w:rsidRDefault="00C856F9">
      <w:pPr>
        <w:spacing w:before="200" w:line="240" w:lineRule="auto"/>
        <w:jc w:val="both"/>
        <w:rPr>
          <w:rFonts w:ascii="Times New Roman" w:eastAsia="Times New Roman" w:hAnsi="Times New Roman" w:cs="Times New Roman"/>
          <w:sz w:val="24"/>
          <w:szCs w:val="24"/>
        </w:rPr>
      </w:pPr>
    </w:p>
    <w:p w14:paraId="770CACDF" w14:textId="77777777" w:rsidR="00C856F9" w:rsidRDefault="00C856F9">
      <w:pPr>
        <w:spacing w:line="360" w:lineRule="auto"/>
        <w:jc w:val="both"/>
        <w:rPr>
          <w:rFonts w:ascii="Times New Roman" w:eastAsia="Times New Roman" w:hAnsi="Times New Roman" w:cs="Times New Roman"/>
          <w:b/>
          <w:bCs/>
          <w:sz w:val="24"/>
          <w:szCs w:val="24"/>
          <w:shd w:val="clear" w:color="auto" w:fill="FCFCFC"/>
        </w:rPr>
      </w:pPr>
    </w:p>
    <w:p w14:paraId="3C50EBB6" w14:textId="77777777" w:rsidR="00C856F9" w:rsidRDefault="004E2CB7">
      <w:pPr>
        <w:spacing w:line="360" w:lineRule="auto"/>
        <w:jc w:val="both"/>
        <w:rPr>
          <w:rFonts w:ascii="Times New Roman" w:eastAsia="Times New Roman" w:hAnsi="Times New Roman" w:cs="Times New Roman"/>
          <w:b/>
          <w:bCs/>
          <w:sz w:val="30"/>
          <w:szCs w:val="30"/>
          <w:shd w:val="clear" w:color="auto" w:fill="FCFCFC"/>
        </w:rPr>
      </w:pPr>
      <w:r>
        <w:rPr>
          <w:rFonts w:ascii="Times New Roman" w:eastAsia="Times New Roman" w:hAnsi="Times New Roman" w:cs="Times New Roman"/>
          <w:b/>
          <w:bCs/>
          <w:sz w:val="30"/>
          <w:szCs w:val="30"/>
          <w:shd w:val="clear" w:color="auto" w:fill="FCFCFC"/>
        </w:rPr>
        <w:t>DECLARATIONS</w:t>
      </w:r>
    </w:p>
    <w:p w14:paraId="076F7E83" w14:textId="77777777" w:rsidR="00C856F9" w:rsidRDefault="004E2CB7">
      <w:pPr>
        <w:widowControl w:val="0"/>
        <w:spacing w:line="360" w:lineRule="auto"/>
        <w:jc w:val="both"/>
        <w:rPr>
          <w:rFonts w:ascii="Times New Roman" w:eastAsia="Times New Roman" w:hAnsi="Times New Roman" w:cs="Times New Roman"/>
          <w:sz w:val="24"/>
          <w:szCs w:val="24"/>
          <w:shd w:val="clear" w:color="auto" w:fill="FCFCFC"/>
        </w:rPr>
      </w:pPr>
      <w:r>
        <w:rPr>
          <w:rFonts w:ascii="Times New Roman" w:eastAsia="Times New Roman" w:hAnsi="Times New Roman" w:cs="Times New Roman"/>
          <w:b/>
          <w:bCs/>
          <w:sz w:val="24"/>
          <w:szCs w:val="24"/>
          <w:shd w:val="clear" w:color="auto" w:fill="FCFCFC"/>
        </w:rPr>
        <w:t xml:space="preserve">Conflicts of interest: </w:t>
      </w:r>
      <w:r>
        <w:rPr>
          <w:rFonts w:ascii="Times New Roman" w:eastAsia="Times New Roman" w:hAnsi="Times New Roman" w:cs="Times New Roman"/>
          <w:sz w:val="24"/>
          <w:szCs w:val="24"/>
          <w:shd w:val="clear" w:color="auto" w:fill="FCFCFC"/>
        </w:rPr>
        <w:t>There is no conflict of interest associated with this study.</w:t>
      </w:r>
    </w:p>
    <w:p w14:paraId="5B550F73" w14:textId="77777777" w:rsidR="00C856F9" w:rsidRDefault="004E2CB7">
      <w:pPr>
        <w:widowControl w:val="0"/>
        <w:spacing w:line="360" w:lineRule="auto"/>
        <w:jc w:val="both"/>
        <w:rPr>
          <w:rFonts w:ascii="Times New Roman" w:eastAsia="Times New Roman" w:hAnsi="Times New Roman" w:cs="Times New Roman"/>
          <w:sz w:val="24"/>
          <w:szCs w:val="24"/>
          <w:shd w:val="clear" w:color="auto" w:fill="FCFCFC"/>
        </w:rPr>
      </w:pPr>
      <w:r>
        <w:rPr>
          <w:rFonts w:ascii="Times New Roman" w:eastAsia="Times New Roman" w:hAnsi="Times New Roman" w:cs="Times New Roman"/>
          <w:b/>
          <w:bCs/>
          <w:sz w:val="24"/>
          <w:szCs w:val="24"/>
          <w:shd w:val="clear" w:color="auto" w:fill="FCFCFC"/>
        </w:rPr>
        <w:t>Consent for publication:</w:t>
      </w:r>
      <w:r>
        <w:rPr>
          <w:rFonts w:ascii="Times New Roman" w:eastAsia="Times New Roman" w:hAnsi="Times New Roman" w:cs="Times New Roman"/>
          <w:sz w:val="24"/>
          <w:szCs w:val="24"/>
          <w:shd w:val="clear" w:color="auto" w:fill="FCFCFC"/>
        </w:rPr>
        <w:t> There is consent for the publication of this paper.</w:t>
      </w:r>
    </w:p>
    <w:p w14:paraId="37CA7B81" w14:textId="77777777" w:rsidR="00C856F9" w:rsidRDefault="004E2CB7">
      <w:pPr>
        <w:spacing w:after="160" w:line="259" w:lineRule="auto"/>
        <w:jc w:val="both"/>
        <w:rPr>
          <w:rFonts w:ascii="Times New Roman" w:eastAsia="Times New Roman" w:hAnsi="Times New Roman" w:cs="Times New Roman"/>
          <w:sz w:val="24"/>
          <w:szCs w:val="24"/>
          <w:highlight w:val="white"/>
        </w:rPr>
      </w:pPr>
      <w:bookmarkStart w:id="3" w:name="_nn9h7az1hmdg" w:colFirst="0" w:colLast="0"/>
      <w:bookmarkEnd w:id="3"/>
      <w:r>
        <w:rPr>
          <w:rFonts w:ascii="Times New Roman" w:eastAsia="Times New Roman" w:hAnsi="Times New Roman" w:cs="Times New Roman"/>
          <w:b/>
          <w:bCs/>
          <w:sz w:val="24"/>
          <w:szCs w:val="24"/>
          <w:highlight w:val="white"/>
        </w:rPr>
        <w:t>Ethical approval:</w:t>
      </w:r>
      <w:r>
        <w:rPr>
          <w:rFonts w:ascii="Times New Roman" w:eastAsia="Times New Roman" w:hAnsi="Times New Roman" w:cs="Times New Roman"/>
          <w:sz w:val="24"/>
          <w:szCs w:val="24"/>
          <w:highlight w:val="white"/>
        </w:rPr>
        <w:t xml:space="preserve"> Not required.</w:t>
      </w:r>
    </w:p>
    <w:p w14:paraId="6DF0D861" w14:textId="77777777" w:rsidR="00C856F9" w:rsidRDefault="004E2CB7">
      <w:pPr>
        <w:spacing w:line="259" w:lineRule="auto"/>
        <w:jc w:val="both"/>
        <w:rPr>
          <w:rFonts w:ascii="Times New Roman" w:eastAsia="Times New Roman" w:hAnsi="Times New Roman" w:cs="Times New Roman"/>
          <w:sz w:val="24"/>
          <w:szCs w:val="24"/>
          <w:highlight w:val="white"/>
        </w:rPr>
      </w:pPr>
      <w:bookmarkStart w:id="4" w:name="_4vm6xr96qwdf" w:colFirst="0" w:colLast="0"/>
      <w:bookmarkEnd w:id="4"/>
      <w:r>
        <w:rPr>
          <w:rFonts w:ascii="Times New Roman" w:eastAsia="Times New Roman" w:hAnsi="Times New Roman" w:cs="Times New Roman"/>
          <w:b/>
          <w:bCs/>
          <w:sz w:val="24"/>
          <w:szCs w:val="24"/>
          <w:highlight w:val="white"/>
        </w:rPr>
        <w:t>Artificial Intelligence:</w:t>
      </w:r>
      <w:r>
        <w:rPr>
          <w:rFonts w:ascii="Times New Roman" w:eastAsia="Times New Roman" w:hAnsi="Times New Roman" w:cs="Times New Roman"/>
          <w:sz w:val="24"/>
          <w:szCs w:val="24"/>
          <w:highlight w:val="white"/>
        </w:rPr>
        <w:t xml:space="preserve"> During the preparation of this work, the authors used </w:t>
      </w:r>
      <w:r>
        <w:rPr>
          <w:rFonts w:ascii="Times New Roman" w:eastAsia="Times New Roman" w:hAnsi="Times New Roman" w:cs="Times New Roman"/>
          <w:i/>
          <w:iCs/>
          <w:sz w:val="24"/>
          <w:szCs w:val="24"/>
          <w:highlight w:val="white"/>
        </w:rPr>
        <w:t xml:space="preserve">Google </w:t>
      </w:r>
      <w:proofErr w:type="spellStart"/>
      <w:r>
        <w:rPr>
          <w:rFonts w:ascii="Times New Roman" w:eastAsia="Times New Roman" w:hAnsi="Times New Roman" w:cs="Times New Roman"/>
          <w:i/>
          <w:iCs/>
          <w:sz w:val="24"/>
          <w:szCs w:val="24"/>
          <w:highlight w:val="white"/>
        </w:rPr>
        <w:t>NotebookLM</w:t>
      </w:r>
      <w:proofErr w:type="spellEnd"/>
      <w:r>
        <w:rPr>
          <w:rFonts w:ascii="Times New Roman" w:eastAsia="Times New Roman" w:hAnsi="Times New Roman" w:cs="Times New Roman"/>
          <w:sz w:val="24"/>
          <w:szCs w:val="24"/>
          <w:highlight w:val="white"/>
        </w:rPr>
        <w:t xml:space="preserve"> to summarize the available data and </w:t>
      </w:r>
      <w:proofErr w:type="spellStart"/>
      <w:r>
        <w:rPr>
          <w:rFonts w:ascii="Times New Roman" w:eastAsia="Times New Roman" w:hAnsi="Times New Roman" w:cs="Times New Roman"/>
          <w:i/>
          <w:iCs/>
          <w:sz w:val="24"/>
          <w:szCs w:val="24"/>
          <w:highlight w:val="white"/>
        </w:rPr>
        <w:t>FigureLabs</w:t>
      </w:r>
      <w:proofErr w:type="spellEnd"/>
      <w:r>
        <w:rPr>
          <w:rFonts w:ascii="Times New Roman" w:eastAsia="Times New Roman" w:hAnsi="Times New Roman" w:cs="Times New Roman"/>
          <w:sz w:val="24"/>
          <w:szCs w:val="24"/>
          <w:highlight w:val="white"/>
        </w:rPr>
        <w:t xml:space="preserve"> to generate illustrations. After using these tools, the authors reviewed and edited the content as needed and take full responsibility for the content of the published article.</w:t>
      </w:r>
    </w:p>
    <w:p w14:paraId="4BA9FD3F" w14:textId="77777777" w:rsidR="00C856F9" w:rsidRDefault="00C856F9">
      <w:pPr>
        <w:spacing w:before="200" w:line="240" w:lineRule="auto"/>
        <w:jc w:val="both"/>
        <w:rPr>
          <w:rFonts w:ascii="Times New Roman" w:eastAsia="Times New Roman" w:hAnsi="Times New Roman" w:cs="Times New Roman"/>
          <w:b/>
          <w:bCs/>
          <w:sz w:val="30"/>
          <w:szCs w:val="30"/>
        </w:rPr>
      </w:pPr>
    </w:p>
    <w:p w14:paraId="5365250A" w14:textId="77777777" w:rsidR="00C856F9" w:rsidRDefault="004E2CB7">
      <w:pPr>
        <w:spacing w:before="200" w:line="240" w:lineRule="auto"/>
        <w:jc w:val="both"/>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REFERENCES</w:t>
      </w:r>
    </w:p>
    <w:p w14:paraId="6A4AD196" w14:textId="77777777" w:rsidR="00C856F9" w:rsidRDefault="00C856F9">
      <w:pPr>
        <w:spacing w:before="200" w:line="240" w:lineRule="auto"/>
        <w:jc w:val="both"/>
        <w:rPr>
          <w:rFonts w:ascii="Times New Roman" w:eastAsia="Times New Roman" w:hAnsi="Times New Roman" w:cs="Times New Roman"/>
          <w:b/>
          <w:bCs/>
          <w:sz w:val="30"/>
          <w:szCs w:val="30"/>
        </w:rPr>
      </w:pPr>
    </w:p>
    <w:p w14:paraId="53576958"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Mazurek, M., </w:t>
      </w:r>
      <w:proofErr w:type="spellStart"/>
      <w:r>
        <w:rPr>
          <w:rFonts w:ascii="Times New Roman" w:eastAsia="Times New Roman" w:hAnsi="Times New Roman" w:cs="Times New Roman"/>
          <w:sz w:val="24"/>
          <w:szCs w:val="24"/>
          <w:highlight w:val="white"/>
        </w:rPr>
        <w:t>Szewc</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Sitarz</w:t>
      </w:r>
      <w:proofErr w:type="spellEnd"/>
      <w:r>
        <w:rPr>
          <w:rFonts w:ascii="Times New Roman" w:eastAsia="Times New Roman" w:hAnsi="Times New Roman" w:cs="Times New Roman"/>
          <w:sz w:val="24"/>
          <w:szCs w:val="24"/>
          <w:highlight w:val="white"/>
        </w:rPr>
        <w:t xml:space="preserve">, M. Z., </w:t>
      </w:r>
      <w:proofErr w:type="spellStart"/>
      <w:r>
        <w:rPr>
          <w:rFonts w:ascii="Times New Roman" w:eastAsia="Times New Roman" w:hAnsi="Times New Roman" w:cs="Times New Roman"/>
          <w:sz w:val="24"/>
          <w:szCs w:val="24"/>
          <w:highlight w:val="white"/>
        </w:rPr>
        <w:t>Dudzińska</w:t>
      </w:r>
      <w:proofErr w:type="spellEnd"/>
      <w:r>
        <w:rPr>
          <w:rFonts w:ascii="Times New Roman" w:eastAsia="Times New Roman" w:hAnsi="Times New Roman" w:cs="Times New Roman"/>
          <w:sz w:val="24"/>
          <w:szCs w:val="24"/>
          <w:highlight w:val="white"/>
        </w:rPr>
        <w:t xml:space="preserve">, E., &amp; </w:t>
      </w:r>
      <w:proofErr w:type="spellStart"/>
      <w:r>
        <w:rPr>
          <w:rFonts w:ascii="Times New Roman" w:eastAsia="Times New Roman" w:hAnsi="Times New Roman" w:cs="Times New Roman"/>
          <w:sz w:val="24"/>
          <w:szCs w:val="24"/>
          <w:highlight w:val="white"/>
        </w:rPr>
        <w:t>Sitarz</w:t>
      </w:r>
      <w:proofErr w:type="spellEnd"/>
      <w:r>
        <w:rPr>
          <w:rFonts w:ascii="Times New Roman" w:eastAsia="Times New Roman" w:hAnsi="Times New Roman" w:cs="Times New Roman"/>
          <w:sz w:val="24"/>
          <w:szCs w:val="24"/>
          <w:highlight w:val="white"/>
        </w:rPr>
        <w:t xml:space="preserve">, R. (2024). Gastric Cancer: An Up-to-Date Review with New Insights into Early-Onset Gastric Cancer. Cancers, 16(18), 3163. </w:t>
      </w:r>
      <w:hyperlink r:id="rId8">
        <w:r>
          <w:rPr>
            <w:rFonts w:ascii="Times New Roman" w:eastAsia="Times New Roman" w:hAnsi="Times New Roman" w:cs="Times New Roman"/>
            <w:sz w:val="24"/>
            <w:szCs w:val="24"/>
            <w:highlight w:val="white"/>
          </w:rPr>
          <w:t>https://doi.org/10.3390/cancers16183163</w:t>
        </w:r>
      </w:hyperlink>
    </w:p>
    <w:p w14:paraId="5B71267D"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Oh, S.G., </w:t>
      </w:r>
      <w:proofErr w:type="spellStart"/>
      <w:r>
        <w:rPr>
          <w:rFonts w:ascii="Times New Roman" w:eastAsia="Times New Roman" w:hAnsi="Times New Roman" w:cs="Times New Roman"/>
          <w:sz w:val="24"/>
          <w:szCs w:val="24"/>
          <w:highlight w:val="white"/>
        </w:rPr>
        <w:t>Seong</w:t>
      </w:r>
      <w:proofErr w:type="spellEnd"/>
      <w:r>
        <w:rPr>
          <w:rFonts w:ascii="Times New Roman" w:eastAsia="Times New Roman" w:hAnsi="Times New Roman" w:cs="Times New Roman"/>
          <w:sz w:val="24"/>
          <w:szCs w:val="24"/>
          <w:highlight w:val="white"/>
        </w:rPr>
        <w:t xml:space="preserve">, B.O., Ko, C.S. et al. Life expectancy of patients with early gastric cancer who underwent curative gastrectomy: comparison with the general population. Sci Rep 15, 5229 (2025). </w:t>
      </w:r>
      <w:hyperlink r:id="rId9">
        <w:r>
          <w:rPr>
            <w:rFonts w:ascii="Times New Roman" w:eastAsia="Times New Roman" w:hAnsi="Times New Roman" w:cs="Times New Roman"/>
            <w:sz w:val="24"/>
            <w:szCs w:val="24"/>
            <w:highlight w:val="white"/>
          </w:rPr>
          <w:t>doi.org/10.1038/s41598-025-89158-y</w:t>
        </w:r>
      </w:hyperlink>
    </w:p>
    <w:p w14:paraId="1EDE7B3B"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Tanaka N, </w:t>
      </w:r>
      <w:proofErr w:type="spellStart"/>
      <w:r>
        <w:rPr>
          <w:rFonts w:ascii="Times New Roman" w:eastAsia="Times New Roman" w:hAnsi="Times New Roman" w:cs="Times New Roman"/>
          <w:sz w:val="24"/>
          <w:szCs w:val="24"/>
          <w:highlight w:val="white"/>
        </w:rPr>
        <w:t>Katai</w:t>
      </w:r>
      <w:proofErr w:type="spellEnd"/>
      <w:r>
        <w:rPr>
          <w:rFonts w:ascii="Times New Roman" w:eastAsia="Times New Roman" w:hAnsi="Times New Roman" w:cs="Times New Roman"/>
          <w:sz w:val="24"/>
          <w:szCs w:val="24"/>
          <w:highlight w:val="white"/>
        </w:rPr>
        <w:t xml:space="preserve"> H, Taniguchi H, Saka M, Morita S, Fukunaga T, </w:t>
      </w:r>
      <w:proofErr w:type="spellStart"/>
      <w:r>
        <w:rPr>
          <w:rFonts w:ascii="Times New Roman" w:eastAsia="Times New Roman" w:hAnsi="Times New Roman" w:cs="Times New Roman"/>
          <w:sz w:val="24"/>
          <w:szCs w:val="24"/>
          <w:highlight w:val="white"/>
        </w:rPr>
        <w:t>Shimoda</w:t>
      </w:r>
      <w:proofErr w:type="spellEnd"/>
      <w:r>
        <w:rPr>
          <w:rFonts w:ascii="Times New Roman" w:eastAsia="Times New Roman" w:hAnsi="Times New Roman" w:cs="Times New Roman"/>
          <w:sz w:val="24"/>
          <w:szCs w:val="24"/>
          <w:highlight w:val="white"/>
        </w:rPr>
        <w:t xml:space="preserve"> T. Surgical treatment for early gastric cancer (in Japanese with English abstract). Stomach </w:t>
      </w:r>
      <w:proofErr w:type="spellStart"/>
      <w:r>
        <w:rPr>
          <w:rFonts w:ascii="Times New Roman" w:eastAsia="Times New Roman" w:hAnsi="Times New Roman" w:cs="Times New Roman"/>
          <w:sz w:val="24"/>
          <w:szCs w:val="24"/>
          <w:highlight w:val="white"/>
        </w:rPr>
        <w:t>Intest</w:t>
      </w:r>
      <w:proofErr w:type="spellEnd"/>
      <w:r>
        <w:rPr>
          <w:rFonts w:ascii="Times New Roman" w:eastAsia="Times New Roman" w:hAnsi="Times New Roman" w:cs="Times New Roman"/>
          <w:sz w:val="24"/>
          <w:szCs w:val="24"/>
          <w:highlight w:val="white"/>
        </w:rPr>
        <w:t xml:space="preserve"> 2009; 44: 700-706</w:t>
      </w:r>
    </w:p>
    <w:p w14:paraId="582A3689" w14:textId="77777777" w:rsidR="00C856F9" w:rsidRDefault="004E2CB7">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Kumagai</w:t>
      </w:r>
      <w:proofErr w:type="spellEnd"/>
      <w:r>
        <w:rPr>
          <w:rFonts w:ascii="Times New Roman" w:eastAsia="Times New Roman" w:hAnsi="Times New Roman" w:cs="Times New Roman"/>
          <w:sz w:val="24"/>
          <w:szCs w:val="24"/>
          <w:highlight w:val="white"/>
        </w:rPr>
        <w:t xml:space="preserve"> K, and Sano T. Part III Lymph node metastasis: Clinical significance Gastric Cancer. In: </w:t>
      </w:r>
      <w:proofErr w:type="spellStart"/>
      <w:r>
        <w:rPr>
          <w:rFonts w:ascii="Times New Roman" w:eastAsia="Times New Roman" w:hAnsi="Times New Roman" w:cs="Times New Roman"/>
          <w:sz w:val="24"/>
          <w:szCs w:val="24"/>
          <w:highlight w:val="white"/>
        </w:rPr>
        <w:t>Natsugoe</w:t>
      </w:r>
      <w:proofErr w:type="spellEnd"/>
      <w:r>
        <w:rPr>
          <w:rFonts w:ascii="Times New Roman" w:eastAsia="Times New Roman" w:hAnsi="Times New Roman" w:cs="Times New Roman"/>
          <w:sz w:val="24"/>
          <w:szCs w:val="24"/>
          <w:highlight w:val="white"/>
        </w:rPr>
        <w:t xml:space="preserve"> S editor. Lymph Node Metastasis in Gastrointestinal Cancer. Singapore: Springer Nature; 2019: p267-282</w:t>
      </w:r>
    </w:p>
    <w:p w14:paraId="667B1722"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Japanese Gastric Cancer Association. Japanese gastric cancer treatment guidelines 2018 (5th edition). Gastric Cancer 2021; 24: 1-21 [PMID: 32060757 DOI: 10.1007/s10120-020-01042-y]</w:t>
      </w:r>
    </w:p>
    <w:p w14:paraId="1B336CBD"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Ajani JA, D’Amico TA, </w:t>
      </w:r>
      <w:proofErr w:type="spellStart"/>
      <w:r>
        <w:rPr>
          <w:rFonts w:ascii="Times New Roman" w:eastAsia="Times New Roman" w:hAnsi="Times New Roman" w:cs="Times New Roman"/>
          <w:sz w:val="24"/>
          <w:szCs w:val="24"/>
          <w:highlight w:val="white"/>
        </w:rPr>
        <w:t>Bentrem</w:t>
      </w:r>
      <w:proofErr w:type="spellEnd"/>
      <w:r>
        <w:rPr>
          <w:rFonts w:ascii="Times New Roman" w:eastAsia="Times New Roman" w:hAnsi="Times New Roman" w:cs="Times New Roman"/>
          <w:sz w:val="24"/>
          <w:szCs w:val="24"/>
          <w:highlight w:val="white"/>
        </w:rPr>
        <w:t xml:space="preserve"> DJ, et al. Gastric Cancer, Version 2.2022, NCCN Clinical Practice Guidelines in Oncology. J Natl </w:t>
      </w:r>
      <w:proofErr w:type="spellStart"/>
      <w:r>
        <w:rPr>
          <w:rFonts w:ascii="Times New Roman" w:eastAsia="Times New Roman" w:hAnsi="Times New Roman" w:cs="Times New Roman"/>
          <w:sz w:val="24"/>
          <w:szCs w:val="24"/>
          <w:highlight w:val="white"/>
        </w:rPr>
        <w:t>Compr</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Canc</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Netw</w:t>
      </w:r>
      <w:proofErr w:type="spellEnd"/>
      <w:r>
        <w:rPr>
          <w:rFonts w:ascii="Times New Roman" w:eastAsia="Times New Roman" w:hAnsi="Times New Roman" w:cs="Times New Roman"/>
          <w:sz w:val="24"/>
          <w:szCs w:val="24"/>
          <w:highlight w:val="white"/>
        </w:rPr>
        <w:t>. 2022;20(2):167–192. [PubMed: 35130500]</w:t>
      </w:r>
    </w:p>
    <w:p w14:paraId="1EDF4C07" w14:textId="77777777" w:rsidR="00C856F9" w:rsidRDefault="004E2CB7">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Kinami</w:t>
      </w:r>
      <w:proofErr w:type="spellEnd"/>
      <w:r>
        <w:rPr>
          <w:rFonts w:ascii="Times New Roman" w:eastAsia="Times New Roman" w:hAnsi="Times New Roman" w:cs="Times New Roman"/>
          <w:sz w:val="24"/>
          <w:szCs w:val="24"/>
          <w:highlight w:val="white"/>
        </w:rPr>
        <w:t xml:space="preserve"> S, Nakamura N, Tomita Y, Miyata T, Fujita H, Ueda N, </w:t>
      </w:r>
      <w:proofErr w:type="spellStart"/>
      <w:r>
        <w:rPr>
          <w:rFonts w:ascii="Times New Roman" w:eastAsia="Times New Roman" w:hAnsi="Times New Roman" w:cs="Times New Roman"/>
          <w:sz w:val="24"/>
          <w:szCs w:val="24"/>
          <w:highlight w:val="white"/>
        </w:rPr>
        <w:t>Kosaka</w:t>
      </w:r>
      <w:proofErr w:type="spellEnd"/>
      <w:r>
        <w:rPr>
          <w:rFonts w:ascii="Times New Roman" w:eastAsia="Times New Roman" w:hAnsi="Times New Roman" w:cs="Times New Roman"/>
          <w:sz w:val="24"/>
          <w:szCs w:val="24"/>
          <w:highlight w:val="white"/>
        </w:rPr>
        <w:t xml:space="preserve"> T. Precision surgical approach with lymph-node dissection in early gastric cancer. World J Gastroenterol 2019; 25: 1640- 1652 [PMID: 31011251 DOI: 10.3748/</w:t>
      </w:r>
      <w:proofErr w:type="gramStart"/>
      <w:r>
        <w:rPr>
          <w:rFonts w:ascii="Times New Roman" w:eastAsia="Times New Roman" w:hAnsi="Times New Roman" w:cs="Times New Roman"/>
          <w:sz w:val="24"/>
          <w:szCs w:val="24"/>
          <w:highlight w:val="white"/>
        </w:rPr>
        <w:t>wjg.v25.i</w:t>
      </w:r>
      <w:proofErr w:type="gramEnd"/>
      <w:r>
        <w:rPr>
          <w:rFonts w:ascii="Times New Roman" w:eastAsia="Times New Roman" w:hAnsi="Times New Roman" w:cs="Times New Roman"/>
          <w:sz w:val="24"/>
          <w:szCs w:val="24"/>
          <w:highlight w:val="white"/>
        </w:rPr>
        <w:t>14.1640]</w:t>
      </w:r>
    </w:p>
    <w:p w14:paraId="77747950"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Kim ER, Lee H, Min BH, et al. Effect of rescue surgery after non-curative endoscopic resection of early gastric cancer. Br J Surg. 2015;102(11):1394–401. https://doi.org/10.1002/bjs.9873.</w:t>
      </w:r>
    </w:p>
    <w:p w14:paraId="4A5EEAEC"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Hatta W, </w:t>
      </w:r>
      <w:proofErr w:type="spellStart"/>
      <w:r>
        <w:rPr>
          <w:rFonts w:ascii="Times New Roman" w:eastAsia="Times New Roman" w:hAnsi="Times New Roman" w:cs="Times New Roman"/>
          <w:sz w:val="24"/>
          <w:szCs w:val="24"/>
          <w:highlight w:val="white"/>
        </w:rPr>
        <w:t>Gotoda</w:t>
      </w:r>
      <w:proofErr w:type="spellEnd"/>
      <w:r>
        <w:rPr>
          <w:rFonts w:ascii="Times New Roman" w:eastAsia="Times New Roman" w:hAnsi="Times New Roman" w:cs="Times New Roman"/>
          <w:sz w:val="24"/>
          <w:szCs w:val="24"/>
          <w:highlight w:val="white"/>
        </w:rPr>
        <w:t xml:space="preserve"> T, </w:t>
      </w:r>
      <w:proofErr w:type="spellStart"/>
      <w:r>
        <w:rPr>
          <w:rFonts w:ascii="Times New Roman" w:eastAsia="Times New Roman" w:hAnsi="Times New Roman" w:cs="Times New Roman"/>
          <w:sz w:val="24"/>
          <w:szCs w:val="24"/>
          <w:highlight w:val="white"/>
        </w:rPr>
        <w:t>Oyama</w:t>
      </w:r>
      <w:proofErr w:type="spellEnd"/>
      <w:r>
        <w:rPr>
          <w:rFonts w:ascii="Times New Roman" w:eastAsia="Times New Roman" w:hAnsi="Times New Roman" w:cs="Times New Roman"/>
          <w:sz w:val="24"/>
          <w:szCs w:val="24"/>
          <w:highlight w:val="white"/>
        </w:rPr>
        <w:t xml:space="preserve"> T, et al. A scoring system to stratify curability after endoscopic submucosal dissection for early gastric cancer: “</w:t>
      </w:r>
      <w:proofErr w:type="spellStart"/>
      <w:r>
        <w:rPr>
          <w:rFonts w:ascii="Times New Roman" w:eastAsia="Times New Roman" w:hAnsi="Times New Roman" w:cs="Times New Roman"/>
          <w:sz w:val="24"/>
          <w:szCs w:val="24"/>
          <w:highlight w:val="white"/>
        </w:rPr>
        <w:t>eCura</w:t>
      </w:r>
      <w:proofErr w:type="spellEnd"/>
      <w:r>
        <w:rPr>
          <w:rFonts w:ascii="Times New Roman" w:eastAsia="Times New Roman" w:hAnsi="Times New Roman" w:cs="Times New Roman"/>
          <w:sz w:val="24"/>
          <w:szCs w:val="24"/>
          <w:highlight w:val="white"/>
        </w:rPr>
        <w:t xml:space="preserve"> system.” Am J </w:t>
      </w:r>
      <w:proofErr w:type="spellStart"/>
      <w:r>
        <w:rPr>
          <w:rFonts w:ascii="Times New Roman" w:eastAsia="Times New Roman" w:hAnsi="Times New Roman" w:cs="Times New Roman"/>
          <w:sz w:val="24"/>
          <w:szCs w:val="24"/>
          <w:highlight w:val="white"/>
        </w:rPr>
        <w:t>Gastroentero</w:t>
      </w:r>
      <w:proofErr w:type="spellEnd"/>
      <w:r>
        <w:rPr>
          <w:rFonts w:ascii="Times New Roman" w:eastAsia="Times New Roman" w:hAnsi="Times New Roman" w:cs="Times New Roman"/>
          <w:sz w:val="24"/>
          <w:szCs w:val="24"/>
          <w:highlight w:val="white"/>
        </w:rPr>
        <w:t>. 2017;112(6):874–81. https://doi.org/10.1038/ajg.2017.95.</w:t>
      </w:r>
    </w:p>
    <w:p w14:paraId="36673920"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Park SH, Yoon HM, Ryu KW, Kim YW, Kook MC, </w:t>
      </w:r>
      <w:proofErr w:type="spellStart"/>
      <w:r>
        <w:rPr>
          <w:rFonts w:ascii="Times New Roman" w:eastAsia="Times New Roman" w:hAnsi="Times New Roman" w:cs="Times New Roman"/>
          <w:sz w:val="24"/>
          <w:szCs w:val="24"/>
          <w:highlight w:val="white"/>
        </w:rPr>
        <w:t>Eom</w:t>
      </w:r>
      <w:proofErr w:type="spellEnd"/>
      <w:r>
        <w:rPr>
          <w:rFonts w:ascii="Times New Roman" w:eastAsia="Times New Roman" w:hAnsi="Times New Roman" w:cs="Times New Roman"/>
          <w:sz w:val="24"/>
          <w:szCs w:val="24"/>
          <w:highlight w:val="white"/>
        </w:rPr>
        <w:t xml:space="preserve"> BW. Risks and benefits of additional surgery for early gastric cancer in the upper third of the stomach meeting non-curative resection criteria after endoscopic submucosal dissection. World J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Oncol. 2022;20(1):311. </w:t>
      </w:r>
      <w:hyperlink r:id="rId10">
        <w:r>
          <w:rPr>
            <w:rFonts w:ascii="Times New Roman" w:eastAsia="Times New Roman" w:hAnsi="Times New Roman" w:cs="Times New Roman"/>
            <w:sz w:val="24"/>
            <w:szCs w:val="24"/>
            <w:highlight w:val="white"/>
          </w:rPr>
          <w:t>https://doi.org/10.1186/</w:t>
        </w:r>
      </w:hyperlink>
      <w:r>
        <w:rPr>
          <w:rFonts w:ascii="Times New Roman" w:eastAsia="Times New Roman" w:hAnsi="Times New Roman" w:cs="Times New Roman"/>
          <w:sz w:val="24"/>
          <w:szCs w:val="24"/>
          <w:highlight w:val="white"/>
        </w:rPr>
        <w:t xml:space="preserve"> s12957-022-02780-2.</w:t>
      </w:r>
    </w:p>
    <w:p w14:paraId="31074EDA" w14:textId="77777777" w:rsidR="00C856F9" w:rsidRDefault="004E2CB7">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Kawata</w:t>
      </w:r>
      <w:proofErr w:type="spellEnd"/>
      <w:r>
        <w:rPr>
          <w:rFonts w:ascii="Times New Roman" w:eastAsia="Times New Roman" w:hAnsi="Times New Roman" w:cs="Times New Roman"/>
          <w:sz w:val="24"/>
          <w:szCs w:val="24"/>
          <w:highlight w:val="white"/>
        </w:rPr>
        <w:t xml:space="preserve"> N, </w:t>
      </w:r>
      <w:proofErr w:type="spellStart"/>
      <w:r>
        <w:rPr>
          <w:rFonts w:ascii="Times New Roman" w:eastAsia="Times New Roman" w:hAnsi="Times New Roman" w:cs="Times New Roman"/>
          <w:sz w:val="24"/>
          <w:szCs w:val="24"/>
          <w:highlight w:val="white"/>
        </w:rPr>
        <w:t>Kakushima</w:t>
      </w:r>
      <w:proofErr w:type="spellEnd"/>
      <w:r>
        <w:rPr>
          <w:rFonts w:ascii="Times New Roman" w:eastAsia="Times New Roman" w:hAnsi="Times New Roman" w:cs="Times New Roman"/>
          <w:sz w:val="24"/>
          <w:szCs w:val="24"/>
          <w:highlight w:val="white"/>
        </w:rPr>
        <w:t xml:space="preserve"> N, Takizawa K, et al. Risk factors for lymph node metastasis and long-term outcomes of patients with early gastric cancer after non-curative endoscopic submucosal dissection.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Endosc</w:t>
      </w:r>
      <w:proofErr w:type="spellEnd"/>
      <w:r>
        <w:rPr>
          <w:rFonts w:ascii="Times New Roman" w:eastAsia="Times New Roman" w:hAnsi="Times New Roman" w:cs="Times New Roman"/>
          <w:sz w:val="24"/>
          <w:szCs w:val="24"/>
          <w:highlight w:val="white"/>
        </w:rPr>
        <w:t xml:space="preserve">. 2017;31(4):1607–16. </w:t>
      </w:r>
      <w:hyperlink r:id="rId11">
        <w:r>
          <w:rPr>
            <w:rFonts w:ascii="Times New Roman" w:eastAsia="Times New Roman" w:hAnsi="Times New Roman" w:cs="Times New Roman"/>
            <w:sz w:val="24"/>
            <w:szCs w:val="24"/>
            <w:highlight w:val="white"/>
          </w:rPr>
          <w:t>https://doi.org/10</w:t>
        </w:r>
      </w:hyperlink>
      <w:r>
        <w:rPr>
          <w:rFonts w:ascii="Times New Roman" w:eastAsia="Times New Roman" w:hAnsi="Times New Roman" w:cs="Times New Roman"/>
          <w:sz w:val="24"/>
          <w:szCs w:val="24"/>
          <w:highlight w:val="white"/>
        </w:rPr>
        <w:t>. 1007/s00464-016-5148-7.</w:t>
      </w:r>
    </w:p>
    <w:p w14:paraId="0068CCF4" w14:textId="77777777" w:rsidR="00C856F9" w:rsidRDefault="004E2CB7">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Hartgrink</w:t>
      </w:r>
      <w:proofErr w:type="spellEnd"/>
      <w:r>
        <w:rPr>
          <w:rFonts w:ascii="Times New Roman" w:eastAsia="Times New Roman" w:hAnsi="Times New Roman" w:cs="Times New Roman"/>
          <w:sz w:val="24"/>
          <w:szCs w:val="24"/>
          <w:highlight w:val="white"/>
        </w:rPr>
        <w:t xml:space="preserve"> HH, van de Velde CJ, Putter H, </w:t>
      </w:r>
      <w:proofErr w:type="spellStart"/>
      <w:r>
        <w:rPr>
          <w:rFonts w:ascii="Times New Roman" w:eastAsia="Times New Roman" w:hAnsi="Times New Roman" w:cs="Times New Roman"/>
          <w:sz w:val="24"/>
          <w:szCs w:val="24"/>
          <w:highlight w:val="white"/>
        </w:rPr>
        <w:t>Bonenkamp</w:t>
      </w:r>
      <w:proofErr w:type="spellEnd"/>
      <w:r>
        <w:rPr>
          <w:rFonts w:ascii="Times New Roman" w:eastAsia="Times New Roman" w:hAnsi="Times New Roman" w:cs="Times New Roman"/>
          <w:sz w:val="24"/>
          <w:szCs w:val="24"/>
          <w:highlight w:val="white"/>
        </w:rPr>
        <w:t xml:space="preserve"> JJ, Klein </w:t>
      </w:r>
      <w:proofErr w:type="spellStart"/>
      <w:r>
        <w:rPr>
          <w:rFonts w:ascii="Times New Roman" w:eastAsia="Times New Roman" w:hAnsi="Times New Roman" w:cs="Times New Roman"/>
          <w:sz w:val="24"/>
          <w:szCs w:val="24"/>
          <w:highlight w:val="white"/>
        </w:rPr>
        <w:t>Kranenbarg</w:t>
      </w:r>
      <w:proofErr w:type="spellEnd"/>
      <w:r>
        <w:rPr>
          <w:rFonts w:ascii="Times New Roman" w:eastAsia="Times New Roman" w:hAnsi="Times New Roman" w:cs="Times New Roman"/>
          <w:sz w:val="24"/>
          <w:szCs w:val="24"/>
          <w:highlight w:val="white"/>
        </w:rPr>
        <w:t xml:space="preserve"> E, Songun I, et al. Extended lymph node dissection for gastric cancer: Who may benefit? Final results of the randomized Dutch gastric cancer group trial. J Clin Oncol (2004) 22(11):2069–77. doi:10.1200/JCO. 2004.08.026</w:t>
      </w:r>
    </w:p>
    <w:p w14:paraId="4F8B5241" w14:textId="77777777" w:rsidR="00C856F9" w:rsidRDefault="004E2CB7">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Degiuli</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Reddavid</w:t>
      </w:r>
      <w:proofErr w:type="spellEnd"/>
      <w:r>
        <w:rPr>
          <w:rFonts w:ascii="Times New Roman" w:eastAsia="Times New Roman" w:hAnsi="Times New Roman" w:cs="Times New Roman"/>
          <w:sz w:val="24"/>
          <w:szCs w:val="24"/>
          <w:highlight w:val="white"/>
        </w:rPr>
        <w:t xml:space="preserve"> R, </w:t>
      </w:r>
      <w:proofErr w:type="spellStart"/>
      <w:r>
        <w:rPr>
          <w:rFonts w:ascii="Times New Roman" w:eastAsia="Times New Roman" w:hAnsi="Times New Roman" w:cs="Times New Roman"/>
          <w:sz w:val="24"/>
          <w:szCs w:val="24"/>
          <w:highlight w:val="white"/>
        </w:rPr>
        <w:t>Tomatis</w:t>
      </w:r>
      <w:proofErr w:type="spellEnd"/>
      <w:r>
        <w:rPr>
          <w:rFonts w:ascii="Times New Roman" w:eastAsia="Times New Roman" w:hAnsi="Times New Roman" w:cs="Times New Roman"/>
          <w:sz w:val="24"/>
          <w:szCs w:val="24"/>
          <w:highlight w:val="white"/>
        </w:rPr>
        <w:t xml:space="preserve"> M, Ponti A, </w:t>
      </w:r>
      <w:proofErr w:type="spellStart"/>
      <w:r>
        <w:rPr>
          <w:rFonts w:ascii="Times New Roman" w:eastAsia="Times New Roman" w:hAnsi="Times New Roman" w:cs="Times New Roman"/>
          <w:sz w:val="24"/>
          <w:szCs w:val="24"/>
          <w:highlight w:val="white"/>
        </w:rPr>
        <w:t>Morino</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Sasako</w:t>
      </w:r>
      <w:proofErr w:type="spellEnd"/>
      <w:r>
        <w:rPr>
          <w:rFonts w:ascii="Times New Roman" w:eastAsia="Times New Roman" w:hAnsi="Times New Roman" w:cs="Times New Roman"/>
          <w:sz w:val="24"/>
          <w:szCs w:val="24"/>
          <w:highlight w:val="white"/>
        </w:rPr>
        <w:t xml:space="preserve"> M, et al. D2 dissection improves disease-specific survival in advanced gastric cancer patients: 15-Year follow-up results of the Italian gastric cancer study group D1 versus D2 randomised controlled trial. Eur J Cancer (2021) 150:10–22. </w:t>
      </w:r>
      <w:proofErr w:type="gramStart"/>
      <w:r>
        <w:rPr>
          <w:rFonts w:ascii="Times New Roman" w:eastAsia="Times New Roman" w:hAnsi="Times New Roman" w:cs="Times New Roman"/>
          <w:sz w:val="24"/>
          <w:szCs w:val="24"/>
          <w:highlight w:val="white"/>
        </w:rPr>
        <w:t>doi:10.1016/</w:t>
      </w:r>
      <w:proofErr w:type="spellStart"/>
      <w:r>
        <w:rPr>
          <w:rFonts w:ascii="Times New Roman" w:eastAsia="Times New Roman" w:hAnsi="Times New Roman" w:cs="Times New Roman"/>
          <w:sz w:val="24"/>
          <w:szCs w:val="24"/>
          <w:highlight w:val="white"/>
        </w:rPr>
        <w:t>j.ejca</w:t>
      </w:r>
      <w:proofErr w:type="spellEnd"/>
      <w:proofErr w:type="gramEnd"/>
      <w:r>
        <w:rPr>
          <w:rFonts w:ascii="Times New Roman" w:eastAsia="Times New Roman" w:hAnsi="Times New Roman" w:cs="Times New Roman"/>
          <w:sz w:val="24"/>
          <w:szCs w:val="24"/>
          <w:highlight w:val="white"/>
        </w:rPr>
        <w:t>. 2021.03.031</w:t>
      </w:r>
    </w:p>
    <w:p w14:paraId="2EDF6880"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Songun I, Putter H, </w:t>
      </w:r>
      <w:proofErr w:type="spellStart"/>
      <w:r>
        <w:rPr>
          <w:rFonts w:ascii="Times New Roman" w:eastAsia="Times New Roman" w:hAnsi="Times New Roman" w:cs="Times New Roman"/>
          <w:sz w:val="24"/>
          <w:szCs w:val="24"/>
          <w:highlight w:val="white"/>
        </w:rPr>
        <w:t>Kranenbarg</w:t>
      </w:r>
      <w:proofErr w:type="spellEnd"/>
      <w:r>
        <w:rPr>
          <w:rFonts w:ascii="Times New Roman" w:eastAsia="Times New Roman" w:hAnsi="Times New Roman" w:cs="Times New Roman"/>
          <w:sz w:val="24"/>
          <w:szCs w:val="24"/>
          <w:highlight w:val="white"/>
        </w:rPr>
        <w:t xml:space="preserve"> EM, </w:t>
      </w:r>
      <w:proofErr w:type="spellStart"/>
      <w:r>
        <w:rPr>
          <w:rFonts w:ascii="Times New Roman" w:eastAsia="Times New Roman" w:hAnsi="Times New Roman" w:cs="Times New Roman"/>
          <w:sz w:val="24"/>
          <w:szCs w:val="24"/>
          <w:highlight w:val="white"/>
        </w:rPr>
        <w:t>Sasako</w:t>
      </w:r>
      <w:proofErr w:type="spellEnd"/>
      <w:r>
        <w:rPr>
          <w:rFonts w:ascii="Times New Roman" w:eastAsia="Times New Roman" w:hAnsi="Times New Roman" w:cs="Times New Roman"/>
          <w:sz w:val="24"/>
          <w:szCs w:val="24"/>
          <w:highlight w:val="white"/>
        </w:rPr>
        <w:t xml:space="preserve"> M, van de Velde CJ. Surgical treatment of gastric cancer: 15-Year follow-up results of the randomised nationwide Dutch D1d2 trial. Lancet Oncol (2010) 11(5):439–49. doi:10.1016/S1470-2045(10) 70070-X</w:t>
      </w:r>
    </w:p>
    <w:p w14:paraId="4BB8B30B"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Ryu KW, </w:t>
      </w:r>
      <w:proofErr w:type="spellStart"/>
      <w:r>
        <w:rPr>
          <w:rFonts w:ascii="Times New Roman" w:eastAsia="Times New Roman" w:hAnsi="Times New Roman" w:cs="Times New Roman"/>
          <w:sz w:val="24"/>
          <w:szCs w:val="24"/>
          <w:highlight w:val="white"/>
        </w:rPr>
        <w:t>Eom</w:t>
      </w:r>
      <w:proofErr w:type="spellEnd"/>
      <w:r>
        <w:rPr>
          <w:rFonts w:ascii="Times New Roman" w:eastAsia="Times New Roman" w:hAnsi="Times New Roman" w:cs="Times New Roman"/>
          <w:sz w:val="24"/>
          <w:szCs w:val="24"/>
          <w:highlight w:val="white"/>
        </w:rPr>
        <w:t xml:space="preserve"> BW, Nam BH, et al. Is the sentinel node biopsy clinically applicable for limited lymphadenectomy and modified gastric resection in gastric cancer? A meta-analysis of feasibility studies. J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Oncol. 2011;104(6):578–84. https://doi.org/10.1002/jso.21995.</w:t>
      </w:r>
    </w:p>
    <w:p w14:paraId="07B97DD9"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Kitagawa Y, Takeuchi H, Takagi Y, </w:t>
      </w:r>
      <w:proofErr w:type="spellStart"/>
      <w:r>
        <w:rPr>
          <w:rFonts w:ascii="Times New Roman" w:eastAsia="Times New Roman" w:hAnsi="Times New Roman" w:cs="Times New Roman"/>
          <w:sz w:val="24"/>
          <w:szCs w:val="24"/>
          <w:highlight w:val="white"/>
        </w:rPr>
        <w:t>Natsugoe</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Terashima</w:t>
      </w:r>
      <w:proofErr w:type="spellEnd"/>
      <w:r>
        <w:rPr>
          <w:rFonts w:ascii="Times New Roman" w:eastAsia="Times New Roman" w:hAnsi="Times New Roman" w:cs="Times New Roman"/>
          <w:sz w:val="24"/>
          <w:szCs w:val="24"/>
          <w:highlight w:val="white"/>
        </w:rPr>
        <w:t xml:space="preserve"> M, Murakami N, Fujimura T, </w:t>
      </w:r>
      <w:proofErr w:type="spellStart"/>
      <w:r>
        <w:rPr>
          <w:rFonts w:ascii="Times New Roman" w:eastAsia="Times New Roman" w:hAnsi="Times New Roman" w:cs="Times New Roman"/>
          <w:sz w:val="24"/>
          <w:szCs w:val="24"/>
          <w:highlight w:val="white"/>
        </w:rPr>
        <w:t>Tsujimoto</w:t>
      </w:r>
      <w:proofErr w:type="spellEnd"/>
      <w:r>
        <w:rPr>
          <w:rFonts w:ascii="Times New Roman" w:eastAsia="Times New Roman" w:hAnsi="Times New Roman" w:cs="Times New Roman"/>
          <w:sz w:val="24"/>
          <w:szCs w:val="24"/>
          <w:highlight w:val="white"/>
        </w:rPr>
        <w:t xml:space="preserve"> H, Hayashi H, Yoshimizu N, </w:t>
      </w:r>
      <w:proofErr w:type="spellStart"/>
      <w:r>
        <w:rPr>
          <w:rFonts w:ascii="Times New Roman" w:eastAsia="Times New Roman" w:hAnsi="Times New Roman" w:cs="Times New Roman"/>
          <w:sz w:val="24"/>
          <w:szCs w:val="24"/>
          <w:highlight w:val="white"/>
        </w:rPr>
        <w:t>Takagane</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Mohri</w:t>
      </w:r>
      <w:proofErr w:type="spellEnd"/>
      <w:r>
        <w:rPr>
          <w:rFonts w:ascii="Times New Roman" w:eastAsia="Times New Roman" w:hAnsi="Times New Roman" w:cs="Times New Roman"/>
          <w:sz w:val="24"/>
          <w:szCs w:val="24"/>
          <w:highlight w:val="white"/>
        </w:rPr>
        <w:t xml:space="preserve"> Y, </w:t>
      </w:r>
      <w:proofErr w:type="spellStart"/>
      <w:r>
        <w:rPr>
          <w:rFonts w:ascii="Times New Roman" w:eastAsia="Times New Roman" w:hAnsi="Times New Roman" w:cs="Times New Roman"/>
          <w:sz w:val="24"/>
          <w:szCs w:val="24"/>
          <w:highlight w:val="white"/>
        </w:rPr>
        <w:t>Nabeshima</w:t>
      </w:r>
      <w:proofErr w:type="spellEnd"/>
      <w:r>
        <w:rPr>
          <w:rFonts w:ascii="Times New Roman" w:eastAsia="Times New Roman" w:hAnsi="Times New Roman" w:cs="Times New Roman"/>
          <w:sz w:val="24"/>
          <w:szCs w:val="24"/>
          <w:highlight w:val="white"/>
        </w:rPr>
        <w:t xml:space="preserve"> K, </w:t>
      </w:r>
      <w:proofErr w:type="spellStart"/>
      <w:r>
        <w:rPr>
          <w:rFonts w:ascii="Times New Roman" w:eastAsia="Times New Roman" w:hAnsi="Times New Roman" w:cs="Times New Roman"/>
          <w:sz w:val="24"/>
          <w:szCs w:val="24"/>
          <w:highlight w:val="white"/>
        </w:rPr>
        <w:t>Uenosono</w:t>
      </w:r>
      <w:proofErr w:type="spellEnd"/>
      <w:r>
        <w:rPr>
          <w:rFonts w:ascii="Times New Roman" w:eastAsia="Times New Roman" w:hAnsi="Times New Roman" w:cs="Times New Roman"/>
          <w:sz w:val="24"/>
          <w:szCs w:val="24"/>
          <w:highlight w:val="white"/>
        </w:rPr>
        <w:t xml:space="preserve"> Y, </w:t>
      </w:r>
      <w:proofErr w:type="spellStart"/>
      <w:r>
        <w:rPr>
          <w:rFonts w:ascii="Times New Roman" w:eastAsia="Times New Roman" w:hAnsi="Times New Roman" w:cs="Times New Roman"/>
          <w:sz w:val="24"/>
          <w:szCs w:val="24"/>
          <w:highlight w:val="white"/>
        </w:rPr>
        <w:t>Kinami</w:t>
      </w:r>
      <w:proofErr w:type="spellEnd"/>
      <w:r>
        <w:rPr>
          <w:rFonts w:ascii="Times New Roman" w:eastAsia="Times New Roman" w:hAnsi="Times New Roman" w:cs="Times New Roman"/>
          <w:sz w:val="24"/>
          <w:szCs w:val="24"/>
          <w:highlight w:val="white"/>
        </w:rPr>
        <w:t xml:space="preserve"> S, Sakamoto J, Morita S, </w:t>
      </w:r>
      <w:proofErr w:type="spellStart"/>
      <w:r>
        <w:rPr>
          <w:rFonts w:ascii="Times New Roman" w:eastAsia="Times New Roman" w:hAnsi="Times New Roman" w:cs="Times New Roman"/>
          <w:sz w:val="24"/>
          <w:szCs w:val="24"/>
          <w:highlight w:val="white"/>
        </w:rPr>
        <w:t>Aikou</w:t>
      </w:r>
      <w:proofErr w:type="spellEnd"/>
      <w:r>
        <w:rPr>
          <w:rFonts w:ascii="Times New Roman" w:eastAsia="Times New Roman" w:hAnsi="Times New Roman" w:cs="Times New Roman"/>
          <w:sz w:val="24"/>
          <w:szCs w:val="24"/>
          <w:highlight w:val="white"/>
        </w:rPr>
        <w:t xml:space="preserve"> T, Miwa K, Kitajima M. Sentinel node mapping for gastric cancer: a prospective </w:t>
      </w:r>
      <w:proofErr w:type="spellStart"/>
      <w:r>
        <w:rPr>
          <w:rFonts w:ascii="Times New Roman" w:eastAsia="Times New Roman" w:hAnsi="Times New Roman" w:cs="Times New Roman"/>
          <w:sz w:val="24"/>
          <w:szCs w:val="24"/>
          <w:highlight w:val="white"/>
        </w:rPr>
        <w:t>multicenter</w:t>
      </w:r>
      <w:proofErr w:type="spellEnd"/>
      <w:r>
        <w:rPr>
          <w:rFonts w:ascii="Times New Roman" w:eastAsia="Times New Roman" w:hAnsi="Times New Roman" w:cs="Times New Roman"/>
          <w:sz w:val="24"/>
          <w:szCs w:val="24"/>
          <w:highlight w:val="white"/>
        </w:rPr>
        <w:t xml:space="preserve"> trial in Japan. J Clin Oncol 2013; 31: 3704-3710 [PMID: 24019550 DOI:10.1200/JCO.2013.50.3789]</w:t>
      </w:r>
    </w:p>
    <w:p w14:paraId="721DA0EE" w14:textId="77777777" w:rsidR="00C856F9" w:rsidRDefault="004E2CB7">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Kinami</w:t>
      </w:r>
      <w:proofErr w:type="spellEnd"/>
      <w:r>
        <w:rPr>
          <w:rFonts w:ascii="Times New Roman" w:eastAsia="Times New Roman" w:hAnsi="Times New Roman" w:cs="Times New Roman"/>
          <w:sz w:val="24"/>
          <w:szCs w:val="24"/>
          <w:highlight w:val="white"/>
        </w:rPr>
        <w:t xml:space="preserve"> S, Fujimura T, </w:t>
      </w:r>
      <w:proofErr w:type="spellStart"/>
      <w:r>
        <w:rPr>
          <w:rFonts w:ascii="Times New Roman" w:eastAsia="Times New Roman" w:hAnsi="Times New Roman" w:cs="Times New Roman"/>
          <w:sz w:val="24"/>
          <w:szCs w:val="24"/>
          <w:highlight w:val="white"/>
        </w:rPr>
        <w:t>Ojima</w:t>
      </w:r>
      <w:proofErr w:type="spellEnd"/>
      <w:r>
        <w:rPr>
          <w:rFonts w:ascii="Times New Roman" w:eastAsia="Times New Roman" w:hAnsi="Times New Roman" w:cs="Times New Roman"/>
          <w:sz w:val="24"/>
          <w:szCs w:val="24"/>
          <w:highlight w:val="white"/>
        </w:rPr>
        <w:t xml:space="preserve"> E, </w:t>
      </w:r>
      <w:proofErr w:type="spellStart"/>
      <w:r>
        <w:rPr>
          <w:rFonts w:ascii="Times New Roman" w:eastAsia="Times New Roman" w:hAnsi="Times New Roman" w:cs="Times New Roman"/>
          <w:sz w:val="24"/>
          <w:szCs w:val="24"/>
          <w:highlight w:val="white"/>
        </w:rPr>
        <w:t>Fushida</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Ojima</w:t>
      </w:r>
      <w:proofErr w:type="spellEnd"/>
      <w:r>
        <w:rPr>
          <w:rFonts w:ascii="Times New Roman" w:eastAsia="Times New Roman" w:hAnsi="Times New Roman" w:cs="Times New Roman"/>
          <w:sz w:val="24"/>
          <w:szCs w:val="24"/>
          <w:highlight w:val="white"/>
        </w:rPr>
        <w:t xml:space="preserve"> T, Funaki H, Fujita H, </w:t>
      </w:r>
      <w:proofErr w:type="spellStart"/>
      <w:r>
        <w:rPr>
          <w:rFonts w:ascii="Times New Roman" w:eastAsia="Times New Roman" w:hAnsi="Times New Roman" w:cs="Times New Roman"/>
          <w:sz w:val="24"/>
          <w:szCs w:val="24"/>
          <w:highlight w:val="white"/>
        </w:rPr>
        <w:t>Takamura</w:t>
      </w:r>
      <w:proofErr w:type="spellEnd"/>
      <w:r>
        <w:rPr>
          <w:rFonts w:ascii="Times New Roman" w:eastAsia="Times New Roman" w:hAnsi="Times New Roman" w:cs="Times New Roman"/>
          <w:sz w:val="24"/>
          <w:szCs w:val="24"/>
          <w:highlight w:val="white"/>
        </w:rPr>
        <w:t xml:space="preserve"> H, Ninomiya I, Nishimura G, </w:t>
      </w:r>
      <w:proofErr w:type="spellStart"/>
      <w:r>
        <w:rPr>
          <w:rFonts w:ascii="Times New Roman" w:eastAsia="Times New Roman" w:hAnsi="Times New Roman" w:cs="Times New Roman"/>
          <w:sz w:val="24"/>
          <w:szCs w:val="24"/>
          <w:highlight w:val="white"/>
        </w:rPr>
        <w:t>Kayahara</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Ohta</w:t>
      </w:r>
      <w:proofErr w:type="spellEnd"/>
      <w:r>
        <w:rPr>
          <w:rFonts w:ascii="Times New Roman" w:eastAsia="Times New Roman" w:hAnsi="Times New Roman" w:cs="Times New Roman"/>
          <w:sz w:val="24"/>
          <w:szCs w:val="24"/>
          <w:highlight w:val="white"/>
        </w:rPr>
        <w:t xml:space="preserve"> T, Yoh Z. PTD classification: proposal for a new classification of gastric cancer location based on physiological lymphatic flow. Int J Clin Oncol 2008; 13: 320-329</w:t>
      </w:r>
    </w:p>
    <w:p w14:paraId="75B3C604"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Miwa K. [Sentinel node concept and its application for cancer surgery]. Nihon </w:t>
      </w:r>
      <w:proofErr w:type="spellStart"/>
      <w:r>
        <w:rPr>
          <w:rFonts w:ascii="Times New Roman" w:eastAsia="Times New Roman" w:hAnsi="Times New Roman" w:cs="Times New Roman"/>
          <w:sz w:val="24"/>
          <w:szCs w:val="24"/>
          <w:highlight w:val="white"/>
        </w:rPr>
        <w:t>Geka</w:t>
      </w:r>
      <w:proofErr w:type="spellEnd"/>
      <w:r>
        <w:rPr>
          <w:rFonts w:ascii="Times New Roman" w:eastAsia="Times New Roman" w:hAnsi="Times New Roman" w:cs="Times New Roman"/>
          <w:sz w:val="24"/>
          <w:szCs w:val="24"/>
          <w:highlight w:val="white"/>
        </w:rPr>
        <w:t xml:space="preserve"> Gakkai </w:t>
      </w:r>
      <w:proofErr w:type="spellStart"/>
      <w:r>
        <w:rPr>
          <w:rFonts w:ascii="Times New Roman" w:eastAsia="Times New Roman" w:hAnsi="Times New Roman" w:cs="Times New Roman"/>
          <w:sz w:val="24"/>
          <w:szCs w:val="24"/>
          <w:highlight w:val="white"/>
        </w:rPr>
        <w:t>Zasshi</w:t>
      </w:r>
      <w:proofErr w:type="spellEnd"/>
      <w:r>
        <w:rPr>
          <w:rFonts w:ascii="Times New Roman" w:eastAsia="Times New Roman" w:hAnsi="Times New Roman" w:cs="Times New Roman"/>
          <w:sz w:val="24"/>
          <w:szCs w:val="24"/>
          <w:highlight w:val="white"/>
        </w:rPr>
        <w:t xml:space="preserve"> 2000; 101: 307-310 [PMID: 10773998]</w:t>
      </w:r>
    </w:p>
    <w:p w14:paraId="0CC07587" w14:textId="77777777" w:rsidR="00C856F9" w:rsidRDefault="004E2CB7">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Hiki</w:t>
      </w:r>
      <w:proofErr w:type="spellEnd"/>
      <w:r>
        <w:rPr>
          <w:rFonts w:ascii="Times New Roman" w:eastAsia="Times New Roman" w:hAnsi="Times New Roman" w:cs="Times New Roman"/>
          <w:sz w:val="24"/>
          <w:szCs w:val="24"/>
          <w:highlight w:val="white"/>
        </w:rPr>
        <w:t xml:space="preserve"> N, </w:t>
      </w:r>
      <w:proofErr w:type="spellStart"/>
      <w:r>
        <w:rPr>
          <w:rFonts w:ascii="Times New Roman" w:eastAsia="Times New Roman" w:hAnsi="Times New Roman" w:cs="Times New Roman"/>
          <w:sz w:val="24"/>
          <w:szCs w:val="24"/>
          <w:highlight w:val="white"/>
        </w:rPr>
        <w:t>Nunobe</w:t>
      </w:r>
      <w:proofErr w:type="spellEnd"/>
      <w:r>
        <w:rPr>
          <w:rFonts w:ascii="Times New Roman" w:eastAsia="Times New Roman" w:hAnsi="Times New Roman" w:cs="Times New Roman"/>
          <w:sz w:val="24"/>
          <w:szCs w:val="24"/>
          <w:highlight w:val="white"/>
        </w:rPr>
        <w:t xml:space="preserve"> S, Kubota T, Jiang X. Function-preserving gastrectomy for early gastric cancer. Ann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Oncol 2013; 20: 2683-2692 [PMID: 23504120 DOI: 10.1245/s10434-013-2931-8]</w:t>
      </w:r>
    </w:p>
    <w:p w14:paraId="4E696913"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Miwa K, </w:t>
      </w:r>
      <w:proofErr w:type="spellStart"/>
      <w:r>
        <w:rPr>
          <w:rFonts w:ascii="Times New Roman" w:eastAsia="Times New Roman" w:hAnsi="Times New Roman" w:cs="Times New Roman"/>
          <w:sz w:val="24"/>
          <w:szCs w:val="24"/>
          <w:highlight w:val="white"/>
        </w:rPr>
        <w:t>Kinami</w:t>
      </w:r>
      <w:proofErr w:type="spellEnd"/>
      <w:r>
        <w:rPr>
          <w:rFonts w:ascii="Times New Roman" w:eastAsia="Times New Roman" w:hAnsi="Times New Roman" w:cs="Times New Roman"/>
          <w:sz w:val="24"/>
          <w:szCs w:val="24"/>
          <w:highlight w:val="white"/>
        </w:rPr>
        <w:t xml:space="preserve"> S, Taniguchi K, </w:t>
      </w:r>
      <w:proofErr w:type="spellStart"/>
      <w:r>
        <w:rPr>
          <w:rFonts w:ascii="Times New Roman" w:eastAsia="Times New Roman" w:hAnsi="Times New Roman" w:cs="Times New Roman"/>
          <w:sz w:val="24"/>
          <w:szCs w:val="24"/>
          <w:highlight w:val="white"/>
        </w:rPr>
        <w:t>Fushida</w:t>
      </w:r>
      <w:proofErr w:type="spellEnd"/>
      <w:r>
        <w:rPr>
          <w:rFonts w:ascii="Times New Roman" w:eastAsia="Times New Roman" w:hAnsi="Times New Roman" w:cs="Times New Roman"/>
          <w:sz w:val="24"/>
          <w:szCs w:val="24"/>
          <w:highlight w:val="white"/>
        </w:rPr>
        <w:t xml:space="preserve"> S, Fujimura T, </w:t>
      </w:r>
      <w:proofErr w:type="spellStart"/>
      <w:r>
        <w:rPr>
          <w:rFonts w:ascii="Times New Roman" w:eastAsia="Times New Roman" w:hAnsi="Times New Roman" w:cs="Times New Roman"/>
          <w:sz w:val="24"/>
          <w:szCs w:val="24"/>
          <w:highlight w:val="white"/>
        </w:rPr>
        <w:t>Nonomura</w:t>
      </w:r>
      <w:proofErr w:type="spellEnd"/>
      <w:r>
        <w:rPr>
          <w:rFonts w:ascii="Times New Roman" w:eastAsia="Times New Roman" w:hAnsi="Times New Roman" w:cs="Times New Roman"/>
          <w:sz w:val="24"/>
          <w:szCs w:val="24"/>
          <w:highlight w:val="white"/>
        </w:rPr>
        <w:t xml:space="preserve"> A. Mapping sentinel nodes in patients with early-stage gastric carcinoma. Br J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2003; 90: 178-182 [PMID: 12555293 DOI: 10.1002/bjs.4031]</w:t>
      </w:r>
    </w:p>
    <w:p w14:paraId="3CF0DE1C"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Hiratsuka M, Miyashiro I, Ishikawa O, Furukawa H, </w:t>
      </w:r>
      <w:proofErr w:type="spellStart"/>
      <w:r>
        <w:rPr>
          <w:rFonts w:ascii="Times New Roman" w:eastAsia="Times New Roman" w:hAnsi="Times New Roman" w:cs="Times New Roman"/>
          <w:sz w:val="24"/>
          <w:szCs w:val="24"/>
          <w:highlight w:val="white"/>
        </w:rPr>
        <w:t>Motomura</w:t>
      </w:r>
      <w:proofErr w:type="spellEnd"/>
      <w:r>
        <w:rPr>
          <w:rFonts w:ascii="Times New Roman" w:eastAsia="Times New Roman" w:hAnsi="Times New Roman" w:cs="Times New Roman"/>
          <w:sz w:val="24"/>
          <w:szCs w:val="24"/>
          <w:highlight w:val="white"/>
        </w:rPr>
        <w:t xml:space="preserve"> K, </w:t>
      </w:r>
      <w:proofErr w:type="spellStart"/>
      <w:r>
        <w:rPr>
          <w:rFonts w:ascii="Times New Roman" w:eastAsia="Times New Roman" w:hAnsi="Times New Roman" w:cs="Times New Roman"/>
          <w:sz w:val="24"/>
          <w:szCs w:val="24"/>
          <w:highlight w:val="white"/>
        </w:rPr>
        <w:t>Ohigashi</w:t>
      </w:r>
      <w:proofErr w:type="spellEnd"/>
      <w:r>
        <w:rPr>
          <w:rFonts w:ascii="Times New Roman" w:eastAsia="Times New Roman" w:hAnsi="Times New Roman" w:cs="Times New Roman"/>
          <w:sz w:val="24"/>
          <w:szCs w:val="24"/>
          <w:highlight w:val="white"/>
        </w:rPr>
        <w:t xml:space="preserve"> H, </w:t>
      </w:r>
      <w:proofErr w:type="spellStart"/>
      <w:r>
        <w:rPr>
          <w:rFonts w:ascii="Times New Roman" w:eastAsia="Times New Roman" w:hAnsi="Times New Roman" w:cs="Times New Roman"/>
          <w:sz w:val="24"/>
          <w:szCs w:val="24"/>
          <w:highlight w:val="white"/>
        </w:rPr>
        <w:t>Kameyama</w:t>
      </w:r>
      <w:proofErr w:type="spellEnd"/>
      <w:r>
        <w:rPr>
          <w:rFonts w:ascii="Times New Roman" w:eastAsia="Times New Roman" w:hAnsi="Times New Roman" w:cs="Times New Roman"/>
          <w:sz w:val="24"/>
          <w:szCs w:val="24"/>
          <w:highlight w:val="white"/>
        </w:rPr>
        <w:t xml:space="preserve"> M, Sasaki Y, Kabuto T, Ishiguro S, </w:t>
      </w:r>
      <w:proofErr w:type="spellStart"/>
      <w:r>
        <w:rPr>
          <w:rFonts w:ascii="Times New Roman" w:eastAsia="Times New Roman" w:hAnsi="Times New Roman" w:cs="Times New Roman"/>
          <w:sz w:val="24"/>
          <w:szCs w:val="24"/>
          <w:highlight w:val="white"/>
        </w:rPr>
        <w:t>Imaoka</w:t>
      </w:r>
      <w:proofErr w:type="spellEnd"/>
      <w:r>
        <w:rPr>
          <w:rFonts w:ascii="Times New Roman" w:eastAsia="Times New Roman" w:hAnsi="Times New Roman" w:cs="Times New Roman"/>
          <w:sz w:val="24"/>
          <w:szCs w:val="24"/>
          <w:highlight w:val="white"/>
        </w:rPr>
        <w:t xml:space="preserve"> S, Koyama H. Application of sentinel node biopsy to gastric cancer surgery. Surgery 2001; 129: 335-340 [PMID: 11231462 DOI: 10.1067/msy.2001.111699]</w:t>
      </w:r>
    </w:p>
    <w:p w14:paraId="7F85BAB3" w14:textId="77777777" w:rsidR="00C856F9" w:rsidRDefault="004E2CB7">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Ichikura</w:t>
      </w:r>
      <w:proofErr w:type="spellEnd"/>
      <w:r>
        <w:rPr>
          <w:rFonts w:ascii="Times New Roman" w:eastAsia="Times New Roman" w:hAnsi="Times New Roman" w:cs="Times New Roman"/>
          <w:sz w:val="24"/>
          <w:szCs w:val="24"/>
          <w:highlight w:val="white"/>
        </w:rPr>
        <w:t xml:space="preserve"> T, Morita D, Uchida T, Okura E, </w:t>
      </w:r>
      <w:proofErr w:type="spellStart"/>
      <w:r>
        <w:rPr>
          <w:rFonts w:ascii="Times New Roman" w:eastAsia="Times New Roman" w:hAnsi="Times New Roman" w:cs="Times New Roman"/>
          <w:sz w:val="24"/>
          <w:szCs w:val="24"/>
          <w:highlight w:val="white"/>
        </w:rPr>
        <w:t>Majima</w:t>
      </w:r>
      <w:proofErr w:type="spellEnd"/>
      <w:r>
        <w:rPr>
          <w:rFonts w:ascii="Times New Roman" w:eastAsia="Times New Roman" w:hAnsi="Times New Roman" w:cs="Times New Roman"/>
          <w:sz w:val="24"/>
          <w:szCs w:val="24"/>
          <w:highlight w:val="white"/>
        </w:rPr>
        <w:t xml:space="preserve"> T, Ogawa T, Mochizuki H. Sentinel node concept in gastric carcinoma. World J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2002; 26: 318-322 [PMID: 11865368 DOI: 10.1007/s00268-001-0226-x]</w:t>
      </w:r>
    </w:p>
    <w:p w14:paraId="48585FC2" w14:textId="77777777" w:rsidR="00C856F9" w:rsidRDefault="004E2CB7">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Carlini</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Carboni</w:t>
      </w:r>
      <w:proofErr w:type="spellEnd"/>
      <w:r>
        <w:rPr>
          <w:rFonts w:ascii="Times New Roman" w:eastAsia="Times New Roman" w:hAnsi="Times New Roman" w:cs="Times New Roman"/>
          <w:sz w:val="24"/>
          <w:szCs w:val="24"/>
          <w:highlight w:val="white"/>
        </w:rPr>
        <w:t xml:space="preserve"> F, </w:t>
      </w:r>
      <w:proofErr w:type="spellStart"/>
      <w:r>
        <w:rPr>
          <w:rFonts w:ascii="Times New Roman" w:eastAsia="Times New Roman" w:hAnsi="Times New Roman" w:cs="Times New Roman"/>
          <w:sz w:val="24"/>
          <w:szCs w:val="24"/>
          <w:highlight w:val="white"/>
        </w:rPr>
        <w:t>Petric</w:t>
      </w:r>
      <w:proofErr w:type="spellEnd"/>
      <w:r>
        <w:rPr>
          <w:rFonts w:ascii="Times New Roman" w:eastAsia="Times New Roman" w:hAnsi="Times New Roman" w:cs="Times New Roman"/>
          <w:sz w:val="24"/>
          <w:szCs w:val="24"/>
          <w:highlight w:val="white"/>
        </w:rPr>
        <w:t xml:space="preserve"> M, Santoro R, </w:t>
      </w:r>
      <w:proofErr w:type="spellStart"/>
      <w:r>
        <w:rPr>
          <w:rFonts w:ascii="Times New Roman" w:eastAsia="Times New Roman" w:hAnsi="Times New Roman" w:cs="Times New Roman"/>
          <w:sz w:val="24"/>
          <w:szCs w:val="24"/>
          <w:highlight w:val="white"/>
        </w:rPr>
        <w:t>Guadagni</w:t>
      </w:r>
      <w:proofErr w:type="spellEnd"/>
      <w:r>
        <w:rPr>
          <w:rFonts w:ascii="Times New Roman" w:eastAsia="Times New Roman" w:hAnsi="Times New Roman" w:cs="Times New Roman"/>
          <w:sz w:val="24"/>
          <w:szCs w:val="24"/>
          <w:highlight w:val="white"/>
        </w:rPr>
        <w:t xml:space="preserve"> F, </w:t>
      </w:r>
      <w:proofErr w:type="spellStart"/>
      <w:r>
        <w:rPr>
          <w:rFonts w:ascii="Times New Roman" w:eastAsia="Times New Roman" w:hAnsi="Times New Roman" w:cs="Times New Roman"/>
          <w:sz w:val="24"/>
          <w:szCs w:val="24"/>
          <w:highlight w:val="white"/>
        </w:rPr>
        <w:t>Marandino</w:t>
      </w:r>
      <w:proofErr w:type="spellEnd"/>
      <w:r>
        <w:rPr>
          <w:rFonts w:ascii="Times New Roman" w:eastAsia="Times New Roman" w:hAnsi="Times New Roman" w:cs="Times New Roman"/>
          <w:sz w:val="24"/>
          <w:szCs w:val="24"/>
          <w:highlight w:val="white"/>
        </w:rPr>
        <w:t xml:space="preserve"> F, Castelli M, Santoro E. Sentinel node in gastric cancer surgery. J Exp Clin Cancer Res 2002; 21: 469-473 [PMID: 12636091]</w:t>
      </w:r>
    </w:p>
    <w:p w14:paraId="015E83B3"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Hayashi H, </w:t>
      </w:r>
      <w:proofErr w:type="spellStart"/>
      <w:r>
        <w:rPr>
          <w:rFonts w:ascii="Times New Roman" w:eastAsia="Times New Roman" w:hAnsi="Times New Roman" w:cs="Times New Roman"/>
          <w:sz w:val="24"/>
          <w:szCs w:val="24"/>
          <w:highlight w:val="white"/>
        </w:rPr>
        <w:t>Ochiai</w:t>
      </w:r>
      <w:proofErr w:type="spellEnd"/>
      <w:r>
        <w:rPr>
          <w:rFonts w:ascii="Times New Roman" w:eastAsia="Times New Roman" w:hAnsi="Times New Roman" w:cs="Times New Roman"/>
          <w:sz w:val="24"/>
          <w:szCs w:val="24"/>
          <w:highlight w:val="white"/>
        </w:rPr>
        <w:t xml:space="preserve"> T, Mori M, </w:t>
      </w:r>
      <w:proofErr w:type="spellStart"/>
      <w:r>
        <w:rPr>
          <w:rFonts w:ascii="Times New Roman" w:eastAsia="Times New Roman" w:hAnsi="Times New Roman" w:cs="Times New Roman"/>
          <w:sz w:val="24"/>
          <w:szCs w:val="24"/>
          <w:highlight w:val="white"/>
        </w:rPr>
        <w:t>Karube</w:t>
      </w:r>
      <w:proofErr w:type="spellEnd"/>
      <w:r>
        <w:rPr>
          <w:rFonts w:ascii="Times New Roman" w:eastAsia="Times New Roman" w:hAnsi="Times New Roman" w:cs="Times New Roman"/>
          <w:sz w:val="24"/>
          <w:szCs w:val="24"/>
          <w:highlight w:val="white"/>
        </w:rPr>
        <w:t xml:space="preserve"> T, Suzuki T, </w:t>
      </w:r>
      <w:proofErr w:type="spellStart"/>
      <w:r>
        <w:rPr>
          <w:rFonts w:ascii="Times New Roman" w:eastAsia="Times New Roman" w:hAnsi="Times New Roman" w:cs="Times New Roman"/>
          <w:sz w:val="24"/>
          <w:szCs w:val="24"/>
          <w:highlight w:val="white"/>
        </w:rPr>
        <w:t>Gunji</w:t>
      </w:r>
      <w:proofErr w:type="spellEnd"/>
      <w:r>
        <w:rPr>
          <w:rFonts w:ascii="Times New Roman" w:eastAsia="Times New Roman" w:hAnsi="Times New Roman" w:cs="Times New Roman"/>
          <w:sz w:val="24"/>
          <w:szCs w:val="24"/>
          <w:highlight w:val="white"/>
        </w:rPr>
        <w:t xml:space="preserve"> Y, Hori S, </w:t>
      </w:r>
      <w:proofErr w:type="spellStart"/>
      <w:r>
        <w:rPr>
          <w:rFonts w:ascii="Times New Roman" w:eastAsia="Times New Roman" w:hAnsi="Times New Roman" w:cs="Times New Roman"/>
          <w:sz w:val="24"/>
          <w:szCs w:val="24"/>
          <w:highlight w:val="white"/>
        </w:rPr>
        <w:t>Akutsu</w:t>
      </w:r>
      <w:proofErr w:type="spellEnd"/>
      <w:r>
        <w:rPr>
          <w:rFonts w:ascii="Times New Roman" w:eastAsia="Times New Roman" w:hAnsi="Times New Roman" w:cs="Times New Roman"/>
          <w:sz w:val="24"/>
          <w:szCs w:val="24"/>
          <w:highlight w:val="white"/>
        </w:rPr>
        <w:t xml:space="preserve"> N, Matsubara H, Shimada H. Sentinel lymph node mapping for gastric cancer using a dual procedure with dye- and gamma probe-guided techniques. J Am Coll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2003; 196: 68-74 [PMID: 12517553 DOI: 10.1016/s1072-7515(02)01594-6]</w:t>
      </w:r>
    </w:p>
    <w:p w14:paraId="21EF24EC" w14:textId="77777777" w:rsidR="00C856F9" w:rsidRDefault="004E2CB7">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Nimura</w:t>
      </w:r>
      <w:proofErr w:type="spellEnd"/>
      <w:r>
        <w:rPr>
          <w:rFonts w:ascii="Times New Roman" w:eastAsia="Times New Roman" w:hAnsi="Times New Roman" w:cs="Times New Roman"/>
          <w:sz w:val="24"/>
          <w:szCs w:val="24"/>
          <w:highlight w:val="white"/>
        </w:rPr>
        <w:t xml:space="preserve"> H, </w:t>
      </w:r>
      <w:proofErr w:type="spellStart"/>
      <w:r>
        <w:rPr>
          <w:rFonts w:ascii="Times New Roman" w:eastAsia="Times New Roman" w:hAnsi="Times New Roman" w:cs="Times New Roman"/>
          <w:sz w:val="24"/>
          <w:szCs w:val="24"/>
          <w:highlight w:val="white"/>
        </w:rPr>
        <w:t>Narimiya</w:t>
      </w:r>
      <w:proofErr w:type="spellEnd"/>
      <w:r>
        <w:rPr>
          <w:rFonts w:ascii="Times New Roman" w:eastAsia="Times New Roman" w:hAnsi="Times New Roman" w:cs="Times New Roman"/>
          <w:sz w:val="24"/>
          <w:szCs w:val="24"/>
          <w:highlight w:val="white"/>
        </w:rPr>
        <w:t xml:space="preserve"> N, </w:t>
      </w:r>
      <w:proofErr w:type="spellStart"/>
      <w:r>
        <w:rPr>
          <w:rFonts w:ascii="Times New Roman" w:eastAsia="Times New Roman" w:hAnsi="Times New Roman" w:cs="Times New Roman"/>
          <w:sz w:val="24"/>
          <w:szCs w:val="24"/>
          <w:highlight w:val="white"/>
        </w:rPr>
        <w:t>Mitsumori</w:t>
      </w:r>
      <w:proofErr w:type="spellEnd"/>
      <w:r>
        <w:rPr>
          <w:rFonts w:ascii="Times New Roman" w:eastAsia="Times New Roman" w:hAnsi="Times New Roman" w:cs="Times New Roman"/>
          <w:sz w:val="24"/>
          <w:szCs w:val="24"/>
          <w:highlight w:val="white"/>
        </w:rPr>
        <w:t xml:space="preserve"> N, Yamazaki Y, </w:t>
      </w:r>
      <w:proofErr w:type="spellStart"/>
      <w:r>
        <w:rPr>
          <w:rFonts w:ascii="Times New Roman" w:eastAsia="Times New Roman" w:hAnsi="Times New Roman" w:cs="Times New Roman"/>
          <w:sz w:val="24"/>
          <w:szCs w:val="24"/>
          <w:highlight w:val="white"/>
        </w:rPr>
        <w:t>Yanaga</w:t>
      </w:r>
      <w:proofErr w:type="spellEnd"/>
      <w:r>
        <w:rPr>
          <w:rFonts w:ascii="Times New Roman" w:eastAsia="Times New Roman" w:hAnsi="Times New Roman" w:cs="Times New Roman"/>
          <w:sz w:val="24"/>
          <w:szCs w:val="24"/>
          <w:highlight w:val="white"/>
        </w:rPr>
        <w:t xml:space="preserve"> K, </w:t>
      </w:r>
      <w:proofErr w:type="spellStart"/>
      <w:r>
        <w:rPr>
          <w:rFonts w:ascii="Times New Roman" w:eastAsia="Times New Roman" w:hAnsi="Times New Roman" w:cs="Times New Roman"/>
          <w:sz w:val="24"/>
          <w:szCs w:val="24"/>
          <w:highlight w:val="white"/>
        </w:rPr>
        <w:t>Urashima</w:t>
      </w:r>
      <w:proofErr w:type="spellEnd"/>
      <w:r>
        <w:rPr>
          <w:rFonts w:ascii="Times New Roman" w:eastAsia="Times New Roman" w:hAnsi="Times New Roman" w:cs="Times New Roman"/>
          <w:sz w:val="24"/>
          <w:szCs w:val="24"/>
          <w:highlight w:val="white"/>
        </w:rPr>
        <w:t xml:space="preserve"> M. Infrared ray electronic endoscopy combined with indocyanine green injection for detection of sentinel nodes of patients with gastric cancer. Br J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2004; 91: 575-579 [PMID: 15122608 DOI: 10.1002/bjs.4470]</w:t>
      </w:r>
    </w:p>
    <w:p w14:paraId="6E6842BB"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Song X, Wang L, Chen W, Pan T, Zhu H, Xu J, </w:t>
      </w:r>
      <w:proofErr w:type="spellStart"/>
      <w:r>
        <w:rPr>
          <w:rFonts w:ascii="Times New Roman" w:eastAsia="Times New Roman" w:hAnsi="Times New Roman" w:cs="Times New Roman"/>
          <w:sz w:val="24"/>
          <w:szCs w:val="24"/>
          <w:highlight w:val="white"/>
        </w:rPr>
        <w:t>Jin</w:t>
      </w:r>
      <w:proofErr w:type="spellEnd"/>
      <w:r>
        <w:rPr>
          <w:rFonts w:ascii="Times New Roman" w:eastAsia="Times New Roman" w:hAnsi="Times New Roman" w:cs="Times New Roman"/>
          <w:sz w:val="24"/>
          <w:szCs w:val="24"/>
          <w:highlight w:val="white"/>
        </w:rPr>
        <w:t xml:space="preserve"> M, Finley RK 3rd, Wu J. Lymphatic mapping and sentinel node biopsy in gastric cancer. Am J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2004; 187: 270-273 [PMID: 14769318 DOI: 10.1016/j.amjsurg.2003.11.013]</w:t>
      </w:r>
    </w:p>
    <w:p w14:paraId="30D4F2D6" w14:textId="77777777" w:rsidR="00C856F9" w:rsidRDefault="004E2CB7">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Kusano</w:t>
      </w:r>
      <w:proofErr w:type="spellEnd"/>
      <w:r>
        <w:rPr>
          <w:rFonts w:ascii="Times New Roman" w:eastAsia="Times New Roman" w:hAnsi="Times New Roman" w:cs="Times New Roman"/>
          <w:sz w:val="24"/>
          <w:szCs w:val="24"/>
          <w:highlight w:val="white"/>
        </w:rPr>
        <w:t xml:space="preserve"> M, Tajima Y, Yamazaki K, Kato M, Watanabe M, Miwa M. Sentinel node mapping guided by indocyanine green fluorescence imaging: a new method for sentinel node navigation surgery in gastrointestinal cancer. Dig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2008; 25: 103-108 [PMID: 18379188 DOI: 10.1159/000121905]</w:t>
      </w:r>
    </w:p>
    <w:p w14:paraId="7474D760"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Yoshida M, Kubota K, Kuroda J, </w:t>
      </w:r>
      <w:proofErr w:type="spellStart"/>
      <w:r>
        <w:rPr>
          <w:rFonts w:ascii="Times New Roman" w:eastAsia="Times New Roman" w:hAnsi="Times New Roman" w:cs="Times New Roman"/>
          <w:sz w:val="24"/>
          <w:szCs w:val="24"/>
          <w:highlight w:val="white"/>
        </w:rPr>
        <w:t>Ohta</w:t>
      </w:r>
      <w:proofErr w:type="spellEnd"/>
      <w:r>
        <w:rPr>
          <w:rFonts w:ascii="Times New Roman" w:eastAsia="Times New Roman" w:hAnsi="Times New Roman" w:cs="Times New Roman"/>
          <w:sz w:val="24"/>
          <w:szCs w:val="24"/>
          <w:highlight w:val="white"/>
        </w:rPr>
        <w:t xml:space="preserve"> K, Nakamura T, Saito J, Kobayashi M, Sato T, Beck Y, Kitagawa Y, Kitajima M. Indocyanine green injection for detecting sentinel nodes using </w:t>
      </w:r>
      <w:proofErr w:type="spellStart"/>
      <w:r>
        <w:rPr>
          <w:rFonts w:ascii="Times New Roman" w:eastAsia="Times New Roman" w:hAnsi="Times New Roman" w:cs="Times New Roman"/>
          <w:sz w:val="24"/>
          <w:szCs w:val="24"/>
          <w:highlight w:val="white"/>
        </w:rPr>
        <w:t>color</w:t>
      </w:r>
      <w:proofErr w:type="spellEnd"/>
      <w:r>
        <w:rPr>
          <w:rFonts w:ascii="Times New Roman" w:eastAsia="Times New Roman" w:hAnsi="Times New Roman" w:cs="Times New Roman"/>
          <w:sz w:val="24"/>
          <w:szCs w:val="24"/>
          <w:highlight w:val="white"/>
        </w:rPr>
        <w:t xml:space="preserve"> fluorescence camera in the laparoscopy-assisted gastrectomy. J Gastroenterol </w:t>
      </w:r>
      <w:proofErr w:type="spellStart"/>
      <w:r>
        <w:rPr>
          <w:rFonts w:ascii="Times New Roman" w:eastAsia="Times New Roman" w:hAnsi="Times New Roman" w:cs="Times New Roman"/>
          <w:sz w:val="24"/>
          <w:szCs w:val="24"/>
          <w:highlight w:val="white"/>
        </w:rPr>
        <w:t>Hepatol</w:t>
      </w:r>
      <w:proofErr w:type="spellEnd"/>
      <w:r>
        <w:rPr>
          <w:rFonts w:ascii="Times New Roman" w:eastAsia="Times New Roman" w:hAnsi="Times New Roman" w:cs="Times New Roman"/>
          <w:sz w:val="24"/>
          <w:szCs w:val="24"/>
          <w:highlight w:val="white"/>
        </w:rPr>
        <w:t xml:space="preserve"> 2012; 27 </w:t>
      </w:r>
      <w:proofErr w:type="spellStart"/>
      <w:r>
        <w:rPr>
          <w:rFonts w:ascii="Times New Roman" w:eastAsia="Times New Roman" w:hAnsi="Times New Roman" w:cs="Times New Roman"/>
          <w:sz w:val="24"/>
          <w:szCs w:val="24"/>
          <w:highlight w:val="white"/>
        </w:rPr>
        <w:t>Suppl</w:t>
      </w:r>
      <w:proofErr w:type="spellEnd"/>
      <w:r>
        <w:rPr>
          <w:rFonts w:ascii="Times New Roman" w:eastAsia="Times New Roman" w:hAnsi="Times New Roman" w:cs="Times New Roman"/>
          <w:sz w:val="24"/>
          <w:szCs w:val="24"/>
          <w:highlight w:val="white"/>
        </w:rPr>
        <w:t xml:space="preserve"> 3: 29-33 [PMID: 22486868 DOI: 10.1111/j.1440-1746.</w:t>
      </w:r>
      <w:proofErr w:type="gramStart"/>
      <w:r>
        <w:rPr>
          <w:rFonts w:ascii="Times New Roman" w:eastAsia="Times New Roman" w:hAnsi="Times New Roman" w:cs="Times New Roman"/>
          <w:sz w:val="24"/>
          <w:szCs w:val="24"/>
          <w:highlight w:val="white"/>
        </w:rPr>
        <w:t>2012.07067.x</w:t>
      </w:r>
      <w:proofErr w:type="gramEnd"/>
      <w:r>
        <w:rPr>
          <w:rFonts w:ascii="Times New Roman" w:eastAsia="Times New Roman" w:hAnsi="Times New Roman" w:cs="Times New Roman"/>
          <w:sz w:val="24"/>
          <w:szCs w:val="24"/>
          <w:highlight w:val="white"/>
        </w:rPr>
        <w:t>]</w:t>
      </w:r>
    </w:p>
    <w:p w14:paraId="417783B2"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Park JY, Kim YW, Ryu KW, Nam BH, Lee YJ, </w:t>
      </w:r>
      <w:proofErr w:type="spellStart"/>
      <w:r>
        <w:rPr>
          <w:rFonts w:ascii="Times New Roman" w:eastAsia="Times New Roman" w:hAnsi="Times New Roman" w:cs="Times New Roman"/>
          <w:sz w:val="24"/>
          <w:szCs w:val="24"/>
          <w:highlight w:val="white"/>
        </w:rPr>
        <w:t>Jeong</w:t>
      </w:r>
      <w:proofErr w:type="spellEnd"/>
      <w:r>
        <w:rPr>
          <w:rFonts w:ascii="Times New Roman" w:eastAsia="Times New Roman" w:hAnsi="Times New Roman" w:cs="Times New Roman"/>
          <w:sz w:val="24"/>
          <w:szCs w:val="24"/>
          <w:highlight w:val="white"/>
        </w:rPr>
        <w:t xml:space="preserve"> SH, Park JH, </w:t>
      </w:r>
      <w:proofErr w:type="spellStart"/>
      <w:r>
        <w:rPr>
          <w:rFonts w:ascii="Times New Roman" w:eastAsia="Times New Roman" w:hAnsi="Times New Roman" w:cs="Times New Roman"/>
          <w:sz w:val="24"/>
          <w:szCs w:val="24"/>
          <w:highlight w:val="white"/>
        </w:rPr>
        <w:t>Hur</w:t>
      </w:r>
      <w:proofErr w:type="spellEnd"/>
      <w:r>
        <w:rPr>
          <w:rFonts w:ascii="Times New Roman" w:eastAsia="Times New Roman" w:hAnsi="Times New Roman" w:cs="Times New Roman"/>
          <w:sz w:val="24"/>
          <w:szCs w:val="24"/>
          <w:highlight w:val="white"/>
        </w:rPr>
        <w:t xml:space="preserve"> H, Han SU, Min JS, An JY, Hyung WJ, Cho GS, </w:t>
      </w:r>
      <w:proofErr w:type="spellStart"/>
      <w:r>
        <w:rPr>
          <w:rFonts w:ascii="Times New Roman" w:eastAsia="Times New Roman" w:hAnsi="Times New Roman" w:cs="Times New Roman"/>
          <w:sz w:val="24"/>
          <w:szCs w:val="24"/>
          <w:highlight w:val="white"/>
        </w:rPr>
        <w:t>Jeong</w:t>
      </w:r>
      <w:proofErr w:type="spellEnd"/>
      <w:r>
        <w:rPr>
          <w:rFonts w:ascii="Times New Roman" w:eastAsia="Times New Roman" w:hAnsi="Times New Roman" w:cs="Times New Roman"/>
          <w:sz w:val="24"/>
          <w:szCs w:val="24"/>
          <w:highlight w:val="white"/>
        </w:rPr>
        <w:t xml:space="preserve"> GA, </w:t>
      </w:r>
      <w:proofErr w:type="spellStart"/>
      <w:r>
        <w:rPr>
          <w:rFonts w:ascii="Times New Roman" w:eastAsia="Times New Roman" w:hAnsi="Times New Roman" w:cs="Times New Roman"/>
          <w:sz w:val="24"/>
          <w:szCs w:val="24"/>
          <w:highlight w:val="white"/>
        </w:rPr>
        <w:t>Jeong</w:t>
      </w:r>
      <w:proofErr w:type="spellEnd"/>
      <w:r>
        <w:rPr>
          <w:rFonts w:ascii="Times New Roman" w:eastAsia="Times New Roman" w:hAnsi="Times New Roman" w:cs="Times New Roman"/>
          <w:sz w:val="24"/>
          <w:szCs w:val="24"/>
          <w:highlight w:val="white"/>
        </w:rPr>
        <w:t xml:space="preserve"> O, Park YK, Jung MR, Yoon HM, </w:t>
      </w:r>
      <w:proofErr w:type="spellStart"/>
      <w:r>
        <w:rPr>
          <w:rFonts w:ascii="Times New Roman" w:eastAsia="Times New Roman" w:hAnsi="Times New Roman" w:cs="Times New Roman"/>
          <w:sz w:val="24"/>
          <w:szCs w:val="24"/>
          <w:highlight w:val="white"/>
        </w:rPr>
        <w:t>Eom</w:t>
      </w:r>
      <w:proofErr w:type="spellEnd"/>
      <w:r>
        <w:rPr>
          <w:rFonts w:ascii="Times New Roman" w:eastAsia="Times New Roman" w:hAnsi="Times New Roman" w:cs="Times New Roman"/>
          <w:sz w:val="24"/>
          <w:szCs w:val="24"/>
          <w:highlight w:val="white"/>
        </w:rPr>
        <w:t xml:space="preserve"> BW. Assessment of laparoscopic stomach preserving surgery with sentinel basin dissection versus standard gastrectomy with lymphadenectomy in early gastric cancer-A </w:t>
      </w:r>
      <w:proofErr w:type="spellStart"/>
      <w:r>
        <w:rPr>
          <w:rFonts w:ascii="Times New Roman" w:eastAsia="Times New Roman" w:hAnsi="Times New Roman" w:cs="Times New Roman"/>
          <w:sz w:val="24"/>
          <w:szCs w:val="24"/>
          <w:highlight w:val="white"/>
        </w:rPr>
        <w:t>multicenter</w:t>
      </w:r>
      <w:proofErr w:type="spellEnd"/>
      <w:r>
        <w:rPr>
          <w:rFonts w:ascii="Times New Roman" w:eastAsia="Times New Roman" w:hAnsi="Times New Roman" w:cs="Times New Roman"/>
          <w:sz w:val="24"/>
          <w:szCs w:val="24"/>
          <w:highlight w:val="white"/>
        </w:rPr>
        <w:t xml:space="preserve"> randomized phase III clinical trial (SENORITA trial) protocol. BMC Cancer 2016; 16: 340 [PMID: 27246120 DOI: 10.1186/s12885-016-2336-8]</w:t>
      </w:r>
    </w:p>
    <w:p w14:paraId="21042D64" w14:textId="77777777" w:rsidR="00C856F9" w:rsidRDefault="004E2CB7">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Ohdaira</w:t>
      </w:r>
      <w:proofErr w:type="spellEnd"/>
      <w:r>
        <w:rPr>
          <w:rFonts w:ascii="Times New Roman" w:eastAsia="Times New Roman" w:hAnsi="Times New Roman" w:cs="Times New Roman"/>
          <w:sz w:val="24"/>
          <w:szCs w:val="24"/>
          <w:highlight w:val="white"/>
        </w:rPr>
        <w:t xml:space="preserve"> H, </w:t>
      </w:r>
      <w:proofErr w:type="spellStart"/>
      <w:r>
        <w:rPr>
          <w:rFonts w:ascii="Times New Roman" w:eastAsia="Times New Roman" w:hAnsi="Times New Roman" w:cs="Times New Roman"/>
          <w:sz w:val="24"/>
          <w:szCs w:val="24"/>
          <w:highlight w:val="white"/>
        </w:rPr>
        <w:t>Nimura</w:t>
      </w:r>
      <w:proofErr w:type="spellEnd"/>
      <w:r>
        <w:rPr>
          <w:rFonts w:ascii="Times New Roman" w:eastAsia="Times New Roman" w:hAnsi="Times New Roman" w:cs="Times New Roman"/>
          <w:sz w:val="24"/>
          <w:szCs w:val="24"/>
          <w:highlight w:val="white"/>
        </w:rPr>
        <w:t xml:space="preserve"> H, </w:t>
      </w:r>
      <w:proofErr w:type="spellStart"/>
      <w:r>
        <w:rPr>
          <w:rFonts w:ascii="Times New Roman" w:eastAsia="Times New Roman" w:hAnsi="Times New Roman" w:cs="Times New Roman"/>
          <w:sz w:val="24"/>
          <w:szCs w:val="24"/>
          <w:highlight w:val="white"/>
        </w:rPr>
        <w:t>Mitsumori</w:t>
      </w:r>
      <w:proofErr w:type="spellEnd"/>
      <w:r>
        <w:rPr>
          <w:rFonts w:ascii="Times New Roman" w:eastAsia="Times New Roman" w:hAnsi="Times New Roman" w:cs="Times New Roman"/>
          <w:sz w:val="24"/>
          <w:szCs w:val="24"/>
          <w:highlight w:val="white"/>
        </w:rPr>
        <w:t xml:space="preserve"> N, Takahashi N, </w:t>
      </w:r>
      <w:proofErr w:type="spellStart"/>
      <w:r>
        <w:rPr>
          <w:rFonts w:ascii="Times New Roman" w:eastAsia="Times New Roman" w:hAnsi="Times New Roman" w:cs="Times New Roman"/>
          <w:sz w:val="24"/>
          <w:szCs w:val="24"/>
          <w:highlight w:val="white"/>
        </w:rPr>
        <w:t>Kashiwagi</w:t>
      </w:r>
      <w:proofErr w:type="spellEnd"/>
      <w:r>
        <w:rPr>
          <w:rFonts w:ascii="Times New Roman" w:eastAsia="Times New Roman" w:hAnsi="Times New Roman" w:cs="Times New Roman"/>
          <w:sz w:val="24"/>
          <w:szCs w:val="24"/>
          <w:highlight w:val="white"/>
        </w:rPr>
        <w:t xml:space="preserve"> H, </w:t>
      </w:r>
      <w:proofErr w:type="spellStart"/>
      <w:r>
        <w:rPr>
          <w:rFonts w:ascii="Times New Roman" w:eastAsia="Times New Roman" w:hAnsi="Times New Roman" w:cs="Times New Roman"/>
          <w:sz w:val="24"/>
          <w:szCs w:val="24"/>
          <w:highlight w:val="white"/>
        </w:rPr>
        <w:t>Yanaga</w:t>
      </w:r>
      <w:proofErr w:type="spellEnd"/>
      <w:r>
        <w:rPr>
          <w:rFonts w:ascii="Times New Roman" w:eastAsia="Times New Roman" w:hAnsi="Times New Roman" w:cs="Times New Roman"/>
          <w:sz w:val="24"/>
          <w:szCs w:val="24"/>
          <w:highlight w:val="white"/>
        </w:rPr>
        <w:t xml:space="preserve"> K. Validity of modified gastrectomy combined with sentinel node navigation surgery for early gastric cancer. Gastric Cancer (2007) 10(2):117–22. doi:10.1007/s10120-007-0419-6</w:t>
      </w:r>
    </w:p>
    <w:p w14:paraId="384E141E"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Morton DL, Wen DR, Wong JH, Economou JS, Cagle LA, Storm FK, </w:t>
      </w:r>
      <w:proofErr w:type="spellStart"/>
      <w:r>
        <w:rPr>
          <w:rFonts w:ascii="Times New Roman" w:eastAsia="Times New Roman" w:hAnsi="Times New Roman" w:cs="Times New Roman"/>
          <w:sz w:val="24"/>
          <w:szCs w:val="24"/>
          <w:highlight w:val="white"/>
        </w:rPr>
        <w:t>Foshag</w:t>
      </w:r>
      <w:proofErr w:type="spellEnd"/>
      <w:r>
        <w:rPr>
          <w:rFonts w:ascii="Times New Roman" w:eastAsia="Times New Roman" w:hAnsi="Times New Roman" w:cs="Times New Roman"/>
          <w:sz w:val="24"/>
          <w:szCs w:val="24"/>
          <w:highlight w:val="white"/>
        </w:rPr>
        <w:t xml:space="preserve"> LJ, Cochran AJ. Technical details of intraoperative lymphatic mapping for early stage melanoma. Arch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1992; 127: 392-399 [PMID: 1558490 DOI: 10.1001/archsurg.1992.01420040034005]</w:t>
      </w:r>
    </w:p>
    <w:p w14:paraId="2666A4FB"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Veronesi U, </w:t>
      </w:r>
      <w:proofErr w:type="spellStart"/>
      <w:r>
        <w:rPr>
          <w:rFonts w:ascii="Times New Roman" w:eastAsia="Times New Roman" w:hAnsi="Times New Roman" w:cs="Times New Roman"/>
          <w:sz w:val="24"/>
          <w:szCs w:val="24"/>
          <w:highlight w:val="white"/>
        </w:rPr>
        <w:t>Paganelli</w:t>
      </w:r>
      <w:proofErr w:type="spellEnd"/>
      <w:r>
        <w:rPr>
          <w:rFonts w:ascii="Times New Roman" w:eastAsia="Times New Roman" w:hAnsi="Times New Roman" w:cs="Times New Roman"/>
          <w:sz w:val="24"/>
          <w:szCs w:val="24"/>
          <w:highlight w:val="white"/>
        </w:rPr>
        <w:t xml:space="preserve"> G, </w:t>
      </w:r>
      <w:proofErr w:type="spellStart"/>
      <w:r>
        <w:rPr>
          <w:rFonts w:ascii="Times New Roman" w:eastAsia="Times New Roman" w:hAnsi="Times New Roman" w:cs="Times New Roman"/>
          <w:sz w:val="24"/>
          <w:szCs w:val="24"/>
          <w:highlight w:val="white"/>
        </w:rPr>
        <w:t>Viale</w:t>
      </w:r>
      <w:proofErr w:type="spellEnd"/>
      <w:r>
        <w:rPr>
          <w:rFonts w:ascii="Times New Roman" w:eastAsia="Times New Roman" w:hAnsi="Times New Roman" w:cs="Times New Roman"/>
          <w:sz w:val="24"/>
          <w:szCs w:val="24"/>
          <w:highlight w:val="white"/>
        </w:rPr>
        <w:t xml:space="preserve"> G, </w:t>
      </w:r>
      <w:proofErr w:type="spellStart"/>
      <w:r>
        <w:rPr>
          <w:rFonts w:ascii="Times New Roman" w:eastAsia="Times New Roman" w:hAnsi="Times New Roman" w:cs="Times New Roman"/>
          <w:sz w:val="24"/>
          <w:szCs w:val="24"/>
          <w:highlight w:val="white"/>
        </w:rPr>
        <w:t>Luini</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Zurrida</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Galimberti</w:t>
      </w:r>
      <w:proofErr w:type="spellEnd"/>
      <w:r>
        <w:rPr>
          <w:rFonts w:ascii="Times New Roman" w:eastAsia="Times New Roman" w:hAnsi="Times New Roman" w:cs="Times New Roman"/>
          <w:sz w:val="24"/>
          <w:szCs w:val="24"/>
          <w:highlight w:val="white"/>
        </w:rPr>
        <w:t xml:space="preserve"> V, Intra M, Veronesi P, Robertson C, Maisonneuve P, </w:t>
      </w:r>
      <w:proofErr w:type="spellStart"/>
      <w:r>
        <w:rPr>
          <w:rFonts w:ascii="Times New Roman" w:eastAsia="Times New Roman" w:hAnsi="Times New Roman" w:cs="Times New Roman"/>
          <w:sz w:val="24"/>
          <w:szCs w:val="24"/>
          <w:highlight w:val="white"/>
        </w:rPr>
        <w:t>Renne</w:t>
      </w:r>
      <w:proofErr w:type="spellEnd"/>
      <w:r>
        <w:rPr>
          <w:rFonts w:ascii="Times New Roman" w:eastAsia="Times New Roman" w:hAnsi="Times New Roman" w:cs="Times New Roman"/>
          <w:sz w:val="24"/>
          <w:szCs w:val="24"/>
          <w:highlight w:val="white"/>
        </w:rPr>
        <w:t xml:space="preserve"> G, De </w:t>
      </w:r>
      <w:proofErr w:type="spellStart"/>
      <w:r>
        <w:rPr>
          <w:rFonts w:ascii="Times New Roman" w:eastAsia="Times New Roman" w:hAnsi="Times New Roman" w:cs="Times New Roman"/>
          <w:sz w:val="24"/>
          <w:szCs w:val="24"/>
          <w:highlight w:val="white"/>
        </w:rPr>
        <w:t>Cicco</w:t>
      </w:r>
      <w:proofErr w:type="spellEnd"/>
      <w:r>
        <w:rPr>
          <w:rFonts w:ascii="Times New Roman" w:eastAsia="Times New Roman" w:hAnsi="Times New Roman" w:cs="Times New Roman"/>
          <w:sz w:val="24"/>
          <w:szCs w:val="24"/>
          <w:highlight w:val="white"/>
        </w:rPr>
        <w:t xml:space="preserve"> C, De Lucia F, </w:t>
      </w:r>
      <w:proofErr w:type="spellStart"/>
      <w:r>
        <w:rPr>
          <w:rFonts w:ascii="Times New Roman" w:eastAsia="Times New Roman" w:hAnsi="Times New Roman" w:cs="Times New Roman"/>
          <w:sz w:val="24"/>
          <w:szCs w:val="24"/>
          <w:highlight w:val="white"/>
        </w:rPr>
        <w:t>Gennari</w:t>
      </w:r>
      <w:proofErr w:type="spellEnd"/>
      <w:r>
        <w:rPr>
          <w:rFonts w:ascii="Times New Roman" w:eastAsia="Times New Roman" w:hAnsi="Times New Roman" w:cs="Times New Roman"/>
          <w:sz w:val="24"/>
          <w:szCs w:val="24"/>
          <w:highlight w:val="white"/>
        </w:rPr>
        <w:t xml:space="preserve"> R. A randomized comparison of sentinel-node biopsy with routine axillary dissection in breast cancer. N </w:t>
      </w:r>
      <w:proofErr w:type="spellStart"/>
      <w:r>
        <w:rPr>
          <w:rFonts w:ascii="Times New Roman" w:eastAsia="Times New Roman" w:hAnsi="Times New Roman" w:cs="Times New Roman"/>
          <w:sz w:val="24"/>
          <w:szCs w:val="24"/>
          <w:highlight w:val="white"/>
        </w:rPr>
        <w:t>Engl</w:t>
      </w:r>
      <w:proofErr w:type="spellEnd"/>
      <w:r>
        <w:rPr>
          <w:rFonts w:ascii="Times New Roman" w:eastAsia="Times New Roman" w:hAnsi="Times New Roman" w:cs="Times New Roman"/>
          <w:sz w:val="24"/>
          <w:szCs w:val="24"/>
          <w:highlight w:val="white"/>
        </w:rPr>
        <w:t xml:space="preserve"> J Med 2003; 349: 546-553 [PMID: 12904519 DOI: 10.1056/NEJMoa012782]</w:t>
      </w:r>
    </w:p>
    <w:p w14:paraId="4AD4021B"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Takeuchi H, Kitagawa Y. Sentinel node and mechanism of lymphatic metastasis. Ann </w:t>
      </w:r>
      <w:proofErr w:type="spellStart"/>
      <w:r>
        <w:rPr>
          <w:rFonts w:ascii="Times New Roman" w:eastAsia="Times New Roman" w:hAnsi="Times New Roman" w:cs="Times New Roman"/>
          <w:sz w:val="24"/>
          <w:szCs w:val="24"/>
          <w:highlight w:val="white"/>
        </w:rPr>
        <w:t>Vasc</w:t>
      </w:r>
      <w:proofErr w:type="spellEnd"/>
      <w:r>
        <w:rPr>
          <w:rFonts w:ascii="Times New Roman" w:eastAsia="Times New Roman" w:hAnsi="Times New Roman" w:cs="Times New Roman"/>
          <w:sz w:val="24"/>
          <w:szCs w:val="24"/>
          <w:highlight w:val="white"/>
        </w:rPr>
        <w:t xml:space="preserve"> Dis 2012; 5: 249-257 [PMID: 23555522 DOI: 10.3400/avd.ra.12.00033]</w:t>
      </w:r>
    </w:p>
    <w:p w14:paraId="4261A63E"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Cardoso R, </w:t>
      </w:r>
      <w:proofErr w:type="spellStart"/>
      <w:r>
        <w:rPr>
          <w:rFonts w:ascii="Times New Roman" w:eastAsia="Times New Roman" w:hAnsi="Times New Roman" w:cs="Times New Roman"/>
          <w:sz w:val="24"/>
          <w:szCs w:val="24"/>
          <w:highlight w:val="white"/>
        </w:rPr>
        <w:t>Bocicariu</w:t>
      </w:r>
      <w:proofErr w:type="spellEnd"/>
      <w:r>
        <w:rPr>
          <w:rFonts w:ascii="Times New Roman" w:eastAsia="Times New Roman" w:hAnsi="Times New Roman" w:cs="Times New Roman"/>
          <w:sz w:val="24"/>
          <w:szCs w:val="24"/>
          <w:highlight w:val="white"/>
        </w:rPr>
        <w:t xml:space="preserve"> A, Dixon M, et al. What is the accuracy of sentinel lymph node biopsy for gastric cancer? A systematic review. Gastric Cancer. 2012;15 </w:t>
      </w:r>
      <w:proofErr w:type="spellStart"/>
      <w:r>
        <w:rPr>
          <w:rFonts w:ascii="Times New Roman" w:eastAsia="Times New Roman" w:hAnsi="Times New Roman" w:cs="Times New Roman"/>
          <w:sz w:val="24"/>
          <w:szCs w:val="24"/>
          <w:highlight w:val="white"/>
        </w:rPr>
        <w:t>Suppl</w:t>
      </w:r>
      <w:proofErr w:type="spell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1:S</w:t>
      </w:r>
      <w:proofErr w:type="gramEnd"/>
      <w:r>
        <w:rPr>
          <w:rFonts w:ascii="Times New Roman" w:eastAsia="Times New Roman" w:hAnsi="Times New Roman" w:cs="Times New Roman"/>
          <w:sz w:val="24"/>
          <w:szCs w:val="24"/>
          <w:highlight w:val="white"/>
        </w:rPr>
        <w:t>48–59. [PubMed: 22262403]</w:t>
      </w:r>
    </w:p>
    <w:p w14:paraId="37336999" w14:textId="77777777" w:rsidR="00C856F9" w:rsidRDefault="004E2CB7">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Arigami</w:t>
      </w:r>
      <w:proofErr w:type="spellEnd"/>
      <w:r>
        <w:rPr>
          <w:rFonts w:ascii="Times New Roman" w:eastAsia="Times New Roman" w:hAnsi="Times New Roman" w:cs="Times New Roman"/>
          <w:sz w:val="24"/>
          <w:szCs w:val="24"/>
          <w:highlight w:val="white"/>
        </w:rPr>
        <w:t xml:space="preserve"> T, </w:t>
      </w:r>
      <w:proofErr w:type="spellStart"/>
      <w:r>
        <w:rPr>
          <w:rFonts w:ascii="Times New Roman" w:eastAsia="Times New Roman" w:hAnsi="Times New Roman" w:cs="Times New Roman"/>
          <w:sz w:val="24"/>
          <w:szCs w:val="24"/>
          <w:highlight w:val="white"/>
        </w:rPr>
        <w:t>Natsugoe</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Uenosono</w:t>
      </w:r>
      <w:proofErr w:type="spellEnd"/>
      <w:r>
        <w:rPr>
          <w:rFonts w:ascii="Times New Roman" w:eastAsia="Times New Roman" w:hAnsi="Times New Roman" w:cs="Times New Roman"/>
          <w:sz w:val="24"/>
          <w:szCs w:val="24"/>
          <w:highlight w:val="white"/>
        </w:rPr>
        <w:t xml:space="preserve"> Y, et al. Evaluation of sentinel node concept in gastric cancer based on lymph node </w:t>
      </w:r>
      <w:proofErr w:type="spellStart"/>
      <w:r>
        <w:rPr>
          <w:rFonts w:ascii="Times New Roman" w:eastAsia="Times New Roman" w:hAnsi="Times New Roman" w:cs="Times New Roman"/>
          <w:sz w:val="24"/>
          <w:szCs w:val="24"/>
          <w:highlight w:val="white"/>
        </w:rPr>
        <w:t>micrometastasis</w:t>
      </w:r>
      <w:proofErr w:type="spellEnd"/>
      <w:r>
        <w:rPr>
          <w:rFonts w:ascii="Times New Roman" w:eastAsia="Times New Roman" w:hAnsi="Times New Roman" w:cs="Times New Roman"/>
          <w:sz w:val="24"/>
          <w:szCs w:val="24"/>
          <w:highlight w:val="white"/>
        </w:rPr>
        <w:t xml:space="preserve"> determined by reverse transcription-polymerase chain reaction. Ann Surg. 2006;243(3):341–347. [PubMed: 16495698]</w:t>
      </w:r>
    </w:p>
    <w:p w14:paraId="4A66DA96"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Lee SE, Lee JH, Ryu KW, Cho SJ, Lee JY, Kim CG, et al. Sentinel node mapping and skip metastases in patients with early gastric cancer. Ann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Oncol (2009) 16(3):603–8. doi:10.1245/s10434-008-0283-6</w:t>
      </w:r>
    </w:p>
    <w:p w14:paraId="66DC9BAF"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Park, S.H., Kim, YW., Min, JS. et al. Feasibility of Regional Lymphadenectomy for Stomach-Preserving Surgery in Early Gastric Cancer Omitting Sentinel Node Navigation: A Post Hoc Analysis of the SENORITA Trial. Ann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Oncol 31, 6939–6946 (2024). </w:t>
      </w:r>
      <w:hyperlink r:id="rId12">
        <w:r>
          <w:rPr>
            <w:rFonts w:ascii="Times New Roman" w:eastAsia="Times New Roman" w:hAnsi="Times New Roman" w:cs="Times New Roman"/>
            <w:sz w:val="24"/>
            <w:szCs w:val="24"/>
            <w:highlight w:val="white"/>
          </w:rPr>
          <w:t>https://doi.org/10.1245/s10434-024-15950-1</w:t>
        </w:r>
      </w:hyperlink>
    </w:p>
    <w:p w14:paraId="384D77B2" w14:textId="77777777" w:rsidR="00C856F9" w:rsidRDefault="004E2CB7">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Kinami</w:t>
      </w:r>
      <w:proofErr w:type="spellEnd"/>
      <w:r>
        <w:rPr>
          <w:rFonts w:ascii="Times New Roman" w:eastAsia="Times New Roman" w:hAnsi="Times New Roman" w:cs="Times New Roman"/>
          <w:sz w:val="24"/>
          <w:szCs w:val="24"/>
          <w:highlight w:val="white"/>
        </w:rPr>
        <w:t xml:space="preserve"> S, Nakamura N, Miyashita T, </w:t>
      </w:r>
      <w:proofErr w:type="spellStart"/>
      <w:r>
        <w:rPr>
          <w:rFonts w:ascii="Times New Roman" w:eastAsia="Times New Roman" w:hAnsi="Times New Roman" w:cs="Times New Roman"/>
          <w:sz w:val="24"/>
          <w:szCs w:val="24"/>
          <w:highlight w:val="white"/>
        </w:rPr>
        <w:t>Kitakata</w:t>
      </w:r>
      <w:proofErr w:type="spellEnd"/>
      <w:r>
        <w:rPr>
          <w:rFonts w:ascii="Times New Roman" w:eastAsia="Times New Roman" w:hAnsi="Times New Roman" w:cs="Times New Roman"/>
          <w:sz w:val="24"/>
          <w:szCs w:val="24"/>
          <w:highlight w:val="white"/>
        </w:rPr>
        <w:t xml:space="preserve"> H, </w:t>
      </w:r>
      <w:proofErr w:type="spellStart"/>
      <w:r>
        <w:rPr>
          <w:rFonts w:ascii="Times New Roman" w:eastAsia="Times New Roman" w:hAnsi="Times New Roman" w:cs="Times New Roman"/>
          <w:sz w:val="24"/>
          <w:szCs w:val="24"/>
          <w:highlight w:val="white"/>
        </w:rPr>
        <w:t>Fushida</w:t>
      </w:r>
      <w:proofErr w:type="spellEnd"/>
      <w:r>
        <w:rPr>
          <w:rFonts w:ascii="Times New Roman" w:eastAsia="Times New Roman" w:hAnsi="Times New Roman" w:cs="Times New Roman"/>
          <w:sz w:val="24"/>
          <w:szCs w:val="24"/>
          <w:highlight w:val="white"/>
        </w:rPr>
        <w:t xml:space="preserve"> S, Fujimura T, Iida Y, </w:t>
      </w:r>
      <w:proofErr w:type="spellStart"/>
      <w:r>
        <w:rPr>
          <w:rFonts w:ascii="Times New Roman" w:eastAsia="Times New Roman" w:hAnsi="Times New Roman" w:cs="Times New Roman"/>
          <w:sz w:val="24"/>
          <w:szCs w:val="24"/>
          <w:highlight w:val="white"/>
        </w:rPr>
        <w:t>Inaki</w:t>
      </w:r>
      <w:proofErr w:type="spellEnd"/>
      <w:r>
        <w:rPr>
          <w:rFonts w:ascii="Times New Roman" w:eastAsia="Times New Roman" w:hAnsi="Times New Roman" w:cs="Times New Roman"/>
          <w:sz w:val="24"/>
          <w:szCs w:val="24"/>
          <w:highlight w:val="white"/>
        </w:rPr>
        <w:t xml:space="preserve"> N, Ito T, </w:t>
      </w:r>
      <w:proofErr w:type="spellStart"/>
      <w:r>
        <w:rPr>
          <w:rFonts w:ascii="Times New Roman" w:eastAsia="Times New Roman" w:hAnsi="Times New Roman" w:cs="Times New Roman"/>
          <w:sz w:val="24"/>
          <w:szCs w:val="24"/>
          <w:highlight w:val="white"/>
        </w:rPr>
        <w:t>Takamura</w:t>
      </w:r>
      <w:proofErr w:type="spellEnd"/>
      <w:r>
        <w:rPr>
          <w:rFonts w:ascii="Times New Roman" w:eastAsia="Times New Roman" w:hAnsi="Times New Roman" w:cs="Times New Roman"/>
          <w:sz w:val="24"/>
          <w:szCs w:val="24"/>
          <w:highlight w:val="white"/>
        </w:rPr>
        <w:t xml:space="preserve"> H. Life prognosis of sentinel node navigation surgery for early-stage gastric cancer: Outcome of lymphatic basin dissection. World J Gastroenterol. 2021 Dec 14;27(46):8010-8030.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10.3748/</w:t>
      </w:r>
      <w:proofErr w:type="gramStart"/>
      <w:r>
        <w:rPr>
          <w:rFonts w:ascii="Times New Roman" w:eastAsia="Times New Roman" w:hAnsi="Times New Roman" w:cs="Times New Roman"/>
          <w:sz w:val="24"/>
          <w:szCs w:val="24"/>
          <w:highlight w:val="white"/>
        </w:rPr>
        <w:t>wjg.v27.i</w:t>
      </w:r>
      <w:proofErr w:type="gramEnd"/>
      <w:r>
        <w:rPr>
          <w:rFonts w:ascii="Times New Roman" w:eastAsia="Times New Roman" w:hAnsi="Times New Roman" w:cs="Times New Roman"/>
          <w:sz w:val="24"/>
          <w:szCs w:val="24"/>
          <w:highlight w:val="white"/>
        </w:rPr>
        <w:t>46.8010. PMID: 35046627; PMCID: PMC8678813.</w:t>
      </w:r>
    </w:p>
    <w:p w14:paraId="0EF5A974"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Oh, S.E., An, J.Y., Min, JS. et al. Determining the precise extent of sentinel basins during laparoscopic gastrectomy for early gastric cancer. World J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Onc</w:t>
      </w:r>
      <w:proofErr w:type="spellEnd"/>
      <w:r>
        <w:rPr>
          <w:rFonts w:ascii="Times New Roman" w:eastAsia="Times New Roman" w:hAnsi="Times New Roman" w:cs="Times New Roman"/>
          <w:sz w:val="24"/>
          <w:szCs w:val="24"/>
          <w:highlight w:val="white"/>
        </w:rPr>
        <w:t xml:space="preserve"> 21, 60 (2023). </w:t>
      </w:r>
      <w:hyperlink r:id="rId13">
        <w:r>
          <w:rPr>
            <w:rFonts w:ascii="Times New Roman" w:eastAsia="Times New Roman" w:hAnsi="Times New Roman" w:cs="Times New Roman"/>
            <w:sz w:val="24"/>
            <w:szCs w:val="24"/>
            <w:highlight w:val="white"/>
          </w:rPr>
          <w:t>https://doi.org/10.1186/s12957-023-02953-7</w:t>
        </w:r>
      </w:hyperlink>
    </w:p>
    <w:p w14:paraId="01728D0E" w14:textId="77777777" w:rsidR="00C856F9" w:rsidRDefault="004E2CB7">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Varga</w:t>
      </w:r>
      <w:proofErr w:type="spellEnd"/>
      <w:r>
        <w:rPr>
          <w:rFonts w:ascii="Times New Roman" w:eastAsia="Times New Roman" w:hAnsi="Times New Roman" w:cs="Times New Roman"/>
          <w:sz w:val="24"/>
          <w:szCs w:val="24"/>
          <w:highlight w:val="white"/>
        </w:rPr>
        <w:t xml:space="preserve"> Z, </w:t>
      </w:r>
      <w:proofErr w:type="spellStart"/>
      <w:r>
        <w:rPr>
          <w:rFonts w:ascii="Times New Roman" w:eastAsia="Times New Roman" w:hAnsi="Times New Roman" w:cs="Times New Roman"/>
          <w:sz w:val="24"/>
          <w:szCs w:val="24"/>
          <w:highlight w:val="white"/>
        </w:rPr>
        <w:t>Bíró</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Török</w:t>
      </w:r>
      <w:proofErr w:type="spellEnd"/>
      <w:r>
        <w:rPr>
          <w:rFonts w:ascii="Times New Roman" w:eastAsia="Times New Roman" w:hAnsi="Times New Roman" w:cs="Times New Roman"/>
          <w:sz w:val="24"/>
          <w:szCs w:val="24"/>
          <w:highlight w:val="white"/>
        </w:rPr>
        <w:t xml:space="preserve"> M and </w:t>
      </w:r>
      <w:proofErr w:type="spellStart"/>
      <w:r>
        <w:rPr>
          <w:rFonts w:ascii="Times New Roman" w:eastAsia="Times New Roman" w:hAnsi="Times New Roman" w:cs="Times New Roman"/>
          <w:sz w:val="24"/>
          <w:szCs w:val="24"/>
          <w:highlight w:val="white"/>
        </w:rPr>
        <w:t>Tóth</w:t>
      </w:r>
      <w:proofErr w:type="spellEnd"/>
      <w:r>
        <w:rPr>
          <w:rFonts w:ascii="Times New Roman" w:eastAsia="Times New Roman" w:hAnsi="Times New Roman" w:cs="Times New Roman"/>
          <w:sz w:val="24"/>
          <w:szCs w:val="24"/>
          <w:highlight w:val="white"/>
        </w:rPr>
        <w:t xml:space="preserve"> D (2023), A combined approach for individualized lymphadenectomy in gastric cancer patients. </w:t>
      </w:r>
      <w:proofErr w:type="spellStart"/>
      <w:r>
        <w:rPr>
          <w:rFonts w:ascii="Times New Roman" w:eastAsia="Times New Roman" w:hAnsi="Times New Roman" w:cs="Times New Roman"/>
          <w:sz w:val="24"/>
          <w:szCs w:val="24"/>
          <w:highlight w:val="white"/>
        </w:rPr>
        <w:t>Pathol</w:t>
      </w:r>
      <w:proofErr w:type="spellEnd"/>
      <w:r>
        <w:rPr>
          <w:rFonts w:ascii="Times New Roman" w:eastAsia="Times New Roman" w:hAnsi="Times New Roman" w:cs="Times New Roman"/>
          <w:sz w:val="24"/>
          <w:szCs w:val="24"/>
          <w:highlight w:val="white"/>
        </w:rPr>
        <w:t xml:space="preserve">. Oncol. Res. 29:1611270.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10.3389/pore.2023.1611270</w:t>
      </w:r>
    </w:p>
    <w:p w14:paraId="2299F142"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Japanese Gastric Cancer Association. Japanese classification of gastric carcinoma - 2nd English edition. Gastric Cancer. 1998;1(1):10–24. https://doi.org/10.1007/s101209800016.</w:t>
      </w:r>
    </w:p>
    <w:p w14:paraId="06C93A09" w14:textId="77777777" w:rsidR="00C856F9" w:rsidRDefault="004E2CB7">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Tanigawa</w:t>
      </w:r>
      <w:proofErr w:type="spellEnd"/>
      <w:r>
        <w:rPr>
          <w:rFonts w:ascii="Times New Roman" w:eastAsia="Times New Roman" w:hAnsi="Times New Roman" w:cs="Times New Roman"/>
          <w:sz w:val="24"/>
          <w:szCs w:val="24"/>
          <w:highlight w:val="white"/>
        </w:rPr>
        <w:t xml:space="preserve"> N, Nomura E, Lee SW, </w:t>
      </w:r>
      <w:proofErr w:type="spellStart"/>
      <w:r>
        <w:rPr>
          <w:rFonts w:ascii="Times New Roman" w:eastAsia="Times New Roman" w:hAnsi="Times New Roman" w:cs="Times New Roman"/>
          <w:sz w:val="24"/>
          <w:szCs w:val="24"/>
          <w:highlight w:val="white"/>
        </w:rPr>
        <w:t>Kaminishi</w:t>
      </w:r>
      <w:proofErr w:type="spellEnd"/>
      <w:r>
        <w:rPr>
          <w:rFonts w:ascii="Times New Roman" w:eastAsia="Times New Roman" w:hAnsi="Times New Roman" w:cs="Times New Roman"/>
          <w:sz w:val="24"/>
          <w:szCs w:val="24"/>
          <w:highlight w:val="white"/>
        </w:rPr>
        <w:t xml:space="preserve"> M, Sugiyama M, </w:t>
      </w:r>
      <w:proofErr w:type="spellStart"/>
      <w:r>
        <w:rPr>
          <w:rFonts w:ascii="Times New Roman" w:eastAsia="Times New Roman" w:hAnsi="Times New Roman" w:cs="Times New Roman"/>
          <w:sz w:val="24"/>
          <w:szCs w:val="24"/>
          <w:highlight w:val="white"/>
        </w:rPr>
        <w:t>Aikou</w:t>
      </w:r>
      <w:proofErr w:type="spellEnd"/>
      <w:r>
        <w:rPr>
          <w:rFonts w:ascii="Times New Roman" w:eastAsia="Times New Roman" w:hAnsi="Times New Roman" w:cs="Times New Roman"/>
          <w:sz w:val="24"/>
          <w:szCs w:val="24"/>
          <w:highlight w:val="white"/>
        </w:rPr>
        <w:t xml:space="preserve"> T, Kitajima M; Society for the Study of Postoperative Morbidity after Gastrectomy. Current state of gastric stump carcinoma in Japan: based on the results of a nationwide survey. World J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2010; 34: 1540-1547 [PMID:20182716 DOI: 10.1007/s00268-010-0505-5]</w:t>
      </w:r>
    </w:p>
    <w:p w14:paraId="70C42E11"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Takeno S, Hashimoto T, Maki K, Shibata R, </w:t>
      </w:r>
      <w:proofErr w:type="spellStart"/>
      <w:r>
        <w:rPr>
          <w:rFonts w:ascii="Times New Roman" w:eastAsia="Times New Roman" w:hAnsi="Times New Roman" w:cs="Times New Roman"/>
          <w:sz w:val="24"/>
          <w:szCs w:val="24"/>
          <w:highlight w:val="white"/>
        </w:rPr>
        <w:t>Shiwaku</w:t>
      </w:r>
      <w:proofErr w:type="spellEnd"/>
      <w:r>
        <w:rPr>
          <w:rFonts w:ascii="Times New Roman" w:eastAsia="Times New Roman" w:hAnsi="Times New Roman" w:cs="Times New Roman"/>
          <w:sz w:val="24"/>
          <w:szCs w:val="24"/>
          <w:highlight w:val="white"/>
        </w:rPr>
        <w:t xml:space="preserve"> H, </w:t>
      </w:r>
      <w:proofErr w:type="spellStart"/>
      <w:r>
        <w:rPr>
          <w:rFonts w:ascii="Times New Roman" w:eastAsia="Times New Roman" w:hAnsi="Times New Roman" w:cs="Times New Roman"/>
          <w:sz w:val="24"/>
          <w:szCs w:val="24"/>
          <w:highlight w:val="white"/>
        </w:rPr>
        <w:t>Yamana</w:t>
      </w:r>
      <w:proofErr w:type="spellEnd"/>
      <w:r>
        <w:rPr>
          <w:rFonts w:ascii="Times New Roman" w:eastAsia="Times New Roman" w:hAnsi="Times New Roman" w:cs="Times New Roman"/>
          <w:sz w:val="24"/>
          <w:szCs w:val="24"/>
          <w:highlight w:val="white"/>
        </w:rPr>
        <w:t xml:space="preserve"> I, Yamashita R, Yamashita Y. Gastric cancer arising from the remnant stomach after distal gastrectomy: a review. World J Gastroenterol 2014; 20: 13734-13740 [PMID: 25320511 DOI: 10.3748/</w:t>
      </w:r>
      <w:proofErr w:type="gramStart"/>
      <w:r>
        <w:rPr>
          <w:rFonts w:ascii="Times New Roman" w:eastAsia="Times New Roman" w:hAnsi="Times New Roman" w:cs="Times New Roman"/>
          <w:sz w:val="24"/>
          <w:szCs w:val="24"/>
          <w:highlight w:val="white"/>
        </w:rPr>
        <w:t>wjg.v20.i</w:t>
      </w:r>
      <w:proofErr w:type="gramEnd"/>
      <w:r>
        <w:rPr>
          <w:rFonts w:ascii="Times New Roman" w:eastAsia="Times New Roman" w:hAnsi="Times New Roman" w:cs="Times New Roman"/>
          <w:sz w:val="24"/>
          <w:szCs w:val="24"/>
          <w:highlight w:val="white"/>
        </w:rPr>
        <w:t>38.13734]</w:t>
      </w:r>
    </w:p>
    <w:p w14:paraId="31282C9D" w14:textId="77777777" w:rsidR="00C856F9" w:rsidRDefault="004E2CB7">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lastRenderedPageBreak/>
        <w:t>Ohira</w:t>
      </w:r>
      <w:proofErr w:type="spellEnd"/>
      <w:r>
        <w:rPr>
          <w:rFonts w:ascii="Times New Roman" w:eastAsia="Times New Roman" w:hAnsi="Times New Roman" w:cs="Times New Roman"/>
          <w:sz w:val="24"/>
          <w:szCs w:val="24"/>
          <w:highlight w:val="white"/>
        </w:rPr>
        <w:t xml:space="preserve"> M, Toyokawa T, Sakurai K, Kubo N, Tanaka H, </w:t>
      </w:r>
      <w:proofErr w:type="spellStart"/>
      <w:r>
        <w:rPr>
          <w:rFonts w:ascii="Times New Roman" w:eastAsia="Times New Roman" w:hAnsi="Times New Roman" w:cs="Times New Roman"/>
          <w:sz w:val="24"/>
          <w:szCs w:val="24"/>
          <w:highlight w:val="white"/>
        </w:rPr>
        <w:t>Muguruma</w:t>
      </w:r>
      <w:proofErr w:type="spellEnd"/>
      <w:r>
        <w:rPr>
          <w:rFonts w:ascii="Times New Roman" w:eastAsia="Times New Roman" w:hAnsi="Times New Roman" w:cs="Times New Roman"/>
          <w:sz w:val="24"/>
          <w:szCs w:val="24"/>
          <w:highlight w:val="white"/>
        </w:rPr>
        <w:t xml:space="preserve"> K, Yashiro M, Onoda N, </w:t>
      </w:r>
      <w:proofErr w:type="spellStart"/>
      <w:r>
        <w:rPr>
          <w:rFonts w:ascii="Times New Roman" w:eastAsia="Times New Roman" w:hAnsi="Times New Roman" w:cs="Times New Roman"/>
          <w:sz w:val="24"/>
          <w:szCs w:val="24"/>
          <w:highlight w:val="white"/>
        </w:rPr>
        <w:t>Hirakawa</w:t>
      </w:r>
      <w:proofErr w:type="spellEnd"/>
      <w:r>
        <w:rPr>
          <w:rFonts w:ascii="Times New Roman" w:eastAsia="Times New Roman" w:hAnsi="Times New Roman" w:cs="Times New Roman"/>
          <w:sz w:val="24"/>
          <w:szCs w:val="24"/>
          <w:highlight w:val="white"/>
        </w:rPr>
        <w:t xml:space="preserve"> K. Current status in remnant gastric cancer after distal gastrectomy. World J Gastroenterol 2016; 22: 2424-2433 [PMID: 26937131 DOI: 10.3748/</w:t>
      </w:r>
      <w:proofErr w:type="gramStart"/>
      <w:r>
        <w:rPr>
          <w:rFonts w:ascii="Times New Roman" w:eastAsia="Times New Roman" w:hAnsi="Times New Roman" w:cs="Times New Roman"/>
          <w:sz w:val="24"/>
          <w:szCs w:val="24"/>
          <w:highlight w:val="white"/>
        </w:rPr>
        <w:t>wjg.v22.i</w:t>
      </w:r>
      <w:proofErr w:type="gramEnd"/>
      <w:r>
        <w:rPr>
          <w:rFonts w:ascii="Times New Roman" w:eastAsia="Times New Roman" w:hAnsi="Times New Roman" w:cs="Times New Roman"/>
          <w:sz w:val="24"/>
          <w:szCs w:val="24"/>
          <w:highlight w:val="white"/>
        </w:rPr>
        <w:t>8.2424]</w:t>
      </w:r>
    </w:p>
    <w:p w14:paraId="6D444A97"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Hosokawa O, </w:t>
      </w:r>
      <w:proofErr w:type="spellStart"/>
      <w:r>
        <w:rPr>
          <w:rFonts w:ascii="Times New Roman" w:eastAsia="Times New Roman" w:hAnsi="Times New Roman" w:cs="Times New Roman"/>
          <w:sz w:val="24"/>
          <w:szCs w:val="24"/>
          <w:highlight w:val="white"/>
        </w:rPr>
        <w:t>Kaizaki</w:t>
      </w:r>
      <w:proofErr w:type="spellEnd"/>
      <w:r>
        <w:rPr>
          <w:rFonts w:ascii="Times New Roman" w:eastAsia="Times New Roman" w:hAnsi="Times New Roman" w:cs="Times New Roman"/>
          <w:sz w:val="24"/>
          <w:szCs w:val="24"/>
          <w:highlight w:val="white"/>
        </w:rPr>
        <w:t xml:space="preserve"> Y, Watanabe K, Hattori M, </w:t>
      </w:r>
      <w:proofErr w:type="spellStart"/>
      <w:r>
        <w:rPr>
          <w:rFonts w:ascii="Times New Roman" w:eastAsia="Times New Roman" w:hAnsi="Times New Roman" w:cs="Times New Roman"/>
          <w:sz w:val="24"/>
          <w:szCs w:val="24"/>
          <w:highlight w:val="white"/>
        </w:rPr>
        <w:t>Douden</w:t>
      </w:r>
      <w:proofErr w:type="spellEnd"/>
      <w:r>
        <w:rPr>
          <w:rFonts w:ascii="Times New Roman" w:eastAsia="Times New Roman" w:hAnsi="Times New Roman" w:cs="Times New Roman"/>
          <w:sz w:val="24"/>
          <w:szCs w:val="24"/>
          <w:highlight w:val="white"/>
        </w:rPr>
        <w:t xml:space="preserve"> K, Hayashi H, Maeda S. Endoscopic surveillance for gastric remnant cancer after early cancer surgery. Endoscopy 2002; 34: 469-473 [PMID: 12048630 DOI: 10.1055/s-2002-32007]</w:t>
      </w:r>
    </w:p>
    <w:p w14:paraId="6FEE6E9A"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Abate M, </w:t>
      </w:r>
      <w:proofErr w:type="spellStart"/>
      <w:r>
        <w:rPr>
          <w:rFonts w:ascii="Times New Roman" w:eastAsia="Times New Roman" w:hAnsi="Times New Roman" w:cs="Times New Roman"/>
          <w:sz w:val="24"/>
          <w:szCs w:val="24"/>
          <w:highlight w:val="white"/>
        </w:rPr>
        <w:t>Drebin</w:t>
      </w:r>
      <w:proofErr w:type="spellEnd"/>
      <w:r>
        <w:rPr>
          <w:rFonts w:ascii="Times New Roman" w:eastAsia="Times New Roman" w:hAnsi="Times New Roman" w:cs="Times New Roman"/>
          <w:sz w:val="24"/>
          <w:szCs w:val="24"/>
          <w:highlight w:val="white"/>
        </w:rPr>
        <w:t xml:space="preserve"> H, Shimada S, Fei T, McKinley S, </w:t>
      </w:r>
      <w:proofErr w:type="spellStart"/>
      <w:r>
        <w:rPr>
          <w:rFonts w:ascii="Times New Roman" w:eastAsia="Times New Roman" w:hAnsi="Times New Roman" w:cs="Times New Roman"/>
          <w:sz w:val="24"/>
          <w:szCs w:val="24"/>
          <w:highlight w:val="white"/>
        </w:rPr>
        <w:t>Poruk</w:t>
      </w:r>
      <w:proofErr w:type="spellEnd"/>
      <w:r>
        <w:rPr>
          <w:rFonts w:ascii="Times New Roman" w:eastAsia="Times New Roman" w:hAnsi="Times New Roman" w:cs="Times New Roman"/>
          <w:sz w:val="24"/>
          <w:szCs w:val="24"/>
          <w:highlight w:val="white"/>
        </w:rPr>
        <w:t xml:space="preserve"> K, Ferguson B, Neuwirth M, Tang LH, </w:t>
      </w:r>
      <w:proofErr w:type="spellStart"/>
      <w:r>
        <w:rPr>
          <w:rFonts w:ascii="Times New Roman" w:eastAsia="Times New Roman" w:hAnsi="Times New Roman" w:cs="Times New Roman"/>
          <w:sz w:val="24"/>
          <w:szCs w:val="24"/>
          <w:highlight w:val="white"/>
        </w:rPr>
        <w:t>Vardhana</w:t>
      </w:r>
      <w:proofErr w:type="spellEnd"/>
      <w:r>
        <w:rPr>
          <w:rFonts w:ascii="Times New Roman" w:eastAsia="Times New Roman" w:hAnsi="Times New Roman" w:cs="Times New Roman"/>
          <w:sz w:val="24"/>
          <w:szCs w:val="24"/>
          <w:highlight w:val="white"/>
        </w:rPr>
        <w:t xml:space="preserve"> S, Strong VE. Feasibility and Efficacy of Sentinel Lymph Node Mapping in Gastric Cancer. Ann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Oncol. 2024 Oct;31(10):6959-6969.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10.1245/s10434-024-15642-w.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2024 Aug 3. PMID: 39097552; PMCID: PMC11977517.</w:t>
      </w:r>
    </w:p>
    <w:p w14:paraId="2915EB94"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Kim Y-W, Min J-S, Yoon HM, An JY, </w:t>
      </w:r>
      <w:proofErr w:type="spellStart"/>
      <w:r>
        <w:rPr>
          <w:rFonts w:ascii="Times New Roman" w:eastAsia="Times New Roman" w:hAnsi="Times New Roman" w:cs="Times New Roman"/>
          <w:sz w:val="24"/>
          <w:szCs w:val="24"/>
          <w:highlight w:val="white"/>
        </w:rPr>
        <w:t>Eom</w:t>
      </w:r>
      <w:proofErr w:type="spellEnd"/>
      <w:r>
        <w:rPr>
          <w:rFonts w:ascii="Times New Roman" w:eastAsia="Times New Roman" w:hAnsi="Times New Roman" w:cs="Times New Roman"/>
          <w:sz w:val="24"/>
          <w:szCs w:val="24"/>
          <w:highlight w:val="white"/>
        </w:rPr>
        <w:t xml:space="preserve"> BW, </w:t>
      </w:r>
      <w:proofErr w:type="spellStart"/>
      <w:r>
        <w:rPr>
          <w:rFonts w:ascii="Times New Roman" w:eastAsia="Times New Roman" w:hAnsi="Times New Roman" w:cs="Times New Roman"/>
          <w:sz w:val="24"/>
          <w:szCs w:val="24"/>
          <w:highlight w:val="white"/>
        </w:rPr>
        <w:t>Hur</w:t>
      </w:r>
      <w:proofErr w:type="spellEnd"/>
      <w:r>
        <w:rPr>
          <w:rFonts w:ascii="Times New Roman" w:eastAsia="Times New Roman" w:hAnsi="Times New Roman" w:cs="Times New Roman"/>
          <w:sz w:val="24"/>
          <w:szCs w:val="24"/>
          <w:highlight w:val="white"/>
        </w:rPr>
        <w:t xml:space="preserve"> H, et al. Laparoscopic sentinel node navigation surgery for stomach preservation in patients with early gastric cancer: a randomized clinical trial. J Clin Oncol. </w:t>
      </w:r>
      <w:proofErr w:type="gramStart"/>
      <w:r>
        <w:rPr>
          <w:rFonts w:ascii="Times New Roman" w:eastAsia="Times New Roman" w:hAnsi="Times New Roman" w:cs="Times New Roman"/>
          <w:sz w:val="24"/>
          <w:szCs w:val="24"/>
          <w:highlight w:val="white"/>
        </w:rPr>
        <w:t>2022;40:2342</w:t>
      </w:r>
      <w:proofErr w:type="gramEnd"/>
      <w:r>
        <w:rPr>
          <w:rFonts w:ascii="Times New Roman" w:eastAsia="Times New Roman" w:hAnsi="Times New Roman" w:cs="Times New Roman"/>
          <w:sz w:val="24"/>
          <w:szCs w:val="24"/>
          <w:highlight w:val="white"/>
        </w:rPr>
        <w:t>–51.</w:t>
      </w:r>
    </w:p>
    <w:p w14:paraId="48FB5A51"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An JY, Min JS, Lee YJ, </w:t>
      </w:r>
      <w:proofErr w:type="spellStart"/>
      <w:r>
        <w:rPr>
          <w:rFonts w:ascii="Times New Roman" w:eastAsia="Times New Roman" w:hAnsi="Times New Roman" w:cs="Times New Roman"/>
          <w:sz w:val="24"/>
          <w:szCs w:val="24"/>
          <w:highlight w:val="white"/>
        </w:rPr>
        <w:t>Jeong</w:t>
      </w:r>
      <w:proofErr w:type="spellEnd"/>
      <w:r>
        <w:rPr>
          <w:rFonts w:ascii="Times New Roman" w:eastAsia="Times New Roman" w:hAnsi="Times New Roman" w:cs="Times New Roman"/>
          <w:sz w:val="24"/>
          <w:szCs w:val="24"/>
          <w:highlight w:val="white"/>
        </w:rPr>
        <w:t xml:space="preserve"> SH, </w:t>
      </w:r>
      <w:proofErr w:type="spellStart"/>
      <w:r>
        <w:rPr>
          <w:rFonts w:ascii="Times New Roman" w:eastAsia="Times New Roman" w:hAnsi="Times New Roman" w:cs="Times New Roman"/>
          <w:sz w:val="24"/>
          <w:szCs w:val="24"/>
          <w:highlight w:val="white"/>
        </w:rPr>
        <w:t>Hur</w:t>
      </w:r>
      <w:proofErr w:type="spellEnd"/>
      <w:r>
        <w:rPr>
          <w:rFonts w:ascii="Times New Roman" w:eastAsia="Times New Roman" w:hAnsi="Times New Roman" w:cs="Times New Roman"/>
          <w:sz w:val="24"/>
          <w:szCs w:val="24"/>
          <w:highlight w:val="white"/>
        </w:rPr>
        <w:t xml:space="preserve"> H, Han SU, et al. Safety of laparoscopic sentinel basin dissection in patients with gastric cancer: an analysis </w:t>
      </w:r>
      <w:proofErr w:type="gramStart"/>
      <w:r>
        <w:rPr>
          <w:rFonts w:ascii="Times New Roman" w:eastAsia="Times New Roman" w:hAnsi="Times New Roman" w:cs="Times New Roman"/>
          <w:sz w:val="24"/>
          <w:szCs w:val="24"/>
          <w:highlight w:val="white"/>
        </w:rPr>
        <w:t>from  the</w:t>
      </w:r>
      <w:proofErr w:type="gramEnd"/>
      <w:r>
        <w:rPr>
          <w:rFonts w:ascii="Times New Roman" w:eastAsia="Times New Roman" w:hAnsi="Times New Roman" w:cs="Times New Roman"/>
          <w:sz w:val="24"/>
          <w:szCs w:val="24"/>
          <w:highlight w:val="white"/>
        </w:rPr>
        <w:t xml:space="preserve"> SENORITA Prospective </w:t>
      </w:r>
      <w:proofErr w:type="spellStart"/>
      <w:r>
        <w:rPr>
          <w:rFonts w:ascii="Times New Roman" w:eastAsia="Times New Roman" w:hAnsi="Times New Roman" w:cs="Times New Roman"/>
          <w:sz w:val="24"/>
          <w:szCs w:val="24"/>
          <w:highlight w:val="white"/>
        </w:rPr>
        <w:t>Multicenter</w:t>
      </w:r>
      <w:proofErr w:type="spellEnd"/>
      <w:r>
        <w:rPr>
          <w:rFonts w:ascii="Times New Roman" w:eastAsia="Times New Roman" w:hAnsi="Times New Roman" w:cs="Times New Roman"/>
          <w:sz w:val="24"/>
          <w:szCs w:val="24"/>
          <w:highlight w:val="white"/>
        </w:rPr>
        <w:t xml:space="preserve"> Quality Control Trial. J Gastric Cancer. </w:t>
      </w:r>
      <w:proofErr w:type="gramStart"/>
      <w:r>
        <w:rPr>
          <w:rFonts w:ascii="Times New Roman" w:eastAsia="Times New Roman" w:hAnsi="Times New Roman" w:cs="Times New Roman"/>
          <w:sz w:val="24"/>
          <w:szCs w:val="24"/>
          <w:highlight w:val="white"/>
        </w:rPr>
        <w:t>2018;18:30</w:t>
      </w:r>
      <w:proofErr w:type="gramEnd"/>
      <w:r>
        <w:rPr>
          <w:rFonts w:ascii="Times New Roman" w:eastAsia="Times New Roman" w:hAnsi="Times New Roman" w:cs="Times New Roman"/>
          <w:sz w:val="24"/>
          <w:szCs w:val="24"/>
          <w:highlight w:val="white"/>
        </w:rPr>
        <w:t>–6.</w:t>
      </w:r>
    </w:p>
    <w:p w14:paraId="6DC4AF30" w14:textId="77777777" w:rsidR="00C856F9" w:rsidRDefault="004E2CB7">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Cozzaglio</w:t>
      </w:r>
      <w:proofErr w:type="spellEnd"/>
      <w:r>
        <w:rPr>
          <w:rFonts w:ascii="Times New Roman" w:eastAsia="Times New Roman" w:hAnsi="Times New Roman" w:cs="Times New Roman"/>
          <w:sz w:val="24"/>
          <w:szCs w:val="24"/>
          <w:highlight w:val="white"/>
        </w:rPr>
        <w:t xml:space="preserve"> L, </w:t>
      </w:r>
      <w:proofErr w:type="spellStart"/>
      <w:r>
        <w:rPr>
          <w:rFonts w:ascii="Times New Roman" w:eastAsia="Times New Roman" w:hAnsi="Times New Roman" w:cs="Times New Roman"/>
          <w:sz w:val="24"/>
          <w:szCs w:val="24"/>
          <w:highlight w:val="white"/>
        </w:rPr>
        <w:t>Bottura</w:t>
      </w:r>
      <w:proofErr w:type="spellEnd"/>
      <w:r>
        <w:rPr>
          <w:rFonts w:ascii="Times New Roman" w:eastAsia="Times New Roman" w:hAnsi="Times New Roman" w:cs="Times New Roman"/>
          <w:sz w:val="24"/>
          <w:szCs w:val="24"/>
          <w:highlight w:val="white"/>
        </w:rPr>
        <w:t xml:space="preserve"> R, Di Rocco M, </w:t>
      </w:r>
      <w:proofErr w:type="spellStart"/>
      <w:r>
        <w:rPr>
          <w:rFonts w:ascii="Times New Roman" w:eastAsia="Times New Roman" w:hAnsi="Times New Roman" w:cs="Times New Roman"/>
          <w:sz w:val="24"/>
          <w:szCs w:val="24"/>
          <w:highlight w:val="white"/>
        </w:rPr>
        <w:t>Gennari</w:t>
      </w:r>
      <w:proofErr w:type="spellEnd"/>
      <w:r>
        <w:rPr>
          <w:rFonts w:ascii="Times New Roman" w:eastAsia="Times New Roman" w:hAnsi="Times New Roman" w:cs="Times New Roman"/>
          <w:sz w:val="24"/>
          <w:szCs w:val="24"/>
          <w:highlight w:val="white"/>
        </w:rPr>
        <w:t xml:space="preserve"> L, </w:t>
      </w:r>
      <w:proofErr w:type="spellStart"/>
      <w:r>
        <w:rPr>
          <w:rFonts w:ascii="Times New Roman" w:eastAsia="Times New Roman" w:hAnsi="Times New Roman" w:cs="Times New Roman"/>
          <w:sz w:val="24"/>
          <w:szCs w:val="24"/>
          <w:highlight w:val="white"/>
        </w:rPr>
        <w:t>Doci</w:t>
      </w:r>
      <w:proofErr w:type="spellEnd"/>
      <w:r>
        <w:rPr>
          <w:rFonts w:ascii="Times New Roman" w:eastAsia="Times New Roman" w:hAnsi="Times New Roman" w:cs="Times New Roman"/>
          <w:sz w:val="24"/>
          <w:szCs w:val="24"/>
          <w:highlight w:val="white"/>
        </w:rPr>
        <w:t xml:space="preserve"> R. Sentinel lymph node biopsy in gastric cancer: possible applications and limits. Eur J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Oncol. 2011;37(1):55–59. [PubMed: 21115231]</w:t>
      </w:r>
    </w:p>
    <w:p w14:paraId="2D81B581"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Becher RD, Shen P, Stewart JH, Geisinger KR, McCarthy LP, Levine EA. Sentinel lymph node mapping for gastric adenocarcinoma. Am Surg. 2009;75(8):710–714. [PubMed: 19725295]</w:t>
      </w:r>
    </w:p>
    <w:p w14:paraId="641CF372"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Rabin I, </w:t>
      </w:r>
      <w:proofErr w:type="spellStart"/>
      <w:r>
        <w:rPr>
          <w:rFonts w:ascii="Times New Roman" w:eastAsia="Times New Roman" w:hAnsi="Times New Roman" w:cs="Times New Roman"/>
          <w:sz w:val="24"/>
          <w:szCs w:val="24"/>
          <w:highlight w:val="white"/>
        </w:rPr>
        <w:t>Chikman</w:t>
      </w:r>
      <w:proofErr w:type="spellEnd"/>
      <w:r>
        <w:rPr>
          <w:rFonts w:ascii="Times New Roman" w:eastAsia="Times New Roman" w:hAnsi="Times New Roman" w:cs="Times New Roman"/>
          <w:sz w:val="24"/>
          <w:szCs w:val="24"/>
          <w:highlight w:val="white"/>
        </w:rPr>
        <w:t xml:space="preserve"> B, Halpern Z, et al. Sentinel node mapping for gastric cancer. </w:t>
      </w:r>
      <w:proofErr w:type="spellStart"/>
      <w:r>
        <w:rPr>
          <w:rFonts w:ascii="Times New Roman" w:eastAsia="Times New Roman" w:hAnsi="Times New Roman" w:cs="Times New Roman"/>
          <w:sz w:val="24"/>
          <w:szCs w:val="24"/>
          <w:highlight w:val="white"/>
        </w:rPr>
        <w:t>Isr</w:t>
      </w:r>
      <w:proofErr w:type="spellEnd"/>
      <w:r>
        <w:rPr>
          <w:rFonts w:ascii="Times New Roman" w:eastAsia="Times New Roman" w:hAnsi="Times New Roman" w:cs="Times New Roman"/>
          <w:sz w:val="24"/>
          <w:szCs w:val="24"/>
          <w:highlight w:val="white"/>
        </w:rPr>
        <w:t xml:space="preserve"> Med Assoc J. 2006;8(1):40–43. [PubMed: 16450751]</w:t>
      </w:r>
    </w:p>
    <w:p w14:paraId="45B45799" w14:textId="77777777" w:rsidR="00C856F9" w:rsidRDefault="004E2CB7">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Kampschoer</w:t>
      </w:r>
      <w:proofErr w:type="spellEnd"/>
      <w:r>
        <w:rPr>
          <w:rFonts w:ascii="Times New Roman" w:eastAsia="Times New Roman" w:hAnsi="Times New Roman" w:cs="Times New Roman"/>
          <w:sz w:val="24"/>
          <w:szCs w:val="24"/>
          <w:highlight w:val="white"/>
        </w:rPr>
        <w:t xml:space="preserve"> GH, Maruyama K, van de Velde CJ, </w:t>
      </w:r>
      <w:proofErr w:type="spellStart"/>
      <w:r>
        <w:rPr>
          <w:rFonts w:ascii="Times New Roman" w:eastAsia="Times New Roman" w:hAnsi="Times New Roman" w:cs="Times New Roman"/>
          <w:sz w:val="24"/>
          <w:szCs w:val="24"/>
          <w:highlight w:val="white"/>
        </w:rPr>
        <w:t>Sasako</w:t>
      </w:r>
      <w:proofErr w:type="spellEnd"/>
      <w:r>
        <w:rPr>
          <w:rFonts w:ascii="Times New Roman" w:eastAsia="Times New Roman" w:hAnsi="Times New Roman" w:cs="Times New Roman"/>
          <w:sz w:val="24"/>
          <w:szCs w:val="24"/>
          <w:highlight w:val="white"/>
        </w:rPr>
        <w:t xml:space="preserve"> M, Kinoshita T, </w:t>
      </w:r>
      <w:proofErr w:type="spellStart"/>
      <w:r>
        <w:rPr>
          <w:rFonts w:ascii="Times New Roman" w:eastAsia="Times New Roman" w:hAnsi="Times New Roman" w:cs="Times New Roman"/>
          <w:sz w:val="24"/>
          <w:szCs w:val="24"/>
          <w:highlight w:val="white"/>
        </w:rPr>
        <w:t>Okabayashi</w:t>
      </w:r>
      <w:proofErr w:type="spellEnd"/>
      <w:r>
        <w:rPr>
          <w:rFonts w:ascii="Times New Roman" w:eastAsia="Times New Roman" w:hAnsi="Times New Roman" w:cs="Times New Roman"/>
          <w:sz w:val="24"/>
          <w:szCs w:val="24"/>
          <w:highlight w:val="white"/>
        </w:rPr>
        <w:t xml:space="preserve"> K. Computer analysis in making preoperative decisions: A rational approach to lymph node dissection in gastric cancer patients. Br J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(1989) 76(9): 905–8. doi:10.1002/bjs.1800760910</w:t>
      </w:r>
    </w:p>
    <w:p w14:paraId="329153BC" w14:textId="77777777" w:rsidR="00C856F9" w:rsidRDefault="004E2CB7">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Hundahl</w:t>
      </w:r>
      <w:proofErr w:type="spellEnd"/>
      <w:r>
        <w:rPr>
          <w:rFonts w:ascii="Times New Roman" w:eastAsia="Times New Roman" w:hAnsi="Times New Roman" w:cs="Times New Roman"/>
          <w:sz w:val="24"/>
          <w:szCs w:val="24"/>
          <w:highlight w:val="white"/>
        </w:rPr>
        <w:t xml:space="preserve"> SA, Macdonald JS, Benedetti J, Fitzsimmons T Southwest Oncology Group and the Gastric Intergroup. Surgical treatment variation in a prospective, randomized trial of chemoradiotherapy in gastric cancer: The effect of undertreatment. Ann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Oncol (2002) 9(3):278–86. doi:10.1007/ BF02573066</w:t>
      </w:r>
    </w:p>
    <w:p w14:paraId="0C463442"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Maruyama K, </w:t>
      </w:r>
      <w:proofErr w:type="spellStart"/>
      <w:r>
        <w:rPr>
          <w:rFonts w:ascii="Times New Roman" w:eastAsia="Times New Roman" w:hAnsi="Times New Roman" w:cs="Times New Roman"/>
          <w:sz w:val="24"/>
          <w:szCs w:val="24"/>
          <w:highlight w:val="white"/>
        </w:rPr>
        <w:t>Gunven</w:t>
      </w:r>
      <w:proofErr w:type="spellEnd"/>
      <w:r>
        <w:rPr>
          <w:rFonts w:ascii="Times New Roman" w:eastAsia="Times New Roman" w:hAnsi="Times New Roman" w:cs="Times New Roman"/>
          <w:sz w:val="24"/>
          <w:szCs w:val="24"/>
          <w:highlight w:val="white"/>
        </w:rPr>
        <w:t xml:space="preserve"> P, </w:t>
      </w:r>
      <w:proofErr w:type="spellStart"/>
      <w:r>
        <w:rPr>
          <w:rFonts w:ascii="Times New Roman" w:eastAsia="Times New Roman" w:hAnsi="Times New Roman" w:cs="Times New Roman"/>
          <w:sz w:val="24"/>
          <w:szCs w:val="24"/>
          <w:highlight w:val="white"/>
        </w:rPr>
        <w:t>Okabayashi</w:t>
      </w:r>
      <w:proofErr w:type="spellEnd"/>
      <w:r>
        <w:rPr>
          <w:rFonts w:ascii="Times New Roman" w:eastAsia="Times New Roman" w:hAnsi="Times New Roman" w:cs="Times New Roman"/>
          <w:sz w:val="24"/>
          <w:szCs w:val="24"/>
          <w:highlight w:val="white"/>
        </w:rPr>
        <w:t xml:space="preserve"> K, </w:t>
      </w:r>
      <w:proofErr w:type="spellStart"/>
      <w:r>
        <w:rPr>
          <w:rFonts w:ascii="Times New Roman" w:eastAsia="Times New Roman" w:hAnsi="Times New Roman" w:cs="Times New Roman"/>
          <w:sz w:val="24"/>
          <w:szCs w:val="24"/>
          <w:highlight w:val="white"/>
        </w:rPr>
        <w:t>Sasako</w:t>
      </w:r>
      <w:proofErr w:type="spellEnd"/>
      <w:r>
        <w:rPr>
          <w:rFonts w:ascii="Times New Roman" w:eastAsia="Times New Roman" w:hAnsi="Times New Roman" w:cs="Times New Roman"/>
          <w:sz w:val="24"/>
          <w:szCs w:val="24"/>
          <w:highlight w:val="white"/>
        </w:rPr>
        <w:t xml:space="preserve"> M, Kinoshita T. Lymph node metastases of gastric cancer. General pattern in 1931 patients. Ann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(1989) 210(5):596–602. doi:10.1097/00000658-198911000-00005</w:t>
      </w:r>
    </w:p>
    <w:p w14:paraId="7C4F7D19"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Toth D, </w:t>
      </w:r>
      <w:proofErr w:type="spellStart"/>
      <w:r>
        <w:rPr>
          <w:rFonts w:ascii="Times New Roman" w:eastAsia="Times New Roman" w:hAnsi="Times New Roman" w:cs="Times New Roman"/>
          <w:sz w:val="24"/>
          <w:szCs w:val="24"/>
          <w:highlight w:val="white"/>
        </w:rPr>
        <w:t>Torok</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Kincses</w:t>
      </w:r>
      <w:proofErr w:type="spellEnd"/>
      <w:r>
        <w:rPr>
          <w:rFonts w:ascii="Times New Roman" w:eastAsia="Times New Roman" w:hAnsi="Times New Roman" w:cs="Times New Roman"/>
          <w:sz w:val="24"/>
          <w:szCs w:val="24"/>
          <w:highlight w:val="white"/>
        </w:rPr>
        <w:t xml:space="preserve"> Z, </w:t>
      </w:r>
      <w:proofErr w:type="spellStart"/>
      <w:r>
        <w:rPr>
          <w:rFonts w:ascii="Times New Roman" w:eastAsia="Times New Roman" w:hAnsi="Times New Roman" w:cs="Times New Roman"/>
          <w:sz w:val="24"/>
          <w:szCs w:val="24"/>
          <w:highlight w:val="white"/>
        </w:rPr>
        <w:t>Damjanovich</w:t>
      </w:r>
      <w:proofErr w:type="spellEnd"/>
      <w:r>
        <w:rPr>
          <w:rFonts w:ascii="Times New Roman" w:eastAsia="Times New Roman" w:hAnsi="Times New Roman" w:cs="Times New Roman"/>
          <w:sz w:val="24"/>
          <w:szCs w:val="24"/>
          <w:highlight w:val="white"/>
        </w:rPr>
        <w:t xml:space="preserve"> L. Prospective, comparative study for the evaluation of lymph node involvement in gastric cancer: Maruyama computer program versus sentinel lymph node biopsy. Gastric Cancer (2013) 16(2):201–7. doi:10.1007/s10120-012-0170-5</w:t>
      </w:r>
    </w:p>
    <w:p w14:paraId="107F1FF8"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Wang Z, Dong ZY, Chen JQ, Liu JL. Diagnostic value of sentinel lymph node biopsy in gastric cancer: a meta-analysis. Ann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Oncol. 2012;19(5):1541–50. https://doi.org/10.1245/s10434-011-2124-2.</w:t>
      </w:r>
    </w:p>
    <w:sectPr w:rsidR="00C856F9">
      <w:headerReference w:type="even" r:id="rId14"/>
      <w:headerReference w:type="default" r:id="rId15"/>
      <w:footerReference w:type="even" r:id="rId16"/>
      <w:footerReference w:type="default" r:id="rId17"/>
      <w:headerReference w:type="first" r:id="rId18"/>
      <w:footerReference w:type="first" r:id="rId1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8E4757" w14:textId="77777777" w:rsidR="007F3222" w:rsidRDefault="007F3222" w:rsidP="00514CB0">
      <w:pPr>
        <w:spacing w:line="240" w:lineRule="auto"/>
      </w:pPr>
      <w:r>
        <w:separator/>
      </w:r>
    </w:p>
  </w:endnote>
  <w:endnote w:type="continuationSeparator" w:id="0">
    <w:p w14:paraId="4749BDBB" w14:textId="77777777" w:rsidR="007F3222" w:rsidRDefault="007F3222" w:rsidP="00514C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EB510311-758E-4F1C-B016-FB1BE28DEEA8}"/>
  </w:font>
  <w:font w:name="Cambria">
    <w:panose1 w:val="02040503050406030204"/>
    <w:charset w:val="00"/>
    <w:family w:val="roman"/>
    <w:pitch w:val="variable"/>
    <w:sig w:usb0="E00006FF" w:usb1="420024FF" w:usb2="02000000" w:usb3="00000000" w:csb0="0000019F" w:csb1="00000000"/>
    <w:embedRegular r:id="rId2" w:fontKey="{043A7BDE-669E-48AF-9A22-36ECBC16A7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EF8AF" w14:textId="77777777" w:rsidR="00514CB0" w:rsidRDefault="00514C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2C1F0" w14:textId="77777777" w:rsidR="00514CB0" w:rsidRDefault="00514C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7D41E" w14:textId="77777777" w:rsidR="00514CB0" w:rsidRDefault="00514C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0BA5F0" w14:textId="77777777" w:rsidR="007F3222" w:rsidRDefault="007F3222" w:rsidP="00514CB0">
      <w:pPr>
        <w:spacing w:line="240" w:lineRule="auto"/>
      </w:pPr>
      <w:r>
        <w:separator/>
      </w:r>
    </w:p>
  </w:footnote>
  <w:footnote w:type="continuationSeparator" w:id="0">
    <w:p w14:paraId="5E19B986" w14:textId="77777777" w:rsidR="007F3222" w:rsidRDefault="007F3222" w:rsidP="00514C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4443B" w14:textId="78D83EBE" w:rsidR="00514CB0" w:rsidRDefault="00514CB0">
    <w:pPr>
      <w:pStyle w:val="Header"/>
    </w:pPr>
    <w:r>
      <w:rPr>
        <w:noProof/>
      </w:rPr>
      <w:pict w14:anchorId="270152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069516" o:spid="_x0000_s2050"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50749" w14:textId="02DA483E" w:rsidR="00514CB0" w:rsidRDefault="00514CB0">
    <w:pPr>
      <w:pStyle w:val="Header"/>
    </w:pPr>
    <w:r>
      <w:rPr>
        <w:noProof/>
      </w:rPr>
      <w:pict w14:anchorId="60283D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069517" o:spid="_x0000_s2051"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F1930" w14:textId="7F16F2AB" w:rsidR="00514CB0" w:rsidRDefault="00514CB0">
    <w:pPr>
      <w:pStyle w:val="Header"/>
    </w:pPr>
    <w:r>
      <w:rPr>
        <w:noProof/>
      </w:rPr>
      <w:pict w14:anchorId="4ECF3A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069515" o:spid="_x0000_s2049"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9F7377"/>
    <w:multiLevelType w:val="multilevel"/>
    <w:tmpl w:val="D51051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6F9"/>
    <w:rsid w:val="004E2CB7"/>
    <w:rsid w:val="00514CB0"/>
    <w:rsid w:val="005E4802"/>
    <w:rsid w:val="00604150"/>
    <w:rsid w:val="006F1CA3"/>
    <w:rsid w:val="00791165"/>
    <w:rsid w:val="007F3222"/>
    <w:rsid w:val="00C856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41EF14"/>
  <w15:docId w15:val="{153DFB69-2ED5-4158-AD33-35264B16E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5E4802"/>
    <w:rPr>
      <w:color w:val="0000FF" w:themeColor="hyperlink"/>
      <w:u w:val="single"/>
    </w:rPr>
  </w:style>
  <w:style w:type="character" w:styleId="UnresolvedMention">
    <w:name w:val="Unresolved Mention"/>
    <w:basedOn w:val="DefaultParagraphFont"/>
    <w:uiPriority w:val="99"/>
    <w:semiHidden/>
    <w:unhideWhenUsed/>
    <w:rsid w:val="005E4802"/>
    <w:rPr>
      <w:color w:val="605E5C"/>
      <w:shd w:val="clear" w:color="auto" w:fill="E1DFDD"/>
    </w:rPr>
  </w:style>
  <w:style w:type="paragraph" w:styleId="Header">
    <w:name w:val="header"/>
    <w:basedOn w:val="Normal"/>
    <w:link w:val="HeaderChar"/>
    <w:uiPriority w:val="99"/>
    <w:unhideWhenUsed/>
    <w:rsid w:val="00514CB0"/>
    <w:pPr>
      <w:tabs>
        <w:tab w:val="center" w:pos="4513"/>
        <w:tab w:val="right" w:pos="9026"/>
      </w:tabs>
      <w:spacing w:line="240" w:lineRule="auto"/>
    </w:pPr>
  </w:style>
  <w:style w:type="character" w:customStyle="1" w:styleId="HeaderChar">
    <w:name w:val="Header Char"/>
    <w:basedOn w:val="DefaultParagraphFont"/>
    <w:link w:val="Header"/>
    <w:uiPriority w:val="99"/>
    <w:rsid w:val="00514CB0"/>
  </w:style>
  <w:style w:type="paragraph" w:styleId="Footer">
    <w:name w:val="footer"/>
    <w:basedOn w:val="Normal"/>
    <w:link w:val="FooterChar"/>
    <w:uiPriority w:val="99"/>
    <w:unhideWhenUsed/>
    <w:rsid w:val="00514CB0"/>
    <w:pPr>
      <w:tabs>
        <w:tab w:val="center" w:pos="4513"/>
        <w:tab w:val="right" w:pos="9026"/>
      </w:tabs>
      <w:spacing w:line="240" w:lineRule="auto"/>
    </w:pPr>
  </w:style>
  <w:style w:type="character" w:customStyle="1" w:styleId="FooterChar">
    <w:name w:val="Footer Char"/>
    <w:basedOn w:val="DefaultParagraphFont"/>
    <w:link w:val="Footer"/>
    <w:uiPriority w:val="99"/>
    <w:rsid w:val="00514C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oi.org/10.3390/cancers16183163" TargetMode="External"/><Relationship Id="rId13" Type="http://schemas.openxmlformats.org/officeDocument/2006/relationships/hyperlink" Target="https://doi.org/10.1186/s12957-023-02953-7"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doi.org/10.1245/s10434-024-15950-1"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doi.org/10.1186/"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doi.org/10.1038/s41598-025-89158-y"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14</Pages>
  <Words>5999</Words>
  <Characters>34199</Characters>
  <Application>Microsoft Office Word</Application>
  <DocSecurity>0</DocSecurity>
  <Lines>284</Lines>
  <Paragraphs>80</Paragraphs>
  <ScaleCrop>false</ScaleCrop>
  <Company/>
  <LinksUpToDate>false</LinksUpToDate>
  <CharactersWithSpaces>40118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1166</cp:lastModifiedBy>
  <cp:revision>6</cp:revision>
  <dcterms:created xsi:type="dcterms:W3CDTF">2026-03-26T09:02:00Z</dcterms:created>
  <dcterms:modified xsi:type="dcterms:W3CDTF">2026-03-27T08:54:00Z</dcterms:modified>
</cp:coreProperties>
</file>