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73268" w14:textId="0A057D91" w:rsidR="00E271D9" w:rsidRPr="00E271D9" w:rsidRDefault="00E271D9" w:rsidP="00E271D9">
      <w:pPr>
        <w:spacing w:line="276" w:lineRule="auto"/>
        <w:rPr>
          <w:rFonts w:ascii="Arial" w:hAnsi="Arial" w:cs="Arial"/>
          <w:b/>
          <w:sz w:val="36"/>
          <w:szCs w:val="36"/>
          <w:u w:val="single"/>
        </w:rPr>
      </w:pPr>
      <w:r w:rsidRPr="00E271D9">
        <w:rPr>
          <w:rFonts w:ascii="Arial" w:hAnsi="Arial" w:cs="Arial"/>
          <w:b/>
          <w:sz w:val="36"/>
          <w:szCs w:val="36"/>
          <w:u w:val="single"/>
        </w:rPr>
        <w:t>Original Research Article</w:t>
      </w:r>
    </w:p>
    <w:p w14:paraId="75DDC9E5" w14:textId="77777777" w:rsidR="00E271D9" w:rsidRDefault="00E271D9" w:rsidP="001C3A27">
      <w:pPr>
        <w:spacing w:line="276" w:lineRule="auto"/>
        <w:jc w:val="right"/>
        <w:rPr>
          <w:rFonts w:ascii="Arial" w:hAnsi="Arial" w:cs="Arial"/>
          <w:b/>
          <w:sz w:val="36"/>
          <w:szCs w:val="36"/>
        </w:rPr>
      </w:pPr>
    </w:p>
    <w:p w14:paraId="6F4009D0" w14:textId="721DA207" w:rsidR="001C3A27" w:rsidRPr="001C3A27" w:rsidRDefault="001C3A27" w:rsidP="001C3A27">
      <w:pPr>
        <w:spacing w:line="276" w:lineRule="auto"/>
        <w:jc w:val="right"/>
        <w:rPr>
          <w:rFonts w:ascii="Arial" w:hAnsi="Arial" w:cs="Arial"/>
          <w:b/>
          <w:sz w:val="36"/>
          <w:szCs w:val="36"/>
        </w:rPr>
      </w:pPr>
      <w:r w:rsidRPr="001C3A27">
        <w:rPr>
          <w:rFonts w:ascii="Arial" w:hAnsi="Arial" w:cs="Arial"/>
          <w:b/>
          <w:sz w:val="36"/>
          <w:szCs w:val="36"/>
        </w:rPr>
        <w:t>EFFECTIVENESS OF MENTAL HEALTH SUPPORT GROUP PARTICIPATION ON ILLNESS PROGNOSIS AND WELLNESS: A QUANTITATIVE STUDY OF PARTICIPANT EXPERIENCES IN ZAMBIA</w:t>
      </w:r>
    </w:p>
    <w:p w14:paraId="06C57590" w14:textId="77777777" w:rsidR="00A258C3" w:rsidRPr="00790ADA" w:rsidRDefault="00A258C3" w:rsidP="00441B6F">
      <w:pPr>
        <w:pStyle w:val="Author"/>
        <w:spacing w:line="240" w:lineRule="auto"/>
        <w:jc w:val="both"/>
        <w:rPr>
          <w:rFonts w:ascii="Arial" w:hAnsi="Arial" w:cs="Arial"/>
          <w:sz w:val="36"/>
        </w:rPr>
      </w:pPr>
    </w:p>
    <w:p w14:paraId="2A61BBB6" w14:textId="77777777" w:rsidR="00790ADA" w:rsidRDefault="00790ADA" w:rsidP="00441B6F">
      <w:pPr>
        <w:pStyle w:val="Affiliation"/>
        <w:spacing w:after="0" w:line="240" w:lineRule="auto"/>
        <w:jc w:val="both"/>
        <w:rPr>
          <w:rFonts w:ascii="Arial" w:hAnsi="Arial" w:cs="Arial"/>
        </w:rPr>
      </w:pPr>
    </w:p>
    <w:p w14:paraId="026B0213" w14:textId="77777777" w:rsidR="002C57D2" w:rsidRPr="00FB3A86" w:rsidRDefault="002C57D2" w:rsidP="00441B6F">
      <w:pPr>
        <w:pStyle w:val="Affiliation"/>
        <w:spacing w:after="0" w:line="240" w:lineRule="auto"/>
        <w:jc w:val="both"/>
        <w:rPr>
          <w:rFonts w:ascii="Arial" w:hAnsi="Arial" w:cs="Arial"/>
        </w:rPr>
      </w:pPr>
    </w:p>
    <w:p w14:paraId="5E3B34EB" w14:textId="4BD0D4B1" w:rsidR="00B01FCD" w:rsidRPr="00FB3A86" w:rsidRDefault="00451EDD" w:rsidP="00441B6F">
      <w:pPr>
        <w:pStyle w:val="Copyright"/>
        <w:spacing w:after="0" w:line="240" w:lineRule="auto"/>
        <w:jc w:val="both"/>
        <w:rPr>
          <w:rFonts w:ascii="Arial" w:hAnsi="Arial" w:cs="Arial"/>
        </w:rPr>
        <w:sectPr w:rsidR="00B01FCD" w:rsidRPr="00FB3A86" w:rsidSect="001647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32E508" wp14:editId="06998D5D">
                <wp:extent cx="5303520" cy="635"/>
                <wp:effectExtent l="9525" t="15240" r="1143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FFFF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06A070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E9D22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2B6C259" w14:textId="77777777" w:rsidTr="001E44FE">
        <w:tc>
          <w:tcPr>
            <w:tcW w:w="9576" w:type="dxa"/>
            <w:shd w:val="clear" w:color="auto" w:fill="F2F2F2"/>
          </w:tcPr>
          <w:p w14:paraId="0D41DC8D" w14:textId="77777777" w:rsidR="00505F06" w:rsidRPr="009052C9" w:rsidRDefault="00BA1B01" w:rsidP="009052C9">
            <w:pPr>
              <w:jc w:val="both"/>
            </w:pPr>
            <w:r w:rsidRPr="00BA1B01">
              <w:rPr>
                <w:rFonts w:eastAsia="Calibri"/>
                <w:b/>
                <w:szCs w:val="22"/>
              </w:rPr>
              <w:t xml:space="preserve">Aims: </w:t>
            </w:r>
            <w:r w:rsidR="009052C9" w:rsidRPr="0091653A">
              <w:t>Mental health disorders are a growing global crisis, disproportionately affecting vulnerable populations with limited access to care. In Zambia, services remain predominantly biomedical, under-resourced, and lacking formalized psychosocial interventions. Support groups, grounded in group psychotherapy and peer support theory, have shown promise in reducing symptom severity and improving quality of life. This study examined the impact of community</w:t>
            </w:r>
            <w:r w:rsidR="009052C9" w:rsidRPr="0091653A">
              <w:noBreakHyphen/>
              <w:t xml:space="preserve">based mental health support groups on clinical and functional outcomes within this context. </w:t>
            </w:r>
            <w:r w:rsidR="009052C9">
              <w:rPr>
                <w:rFonts w:ascii="Arial" w:eastAsia="Calibri" w:hAnsi="Arial" w:cs="Arial"/>
                <w:b/>
                <w:szCs w:val="22"/>
              </w:rPr>
              <w:t>Methods and Materials</w:t>
            </w:r>
            <w:r w:rsidR="009052C9" w:rsidRPr="00BA1B01">
              <w:rPr>
                <w:rFonts w:ascii="Arial" w:eastAsia="Calibri" w:hAnsi="Arial" w:cs="Arial"/>
                <w:b/>
                <w:szCs w:val="22"/>
              </w:rPr>
              <w:t>:</w:t>
            </w:r>
            <w:r w:rsidR="009052C9" w:rsidRPr="00BA1B01">
              <w:rPr>
                <w:rFonts w:ascii="Arial" w:eastAsia="Calibri" w:hAnsi="Arial" w:cs="Arial"/>
                <w:szCs w:val="22"/>
              </w:rPr>
              <w:t xml:space="preserve">  </w:t>
            </w:r>
            <w:r w:rsidR="009052C9" w:rsidRPr="0091653A">
              <w:t>A prospective cohort design was used to examine the impact of community-based mental health support groups. A total of 263 participants from 21 groups were assessed at baseline and nine months using the AUDIT, PHQ-9, and WHOQOL-BREF. Non-parametric analyses and regression models were applied to evaluate changes in symptom severity and predictors of wellness outcomes.</w:t>
            </w:r>
            <w:r w:rsidR="009052C9" w:rsidRPr="0091653A">
              <w:br/>
            </w:r>
            <w:r w:rsidR="009052C9" w:rsidRPr="00BA1B01">
              <w:rPr>
                <w:rFonts w:ascii="Arial" w:eastAsia="Calibri" w:hAnsi="Arial" w:cs="Arial"/>
                <w:b/>
                <w:bCs/>
                <w:szCs w:val="22"/>
              </w:rPr>
              <w:t>Results:</w:t>
            </w:r>
            <w:r w:rsidR="009052C9" w:rsidRPr="00BA1B01">
              <w:rPr>
                <w:rFonts w:ascii="Arial" w:eastAsia="Calibri" w:hAnsi="Arial" w:cs="Arial"/>
                <w:szCs w:val="22"/>
              </w:rPr>
              <w:t xml:space="preserve"> </w:t>
            </w:r>
            <w:r w:rsidR="009052C9" w:rsidRPr="0091653A">
              <w:t>Symptom severity significantly decreased from baseline (M = 3.992, SD = 0.829) to follow-up (M = 2.209, SD = 1.691), with a large effect size (</w:t>
            </w:r>
            <w:proofErr w:type="spellStart"/>
            <w:r w:rsidR="009052C9" w:rsidRPr="0091653A">
              <w:t>rrb</w:t>
            </w:r>
            <w:proofErr w:type="spellEnd"/>
            <w:r w:rsidR="009052C9" w:rsidRPr="0091653A">
              <w:t xml:space="preserve"> = .888). Attendance correlated weakly but significantly with symptom reduction, while facilitator type showed minor associations with quality of life. Regression analysis identified symptom severity at follow-up as the strongest predictor of wellness outcomes.</w:t>
            </w:r>
            <w:r w:rsidR="009052C9">
              <w:t xml:space="preserve"> </w:t>
            </w:r>
            <w:r w:rsidR="009052C9" w:rsidRPr="0091653A">
              <w:br/>
              <w:t xml:space="preserve">Structured support groups demonstrated therapeutic value in reducing distress and enhancing coping. </w:t>
            </w:r>
            <w:r w:rsidR="009052C9" w:rsidRPr="00BA1B01">
              <w:rPr>
                <w:rFonts w:ascii="Arial" w:eastAsia="Calibri" w:hAnsi="Arial" w:cs="Arial"/>
                <w:b/>
                <w:bCs/>
                <w:szCs w:val="22"/>
              </w:rPr>
              <w:t>Conclusion:</w:t>
            </w:r>
            <w:r w:rsidR="009052C9" w:rsidRPr="00BA1B01">
              <w:rPr>
                <w:rFonts w:ascii="Arial" w:eastAsia="Calibri" w:hAnsi="Arial" w:cs="Arial"/>
                <w:szCs w:val="22"/>
              </w:rPr>
              <w:t xml:space="preserve"> </w:t>
            </w:r>
            <w:r w:rsidR="009052C9" w:rsidRPr="0091653A">
              <w:t>Findings highlight the need for tailored interventions for individuals with persistent high severity and suggest that integrating support groups into primary care could strengthen Zambia’s mental health system, reduce stigma, and expand access to psychosocial support.</w:t>
            </w:r>
          </w:p>
        </w:tc>
      </w:tr>
    </w:tbl>
    <w:p w14:paraId="284AA1DB" w14:textId="77777777" w:rsidR="00636EB2" w:rsidRDefault="00636EB2" w:rsidP="00441B6F">
      <w:pPr>
        <w:pStyle w:val="Body"/>
        <w:spacing w:after="0"/>
        <w:rPr>
          <w:rFonts w:ascii="Arial" w:hAnsi="Arial" w:cs="Arial"/>
          <w:i/>
        </w:rPr>
      </w:pPr>
    </w:p>
    <w:p w14:paraId="52301A03" w14:textId="77777777" w:rsidR="00790ADA" w:rsidRDefault="00A24E7E" w:rsidP="00441B6F">
      <w:pPr>
        <w:pStyle w:val="Body"/>
        <w:spacing w:after="0"/>
        <w:rPr>
          <w:rFonts w:ascii="Arial" w:hAnsi="Arial" w:cs="Arial"/>
          <w:i/>
        </w:rPr>
      </w:pPr>
      <w:r>
        <w:rPr>
          <w:rFonts w:ascii="Arial" w:hAnsi="Arial" w:cs="Arial"/>
          <w:i/>
        </w:rPr>
        <w:t xml:space="preserve">Keywords: </w:t>
      </w:r>
      <w:r w:rsidR="009052C9" w:rsidRPr="009052C9">
        <w:rPr>
          <w:rFonts w:ascii="Arial" w:hAnsi="Arial" w:cs="Arial"/>
          <w:i/>
        </w:rPr>
        <w:t>Support Groups, Clinical Psychology, Low-resource Settings, Symptom Severity, Quality of Life, Zambia</w:t>
      </w:r>
      <w:r w:rsidR="009052C9">
        <w:rPr>
          <w:rFonts w:ascii="Arial" w:hAnsi="Arial" w:cs="Arial"/>
          <w:i/>
        </w:rPr>
        <w:t>.</w:t>
      </w:r>
    </w:p>
    <w:p w14:paraId="1A62BB8F" w14:textId="77777777" w:rsidR="0024282C" w:rsidRDefault="0024282C" w:rsidP="00441B6F">
      <w:pPr>
        <w:pStyle w:val="Body"/>
        <w:spacing w:after="0"/>
        <w:rPr>
          <w:rFonts w:ascii="Arial" w:hAnsi="Arial" w:cs="Arial"/>
          <w:i/>
          <w:sz w:val="18"/>
        </w:rPr>
      </w:pPr>
    </w:p>
    <w:p w14:paraId="58C227F4" w14:textId="77777777" w:rsidR="00505F06" w:rsidRPr="00A24E7E" w:rsidRDefault="00505F06" w:rsidP="00441B6F">
      <w:pPr>
        <w:pStyle w:val="Body"/>
        <w:spacing w:after="0"/>
        <w:rPr>
          <w:rFonts w:ascii="Arial" w:hAnsi="Arial" w:cs="Arial"/>
          <w:i/>
        </w:rPr>
      </w:pPr>
    </w:p>
    <w:p w14:paraId="2B838EAA"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04CD1F" w14:textId="77777777" w:rsidR="008C6C57" w:rsidRPr="001A077A" w:rsidRDefault="008C6C57" w:rsidP="001A077A">
      <w:pPr>
        <w:spacing w:before="360" w:after="240"/>
        <w:jc w:val="both"/>
        <w:rPr>
          <w:rFonts w:ascii="Arial" w:hAnsi="Arial" w:cs="Arial"/>
          <w:color w:val="000000"/>
        </w:rPr>
      </w:pPr>
      <w:r w:rsidRPr="001A077A">
        <w:rPr>
          <w:rFonts w:ascii="Arial" w:hAnsi="Arial" w:cs="Arial"/>
          <w:color w:val="000000"/>
        </w:rPr>
        <w:t xml:space="preserve">The increasing impact of mental illness aggravated by imbalance in accessing quality care across vulnerable groups highlight a global health crisis, (Krausz et al., 2019; Chauhan et al., 2020). </w:t>
      </w:r>
      <w:r w:rsidRPr="001A077A">
        <w:rPr>
          <w:rFonts w:ascii="Arial" w:hAnsi="Arial" w:cs="Arial"/>
          <w:color w:val="000000"/>
          <w:shd w:val="clear" w:color="auto" w:fill="FFFFFF"/>
        </w:rPr>
        <w:t xml:space="preserve">In the 2019 </w:t>
      </w:r>
      <w:r w:rsidRPr="001A077A">
        <w:rPr>
          <w:rFonts w:ascii="Arial" w:hAnsi="Arial" w:cs="Arial"/>
          <w:color w:val="000000"/>
        </w:rPr>
        <w:t xml:space="preserve">Global Burden of disease (GBD, 2022) the </w:t>
      </w:r>
      <w:r w:rsidRPr="001A077A">
        <w:rPr>
          <w:rFonts w:ascii="Arial" w:hAnsi="Arial" w:cs="Arial"/>
          <w:color w:val="000000"/>
          <w:shd w:val="clear" w:color="auto" w:fill="FFFFFF"/>
        </w:rPr>
        <w:t xml:space="preserve">Institute of Health Metrics and </w:t>
      </w:r>
      <w:r w:rsidRPr="001A077A">
        <w:rPr>
          <w:rFonts w:ascii="Arial" w:hAnsi="Arial" w:cs="Arial"/>
          <w:color w:val="000000"/>
          <w:shd w:val="clear" w:color="auto" w:fill="FFFFFF"/>
        </w:rPr>
        <w:lastRenderedPageBreak/>
        <w:t xml:space="preserve">Evaluation (IHME), estimated that 1 in every 8 people, or 970 million people around the world were living with a mental disorder, with anxiety and depressive disorders ranking as the most common while </w:t>
      </w:r>
      <w:r w:rsidRPr="001A077A">
        <w:rPr>
          <w:rFonts w:ascii="Arial" w:hAnsi="Arial" w:cs="Arial"/>
          <w:color w:val="000000"/>
        </w:rPr>
        <w:t>in 2020, it was estimated that close to 1 billion people globally were living with a mental disorder (WHO 2020). Specifically, mental health and substance use disorders remain the leading causes of disability globally, affecting approximately 450 million people (Vos et al., 2020; Uddin et al., 2019).</w:t>
      </w:r>
    </w:p>
    <w:p w14:paraId="603E1565" w14:textId="77777777" w:rsidR="008C6C57" w:rsidRPr="001A077A" w:rsidRDefault="008C6C57" w:rsidP="001A077A">
      <w:pPr>
        <w:spacing w:before="360" w:after="240"/>
        <w:jc w:val="both"/>
        <w:rPr>
          <w:rFonts w:ascii="Arial" w:hAnsi="Arial" w:cs="Arial"/>
          <w:color w:val="0A0A0A"/>
        </w:rPr>
      </w:pPr>
      <w:r w:rsidRPr="001A077A">
        <w:rPr>
          <w:rFonts w:ascii="Arial" w:hAnsi="Arial" w:cs="Arial"/>
          <w:color w:val="0A0A0A"/>
        </w:rPr>
        <w:t>Mental health support groups are increasingly recognized as a vital component of holistic mental healthcare, particularly within low- and middle-income countries (LMICs) (Kohrt et al., 2018; Mabunda et al., 2022). These non-pharmacological interventions offer unique benefits by leveraging shared experiences, fostering social support networks, and reducing the isolation often associated with mental illness. Literature consistently highlights the promising effect of support groups on long-term positive outcomes such as improved quality of life, enhanced coping skills, reduced symptom severity, and decreased rates of hospital readmissions (Markowitz, 2015; Smit et al., 2023; Worrall et al., 2018). By providing a structured, empathetic environment where individuals can share recovery strategies, support groups serve as a critical, cost-effective adjunct or alternative to traditional clinical treatments, which often prioritize pharmacological interventions (Huhn et al., 2014; Rangel et al., 2025). The success of these groups in promoting recovery and sustaining effectiveness underscores the importance of community-based approaches in strengthening overall mental health systems (</w:t>
      </w:r>
      <w:proofErr w:type="spellStart"/>
      <w:r w:rsidRPr="001A077A">
        <w:rPr>
          <w:rFonts w:ascii="Arial" w:hAnsi="Arial" w:cs="Arial"/>
          <w:color w:val="0A0A0A"/>
        </w:rPr>
        <w:t>Goedendorp</w:t>
      </w:r>
      <w:proofErr w:type="spellEnd"/>
      <w:r w:rsidRPr="001A077A">
        <w:rPr>
          <w:rFonts w:ascii="Arial" w:hAnsi="Arial" w:cs="Arial"/>
          <w:color w:val="0A0A0A"/>
        </w:rPr>
        <w:t xml:space="preserve"> et al., 2017; </w:t>
      </w:r>
      <w:proofErr w:type="spellStart"/>
      <w:r w:rsidRPr="001A077A">
        <w:rPr>
          <w:rFonts w:ascii="Arial" w:hAnsi="Arial" w:cs="Arial"/>
          <w:color w:val="0A0A0A"/>
        </w:rPr>
        <w:t>Munakampe</w:t>
      </w:r>
      <w:proofErr w:type="spellEnd"/>
      <w:r w:rsidRPr="001A077A">
        <w:rPr>
          <w:rFonts w:ascii="Arial" w:hAnsi="Arial" w:cs="Arial"/>
          <w:color w:val="0A0A0A"/>
        </w:rPr>
        <w:t>, 2020).</w:t>
      </w:r>
    </w:p>
    <w:p w14:paraId="48C7BCB3" w14:textId="77777777" w:rsidR="008C6C57" w:rsidRPr="001A077A" w:rsidRDefault="008C6C57" w:rsidP="001A077A">
      <w:pPr>
        <w:spacing w:before="360" w:after="240"/>
        <w:jc w:val="both"/>
        <w:rPr>
          <w:rFonts w:ascii="Arial" w:hAnsi="Arial" w:cs="Arial"/>
          <w:color w:val="0A0A0A"/>
        </w:rPr>
      </w:pPr>
      <w:r w:rsidRPr="001A077A">
        <w:rPr>
          <w:rFonts w:ascii="Arial" w:hAnsi="Arial" w:cs="Arial"/>
          <w:color w:val="0A0A0A"/>
        </w:rPr>
        <w:t xml:space="preserve">Despite their proven effectiveness globally, the implementation and advocacy for non-pharmacological interventions in Zambia remain poorly developed. Mental health services within the country primarily focus on biological treatments, leading to comprehensive 2022 Treatment Guidelines for Mental Disorders and 2022 Mental Health Nursing Protocols centered around medication management. Conversely, existing mental health facilities in Zambia often do not formally operate or provide structured support groups for mental health patients, leaving a significant gap in the continuum of care (Munakampe, 2020). This gap is compounded by pervasive mental health stigma within Zambian communities (Milanzi et al 2023; Bansal et al., 2025), which frequently acts as a substantial barrier, hindering individuals from accessing available services or even acknowledging their conditions (Fendt-Newlin et al., 2019; Kohrt et al., 2018). </w:t>
      </w:r>
    </w:p>
    <w:p w14:paraId="319F0648" w14:textId="77777777" w:rsidR="00790ADA" w:rsidRPr="001A077A" w:rsidRDefault="008C6C57" w:rsidP="001A077A">
      <w:pPr>
        <w:spacing w:before="360" w:after="240"/>
        <w:jc w:val="both"/>
        <w:rPr>
          <w:rFonts w:ascii="Arial" w:hAnsi="Arial" w:cs="Arial"/>
          <w:color w:val="0A0A0A"/>
        </w:rPr>
      </w:pPr>
      <w:r w:rsidRPr="001A077A">
        <w:rPr>
          <w:rFonts w:ascii="Arial" w:hAnsi="Arial" w:cs="Arial"/>
          <w:color w:val="0A0A0A"/>
        </w:rPr>
        <w:t xml:space="preserve">Given the clear bias toward pharmacological approaches and the absence of formal support group structures presented a rigorously need to investigate the potential impact and experiences of participants in support groups that might exist informally and through non-governmental organizations. Understanding how these groups influence illness prognosis and wellness in a local context provides the necessary evidence base to advocate for their formal integration into national mental healthcare protocols as advocated by </w:t>
      </w:r>
      <w:proofErr w:type="spellStart"/>
      <w:r w:rsidRPr="001A077A">
        <w:rPr>
          <w:rFonts w:ascii="Arial" w:hAnsi="Arial" w:cs="Arial"/>
          <w:color w:val="0A0A0A"/>
        </w:rPr>
        <w:t>Musanje</w:t>
      </w:r>
      <w:proofErr w:type="spellEnd"/>
      <w:r w:rsidRPr="001A077A">
        <w:rPr>
          <w:rFonts w:ascii="Arial" w:hAnsi="Arial" w:cs="Arial"/>
          <w:color w:val="0A0A0A"/>
        </w:rPr>
        <w:t xml:space="preserve"> et al., (2025). The lack of accessible, destigmatized, community-oriented interventions like support groups means that many individuals may not achieve optimal long-term recovery outcomes. In this study, we address this significant gap in the Zambian mental health landscape. </w:t>
      </w:r>
    </w:p>
    <w:p w14:paraId="3CC0B72C" w14:textId="77777777" w:rsidR="007F7B32" w:rsidRPr="008C6C57" w:rsidRDefault="00902823" w:rsidP="008C6C57">
      <w:pPr>
        <w:pStyle w:val="AbstHead"/>
        <w:spacing w:after="0"/>
        <w:jc w:val="both"/>
        <w:rPr>
          <w:rFonts w:ascii="Arial" w:hAnsi="Arial" w:cs="Arial"/>
        </w:rPr>
      </w:pPr>
      <w:r w:rsidRPr="008C6C57">
        <w:rPr>
          <w:rFonts w:ascii="Arial" w:hAnsi="Arial" w:cs="Arial"/>
        </w:rPr>
        <w:t>2. material and method</w:t>
      </w:r>
      <w:r w:rsidR="00000F8F" w:rsidRPr="008C6C57">
        <w:rPr>
          <w:rFonts w:ascii="Arial" w:hAnsi="Arial" w:cs="Arial"/>
        </w:rPr>
        <w:t xml:space="preserve">s </w:t>
      </w:r>
    </w:p>
    <w:p w14:paraId="483FE39B" w14:textId="77777777" w:rsidR="008C6C57" w:rsidRPr="001A077A" w:rsidRDefault="001A077A" w:rsidP="008C6C57">
      <w:pPr>
        <w:spacing w:before="100" w:beforeAutospacing="1" w:after="100" w:afterAutospacing="1"/>
        <w:jc w:val="both"/>
        <w:outlineLvl w:val="2"/>
        <w:rPr>
          <w:rFonts w:ascii="Arial" w:hAnsi="Arial" w:cs="Arial"/>
          <w:b/>
          <w:bCs/>
          <w:sz w:val="22"/>
        </w:rPr>
      </w:pPr>
      <w:r w:rsidRPr="001A077A">
        <w:rPr>
          <w:rFonts w:ascii="Arial" w:hAnsi="Arial" w:cs="Arial"/>
          <w:b/>
          <w:bCs/>
          <w:sz w:val="22"/>
        </w:rPr>
        <w:t xml:space="preserve">2.1 </w:t>
      </w:r>
      <w:r w:rsidR="008C6C57" w:rsidRPr="001A077A">
        <w:rPr>
          <w:rFonts w:ascii="Arial" w:hAnsi="Arial" w:cs="Arial"/>
          <w:b/>
          <w:bCs/>
          <w:sz w:val="22"/>
        </w:rPr>
        <w:t>Study Design</w:t>
      </w:r>
    </w:p>
    <w:p w14:paraId="560B9C3B" w14:textId="77777777" w:rsidR="008C6C57" w:rsidRPr="001A077A" w:rsidRDefault="008C6C57" w:rsidP="008C6C57">
      <w:pPr>
        <w:spacing w:before="100" w:beforeAutospacing="1" w:after="100" w:afterAutospacing="1"/>
        <w:jc w:val="both"/>
        <w:rPr>
          <w:rFonts w:ascii="Arial" w:hAnsi="Arial" w:cs="Arial"/>
        </w:rPr>
      </w:pPr>
      <w:r w:rsidRPr="001A077A">
        <w:rPr>
          <w:rFonts w:ascii="Arial" w:hAnsi="Arial" w:cs="Arial"/>
        </w:rPr>
        <w:t xml:space="preserve">This study employed a prospective cohort design using a predictive correlational quantitative research approach. The design was selected to enable examination of temporal relationships between baseline characteristics, facilitator competence ratings, and participant outcomes </w:t>
      </w:r>
      <w:r w:rsidRPr="001A077A">
        <w:rPr>
          <w:rFonts w:ascii="Arial" w:hAnsi="Arial" w:cs="Arial"/>
        </w:rPr>
        <w:lastRenderedPageBreak/>
        <w:t>over a 9</w:t>
      </w:r>
      <w:r w:rsidRPr="001A077A">
        <w:rPr>
          <w:rFonts w:ascii="Arial" w:hAnsi="Arial" w:cs="Arial"/>
        </w:rPr>
        <w:noBreakHyphen/>
        <w:t>month period. The prospective nature of the study allowed for observation of changes in symptom severity and quality of life while minimizing recall bias.</w:t>
      </w:r>
    </w:p>
    <w:p w14:paraId="167564FE" w14:textId="77777777" w:rsidR="008C6C57" w:rsidRPr="001A077A" w:rsidRDefault="001A077A" w:rsidP="008C6C57">
      <w:pPr>
        <w:spacing w:before="100" w:beforeAutospacing="1" w:after="100" w:afterAutospacing="1"/>
        <w:jc w:val="both"/>
        <w:outlineLvl w:val="2"/>
        <w:rPr>
          <w:rFonts w:ascii="Arial" w:hAnsi="Arial" w:cs="Arial"/>
          <w:b/>
          <w:bCs/>
          <w:sz w:val="22"/>
        </w:rPr>
      </w:pPr>
      <w:r w:rsidRPr="001A077A">
        <w:rPr>
          <w:rFonts w:ascii="Arial" w:hAnsi="Arial" w:cs="Arial"/>
          <w:b/>
          <w:bCs/>
          <w:sz w:val="22"/>
        </w:rPr>
        <w:t xml:space="preserve">2.2 </w:t>
      </w:r>
      <w:r w:rsidR="008C6C57" w:rsidRPr="001A077A">
        <w:rPr>
          <w:rFonts w:ascii="Arial" w:hAnsi="Arial" w:cs="Arial"/>
          <w:b/>
          <w:bCs/>
          <w:sz w:val="22"/>
        </w:rPr>
        <w:t xml:space="preserve">Participants </w:t>
      </w:r>
    </w:p>
    <w:p w14:paraId="30B02AC8" w14:textId="77777777" w:rsidR="008C6C57" w:rsidRPr="001A077A" w:rsidRDefault="008C6C57" w:rsidP="008C6C57">
      <w:pPr>
        <w:spacing w:before="100" w:beforeAutospacing="1" w:after="100" w:afterAutospacing="1"/>
        <w:jc w:val="both"/>
        <w:rPr>
          <w:rFonts w:ascii="Arial" w:hAnsi="Arial" w:cs="Arial"/>
        </w:rPr>
      </w:pPr>
      <w:r w:rsidRPr="001A077A">
        <w:rPr>
          <w:rFonts w:ascii="Arial" w:hAnsi="Arial" w:cs="Arial"/>
        </w:rPr>
        <w:t>Participants were recruited from 21 support groups linked to community-based mental health and substance use services. Eligibility criteria included being aged 18 years or older, having a documented diagnosis of substance use disorder, depression, or anxiety, and willingness to participate in both baseline and follow</w:t>
      </w:r>
      <w:r w:rsidRPr="001A077A">
        <w:rPr>
          <w:rFonts w:ascii="Arial" w:hAnsi="Arial" w:cs="Arial"/>
        </w:rPr>
        <w:noBreakHyphen/>
        <w:t xml:space="preserve">up assessments. Recruitment procedures adhered to established ethical standards, and written informed consent was obtained from all participants prior to enrolment. Participants </w:t>
      </w:r>
      <w:r w:rsidR="001A077A" w:rsidRPr="001A077A">
        <w:rPr>
          <w:rFonts w:ascii="Arial" w:hAnsi="Arial" w:cs="Arial"/>
        </w:rPr>
        <w:t>were</w:t>
      </w:r>
      <w:r w:rsidRPr="001A077A">
        <w:rPr>
          <w:rFonts w:ascii="Arial" w:hAnsi="Arial" w:cs="Arial"/>
        </w:rPr>
        <w:t xml:space="preserve"> informed of their right to discontinue at any given time for whatever reasons and would not discriminated. Due to drop outs, our sample reduced from 489 to 263 participants that completed both the baseline and follow-up assessment. The sample reflected the typical clinical profile of service users within the participating groups, with the majority presenting with co</w:t>
      </w:r>
      <w:r w:rsidRPr="001A077A">
        <w:rPr>
          <w:rFonts w:ascii="Arial" w:hAnsi="Arial" w:cs="Arial"/>
        </w:rPr>
        <w:noBreakHyphen/>
        <w:t>occurring mental health and substance use challenges. The sample was predominantly male 69% (184 respondents) and less than 25 years of age 71% (186 respondents). 119 Respondents (45%) were attending the support groups on account of alcohol and substance use disorders while 31% (82 participants) attended for depression and 24% (62 respondents) attended for anxiety.</w:t>
      </w:r>
    </w:p>
    <w:p w14:paraId="71661192" w14:textId="77777777" w:rsidR="008C6C57" w:rsidRPr="001C3A27" w:rsidRDefault="001A077A" w:rsidP="001A077A">
      <w:pPr>
        <w:spacing w:before="100" w:beforeAutospacing="1" w:after="100" w:afterAutospacing="1"/>
        <w:jc w:val="both"/>
        <w:rPr>
          <w:rFonts w:ascii="Arial" w:hAnsi="Arial" w:cs="Arial"/>
          <w:b/>
          <w:bCs/>
          <w:sz w:val="22"/>
        </w:rPr>
      </w:pPr>
      <w:r w:rsidRPr="001C3A27">
        <w:rPr>
          <w:rFonts w:ascii="Arial" w:hAnsi="Arial" w:cs="Arial"/>
          <w:b/>
          <w:bCs/>
          <w:sz w:val="22"/>
        </w:rPr>
        <w:t xml:space="preserve">2.3 </w:t>
      </w:r>
      <w:r w:rsidR="008C6C57" w:rsidRPr="001C3A27">
        <w:rPr>
          <w:rFonts w:ascii="Arial" w:hAnsi="Arial" w:cs="Arial"/>
          <w:b/>
          <w:bCs/>
          <w:sz w:val="22"/>
        </w:rPr>
        <w:t>Data Collection Procedures</w:t>
      </w:r>
    </w:p>
    <w:p w14:paraId="73BD02D9" w14:textId="77777777" w:rsidR="008C6C57" w:rsidRPr="001A077A" w:rsidRDefault="008C6C57" w:rsidP="001A077A">
      <w:pPr>
        <w:spacing w:before="100" w:beforeAutospacing="1" w:after="100" w:afterAutospacing="1"/>
        <w:jc w:val="both"/>
        <w:rPr>
          <w:rFonts w:ascii="Arial" w:hAnsi="Arial" w:cs="Arial"/>
        </w:rPr>
      </w:pPr>
      <w:r w:rsidRPr="001A077A">
        <w:rPr>
          <w:rFonts w:ascii="Arial" w:hAnsi="Arial" w:cs="Arial"/>
        </w:rPr>
        <w:t>Data were collected at two time points: at baseline (T1) and at a 9</w:t>
      </w:r>
      <w:r w:rsidRPr="001A077A">
        <w:rPr>
          <w:rFonts w:ascii="Arial" w:hAnsi="Arial" w:cs="Arial"/>
        </w:rPr>
        <w:noBreakHyphen/>
        <w:t>month follow</w:t>
      </w:r>
      <w:r w:rsidRPr="001A077A">
        <w:rPr>
          <w:rFonts w:ascii="Arial" w:hAnsi="Arial" w:cs="Arial"/>
        </w:rPr>
        <w:noBreakHyphen/>
        <w:t>up (T2). Trained research assistants administered a structured questionnaire during both assessment periods. The questionnaire captured s</w:t>
      </w:r>
      <w:r w:rsidRPr="001A077A">
        <w:rPr>
          <w:rFonts w:ascii="Arial" w:hAnsi="Arial" w:cs="Arial"/>
          <w:bCs/>
        </w:rPr>
        <w:t>ociodemographic characteristics including</w:t>
      </w:r>
      <w:r w:rsidRPr="001A077A">
        <w:rPr>
          <w:rFonts w:ascii="Arial" w:hAnsi="Arial" w:cs="Arial"/>
        </w:rPr>
        <w:t xml:space="preserve"> age, gender, primary diagnosis; </w:t>
      </w:r>
      <w:r w:rsidRPr="001A077A">
        <w:rPr>
          <w:rFonts w:ascii="Arial" w:hAnsi="Arial" w:cs="Arial"/>
          <w:bCs/>
        </w:rPr>
        <w:t>service engagement indicators including</w:t>
      </w:r>
      <w:r w:rsidRPr="001A077A">
        <w:rPr>
          <w:rFonts w:ascii="Arial" w:hAnsi="Arial" w:cs="Arial"/>
        </w:rPr>
        <w:t xml:space="preserve"> session attendance logs extracted from program records and f</w:t>
      </w:r>
      <w:r w:rsidRPr="001A077A">
        <w:rPr>
          <w:rFonts w:ascii="Arial" w:hAnsi="Arial" w:cs="Arial"/>
          <w:bCs/>
        </w:rPr>
        <w:t>acilitator competence</w:t>
      </w:r>
      <w:r w:rsidRPr="001A077A">
        <w:rPr>
          <w:rFonts w:ascii="Arial" w:hAnsi="Arial" w:cs="Arial"/>
        </w:rPr>
        <w:t xml:space="preserve"> assessed using a newly developed Likert</w:t>
      </w:r>
      <w:r w:rsidRPr="001A077A">
        <w:rPr>
          <w:rFonts w:ascii="Arial" w:hAnsi="Arial" w:cs="Arial"/>
        </w:rPr>
        <w:noBreakHyphen/>
        <w:t xml:space="preserve">scale instrument designed to measure participants’ perceptions of facilitator skill, clarity, empathy, and consistency. </w:t>
      </w:r>
    </w:p>
    <w:p w14:paraId="352345EE" w14:textId="77777777" w:rsidR="008C6C57" w:rsidRPr="001A077A" w:rsidRDefault="008C6C57" w:rsidP="001A077A">
      <w:pPr>
        <w:spacing w:before="100" w:beforeAutospacing="1" w:after="100" w:afterAutospacing="1"/>
        <w:jc w:val="both"/>
        <w:rPr>
          <w:rFonts w:ascii="Arial" w:hAnsi="Arial" w:cs="Arial"/>
        </w:rPr>
      </w:pPr>
      <w:r w:rsidRPr="001A077A">
        <w:rPr>
          <w:rFonts w:ascii="Arial" w:hAnsi="Arial" w:cs="Arial"/>
        </w:rPr>
        <w:t xml:space="preserve">In addition to these variables, validated psychometric instruments were administered to assess clinical and functional outcomes including the </w:t>
      </w:r>
      <w:r w:rsidRPr="001A077A">
        <w:rPr>
          <w:rFonts w:ascii="Arial" w:hAnsi="Arial" w:cs="Arial"/>
          <w:bCs/>
        </w:rPr>
        <w:t>Patient Health Questionnaire</w:t>
      </w:r>
      <w:r w:rsidRPr="001A077A">
        <w:rPr>
          <w:rFonts w:ascii="Arial" w:hAnsi="Arial" w:cs="Arial"/>
          <w:bCs/>
        </w:rPr>
        <w:noBreakHyphen/>
        <w:t>9 (PHQ</w:t>
      </w:r>
      <w:r w:rsidRPr="001A077A">
        <w:rPr>
          <w:rFonts w:ascii="Arial" w:hAnsi="Arial" w:cs="Arial"/>
          <w:bCs/>
        </w:rPr>
        <w:noBreakHyphen/>
        <w:t>9):</w:t>
      </w:r>
      <w:r w:rsidRPr="001A077A">
        <w:rPr>
          <w:rFonts w:ascii="Arial" w:hAnsi="Arial" w:cs="Arial"/>
        </w:rPr>
        <w:t xml:space="preserve"> a widely used measure of depressive symptom severity and the </w:t>
      </w:r>
      <w:r w:rsidRPr="001A077A">
        <w:rPr>
          <w:rFonts w:ascii="Arial" w:hAnsi="Arial" w:cs="Arial"/>
          <w:bCs/>
        </w:rPr>
        <w:t>WHO Quality of Life – BREF (WHOQOL</w:t>
      </w:r>
      <w:r w:rsidRPr="001A077A">
        <w:rPr>
          <w:rFonts w:ascii="Arial" w:hAnsi="Arial" w:cs="Arial"/>
          <w:bCs/>
        </w:rPr>
        <w:noBreakHyphen/>
        <w:t>BREF):</w:t>
      </w:r>
      <w:r w:rsidRPr="001A077A">
        <w:rPr>
          <w:rFonts w:ascii="Arial" w:hAnsi="Arial" w:cs="Arial"/>
        </w:rPr>
        <w:t xml:space="preserve"> assessing physical, psychological, social, and environmental domains of quality of life. All instruments were administered in their standard formats, and scoring procedures followed published guidelines.</w:t>
      </w:r>
    </w:p>
    <w:p w14:paraId="253E821F" w14:textId="77777777" w:rsidR="008C6C57" w:rsidRPr="001A077A" w:rsidRDefault="001A077A" w:rsidP="001A077A">
      <w:pPr>
        <w:spacing w:before="100" w:beforeAutospacing="1" w:after="100" w:afterAutospacing="1"/>
        <w:jc w:val="both"/>
        <w:outlineLvl w:val="2"/>
        <w:rPr>
          <w:rFonts w:ascii="Arial" w:hAnsi="Arial" w:cs="Arial"/>
          <w:b/>
          <w:bCs/>
          <w:sz w:val="22"/>
        </w:rPr>
      </w:pPr>
      <w:r>
        <w:rPr>
          <w:rFonts w:ascii="Arial" w:hAnsi="Arial" w:cs="Arial"/>
          <w:b/>
          <w:bCs/>
          <w:sz w:val="22"/>
        </w:rPr>
        <w:t xml:space="preserve">2.4 </w:t>
      </w:r>
      <w:r w:rsidR="008C6C57" w:rsidRPr="001A077A">
        <w:rPr>
          <w:rFonts w:ascii="Arial" w:hAnsi="Arial" w:cs="Arial"/>
          <w:b/>
          <w:bCs/>
          <w:sz w:val="22"/>
        </w:rPr>
        <w:t>Data Management and Statistical Analysis</w:t>
      </w:r>
    </w:p>
    <w:p w14:paraId="6A129DC0" w14:textId="77777777" w:rsidR="008C6C57" w:rsidRPr="001A077A" w:rsidRDefault="008C6C57" w:rsidP="001A077A">
      <w:pPr>
        <w:spacing w:before="100" w:beforeAutospacing="1" w:after="100" w:afterAutospacing="1"/>
        <w:jc w:val="both"/>
        <w:outlineLvl w:val="2"/>
        <w:rPr>
          <w:rFonts w:ascii="Arial" w:hAnsi="Arial" w:cs="Arial"/>
          <w:b/>
          <w:bCs/>
        </w:rPr>
      </w:pPr>
      <w:r w:rsidRPr="001A077A">
        <w:rPr>
          <w:rFonts w:ascii="Arial" w:hAnsi="Arial" w:cs="Arial"/>
        </w:rPr>
        <w:t>Data were entered, cleaned, and analyzed using IBM SPSS Statistics (version 21). Descriptive statistics were computed to summarize participant characteristics and baseline measures while associations between facilitator competence, symptom severity, and quality</w:t>
      </w:r>
      <w:r w:rsidRPr="001A077A">
        <w:rPr>
          <w:rFonts w:ascii="Arial" w:hAnsi="Arial" w:cs="Arial"/>
        </w:rPr>
        <w:noBreakHyphen/>
        <w:t>of</w:t>
      </w:r>
      <w:r w:rsidRPr="001A077A">
        <w:rPr>
          <w:rFonts w:ascii="Arial" w:hAnsi="Arial" w:cs="Arial"/>
        </w:rPr>
        <w:noBreakHyphen/>
        <w:t>life outcomes, were calculated using the Pearson’s correlation coefficients. we further explored these relationships using linear regression analyses, with follow</w:t>
      </w:r>
      <w:r w:rsidRPr="001A077A">
        <w:rPr>
          <w:rFonts w:ascii="Arial" w:hAnsi="Arial" w:cs="Arial"/>
        </w:rPr>
        <w:noBreakHyphen/>
        <w:t>up PHQ</w:t>
      </w:r>
      <w:r w:rsidRPr="001A077A">
        <w:rPr>
          <w:rFonts w:ascii="Arial" w:hAnsi="Arial" w:cs="Arial"/>
        </w:rPr>
        <w:noBreakHyphen/>
        <w:t>9 and WHOQOL</w:t>
      </w:r>
      <w:r w:rsidRPr="001A077A">
        <w:rPr>
          <w:rFonts w:ascii="Arial" w:hAnsi="Arial" w:cs="Arial"/>
        </w:rPr>
        <w:noBreakHyphen/>
        <w:t xml:space="preserve">BREF scores entered as dependent variables and baseline characteristics, attendance, and facilitator competence ratings included as predictor variables. Statistical significance was set at </w:t>
      </w:r>
      <w:r w:rsidRPr="001A077A">
        <w:rPr>
          <w:rFonts w:ascii="Arial" w:hAnsi="Arial" w:cs="Arial"/>
          <w:i/>
          <w:iCs/>
        </w:rPr>
        <w:t>p</w:t>
      </w:r>
      <w:r w:rsidRPr="001A077A">
        <w:rPr>
          <w:rFonts w:ascii="Arial" w:hAnsi="Arial" w:cs="Arial"/>
        </w:rPr>
        <w:t xml:space="preserve"> &lt; .05.</w:t>
      </w:r>
    </w:p>
    <w:p w14:paraId="673ABB52" w14:textId="77777777" w:rsidR="008C6C57" w:rsidRPr="001A077A" w:rsidRDefault="001A077A" w:rsidP="001A077A">
      <w:pPr>
        <w:spacing w:before="100" w:beforeAutospacing="1" w:after="100" w:afterAutospacing="1"/>
        <w:jc w:val="both"/>
        <w:outlineLvl w:val="2"/>
        <w:rPr>
          <w:rFonts w:ascii="Arial" w:hAnsi="Arial" w:cs="Arial"/>
          <w:b/>
          <w:bCs/>
          <w:sz w:val="22"/>
        </w:rPr>
      </w:pPr>
      <w:r>
        <w:rPr>
          <w:rFonts w:ascii="Arial" w:hAnsi="Arial" w:cs="Arial"/>
          <w:b/>
          <w:bCs/>
          <w:sz w:val="22"/>
        </w:rPr>
        <w:t xml:space="preserve">2.5 </w:t>
      </w:r>
      <w:r w:rsidR="008C6C57" w:rsidRPr="001A077A">
        <w:rPr>
          <w:rFonts w:ascii="Arial" w:hAnsi="Arial" w:cs="Arial"/>
          <w:b/>
          <w:bCs/>
          <w:sz w:val="22"/>
        </w:rPr>
        <w:t>Ethical Considerations</w:t>
      </w:r>
    </w:p>
    <w:p w14:paraId="53311A32" w14:textId="77777777" w:rsidR="00790ADA" w:rsidRPr="00FB3A86" w:rsidRDefault="008C6C57" w:rsidP="001C3A27">
      <w:pPr>
        <w:spacing w:before="100" w:beforeAutospacing="1" w:after="100" w:afterAutospacing="1"/>
        <w:jc w:val="both"/>
        <w:rPr>
          <w:rFonts w:ascii="Arial" w:hAnsi="Arial" w:cs="Arial"/>
        </w:rPr>
      </w:pPr>
      <w:r w:rsidRPr="001A077A">
        <w:rPr>
          <w:rFonts w:ascii="Arial" w:hAnsi="Arial" w:cs="Arial"/>
        </w:rPr>
        <w:lastRenderedPageBreak/>
        <w:t>Ethical approval for the study was obtained from the Blue University of Excellence Research Ethics Committee. All procedures complied with the ethical principles outlined in the Declaration of Helsinki. Participant confidentiality was maintained through anonymized data handling and secure storage of all research materials.</w:t>
      </w:r>
    </w:p>
    <w:p w14:paraId="1DC6CF1A" w14:textId="77777777" w:rsidR="00790ADA" w:rsidRPr="00FB3A86" w:rsidRDefault="00790ADA" w:rsidP="00441B6F">
      <w:pPr>
        <w:pStyle w:val="Body"/>
        <w:spacing w:after="0"/>
        <w:rPr>
          <w:rFonts w:ascii="Arial" w:hAnsi="Arial" w:cs="Arial"/>
        </w:rPr>
      </w:pPr>
    </w:p>
    <w:p w14:paraId="6F03D13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07F053A" w14:textId="77777777" w:rsidR="001C3A27" w:rsidRPr="00743249" w:rsidRDefault="001C3A27" w:rsidP="001C3A27">
      <w:pPr>
        <w:pStyle w:val="Heading2"/>
        <w:spacing w:before="224" w:after="224"/>
        <w:textAlignment w:val="center"/>
        <w:rPr>
          <w:rFonts w:ascii="Arial" w:hAnsi="Arial" w:cs="Arial"/>
          <w:b/>
          <w:color w:val="000000"/>
          <w:sz w:val="20"/>
          <w:szCs w:val="20"/>
        </w:rPr>
      </w:pPr>
      <w:r w:rsidRPr="00743249">
        <w:rPr>
          <w:rFonts w:ascii="Arial" w:hAnsi="Arial" w:cs="Arial"/>
          <w:b/>
          <w:color w:val="000000"/>
          <w:sz w:val="20"/>
          <w:szCs w:val="20"/>
        </w:rPr>
        <w:t>Table 1 Paired Samples T-Test</w:t>
      </w:r>
    </w:p>
    <w:tbl>
      <w:tblPr>
        <w:tblW w:w="0" w:type="auto"/>
        <w:tblCellMar>
          <w:left w:w="0" w:type="dxa"/>
          <w:right w:w="0" w:type="dxa"/>
        </w:tblCellMar>
        <w:tblLook w:val="04A0" w:firstRow="1" w:lastRow="0" w:firstColumn="1" w:lastColumn="0" w:noHBand="0" w:noVBand="1"/>
      </w:tblPr>
      <w:tblGrid>
        <w:gridCol w:w="829"/>
        <w:gridCol w:w="184"/>
        <w:gridCol w:w="232"/>
        <w:gridCol w:w="184"/>
        <w:gridCol w:w="830"/>
        <w:gridCol w:w="185"/>
        <w:gridCol w:w="967"/>
        <w:gridCol w:w="185"/>
        <w:gridCol w:w="702"/>
        <w:gridCol w:w="185"/>
        <w:gridCol w:w="284"/>
        <w:gridCol w:w="247"/>
        <w:gridCol w:w="663"/>
        <w:gridCol w:w="185"/>
        <w:gridCol w:w="908"/>
        <w:gridCol w:w="265"/>
        <w:gridCol w:w="908"/>
        <w:gridCol w:w="265"/>
      </w:tblGrid>
      <w:tr w:rsidR="001C3A27" w:rsidRPr="001C3A27" w14:paraId="4E12320E" w14:textId="77777777" w:rsidTr="00D540CA">
        <w:trPr>
          <w:tblHeader/>
        </w:trPr>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23F8437C"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Measure 1</w:t>
            </w:r>
          </w:p>
        </w:tc>
        <w:tc>
          <w:tcPr>
            <w:tcW w:w="0" w:type="auto"/>
            <w:gridSpan w:val="2"/>
            <w:tcBorders>
              <w:top w:val="single" w:sz="4" w:space="0" w:color="auto"/>
              <w:left w:val="nil"/>
              <w:bottom w:val="single" w:sz="6" w:space="0" w:color="000000"/>
              <w:right w:val="nil"/>
            </w:tcBorders>
            <w:tcMar>
              <w:top w:w="45" w:type="dxa"/>
              <w:left w:w="0" w:type="dxa"/>
              <w:bottom w:w="45" w:type="dxa"/>
              <w:right w:w="0" w:type="dxa"/>
            </w:tcMar>
            <w:vAlign w:val="center"/>
            <w:hideMark/>
          </w:tcPr>
          <w:p w14:paraId="0641B57B"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 </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21DBEEF6"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Measure 2</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0D6B2933"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W</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631852D8"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z</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372F0B56"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df</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22D2C2C0"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p</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0A8617CB"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Rank-Biserial Correlation</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554B8AA1"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SE Rank-Biserial Correlation</w:t>
            </w:r>
          </w:p>
        </w:tc>
      </w:tr>
      <w:tr w:rsidR="001C3A27" w:rsidRPr="001C3A27" w14:paraId="5404DBF9" w14:textId="77777777" w:rsidTr="00D540CA">
        <w:tc>
          <w:tcPr>
            <w:tcW w:w="0" w:type="auto"/>
            <w:tcBorders>
              <w:top w:val="nil"/>
              <w:left w:val="nil"/>
              <w:bottom w:val="nil"/>
              <w:right w:val="nil"/>
            </w:tcBorders>
            <w:tcMar>
              <w:top w:w="162" w:type="dxa"/>
              <w:left w:w="180" w:type="dxa"/>
              <w:bottom w:w="15" w:type="dxa"/>
              <w:right w:w="0" w:type="dxa"/>
            </w:tcMar>
            <w:vAlign w:val="center"/>
            <w:hideMark/>
          </w:tcPr>
          <w:p w14:paraId="2B172EAF" w14:textId="77777777" w:rsidR="001C3A27" w:rsidRPr="001C3A27" w:rsidRDefault="001C3A27" w:rsidP="001C3A27">
            <w:pPr>
              <w:spacing w:after="144" w:line="360" w:lineRule="auto"/>
              <w:rPr>
                <w:rFonts w:ascii="Arial" w:hAnsi="Arial" w:cs="Arial"/>
                <w:color w:val="000000"/>
              </w:rPr>
            </w:pPr>
            <w:r w:rsidRPr="001C3A27">
              <w:rPr>
                <w:rFonts w:ascii="Arial" w:hAnsi="Arial" w:cs="Arial"/>
                <w:color w:val="000000"/>
              </w:rPr>
              <w:t>Severity at baseline</w:t>
            </w:r>
          </w:p>
        </w:tc>
        <w:tc>
          <w:tcPr>
            <w:tcW w:w="0" w:type="auto"/>
            <w:tcBorders>
              <w:top w:val="nil"/>
              <w:left w:val="nil"/>
              <w:bottom w:val="nil"/>
              <w:right w:val="nil"/>
            </w:tcBorders>
            <w:tcMar>
              <w:top w:w="162" w:type="dxa"/>
              <w:left w:w="0" w:type="dxa"/>
              <w:bottom w:w="15" w:type="dxa"/>
              <w:right w:w="180" w:type="dxa"/>
            </w:tcMar>
            <w:vAlign w:val="center"/>
            <w:hideMark/>
          </w:tcPr>
          <w:p w14:paraId="3366C31F" w14:textId="77777777" w:rsidR="001C3A27" w:rsidRPr="001C3A27" w:rsidRDefault="001C3A27" w:rsidP="001C3A27">
            <w:pPr>
              <w:spacing w:after="144" w:line="360" w:lineRule="auto"/>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0858440C"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w:t>
            </w:r>
          </w:p>
        </w:tc>
        <w:tc>
          <w:tcPr>
            <w:tcW w:w="0" w:type="auto"/>
            <w:tcBorders>
              <w:top w:val="nil"/>
              <w:left w:val="nil"/>
              <w:bottom w:val="nil"/>
              <w:right w:val="nil"/>
            </w:tcBorders>
            <w:tcMar>
              <w:top w:w="162" w:type="dxa"/>
              <w:left w:w="0" w:type="dxa"/>
              <w:bottom w:w="15" w:type="dxa"/>
              <w:right w:w="180" w:type="dxa"/>
            </w:tcMar>
            <w:vAlign w:val="center"/>
            <w:hideMark/>
          </w:tcPr>
          <w:p w14:paraId="3D373449" w14:textId="77777777" w:rsidR="001C3A27" w:rsidRPr="001C3A27" w:rsidRDefault="001C3A27" w:rsidP="001C3A27">
            <w:pPr>
              <w:spacing w:after="144" w:line="36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09DDA9A4" w14:textId="77777777" w:rsidR="001C3A27" w:rsidRPr="001C3A27" w:rsidRDefault="001C3A27" w:rsidP="001C3A27">
            <w:pPr>
              <w:spacing w:after="144" w:line="360" w:lineRule="auto"/>
              <w:rPr>
                <w:rFonts w:ascii="Arial" w:hAnsi="Arial" w:cs="Arial"/>
                <w:color w:val="000000"/>
              </w:rPr>
            </w:pPr>
            <w:r w:rsidRPr="001C3A27">
              <w:rPr>
                <w:rFonts w:ascii="Arial" w:hAnsi="Arial" w:cs="Arial"/>
                <w:color w:val="000000"/>
              </w:rPr>
              <w:t>Severity at 9 Months</w:t>
            </w:r>
          </w:p>
        </w:tc>
        <w:tc>
          <w:tcPr>
            <w:tcW w:w="0" w:type="auto"/>
            <w:tcBorders>
              <w:top w:val="nil"/>
              <w:left w:val="nil"/>
              <w:bottom w:val="nil"/>
              <w:right w:val="nil"/>
            </w:tcBorders>
            <w:tcMar>
              <w:top w:w="162" w:type="dxa"/>
              <w:left w:w="0" w:type="dxa"/>
              <w:bottom w:w="15" w:type="dxa"/>
              <w:right w:w="180" w:type="dxa"/>
            </w:tcMar>
            <w:vAlign w:val="center"/>
            <w:hideMark/>
          </w:tcPr>
          <w:p w14:paraId="17C1B93E" w14:textId="77777777" w:rsidR="001C3A27" w:rsidRPr="001C3A27" w:rsidRDefault="001C3A27" w:rsidP="001C3A27">
            <w:pPr>
              <w:spacing w:after="144" w:line="360" w:lineRule="auto"/>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7DEC4FFE"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23576.000</w:t>
            </w:r>
          </w:p>
        </w:tc>
        <w:tc>
          <w:tcPr>
            <w:tcW w:w="0" w:type="auto"/>
            <w:tcBorders>
              <w:top w:val="nil"/>
              <w:left w:val="nil"/>
              <w:bottom w:val="nil"/>
              <w:right w:val="nil"/>
            </w:tcBorders>
            <w:tcMar>
              <w:top w:w="162" w:type="dxa"/>
              <w:left w:w="0" w:type="dxa"/>
              <w:bottom w:w="15" w:type="dxa"/>
              <w:right w:w="180" w:type="dxa"/>
            </w:tcMar>
            <w:vAlign w:val="center"/>
            <w:hideMark/>
          </w:tcPr>
          <w:p w14:paraId="6DC5C69F" w14:textId="77777777" w:rsidR="001C3A27" w:rsidRPr="001C3A27" w:rsidRDefault="001C3A27" w:rsidP="001C3A27">
            <w:pPr>
              <w:spacing w:after="144" w:line="36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5761ABA2"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11.496</w:t>
            </w:r>
          </w:p>
        </w:tc>
        <w:tc>
          <w:tcPr>
            <w:tcW w:w="0" w:type="auto"/>
            <w:tcBorders>
              <w:top w:val="nil"/>
              <w:left w:val="nil"/>
              <w:bottom w:val="nil"/>
              <w:right w:val="nil"/>
            </w:tcBorders>
            <w:tcMar>
              <w:top w:w="162" w:type="dxa"/>
              <w:left w:w="0" w:type="dxa"/>
              <w:bottom w:w="15" w:type="dxa"/>
              <w:right w:w="180" w:type="dxa"/>
            </w:tcMar>
            <w:vAlign w:val="center"/>
            <w:hideMark/>
          </w:tcPr>
          <w:p w14:paraId="59025904" w14:textId="77777777" w:rsidR="001C3A27" w:rsidRPr="001C3A27" w:rsidRDefault="001C3A27" w:rsidP="001C3A27">
            <w:pPr>
              <w:spacing w:after="144" w:line="36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4A1DCF43" w14:textId="77777777" w:rsidR="001C3A27" w:rsidRPr="001C3A27" w:rsidRDefault="001C3A27" w:rsidP="001C3A27">
            <w:pPr>
              <w:spacing w:after="144" w:line="360" w:lineRule="auto"/>
              <w:rPr>
                <w:rFonts w:ascii="Arial" w:hAnsi="Arial" w:cs="Arial"/>
              </w:rPr>
            </w:pPr>
          </w:p>
        </w:tc>
        <w:tc>
          <w:tcPr>
            <w:tcW w:w="0" w:type="auto"/>
            <w:tcBorders>
              <w:top w:val="nil"/>
              <w:left w:val="nil"/>
              <w:bottom w:val="nil"/>
              <w:right w:val="nil"/>
            </w:tcBorders>
            <w:tcMar>
              <w:top w:w="162" w:type="dxa"/>
              <w:left w:w="0" w:type="dxa"/>
              <w:bottom w:w="15" w:type="dxa"/>
              <w:right w:w="180" w:type="dxa"/>
            </w:tcMar>
            <w:vAlign w:val="center"/>
            <w:hideMark/>
          </w:tcPr>
          <w:p w14:paraId="74A50AE3" w14:textId="77777777" w:rsidR="001C3A27" w:rsidRPr="001C3A27" w:rsidRDefault="001C3A27" w:rsidP="001C3A27">
            <w:pPr>
              <w:spacing w:after="144" w:line="360" w:lineRule="auto"/>
              <w:jc w:val="right"/>
              <w:rPr>
                <w:rFonts w:ascii="Arial" w:hAnsi="Arial" w:cs="Arial"/>
              </w:rPr>
            </w:pPr>
          </w:p>
        </w:tc>
        <w:tc>
          <w:tcPr>
            <w:tcW w:w="0" w:type="auto"/>
            <w:tcBorders>
              <w:top w:val="nil"/>
              <w:left w:val="nil"/>
              <w:bottom w:val="nil"/>
              <w:right w:val="nil"/>
            </w:tcBorders>
            <w:tcMar>
              <w:top w:w="162" w:type="dxa"/>
              <w:left w:w="180" w:type="dxa"/>
              <w:bottom w:w="15" w:type="dxa"/>
              <w:right w:w="0" w:type="dxa"/>
            </w:tcMar>
            <w:vAlign w:val="center"/>
            <w:hideMark/>
          </w:tcPr>
          <w:p w14:paraId="7A9FA697"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&lt; .001</w:t>
            </w:r>
          </w:p>
        </w:tc>
        <w:tc>
          <w:tcPr>
            <w:tcW w:w="0" w:type="auto"/>
            <w:tcBorders>
              <w:top w:val="nil"/>
              <w:left w:val="nil"/>
              <w:bottom w:val="nil"/>
              <w:right w:val="nil"/>
            </w:tcBorders>
            <w:tcMar>
              <w:top w:w="162" w:type="dxa"/>
              <w:left w:w="0" w:type="dxa"/>
              <w:bottom w:w="15" w:type="dxa"/>
              <w:right w:w="180" w:type="dxa"/>
            </w:tcMar>
            <w:vAlign w:val="center"/>
            <w:hideMark/>
          </w:tcPr>
          <w:p w14:paraId="59C6E012" w14:textId="77777777" w:rsidR="001C3A27" w:rsidRPr="001C3A27" w:rsidRDefault="001C3A27" w:rsidP="001C3A27">
            <w:pPr>
              <w:spacing w:after="144" w:line="36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3D8EFE10"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0.888</w:t>
            </w:r>
          </w:p>
        </w:tc>
        <w:tc>
          <w:tcPr>
            <w:tcW w:w="0" w:type="auto"/>
            <w:tcBorders>
              <w:top w:val="nil"/>
              <w:left w:val="nil"/>
              <w:bottom w:val="nil"/>
              <w:right w:val="nil"/>
            </w:tcBorders>
            <w:tcMar>
              <w:top w:w="162" w:type="dxa"/>
              <w:left w:w="0" w:type="dxa"/>
              <w:bottom w:w="15" w:type="dxa"/>
              <w:right w:w="180" w:type="dxa"/>
            </w:tcMar>
            <w:vAlign w:val="center"/>
            <w:hideMark/>
          </w:tcPr>
          <w:p w14:paraId="31B57864" w14:textId="77777777" w:rsidR="001C3A27" w:rsidRPr="001C3A27" w:rsidRDefault="001C3A27" w:rsidP="001C3A27">
            <w:pPr>
              <w:spacing w:after="144" w:line="36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19D8603C"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0.077</w:t>
            </w:r>
          </w:p>
        </w:tc>
        <w:tc>
          <w:tcPr>
            <w:tcW w:w="0" w:type="auto"/>
            <w:tcBorders>
              <w:top w:val="nil"/>
              <w:left w:val="nil"/>
              <w:bottom w:val="nil"/>
              <w:right w:val="nil"/>
            </w:tcBorders>
            <w:tcMar>
              <w:top w:w="162" w:type="dxa"/>
              <w:left w:w="0" w:type="dxa"/>
              <w:bottom w:w="15" w:type="dxa"/>
              <w:right w:w="180" w:type="dxa"/>
            </w:tcMar>
            <w:vAlign w:val="center"/>
            <w:hideMark/>
          </w:tcPr>
          <w:p w14:paraId="1CF0915A" w14:textId="77777777" w:rsidR="001C3A27" w:rsidRPr="001C3A27" w:rsidRDefault="001C3A27" w:rsidP="001C3A27">
            <w:pPr>
              <w:spacing w:after="144" w:line="360" w:lineRule="auto"/>
              <w:jc w:val="right"/>
              <w:rPr>
                <w:rFonts w:ascii="Arial" w:hAnsi="Arial" w:cs="Arial"/>
                <w:color w:val="000000"/>
              </w:rPr>
            </w:pPr>
          </w:p>
        </w:tc>
      </w:tr>
      <w:tr w:rsidR="001C3A27" w:rsidRPr="001C3A27" w14:paraId="605D122B" w14:textId="77777777" w:rsidTr="00D540CA">
        <w:tc>
          <w:tcPr>
            <w:tcW w:w="0" w:type="auto"/>
            <w:gridSpan w:val="18"/>
            <w:tcBorders>
              <w:top w:val="nil"/>
              <w:left w:val="nil"/>
              <w:bottom w:val="single" w:sz="12" w:space="0" w:color="000000"/>
              <w:right w:val="nil"/>
            </w:tcBorders>
            <w:tcMar>
              <w:top w:w="15" w:type="dxa"/>
              <w:left w:w="15" w:type="dxa"/>
              <w:bottom w:w="15" w:type="dxa"/>
              <w:right w:w="15" w:type="dxa"/>
            </w:tcMar>
            <w:vAlign w:val="center"/>
            <w:hideMark/>
          </w:tcPr>
          <w:p w14:paraId="5977B4B9" w14:textId="77777777" w:rsidR="001C3A27" w:rsidRPr="001C3A27" w:rsidRDefault="001C3A27" w:rsidP="001C3A27">
            <w:pPr>
              <w:spacing w:after="144" w:line="360" w:lineRule="auto"/>
              <w:rPr>
                <w:rFonts w:ascii="Arial" w:hAnsi="Arial" w:cs="Arial"/>
              </w:rPr>
            </w:pPr>
          </w:p>
        </w:tc>
      </w:tr>
      <w:tr w:rsidR="001C3A27" w:rsidRPr="001C3A27" w14:paraId="1EBC1DB8" w14:textId="77777777" w:rsidTr="00D540CA">
        <w:tc>
          <w:tcPr>
            <w:tcW w:w="0" w:type="auto"/>
            <w:gridSpan w:val="18"/>
            <w:tcBorders>
              <w:top w:val="nil"/>
              <w:left w:val="nil"/>
              <w:bottom w:val="nil"/>
              <w:right w:val="nil"/>
            </w:tcBorders>
            <w:tcMar>
              <w:top w:w="15" w:type="dxa"/>
              <w:left w:w="15" w:type="dxa"/>
              <w:bottom w:w="15" w:type="dxa"/>
              <w:right w:w="15" w:type="dxa"/>
            </w:tcMar>
            <w:vAlign w:val="center"/>
            <w:hideMark/>
          </w:tcPr>
          <w:p w14:paraId="6D8EEA36" w14:textId="77777777" w:rsidR="001C3A27" w:rsidRPr="001C3A27" w:rsidRDefault="001C3A27" w:rsidP="001C3A27">
            <w:pPr>
              <w:spacing w:line="360" w:lineRule="auto"/>
              <w:rPr>
                <w:rFonts w:ascii="Arial" w:hAnsi="Arial" w:cs="Arial"/>
                <w:color w:val="000000"/>
              </w:rPr>
            </w:pPr>
            <w:r w:rsidRPr="001C3A27">
              <w:rPr>
                <w:rStyle w:val="Emphasis"/>
                <w:rFonts w:ascii="Arial" w:hAnsi="Arial" w:cs="Arial"/>
                <w:color w:val="000000"/>
              </w:rPr>
              <w:t>Note.</w:t>
            </w:r>
            <w:r w:rsidRPr="001C3A27">
              <w:rPr>
                <w:rFonts w:ascii="Arial" w:hAnsi="Arial" w:cs="Arial"/>
                <w:color w:val="000000"/>
              </w:rPr>
              <w:t xml:space="preserve">  Wilcoxon signed-rank test.</w:t>
            </w:r>
          </w:p>
        </w:tc>
      </w:tr>
    </w:tbl>
    <w:p w14:paraId="31CCD850" w14:textId="77777777" w:rsidR="001C3A27" w:rsidRDefault="001C3A27" w:rsidP="001C3A27">
      <w:pPr>
        <w:jc w:val="both"/>
        <w:rPr>
          <w:rFonts w:ascii="Arial" w:hAnsi="Arial" w:cs="Arial"/>
        </w:rPr>
      </w:pPr>
      <w:r w:rsidRPr="001C3A27">
        <w:rPr>
          <w:rFonts w:ascii="Arial" w:hAnsi="Arial" w:cs="Arial"/>
        </w:rPr>
        <w:t>Table 1 revealed a significant decrease in symptom severity from baseline (M = 3.992, SD = 0.829) to the 9-month follow-up (M = 2.209, SD = 1.691). Due to significant deviations from normality observed in the Shapiro-Wilk tests for both measurements (p &lt; .001), a non-parametric Wilcoxon signed-rank test was utilized. The results indicated a highly statistically significant reduction in symptom severity after 9 months (Z = 11.496, p &lt; .001). The large rank-biserial correlation (</w:t>
      </w:r>
      <w:proofErr w:type="spellStart"/>
      <w:r w:rsidRPr="001C3A27">
        <w:rPr>
          <w:rFonts w:ascii="Arial" w:hAnsi="Arial" w:cs="Arial"/>
        </w:rPr>
        <w:t>r</w:t>
      </w:r>
      <w:r w:rsidRPr="001C3A27">
        <w:rPr>
          <w:rFonts w:ascii="Arial" w:hAnsi="Arial" w:cs="Arial"/>
          <w:vertAlign w:val="subscript"/>
        </w:rPr>
        <w:t>rb</w:t>
      </w:r>
      <w:proofErr w:type="spellEnd"/>
      <w:r w:rsidRPr="001C3A27">
        <w:rPr>
          <w:rFonts w:ascii="Arial" w:hAnsi="Arial" w:cs="Arial"/>
        </w:rPr>
        <w:t xml:space="preserve"> = 0.888) suggests a strong effect of the support group intervention.</w:t>
      </w:r>
    </w:p>
    <w:p w14:paraId="1A933EF2" w14:textId="77777777" w:rsidR="001C3A27" w:rsidRPr="001C3A27" w:rsidRDefault="001C3A27" w:rsidP="001C3A27">
      <w:pPr>
        <w:jc w:val="both"/>
        <w:rPr>
          <w:rFonts w:ascii="Arial" w:hAnsi="Arial" w:cs="Arial"/>
        </w:rPr>
      </w:pPr>
    </w:p>
    <w:p w14:paraId="1DE28123" w14:textId="77777777" w:rsidR="001C3A27" w:rsidRPr="001C3A27" w:rsidRDefault="001C3A27" w:rsidP="001C3A27">
      <w:pPr>
        <w:rPr>
          <w:rFonts w:ascii="Arial" w:hAnsi="Arial" w:cs="Arial"/>
          <w:b/>
        </w:rPr>
      </w:pPr>
      <w:r w:rsidRPr="001C3A27">
        <w:rPr>
          <w:rFonts w:ascii="Arial" w:hAnsi="Arial" w:cs="Arial"/>
          <w:b/>
        </w:rPr>
        <w:t xml:space="preserve">Table 2 Pearson correlation between variables </w:t>
      </w:r>
    </w:p>
    <w:tbl>
      <w:tblPr>
        <w:tblW w:w="8510" w:type="dxa"/>
        <w:tblInd w:w="-18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425"/>
        <w:gridCol w:w="540"/>
        <w:gridCol w:w="360"/>
        <w:gridCol w:w="990"/>
        <w:gridCol w:w="810"/>
        <w:gridCol w:w="810"/>
        <w:gridCol w:w="810"/>
        <w:gridCol w:w="604"/>
        <w:gridCol w:w="161"/>
      </w:tblGrid>
      <w:tr w:rsidR="00FD26DD" w:rsidRPr="001C3A27" w14:paraId="4930E25B" w14:textId="77777777" w:rsidTr="00FD26DD">
        <w:trPr>
          <w:trHeight w:val="381"/>
          <w:tblHeader/>
        </w:trPr>
        <w:tc>
          <w:tcPr>
            <w:tcW w:w="3425" w:type="dxa"/>
            <w:tcBorders>
              <w:top w:val="single" w:sz="4" w:space="0" w:color="auto"/>
              <w:bottom w:val="single" w:sz="4" w:space="0" w:color="auto"/>
            </w:tcBorders>
            <w:tcMar>
              <w:top w:w="45" w:type="dxa"/>
              <w:left w:w="180" w:type="dxa"/>
              <w:bottom w:w="45" w:type="dxa"/>
              <w:right w:w="180" w:type="dxa"/>
            </w:tcMar>
            <w:vAlign w:val="center"/>
            <w:hideMark/>
          </w:tcPr>
          <w:p w14:paraId="1580F089"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Variable</w:t>
            </w:r>
          </w:p>
        </w:tc>
        <w:tc>
          <w:tcPr>
            <w:tcW w:w="900" w:type="dxa"/>
            <w:gridSpan w:val="2"/>
            <w:tcBorders>
              <w:top w:val="single" w:sz="4" w:space="0" w:color="auto"/>
              <w:bottom w:val="single" w:sz="4" w:space="0" w:color="auto"/>
            </w:tcBorders>
            <w:tcMar>
              <w:top w:w="45" w:type="dxa"/>
              <w:left w:w="180" w:type="dxa"/>
              <w:bottom w:w="45" w:type="dxa"/>
              <w:right w:w="180" w:type="dxa"/>
            </w:tcMar>
            <w:vAlign w:val="center"/>
            <w:hideMark/>
          </w:tcPr>
          <w:p w14:paraId="0E9882ED"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1</w:t>
            </w:r>
          </w:p>
        </w:tc>
        <w:tc>
          <w:tcPr>
            <w:tcW w:w="990" w:type="dxa"/>
            <w:tcBorders>
              <w:top w:val="single" w:sz="4" w:space="0" w:color="auto"/>
              <w:bottom w:val="single" w:sz="4" w:space="0" w:color="auto"/>
            </w:tcBorders>
            <w:tcMar>
              <w:top w:w="45" w:type="dxa"/>
              <w:left w:w="180" w:type="dxa"/>
              <w:bottom w:w="45" w:type="dxa"/>
              <w:right w:w="180" w:type="dxa"/>
            </w:tcMar>
            <w:vAlign w:val="center"/>
            <w:hideMark/>
          </w:tcPr>
          <w:p w14:paraId="0BE378B2"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2</w:t>
            </w:r>
          </w:p>
        </w:tc>
        <w:tc>
          <w:tcPr>
            <w:tcW w:w="810" w:type="dxa"/>
            <w:tcBorders>
              <w:top w:val="single" w:sz="4" w:space="0" w:color="auto"/>
              <w:bottom w:val="single" w:sz="4" w:space="0" w:color="auto"/>
            </w:tcBorders>
            <w:tcMar>
              <w:top w:w="45" w:type="dxa"/>
              <w:left w:w="180" w:type="dxa"/>
              <w:bottom w:w="45" w:type="dxa"/>
              <w:right w:w="180" w:type="dxa"/>
            </w:tcMar>
            <w:vAlign w:val="center"/>
            <w:hideMark/>
          </w:tcPr>
          <w:p w14:paraId="3099F9CA"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3</w:t>
            </w:r>
          </w:p>
        </w:tc>
        <w:tc>
          <w:tcPr>
            <w:tcW w:w="810" w:type="dxa"/>
            <w:tcBorders>
              <w:top w:val="single" w:sz="4" w:space="0" w:color="auto"/>
              <w:bottom w:val="single" w:sz="4" w:space="0" w:color="auto"/>
            </w:tcBorders>
            <w:tcMar>
              <w:top w:w="45" w:type="dxa"/>
              <w:left w:w="180" w:type="dxa"/>
              <w:bottom w:w="45" w:type="dxa"/>
              <w:right w:w="180" w:type="dxa"/>
            </w:tcMar>
            <w:vAlign w:val="center"/>
            <w:hideMark/>
          </w:tcPr>
          <w:p w14:paraId="1E108BE8"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4</w:t>
            </w:r>
          </w:p>
        </w:tc>
        <w:tc>
          <w:tcPr>
            <w:tcW w:w="810" w:type="dxa"/>
            <w:tcBorders>
              <w:top w:val="single" w:sz="4" w:space="0" w:color="auto"/>
              <w:bottom w:val="single" w:sz="4" w:space="0" w:color="auto"/>
            </w:tcBorders>
            <w:tcMar>
              <w:top w:w="45" w:type="dxa"/>
              <w:left w:w="180" w:type="dxa"/>
              <w:bottom w:w="45" w:type="dxa"/>
              <w:right w:w="180" w:type="dxa"/>
            </w:tcMar>
            <w:vAlign w:val="center"/>
            <w:hideMark/>
          </w:tcPr>
          <w:p w14:paraId="7BD40EBB"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5</w:t>
            </w:r>
          </w:p>
        </w:tc>
        <w:tc>
          <w:tcPr>
            <w:tcW w:w="765" w:type="dxa"/>
            <w:gridSpan w:val="2"/>
            <w:tcBorders>
              <w:top w:val="single" w:sz="4" w:space="0" w:color="auto"/>
              <w:bottom w:val="single" w:sz="4" w:space="0" w:color="auto"/>
            </w:tcBorders>
            <w:tcMar>
              <w:top w:w="45" w:type="dxa"/>
              <w:left w:w="180" w:type="dxa"/>
              <w:bottom w:w="45" w:type="dxa"/>
              <w:right w:w="180" w:type="dxa"/>
            </w:tcMar>
            <w:vAlign w:val="center"/>
            <w:hideMark/>
          </w:tcPr>
          <w:p w14:paraId="114618C4"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6</w:t>
            </w:r>
          </w:p>
        </w:tc>
      </w:tr>
      <w:tr w:rsidR="00FD26DD" w:rsidRPr="001C3A27" w14:paraId="044CF6E1"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73689E03"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1. Severity at Baseline</w:t>
            </w:r>
          </w:p>
        </w:tc>
        <w:tc>
          <w:tcPr>
            <w:tcW w:w="540" w:type="dxa"/>
            <w:tcMar>
              <w:top w:w="162" w:type="dxa"/>
              <w:left w:w="180" w:type="dxa"/>
              <w:bottom w:w="15" w:type="dxa"/>
              <w:right w:w="0" w:type="dxa"/>
            </w:tcMar>
            <w:hideMark/>
          </w:tcPr>
          <w:p w14:paraId="0F82DAF2"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c>
          <w:tcPr>
            <w:tcW w:w="1350" w:type="dxa"/>
            <w:gridSpan w:val="2"/>
            <w:tcMar>
              <w:top w:w="162" w:type="dxa"/>
              <w:left w:w="180" w:type="dxa"/>
              <w:bottom w:w="15" w:type="dxa"/>
              <w:right w:w="0" w:type="dxa"/>
            </w:tcMar>
            <w:hideMark/>
          </w:tcPr>
          <w:p w14:paraId="2A162126"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2E02813A"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3124606B"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5B93B43F" w14:textId="77777777" w:rsidR="001C3A27" w:rsidRPr="001C3A27" w:rsidRDefault="001C3A27" w:rsidP="001C3A27">
            <w:pPr>
              <w:spacing w:line="480" w:lineRule="auto"/>
              <w:rPr>
                <w:rFonts w:ascii="Arial" w:hAnsi="Arial" w:cs="Arial"/>
              </w:rPr>
            </w:pPr>
          </w:p>
        </w:tc>
        <w:tc>
          <w:tcPr>
            <w:tcW w:w="604" w:type="dxa"/>
            <w:tcMar>
              <w:top w:w="162" w:type="dxa"/>
              <w:left w:w="180" w:type="dxa"/>
              <w:bottom w:w="15" w:type="dxa"/>
              <w:right w:w="0" w:type="dxa"/>
            </w:tcMar>
            <w:hideMark/>
          </w:tcPr>
          <w:p w14:paraId="4C76CAC0" w14:textId="77777777" w:rsidR="001C3A27" w:rsidRPr="001C3A27" w:rsidRDefault="001C3A27" w:rsidP="001C3A27">
            <w:pPr>
              <w:spacing w:line="480" w:lineRule="auto"/>
              <w:rPr>
                <w:rFonts w:ascii="Arial" w:hAnsi="Arial" w:cs="Arial"/>
              </w:rPr>
            </w:pPr>
          </w:p>
        </w:tc>
      </w:tr>
      <w:tr w:rsidR="00FD26DD" w:rsidRPr="001C3A27" w14:paraId="566ACF4C"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17A7C20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2. Severity at 9 Months</w:t>
            </w:r>
          </w:p>
        </w:tc>
        <w:tc>
          <w:tcPr>
            <w:tcW w:w="900" w:type="dxa"/>
            <w:gridSpan w:val="2"/>
            <w:tcMar>
              <w:top w:w="162" w:type="dxa"/>
              <w:left w:w="180" w:type="dxa"/>
              <w:bottom w:w="15" w:type="dxa"/>
              <w:right w:w="0" w:type="dxa"/>
            </w:tcMar>
            <w:hideMark/>
          </w:tcPr>
          <w:p w14:paraId="19CB2112"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.124*</w:t>
            </w:r>
          </w:p>
        </w:tc>
        <w:tc>
          <w:tcPr>
            <w:tcW w:w="990" w:type="dxa"/>
            <w:tcMar>
              <w:top w:w="162" w:type="dxa"/>
              <w:left w:w="180" w:type="dxa"/>
              <w:bottom w:w="15" w:type="dxa"/>
              <w:right w:w="0" w:type="dxa"/>
            </w:tcMar>
            <w:hideMark/>
          </w:tcPr>
          <w:p w14:paraId="20C06E8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c>
          <w:tcPr>
            <w:tcW w:w="810" w:type="dxa"/>
            <w:tcMar>
              <w:top w:w="162" w:type="dxa"/>
              <w:left w:w="180" w:type="dxa"/>
              <w:bottom w:w="15" w:type="dxa"/>
              <w:right w:w="0" w:type="dxa"/>
            </w:tcMar>
            <w:hideMark/>
          </w:tcPr>
          <w:p w14:paraId="115E0E36"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6053F22D"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0F7E89E8" w14:textId="77777777" w:rsidR="001C3A27" w:rsidRPr="001C3A27" w:rsidRDefault="001C3A27" w:rsidP="001C3A27">
            <w:pPr>
              <w:spacing w:line="480" w:lineRule="auto"/>
              <w:rPr>
                <w:rFonts w:ascii="Arial" w:hAnsi="Arial" w:cs="Arial"/>
              </w:rPr>
            </w:pPr>
          </w:p>
        </w:tc>
        <w:tc>
          <w:tcPr>
            <w:tcW w:w="604" w:type="dxa"/>
            <w:tcMar>
              <w:top w:w="162" w:type="dxa"/>
              <w:left w:w="180" w:type="dxa"/>
              <w:bottom w:w="15" w:type="dxa"/>
              <w:right w:w="0" w:type="dxa"/>
            </w:tcMar>
            <w:hideMark/>
          </w:tcPr>
          <w:p w14:paraId="047D4FCB" w14:textId="77777777" w:rsidR="001C3A27" w:rsidRPr="001C3A27" w:rsidRDefault="001C3A27" w:rsidP="001C3A27">
            <w:pPr>
              <w:spacing w:line="480" w:lineRule="auto"/>
              <w:rPr>
                <w:rFonts w:ascii="Arial" w:hAnsi="Arial" w:cs="Arial"/>
              </w:rPr>
            </w:pPr>
          </w:p>
        </w:tc>
      </w:tr>
      <w:tr w:rsidR="00FD26DD" w:rsidRPr="001C3A27" w14:paraId="2F431028"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5A9F8B6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3. Session Attendance</w:t>
            </w:r>
          </w:p>
        </w:tc>
        <w:tc>
          <w:tcPr>
            <w:tcW w:w="900" w:type="dxa"/>
            <w:gridSpan w:val="2"/>
            <w:tcMar>
              <w:top w:w="162" w:type="dxa"/>
              <w:left w:w="180" w:type="dxa"/>
              <w:bottom w:w="15" w:type="dxa"/>
              <w:right w:w="0" w:type="dxa"/>
            </w:tcMar>
            <w:hideMark/>
          </w:tcPr>
          <w:p w14:paraId="35B48EE5"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-.043</w:t>
            </w:r>
          </w:p>
        </w:tc>
        <w:tc>
          <w:tcPr>
            <w:tcW w:w="990" w:type="dxa"/>
            <w:tcMar>
              <w:top w:w="162" w:type="dxa"/>
              <w:left w:w="180" w:type="dxa"/>
              <w:bottom w:w="15" w:type="dxa"/>
              <w:right w:w="0" w:type="dxa"/>
            </w:tcMar>
            <w:hideMark/>
          </w:tcPr>
          <w:p w14:paraId="6ADAA6C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-.226***</w:t>
            </w:r>
          </w:p>
        </w:tc>
        <w:tc>
          <w:tcPr>
            <w:tcW w:w="810" w:type="dxa"/>
            <w:tcMar>
              <w:top w:w="162" w:type="dxa"/>
              <w:left w:w="180" w:type="dxa"/>
              <w:bottom w:w="15" w:type="dxa"/>
              <w:right w:w="0" w:type="dxa"/>
            </w:tcMar>
            <w:hideMark/>
          </w:tcPr>
          <w:p w14:paraId="613E0ED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c>
          <w:tcPr>
            <w:tcW w:w="810" w:type="dxa"/>
            <w:tcMar>
              <w:top w:w="162" w:type="dxa"/>
              <w:left w:w="180" w:type="dxa"/>
              <w:bottom w:w="15" w:type="dxa"/>
              <w:right w:w="0" w:type="dxa"/>
            </w:tcMar>
            <w:hideMark/>
          </w:tcPr>
          <w:p w14:paraId="24CC3E6D"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4A8399CA" w14:textId="77777777" w:rsidR="001C3A27" w:rsidRPr="001C3A27" w:rsidRDefault="001C3A27" w:rsidP="001C3A27">
            <w:pPr>
              <w:spacing w:line="480" w:lineRule="auto"/>
              <w:rPr>
                <w:rFonts w:ascii="Arial" w:hAnsi="Arial" w:cs="Arial"/>
              </w:rPr>
            </w:pPr>
          </w:p>
        </w:tc>
        <w:tc>
          <w:tcPr>
            <w:tcW w:w="604" w:type="dxa"/>
            <w:tcMar>
              <w:top w:w="162" w:type="dxa"/>
              <w:left w:w="180" w:type="dxa"/>
              <w:bottom w:w="15" w:type="dxa"/>
              <w:right w:w="0" w:type="dxa"/>
            </w:tcMar>
            <w:hideMark/>
          </w:tcPr>
          <w:p w14:paraId="35AFAB15" w14:textId="77777777" w:rsidR="001C3A27" w:rsidRPr="001C3A27" w:rsidRDefault="001C3A27" w:rsidP="001C3A27">
            <w:pPr>
              <w:spacing w:line="480" w:lineRule="auto"/>
              <w:rPr>
                <w:rFonts w:ascii="Arial" w:hAnsi="Arial" w:cs="Arial"/>
              </w:rPr>
            </w:pPr>
          </w:p>
        </w:tc>
      </w:tr>
      <w:tr w:rsidR="00FD26DD" w:rsidRPr="001C3A27" w14:paraId="3B5EBA95"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3ACFABF8"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4. WHOQOL-BREF at 9 Months</w:t>
            </w:r>
          </w:p>
        </w:tc>
        <w:tc>
          <w:tcPr>
            <w:tcW w:w="900" w:type="dxa"/>
            <w:gridSpan w:val="2"/>
            <w:tcMar>
              <w:top w:w="162" w:type="dxa"/>
              <w:left w:w="180" w:type="dxa"/>
              <w:bottom w:w="15" w:type="dxa"/>
              <w:right w:w="0" w:type="dxa"/>
            </w:tcMar>
            <w:hideMark/>
          </w:tcPr>
          <w:p w14:paraId="4C050FFA"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.075</w:t>
            </w:r>
          </w:p>
        </w:tc>
        <w:tc>
          <w:tcPr>
            <w:tcW w:w="990" w:type="dxa"/>
            <w:tcMar>
              <w:top w:w="162" w:type="dxa"/>
              <w:left w:w="180" w:type="dxa"/>
              <w:bottom w:w="15" w:type="dxa"/>
              <w:right w:w="0" w:type="dxa"/>
            </w:tcMar>
            <w:hideMark/>
          </w:tcPr>
          <w:p w14:paraId="7942BD3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-.375***</w:t>
            </w:r>
          </w:p>
        </w:tc>
        <w:tc>
          <w:tcPr>
            <w:tcW w:w="810" w:type="dxa"/>
            <w:tcMar>
              <w:top w:w="162" w:type="dxa"/>
              <w:left w:w="180" w:type="dxa"/>
              <w:bottom w:w="15" w:type="dxa"/>
              <w:right w:w="0" w:type="dxa"/>
            </w:tcMar>
            <w:hideMark/>
          </w:tcPr>
          <w:p w14:paraId="1061C731"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.084</w:t>
            </w:r>
          </w:p>
        </w:tc>
        <w:tc>
          <w:tcPr>
            <w:tcW w:w="810" w:type="dxa"/>
            <w:tcMar>
              <w:top w:w="162" w:type="dxa"/>
              <w:left w:w="180" w:type="dxa"/>
              <w:bottom w:w="15" w:type="dxa"/>
              <w:right w:w="0" w:type="dxa"/>
            </w:tcMar>
            <w:hideMark/>
          </w:tcPr>
          <w:p w14:paraId="12235EF9"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c>
          <w:tcPr>
            <w:tcW w:w="810" w:type="dxa"/>
            <w:tcMar>
              <w:top w:w="162" w:type="dxa"/>
              <w:left w:w="180" w:type="dxa"/>
              <w:bottom w:w="15" w:type="dxa"/>
              <w:right w:w="0" w:type="dxa"/>
            </w:tcMar>
            <w:hideMark/>
          </w:tcPr>
          <w:p w14:paraId="71FF2476" w14:textId="77777777" w:rsidR="001C3A27" w:rsidRPr="001C3A27" w:rsidRDefault="001C3A27" w:rsidP="001C3A27">
            <w:pPr>
              <w:spacing w:line="480" w:lineRule="auto"/>
              <w:rPr>
                <w:rFonts w:ascii="Arial" w:hAnsi="Arial" w:cs="Arial"/>
              </w:rPr>
            </w:pPr>
          </w:p>
        </w:tc>
        <w:tc>
          <w:tcPr>
            <w:tcW w:w="604" w:type="dxa"/>
            <w:tcMar>
              <w:top w:w="162" w:type="dxa"/>
              <w:left w:w="180" w:type="dxa"/>
              <w:bottom w:w="15" w:type="dxa"/>
              <w:right w:w="0" w:type="dxa"/>
            </w:tcMar>
            <w:hideMark/>
          </w:tcPr>
          <w:p w14:paraId="6426B0EF" w14:textId="77777777" w:rsidR="001C3A27" w:rsidRPr="001C3A27" w:rsidRDefault="001C3A27" w:rsidP="001C3A27">
            <w:pPr>
              <w:spacing w:line="480" w:lineRule="auto"/>
              <w:rPr>
                <w:rFonts w:ascii="Arial" w:hAnsi="Arial" w:cs="Arial"/>
              </w:rPr>
            </w:pPr>
          </w:p>
        </w:tc>
      </w:tr>
      <w:tr w:rsidR="00FD26DD" w:rsidRPr="001C3A27" w14:paraId="713E0D89"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3C28C65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5. Facilitators’ Competence</w:t>
            </w:r>
          </w:p>
        </w:tc>
        <w:tc>
          <w:tcPr>
            <w:tcW w:w="900" w:type="dxa"/>
            <w:gridSpan w:val="2"/>
            <w:tcMar>
              <w:top w:w="162" w:type="dxa"/>
              <w:left w:w="180" w:type="dxa"/>
              <w:bottom w:w="15" w:type="dxa"/>
              <w:right w:w="0" w:type="dxa"/>
            </w:tcMar>
            <w:hideMark/>
          </w:tcPr>
          <w:p w14:paraId="034DB3C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.045</w:t>
            </w:r>
          </w:p>
        </w:tc>
        <w:tc>
          <w:tcPr>
            <w:tcW w:w="990" w:type="dxa"/>
            <w:tcMar>
              <w:top w:w="162" w:type="dxa"/>
              <w:left w:w="180" w:type="dxa"/>
              <w:bottom w:w="15" w:type="dxa"/>
              <w:right w:w="0" w:type="dxa"/>
            </w:tcMar>
            <w:hideMark/>
          </w:tcPr>
          <w:p w14:paraId="56F6874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-.064</w:t>
            </w:r>
          </w:p>
        </w:tc>
        <w:tc>
          <w:tcPr>
            <w:tcW w:w="810" w:type="dxa"/>
            <w:tcMar>
              <w:top w:w="162" w:type="dxa"/>
              <w:left w:w="180" w:type="dxa"/>
              <w:bottom w:w="15" w:type="dxa"/>
              <w:right w:w="0" w:type="dxa"/>
            </w:tcMar>
            <w:hideMark/>
          </w:tcPr>
          <w:p w14:paraId="4AB15CA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.033</w:t>
            </w:r>
          </w:p>
        </w:tc>
        <w:tc>
          <w:tcPr>
            <w:tcW w:w="810" w:type="dxa"/>
            <w:tcMar>
              <w:top w:w="162" w:type="dxa"/>
              <w:left w:w="180" w:type="dxa"/>
              <w:bottom w:w="15" w:type="dxa"/>
              <w:right w:w="0" w:type="dxa"/>
            </w:tcMar>
            <w:hideMark/>
          </w:tcPr>
          <w:p w14:paraId="113D698A"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.138*</w:t>
            </w:r>
          </w:p>
        </w:tc>
        <w:tc>
          <w:tcPr>
            <w:tcW w:w="810" w:type="dxa"/>
            <w:tcMar>
              <w:top w:w="162" w:type="dxa"/>
              <w:left w:w="180" w:type="dxa"/>
              <w:bottom w:w="15" w:type="dxa"/>
              <w:right w:w="0" w:type="dxa"/>
            </w:tcMar>
            <w:hideMark/>
          </w:tcPr>
          <w:p w14:paraId="7C067CF1"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c>
          <w:tcPr>
            <w:tcW w:w="604" w:type="dxa"/>
            <w:tcMar>
              <w:top w:w="162" w:type="dxa"/>
              <w:left w:w="180" w:type="dxa"/>
              <w:bottom w:w="15" w:type="dxa"/>
              <w:right w:w="0" w:type="dxa"/>
            </w:tcMar>
            <w:hideMark/>
          </w:tcPr>
          <w:p w14:paraId="1FF41107" w14:textId="77777777" w:rsidR="001C3A27" w:rsidRPr="001C3A27" w:rsidRDefault="001C3A27" w:rsidP="001C3A27">
            <w:pPr>
              <w:spacing w:line="480" w:lineRule="auto"/>
              <w:rPr>
                <w:rFonts w:ascii="Arial" w:hAnsi="Arial" w:cs="Arial"/>
              </w:rPr>
            </w:pPr>
          </w:p>
        </w:tc>
      </w:tr>
      <w:tr w:rsidR="00FD26DD" w:rsidRPr="001C3A27" w14:paraId="7D99E3BB"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749A325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lastRenderedPageBreak/>
              <w:t>6. Nature of facilitator</w:t>
            </w:r>
          </w:p>
        </w:tc>
        <w:tc>
          <w:tcPr>
            <w:tcW w:w="900" w:type="dxa"/>
            <w:gridSpan w:val="2"/>
            <w:tcMar>
              <w:top w:w="162" w:type="dxa"/>
              <w:left w:w="180" w:type="dxa"/>
              <w:bottom w:w="15" w:type="dxa"/>
              <w:right w:w="0" w:type="dxa"/>
            </w:tcMar>
            <w:hideMark/>
          </w:tcPr>
          <w:p w14:paraId="5A8ADB59"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-.090</w:t>
            </w:r>
          </w:p>
        </w:tc>
        <w:tc>
          <w:tcPr>
            <w:tcW w:w="990" w:type="dxa"/>
            <w:tcMar>
              <w:top w:w="162" w:type="dxa"/>
              <w:left w:w="180" w:type="dxa"/>
              <w:bottom w:w="15" w:type="dxa"/>
              <w:right w:w="0" w:type="dxa"/>
            </w:tcMar>
            <w:hideMark/>
          </w:tcPr>
          <w:p w14:paraId="1C0DBCC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.080</w:t>
            </w:r>
          </w:p>
        </w:tc>
        <w:tc>
          <w:tcPr>
            <w:tcW w:w="810" w:type="dxa"/>
            <w:tcMar>
              <w:top w:w="162" w:type="dxa"/>
              <w:left w:w="180" w:type="dxa"/>
              <w:bottom w:w="15" w:type="dxa"/>
              <w:right w:w="0" w:type="dxa"/>
            </w:tcMar>
            <w:hideMark/>
          </w:tcPr>
          <w:p w14:paraId="560FD0CB"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-.122*</w:t>
            </w:r>
          </w:p>
        </w:tc>
        <w:tc>
          <w:tcPr>
            <w:tcW w:w="810" w:type="dxa"/>
            <w:tcMar>
              <w:top w:w="162" w:type="dxa"/>
              <w:left w:w="180" w:type="dxa"/>
              <w:bottom w:w="15" w:type="dxa"/>
              <w:right w:w="0" w:type="dxa"/>
            </w:tcMar>
            <w:hideMark/>
          </w:tcPr>
          <w:p w14:paraId="37C9E5E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-.159**</w:t>
            </w:r>
          </w:p>
        </w:tc>
        <w:tc>
          <w:tcPr>
            <w:tcW w:w="810" w:type="dxa"/>
            <w:tcMar>
              <w:top w:w="162" w:type="dxa"/>
              <w:left w:w="180" w:type="dxa"/>
              <w:bottom w:w="15" w:type="dxa"/>
              <w:right w:w="0" w:type="dxa"/>
            </w:tcMar>
            <w:hideMark/>
          </w:tcPr>
          <w:p w14:paraId="578650F8"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.301***</w:t>
            </w:r>
          </w:p>
        </w:tc>
        <w:tc>
          <w:tcPr>
            <w:tcW w:w="604" w:type="dxa"/>
            <w:tcMar>
              <w:top w:w="162" w:type="dxa"/>
              <w:left w:w="180" w:type="dxa"/>
              <w:bottom w:w="15" w:type="dxa"/>
              <w:right w:w="0" w:type="dxa"/>
            </w:tcMar>
            <w:hideMark/>
          </w:tcPr>
          <w:p w14:paraId="56DD29D0"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r>
    </w:tbl>
    <w:p w14:paraId="13C26E9A" w14:textId="77777777" w:rsidR="001C3A27" w:rsidRPr="001C3A27" w:rsidRDefault="001C3A27" w:rsidP="001C3A27">
      <w:pPr>
        <w:rPr>
          <w:rFonts w:ascii="Arial" w:hAnsi="Arial" w:cs="Arial"/>
        </w:rPr>
      </w:pPr>
    </w:p>
    <w:p w14:paraId="2519D28E" w14:textId="77777777" w:rsidR="001C3A27" w:rsidRDefault="001C3A27" w:rsidP="001C3A27">
      <w:pPr>
        <w:jc w:val="both"/>
        <w:rPr>
          <w:rFonts w:ascii="Arial" w:hAnsi="Arial" w:cs="Arial"/>
        </w:rPr>
      </w:pPr>
      <w:r w:rsidRPr="001C3A27">
        <w:rPr>
          <w:rFonts w:ascii="Arial" w:hAnsi="Arial" w:cs="Arial"/>
        </w:rPr>
        <w:t>Table 2 presents the Pearson Product-Moment Correlation showing the linear relationships between demographic and disorder prognosis variables. Notably, attendance was found to have a significant, though weak negative correlation with severity at 9 months (r = -0.226, p &lt; .001), suggesting that higher attendance levels are associated with slightly lower severity scores and vice versa. This supports the hypothesis that participation in mental health support groups may improve clinical outcomes. A similar significant, weak negative correlation was observed between the quality of life measured using the WHOQOL-BREF at 9 months and the nature of the facilitator (r = -0.301, p &lt; .001), indicating a minor association between the type of facilitator and perceived quality of life. Conversely, facilitator competence was found to have a significant, weak positive correlation with the nature of the facilitator (r = 0.138, *p &lt; .01), implying that specific types of facilitators may be perceived as more competent by support group participants. The findings suggest that while some associations exist, the relationships are generally modest in strength, which is common in studies involving human behavior and self-reported measures.</w:t>
      </w:r>
    </w:p>
    <w:p w14:paraId="6AAF456F" w14:textId="77777777" w:rsidR="001C3A27" w:rsidRPr="001C3A27" w:rsidRDefault="001C3A27" w:rsidP="001C3A27">
      <w:pPr>
        <w:jc w:val="both"/>
        <w:rPr>
          <w:rFonts w:ascii="Arial" w:hAnsi="Arial" w:cs="Arial"/>
        </w:rPr>
      </w:pPr>
    </w:p>
    <w:p w14:paraId="6107A7D6" w14:textId="77777777" w:rsidR="001C3A27" w:rsidRPr="001C3A27" w:rsidRDefault="001C3A27" w:rsidP="001C3A27">
      <w:pPr>
        <w:jc w:val="both"/>
        <w:rPr>
          <w:rFonts w:ascii="Arial" w:hAnsi="Arial" w:cs="Arial"/>
          <w:b/>
        </w:rPr>
      </w:pPr>
      <w:r w:rsidRPr="001C3A27">
        <w:rPr>
          <w:rFonts w:ascii="Arial" w:hAnsi="Arial" w:cs="Arial"/>
          <w:b/>
        </w:rPr>
        <w:t>Table 3 regression analysis coefficients</w:t>
      </w:r>
    </w:p>
    <w:tbl>
      <w:tblPr>
        <w:tblW w:w="0" w:type="auto"/>
        <w:tblCellMar>
          <w:left w:w="0" w:type="dxa"/>
          <w:right w:w="0" w:type="dxa"/>
        </w:tblCellMar>
        <w:tblLook w:val="04A0" w:firstRow="1" w:lastRow="0" w:firstColumn="1" w:lastColumn="0" w:noHBand="0" w:noVBand="1"/>
      </w:tblPr>
      <w:tblGrid>
        <w:gridCol w:w="597"/>
        <w:gridCol w:w="262"/>
        <w:gridCol w:w="1192"/>
        <w:gridCol w:w="185"/>
        <w:gridCol w:w="1299"/>
        <w:gridCol w:w="306"/>
        <w:gridCol w:w="849"/>
        <w:gridCol w:w="242"/>
        <w:gridCol w:w="1163"/>
        <w:gridCol w:w="313"/>
        <w:gridCol w:w="737"/>
        <w:gridCol w:w="185"/>
        <w:gridCol w:w="693"/>
        <w:gridCol w:w="185"/>
      </w:tblGrid>
      <w:tr w:rsidR="001C3A27" w:rsidRPr="001C3A27" w14:paraId="261B8E84" w14:textId="77777777" w:rsidTr="00D540CA">
        <w:trPr>
          <w:tblHeader/>
        </w:trPr>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7DBEA7E3"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Model</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163BA5EE"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 </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095955AF"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Unstandardized</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4338D338"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Standard Error</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760BF178"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Standardizedᵃ</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433B7889"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T</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5B8C07FE"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p</w:t>
            </w:r>
          </w:p>
        </w:tc>
      </w:tr>
      <w:tr w:rsidR="001C3A27" w:rsidRPr="001C3A27" w14:paraId="17EEAE1A" w14:textId="77777777" w:rsidTr="00D540CA">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0A371F5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M</w:t>
            </w:r>
            <w:r w:rsidRPr="001C3A27">
              <w:rPr>
                <w:rFonts w:ascii="Cambria Math" w:hAnsi="Cambria Math" w:cs="Cambria Math"/>
                <w:color w:val="000000"/>
              </w:rPr>
              <w:t>₀</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7FBB2293" w14:textId="77777777" w:rsidR="001C3A27" w:rsidRPr="001C3A27" w:rsidRDefault="001C3A27" w:rsidP="001C3A27">
            <w:pPr>
              <w:spacing w:line="480" w:lineRule="auto"/>
              <w:rPr>
                <w:rFonts w:ascii="Arial" w:hAnsi="Arial" w:cs="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492A61E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(Intercept)</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79FAC889" w14:textId="77777777" w:rsidR="001C3A27" w:rsidRPr="001C3A27" w:rsidRDefault="001C3A27" w:rsidP="001C3A27">
            <w:pPr>
              <w:spacing w:line="480" w:lineRule="auto"/>
              <w:rPr>
                <w:rFonts w:ascii="Arial" w:hAnsi="Arial" w:cs="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24EC2602"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65.935</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127AE67B" w14:textId="77777777" w:rsidR="001C3A27" w:rsidRPr="001C3A27" w:rsidRDefault="001C3A27" w:rsidP="001C3A27">
            <w:pPr>
              <w:spacing w:line="480" w:lineRule="auto"/>
              <w:jc w:val="right"/>
              <w:rPr>
                <w:rFonts w:ascii="Arial" w:hAnsi="Arial" w:cs="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0FE8C8AA"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1.038</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7066DC46" w14:textId="77777777" w:rsidR="001C3A27" w:rsidRPr="001C3A27" w:rsidRDefault="001C3A27" w:rsidP="001C3A27">
            <w:pPr>
              <w:spacing w:line="480" w:lineRule="auto"/>
              <w:jc w:val="right"/>
              <w:rPr>
                <w:rFonts w:ascii="Arial" w:hAnsi="Arial" w:cs="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351D6450" w14:textId="77777777" w:rsidR="001C3A27" w:rsidRPr="001C3A27" w:rsidRDefault="001C3A27" w:rsidP="001C3A27">
            <w:pPr>
              <w:spacing w:line="480" w:lineRule="auto"/>
              <w:rPr>
                <w:rFonts w:ascii="Arial" w:hAnsi="Arial" w:cs="Arial"/>
              </w:rPr>
            </w:pP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439E26B5" w14:textId="77777777" w:rsidR="001C3A27" w:rsidRPr="001C3A27" w:rsidRDefault="001C3A27" w:rsidP="001C3A27">
            <w:pPr>
              <w:spacing w:line="480" w:lineRule="auto"/>
              <w:jc w:val="right"/>
              <w:rPr>
                <w:rFonts w:ascii="Arial" w:hAnsi="Arial" w:cs="Arial"/>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253FB8D6"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63.523</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18A29D5F" w14:textId="77777777" w:rsidR="001C3A27" w:rsidRPr="001C3A27" w:rsidRDefault="001C3A27" w:rsidP="001C3A27">
            <w:pPr>
              <w:spacing w:line="480" w:lineRule="auto"/>
              <w:jc w:val="right"/>
              <w:rPr>
                <w:rFonts w:ascii="Arial" w:hAnsi="Arial" w:cs="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317BFEC2"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&lt; .001</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7CE9299F" w14:textId="77777777" w:rsidR="001C3A27" w:rsidRPr="001C3A27" w:rsidRDefault="001C3A27" w:rsidP="001C3A27">
            <w:pPr>
              <w:spacing w:line="480" w:lineRule="auto"/>
              <w:jc w:val="right"/>
              <w:rPr>
                <w:rFonts w:ascii="Arial" w:hAnsi="Arial" w:cs="Arial"/>
                <w:color w:val="000000"/>
              </w:rPr>
            </w:pPr>
          </w:p>
        </w:tc>
      </w:tr>
      <w:tr w:rsidR="001C3A27" w:rsidRPr="001C3A27" w14:paraId="60529853" w14:textId="77777777" w:rsidTr="00D540CA">
        <w:tc>
          <w:tcPr>
            <w:tcW w:w="0" w:type="auto"/>
            <w:tcBorders>
              <w:top w:val="nil"/>
              <w:left w:val="nil"/>
              <w:bottom w:val="nil"/>
              <w:right w:val="nil"/>
            </w:tcBorders>
            <w:tcMar>
              <w:top w:w="162" w:type="dxa"/>
              <w:left w:w="180" w:type="dxa"/>
              <w:bottom w:w="15" w:type="dxa"/>
              <w:right w:w="0" w:type="dxa"/>
            </w:tcMar>
            <w:vAlign w:val="center"/>
            <w:hideMark/>
          </w:tcPr>
          <w:p w14:paraId="3A99E04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M</w:t>
            </w:r>
            <w:r w:rsidRPr="001C3A27">
              <w:rPr>
                <w:rFonts w:ascii="Cambria Math" w:hAnsi="Cambria Math" w:cs="Cambria Math"/>
                <w:color w:val="000000"/>
              </w:rPr>
              <w:t>₁</w:t>
            </w:r>
          </w:p>
        </w:tc>
        <w:tc>
          <w:tcPr>
            <w:tcW w:w="0" w:type="auto"/>
            <w:tcBorders>
              <w:top w:val="nil"/>
              <w:left w:val="nil"/>
              <w:bottom w:val="nil"/>
              <w:right w:val="nil"/>
            </w:tcBorders>
            <w:tcMar>
              <w:top w:w="162" w:type="dxa"/>
              <w:left w:w="0" w:type="dxa"/>
              <w:bottom w:w="15" w:type="dxa"/>
              <w:right w:w="180" w:type="dxa"/>
            </w:tcMar>
            <w:vAlign w:val="center"/>
            <w:hideMark/>
          </w:tcPr>
          <w:p w14:paraId="3C3EE767"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544036C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(Intercept)</w:t>
            </w:r>
          </w:p>
        </w:tc>
        <w:tc>
          <w:tcPr>
            <w:tcW w:w="0" w:type="auto"/>
            <w:tcBorders>
              <w:top w:val="nil"/>
              <w:left w:val="nil"/>
              <w:bottom w:val="nil"/>
              <w:right w:val="nil"/>
            </w:tcBorders>
            <w:tcMar>
              <w:top w:w="162" w:type="dxa"/>
              <w:left w:w="0" w:type="dxa"/>
              <w:bottom w:w="15" w:type="dxa"/>
              <w:right w:w="180" w:type="dxa"/>
            </w:tcMar>
            <w:vAlign w:val="center"/>
            <w:hideMark/>
          </w:tcPr>
          <w:p w14:paraId="3E835540"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4F6A5EFA"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63.594</w:t>
            </w:r>
          </w:p>
        </w:tc>
        <w:tc>
          <w:tcPr>
            <w:tcW w:w="0" w:type="auto"/>
            <w:tcBorders>
              <w:top w:val="nil"/>
              <w:left w:val="nil"/>
              <w:bottom w:val="nil"/>
              <w:right w:val="nil"/>
            </w:tcBorders>
            <w:tcMar>
              <w:top w:w="162" w:type="dxa"/>
              <w:left w:w="0" w:type="dxa"/>
              <w:bottom w:w="15" w:type="dxa"/>
              <w:right w:w="180" w:type="dxa"/>
            </w:tcMar>
            <w:vAlign w:val="center"/>
            <w:hideMark/>
          </w:tcPr>
          <w:p w14:paraId="3ECA77C9"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78622120"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7.263</w:t>
            </w:r>
          </w:p>
        </w:tc>
        <w:tc>
          <w:tcPr>
            <w:tcW w:w="0" w:type="auto"/>
            <w:tcBorders>
              <w:top w:val="nil"/>
              <w:left w:val="nil"/>
              <w:bottom w:val="nil"/>
              <w:right w:val="nil"/>
            </w:tcBorders>
            <w:tcMar>
              <w:top w:w="162" w:type="dxa"/>
              <w:left w:w="0" w:type="dxa"/>
              <w:bottom w:w="15" w:type="dxa"/>
              <w:right w:w="180" w:type="dxa"/>
            </w:tcMar>
            <w:vAlign w:val="center"/>
            <w:hideMark/>
          </w:tcPr>
          <w:p w14:paraId="679DB0EC"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279947F2"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62" w:type="dxa"/>
              <w:left w:w="0" w:type="dxa"/>
              <w:bottom w:w="15" w:type="dxa"/>
              <w:right w:w="180" w:type="dxa"/>
            </w:tcMar>
            <w:vAlign w:val="center"/>
            <w:hideMark/>
          </w:tcPr>
          <w:p w14:paraId="3E69CC35"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62" w:type="dxa"/>
              <w:left w:w="180" w:type="dxa"/>
              <w:bottom w:w="15" w:type="dxa"/>
              <w:right w:w="0" w:type="dxa"/>
            </w:tcMar>
            <w:vAlign w:val="center"/>
            <w:hideMark/>
          </w:tcPr>
          <w:p w14:paraId="7BCBD70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8.756</w:t>
            </w:r>
          </w:p>
        </w:tc>
        <w:tc>
          <w:tcPr>
            <w:tcW w:w="0" w:type="auto"/>
            <w:tcBorders>
              <w:top w:val="nil"/>
              <w:left w:val="nil"/>
              <w:bottom w:val="nil"/>
              <w:right w:val="nil"/>
            </w:tcBorders>
            <w:tcMar>
              <w:top w:w="162" w:type="dxa"/>
              <w:left w:w="0" w:type="dxa"/>
              <w:bottom w:w="15" w:type="dxa"/>
              <w:right w:w="180" w:type="dxa"/>
            </w:tcMar>
            <w:vAlign w:val="center"/>
            <w:hideMark/>
          </w:tcPr>
          <w:p w14:paraId="56063111"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4695321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&lt; .001</w:t>
            </w:r>
          </w:p>
        </w:tc>
        <w:tc>
          <w:tcPr>
            <w:tcW w:w="0" w:type="auto"/>
            <w:tcBorders>
              <w:top w:val="nil"/>
              <w:left w:val="nil"/>
              <w:bottom w:val="nil"/>
              <w:right w:val="nil"/>
            </w:tcBorders>
            <w:tcMar>
              <w:top w:w="162" w:type="dxa"/>
              <w:left w:w="0" w:type="dxa"/>
              <w:bottom w:w="15" w:type="dxa"/>
              <w:right w:w="180" w:type="dxa"/>
            </w:tcMar>
            <w:vAlign w:val="center"/>
            <w:hideMark/>
          </w:tcPr>
          <w:p w14:paraId="64B073AD" w14:textId="77777777" w:rsidR="001C3A27" w:rsidRPr="001C3A27" w:rsidRDefault="001C3A27" w:rsidP="001C3A27">
            <w:pPr>
              <w:spacing w:line="480" w:lineRule="auto"/>
              <w:jc w:val="right"/>
              <w:rPr>
                <w:rFonts w:ascii="Arial" w:hAnsi="Arial" w:cs="Arial"/>
                <w:color w:val="000000"/>
              </w:rPr>
            </w:pPr>
          </w:p>
        </w:tc>
      </w:tr>
      <w:tr w:rsidR="001C3A27" w:rsidRPr="001C3A27" w14:paraId="343E4917" w14:textId="77777777" w:rsidTr="00D540CA">
        <w:tc>
          <w:tcPr>
            <w:tcW w:w="0" w:type="auto"/>
            <w:tcBorders>
              <w:top w:val="nil"/>
              <w:left w:val="nil"/>
              <w:bottom w:val="nil"/>
              <w:right w:val="nil"/>
            </w:tcBorders>
            <w:tcMar>
              <w:top w:w="15" w:type="dxa"/>
              <w:left w:w="180" w:type="dxa"/>
              <w:bottom w:w="15" w:type="dxa"/>
              <w:right w:w="0" w:type="dxa"/>
            </w:tcMar>
            <w:vAlign w:val="center"/>
            <w:hideMark/>
          </w:tcPr>
          <w:p w14:paraId="5BAA983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3A9F7889"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2DFFCD5"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Attendance</w:t>
            </w:r>
          </w:p>
        </w:tc>
        <w:tc>
          <w:tcPr>
            <w:tcW w:w="0" w:type="auto"/>
            <w:tcBorders>
              <w:top w:val="nil"/>
              <w:left w:val="nil"/>
              <w:bottom w:val="nil"/>
              <w:right w:val="nil"/>
            </w:tcBorders>
            <w:tcMar>
              <w:top w:w="15" w:type="dxa"/>
              <w:left w:w="0" w:type="dxa"/>
              <w:bottom w:w="15" w:type="dxa"/>
              <w:right w:w="180" w:type="dxa"/>
            </w:tcMar>
            <w:vAlign w:val="center"/>
            <w:hideMark/>
          </w:tcPr>
          <w:p w14:paraId="35F341C9"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02F7DA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-0.128</w:t>
            </w:r>
          </w:p>
        </w:tc>
        <w:tc>
          <w:tcPr>
            <w:tcW w:w="0" w:type="auto"/>
            <w:tcBorders>
              <w:top w:val="nil"/>
              <w:left w:val="nil"/>
              <w:bottom w:val="nil"/>
              <w:right w:val="nil"/>
            </w:tcBorders>
            <w:tcMar>
              <w:top w:w="15" w:type="dxa"/>
              <w:left w:w="0" w:type="dxa"/>
              <w:bottom w:w="15" w:type="dxa"/>
              <w:right w:w="180" w:type="dxa"/>
            </w:tcMar>
            <w:vAlign w:val="center"/>
            <w:hideMark/>
          </w:tcPr>
          <w:p w14:paraId="48F4745E"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52107EC"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2.098</w:t>
            </w:r>
          </w:p>
        </w:tc>
        <w:tc>
          <w:tcPr>
            <w:tcW w:w="0" w:type="auto"/>
            <w:tcBorders>
              <w:top w:val="nil"/>
              <w:left w:val="nil"/>
              <w:bottom w:val="nil"/>
              <w:right w:val="nil"/>
            </w:tcBorders>
            <w:tcMar>
              <w:top w:w="15" w:type="dxa"/>
              <w:left w:w="0" w:type="dxa"/>
              <w:bottom w:w="15" w:type="dxa"/>
              <w:right w:w="180" w:type="dxa"/>
            </w:tcMar>
            <w:vAlign w:val="center"/>
            <w:hideMark/>
          </w:tcPr>
          <w:p w14:paraId="3F39D767"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29096F20"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-0.004</w:t>
            </w:r>
          </w:p>
        </w:tc>
        <w:tc>
          <w:tcPr>
            <w:tcW w:w="0" w:type="auto"/>
            <w:tcBorders>
              <w:top w:val="nil"/>
              <w:left w:val="nil"/>
              <w:bottom w:val="nil"/>
              <w:right w:val="nil"/>
            </w:tcBorders>
            <w:tcMar>
              <w:top w:w="15" w:type="dxa"/>
              <w:left w:w="0" w:type="dxa"/>
              <w:bottom w:w="15" w:type="dxa"/>
              <w:right w:w="180" w:type="dxa"/>
            </w:tcMar>
            <w:vAlign w:val="center"/>
            <w:hideMark/>
          </w:tcPr>
          <w:p w14:paraId="69F8D6E5"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A58F8D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-0.061</w:t>
            </w:r>
          </w:p>
        </w:tc>
        <w:tc>
          <w:tcPr>
            <w:tcW w:w="0" w:type="auto"/>
            <w:tcBorders>
              <w:top w:val="nil"/>
              <w:left w:val="nil"/>
              <w:bottom w:val="nil"/>
              <w:right w:val="nil"/>
            </w:tcBorders>
            <w:tcMar>
              <w:top w:w="15" w:type="dxa"/>
              <w:left w:w="0" w:type="dxa"/>
              <w:bottom w:w="15" w:type="dxa"/>
              <w:right w:w="180" w:type="dxa"/>
            </w:tcMar>
            <w:vAlign w:val="center"/>
            <w:hideMark/>
          </w:tcPr>
          <w:p w14:paraId="124F2E4B"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2AFB317"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0.951</w:t>
            </w:r>
          </w:p>
        </w:tc>
        <w:tc>
          <w:tcPr>
            <w:tcW w:w="0" w:type="auto"/>
            <w:tcBorders>
              <w:top w:val="nil"/>
              <w:left w:val="nil"/>
              <w:bottom w:val="nil"/>
              <w:right w:val="nil"/>
            </w:tcBorders>
            <w:tcMar>
              <w:top w:w="15" w:type="dxa"/>
              <w:left w:w="0" w:type="dxa"/>
              <w:bottom w:w="15" w:type="dxa"/>
              <w:right w:w="180" w:type="dxa"/>
            </w:tcMar>
            <w:vAlign w:val="center"/>
            <w:hideMark/>
          </w:tcPr>
          <w:p w14:paraId="2976238B" w14:textId="77777777" w:rsidR="001C3A27" w:rsidRPr="001C3A27" w:rsidRDefault="001C3A27" w:rsidP="001C3A27">
            <w:pPr>
              <w:spacing w:line="480" w:lineRule="auto"/>
              <w:jc w:val="right"/>
              <w:rPr>
                <w:rFonts w:ascii="Arial" w:hAnsi="Arial" w:cs="Arial"/>
                <w:color w:val="000000"/>
              </w:rPr>
            </w:pPr>
          </w:p>
        </w:tc>
      </w:tr>
      <w:tr w:rsidR="001C3A27" w:rsidRPr="001C3A27" w14:paraId="174363FF" w14:textId="77777777" w:rsidTr="00D540CA">
        <w:tc>
          <w:tcPr>
            <w:tcW w:w="0" w:type="auto"/>
            <w:tcBorders>
              <w:top w:val="nil"/>
              <w:left w:val="nil"/>
              <w:bottom w:val="nil"/>
              <w:right w:val="nil"/>
            </w:tcBorders>
            <w:tcMar>
              <w:top w:w="15" w:type="dxa"/>
              <w:left w:w="180" w:type="dxa"/>
              <w:bottom w:w="15" w:type="dxa"/>
              <w:right w:w="0" w:type="dxa"/>
            </w:tcMar>
            <w:vAlign w:val="center"/>
            <w:hideMark/>
          </w:tcPr>
          <w:p w14:paraId="5486CDA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528D22EA"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B81464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Facilitator Competence</w:t>
            </w:r>
          </w:p>
        </w:tc>
        <w:tc>
          <w:tcPr>
            <w:tcW w:w="0" w:type="auto"/>
            <w:tcBorders>
              <w:top w:val="nil"/>
              <w:left w:val="nil"/>
              <w:bottom w:val="nil"/>
              <w:right w:val="nil"/>
            </w:tcBorders>
            <w:tcMar>
              <w:top w:w="15" w:type="dxa"/>
              <w:left w:w="0" w:type="dxa"/>
              <w:bottom w:w="15" w:type="dxa"/>
              <w:right w:w="180" w:type="dxa"/>
            </w:tcMar>
            <w:vAlign w:val="center"/>
            <w:hideMark/>
          </w:tcPr>
          <w:p w14:paraId="7971A80B"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848AC2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3.670</w:t>
            </w:r>
          </w:p>
        </w:tc>
        <w:tc>
          <w:tcPr>
            <w:tcW w:w="0" w:type="auto"/>
            <w:tcBorders>
              <w:top w:val="nil"/>
              <w:left w:val="nil"/>
              <w:bottom w:val="nil"/>
              <w:right w:val="nil"/>
            </w:tcBorders>
            <w:tcMar>
              <w:top w:w="15" w:type="dxa"/>
              <w:left w:w="0" w:type="dxa"/>
              <w:bottom w:w="15" w:type="dxa"/>
              <w:right w:w="180" w:type="dxa"/>
            </w:tcMar>
            <w:vAlign w:val="center"/>
            <w:hideMark/>
          </w:tcPr>
          <w:p w14:paraId="37020FB1"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520CED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1.932</w:t>
            </w:r>
          </w:p>
        </w:tc>
        <w:tc>
          <w:tcPr>
            <w:tcW w:w="0" w:type="auto"/>
            <w:tcBorders>
              <w:top w:val="nil"/>
              <w:left w:val="nil"/>
              <w:bottom w:val="nil"/>
              <w:right w:val="nil"/>
            </w:tcBorders>
            <w:tcMar>
              <w:top w:w="15" w:type="dxa"/>
              <w:left w:w="0" w:type="dxa"/>
              <w:bottom w:w="15" w:type="dxa"/>
              <w:right w:w="180" w:type="dxa"/>
            </w:tcMar>
            <w:vAlign w:val="center"/>
            <w:hideMark/>
          </w:tcPr>
          <w:p w14:paraId="36AD051F"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26AA5460"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0.108</w:t>
            </w:r>
          </w:p>
        </w:tc>
        <w:tc>
          <w:tcPr>
            <w:tcW w:w="0" w:type="auto"/>
            <w:tcBorders>
              <w:top w:val="nil"/>
              <w:left w:val="nil"/>
              <w:bottom w:val="nil"/>
              <w:right w:val="nil"/>
            </w:tcBorders>
            <w:tcMar>
              <w:top w:w="15" w:type="dxa"/>
              <w:left w:w="0" w:type="dxa"/>
              <w:bottom w:w="15" w:type="dxa"/>
              <w:right w:w="180" w:type="dxa"/>
            </w:tcMar>
            <w:vAlign w:val="center"/>
            <w:hideMark/>
          </w:tcPr>
          <w:p w14:paraId="6F739FBE"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1C4370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1.900</w:t>
            </w:r>
          </w:p>
        </w:tc>
        <w:tc>
          <w:tcPr>
            <w:tcW w:w="0" w:type="auto"/>
            <w:tcBorders>
              <w:top w:val="nil"/>
              <w:left w:val="nil"/>
              <w:bottom w:val="nil"/>
              <w:right w:val="nil"/>
            </w:tcBorders>
            <w:tcMar>
              <w:top w:w="15" w:type="dxa"/>
              <w:left w:w="0" w:type="dxa"/>
              <w:bottom w:w="15" w:type="dxa"/>
              <w:right w:w="180" w:type="dxa"/>
            </w:tcMar>
            <w:vAlign w:val="center"/>
            <w:hideMark/>
          </w:tcPr>
          <w:p w14:paraId="1F80F7D1"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31AFDDB3"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0.059</w:t>
            </w:r>
          </w:p>
        </w:tc>
        <w:tc>
          <w:tcPr>
            <w:tcW w:w="0" w:type="auto"/>
            <w:tcBorders>
              <w:top w:val="nil"/>
              <w:left w:val="nil"/>
              <w:bottom w:val="nil"/>
              <w:right w:val="nil"/>
            </w:tcBorders>
            <w:tcMar>
              <w:top w:w="15" w:type="dxa"/>
              <w:left w:w="0" w:type="dxa"/>
              <w:bottom w:w="15" w:type="dxa"/>
              <w:right w:w="180" w:type="dxa"/>
            </w:tcMar>
            <w:vAlign w:val="center"/>
            <w:hideMark/>
          </w:tcPr>
          <w:p w14:paraId="42D8EE86" w14:textId="77777777" w:rsidR="001C3A27" w:rsidRPr="001C3A27" w:rsidRDefault="001C3A27" w:rsidP="001C3A27">
            <w:pPr>
              <w:spacing w:line="480" w:lineRule="auto"/>
              <w:jc w:val="right"/>
              <w:rPr>
                <w:rFonts w:ascii="Arial" w:hAnsi="Arial" w:cs="Arial"/>
                <w:color w:val="000000"/>
              </w:rPr>
            </w:pPr>
          </w:p>
        </w:tc>
      </w:tr>
      <w:tr w:rsidR="001C3A27" w:rsidRPr="001C3A27" w14:paraId="146C65AF" w14:textId="77777777" w:rsidTr="00D540CA">
        <w:tc>
          <w:tcPr>
            <w:tcW w:w="0" w:type="auto"/>
            <w:tcBorders>
              <w:top w:val="nil"/>
              <w:left w:val="nil"/>
              <w:bottom w:val="nil"/>
              <w:right w:val="nil"/>
            </w:tcBorders>
            <w:tcMar>
              <w:top w:w="15" w:type="dxa"/>
              <w:left w:w="180" w:type="dxa"/>
              <w:bottom w:w="15" w:type="dxa"/>
              <w:right w:w="0" w:type="dxa"/>
            </w:tcMar>
            <w:vAlign w:val="center"/>
            <w:hideMark/>
          </w:tcPr>
          <w:p w14:paraId="0F5FF4E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6F42C510"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F8EE8C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Baseline (3)</w:t>
            </w:r>
          </w:p>
        </w:tc>
        <w:tc>
          <w:tcPr>
            <w:tcW w:w="0" w:type="auto"/>
            <w:tcBorders>
              <w:top w:val="nil"/>
              <w:left w:val="nil"/>
              <w:bottom w:val="nil"/>
              <w:right w:val="nil"/>
            </w:tcBorders>
            <w:tcMar>
              <w:top w:w="15" w:type="dxa"/>
              <w:left w:w="0" w:type="dxa"/>
              <w:bottom w:w="15" w:type="dxa"/>
              <w:right w:w="180" w:type="dxa"/>
            </w:tcMar>
            <w:vAlign w:val="center"/>
            <w:hideMark/>
          </w:tcPr>
          <w:p w14:paraId="5884FEC5"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12EBBBD"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-0.470</w:t>
            </w:r>
          </w:p>
        </w:tc>
        <w:tc>
          <w:tcPr>
            <w:tcW w:w="0" w:type="auto"/>
            <w:tcBorders>
              <w:top w:val="nil"/>
              <w:left w:val="nil"/>
              <w:bottom w:val="nil"/>
              <w:right w:val="nil"/>
            </w:tcBorders>
            <w:tcMar>
              <w:top w:w="15" w:type="dxa"/>
              <w:left w:w="0" w:type="dxa"/>
              <w:bottom w:w="15" w:type="dxa"/>
              <w:right w:w="180" w:type="dxa"/>
            </w:tcMar>
            <w:vAlign w:val="center"/>
            <w:hideMark/>
          </w:tcPr>
          <w:p w14:paraId="78E4F1E9"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22176F4"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6.619</w:t>
            </w:r>
          </w:p>
        </w:tc>
        <w:tc>
          <w:tcPr>
            <w:tcW w:w="0" w:type="auto"/>
            <w:tcBorders>
              <w:top w:val="nil"/>
              <w:left w:val="nil"/>
              <w:bottom w:val="nil"/>
              <w:right w:val="nil"/>
            </w:tcBorders>
            <w:tcMar>
              <w:top w:w="15" w:type="dxa"/>
              <w:left w:w="0" w:type="dxa"/>
              <w:bottom w:w="15" w:type="dxa"/>
              <w:right w:w="180" w:type="dxa"/>
            </w:tcMar>
            <w:vAlign w:val="center"/>
            <w:hideMark/>
          </w:tcPr>
          <w:p w14:paraId="58DD1EAB"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35EE7086"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175F8C77"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479C652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-0.071</w:t>
            </w:r>
          </w:p>
        </w:tc>
        <w:tc>
          <w:tcPr>
            <w:tcW w:w="0" w:type="auto"/>
            <w:tcBorders>
              <w:top w:val="nil"/>
              <w:left w:val="nil"/>
              <w:bottom w:val="nil"/>
              <w:right w:val="nil"/>
            </w:tcBorders>
            <w:tcMar>
              <w:top w:w="15" w:type="dxa"/>
              <w:left w:w="0" w:type="dxa"/>
              <w:bottom w:w="15" w:type="dxa"/>
              <w:right w:w="180" w:type="dxa"/>
            </w:tcMar>
            <w:vAlign w:val="center"/>
            <w:hideMark/>
          </w:tcPr>
          <w:p w14:paraId="55E184A6"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7AABB55"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0.943</w:t>
            </w:r>
          </w:p>
        </w:tc>
        <w:tc>
          <w:tcPr>
            <w:tcW w:w="0" w:type="auto"/>
            <w:tcBorders>
              <w:top w:val="nil"/>
              <w:left w:val="nil"/>
              <w:bottom w:val="nil"/>
              <w:right w:val="nil"/>
            </w:tcBorders>
            <w:tcMar>
              <w:top w:w="15" w:type="dxa"/>
              <w:left w:w="0" w:type="dxa"/>
              <w:bottom w:w="15" w:type="dxa"/>
              <w:right w:w="180" w:type="dxa"/>
            </w:tcMar>
            <w:vAlign w:val="center"/>
            <w:hideMark/>
          </w:tcPr>
          <w:p w14:paraId="7BE17C59" w14:textId="77777777" w:rsidR="001C3A27" w:rsidRPr="001C3A27" w:rsidRDefault="001C3A27" w:rsidP="001C3A27">
            <w:pPr>
              <w:spacing w:line="480" w:lineRule="auto"/>
              <w:jc w:val="right"/>
              <w:rPr>
                <w:rFonts w:ascii="Arial" w:hAnsi="Arial" w:cs="Arial"/>
                <w:color w:val="000000"/>
              </w:rPr>
            </w:pPr>
          </w:p>
        </w:tc>
      </w:tr>
      <w:tr w:rsidR="001C3A27" w:rsidRPr="001C3A27" w14:paraId="1BFE2EB9" w14:textId="77777777" w:rsidTr="00D540CA">
        <w:tc>
          <w:tcPr>
            <w:tcW w:w="0" w:type="auto"/>
            <w:tcBorders>
              <w:top w:val="nil"/>
              <w:left w:val="nil"/>
              <w:bottom w:val="nil"/>
              <w:right w:val="nil"/>
            </w:tcBorders>
            <w:tcMar>
              <w:top w:w="15" w:type="dxa"/>
              <w:left w:w="180" w:type="dxa"/>
              <w:bottom w:w="15" w:type="dxa"/>
              <w:right w:w="0" w:type="dxa"/>
            </w:tcMar>
            <w:vAlign w:val="center"/>
            <w:hideMark/>
          </w:tcPr>
          <w:p w14:paraId="1D85AE1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lastRenderedPageBreak/>
              <w:t> </w:t>
            </w:r>
          </w:p>
        </w:tc>
        <w:tc>
          <w:tcPr>
            <w:tcW w:w="0" w:type="auto"/>
            <w:tcBorders>
              <w:top w:val="nil"/>
              <w:left w:val="nil"/>
              <w:bottom w:val="nil"/>
              <w:right w:val="nil"/>
            </w:tcBorders>
            <w:tcMar>
              <w:top w:w="15" w:type="dxa"/>
              <w:left w:w="0" w:type="dxa"/>
              <w:bottom w:w="15" w:type="dxa"/>
              <w:right w:w="180" w:type="dxa"/>
            </w:tcMar>
            <w:vAlign w:val="center"/>
            <w:hideMark/>
          </w:tcPr>
          <w:p w14:paraId="2C744EB8"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4FCC2B0"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Baseline (4)</w:t>
            </w:r>
          </w:p>
        </w:tc>
        <w:tc>
          <w:tcPr>
            <w:tcW w:w="0" w:type="auto"/>
            <w:tcBorders>
              <w:top w:val="nil"/>
              <w:left w:val="nil"/>
              <w:bottom w:val="nil"/>
              <w:right w:val="nil"/>
            </w:tcBorders>
            <w:tcMar>
              <w:top w:w="15" w:type="dxa"/>
              <w:left w:w="0" w:type="dxa"/>
              <w:bottom w:w="15" w:type="dxa"/>
              <w:right w:w="180" w:type="dxa"/>
            </w:tcMar>
            <w:vAlign w:val="center"/>
            <w:hideMark/>
          </w:tcPr>
          <w:p w14:paraId="6FC5853E"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7959B4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2.754</w:t>
            </w:r>
          </w:p>
        </w:tc>
        <w:tc>
          <w:tcPr>
            <w:tcW w:w="0" w:type="auto"/>
            <w:tcBorders>
              <w:top w:val="nil"/>
              <w:left w:val="nil"/>
              <w:bottom w:val="nil"/>
              <w:right w:val="nil"/>
            </w:tcBorders>
            <w:tcMar>
              <w:top w:w="15" w:type="dxa"/>
              <w:left w:w="0" w:type="dxa"/>
              <w:bottom w:w="15" w:type="dxa"/>
              <w:right w:w="180" w:type="dxa"/>
            </w:tcMar>
            <w:vAlign w:val="center"/>
            <w:hideMark/>
          </w:tcPr>
          <w:p w14:paraId="1172C119"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A668870"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6.555</w:t>
            </w:r>
          </w:p>
        </w:tc>
        <w:tc>
          <w:tcPr>
            <w:tcW w:w="0" w:type="auto"/>
            <w:tcBorders>
              <w:top w:val="nil"/>
              <w:left w:val="nil"/>
              <w:bottom w:val="nil"/>
              <w:right w:val="nil"/>
            </w:tcBorders>
            <w:tcMar>
              <w:top w:w="15" w:type="dxa"/>
              <w:left w:w="0" w:type="dxa"/>
              <w:bottom w:w="15" w:type="dxa"/>
              <w:right w:w="180" w:type="dxa"/>
            </w:tcMar>
            <w:vAlign w:val="center"/>
            <w:hideMark/>
          </w:tcPr>
          <w:p w14:paraId="4A8D1EE8"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22E78B9D"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27E3DE01"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6BC88947"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0.420</w:t>
            </w:r>
          </w:p>
        </w:tc>
        <w:tc>
          <w:tcPr>
            <w:tcW w:w="0" w:type="auto"/>
            <w:tcBorders>
              <w:top w:val="nil"/>
              <w:left w:val="nil"/>
              <w:bottom w:val="nil"/>
              <w:right w:val="nil"/>
            </w:tcBorders>
            <w:tcMar>
              <w:top w:w="15" w:type="dxa"/>
              <w:left w:w="0" w:type="dxa"/>
              <w:bottom w:w="15" w:type="dxa"/>
              <w:right w:w="180" w:type="dxa"/>
            </w:tcMar>
            <w:vAlign w:val="center"/>
            <w:hideMark/>
          </w:tcPr>
          <w:p w14:paraId="07475C7C"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7B3C5E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0.675</w:t>
            </w:r>
          </w:p>
        </w:tc>
        <w:tc>
          <w:tcPr>
            <w:tcW w:w="0" w:type="auto"/>
            <w:tcBorders>
              <w:top w:val="nil"/>
              <w:left w:val="nil"/>
              <w:bottom w:val="nil"/>
              <w:right w:val="nil"/>
            </w:tcBorders>
            <w:tcMar>
              <w:top w:w="15" w:type="dxa"/>
              <w:left w:w="0" w:type="dxa"/>
              <w:bottom w:w="15" w:type="dxa"/>
              <w:right w:w="180" w:type="dxa"/>
            </w:tcMar>
            <w:vAlign w:val="center"/>
            <w:hideMark/>
          </w:tcPr>
          <w:p w14:paraId="26BC2C5A" w14:textId="77777777" w:rsidR="001C3A27" w:rsidRPr="001C3A27" w:rsidRDefault="001C3A27" w:rsidP="001C3A27">
            <w:pPr>
              <w:spacing w:line="480" w:lineRule="auto"/>
              <w:jc w:val="right"/>
              <w:rPr>
                <w:rFonts w:ascii="Arial" w:hAnsi="Arial" w:cs="Arial"/>
                <w:color w:val="000000"/>
              </w:rPr>
            </w:pPr>
          </w:p>
        </w:tc>
      </w:tr>
      <w:tr w:rsidR="001C3A27" w:rsidRPr="001C3A27" w14:paraId="6103C335" w14:textId="77777777" w:rsidTr="00D540CA">
        <w:tc>
          <w:tcPr>
            <w:tcW w:w="0" w:type="auto"/>
            <w:tcBorders>
              <w:top w:val="nil"/>
              <w:left w:val="nil"/>
              <w:bottom w:val="nil"/>
              <w:right w:val="nil"/>
            </w:tcBorders>
            <w:tcMar>
              <w:top w:w="15" w:type="dxa"/>
              <w:left w:w="180" w:type="dxa"/>
              <w:bottom w:w="15" w:type="dxa"/>
              <w:right w:w="0" w:type="dxa"/>
            </w:tcMar>
            <w:vAlign w:val="center"/>
            <w:hideMark/>
          </w:tcPr>
          <w:p w14:paraId="01532143"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6D2FC7B3"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D0D1F5A"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Baseline (5)</w:t>
            </w:r>
          </w:p>
        </w:tc>
        <w:tc>
          <w:tcPr>
            <w:tcW w:w="0" w:type="auto"/>
            <w:tcBorders>
              <w:top w:val="nil"/>
              <w:left w:val="nil"/>
              <w:bottom w:val="nil"/>
              <w:right w:val="nil"/>
            </w:tcBorders>
            <w:tcMar>
              <w:top w:w="15" w:type="dxa"/>
              <w:left w:w="0" w:type="dxa"/>
              <w:bottom w:w="15" w:type="dxa"/>
              <w:right w:w="180" w:type="dxa"/>
            </w:tcMar>
            <w:vAlign w:val="center"/>
            <w:hideMark/>
          </w:tcPr>
          <w:p w14:paraId="5B78B8B4"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152B8A4"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4.077</w:t>
            </w:r>
          </w:p>
        </w:tc>
        <w:tc>
          <w:tcPr>
            <w:tcW w:w="0" w:type="auto"/>
            <w:tcBorders>
              <w:top w:val="nil"/>
              <w:left w:val="nil"/>
              <w:bottom w:val="nil"/>
              <w:right w:val="nil"/>
            </w:tcBorders>
            <w:tcMar>
              <w:top w:w="15" w:type="dxa"/>
              <w:left w:w="0" w:type="dxa"/>
              <w:bottom w:w="15" w:type="dxa"/>
              <w:right w:w="180" w:type="dxa"/>
            </w:tcMar>
            <w:vAlign w:val="center"/>
            <w:hideMark/>
          </w:tcPr>
          <w:p w14:paraId="1D8250F5"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2B6897A1"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6.591</w:t>
            </w:r>
          </w:p>
        </w:tc>
        <w:tc>
          <w:tcPr>
            <w:tcW w:w="0" w:type="auto"/>
            <w:tcBorders>
              <w:top w:val="nil"/>
              <w:left w:val="nil"/>
              <w:bottom w:val="nil"/>
              <w:right w:val="nil"/>
            </w:tcBorders>
            <w:tcMar>
              <w:top w:w="15" w:type="dxa"/>
              <w:left w:w="0" w:type="dxa"/>
              <w:bottom w:w="15" w:type="dxa"/>
              <w:right w:w="180" w:type="dxa"/>
            </w:tcMar>
            <w:vAlign w:val="center"/>
            <w:hideMark/>
          </w:tcPr>
          <w:p w14:paraId="668DC00C"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70D6DEA"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093E96E2"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412F0CA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0.618</w:t>
            </w:r>
          </w:p>
        </w:tc>
        <w:tc>
          <w:tcPr>
            <w:tcW w:w="0" w:type="auto"/>
            <w:tcBorders>
              <w:top w:val="nil"/>
              <w:left w:val="nil"/>
              <w:bottom w:val="nil"/>
              <w:right w:val="nil"/>
            </w:tcBorders>
            <w:tcMar>
              <w:top w:w="15" w:type="dxa"/>
              <w:left w:w="0" w:type="dxa"/>
              <w:bottom w:w="15" w:type="dxa"/>
              <w:right w:w="180" w:type="dxa"/>
            </w:tcMar>
            <w:vAlign w:val="center"/>
            <w:hideMark/>
          </w:tcPr>
          <w:p w14:paraId="4505577B"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8F9EA57"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0.537</w:t>
            </w:r>
          </w:p>
        </w:tc>
        <w:tc>
          <w:tcPr>
            <w:tcW w:w="0" w:type="auto"/>
            <w:tcBorders>
              <w:top w:val="nil"/>
              <w:left w:val="nil"/>
              <w:bottom w:val="nil"/>
              <w:right w:val="nil"/>
            </w:tcBorders>
            <w:tcMar>
              <w:top w:w="15" w:type="dxa"/>
              <w:left w:w="0" w:type="dxa"/>
              <w:bottom w:w="15" w:type="dxa"/>
              <w:right w:w="180" w:type="dxa"/>
            </w:tcMar>
            <w:vAlign w:val="center"/>
            <w:hideMark/>
          </w:tcPr>
          <w:p w14:paraId="269FF196" w14:textId="77777777" w:rsidR="001C3A27" w:rsidRPr="001C3A27" w:rsidRDefault="001C3A27" w:rsidP="001C3A27">
            <w:pPr>
              <w:spacing w:line="480" w:lineRule="auto"/>
              <w:jc w:val="right"/>
              <w:rPr>
                <w:rFonts w:ascii="Arial" w:hAnsi="Arial" w:cs="Arial"/>
                <w:color w:val="000000"/>
              </w:rPr>
            </w:pPr>
          </w:p>
        </w:tc>
      </w:tr>
      <w:tr w:rsidR="001C3A27" w:rsidRPr="001C3A27" w14:paraId="14AD0A9B" w14:textId="77777777" w:rsidTr="00D540CA">
        <w:tc>
          <w:tcPr>
            <w:tcW w:w="0" w:type="auto"/>
            <w:tcBorders>
              <w:top w:val="nil"/>
              <w:left w:val="nil"/>
              <w:bottom w:val="nil"/>
              <w:right w:val="nil"/>
            </w:tcBorders>
            <w:tcMar>
              <w:top w:w="15" w:type="dxa"/>
              <w:left w:w="180" w:type="dxa"/>
              <w:bottom w:w="15" w:type="dxa"/>
              <w:right w:w="0" w:type="dxa"/>
            </w:tcMar>
            <w:vAlign w:val="center"/>
            <w:hideMark/>
          </w:tcPr>
          <w:p w14:paraId="6864BF8A"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7C14F190"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A8418BF"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9M (1)</w:t>
            </w:r>
          </w:p>
        </w:tc>
        <w:tc>
          <w:tcPr>
            <w:tcW w:w="0" w:type="auto"/>
            <w:tcBorders>
              <w:top w:val="nil"/>
              <w:left w:val="nil"/>
              <w:bottom w:val="nil"/>
              <w:right w:val="nil"/>
            </w:tcBorders>
            <w:tcMar>
              <w:top w:w="15" w:type="dxa"/>
              <w:left w:w="0" w:type="dxa"/>
              <w:bottom w:w="15" w:type="dxa"/>
              <w:right w:w="180" w:type="dxa"/>
            </w:tcMar>
            <w:vAlign w:val="center"/>
            <w:hideMark/>
          </w:tcPr>
          <w:p w14:paraId="48B645E8"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3A4AC0D"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0.272</w:t>
            </w:r>
          </w:p>
        </w:tc>
        <w:tc>
          <w:tcPr>
            <w:tcW w:w="0" w:type="auto"/>
            <w:tcBorders>
              <w:top w:val="nil"/>
              <w:left w:val="nil"/>
              <w:bottom w:val="nil"/>
              <w:right w:val="nil"/>
            </w:tcBorders>
            <w:tcMar>
              <w:top w:w="15" w:type="dxa"/>
              <w:left w:w="0" w:type="dxa"/>
              <w:bottom w:w="15" w:type="dxa"/>
              <w:right w:w="180" w:type="dxa"/>
            </w:tcMar>
            <w:vAlign w:val="center"/>
            <w:hideMark/>
          </w:tcPr>
          <w:p w14:paraId="2F692F3D"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145F9B2"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3.139</w:t>
            </w:r>
          </w:p>
        </w:tc>
        <w:tc>
          <w:tcPr>
            <w:tcW w:w="0" w:type="auto"/>
            <w:tcBorders>
              <w:top w:val="nil"/>
              <w:left w:val="nil"/>
              <w:bottom w:val="nil"/>
              <w:right w:val="nil"/>
            </w:tcBorders>
            <w:tcMar>
              <w:top w:w="15" w:type="dxa"/>
              <w:left w:w="0" w:type="dxa"/>
              <w:bottom w:w="15" w:type="dxa"/>
              <w:right w:w="180" w:type="dxa"/>
            </w:tcMar>
            <w:vAlign w:val="center"/>
            <w:hideMark/>
          </w:tcPr>
          <w:p w14:paraId="248906E5"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37DA41F4"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4B210169"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4C3FF5D5"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0.087</w:t>
            </w:r>
          </w:p>
        </w:tc>
        <w:tc>
          <w:tcPr>
            <w:tcW w:w="0" w:type="auto"/>
            <w:tcBorders>
              <w:top w:val="nil"/>
              <w:left w:val="nil"/>
              <w:bottom w:val="nil"/>
              <w:right w:val="nil"/>
            </w:tcBorders>
            <w:tcMar>
              <w:top w:w="15" w:type="dxa"/>
              <w:left w:w="0" w:type="dxa"/>
              <w:bottom w:w="15" w:type="dxa"/>
              <w:right w:w="180" w:type="dxa"/>
            </w:tcMar>
            <w:vAlign w:val="center"/>
            <w:hideMark/>
          </w:tcPr>
          <w:p w14:paraId="4CC6BA4E"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EE61893"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0.931</w:t>
            </w:r>
          </w:p>
        </w:tc>
        <w:tc>
          <w:tcPr>
            <w:tcW w:w="0" w:type="auto"/>
            <w:tcBorders>
              <w:top w:val="nil"/>
              <w:left w:val="nil"/>
              <w:bottom w:val="nil"/>
              <w:right w:val="nil"/>
            </w:tcBorders>
            <w:tcMar>
              <w:top w:w="15" w:type="dxa"/>
              <w:left w:w="0" w:type="dxa"/>
              <w:bottom w:w="15" w:type="dxa"/>
              <w:right w:w="180" w:type="dxa"/>
            </w:tcMar>
            <w:vAlign w:val="center"/>
            <w:hideMark/>
          </w:tcPr>
          <w:p w14:paraId="5C49C23A" w14:textId="77777777" w:rsidR="001C3A27" w:rsidRPr="001C3A27" w:rsidRDefault="001C3A27" w:rsidP="001C3A27">
            <w:pPr>
              <w:spacing w:line="480" w:lineRule="auto"/>
              <w:jc w:val="right"/>
              <w:rPr>
                <w:rFonts w:ascii="Arial" w:hAnsi="Arial" w:cs="Arial"/>
                <w:color w:val="000000"/>
              </w:rPr>
            </w:pPr>
          </w:p>
        </w:tc>
      </w:tr>
      <w:tr w:rsidR="001C3A27" w:rsidRPr="001C3A27" w14:paraId="32CCBA88" w14:textId="77777777" w:rsidTr="00D540CA">
        <w:tc>
          <w:tcPr>
            <w:tcW w:w="0" w:type="auto"/>
            <w:tcBorders>
              <w:top w:val="nil"/>
              <w:left w:val="nil"/>
              <w:bottom w:val="nil"/>
              <w:right w:val="nil"/>
            </w:tcBorders>
            <w:tcMar>
              <w:top w:w="15" w:type="dxa"/>
              <w:left w:w="180" w:type="dxa"/>
              <w:bottom w:w="15" w:type="dxa"/>
              <w:right w:w="0" w:type="dxa"/>
            </w:tcMar>
            <w:vAlign w:val="center"/>
            <w:hideMark/>
          </w:tcPr>
          <w:p w14:paraId="4D7CA67D"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420BDC81"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C172B8F"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9M (2)</w:t>
            </w:r>
          </w:p>
        </w:tc>
        <w:tc>
          <w:tcPr>
            <w:tcW w:w="0" w:type="auto"/>
            <w:tcBorders>
              <w:top w:val="nil"/>
              <w:left w:val="nil"/>
              <w:bottom w:val="nil"/>
              <w:right w:val="nil"/>
            </w:tcBorders>
            <w:tcMar>
              <w:top w:w="15" w:type="dxa"/>
              <w:left w:w="0" w:type="dxa"/>
              <w:bottom w:w="15" w:type="dxa"/>
              <w:right w:w="180" w:type="dxa"/>
            </w:tcMar>
            <w:vAlign w:val="center"/>
            <w:hideMark/>
          </w:tcPr>
          <w:p w14:paraId="7FEEFFF6"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EDE799B"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0.840</w:t>
            </w:r>
          </w:p>
        </w:tc>
        <w:tc>
          <w:tcPr>
            <w:tcW w:w="0" w:type="auto"/>
            <w:tcBorders>
              <w:top w:val="nil"/>
              <w:left w:val="nil"/>
              <w:bottom w:val="nil"/>
              <w:right w:val="nil"/>
            </w:tcBorders>
            <w:tcMar>
              <w:top w:w="15" w:type="dxa"/>
              <w:left w:w="0" w:type="dxa"/>
              <w:bottom w:w="15" w:type="dxa"/>
              <w:right w:w="180" w:type="dxa"/>
            </w:tcMar>
            <w:vAlign w:val="center"/>
            <w:hideMark/>
          </w:tcPr>
          <w:p w14:paraId="07EBDEE4"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ED2916A"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2.886</w:t>
            </w:r>
          </w:p>
        </w:tc>
        <w:tc>
          <w:tcPr>
            <w:tcW w:w="0" w:type="auto"/>
            <w:tcBorders>
              <w:top w:val="nil"/>
              <w:left w:val="nil"/>
              <w:bottom w:val="nil"/>
              <w:right w:val="nil"/>
            </w:tcBorders>
            <w:tcMar>
              <w:top w:w="15" w:type="dxa"/>
              <w:left w:w="0" w:type="dxa"/>
              <w:bottom w:w="15" w:type="dxa"/>
              <w:right w:w="180" w:type="dxa"/>
            </w:tcMar>
            <w:vAlign w:val="center"/>
            <w:hideMark/>
          </w:tcPr>
          <w:p w14:paraId="6F217F60"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320670E"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3D1E748E"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546A37C9"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0.291</w:t>
            </w:r>
          </w:p>
        </w:tc>
        <w:tc>
          <w:tcPr>
            <w:tcW w:w="0" w:type="auto"/>
            <w:tcBorders>
              <w:top w:val="nil"/>
              <w:left w:val="nil"/>
              <w:bottom w:val="nil"/>
              <w:right w:val="nil"/>
            </w:tcBorders>
            <w:tcMar>
              <w:top w:w="15" w:type="dxa"/>
              <w:left w:w="0" w:type="dxa"/>
              <w:bottom w:w="15" w:type="dxa"/>
              <w:right w:w="180" w:type="dxa"/>
            </w:tcMar>
            <w:vAlign w:val="center"/>
            <w:hideMark/>
          </w:tcPr>
          <w:p w14:paraId="09EB0FCF"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9CA405C"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0.771</w:t>
            </w:r>
          </w:p>
        </w:tc>
        <w:tc>
          <w:tcPr>
            <w:tcW w:w="0" w:type="auto"/>
            <w:tcBorders>
              <w:top w:val="nil"/>
              <w:left w:val="nil"/>
              <w:bottom w:val="nil"/>
              <w:right w:val="nil"/>
            </w:tcBorders>
            <w:tcMar>
              <w:top w:w="15" w:type="dxa"/>
              <w:left w:w="0" w:type="dxa"/>
              <w:bottom w:w="15" w:type="dxa"/>
              <w:right w:w="180" w:type="dxa"/>
            </w:tcMar>
            <w:vAlign w:val="center"/>
            <w:hideMark/>
          </w:tcPr>
          <w:p w14:paraId="7F13B9D2" w14:textId="77777777" w:rsidR="001C3A27" w:rsidRPr="001C3A27" w:rsidRDefault="001C3A27" w:rsidP="001C3A27">
            <w:pPr>
              <w:spacing w:line="480" w:lineRule="auto"/>
              <w:jc w:val="right"/>
              <w:rPr>
                <w:rFonts w:ascii="Arial" w:hAnsi="Arial" w:cs="Arial"/>
                <w:color w:val="000000"/>
              </w:rPr>
            </w:pPr>
          </w:p>
        </w:tc>
      </w:tr>
      <w:tr w:rsidR="001C3A27" w:rsidRPr="001C3A27" w14:paraId="16A8BB24" w14:textId="77777777" w:rsidTr="00D540CA">
        <w:tc>
          <w:tcPr>
            <w:tcW w:w="0" w:type="auto"/>
            <w:tcBorders>
              <w:top w:val="nil"/>
              <w:left w:val="nil"/>
              <w:bottom w:val="nil"/>
              <w:right w:val="nil"/>
            </w:tcBorders>
            <w:tcMar>
              <w:top w:w="15" w:type="dxa"/>
              <w:left w:w="180" w:type="dxa"/>
              <w:bottom w:w="15" w:type="dxa"/>
              <w:right w:w="0" w:type="dxa"/>
            </w:tcMar>
            <w:vAlign w:val="center"/>
            <w:hideMark/>
          </w:tcPr>
          <w:p w14:paraId="731CB604"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2F7FA3A7"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EB5FC3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9M (3)</w:t>
            </w:r>
          </w:p>
        </w:tc>
        <w:tc>
          <w:tcPr>
            <w:tcW w:w="0" w:type="auto"/>
            <w:tcBorders>
              <w:top w:val="nil"/>
              <w:left w:val="nil"/>
              <w:bottom w:val="nil"/>
              <w:right w:val="nil"/>
            </w:tcBorders>
            <w:tcMar>
              <w:top w:w="15" w:type="dxa"/>
              <w:left w:w="0" w:type="dxa"/>
              <w:bottom w:w="15" w:type="dxa"/>
              <w:right w:w="180" w:type="dxa"/>
            </w:tcMar>
            <w:vAlign w:val="center"/>
            <w:hideMark/>
          </w:tcPr>
          <w:p w14:paraId="369A56F9"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A076BB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-7.731</w:t>
            </w:r>
          </w:p>
        </w:tc>
        <w:tc>
          <w:tcPr>
            <w:tcW w:w="0" w:type="auto"/>
            <w:tcBorders>
              <w:top w:val="nil"/>
              <w:left w:val="nil"/>
              <w:bottom w:val="nil"/>
              <w:right w:val="nil"/>
            </w:tcBorders>
            <w:tcMar>
              <w:top w:w="15" w:type="dxa"/>
              <w:left w:w="0" w:type="dxa"/>
              <w:bottom w:w="15" w:type="dxa"/>
              <w:right w:w="180" w:type="dxa"/>
            </w:tcMar>
            <w:vAlign w:val="center"/>
            <w:hideMark/>
          </w:tcPr>
          <w:p w14:paraId="69BD3754"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B009385"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3.397</w:t>
            </w:r>
          </w:p>
        </w:tc>
        <w:tc>
          <w:tcPr>
            <w:tcW w:w="0" w:type="auto"/>
            <w:tcBorders>
              <w:top w:val="nil"/>
              <w:left w:val="nil"/>
              <w:bottom w:val="nil"/>
              <w:right w:val="nil"/>
            </w:tcBorders>
            <w:tcMar>
              <w:top w:w="15" w:type="dxa"/>
              <w:left w:w="0" w:type="dxa"/>
              <w:bottom w:w="15" w:type="dxa"/>
              <w:right w:w="180" w:type="dxa"/>
            </w:tcMar>
            <w:vAlign w:val="center"/>
            <w:hideMark/>
          </w:tcPr>
          <w:p w14:paraId="00280E6A"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BBDBBB9"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58D75910"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58808D2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-2.276</w:t>
            </w:r>
          </w:p>
        </w:tc>
        <w:tc>
          <w:tcPr>
            <w:tcW w:w="0" w:type="auto"/>
            <w:tcBorders>
              <w:top w:val="nil"/>
              <w:left w:val="nil"/>
              <w:bottom w:val="nil"/>
              <w:right w:val="nil"/>
            </w:tcBorders>
            <w:tcMar>
              <w:top w:w="15" w:type="dxa"/>
              <w:left w:w="0" w:type="dxa"/>
              <w:bottom w:w="15" w:type="dxa"/>
              <w:right w:w="180" w:type="dxa"/>
            </w:tcMar>
            <w:vAlign w:val="center"/>
            <w:hideMark/>
          </w:tcPr>
          <w:p w14:paraId="56B42945"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8A031ED"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0.024</w:t>
            </w:r>
          </w:p>
        </w:tc>
        <w:tc>
          <w:tcPr>
            <w:tcW w:w="0" w:type="auto"/>
            <w:tcBorders>
              <w:top w:val="nil"/>
              <w:left w:val="nil"/>
              <w:bottom w:val="nil"/>
              <w:right w:val="nil"/>
            </w:tcBorders>
            <w:tcMar>
              <w:top w:w="15" w:type="dxa"/>
              <w:left w:w="0" w:type="dxa"/>
              <w:bottom w:w="15" w:type="dxa"/>
              <w:right w:w="180" w:type="dxa"/>
            </w:tcMar>
            <w:vAlign w:val="center"/>
            <w:hideMark/>
          </w:tcPr>
          <w:p w14:paraId="14A84697" w14:textId="77777777" w:rsidR="001C3A27" w:rsidRPr="001C3A27" w:rsidRDefault="001C3A27" w:rsidP="001C3A27">
            <w:pPr>
              <w:spacing w:line="480" w:lineRule="auto"/>
              <w:jc w:val="right"/>
              <w:rPr>
                <w:rFonts w:ascii="Arial" w:hAnsi="Arial" w:cs="Arial"/>
                <w:color w:val="000000"/>
              </w:rPr>
            </w:pPr>
          </w:p>
        </w:tc>
      </w:tr>
      <w:tr w:rsidR="001C3A27" w:rsidRPr="001C3A27" w14:paraId="11B4947A" w14:textId="77777777" w:rsidTr="00D540CA">
        <w:tc>
          <w:tcPr>
            <w:tcW w:w="0" w:type="auto"/>
            <w:tcBorders>
              <w:top w:val="nil"/>
              <w:left w:val="nil"/>
              <w:bottom w:val="nil"/>
              <w:right w:val="nil"/>
            </w:tcBorders>
            <w:tcMar>
              <w:top w:w="15" w:type="dxa"/>
              <w:left w:w="180" w:type="dxa"/>
              <w:bottom w:w="15" w:type="dxa"/>
              <w:right w:w="0" w:type="dxa"/>
            </w:tcMar>
            <w:vAlign w:val="center"/>
            <w:hideMark/>
          </w:tcPr>
          <w:p w14:paraId="622014F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03D12D1D"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ABC5BC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9M (4)</w:t>
            </w:r>
          </w:p>
        </w:tc>
        <w:tc>
          <w:tcPr>
            <w:tcW w:w="0" w:type="auto"/>
            <w:tcBorders>
              <w:top w:val="nil"/>
              <w:left w:val="nil"/>
              <w:bottom w:val="nil"/>
              <w:right w:val="nil"/>
            </w:tcBorders>
            <w:tcMar>
              <w:top w:w="15" w:type="dxa"/>
              <w:left w:w="0" w:type="dxa"/>
              <w:bottom w:w="15" w:type="dxa"/>
              <w:right w:w="180" w:type="dxa"/>
            </w:tcMar>
            <w:vAlign w:val="center"/>
            <w:hideMark/>
          </w:tcPr>
          <w:p w14:paraId="771A65AA"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ABB32AD"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-12.270</w:t>
            </w:r>
          </w:p>
        </w:tc>
        <w:tc>
          <w:tcPr>
            <w:tcW w:w="0" w:type="auto"/>
            <w:tcBorders>
              <w:top w:val="nil"/>
              <w:left w:val="nil"/>
              <w:bottom w:val="nil"/>
              <w:right w:val="nil"/>
            </w:tcBorders>
            <w:tcMar>
              <w:top w:w="15" w:type="dxa"/>
              <w:left w:w="0" w:type="dxa"/>
              <w:bottom w:w="15" w:type="dxa"/>
              <w:right w:w="180" w:type="dxa"/>
            </w:tcMar>
            <w:vAlign w:val="center"/>
            <w:hideMark/>
          </w:tcPr>
          <w:p w14:paraId="0A9403DF"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B654080"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3.369</w:t>
            </w:r>
          </w:p>
        </w:tc>
        <w:tc>
          <w:tcPr>
            <w:tcW w:w="0" w:type="auto"/>
            <w:tcBorders>
              <w:top w:val="nil"/>
              <w:left w:val="nil"/>
              <w:bottom w:val="nil"/>
              <w:right w:val="nil"/>
            </w:tcBorders>
            <w:tcMar>
              <w:top w:w="15" w:type="dxa"/>
              <w:left w:w="0" w:type="dxa"/>
              <w:bottom w:w="15" w:type="dxa"/>
              <w:right w:w="180" w:type="dxa"/>
            </w:tcMar>
            <w:vAlign w:val="center"/>
            <w:hideMark/>
          </w:tcPr>
          <w:p w14:paraId="26685B13"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C7AA306"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57CCDCB8"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693C59E1"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-3.642</w:t>
            </w:r>
          </w:p>
        </w:tc>
        <w:tc>
          <w:tcPr>
            <w:tcW w:w="0" w:type="auto"/>
            <w:tcBorders>
              <w:top w:val="nil"/>
              <w:left w:val="nil"/>
              <w:bottom w:val="nil"/>
              <w:right w:val="nil"/>
            </w:tcBorders>
            <w:tcMar>
              <w:top w:w="15" w:type="dxa"/>
              <w:left w:w="0" w:type="dxa"/>
              <w:bottom w:w="15" w:type="dxa"/>
              <w:right w:w="180" w:type="dxa"/>
            </w:tcMar>
            <w:vAlign w:val="center"/>
            <w:hideMark/>
          </w:tcPr>
          <w:p w14:paraId="4B51012D"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DA6FF86"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0AA5B244" w14:textId="77777777" w:rsidR="001C3A27" w:rsidRPr="001C3A27" w:rsidRDefault="001C3A27" w:rsidP="001C3A27">
            <w:pPr>
              <w:spacing w:line="480" w:lineRule="auto"/>
              <w:jc w:val="right"/>
              <w:rPr>
                <w:rFonts w:ascii="Arial" w:hAnsi="Arial" w:cs="Arial"/>
                <w:color w:val="000000"/>
              </w:rPr>
            </w:pPr>
          </w:p>
        </w:tc>
      </w:tr>
      <w:tr w:rsidR="001C3A27" w:rsidRPr="001C3A27" w14:paraId="2FEE13BA" w14:textId="77777777" w:rsidTr="00D540CA">
        <w:trPr>
          <w:trHeight w:val="273"/>
        </w:trPr>
        <w:tc>
          <w:tcPr>
            <w:tcW w:w="0" w:type="auto"/>
            <w:tcBorders>
              <w:top w:val="nil"/>
              <w:left w:val="nil"/>
              <w:bottom w:val="nil"/>
              <w:right w:val="nil"/>
            </w:tcBorders>
            <w:tcMar>
              <w:top w:w="15" w:type="dxa"/>
              <w:left w:w="180" w:type="dxa"/>
              <w:bottom w:w="15" w:type="dxa"/>
              <w:right w:w="0" w:type="dxa"/>
            </w:tcMar>
            <w:vAlign w:val="center"/>
            <w:hideMark/>
          </w:tcPr>
          <w:p w14:paraId="57B0C185" w14:textId="77777777" w:rsidR="001C3A27" w:rsidRPr="001C3A27" w:rsidRDefault="001C3A27" w:rsidP="001C3A27">
            <w:pPr>
              <w:spacing w:after="144"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32FCE3CF" w14:textId="77777777" w:rsidR="001C3A27" w:rsidRPr="001C3A27" w:rsidRDefault="001C3A27" w:rsidP="001C3A27">
            <w:pPr>
              <w:spacing w:after="144"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2ABC4388" w14:textId="77777777" w:rsidR="001C3A27" w:rsidRPr="001C3A27" w:rsidRDefault="001C3A27" w:rsidP="001C3A27">
            <w:pPr>
              <w:spacing w:after="144" w:line="480" w:lineRule="auto"/>
              <w:rPr>
                <w:rFonts w:ascii="Arial" w:hAnsi="Arial" w:cs="Arial"/>
                <w:color w:val="000000"/>
              </w:rPr>
            </w:pPr>
            <w:r w:rsidRPr="001C3A27">
              <w:rPr>
                <w:rFonts w:ascii="Arial" w:hAnsi="Arial" w:cs="Arial"/>
                <w:color w:val="000000"/>
              </w:rPr>
              <w:t>Severity 9M (5)</w:t>
            </w:r>
          </w:p>
        </w:tc>
        <w:tc>
          <w:tcPr>
            <w:tcW w:w="0" w:type="auto"/>
            <w:tcBorders>
              <w:top w:val="nil"/>
              <w:left w:val="nil"/>
              <w:bottom w:val="nil"/>
              <w:right w:val="nil"/>
            </w:tcBorders>
            <w:tcMar>
              <w:top w:w="15" w:type="dxa"/>
              <w:left w:w="0" w:type="dxa"/>
              <w:bottom w:w="15" w:type="dxa"/>
              <w:right w:w="180" w:type="dxa"/>
            </w:tcMar>
            <w:vAlign w:val="center"/>
            <w:hideMark/>
          </w:tcPr>
          <w:p w14:paraId="13778F40" w14:textId="77777777" w:rsidR="001C3A27" w:rsidRPr="001C3A27" w:rsidRDefault="001C3A27" w:rsidP="001C3A27">
            <w:pPr>
              <w:spacing w:after="144"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CBF51BB" w14:textId="77777777" w:rsidR="001C3A27" w:rsidRPr="001C3A27" w:rsidRDefault="001C3A27" w:rsidP="001C3A27">
            <w:pPr>
              <w:spacing w:after="144" w:line="480" w:lineRule="auto"/>
              <w:jc w:val="right"/>
              <w:rPr>
                <w:rFonts w:ascii="Arial" w:hAnsi="Arial" w:cs="Arial"/>
                <w:color w:val="000000"/>
              </w:rPr>
            </w:pPr>
            <w:r w:rsidRPr="001C3A27">
              <w:rPr>
                <w:rFonts w:ascii="Arial" w:hAnsi="Arial" w:cs="Arial"/>
                <w:color w:val="000000"/>
              </w:rPr>
              <w:t>-18.691</w:t>
            </w:r>
          </w:p>
        </w:tc>
        <w:tc>
          <w:tcPr>
            <w:tcW w:w="0" w:type="auto"/>
            <w:tcBorders>
              <w:top w:val="nil"/>
              <w:left w:val="nil"/>
              <w:bottom w:val="nil"/>
              <w:right w:val="nil"/>
            </w:tcBorders>
            <w:tcMar>
              <w:top w:w="15" w:type="dxa"/>
              <w:left w:w="0" w:type="dxa"/>
              <w:bottom w:w="15" w:type="dxa"/>
              <w:right w:w="180" w:type="dxa"/>
            </w:tcMar>
            <w:vAlign w:val="center"/>
            <w:hideMark/>
          </w:tcPr>
          <w:p w14:paraId="02AF57B7" w14:textId="77777777" w:rsidR="001C3A27" w:rsidRPr="001C3A27" w:rsidRDefault="001C3A27" w:rsidP="001C3A27">
            <w:pPr>
              <w:spacing w:after="144"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BC4C6CC" w14:textId="77777777" w:rsidR="001C3A27" w:rsidRPr="001C3A27" w:rsidRDefault="001C3A27" w:rsidP="001C3A27">
            <w:pPr>
              <w:spacing w:after="144" w:line="480" w:lineRule="auto"/>
              <w:jc w:val="right"/>
              <w:rPr>
                <w:rFonts w:ascii="Arial" w:hAnsi="Arial" w:cs="Arial"/>
                <w:color w:val="000000"/>
              </w:rPr>
            </w:pPr>
            <w:r w:rsidRPr="001C3A27">
              <w:rPr>
                <w:rFonts w:ascii="Arial" w:hAnsi="Arial" w:cs="Arial"/>
                <w:color w:val="000000"/>
              </w:rPr>
              <w:t>3.395</w:t>
            </w:r>
          </w:p>
        </w:tc>
        <w:tc>
          <w:tcPr>
            <w:tcW w:w="0" w:type="auto"/>
            <w:tcBorders>
              <w:top w:val="nil"/>
              <w:left w:val="nil"/>
              <w:bottom w:val="nil"/>
              <w:right w:val="nil"/>
            </w:tcBorders>
            <w:tcMar>
              <w:top w:w="15" w:type="dxa"/>
              <w:left w:w="0" w:type="dxa"/>
              <w:bottom w:w="15" w:type="dxa"/>
              <w:right w:w="180" w:type="dxa"/>
            </w:tcMar>
            <w:vAlign w:val="center"/>
            <w:hideMark/>
          </w:tcPr>
          <w:p w14:paraId="670B463E" w14:textId="77777777" w:rsidR="001C3A27" w:rsidRPr="001C3A27" w:rsidRDefault="001C3A27" w:rsidP="001C3A27">
            <w:pPr>
              <w:spacing w:after="144"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3692A9F7" w14:textId="77777777" w:rsidR="001C3A27" w:rsidRPr="001C3A27" w:rsidRDefault="001C3A27" w:rsidP="001C3A27">
            <w:pPr>
              <w:spacing w:after="144"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338F42B8" w14:textId="77777777" w:rsidR="001C3A27" w:rsidRPr="001C3A27" w:rsidRDefault="001C3A27" w:rsidP="001C3A27">
            <w:pPr>
              <w:spacing w:after="144"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19FF6C74" w14:textId="77777777" w:rsidR="001C3A27" w:rsidRPr="001C3A27" w:rsidRDefault="001C3A27" w:rsidP="001C3A27">
            <w:pPr>
              <w:spacing w:after="144" w:line="480" w:lineRule="auto"/>
              <w:jc w:val="right"/>
              <w:rPr>
                <w:rFonts w:ascii="Arial" w:hAnsi="Arial" w:cs="Arial"/>
                <w:color w:val="000000"/>
              </w:rPr>
            </w:pPr>
            <w:r w:rsidRPr="001C3A27">
              <w:rPr>
                <w:rFonts w:ascii="Arial" w:hAnsi="Arial" w:cs="Arial"/>
                <w:color w:val="000000"/>
              </w:rPr>
              <w:t>-5.505</w:t>
            </w:r>
          </w:p>
        </w:tc>
        <w:tc>
          <w:tcPr>
            <w:tcW w:w="0" w:type="auto"/>
            <w:tcBorders>
              <w:top w:val="nil"/>
              <w:left w:val="nil"/>
              <w:bottom w:val="nil"/>
              <w:right w:val="nil"/>
            </w:tcBorders>
            <w:tcMar>
              <w:top w:w="15" w:type="dxa"/>
              <w:left w:w="0" w:type="dxa"/>
              <w:bottom w:w="15" w:type="dxa"/>
              <w:right w:w="180" w:type="dxa"/>
            </w:tcMar>
            <w:vAlign w:val="center"/>
            <w:hideMark/>
          </w:tcPr>
          <w:p w14:paraId="76F06F49" w14:textId="77777777" w:rsidR="001C3A27" w:rsidRPr="001C3A27" w:rsidRDefault="001C3A27" w:rsidP="001C3A27">
            <w:pPr>
              <w:spacing w:after="144"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0EA38DD" w14:textId="77777777" w:rsidR="001C3A27" w:rsidRPr="001C3A27" w:rsidRDefault="001C3A27" w:rsidP="001C3A27">
            <w:pPr>
              <w:spacing w:after="144" w:line="480" w:lineRule="auto"/>
              <w:jc w:val="right"/>
              <w:rPr>
                <w:rFonts w:ascii="Arial" w:hAnsi="Arial" w:cs="Arial"/>
                <w:color w:val="000000"/>
              </w:rPr>
            </w:pPr>
            <w:r w:rsidRPr="001C3A27">
              <w:rPr>
                <w:rFonts w:ascii="Arial" w:hAnsi="Arial" w:cs="Arial"/>
                <w:color w:val="00000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349414C8" w14:textId="77777777" w:rsidR="001C3A27" w:rsidRPr="001C3A27" w:rsidRDefault="001C3A27" w:rsidP="001C3A27">
            <w:pPr>
              <w:spacing w:after="144" w:line="480" w:lineRule="auto"/>
              <w:jc w:val="right"/>
              <w:rPr>
                <w:rFonts w:ascii="Arial" w:hAnsi="Arial" w:cs="Arial"/>
                <w:color w:val="000000"/>
              </w:rPr>
            </w:pPr>
          </w:p>
        </w:tc>
      </w:tr>
      <w:tr w:rsidR="001C3A27" w:rsidRPr="001C3A27" w14:paraId="13ACE7C9" w14:textId="77777777" w:rsidTr="00D540CA">
        <w:tc>
          <w:tcPr>
            <w:tcW w:w="0" w:type="auto"/>
            <w:gridSpan w:val="14"/>
            <w:tcBorders>
              <w:top w:val="nil"/>
              <w:left w:val="nil"/>
              <w:bottom w:val="single" w:sz="12" w:space="0" w:color="000000"/>
              <w:right w:val="nil"/>
            </w:tcBorders>
            <w:tcMar>
              <w:top w:w="15" w:type="dxa"/>
              <w:left w:w="15" w:type="dxa"/>
              <w:bottom w:w="15" w:type="dxa"/>
              <w:right w:w="15" w:type="dxa"/>
            </w:tcMar>
            <w:vAlign w:val="center"/>
            <w:hideMark/>
          </w:tcPr>
          <w:p w14:paraId="5B778818" w14:textId="77777777" w:rsidR="001C3A27" w:rsidRPr="001C3A27" w:rsidRDefault="001C3A27" w:rsidP="001C3A27">
            <w:pPr>
              <w:spacing w:after="144" w:line="480" w:lineRule="auto"/>
              <w:rPr>
                <w:rFonts w:ascii="Arial" w:hAnsi="Arial" w:cs="Arial"/>
              </w:rPr>
            </w:pPr>
          </w:p>
        </w:tc>
      </w:tr>
    </w:tbl>
    <w:p w14:paraId="6B44CAC1" w14:textId="77777777" w:rsidR="001C3A27" w:rsidRDefault="001C3A27" w:rsidP="001C3A27">
      <w:pPr>
        <w:jc w:val="both"/>
        <w:rPr>
          <w:rFonts w:ascii="Arial" w:hAnsi="Arial" w:cs="Arial"/>
        </w:rPr>
      </w:pPr>
    </w:p>
    <w:p w14:paraId="49234BEB" w14:textId="77777777" w:rsidR="001C3A27" w:rsidRDefault="001C3A27" w:rsidP="001C3A27">
      <w:pPr>
        <w:jc w:val="both"/>
        <w:rPr>
          <w:rFonts w:ascii="Arial" w:hAnsi="Arial" w:cs="Arial"/>
        </w:rPr>
      </w:pPr>
      <w:r w:rsidRPr="001C3A27">
        <w:rPr>
          <w:rFonts w:ascii="Arial" w:hAnsi="Arial" w:cs="Arial"/>
        </w:rPr>
        <w:t xml:space="preserve">The multiple regression analysis in table 3 demonstrated that while severity of the mental disorder at baseline and attendance at support group sessions did not significantly influence the quality of life measured at 9 months using the WHOQOL-BREF, the severity of the mental disorder at 9 months was a potent predictor. Specifically, individuals experiencing higher levels of severity at 9 months (levels 3, 4, and 5) reported significantly worse outcomes. Specifically, attendance’s unstandardized coefficient was (-0.128, SE = 2.098, p = 0.951) indicating no significant effect. Similarly, facilitator’s competence unstandardized coefficient of (3.670, SE = 1.932 and p-value of 0.059 above the alpha =0.05 threshold, had no statistically robust impact. On the contrary, the severity of the disorders after the 9-month mark, specifically categories 3, 4 and 5 had strong, highly significant negative coefficients (-7.731), (-12.270), and (-18.691)   respectively with p-values all (&lt;.001) indicating that the most significant factor determining the prognosis appears to be the severity of the condition itself at the time of measurement, rather than the level of engagement with the support group intervention as measured by these specific variables. These findings imply that the intervention, as measured </w:t>
      </w:r>
      <w:r w:rsidRPr="001C3A27">
        <w:rPr>
          <w:rFonts w:ascii="Arial" w:hAnsi="Arial" w:cs="Arial"/>
        </w:rPr>
        <w:lastRenderedPageBreak/>
        <w:t>by attendance and facilitator competence, may not be sufficient to mitigate the long-term impact of the condition's severity. Future research and clinical practice should focus on developing more intensive or tailored interventions for individuals who continue to experience high severity levels after the 9 months to improve their quality of life outcomes.</w:t>
      </w:r>
    </w:p>
    <w:p w14:paraId="6A244F4F" w14:textId="77777777" w:rsidR="001C3A27" w:rsidRDefault="001C3A27" w:rsidP="001C3A27">
      <w:pPr>
        <w:jc w:val="both"/>
        <w:rPr>
          <w:rFonts w:ascii="Arial" w:hAnsi="Arial" w:cs="Arial"/>
          <w:b/>
        </w:rPr>
      </w:pPr>
    </w:p>
    <w:p w14:paraId="0E037AD8" w14:textId="77777777" w:rsidR="001C3A27" w:rsidRPr="00743249" w:rsidRDefault="00743249" w:rsidP="001C3A27">
      <w:pPr>
        <w:pStyle w:val="Heading2"/>
        <w:jc w:val="both"/>
        <w:rPr>
          <w:rFonts w:ascii="Arial" w:hAnsi="Arial" w:cs="Arial"/>
          <w:color w:val="auto"/>
          <w:sz w:val="22"/>
          <w:szCs w:val="20"/>
        </w:rPr>
      </w:pPr>
      <w:r>
        <w:rPr>
          <w:rStyle w:val="Strong"/>
          <w:rFonts w:ascii="Arial" w:hAnsi="Arial" w:cs="Arial"/>
          <w:bCs w:val="0"/>
          <w:color w:val="auto"/>
          <w:sz w:val="22"/>
          <w:szCs w:val="20"/>
        </w:rPr>
        <w:t>3</w:t>
      </w:r>
      <w:r w:rsidRPr="00743249">
        <w:rPr>
          <w:rStyle w:val="Strong"/>
          <w:rFonts w:ascii="Arial" w:hAnsi="Arial" w:cs="Arial"/>
          <w:bCs w:val="0"/>
          <w:color w:val="auto"/>
          <w:sz w:val="22"/>
          <w:szCs w:val="20"/>
        </w:rPr>
        <w:t xml:space="preserve">.1 </w:t>
      </w:r>
      <w:r w:rsidR="001C3A27" w:rsidRPr="00743249">
        <w:rPr>
          <w:rStyle w:val="Strong"/>
          <w:rFonts w:ascii="Arial" w:hAnsi="Arial" w:cs="Arial"/>
          <w:bCs w:val="0"/>
          <w:color w:val="auto"/>
          <w:sz w:val="22"/>
          <w:szCs w:val="20"/>
        </w:rPr>
        <w:t>Symptom Reduction Over Time</w:t>
      </w:r>
    </w:p>
    <w:p w14:paraId="368C6E96"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The significant reduction in symptom severity from baseline to the nine</w:t>
      </w:r>
      <w:r w:rsidRPr="001C3A27">
        <w:rPr>
          <w:rFonts w:ascii="Arial" w:hAnsi="Arial" w:cs="Arial"/>
          <w:sz w:val="20"/>
          <w:szCs w:val="20"/>
        </w:rPr>
        <w:noBreakHyphen/>
        <w:t>month follow</w:t>
      </w:r>
      <w:r w:rsidRPr="001C3A27">
        <w:rPr>
          <w:rFonts w:ascii="Arial" w:hAnsi="Arial" w:cs="Arial"/>
          <w:sz w:val="20"/>
          <w:szCs w:val="20"/>
        </w:rPr>
        <w:noBreakHyphen/>
        <w:t>up, supported by a large effect size (</w:t>
      </w:r>
      <w:proofErr w:type="spellStart"/>
      <w:r w:rsidRPr="001C3A27">
        <w:rPr>
          <w:rFonts w:ascii="Arial" w:hAnsi="Arial" w:cs="Arial"/>
          <w:sz w:val="20"/>
          <w:szCs w:val="20"/>
        </w:rPr>
        <w:t>r</w:t>
      </w:r>
      <w:r w:rsidRPr="001C3A27">
        <w:rPr>
          <w:rFonts w:ascii="Arial" w:hAnsi="Arial" w:cs="Arial"/>
          <w:sz w:val="20"/>
          <w:szCs w:val="20"/>
          <w:vertAlign w:val="subscript"/>
        </w:rPr>
        <w:t>rb</w:t>
      </w:r>
      <w:proofErr w:type="spellEnd"/>
      <w:r w:rsidRPr="001C3A27">
        <w:rPr>
          <w:rFonts w:ascii="Arial" w:hAnsi="Arial" w:cs="Arial"/>
          <w:sz w:val="20"/>
          <w:szCs w:val="20"/>
        </w:rPr>
        <w:t xml:space="preserve"> = .888), suggests that participation in the support group intervention was associated with substantial clinical improvement. This aligns with extensive evidence showing that group</w:t>
      </w:r>
      <w:r w:rsidRPr="001C3A27">
        <w:rPr>
          <w:rFonts w:ascii="Arial" w:hAnsi="Arial" w:cs="Arial"/>
          <w:sz w:val="20"/>
          <w:szCs w:val="20"/>
        </w:rPr>
        <w:noBreakHyphen/>
        <w:t>based psychosocial interventions can meaningfully reduce symptoms of common mental disorders (Burlingame &amp; Strauss, 2021; Worrall et al., 2018). Peer</w:t>
      </w:r>
      <w:r w:rsidRPr="001C3A27">
        <w:rPr>
          <w:rFonts w:ascii="Arial" w:hAnsi="Arial" w:cs="Arial"/>
          <w:sz w:val="20"/>
          <w:szCs w:val="20"/>
        </w:rPr>
        <w:noBreakHyphen/>
        <w:t>led and community</w:t>
      </w:r>
      <w:r w:rsidRPr="001C3A27">
        <w:rPr>
          <w:rFonts w:ascii="Arial" w:hAnsi="Arial" w:cs="Arial"/>
          <w:sz w:val="20"/>
          <w:szCs w:val="20"/>
        </w:rPr>
        <w:noBreakHyphen/>
        <w:t>based interventions have similarly demonstrated effectiveness in low</w:t>
      </w:r>
      <w:r w:rsidRPr="001C3A27">
        <w:rPr>
          <w:rFonts w:ascii="Arial" w:hAnsi="Arial" w:cs="Arial"/>
          <w:sz w:val="20"/>
          <w:szCs w:val="20"/>
        </w:rPr>
        <w:noBreakHyphen/>
        <w:t>resource settings, where shared lived experience and social cohesion enhance therapeutic engagement (Kohrt et al., 2018; Smit et al., 2023).</w:t>
      </w:r>
    </w:p>
    <w:p w14:paraId="447B3A39"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The observed improvement is also consistent with research indicating that structured group interventions such as interpersonal psychotherapy groups can facilitate emotional processing, social support, and adaptive coping, leading to symptom reduction (</w:t>
      </w:r>
      <w:proofErr w:type="spellStart"/>
      <w:r w:rsidRPr="001C3A27">
        <w:rPr>
          <w:rFonts w:ascii="Arial" w:hAnsi="Arial" w:cs="Arial"/>
          <w:sz w:val="20"/>
          <w:szCs w:val="20"/>
        </w:rPr>
        <w:t>Musanje</w:t>
      </w:r>
      <w:proofErr w:type="spellEnd"/>
      <w:r w:rsidRPr="001C3A27">
        <w:rPr>
          <w:rFonts w:ascii="Arial" w:hAnsi="Arial" w:cs="Arial"/>
          <w:sz w:val="20"/>
          <w:szCs w:val="20"/>
        </w:rPr>
        <w:t xml:space="preserve"> et al., 2025). Moreover, the findings resonate with global evidence that scalable, non</w:t>
      </w:r>
      <w:r w:rsidRPr="001C3A27">
        <w:rPr>
          <w:rFonts w:ascii="Arial" w:hAnsi="Arial" w:cs="Arial"/>
          <w:sz w:val="20"/>
          <w:szCs w:val="20"/>
        </w:rPr>
        <w:noBreakHyphen/>
        <w:t>specialist</w:t>
      </w:r>
      <w:r w:rsidRPr="001C3A27">
        <w:rPr>
          <w:rFonts w:ascii="Arial" w:hAnsi="Arial" w:cs="Arial"/>
          <w:sz w:val="20"/>
          <w:szCs w:val="20"/>
        </w:rPr>
        <w:noBreakHyphen/>
        <w:t>delivered interventions can be effective when appropriately adapted to local contexts (Rangel et al., 2025; Mabunda et al., 2022).</w:t>
      </w:r>
    </w:p>
    <w:p w14:paraId="46756C5B"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However, the magnitude of improvement observed in this study is notably larger than that reported in some meta</w:t>
      </w:r>
      <w:r w:rsidRPr="001C3A27">
        <w:rPr>
          <w:rFonts w:ascii="Arial" w:hAnsi="Arial" w:cs="Arial"/>
          <w:sz w:val="20"/>
          <w:szCs w:val="20"/>
        </w:rPr>
        <w:noBreakHyphen/>
        <w:t>analyses of peer support interventions, which often find small to moderate effects (Shorey &amp; Chua, 2023; Lyons et al., 2021). This discrepancy may reflect contextual factors such as cultural relevance, group cohesion, or the severity profile of participants at baseline.</w:t>
      </w:r>
    </w:p>
    <w:p w14:paraId="21CABC1F" w14:textId="77777777" w:rsidR="001C3A27" w:rsidRPr="00743249" w:rsidRDefault="00743249" w:rsidP="001C3A27">
      <w:pPr>
        <w:pStyle w:val="Heading2"/>
        <w:jc w:val="both"/>
        <w:rPr>
          <w:rFonts w:ascii="Arial" w:hAnsi="Arial" w:cs="Arial"/>
          <w:color w:val="auto"/>
          <w:sz w:val="22"/>
          <w:szCs w:val="20"/>
        </w:rPr>
      </w:pPr>
      <w:r>
        <w:rPr>
          <w:rStyle w:val="Strong"/>
          <w:rFonts w:ascii="Arial" w:hAnsi="Arial" w:cs="Arial"/>
          <w:bCs w:val="0"/>
          <w:color w:val="auto"/>
          <w:sz w:val="22"/>
          <w:szCs w:val="20"/>
        </w:rPr>
        <w:t xml:space="preserve">3.2 </w:t>
      </w:r>
      <w:r w:rsidR="001C3A27" w:rsidRPr="00743249">
        <w:rPr>
          <w:rStyle w:val="Strong"/>
          <w:rFonts w:ascii="Arial" w:hAnsi="Arial" w:cs="Arial"/>
          <w:bCs w:val="0"/>
          <w:color w:val="auto"/>
          <w:sz w:val="22"/>
          <w:szCs w:val="20"/>
        </w:rPr>
        <w:t>Correlational Findings: Attendance, Facilitator Characteristics, and Outcomes</w:t>
      </w:r>
    </w:p>
    <w:p w14:paraId="799FBBAA"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The weak but significant negative correlation between attendance and symptom severity at nine months suggests that more consistent participation may contribute to better outcomes. This aligns with prior studies showing that engagement and session attendance are modest but reliable predictors of clinical improvement in group</w:t>
      </w:r>
      <w:r w:rsidRPr="001C3A27">
        <w:rPr>
          <w:rFonts w:ascii="Arial" w:hAnsi="Arial" w:cs="Arial"/>
          <w:sz w:val="20"/>
          <w:szCs w:val="20"/>
        </w:rPr>
        <w:noBreakHyphen/>
        <w:t>based interventions (Phalen et al., 2020; Saunders et al., 2019). Support groups often rely on continuity and repeated exposure to therapeutic processes, which may explain why even small increases in attendance can have cumulative benefits (</w:t>
      </w:r>
      <w:proofErr w:type="spellStart"/>
      <w:r w:rsidRPr="001C3A27">
        <w:rPr>
          <w:rFonts w:ascii="Arial" w:hAnsi="Arial" w:cs="Arial"/>
          <w:sz w:val="20"/>
          <w:szCs w:val="20"/>
        </w:rPr>
        <w:t>Goedendorp</w:t>
      </w:r>
      <w:proofErr w:type="spellEnd"/>
      <w:r w:rsidRPr="001C3A27">
        <w:rPr>
          <w:rFonts w:ascii="Arial" w:hAnsi="Arial" w:cs="Arial"/>
          <w:sz w:val="20"/>
          <w:szCs w:val="20"/>
        </w:rPr>
        <w:t xml:space="preserve"> et al., 2017).</w:t>
      </w:r>
    </w:p>
    <w:p w14:paraId="7FEF50C1"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Similarly, the weak negative correlation between facilitator type and quality of life suggests that certain facilitator backgrounds may be associated with slightly better participant experiences. This finding is consistent with literature emphasizing the importance of facilitator qualities such as empathy, cultural competence, and lived experience in shaping group dynamics and perceived support (Sutton et al., 2017; King &amp; Simmons, 2023). Peer facilitators, for example, are often perceived as more relatable and less hierarchical, which can enhance trust and engagement (Simmons et al., 2020).</w:t>
      </w:r>
    </w:p>
    <w:p w14:paraId="1AFA00D0"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 xml:space="preserve">The weak positive correlation between facilitator competence and facilitator type further suggests that participants may attribute higher competence to certain facilitator categories. This is consistent with research showing that facilitator training, role clarity, and supervision </w:t>
      </w:r>
      <w:r w:rsidRPr="001C3A27">
        <w:rPr>
          <w:rFonts w:ascii="Arial" w:hAnsi="Arial" w:cs="Arial"/>
          <w:sz w:val="20"/>
          <w:szCs w:val="20"/>
        </w:rPr>
        <w:lastRenderedPageBreak/>
        <w:t>influence perceived competence and group effectiveness (Pedersen et al., 2021; Sanchez</w:t>
      </w:r>
      <w:r w:rsidRPr="001C3A27">
        <w:rPr>
          <w:rFonts w:ascii="Arial" w:hAnsi="Arial" w:cs="Arial"/>
          <w:sz w:val="20"/>
          <w:szCs w:val="20"/>
        </w:rPr>
        <w:noBreakHyphen/>
      </w:r>
      <w:proofErr w:type="spellStart"/>
      <w:r w:rsidRPr="001C3A27">
        <w:rPr>
          <w:rFonts w:ascii="Arial" w:hAnsi="Arial" w:cs="Arial"/>
          <w:sz w:val="20"/>
          <w:szCs w:val="20"/>
        </w:rPr>
        <w:t>Moscona</w:t>
      </w:r>
      <w:proofErr w:type="spellEnd"/>
      <w:r w:rsidRPr="001C3A27">
        <w:rPr>
          <w:rFonts w:ascii="Arial" w:hAnsi="Arial" w:cs="Arial"/>
          <w:sz w:val="20"/>
          <w:szCs w:val="20"/>
        </w:rPr>
        <w:t xml:space="preserve"> &amp; </w:t>
      </w:r>
      <w:proofErr w:type="spellStart"/>
      <w:r w:rsidRPr="001C3A27">
        <w:rPr>
          <w:rFonts w:ascii="Arial" w:hAnsi="Arial" w:cs="Arial"/>
          <w:sz w:val="20"/>
          <w:szCs w:val="20"/>
        </w:rPr>
        <w:t>Eiroa</w:t>
      </w:r>
      <w:r w:rsidRPr="001C3A27">
        <w:rPr>
          <w:rFonts w:ascii="Arial" w:hAnsi="Arial" w:cs="Arial"/>
          <w:sz w:val="20"/>
          <w:szCs w:val="20"/>
        </w:rPr>
        <w:noBreakHyphen/>
        <w:t>Orosa</w:t>
      </w:r>
      <w:proofErr w:type="spellEnd"/>
      <w:r w:rsidRPr="001C3A27">
        <w:rPr>
          <w:rFonts w:ascii="Arial" w:hAnsi="Arial" w:cs="Arial"/>
          <w:sz w:val="20"/>
          <w:szCs w:val="20"/>
        </w:rPr>
        <w:t>, 2021). However, the modest strength of these correlations reflects the complexity of human behavior and self</w:t>
      </w:r>
      <w:r w:rsidRPr="001C3A27">
        <w:rPr>
          <w:rFonts w:ascii="Arial" w:hAnsi="Arial" w:cs="Arial"/>
          <w:sz w:val="20"/>
          <w:szCs w:val="20"/>
        </w:rPr>
        <w:noBreakHyphen/>
        <w:t>report measures, where multiple unmeasured factors such as personality, group cohesion, or external stressors may influence outcomes.</w:t>
      </w:r>
    </w:p>
    <w:p w14:paraId="03FDF96B" w14:textId="77777777" w:rsidR="001C3A27" w:rsidRPr="00743249" w:rsidRDefault="00743249" w:rsidP="001C3A27">
      <w:pPr>
        <w:pStyle w:val="Heading2"/>
        <w:jc w:val="both"/>
        <w:rPr>
          <w:rFonts w:ascii="Arial" w:hAnsi="Arial" w:cs="Arial"/>
          <w:color w:val="auto"/>
          <w:sz w:val="22"/>
          <w:szCs w:val="20"/>
        </w:rPr>
      </w:pPr>
      <w:r>
        <w:rPr>
          <w:rStyle w:val="Strong"/>
          <w:rFonts w:ascii="Arial" w:hAnsi="Arial" w:cs="Arial"/>
          <w:bCs w:val="0"/>
          <w:color w:val="auto"/>
          <w:sz w:val="22"/>
          <w:szCs w:val="20"/>
        </w:rPr>
        <w:t>3</w:t>
      </w:r>
      <w:r w:rsidRPr="00743249">
        <w:rPr>
          <w:rStyle w:val="Strong"/>
          <w:rFonts w:ascii="Arial" w:hAnsi="Arial" w:cs="Arial"/>
          <w:bCs w:val="0"/>
          <w:color w:val="auto"/>
          <w:sz w:val="22"/>
          <w:szCs w:val="20"/>
        </w:rPr>
        <w:t xml:space="preserve">.3 </w:t>
      </w:r>
      <w:r w:rsidR="001C3A27" w:rsidRPr="00743249">
        <w:rPr>
          <w:rStyle w:val="Strong"/>
          <w:rFonts w:ascii="Arial" w:hAnsi="Arial" w:cs="Arial"/>
          <w:bCs w:val="0"/>
          <w:color w:val="auto"/>
          <w:sz w:val="22"/>
          <w:szCs w:val="20"/>
        </w:rPr>
        <w:t>Regression Findings: Severity as the Dominant Predictor of Quality of Life</w:t>
      </w:r>
    </w:p>
    <w:p w14:paraId="415626C8"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The regression analysis revealed that neither attendance nor facilitator competence significantly predicted quality of life at nine months. Instead, the severity of the mental disorder at nine months emerged as the strongest predictor, with higher severity levels associated with markedly poorer quality of life. This finding is consistent with global evidence showing that symptom severity is one of the most robust determinants of functional outcomes and well</w:t>
      </w:r>
      <w:r w:rsidRPr="001C3A27">
        <w:rPr>
          <w:rFonts w:ascii="Arial" w:hAnsi="Arial" w:cs="Arial"/>
          <w:sz w:val="20"/>
          <w:szCs w:val="20"/>
        </w:rPr>
        <w:noBreakHyphen/>
        <w:t>being (Vos et al., 2020; WHO, 2021). Persistent or severe symptoms often impair social functioning, productivity, and physical health, thereby reducing overall quality of life regardless of intervention exposure.</w:t>
      </w:r>
    </w:p>
    <w:p w14:paraId="211AA73E"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The lack of significant effects for attendance and facilitator competence contrasts with some prior studies that have found these variables to be meaningful predictors of outcomes (Worrall et al., 2018; Smit et al., 2023). However, other research suggests that while support groups can reduce symptoms, their impact on broader quality</w:t>
      </w:r>
      <w:r w:rsidRPr="001C3A27">
        <w:rPr>
          <w:rFonts w:ascii="Arial" w:hAnsi="Arial" w:cs="Arial"/>
          <w:sz w:val="20"/>
          <w:szCs w:val="20"/>
        </w:rPr>
        <w:noBreakHyphen/>
        <w:t>of</w:t>
      </w:r>
      <w:r w:rsidRPr="001C3A27">
        <w:rPr>
          <w:rFonts w:ascii="Arial" w:hAnsi="Arial" w:cs="Arial"/>
          <w:sz w:val="20"/>
          <w:szCs w:val="20"/>
        </w:rPr>
        <w:noBreakHyphen/>
        <w:t>life domains may be limited, especially for individuals with chronic or severe mental health conditions (Markowitz, 2015; Lee et al., 2016). This aligns with the present findings, indicating that support groups alone may not be sufficient to overcome the entrenched effects of high symptom severity.</w:t>
      </w:r>
    </w:p>
    <w:p w14:paraId="168EAE2C"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Furthermore, studies in low</w:t>
      </w:r>
      <w:r w:rsidRPr="001C3A27">
        <w:rPr>
          <w:rFonts w:ascii="Arial" w:hAnsi="Arial" w:cs="Arial"/>
          <w:sz w:val="20"/>
          <w:szCs w:val="20"/>
        </w:rPr>
        <w:noBreakHyphen/>
        <w:t>resource settings emphasize that structural barriers such as poverty, stigma, and limited access to specialized care can constrain the long</w:t>
      </w:r>
      <w:r w:rsidRPr="001C3A27">
        <w:rPr>
          <w:rFonts w:ascii="Arial" w:hAnsi="Arial" w:cs="Arial"/>
          <w:sz w:val="20"/>
          <w:szCs w:val="20"/>
        </w:rPr>
        <w:noBreakHyphen/>
        <w:t>term impact of psychosocial interventions (</w:t>
      </w:r>
      <w:proofErr w:type="spellStart"/>
      <w:r w:rsidRPr="001C3A27">
        <w:rPr>
          <w:rFonts w:ascii="Arial" w:hAnsi="Arial" w:cs="Arial"/>
          <w:sz w:val="20"/>
          <w:szCs w:val="20"/>
        </w:rPr>
        <w:t>Munakampe</w:t>
      </w:r>
      <w:proofErr w:type="spellEnd"/>
      <w:r w:rsidRPr="001C3A27">
        <w:rPr>
          <w:rFonts w:ascii="Arial" w:hAnsi="Arial" w:cs="Arial"/>
          <w:sz w:val="20"/>
          <w:szCs w:val="20"/>
        </w:rPr>
        <w:t>, 2020; Bansal et al., 2025). Thus, even when attendance is high and facilitators are competent, external factors may limit improvements in quality of life.</w:t>
      </w:r>
    </w:p>
    <w:p w14:paraId="7ABC8DBF" w14:textId="77777777" w:rsidR="001C3A27" w:rsidRPr="00743249" w:rsidRDefault="001C3A27" w:rsidP="00743249">
      <w:pPr>
        <w:pStyle w:val="Heading2"/>
        <w:numPr>
          <w:ilvl w:val="1"/>
          <w:numId w:val="33"/>
        </w:numPr>
        <w:jc w:val="both"/>
        <w:rPr>
          <w:rFonts w:ascii="Arial" w:hAnsi="Arial" w:cs="Arial"/>
          <w:color w:val="auto"/>
          <w:sz w:val="22"/>
          <w:szCs w:val="20"/>
        </w:rPr>
      </w:pPr>
      <w:r w:rsidRPr="00743249">
        <w:rPr>
          <w:rStyle w:val="Strong"/>
          <w:rFonts w:ascii="Arial" w:hAnsi="Arial" w:cs="Arial"/>
          <w:bCs w:val="0"/>
          <w:color w:val="auto"/>
          <w:sz w:val="22"/>
          <w:szCs w:val="20"/>
        </w:rPr>
        <w:t>Implications for Practice and Future Research</w:t>
      </w:r>
    </w:p>
    <w:p w14:paraId="2E96C855" w14:textId="77777777" w:rsidR="00790ADA" w:rsidRPr="00FD26DD" w:rsidRDefault="001C3A27" w:rsidP="00FD26DD">
      <w:pPr>
        <w:pStyle w:val="NormalWeb"/>
        <w:jc w:val="both"/>
        <w:rPr>
          <w:rFonts w:ascii="Arial" w:hAnsi="Arial" w:cs="Arial"/>
          <w:sz w:val="20"/>
          <w:szCs w:val="20"/>
        </w:rPr>
      </w:pPr>
      <w:r w:rsidRPr="001C3A27">
        <w:rPr>
          <w:rFonts w:ascii="Arial" w:hAnsi="Arial" w:cs="Arial"/>
          <w:sz w:val="20"/>
          <w:szCs w:val="20"/>
        </w:rPr>
        <w:t>The findings suggest that while support groups can significantly reduce symptom severity, their ability to improve long</w:t>
      </w:r>
      <w:r w:rsidRPr="001C3A27">
        <w:rPr>
          <w:rFonts w:ascii="Arial" w:hAnsi="Arial" w:cs="Arial"/>
          <w:sz w:val="20"/>
          <w:szCs w:val="20"/>
        </w:rPr>
        <w:noBreakHyphen/>
        <w:t xml:space="preserve">term quality of life may be constrained for individuals with persistent high severity. This underscores the need for: </w:t>
      </w:r>
      <w:r w:rsidRPr="00743249">
        <w:rPr>
          <w:rStyle w:val="Strong"/>
          <w:rFonts w:ascii="Arial" w:hAnsi="Arial" w:cs="Arial"/>
          <w:b w:val="0"/>
          <w:sz w:val="20"/>
          <w:szCs w:val="20"/>
        </w:rPr>
        <w:t>more intensive or tailored</w:t>
      </w:r>
      <w:r w:rsidRPr="001C3A27">
        <w:rPr>
          <w:rStyle w:val="Strong"/>
          <w:rFonts w:ascii="Arial" w:hAnsi="Arial" w:cs="Arial"/>
          <w:sz w:val="20"/>
          <w:szCs w:val="20"/>
        </w:rPr>
        <w:t xml:space="preserve"> </w:t>
      </w:r>
      <w:r w:rsidRPr="00743249">
        <w:rPr>
          <w:rStyle w:val="Strong"/>
          <w:rFonts w:ascii="Arial" w:hAnsi="Arial" w:cs="Arial"/>
          <w:b w:val="0"/>
          <w:sz w:val="20"/>
          <w:szCs w:val="20"/>
        </w:rPr>
        <w:t>interventions</w:t>
      </w:r>
      <w:r w:rsidRPr="001C3A27">
        <w:rPr>
          <w:rFonts w:ascii="Arial" w:hAnsi="Arial" w:cs="Arial"/>
          <w:sz w:val="20"/>
          <w:szCs w:val="20"/>
        </w:rPr>
        <w:t xml:space="preserve"> for participants with severe or treatment</w:t>
      </w:r>
      <w:r w:rsidRPr="001C3A27">
        <w:rPr>
          <w:rFonts w:ascii="Arial" w:hAnsi="Arial" w:cs="Arial"/>
          <w:sz w:val="20"/>
          <w:szCs w:val="20"/>
        </w:rPr>
        <w:noBreakHyphen/>
        <w:t>resistant symptoms, such as stepped</w:t>
      </w:r>
      <w:r w:rsidRPr="001C3A27">
        <w:rPr>
          <w:rFonts w:ascii="Arial" w:hAnsi="Arial" w:cs="Arial"/>
          <w:sz w:val="20"/>
          <w:szCs w:val="20"/>
        </w:rPr>
        <w:noBreakHyphen/>
        <w:t xml:space="preserve">care models or adjunctive psychotherapy (Huhn et al., 2014). </w:t>
      </w:r>
      <w:r w:rsidRPr="00743249">
        <w:rPr>
          <w:rStyle w:val="Strong"/>
          <w:rFonts w:ascii="Arial" w:hAnsi="Arial" w:cs="Arial"/>
          <w:b w:val="0"/>
          <w:sz w:val="20"/>
          <w:szCs w:val="20"/>
        </w:rPr>
        <w:t>Enhanced facilitator training</w:t>
      </w:r>
      <w:r w:rsidRPr="00743249">
        <w:rPr>
          <w:rFonts w:ascii="Arial" w:hAnsi="Arial" w:cs="Arial"/>
          <w:b/>
          <w:sz w:val="20"/>
          <w:szCs w:val="20"/>
        </w:rPr>
        <w:t>,</w:t>
      </w:r>
      <w:r w:rsidRPr="001C3A27">
        <w:rPr>
          <w:rFonts w:ascii="Arial" w:hAnsi="Arial" w:cs="Arial"/>
          <w:sz w:val="20"/>
          <w:szCs w:val="20"/>
        </w:rPr>
        <w:t xml:space="preserve"> particularly in managing complex cases and adapting interventions to diverse participant needs (Delisle et al., 2016; Pedersen et al., 2021). </w:t>
      </w:r>
      <w:r w:rsidRPr="00743249">
        <w:rPr>
          <w:rStyle w:val="Strong"/>
          <w:rFonts w:ascii="Arial" w:hAnsi="Arial" w:cs="Arial"/>
          <w:b w:val="0"/>
          <w:sz w:val="20"/>
          <w:szCs w:val="20"/>
        </w:rPr>
        <w:t>Integration of support groups into broader mental health systems</w:t>
      </w:r>
      <w:r w:rsidRPr="001C3A27">
        <w:rPr>
          <w:rFonts w:ascii="Arial" w:hAnsi="Arial" w:cs="Arial"/>
          <w:b/>
          <w:sz w:val="20"/>
          <w:szCs w:val="20"/>
        </w:rPr>
        <w:t>,</w:t>
      </w:r>
      <w:r w:rsidRPr="001C3A27">
        <w:rPr>
          <w:rFonts w:ascii="Arial" w:hAnsi="Arial" w:cs="Arial"/>
          <w:sz w:val="20"/>
          <w:szCs w:val="20"/>
        </w:rPr>
        <w:t xml:space="preserve"> ensuring referral pathways, continuity of care, and access to specialist services (Kohrt et al., 2018; Krausz et al., 2019) and </w:t>
      </w:r>
      <w:r w:rsidRPr="001C3A27">
        <w:rPr>
          <w:rStyle w:val="Strong"/>
          <w:rFonts w:ascii="Arial" w:hAnsi="Arial" w:cs="Arial"/>
          <w:sz w:val="20"/>
          <w:szCs w:val="20"/>
        </w:rPr>
        <w:t>culturally adapted approaches</w:t>
      </w:r>
      <w:r w:rsidRPr="001C3A27">
        <w:rPr>
          <w:rFonts w:ascii="Arial" w:hAnsi="Arial" w:cs="Arial"/>
          <w:b/>
          <w:sz w:val="20"/>
          <w:szCs w:val="20"/>
        </w:rPr>
        <w:t>,</w:t>
      </w:r>
      <w:r w:rsidRPr="001C3A27">
        <w:rPr>
          <w:rFonts w:ascii="Arial" w:hAnsi="Arial" w:cs="Arial"/>
          <w:sz w:val="20"/>
          <w:szCs w:val="20"/>
        </w:rPr>
        <w:t xml:space="preserve"> which have been shown to improve engagement and outcomes in low</w:t>
      </w:r>
      <w:r w:rsidRPr="001C3A27">
        <w:rPr>
          <w:rFonts w:ascii="Arial" w:hAnsi="Arial" w:cs="Arial"/>
          <w:sz w:val="20"/>
          <w:szCs w:val="20"/>
        </w:rPr>
        <w:noBreakHyphen/>
        <w:t xml:space="preserve"> and middle</w:t>
      </w:r>
      <w:r w:rsidRPr="001C3A27">
        <w:rPr>
          <w:rFonts w:ascii="Arial" w:hAnsi="Arial" w:cs="Arial"/>
          <w:sz w:val="20"/>
          <w:szCs w:val="20"/>
        </w:rPr>
        <w:noBreakHyphen/>
        <w:t>income countries (Fendt</w:t>
      </w:r>
      <w:r w:rsidRPr="001C3A27">
        <w:rPr>
          <w:rFonts w:ascii="Arial" w:hAnsi="Arial" w:cs="Arial"/>
          <w:sz w:val="20"/>
          <w:szCs w:val="20"/>
        </w:rPr>
        <w:noBreakHyphen/>
        <w:t>Newlin et al., 2019; Mabunda et al., 2022).</w:t>
      </w:r>
    </w:p>
    <w:p w14:paraId="699026B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A2B13E6" w14:textId="77777777" w:rsidR="00790ADA" w:rsidRPr="00BE715C" w:rsidRDefault="00743249" w:rsidP="00BE715C">
      <w:pPr>
        <w:pStyle w:val="NormalWeb"/>
        <w:jc w:val="both"/>
        <w:rPr>
          <w:rFonts w:ascii="Arial" w:hAnsi="Arial" w:cs="Arial"/>
          <w:sz w:val="20"/>
          <w:szCs w:val="20"/>
        </w:rPr>
      </w:pPr>
      <w:r w:rsidRPr="001C3A27">
        <w:rPr>
          <w:rFonts w:ascii="Arial" w:hAnsi="Arial" w:cs="Arial"/>
          <w:sz w:val="20"/>
          <w:szCs w:val="20"/>
        </w:rPr>
        <w:t>This study demonstrated that participation in mental health support groups was associated with a substantial reduction in symptom severity over a nine</w:t>
      </w:r>
      <w:r w:rsidRPr="001C3A27">
        <w:rPr>
          <w:rFonts w:ascii="Arial" w:hAnsi="Arial" w:cs="Arial"/>
          <w:sz w:val="20"/>
          <w:szCs w:val="20"/>
        </w:rPr>
        <w:noBreakHyphen/>
        <w:t>month period, indicating that group</w:t>
      </w:r>
      <w:r w:rsidRPr="001C3A27">
        <w:rPr>
          <w:rFonts w:ascii="Arial" w:hAnsi="Arial" w:cs="Arial"/>
          <w:sz w:val="20"/>
          <w:szCs w:val="20"/>
        </w:rPr>
        <w:noBreakHyphen/>
        <w:t xml:space="preserve">based psychosocial interventions can play a meaningful role in improving mental health outcomes. Although attendance and facilitator competence showed weak correlations with </w:t>
      </w:r>
      <w:r w:rsidRPr="001C3A27">
        <w:rPr>
          <w:rFonts w:ascii="Arial" w:hAnsi="Arial" w:cs="Arial"/>
          <w:sz w:val="20"/>
          <w:szCs w:val="20"/>
        </w:rPr>
        <w:lastRenderedPageBreak/>
        <w:t>symptom severity and quality of life, the regression analysis revealed that the most powerful determinant of quality of life at nine months was the severity of the mental disorder at that time. These findings suggest that while support groups contribute to symptom improvement, their capacity to influence broader quality</w:t>
      </w:r>
      <w:r w:rsidRPr="001C3A27">
        <w:rPr>
          <w:rFonts w:ascii="Arial" w:hAnsi="Arial" w:cs="Arial"/>
          <w:sz w:val="20"/>
          <w:szCs w:val="20"/>
        </w:rPr>
        <w:noBreakHyphen/>
        <w:t>of</w:t>
      </w:r>
      <w:r w:rsidRPr="001C3A27">
        <w:rPr>
          <w:rFonts w:ascii="Arial" w:hAnsi="Arial" w:cs="Arial"/>
          <w:sz w:val="20"/>
          <w:szCs w:val="20"/>
        </w:rPr>
        <w:noBreakHyphen/>
        <w:t>life outcomes may be limited for individuals who continue to experience high levels of severity. This underscores the need for more intensive, tailored, or multi</w:t>
      </w:r>
      <w:r w:rsidRPr="001C3A27">
        <w:rPr>
          <w:rFonts w:ascii="Arial" w:hAnsi="Arial" w:cs="Arial"/>
          <w:sz w:val="20"/>
          <w:szCs w:val="20"/>
        </w:rPr>
        <w:noBreakHyphen/>
        <w:t>component interventions for participants with persistent or severe symptoms. Overall, the results align with global evidence supporting the value of community</w:t>
      </w:r>
      <w:r w:rsidRPr="001C3A27">
        <w:rPr>
          <w:rFonts w:ascii="Arial" w:hAnsi="Arial" w:cs="Arial"/>
          <w:sz w:val="20"/>
          <w:szCs w:val="20"/>
        </w:rPr>
        <w:noBreakHyphen/>
        <w:t>based and peer</w:t>
      </w:r>
      <w:r w:rsidRPr="001C3A27">
        <w:rPr>
          <w:rFonts w:ascii="Arial" w:hAnsi="Arial" w:cs="Arial"/>
          <w:sz w:val="20"/>
          <w:szCs w:val="20"/>
        </w:rPr>
        <w:noBreakHyphen/>
        <w:t>supported mental health interventions, while also highlighting the structural and clinical limitations that must be addressed to optimize long</w:t>
      </w:r>
      <w:r w:rsidRPr="001C3A27">
        <w:rPr>
          <w:rFonts w:ascii="Arial" w:hAnsi="Arial" w:cs="Arial"/>
          <w:sz w:val="20"/>
          <w:szCs w:val="20"/>
        </w:rPr>
        <w:noBreakHyphen/>
        <w:t>term outcomes. Future research should explore moderators of intervention effectiveness, such as group cohesion, facilitator style, and participant motivation, as well as structural determinants that may influence quality</w:t>
      </w:r>
      <w:r w:rsidRPr="001C3A27">
        <w:rPr>
          <w:rFonts w:ascii="Arial" w:hAnsi="Arial" w:cs="Arial"/>
          <w:sz w:val="20"/>
          <w:szCs w:val="20"/>
        </w:rPr>
        <w:noBreakHyphen/>
        <w:t>of</w:t>
      </w:r>
      <w:r w:rsidRPr="001C3A27">
        <w:rPr>
          <w:rFonts w:ascii="Arial" w:hAnsi="Arial" w:cs="Arial"/>
          <w:sz w:val="20"/>
          <w:szCs w:val="20"/>
        </w:rPr>
        <w:noBreakHyphen/>
        <w:t>life outcomes.</w:t>
      </w:r>
    </w:p>
    <w:p w14:paraId="4DEA9897"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3BECACB3"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1AA32B0" w14:textId="77777777" w:rsidR="005C784C" w:rsidRPr="002B685A" w:rsidRDefault="005C784C" w:rsidP="00441B6F">
      <w:pPr>
        <w:pStyle w:val="ReferHead"/>
        <w:spacing w:after="0"/>
        <w:jc w:val="both"/>
        <w:rPr>
          <w:rFonts w:ascii="Arial" w:hAnsi="Arial" w:cs="Arial"/>
          <w:bCs/>
        </w:rPr>
      </w:pPr>
    </w:p>
    <w:p w14:paraId="79672D60" w14:textId="77777777" w:rsidR="00BE715C" w:rsidRPr="0091653A" w:rsidRDefault="00BE715C" w:rsidP="00BE715C">
      <w:pPr>
        <w:spacing w:line="276" w:lineRule="auto"/>
        <w:jc w:val="both"/>
        <w:rPr>
          <w:rFonts w:ascii="Arial" w:hAnsi="Arial" w:cs="Arial"/>
        </w:rPr>
      </w:pPr>
      <w:r w:rsidRPr="0091653A">
        <w:rPr>
          <w:rFonts w:ascii="Arial" w:hAnsi="Arial" w:cs="Arial"/>
        </w:rPr>
        <w:t>Ethical clearance was obtained from the Blue Research Ethics Committee (BREC) (Ref. No. 2024-04-0105), anchored by the Blessings University of Excellence. All participants provided informed consent prior to participation.</w:t>
      </w:r>
    </w:p>
    <w:p w14:paraId="0644B8DC" w14:textId="77777777" w:rsidR="0041027F" w:rsidRDefault="00BE715C" w:rsidP="00BE715C">
      <w:pPr>
        <w:pStyle w:val="ReferHead"/>
        <w:spacing w:after="0"/>
        <w:jc w:val="both"/>
        <w:rPr>
          <w:rFonts w:ascii="Arial" w:hAnsi="Arial" w:cs="Arial"/>
          <w:b w:val="0"/>
          <w:caps w:val="0"/>
          <w:sz w:val="20"/>
        </w:rPr>
      </w:pPr>
      <w:r w:rsidRPr="008671C6">
        <w:rPr>
          <w:rFonts w:ascii="Arial" w:hAnsi="Arial" w:cs="Arial"/>
          <w:b w:val="0"/>
          <w:caps w:val="0"/>
          <w:sz w:val="20"/>
          <w:u w:val="single"/>
        </w:rPr>
        <w:t xml:space="preserve"> </w:t>
      </w:r>
      <w:r w:rsidR="008671C6" w:rsidRPr="00BE715C">
        <w:rPr>
          <w:rFonts w:ascii="Arial" w:hAnsi="Arial" w:cs="Arial"/>
          <w:b w:val="0"/>
          <w:caps w:val="0"/>
          <w:sz w:val="20"/>
        </w:rPr>
        <w:t xml:space="preserve">“All authors hereby declare that </w:t>
      </w:r>
      <w:r w:rsidR="0041027F" w:rsidRPr="00BE715C">
        <w:rPr>
          <w:rFonts w:ascii="Arial" w:hAnsi="Arial" w:cs="Arial"/>
          <w:b w:val="0"/>
          <w:caps w:val="0"/>
          <w:sz w:val="20"/>
        </w:rPr>
        <w:t>"Principles of laboratory animal care" (NIH publication No. 85-23, revised 1985) were followed, as well as specific national laws where applicable.</w:t>
      </w:r>
      <w:r w:rsidR="008671C6" w:rsidRPr="00BE715C">
        <w:rPr>
          <w:rFonts w:ascii="Arial" w:hAnsi="Arial" w:cs="Arial"/>
          <w:b w:val="0"/>
          <w:caps w:val="0"/>
          <w:sz w:val="20"/>
        </w:rPr>
        <w:t xml:space="preserve"> All experiments have been examined and approved by the appropriate ethics committee”</w:t>
      </w:r>
    </w:p>
    <w:p w14:paraId="2508EAD9" w14:textId="77777777" w:rsidR="00A824C9" w:rsidRDefault="00A824C9" w:rsidP="00BE715C">
      <w:pPr>
        <w:pStyle w:val="ReferHead"/>
        <w:spacing w:after="0"/>
        <w:jc w:val="both"/>
        <w:rPr>
          <w:rFonts w:ascii="Arial" w:hAnsi="Arial" w:cs="Arial"/>
          <w:b w:val="0"/>
          <w:caps w:val="0"/>
          <w:sz w:val="20"/>
        </w:rPr>
      </w:pPr>
    </w:p>
    <w:p w14:paraId="5574D32C" w14:textId="77777777" w:rsidR="00A824C9" w:rsidRDefault="00A824C9" w:rsidP="00BE715C">
      <w:pPr>
        <w:pStyle w:val="ReferHead"/>
        <w:spacing w:after="0"/>
        <w:jc w:val="both"/>
        <w:rPr>
          <w:rFonts w:ascii="Arial" w:hAnsi="Arial" w:cs="Arial"/>
          <w:b w:val="0"/>
          <w:caps w:val="0"/>
          <w:sz w:val="20"/>
        </w:rPr>
      </w:pPr>
    </w:p>
    <w:p w14:paraId="27DCBAB5" w14:textId="77777777" w:rsidR="00A824C9" w:rsidRDefault="00A824C9" w:rsidP="00BE715C">
      <w:pPr>
        <w:pStyle w:val="ReferHead"/>
        <w:spacing w:after="0"/>
        <w:jc w:val="both"/>
        <w:rPr>
          <w:rFonts w:ascii="Arial" w:hAnsi="Arial" w:cs="Arial"/>
          <w:b w:val="0"/>
          <w:caps w:val="0"/>
          <w:sz w:val="20"/>
        </w:rPr>
      </w:pPr>
    </w:p>
    <w:p w14:paraId="6F41EED5" w14:textId="77777777" w:rsidR="00A824C9" w:rsidRPr="00A824C9" w:rsidRDefault="00A824C9" w:rsidP="00A824C9">
      <w:pPr>
        <w:pStyle w:val="ReferHead"/>
        <w:jc w:val="both"/>
        <w:rPr>
          <w:rFonts w:ascii="Arial" w:hAnsi="Arial" w:cs="Arial"/>
          <w:b w:val="0"/>
          <w:caps w:val="0"/>
          <w:sz w:val="20"/>
        </w:rPr>
      </w:pPr>
      <w:r w:rsidRPr="00A824C9">
        <w:rPr>
          <w:rFonts w:ascii="Arial" w:hAnsi="Arial" w:cs="Arial"/>
          <w:b w:val="0"/>
          <w:caps w:val="0"/>
          <w:sz w:val="20"/>
        </w:rPr>
        <w:t>COMPETING INTERESTS DISCLAIMER:</w:t>
      </w:r>
    </w:p>
    <w:p w14:paraId="439773CC" w14:textId="4F74560B" w:rsidR="00A824C9" w:rsidRPr="00BE715C" w:rsidRDefault="00A824C9" w:rsidP="00A824C9">
      <w:pPr>
        <w:pStyle w:val="ReferHead"/>
        <w:spacing w:after="0"/>
        <w:jc w:val="both"/>
        <w:rPr>
          <w:rFonts w:ascii="Arial" w:hAnsi="Arial" w:cs="Arial"/>
          <w:b w:val="0"/>
          <w:caps w:val="0"/>
          <w:sz w:val="20"/>
        </w:rPr>
      </w:pPr>
      <w:r w:rsidRPr="00A824C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5748E0A" w14:textId="77777777" w:rsidR="00860000" w:rsidRDefault="00860000" w:rsidP="00441B6F">
      <w:pPr>
        <w:pStyle w:val="ReferHead"/>
        <w:spacing w:after="0"/>
        <w:jc w:val="both"/>
        <w:rPr>
          <w:rFonts w:ascii="Arial" w:hAnsi="Arial" w:cs="Arial"/>
        </w:rPr>
      </w:pPr>
    </w:p>
    <w:p w14:paraId="3379DF5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7AC26F" w14:textId="77777777" w:rsidR="00E76716" w:rsidRPr="0091653A" w:rsidRDefault="00E76716" w:rsidP="00E76716">
      <w:pPr>
        <w:pStyle w:val="NormalWeb"/>
        <w:numPr>
          <w:ilvl w:val="0"/>
          <w:numId w:val="34"/>
        </w:numPr>
        <w:jc w:val="both"/>
        <w:rPr>
          <w:rFonts w:ascii="Arial" w:hAnsi="Arial" w:cs="Arial"/>
          <w:sz w:val="20"/>
          <w:szCs w:val="20"/>
        </w:rPr>
      </w:pPr>
      <w:r w:rsidRPr="0091653A">
        <w:rPr>
          <w:rFonts w:ascii="Arial" w:hAnsi="Arial" w:cs="Arial"/>
          <w:sz w:val="20"/>
          <w:szCs w:val="20"/>
        </w:rPr>
        <w:t xml:space="preserve">Bansal, N., Andreadis, P. I., </w:t>
      </w:r>
      <w:proofErr w:type="spellStart"/>
      <w:r w:rsidRPr="0091653A">
        <w:rPr>
          <w:rFonts w:ascii="Arial" w:hAnsi="Arial" w:cs="Arial"/>
          <w:sz w:val="20"/>
          <w:szCs w:val="20"/>
        </w:rPr>
        <w:t>Chimponda</w:t>
      </w:r>
      <w:proofErr w:type="spellEnd"/>
      <w:r w:rsidRPr="0091653A">
        <w:rPr>
          <w:rFonts w:ascii="Arial" w:hAnsi="Arial" w:cs="Arial"/>
          <w:sz w:val="20"/>
          <w:szCs w:val="20"/>
        </w:rPr>
        <w:t xml:space="preserve">, P., </w:t>
      </w:r>
      <w:proofErr w:type="spellStart"/>
      <w:r w:rsidRPr="0091653A">
        <w:rPr>
          <w:rFonts w:ascii="Arial" w:hAnsi="Arial" w:cs="Arial"/>
          <w:sz w:val="20"/>
          <w:szCs w:val="20"/>
        </w:rPr>
        <w:t>Barteit</w:t>
      </w:r>
      <w:proofErr w:type="spellEnd"/>
      <w:r w:rsidRPr="0091653A">
        <w:rPr>
          <w:rFonts w:ascii="Arial" w:hAnsi="Arial" w:cs="Arial"/>
          <w:sz w:val="20"/>
          <w:szCs w:val="20"/>
        </w:rPr>
        <w:t xml:space="preserve">, Z. S., </w:t>
      </w:r>
      <w:proofErr w:type="spellStart"/>
      <w:r w:rsidRPr="0091653A">
        <w:rPr>
          <w:rFonts w:ascii="Arial" w:hAnsi="Arial" w:cs="Arial"/>
          <w:sz w:val="20"/>
          <w:szCs w:val="20"/>
        </w:rPr>
        <w:t>Sashidharan</w:t>
      </w:r>
      <w:proofErr w:type="spellEnd"/>
      <w:r w:rsidRPr="0091653A">
        <w:rPr>
          <w:rFonts w:ascii="Arial" w:hAnsi="Arial" w:cs="Arial"/>
          <w:sz w:val="20"/>
          <w:szCs w:val="20"/>
        </w:rPr>
        <w:t xml:space="preserve">, S. P., &amp; Paul, R. (2025). Mental health priorities and challenges in Zambia: A scoping study. </w:t>
      </w:r>
      <w:proofErr w:type="spellStart"/>
      <w:r w:rsidRPr="0091653A">
        <w:rPr>
          <w:rStyle w:val="Emphasis"/>
          <w:rFonts w:ascii="Arial" w:hAnsi="Arial" w:cs="Arial"/>
          <w:sz w:val="20"/>
          <w:szCs w:val="20"/>
        </w:rPr>
        <w:t>medRxiv</w:t>
      </w:r>
      <w:proofErr w:type="spellEnd"/>
      <w:r w:rsidRPr="0091653A">
        <w:rPr>
          <w:rFonts w:ascii="Arial" w:hAnsi="Arial" w:cs="Arial"/>
          <w:sz w:val="20"/>
          <w:szCs w:val="20"/>
        </w:rPr>
        <w:t xml:space="preserve">. </w:t>
      </w:r>
      <w:hyperlink r:id="rId14" w:history="1">
        <w:r w:rsidRPr="0091653A">
          <w:rPr>
            <w:rStyle w:val="Hyperlink"/>
            <w:rFonts w:ascii="Arial" w:hAnsi="Arial" w:cs="Arial"/>
            <w:sz w:val="20"/>
            <w:szCs w:val="20"/>
          </w:rPr>
          <w:t>https://doi.org/10.1101/2025.09</w:t>
        </w:r>
      </w:hyperlink>
    </w:p>
    <w:p w14:paraId="3181F963" w14:textId="77777777" w:rsidR="00E76716" w:rsidRPr="0091653A" w:rsidRDefault="00E76716" w:rsidP="00E76716">
      <w:pPr>
        <w:pStyle w:val="NormalWeb"/>
        <w:numPr>
          <w:ilvl w:val="0"/>
          <w:numId w:val="34"/>
        </w:numPr>
        <w:jc w:val="both"/>
        <w:rPr>
          <w:rFonts w:ascii="Arial" w:hAnsi="Arial" w:cs="Arial"/>
          <w:sz w:val="20"/>
          <w:szCs w:val="20"/>
        </w:rPr>
      </w:pPr>
      <w:r w:rsidRPr="0091653A">
        <w:rPr>
          <w:rStyle w:val="Strong"/>
          <w:rFonts w:ascii="Arial" w:hAnsi="Arial" w:cs="Arial"/>
          <w:sz w:val="20"/>
          <w:szCs w:val="20"/>
        </w:rPr>
        <w:t>Burlingame, G. M., &amp; Strauss, B. (2021).</w:t>
      </w:r>
      <w:r w:rsidRPr="0091653A">
        <w:rPr>
          <w:rFonts w:ascii="Arial" w:hAnsi="Arial" w:cs="Arial"/>
          <w:sz w:val="20"/>
          <w:szCs w:val="20"/>
        </w:rPr>
        <w:t xml:space="preserve"> Efficacy of small group treatments: Foundation for evidence-based practice. In M. Barkham, W. Lutz, &amp; L. G. Castonguay (Eds.), </w:t>
      </w:r>
      <w:r w:rsidRPr="0091653A">
        <w:rPr>
          <w:rStyle w:val="Emphasis"/>
          <w:rFonts w:ascii="Arial" w:hAnsi="Arial" w:cs="Arial"/>
          <w:sz w:val="20"/>
          <w:szCs w:val="20"/>
        </w:rPr>
        <w:t>Bergin and Garfield’s handbook of psychotherapy and behavior change: 50th anniversary edition</w:t>
      </w:r>
      <w:r w:rsidRPr="0091653A">
        <w:rPr>
          <w:rFonts w:ascii="Arial" w:hAnsi="Arial" w:cs="Arial"/>
          <w:sz w:val="20"/>
          <w:szCs w:val="20"/>
        </w:rPr>
        <w:t xml:space="preserve"> (pp. 583–624). Wiley.</w:t>
      </w:r>
    </w:p>
    <w:p w14:paraId="6249155E" w14:textId="77777777" w:rsidR="00E76716" w:rsidRPr="0091653A" w:rsidRDefault="00E76716" w:rsidP="00E76716">
      <w:pPr>
        <w:pStyle w:val="NormalWeb"/>
        <w:numPr>
          <w:ilvl w:val="0"/>
          <w:numId w:val="34"/>
        </w:numPr>
        <w:jc w:val="both"/>
        <w:rPr>
          <w:rFonts w:ascii="Arial" w:hAnsi="Arial" w:cs="Arial"/>
          <w:sz w:val="20"/>
          <w:szCs w:val="20"/>
        </w:rPr>
      </w:pPr>
      <w:r w:rsidRPr="0091653A">
        <w:rPr>
          <w:rFonts w:ascii="Arial" w:hAnsi="Arial" w:cs="Arial"/>
          <w:sz w:val="20"/>
          <w:szCs w:val="20"/>
        </w:rPr>
        <w:t xml:space="preserve">Chauhan, A., Walton, M., Manias, E., </w:t>
      </w:r>
      <w:proofErr w:type="spellStart"/>
      <w:r w:rsidRPr="0091653A">
        <w:rPr>
          <w:rFonts w:ascii="Arial" w:hAnsi="Arial" w:cs="Arial"/>
          <w:sz w:val="20"/>
          <w:szCs w:val="20"/>
        </w:rPr>
        <w:t>Walpola</w:t>
      </w:r>
      <w:proofErr w:type="spellEnd"/>
      <w:r w:rsidRPr="0091653A">
        <w:rPr>
          <w:rFonts w:ascii="Arial" w:hAnsi="Arial" w:cs="Arial"/>
          <w:sz w:val="20"/>
          <w:szCs w:val="20"/>
        </w:rPr>
        <w:t xml:space="preserve">, R. L., Seale, H., </w:t>
      </w:r>
      <w:proofErr w:type="spellStart"/>
      <w:r w:rsidRPr="0091653A">
        <w:rPr>
          <w:rFonts w:ascii="Arial" w:hAnsi="Arial" w:cs="Arial"/>
          <w:sz w:val="20"/>
          <w:szCs w:val="20"/>
        </w:rPr>
        <w:t>Latanik</w:t>
      </w:r>
      <w:proofErr w:type="spellEnd"/>
      <w:r w:rsidRPr="0091653A">
        <w:rPr>
          <w:rFonts w:ascii="Arial" w:hAnsi="Arial" w:cs="Arial"/>
          <w:sz w:val="20"/>
          <w:szCs w:val="20"/>
        </w:rPr>
        <w:t xml:space="preserve">, M., et al. (2020). The safety of health care for ethnic minority patients: A systematic review. </w:t>
      </w:r>
      <w:r w:rsidRPr="0091653A">
        <w:rPr>
          <w:rStyle w:val="Emphasis"/>
          <w:rFonts w:ascii="Arial" w:hAnsi="Arial" w:cs="Arial"/>
          <w:sz w:val="20"/>
          <w:szCs w:val="20"/>
        </w:rPr>
        <w:t>International Journal for Equity in Health, 19</w:t>
      </w:r>
      <w:r w:rsidRPr="0091653A">
        <w:rPr>
          <w:rFonts w:ascii="Arial" w:hAnsi="Arial" w:cs="Arial"/>
          <w:sz w:val="20"/>
          <w:szCs w:val="20"/>
        </w:rPr>
        <w:t xml:space="preserve">(1), 118. </w:t>
      </w:r>
      <w:hyperlink r:id="rId15" w:history="1">
        <w:r w:rsidRPr="0091653A">
          <w:rPr>
            <w:rStyle w:val="Hyperlink"/>
            <w:rFonts w:ascii="Arial" w:hAnsi="Arial" w:cs="Arial"/>
            <w:sz w:val="20"/>
            <w:szCs w:val="20"/>
          </w:rPr>
          <w:t>https://doi.org/10.1186/s12939-020-01223-2</w:t>
        </w:r>
      </w:hyperlink>
    </w:p>
    <w:p w14:paraId="28C59F27" w14:textId="77777777" w:rsidR="00E76716" w:rsidRPr="0091653A" w:rsidRDefault="00E76716" w:rsidP="00E76716">
      <w:pPr>
        <w:pStyle w:val="NormalWeb"/>
        <w:numPr>
          <w:ilvl w:val="0"/>
          <w:numId w:val="34"/>
        </w:numPr>
        <w:jc w:val="both"/>
        <w:rPr>
          <w:rFonts w:ascii="Arial" w:hAnsi="Arial" w:cs="Arial"/>
          <w:sz w:val="20"/>
          <w:szCs w:val="20"/>
        </w:rPr>
      </w:pPr>
      <w:r w:rsidRPr="0091653A">
        <w:rPr>
          <w:rFonts w:ascii="Arial" w:hAnsi="Arial" w:cs="Arial"/>
          <w:sz w:val="20"/>
          <w:szCs w:val="20"/>
        </w:rPr>
        <w:t xml:space="preserve">Delisle, V. C., </w:t>
      </w:r>
      <w:proofErr w:type="spellStart"/>
      <w:r w:rsidRPr="0091653A">
        <w:rPr>
          <w:rFonts w:ascii="Arial" w:hAnsi="Arial" w:cs="Arial"/>
          <w:sz w:val="20"/>
          <w:szCs w:val="20"/>
        </w:rPr>
        <w:t>Gumuchian</w:t>
      </w:r>
      <w:proofErr w:type="spellEnd"/>
      <w:r w:rsidRPr="0091653A">
        <w:rPr>
          <w:rFonts w:ascii="Arial" w:hAnsi="Arial" w:cs="Arial"/>
          <w:sz w:val="20"/>
          <w:szCs w:val="20"/>
        </w:rPr>
        <w:t xml:space="preserve">, S. T., Kloda, L. A., Boruff, J., El-Baalbaki, G., Körner, A., ... &amp; Thombs, B. D. (2016). Effect of support group peer facilitator training program on peer facilitator and support group member outcomes: A systematic review. </w:t>
      </w:r>
      <w:r w:rsidRPr="0091653A">
        <w:rPr>
          <w:rStyle w:val="Emphasis"/>
          <w:rFonts w:ascii="Arial" w:hAnsi="Arial" w:cs="Arial"/>
          <w:sz w:val="20"/>
          <w:szCs w:val="20"/>
        </w:rPr>
        <w:t>BMJ Open, 6</w:t>
      </w:r>
      <w:r w:rsidRPr="0091653A">
        <w:rPr>
          <w:rFonts w:ascii="Arial" w:hAnsi="Arial" w:cs="Arial"/>
          <w:sz w:val="20"/>
          <w:szCs w:val="20"/>
        </w:rPr>
        <w:t xml:space="preserve">(11), e013325. </w:t>
      </w:r>
      <w:hyperlink r:id="rId16" w:history="1">
        <w:r w:rsidRPr="0091653A">
          <w:rPr>
            <w:rStyle w:val="Hyperlink"/>
            <w:rFonts w:ascii="Arial" w:hAnsi="Arial" w:cs="Arial"/>
            <w:sz w:val="20"/>
            <w:szCs w:val="20"/>
          </w:rPr>
          <w:t>https://doi.org/10.1136/bmjopen-2016-013325</w:t>
        </w:r>
      </w:hyperlink>
    </w:p>
    <w:p w14:paraId="40775324" w14:textId="77777777" w:rsidR="00E76716" w:rsidRPr="0091653A" w:rsidRDefault="00E76716" w:rsidP="00E76716">
      <w:pPr>
        <w:pStyle w:val="NormalWeb"/>
        <w:numPr>
          <w:ilvl w:val="0"/>
          <w:numId w:val="34"/>
        </w:numPr>
        <w:jc w:val="both"/>
        <w:rPr>
          <w:rFonts w:ascii="Arial" w:hAnsi="Arial" w:cs="Arial"/>
          <w:sz w:val="20"/>
          <w:szCs w:val="20"/>
        </w:rPr>
      </w:pPr>
      <w:r w:rsidRPr="0091653A">
        <w:rPr>
          <w:rFonts w:ascii="Arial" w:hAnsi="Arial" w:cs="Arial"/>
          <w:sz w:val="20"/>
          <w:szCs w:val="20"/>
        </w:rPr>
        <w:t xml:space="preserve">Fendt-Newlin, M., Jagannathan, A., &amp; Webber, M. (2019). Cultural adaptation framework of social interventions in mental health: Evidence-based case studies from low- and middle-income countries. </w:t>
      </w:r>
      <w:r w:rsidRPr="0091653A">
        <w:rPr>
          <w:rStyle w:val="Emphasis"/>
          <w:rFonts w:ascii="Arial" w:hAnsi="Arial" w:cs="Arial"/>
          <w:sz w:val="20"/>
          <w:szCs w:val="20"/>
        </w:rPr>
        <w:t>International Journal of Social Psychiatry, 66</w:t>
      </w:r>
      <w:r w:rsidRPr="0091653A">
        <w:rPr>
          <w:rFonts w:ascii="Arial" w:hAnsi="Arial" w:cs="Arial"/>
          <w:sz w:val="20"/>
          <w:szCs w:val="20"/>
        </w:rPr>
        <w:t xml:space="preserve">(1), 41–48. </w:t>
      </w:r>
      <w:hyperlink r:id="rId17" w:history="1">
        <w:r w:rsidRPr="0091653A">
          <w:rPr>
            <w:rStyle w:val="Hyperlink"/>
            <w:rFonts w:ascii="Arial" w:hAnsi="Arial" w:cs="Arial"/>
            <w:sz w:val="20"/>
            <w:szCs w:val="20"/>
          </w:rPr>
          <w:t>https://doi.org/10.1177/0020764019879943</w:t>
        </w:r>
      </w:hyperlink>
    </w:p>
    <w:p w14:paraId="3CBD59DB" w14:textId="77777777" w:rsidR="00E76716" w:rsidRPr="0091653A" w:rsidRDefault="00E76716" w:rsidP="00E76716">
      <w:pPr>
        <w:pStyle w:val="NormalWeb"/>
        <w:numPr>
          <w:ilvl w:val="0"/>
          <w:numId w:val="34"/>
        </w:numPr>
        <w:jc w:val="both"/>
        <w:rPr>
          <w:rFonts w:ascii="Arial" w:hAnsi="Arial" w:cs="Arial"/>
          <w:sz w:val="20"/>
          <w:szCs w:val="20"/>
        </w:rPr>
      </w:pPr>
      <w:r w:rsidRPr="0091653A">
        <w:rPr>
          <w:rFonts w:ascii="Arial" w:hAnsi="Arial" w:cs="Arial"/>
          <w:sz w:val="20"/>
          <w:szCs w:val="20"/>
        </w:rPr>
        <w:lastRenderedPageBreak/>
        <w:t xml:space="preserve">GBD 2019 Healthcare Access and Quality Collaborators. (2022). Assessing performance of the Healthcare Access and Quality Index, overall and by select age groups, for 204 countries and territories, 1990–2019: A systematic analysis from the Global Burden of Disease Study 2019. </w:t>
      </w:r>
      <w:r w:rsidRPr="0091653A">
        <w:rPr>
          <w:rStyle w:val="Emphasis"/>
          <w:rFonts w:ascii="Arial" w:hAnsi="Arial" w:cs="Arial"/>
          <w:sz w:val="20"/>
          <w:szCs w:val="20"/>
        </w:rPr>
        <w:t>The Lancet Global Health</w:t>
      </w:r>
      <w:r w:rsidRPr="0091653A">
        <w:rPr>
          <w:rFonts w:ascii="Arial" w:hAnsi="Arial" w:cs="Arial"/>
          <w:sz w:val="20"/>
          <w:szCs w:val="20"/>
        </w:rPr>
        <w:t xml:space="preserve">. </w:t>
      </w:r>
      <w:hyperlink r:id="rId18" w:history="1">
        <w:r w:rsidRPr="0091653A">
          <w:rPr>
            <w:rStyle w:val="Hyperlink"/>
            <w:rFonts w:ascii="Arial" w:hAnsi="Arial" w:cs="Arial"/>
            <w:sz w:val="20"/>
            <w:szCs w:val="20"/>
          </w:rPr>
          <w:t>https://doi.org/10.1016/S2214-109X(22)00429-6</w:t>
        </w:r>
      </w:hyperlink>
    </w:p>
    <w:p w14:paraId="472CEEDD" w14:textId="77777777" w:rsidR="00E76716" w:rsidRPr="0091653A" w:rsidRDefault="00E76716" w:rsidP="00E76716">
      <w:pPr>
        <w:pStyle w:val="NormalWeb"/>
        <w:numPr>
          <w:ilvl w:val="0"/>
          <w:numId w:val="34"/>
        </w:numPr>
        <w:jc w:val="both"/>
        <w:rPr>
          <w:rFonts w:ascii="Arial" w:hAnsi="Arial" w:cs="Arial"/>
          <w:sz w:val="20"/>
          <w:szCs w:val="20"/>
        </w:rPr>
      </w:pPr>
      <w:proofErr w:type="spellStart"/>
      <w:r w:rsidRPr="0091653A">
        <w:rPr>
          <w:rFonts w:ascii="Arial" w:hAnsi="Arial" w:cs="Arial"/>
          <w:sz w:val="20"/>
          <w:szCs w:val="20"/>
        </w:rPr>
        <w:t>Goedendorp</w:t>
      </w:r>
      <w:proofErr w:type="spellEnd"/>
      <w:r w:rsidRPr="0091653A">
        <w:rPr>
          <w:rFonts w:ascii="Arial" w:hAnsi="Arial" w:cs="Arial"/>
          <w:sz w:val="20"/>
          <w:szCs w:val="20"/>
        </w:rPr>
        <w:t xml:space="preserve">, M. M., Kuiper, D., </w:t>
      </w:r>
      <w:proofErr w:type="spellStart"/>
      <w:r w:rsidRPr="0091653A">
        <w:rPr>
          <w:rFonts w:ascii="Arial" w:hAnsi="Arial" w:cs="Arial"/>
          <w:sz w:val="20"/>
          <w:szCs w:val="20"/>
        </w:rPr>
        <w:t>Reijneveld</w:t>
      </w:r>
      <w:proofErr w:type="spellEnd"/>
      <w:r w:rsidRPr="0091653A">
        <w:rPr>
          <w:rFonts w:ascii="Arial" w:hAnsi="Arial" w:cs="Arial"/>
          <w:sz w:val="20"/>
          <w:szCs w:val="20"/>
        </w:rPr>
        <w:t xml:space="preserve">, S. A., Sanderman, R., &amp; </w:t>
      </w:r>
      <w:proofErr w:type="spellStart"/>
      <w:r w:rsidRPr="0091653A">
        <w:rPr>
          <w:rFonts w:ascii="Arial" w:hAnsi="Arial" w:cs="Arial"/>
          <w:sz w:val="20"/>
          <w:szCs w:val="20"/>
        </w:rPr>
        <w:t>Steverink</w:t>
      </w:r>
      <w:proofErr w:type="spellEnd"/>
      <w:r w:rsidRPr="0091653A">
        <w:rPr>
          <w:rFonts w:ascii="Arial" w:hAnsi="Arial" w:cs="Arial"/>
          <w:sz w:val="20"/>
          <w:szCs w:val="20"/>
        </w:rPr>
        <w:t xml:space="preserve">, N. (2017). Sustaining program effectiveness after implementation: The case of the self-management of well-being group intervention for older adults. </w:t>
      </w:r>
      <w:r w:rsidRPr="0091653A">
        <w:rPr>
          <w:rStyle w:val="Emphasis"/>
          <w:rFonts w:ascii="Arial" w:hAnsi="Arial" w:cs="Arial"/>
          <w:sz w:val="20"/>
          <w:szCs w:val="20"/>
        </w:rPr>
        <w:t>Patient Education and Counseling, 100</w:t>
      </w:r>
      <w:r w:rsidRPr="0091653A">
        <w:rPr>
          <w:rFonts w:ascii="Arial" w:hAnsi="Arial" w:cs="Arial"/>
          <w:sz w:val="20"/>
          <w:szCs w:val="20"/>
        </w:rPr>
        <w:t xml:space="preserve">(6), 1177–1184. </w:t>
      </w:r>
      <w:hyperlink r:id="rId19" w:history="1">
        <w:r w:rsidRPr="0091653A">
          <w:rPr>
            <w:rStyle w:val="Hyperlink"/>
            <w:rFonts w:ascii="Arial" w:hAnsi="Arial" w:cs="Arial"/>
            <w:sz w:val="20"/>
            <w:szCs w:val="20"/>
          </w:rPr>
          <w:t>https://doi.org/10.1016/j.pec.2017.01.015</w:t>
        </w:r>
      </w:hyperlink>
    </w:p>
    <w:p w14:paraId="21D478FE" w14:textId="77777777" w:rsidR="00E76716" w:rsidRPr="00E76716" w:rsidRDefault="00E76716" w:rsidP="00E76716">
      <w:pPr>
        <w:pStyle w:val="NormalWeb"/>
        <w:numPr>
          <w:ilvl w:val="0"/>
          <w:numId w:val="34"/>
        </w:numPr>
        <w:jc w:val="both"/>
        <w:rPr>
          <w:rFonts w:ascii="Arial" w:hAnsi="Arial" w:cs="Arial"/>
          <w:sz w:val="20"/>
          <w:szCs w:val="20"/>
        </w:rPr>
      </w:pPr>
      <w:r w:rsidRPr="0091653A">
        <w:rPr>
          <w:rFonts w:ascii="Arial" w:hAnsi="Arial" w:cs="Arial"/>
          <w:sz w:val="20"/>
          <w:szCs w:val="20"/>
        </w:rPr>
        <w:t xml:space="preserve">Gonzalez-Garcia, X., Moreno-Sancho, M. L., Roa-Díez, P., Caceres-Tejeiro, Y., Flowers, </w:t>
      </w:r>
      <w:r w:rsidRPr="00E76716">
        <w:rPr>
          <w:rFonts w:ascii="Arial" w:hAnsi="Arial" w:cs="Arial"/>
          <w:sz w:val="20"/>
          <w:szCs w:val="20"/>
        </w:rPr>
        <w:t>S. L. A., de Montes, C. G., ... &amp; Yañez, A. M. (2024). Peer-led intervention for individuals with major depression: Study protocol for a randomized controlled trial (</w:t>
      </w:r>
      <w:proofErr w:type="spellStart"/>
      <w:r w:rsidRPr="00E76716">
        <w:rPr>
          <w:rFonts w:ascii="Arial" w:hAnsi="Arial" w:cs="Arial"/>
          <w:sz w:val="20"/>
          <w:szCs w:val="20"/>
        </w:rPr>
        <w:t>SUPEERMood</w:t>
      </w:r>
      <w:proofErr w:type="spellEnd"/>
      <w:r w:rsidRPr="00E76716">
        <w:rPr>
          <w:rFonts w:ascii="Arial" w:hAnsi="Arial" w:cs="Arial"/>
          <w:sz w:val="20"/>
          <w:szCs w:val="20"/>
        </w:rPr>
        <w:t xml:space="preserve">). </w:t>
      </w:r>
      <w:r w:rsidRPr="00E76716">
        <w:rPr>
          <w:rStyle w:val="Emphasis"/>
          <w:rFonts w:ascii="Arial" w:hAnsi="Arial" w:cs="Arial"/>
          <w:sz w:val="20"/>
          <w:szCs w:val="20"/>
        </w:rPr>
        <w:t>BMC Psychiatry, 24</w:t>
      </w:r>
      <w:r w:rsidRPr="00E76716">
        <w:rPr>
          <w:rFonts w:ascii="Arial" w:hAnsi="Arial" w:cs="Arial"/>
          <w:sz w:val="20"/>
          <w:szCs w:val="20"/>
        </w:rPr>
        <w:t xml:space="preserve">(1), 639. </w:t>
      </w:r>
      <w:hyperlink r:id="rId20" w:history="1">
        <w:r w:rsidRPr="00E76716">
          <w:rPr>
            <w:rStyle w:val="Hyperlink"/>
            <w:rFonts w:ascii="Arial" w:hAnsi="Arial" w:cs="Arial"/>
            <w:sz w:val="20"/>
            <w:szCs w:val="20"/>
          </w:rPr>
          <w:t>https://doi.org/10.1186/s12888-024-05639-9</w:t>
        </w:r>
      </w:hyperlink>
    </w:p>
    <w:p w14:paraId="6F32608B" w14:textId="77777777" w:rsidR="00E76716" w:rsidRPr="00E76716" w:rsidRDefault="00E76716" w:rsidP="00E76716">
      <w:pPr>
        <w:pStyle w:val="NormalWeb"/>
        <w:numPr>
          <w:ilvl w:val="0"/>
          <w:numId w:val="34"/>
        </w:numPr>
        <w:jc w:val="both"/>
        <w:rPr>
          <w:rFonts w:ascii="Arial" w:hAnsi="Arial" w:cs="Arial"/>
          <w:sz w:val="20"/>
          <w:szCs w:val="20"/>
        </w:rPr>
      </w:pPr>
      <w:proofErr w:type="spellStart"/>
      <w:r w:rsidRPr="00E76716">
        <w:rPr>
          <w:rFonts w:ascii="Arial" w:hAnsi="Arial" w:cs="Arial"/>
          <w:sz w:val="20"/>
          <w:szCs w:val="20"/>
        </w:rPr>
        <w:t>Henzen</w:t>
      </w:r>
      <w:proofErr w:type="spellEnd"/>
      <w:r w:rsidRPr="00E76716">
        <w:rPr>
          <w:rFonts w:ascii="Arial" w:hAnsi="Arial" w:cs="Arial"/>
          <w:sz w:val="20"/>
          <w:szCs w:val="20"/>
        </w:rPr>
        <w:t xml:space="preserve">, A., </w:t>
      </w:r>
      <w:proofErr w:type="spellStart"/>
      <w:r w:rsidRPr="00E76716">
        <w:rPr>
          <w:rFonts w:ascii="Arial" w:hAnsi="Arial" w:cs="Arial"/>
          <w:sz w:val="20"/>
          <w:szCs w:val="20"/>
        </w:rPr>
        <w:t>Moeglin</w:t>
      </w:r>
      <w:proofErr w:type="spellEnd"/>
      <w:r w:rsidRPr="00E76716">
        <w:rPr>
          <w:rFonts w:ascii="Arial" w:hAnsi="Arial" w:cs="Arial"/>
          <w:sz w:val="20"/>
          <w:szCs w:val="20"/>
        </w:rPr>
        <w:t xml:space="preserve">, C., Giannakopoulos, P., &amp; </w:t>
      </w:r>
      <w:proofErr w:type="spellStart"/>
      <w:r w:rsidRPr="00E76716">
        <w:rPr>
          <w:rFonts w:ascii="Arial" w:hAnsi="Arial" w:cs="Arial"/>
          <w:sz w:val="20"/>
          <w:szCs w:val="20"/>
        </w:rPr>
        <w:t>Sentissi</w:t>
      </w:r>
      <w:proofErr w:type="spellEnd"/>
      <w:r w:rsidRPr="00E76716">
        <w:rPr>
          <w:rFonts w:ascii="Arial" w:hAnsi="Arial" w:cs="Arial"/>
          <w:sz w:val="20"/>
          <w:szCs w:val="20"/>
        </w:rPr>
        <w:t xml:space="preserve">, O. (2016). Determinants of dropout in a community-based mental health crisis </w:t>
      </w:r>
      <w:proofErr w:type="spellStart"/>
      <w:r w:rsidRPr="00E76716">
        <w:rPr>
          <w:rFonts w:ascii="Arial" w:hAnsi="Arial" w:cs="Arial"/>
          <w:sz w:val="20"/>
          <w:szCs w:val="20"/>
        </w:rPr>
        <w:t>centre</w:t>
      </w:r>
      <w:proofErr w:type="spellEnd"/>
      <w:r w:rsidRPr="00E76716">
        <w:rPr>
          <w:rFonts w:ascii="Arial" w:hAnsi="Arial" w:cs="Arial"/>
          <w:sz w:val="20"/>
          <w:szCs w:val="20"/>
        </w:rPr>
        <w:t xml:space="preserve">. </w:t>
      </w:r>
      <w:r w:rsidRPr="00E76716">
        <w:rPr>
          <w:rStyle w:val="Emphasis"/>
          <w:rFonts w:ascii="Arial" w:hAnsi="Arial" w:cs="Arial"/>
          <w:sz w:val="20"/>
          <w:szCs w:val="20"/>
        </w:rPr>
        <w:t>BMC Psychiatry, 16</w:t>
      </w:r>
      <w:r w:rsidRPr="00E76716">
        <w:rPr>
          <w:rFonts w:ascii="Arial" w:hAnsi="Arial" w:cs="Arial"/>
          <w:sz w:val="20"/>
          <w:szCs w:val="20"/>
        </w:rPr>
        <w:t xml:space="preserve">(1), 111. </w:t>
      </w:r>
      <w:hyperlink r:id="rId21" w:history="1">
        <w:r w:rsidRPr="00E76716">
          <w:rPr>
            <w:rStyle w:val="Hyperlink"/>
            <w:rFonts w:ascii="Arial" w:hAnsi="Arial" w:cs="Arial"/>
            <w:sz w:val="20"/>
            <w:szCs w:val="20"/>
          </w:rPr>
          <w:t>https://doi.org/10.1186/s12888-016-0820-5</w:t>
        </w:r>
      </w:hyperlink>
    </w:p>
    <w:p w14:paraId="7AAE9E24"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 xml:space="preserve">Huhn, M., Tardy, M., </w:t>
      </w:r>
      <w:proofErr w:type="spellStart"/>
      <w:r w:rsidRPr="00E76716">
        <w:rPr>
          <w:rFonts w:ascii="Arial" w:hAnsi="Arial" w:cs="Arial"/>
          <w:sz w:val="20"/>
          <w:szCs w:val="20"/>
        </w:rPr>
        <w:t>Spineli</w:t>
      </w:r>
      <w:proofErr w:type="spellEnd"/>
      <w:r w:rsidRPr="00E76716">
        <w:rPr>
          <w:rFonts w:ascii="Arial" w:hAnsi="Arial" w:cs="Arial"/>
          <w:sz w:val="20"/>
          <w:szCs w:val="20"/>
        </w:rPr>
        <w:t xml:space="preserve">, L. M., et al. (2014). Efficacy of pharmacotherapy and psychotherapy for adult psychiatric disorders: A systematic overview of meta-analyses. </w:t>
      </w:r>
      <w:r w:rsidRPr="00E76716">
        <w:rPr>
          <w:rStyle w:val="Emphasis"/>
          <w:rFonts w:ascii="Arial" w:hAnsi="Arial" w:cs="Arial"/>
          <w:sz w:val="20"/>
          <w:szCs w:val="20"/>
        </w:rPr>
        <w:t>JAMA Psychiatry, 71</w:t>
      </w:r>
      <w:r w:rsidRPr="00E76716">
        <w:rPr>
          <w:rFonts w:ascii="Arial" w:hAnsi="Arial" w:cs="Arial"/>
          <w:sz w:val="20"/>
          <w:szCs w:val="20"/>
        </w:rPr>
        <w:t xml:space="preserve">(7), 706–715. </w:t>
      </w:r>
      <w:hyperlink r:id="rId22" w:history="1">
        <w:r w:rsidRPr="00E76716">
          <w:rPr>
            <w:rStyle w:val="Hyperlink"/>
            <w:rFonts w:ascii="Arial" w:hAnsi="Arial" w:cs="Arial"/>
            <w:sz w:val="20"/>
            <w:szCs w:val="20"/>
          </w:rPr>
          <w:t>https://doi.org/10.1001/jamapsychiatry.2014.112</w:t>
        </w:r>
      </w:hyperlink>
    </w:p>
    <w:p w14:paraId="17F5CFC7"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Jensen, K., Maties, F. M., Nissen, H. B., Christiansen, J., &amp; Jørgensen, R. (2024). Usefulness of working with a person</w:t>
      </w:r>
      <w:r w:rsidRPr="00E76716">
        <w:rPr>
          <w:rFonts w:ascii="Cambria Math" w:hAnsi="Cambria Math" w:cs="Cambria Math"/>
          <w:sz w:val="20"/>
          <w:szCs w:val="20"/>
        </w:rPr>
        <w:t>‐</w:t>
      </w:r>
      <w:proofErr w:type="spellStart"/>
      <w:r w:rsidRPr="00E76716">
        <w:rPr>
          <w:rFonts w:ascii="Arial" w:hAnsi="Arial" w:cs="Arial"/>
          <w:sz w:val="20"/>
          <w:szCs w:val="20"/>
        </w:rPr>
        <w:t>centred</w:t>
      </w:r>
      <w:proofErr w:type="spellEnd"/>
      <w:r w:rsidRPr="00E76716">
        <w:rPr>
          <w:rFonts w:ascii="Arial" w:hAnsi="Arial" w:cs="Arial"/>
          <w:sz w:val="20"/>
          <w:szCs w:val="20"/>
        </w:rPr>
        <w:t xml:space="preserve"> intervention in a group: Perspectives from facilitators and persons with mental illness. </w:t>
      </w:r>
      <w:r w:rsidRPr="00E76716">
        <w:rPr>
          <w:rStyle w:val="Emphasis"/>
          <w:rFonts w:ascii="Arial" w:hAnsi="Arial" w:cs="Arial"/>
          <w:sz w:val="20"/>
          <w:szCs w:val="20"/>
        </w:rPr>
        <w:t>Journal of Evaluation in Clinical Practice, 30</w:t>
      </w:r>
      <w:r w:rsidRPr="00E76716">
        <w:rPr>
          <w:rFonts w:ascii="Arial" w:hAnsi="Arial" w:cs="Arial"/>
          <w:sz w:val="20"/>
          <w:szCs w:val="20"/>
        </w:rPr>
        <w:t xml:space="preserve">(4), 539–547. </w:t>
      </w:r>
      <w:hyperlink r:id="rId23" w:history="1">
        <w:r w:rsidRPr="00E76716">
          <w:rPr>
            <w:rStyle w:val="Hyperlink"/>
            <w:rFonts w:ascii="Arial" w:hAnsi="Arial" w:cs="Arial"/>
            <w:sz w:val="20"/>
            <w:szCs w:val="20"/>
          </w:rPr>
          <w:t>https://doi.org/10.1111/jep.13789</w:t>
        </w:r>
      </w:hyperlink>
    </w:p>
    <w:p w14:paraId="4C30D325"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King, A. J., &amp; Simmons, M. B. (2023). “The best of both worlds”: Experiences of young people attending groups co</w:t>
      </w:r>
      <w:r w:rsidRPr="00E76716">
        <w:rPr>
          <w:rFonts w:ascii="Cambria Math" w:hAnsi="Cambria Math" w:cs="Cambria Math"/>
          <w:sz w:val="20"/>
          <w:szCs w:val="20"/>
        </w:rPr>
        <w:t>‐</w:t>
      </w:r>
      <w:r w:rsidRPr="00E76716">
        <w:rPr>
          <w:rFonts w:ascii="Arial" w:hAnsi="Arial" w:cs="Arial"/>
          <w:sz w:val="20"/>
          <w:szCs w:val="20"/>
        </w:rPr>
        <w:t xml:space="preserve">facilitated by peer workers and clinicians in a youth mental health service. </w:t>
      </w:r>
      <w:r w:rsidRPr="00E76716">
        <w:rPr>
          <w:rStyle w:val="Emphasis"/>
          <w:rFonts w:ascii="Arial" w:hAnsi="Arial" w:cs="Arial"/>
          <w:sz w:val="20"/>
          <w:szCs w:val="20"/>
        </w:rPr>
        <w:t>Early Intervention in Psychiatry, 17</w:t>
      </w:r>
      <w:r w:rsidRPr="00E76716">
        <w:rPr>
          <w:rFonts w:ascii="Arial" w:hAnsi="Arial" w:cs="Arial"/>
          <w:sz w:val="20"/>
          <w:szCs w:val="20"/>
        </w:rPr>
        <w:t xml:space="preserve">(1), 65–75. </w:t>
      </w:r>
      <w:hyperlink r:id="rId24" w:history="1">
        <w:r w:rsidRPr="00E76716">
          <w:rPr>
            <w:rStyle w:val="Hyperlink"/>
            <w:rFonts w:ascii="Arial" w:hAnsi="Arial" w:cs="Arial"/>
            <w:sz w:val="20"/>
            <w:szCs w:val="20"/>
          </w:rPr>
          <w:t>https://doi.org/10.1111/eip.13245</w:t>
        </w:r>
      </w:hyperlink>
    </w:p>
    <w:p w14:paraId="082101B8"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 xml:space="preserve">Kohrt, B. A., Asher, L., Bhardwaj, A., Fazel, M., Jordans, M. J. D., Mutamba, B. B., &amp; Patel, V. (2018). The role of communities in mental health care in low- and middle-income countries: A meta-review of components and competencies. </w:t>
      </w:r>
      <w:r w:rsidRPr="00E76716">
        <w:rPr>
          <w:rStyle w:val="Emphasis"/>
          <w:rFonts w:ascii="Arial" w:hAnsi="Arial" w:cs="Arial"/>
          <w:sz w:val="20"/>
          <w:szCs w:val="20"/>
        </w:rPr>
        <w:t>International Journal of Environmental Research and Public Health, 15</w:t>
      </w:r>
      <w:r w:rsidRPr="00E76716">
        <w:rPr>
          <w:rFonts w:ascii="Arial" w:hAnsi="Arial" w:cs="Arial"/>
          <w:sz w:val="20"/>
          <w:szCs w:val="20"/>
        </w:rPr>
        <w:t xml:space="preserve">(6), 1279. </w:t>
      </w:r>
      <w:hyperlink r:id="rId25" w:history="1">
        <w:r w:rsidRPr="00E76716">
          <w:rPr>
            <w:rStyle w:val="Hyperlink"/>
            <w:rFonts w:ascii="Arial" w:hAnsi="Arial" w:cs="Arial"/>
            <w:sz w:val="20"/>
            <w:szCs w:val="20"/>
          </w:rPr>
          <w:t>https://doi.org/10.3390/ijerph15061279</w:t>
        </w:r>
      </w:hyperlink>
    </w:p>
    <w:p w14:paraId="754BAA0F"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 xml:space="preserve">Krausz, R. M., Ramsey, D., </w:t>
      </w:r>
      <w:proofErr w:type="spellStart"/>
      <w:r w:rsidRPr="00E76716">
        <w:rPr>
          <w:rFonts w:ascii="Arial" w:hAnsi="Arial" w:cs="Arial"/>
          <w:sz w:val="20"/>
          <w:szCs w:val="20"/>
        </w:rPr>
        <w:t>Wetterlin</w:t>
      </w:r>
      <w:proofErr w:type="spellEnd"/>
      <w:r w:rsidRPr="00E76716">
        <w:rPr>
          <w:rFonts w:ascii="Arial" w:hAnsi="Arial" w:cs="Arial"/>
          <w:sz w:val="20"/>
          <w:szCs w:val="20"/>
        </w:rPr>
        <w:t xml:space="preserve">, F., </w:t>
      </w:r>
      <w:proofErr w:type="spellStart"/>
      <w:r w:rsidRPr="00E76716">
        <w:rPr>
          <w:rFonts w:ascii="Arial" w:hAnsi="Arial" w:cs="Arial"/>
          <w:sz w:val="20"/>
          <w:szCs w:val="20"/>
        </w:rPr>
        <w:t>Tabiova</w:t>
      </w:r>
      <w:proofErr w:type="spellEnd"/>
      <w:r w:rsidRPr="00E76716">
        <w:rPr>
          <w:rFonts w:ascii="Arial" w:hAnsi="Arial" w:cs="Arial"/>
          <w:sz w:val="20"/>
          <w:szCs w:val="20"/>
        </w:rPr>
        <w:t xml:space="preserve">, K., &amp; Thapliyal, A. (2019). Accessible and cost-effective mental health care using E-Mental Health (EMH). In </w:t>
      </w:r>
      <w:r w:rsidRPr="00E76716">
        <w:rPr>
          <w:rStyle w:val="Emphasis"/>
          <w:rFonts w:ascii="Arial" w:hAnsi="Arial" w:cs="Arial"/>
          <w:sz w:val="20"/>
          <w:szCs w:val="20"/>
        </w:rPr>
        <w:t>Advances in Psychiatry</w:t>
      </w:r>
      <w:r w:rsidRPr="00E76716">
        <w:rPr>
          <w:rFonts w:ascii="Arial" w:hAnsi="Arial" w:cs="Arial"/>
          <w:sz w:val="20"/>
          <w:szCs w:val="20"/>
        </w:rPr>
        <w:t xml:space="preserve"> (pp. 129–141). Cham: Springer International Publishing. </w:t>
      </w:r>
      <w:hyperlink r:id="rId26" w:history="1">
        <w:r w:rsidRPr="00E76716">
          <w:rPr>
            <w:rStyle w:val="Hyperlink"/>
            <w:rFonts w:ascii="Arial" w:hAnsi="Arial" w:cs="Arial"/>
            <w:sz w:val="20"/>
            <w:szCs w:val="20"/>
          </w:rPr>
          <w:t>https://doi.org/10.1007/978-3-030-12544-2_10</w:t>
        </w:r>
      </w:hyperlink>
    </w:p>
    <w:p w14:paraId="72C806D2"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 xml:space="preserve">Lee, A. R., Wolf, R., Contento, I., </w:t>
      </w:r>
      <w:proofErr w:type="spellStart"/>
      <w:r w:rsidRPr="00E76716">
        <w:rPr>
          <w:rFonts w:ascii="Arial" w:hAnsi="Arial" w:cs="Arial"/>
          <w:sz w:val="20"/>
          <w:szCs w:val="20"/>
        </w:rPr>
        <w:t>Verdeli</w:t>
      </w:r>
      <w:proofErr w:type="spellEnd"/>
      <w:r w:rsidRPr="00E76716">
        <w:rPr>
          <w:rFonts w:ascii="Arial" w:hAnsi="Arial" w:cs="Arial"/>
          <w:sz w:val="20"/>
          <w:szCs w:val="20"/>
        </w:rPr>
        <w:t xml:space="preserve">, H., &amp; Green, P. H. R. (2016). Coeliac disease: The association between quality of life and social support network participation. </w:t>
      </w:r>
      <w:r w:rsidRPr="00E76716">
        <w:rPr>
          <w:rStyle w:val="Emphasis"/>
          <w:rFonts w:ascii="Arial" w:hAnsi="Arial" w:cs="Arial"/>
          <w:sz w:val="20"/>
          <w:szCs w:val="20"/>
        </w:rPr>
        <w:t>Journal of Human Nutrition and Dietetics, 29</w:t>
      </w:r>
      <w:r w:rsidRPr="00E76716">
        <w:rPr>
          <w:rFonts w:ascii="Arial" w:hAnsi="Arial" w:cs="Arial"/>
          <w:sz w:val="20"/>
          <w:szCs w:val="20"/>
        </w:rPr>
        <w:t xml:space="preserve">(3), 383–390. </w:t>
      </w:r>
      <w:hyperlink r:id="rId27" w:history="1">
        <w:r w:rsidRPr="00E76716">
          <w:rPr>
            <w:rStyle w:val="Hyperlink"/>
            <w:rFonts w:ascii="Arial" w:hAnsi="Arial" w:cs="Arial"/>
            <w:sz w:val="20"/>
            <w:szCs w:val="20"/>
          </w:rPr>
          <w:t>https://doi.org/10.1111/jhn.12325</w:t>
        </w:r>
      </w:hyperlink>
    </w:p>
    <w:p w14:paraId="7EBA8C6A"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 xml:space="preserve">Lyons, N., Cooper, C., &amp; Lloyd-Evans, B. (2021). A systematic review and meta-analysis of group peer support interventions for people experiencing mental health conditions. </w:t>
      </w:r>
      <w:r w:rsidRPr="00E76716">
        <w:rPr>
          <w:rStyle w:val="Emphasis"/>
          <w:rFonts w:ascii="Arial" w:hAnsi="Arial" w:cs="Arial"/>
          <w:sz w:val="20"/>
          <w:szCs w:val="20"/>
        </w:rPr>
        <w:t>BMC Psychiatry, 21</w:t>
      </w:r>
      <w:r w:rsidRPr="00E76716">
        <w:rPr>
          <w:rFonts w:ascii="Arial" w:hAnsi="Arial" w:cs="Arial"/>
          <w:sz w:val="20"/>
          <w:szCs w:val="20"/>
        </w:rPr>
        <w:t xml:space="preserve">(1), 315. </w:t>
      </w:r>
      <w:hyperlink r:id="rId28" w:history="1">
        <w:r w:rsidRPr="00E76716">
          <w:rPr>
            <w:rStyle w:val="Hyperlink"/>
            <w:rFonts w:ascii="Arial" w:hAnsi="Arial" w:cs="Arial"/>
            <w:sz w:val="20"/>
            <w:szCs w:val="20"/>
          </w:rPr>
          <w:t>https://doi.org/10.1186/s12888-021-03315-5</w:t>
        </w:r>
      </w:hyperlink>
    </w:p>
    <w:p w14:paraId="55A9AE86"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 xml:space="preserve">Mabunda, D., Oliveira, D., Sidat, M., Cavalcanti, M. T., Cumbe, V., Mandlate, F., &amp; Mari, J. d. J. (2022). Cultural adaptation of psychological interventions for people with mental disorders delivered by lay health workers in Africa: Scoping review and expert consultation. </w:t>
      </w:r>
      <w:r w:rsidRPr="00E76716">
        <w:rPr>
          <w:rStyle w:val="Emphasis"/>
          <w:rFonts w:ascii="Arial" w:hAnsi="Arial" w:cs="Arial"/>
          <w:sz w:val="20"/>
          <w:szCs w:val="20"/>
        </w:rPr>
        <w:t>International Journal of Mental Health Systems, 16</w:t>
      </w:r>
      <w:r w:rsidRPr="00E76716">
        <w:rPr>
          <w:rFonts w:ascii="Arial" w:hAnsi="Arial" w:cs="Arial"/>
          <w:sz w:val="20"/>
          <w:szCs w:val="20"/>
        </w:rPr>
        <w:t xml:space="preserve">(1). </w:t>
      </w:r>
      <w:hyperlink r:id="rId29" w:history="1">
        <w:r w:rsidRPr="00E76716">
          <w:rPr>
            <w:rStyle w:val="Hyperlink"/>
            <w:rFonts w:ascii="Arial" w:hAnsi="Arial" w:cs="Arial"/>
            <w:sz w:val="20"/>
            <w:szCs w:val="20"/>
          </w:rPr>
          <w:t>https://doi.org/10.1186/s13033-022-00526-x</w:t>
        </w:r>
      </w:hyperlink>
    </w:p>
    <w:p w14:paraId="699939CC"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 xml:space="preserve">Markowitz, F. E. (2015). Involvement in mental health self-help groups and recovery. </w:t>
      </w:r>
      <w:r w:rsidRPr="00E76716">
        <w:rPr>
          <w:rStyle w:val="Emphasis"/>
          <w:rFonts w:ascii="Arial" w:hAnsi="Arial" w:cs="Arial"/>
          <w:sz w:val="20"/>
          <w:szCs w:val="20"/>
        </w:rPr>
        <w:t>Health Sociology Review, 24</w:t>
      </w:r>
      <w:r w:rsidRPr="00E76716">
        <w:rPr>
          <w:rFonts w:ascii="Arial" w:hAnsi="Arial" w:cs="Arial"/>
          <w:sz w:val="20"/>
          <w:szCs w:val="20"/>
        </w:rPr>
        <w:t xml:space="preserve">(2), 199–212. </w:t>
      </w:r>
      <w:hyperlink r:id="rId30" w:history="1">
        <w:r w:rsidRPr="00E76716">
          <w:rPr>
            <w:rStyle w:val="Hyperlink"/>
            <w:rFonts w:ascii="Arial" w:hAnsi="Arial" w:cs="Arial"/>
            <w:sz w:val="20"/>
            <w:szCs w:val="20"/>
          </w:rPr>
          <w:t>https://doi.org/10.1080/14461242.2015.1037380</w:t>
        </w:r>
      </w:hyperlink>
    </w:p>
    <w:p w14:paraId="364B2F43"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 xml:space="preserve">Milanzi, J., Makukula, M. K., Lyambai, K., Kabungo, C. J., Matipa, R., &amp; Changwe, G. (2023). Barriers to mental health seeking intentions among students at Mulungushi </w:t>
      </w:r>
      <w:r w:rsidRPr="00E76716">
        <w:rPr>
          <w:rFonts w:ascii="Arial" w:hAnsi="Arial" w:cs="Arial"/>
          <w:sz w:val="20"/>
          <w:szCs w:val="20"/>
        </w:rPr>
        <w:lastRenderedPageBreak/>
        <w:t xml:space="preserve">University, Kabwe District, Zambia. </w:t>
      </w:r>
      <w:r w:rsidRPr="00E76716">
        <w:rPr>
          <w:rStyle w:val="Emphasis"/>
          <w:rFonts w:ascii="Arial" w:hAnsi="Arial" w:cs="Arial"/>
          <w:sz w:val="20"/>
          <w:szCs w:val="20"/>
        </w:rPr>
        <w:t>European Journal of Public Health Studies, 6</w:t>
      </w:r>
      <w:r w:rsidRPr="00E76716">
        <w:rPr>
          <w:rFonts w:ascii="Arial" w:hAnsi="Arial" w:cs="Arial"/>
          <w:sz w:val="20"/>
          <w:szCs w:val="20"/>
        </w:rPr>
        <w:t xml:space="preserve">(1). </w:t>
      </w:r>
      <w:hyperlink r:id="rId31" w:history="1">
        <w:r w:rsidRPr="00E76716">
          <w:rPr>
            <w:rStyle w:val="Hyperlink"/>
            <w:rFonts w:ascii="Arial" w:hAnsi="Arial" w:cs="Arial"/>
            <w:sz w:val="20"/>
            <w:szCs w:val="20"/>
          </w:rPr>
          <w:t>https://doi.org/10.46827/ejphs.v6i1.1683</w:t>
        </w:r>
      </w:hyperlink>
    </w:p>
    <w:p w14:paraId="7D60E33F"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 xml:space="preserve">Munakampe, M. N. (2020). Strengthening mental health systems in Zambia. </w:t>
      </w:r>
      <w:r w:rsidRPr="00E76716">
        <w:rPr>
          <w:rStyle w:val="Emphasis"/>
          <w:rFonts w:ascii="Arial" w:hAnsi="Arial" w:cs="Arial"/>
          <w:sz w:val="20"/>
          <w:szCs w:val="20"/>
        </w:rPr>
        <w:t>International Journal of Mental Health Systems, 14</w:t>
      </w:r>
      <w:r w:rsidRPr="00E76716">
        <w:rPr>
          <w:rFonts w:ascii="Arial" w:hAnsi="Arial" w:cs="Arial"/>
          <w:sz w:val="20"/>
          <w:szCs w:val="20"/>
        </w:rPr>
        <w:t xml:space="preserve">(1). </w:t>
      </w:r>
      <w:hyperlink r:id="rId32" w:history="1">
        <w:r w:rsidRPr="00E76716">
          <w:rPr>
            <w:rStyle w:val="Hyperlink"/>
            <w:rFonts w:ascii="Arial" w:hAnsi="Arial" w:cs="Arial"/>
            <w:sz w:val="20"/>
            <w:szCs w:val="20"/>
          </w:rPr>
          <w:t>https://doi.org/10.1186/s13033-020-00360-z</w:t>
        </w:r>
      </w:hyperlink>
    </w:p>
    <w:p w14:paraId="08FAD3CA" w14:textId="77777777" w:rsidR="00E76716" w:rsidRPr="00E76716" w:rsidRDefault="00E76716" w:rsidP="00E76716">
      <w:pPr>
        <w:pStyle w:val="NormalWeb"/>
        <w:numPr>
          <w:ilvl w:val="0"/>
          <w:numId w:val="34"/>
        </w:numPr>
        <w:jc w:val="both"/>
        <w:rPr>
          <w:rFonts w:ascii="Arial" w:hAnsi="Arial" w:cs="Arial"/>
          <w:sz w:val="20"/>
          <w:szCs w:val="20"/>
        </w:rPr>
      </w:pPr>
      <w:proofErr w:type="spellStart"/>
      <w:r w:rsidRPr="00E76716">
        <w:rPr>
          <w:rFonts w:ascii="Arial" w:hAnsi="Arial" w:cs="Arial"/>
          <w:sz w:val="20"/>
          <w:szCs w:val="20"/>
        </w:rPr>
        <w:t>Musanje</w:t>
      </w:r>
      <w:proofErr w:type="spellEnd"/>
      <w:r w:rsidRPr="00E76716">
        <w:rPr>
          <w:rFonts w:ascii="Arial" w:hAnsi="Arial" w:cs="Arial"/>
          <w:sz w:val="20"/>
          <w:szCs w:val="20"/>
        </w:rPr>
        <w:t xml:space="preserve">, K., </w:t>
      </w:r>
      <w:proofErr w:type="spellStart"/>
      <w:r w:rsidRPr="00E76716">
        <w:rPr>
          <w:rFonts w:ascii="Arial" w:hAnsi="Arial" w:cs="Arial"/>
          <w:sz w:val="20"/>
          <w:szCs w:val="20"/>
        </w:rPr>
        <w:t>Atuhumuza</w:t>
      </w:r>
      <w:proofErr w:type="spellEnd"/>
      <w:r w:rsidRPr="00E76716">
        <w:rPr>
          <w:rFonts w:ascii="Arial" w:hAnsi="Arial" w:cs="Arial"/>
          <w:sz w:val="20"/>
          <w:szCs w:val="20"/>
        </w:rPr>
        <w:t xml:space="preserve">, E., Kimera, E., Mugarura, J., Nsereko, G. M., Mukula, H. M., ... &amp; Kasujja, R. (2025). How interpersonal psychotherapy groups support recovery from depression: A qualitative study in rural Uganda. </w:t>
      </w:r>
      <w:r w:rsidRPr="00E76716">
        <w:rPr>
          <w:rStyle w:val="Emphasis"/>
          <w:rFonts w:ascii="Arial" w:hAnsi="Arial" w:cs="Arial"/>
          <w:sz w:val="20"/>
          <w:szCs w:val="20"/>
        </w:rPr>
        <w:t>Academia Mental Health and Well-Being, 2</w:t>
      </w:r>
      <w:r w:rsidRPr="00E76716">
        <w:rPr>
          <w:rFonts w:ascii="Arial" w:hAnsi="Arial" w:cs="Arial"/>
          <w:sz w:val="20"/>
          <w:szCs w:val="20"/>
        </w:rPr>
        <w:t xml:space="preserve">(4). </w:t>
      </w:r>
      <w:hyperlink r:id="rId33" w:history="1">
        <w:r w:rsidRPr="00E76716">
          <w:rPr>
            <w:rStyle w:val="Hyperlink"/>
            <w:rFonts w:ascii="Arial" w:hAnsi="Arial" w:cs="Arial"/>
            <w:sz w:val="20"/>
            <w:szCs w:val="20"/>
          </w:rPr>
          <w:t>https://doi.org/10.20935/MHealthWellB8022</w:t>
        </w:r>
      </w:hyperlink>
    </w:p>
    <w:p w14:paraId="199B8F14"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 xml:space="preserve">Pedersen, G. A., </w:t>
      </w:r>
      <w:proofErr w:type="spellStart"/>
      <w:r w:rsidRPr="00E76716">
        <w:rPr>
          <w:rFonts w:ascii="Arial" w:hAnsi="Arial" w:cs="Arial"/>
          <w:sz w:val="20"/>
          <w:szCs w:val="20"/>
        </w:rPr>
        <w:t>Sangraula</w:t>
      </w:r>
      <w:proofErr w:type="spellEnd"/>
      <w:r w:rsidRPr="00E76716">
        <w:rPr>
          <w:rFonts w:ascii="Arial" w:hAnsi="Arial" w:cs="Arial"/>
          <w:sz w:val="20"/>
          <w:szCs w:val="20"/>
        </w:rPr>
        <w:t xml:space="preserve">, M., Shrestha, P., </w:t>
      </w:r>
      <w:proofErr w:type="spellStart"/>
      <w:r w:rsidRPr="00E76716">
        <w:rPr>
          <w:rFonts w:ascii="Arial" w:hAnsi="Arial" w:cs="Arial"/>
          <w:sz w:val="20"/>
          <w:szCs w:val="20"/>
        </w:rPr>
        <w:t>Lakshmin</w:t>
      </w:r>
      <w:proofErr w:type="spellEnd"/>
      <w:r w:rsidRPr="00E76716">
        <w:rPr>
          <w:rFonts w:ascii="Arial" w:hAnsi="Arial" w:cs="Arial"/>
          <w:sz w:val="20"/>
          <w:szCs w:val="20"/>
        </w:rPr>
        <w:t xml:space="preserve">, P., Schafer, A., Ghimire, R., ... &amp; Kohrt, B. A. (2021). Developing the group facilitation assessment of competencies tool for group-based mental health and psychosocial support interventions in humanitarian and low-resource settings. </w:t>
      </w:r>
      <w:r w:rsidRPr="00E76716">
        <w:rPr>
          <w:rStyle w:val="Emphasis"/>
          <w:rFonts w:ascii="Arial" w:hAnsi="Arial" w:cs="Arial"/>
          <w:sz w:val="20"/>
          <w:szCs w:val="20"/>
        </w:rPr>
        <w:t>Global Mental Health, 8</w:t>
      </w:r>
      <w:r w:rsidRPr="00E76716">
        <w:rPr>
          <w:rFonts w:ascii="Arial" w:hAnsi="Arial" w:cs="Arial"/>
          <w:sz w:val="20"/>
          <w:szCs w:val="20"/>
        </w:rPr>
        <w:t xml:space="preserve">, e22. </w:t>
      </w:r>
      <w:hyperlink r:id="rId34" w:history="1">
        <w:r w:rsidRPr="00E76716">
          <w:rPr>
            <w:rStyle w:val="Hyperlink"/>
            <w:rFonts w:ascii="Arial" w:hAnsi="Arial" w:cs="Arial"/>
            <w:sz w:val="20"/>
            <w:szCs w:val="20"/>
          </w:rPr>
          <w:t>https://doi.org/10.1017/gmh.2021.21</w:t>
        </w:r>
      </w:hyperlink>
    </w:p>
    <w:p w14:paraId="7FCCA98F" w14:textId="77777777" w:rsidR="00E76716" w:rsidRPr="00E76716" w:rsidRDefault="00E76716" w:rsidP="00E76716">
      <w:pPr>
        <w:pStyle w:val="NormalWeb"/>
        <w:numPr>
          <w:ilvl w:val="0"/>
          <w:numId w:val="34"/>
        </w:numPr>
        <w:jc w:val="both"/>
        <w:rPr>
          <w:rFonts w:ascii="Arial" w:hAnsi="Arial" w:cs="Arial"/>
          <w:sz w:val="20"/>
          <w:szCs w:val="20"/>
        </w:rPr>
      </w:pPr>
      <w:r w:rsidRPr="00E76716">
        <w:rPr>
          <w:rFonts w:ascii="Arial" w:hAnsi="Arial" w:cs="Arial"/>
          <w:sz w:val="20"/>
          <w:szCs w:val="20"/>
        </w:rPr>
        <w:t xml:space="preserve">Phalen, P. L., Muralidharan, A., Travaglini, L., Bennett, M., Stahl, N., Brown, C., ... &amp; Goldberg, R. (2020). Predictors of attendance in health and wellness treatment groups for people with serious mental illness. </w:t>
      </w:r>
      <w:r w:rsidRPr="00E76716">
        <w:rPr>
          <w:rStyle w:val="Emphasis"/>
          <w:rFonts w:ascii="Arial" w:hAnsi="Arial" w:cs="Arial"/>
          <w:sz w:val="20"/>
          <w:szCs w:val="20"/>
        </w:rPr>
        <w:t>Psychiatric Rehabilitation Journal, 43</w:t>
      </w:r>
      <w:r w:rsidRPr="00E76716">
        <w:rPr>
          <w:rFonts w:ascii="Arial" w:hAnsi="Arial" w:cs="Arial"/>
          <w:sz w:val="20"/>
          <w:szCs w:val="20"/>
        </w:rPr>
        <w:t xml:space="preserve">(2), 149–156. </w:t>
      </w:r>
      <w:hyperlink r:id="rId35" w:history="1">
        <w:r w:rsidRPr="00E76716">
          <w:rPr>
            <w:rStyle w:val="Hyperlink"/>
            <w:rFonts w:ascii="Arial" w:hAnsi="Arial" w:cs="Arial"/>
            <w:sz w:val="20"/>
            <w:szCs w:val="20"/>
          </w:rPr>
          <w:t>https://doi.org/10.1037/prj0000394</w:t>
        </w:r>
      </w:hyperlink>
    </w:p>
    <w:p w14:paraId="6991D519"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Rangel, R., Brown, A. D., Galea, J. T., Rai, S., Ross, N., Raji, M., et al. (2025</w:t>
      </w:r>
      <w:r w:rsidRPr="00E76716">
        <w:rPr>
          <w:rFonts w:ascii="Arial" w:eastAsia="Times New Roman" w:hAnsi="Arial" w:cs="Arial"/>
          <w:b/>
          <w:bCs/>
          <w:sz w:val="20"/>
          <w:szCs w:val="20"/>
        </w:rPr>
        <w:t>).</w:t>
      </w:r>
      <w:r w:rsidRPr="00E76716">
        <w:rPr>
          <w:rFonts w:ascii="Arial" w:eastAsia="Times New Roman" w:hAnsi="Arial" w:cs="Arial"/>
          <w:sz w:val="20"/>
          <w:szCs w:val="20"/>
        </w:rPr>
        <w:t xml:space="preserve"> A guide to selecting psychological interventions that can be delivered by people who are not mental health specialists in low-resource settings. </w:t>
      </w:r>
      <w:r w:rsidRPr="00E76716">
        <w:rPr>
          <w:rFonts w:ascii="Arial" w:eastAsia="Times New Roman" w:hAnsi="Arial" w:cs="Arial"/>
          <w:i/>
          <w:iCs/>
          <w:sz w:val="20"/>
          <w:szCs w:val="20"/>
        </w:rPr>
        <w:t>PLOS Global Public Health, 5</w:t>
      </w:r>
      <w:r w:rsidRPr="00E76716">
        <w:rPr>
          <w:rFonts w:ascii="Arial" w:eastAsia="Times New Roman" w:hAnsi="Arial" w:cs="Arial"/>
          <w:sz w:val="20"/>
          <w:szCs w:val="20"/>
        </w:rPr>
        <w:t xml:space="preserve">(11), e0005123. </w:t>
      </w:r>
      <w:hyperlink r:id="rId36" w:history="1">
        <w:r w:rsidRPr="00E76716">
          <w:rPr>
            <w:rStyle w:val="Hyperlink"/>
            <w:rFonts w:ascii="Arial" w:eastAsia="Times New Roman" w:hAnsi="Arial" w:cs="Arial"/>
            <w:sz w:val="20"/>
            <w:szCs w:val="20"/>
          </w:rPr>
          <w:t>https://doi.org/10.1371/journal.pgph.0005123</w:t>
        </w:r>
      </w:hyperlink>
    </w:p>
    <w:p w14:paraId="1AA90D8E"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Sanchez</w:t>
      </w:r>
      <w:r w:rsidRPr="00E76716">
        <w:rPr>
          <w:rFonts w:ascii="Cambria Math" w:eastAsia="Times New Roman" w:hAnsi="Cambria Math" w:cs="Cambria Math"/>
          <w:bCs/>
          <w:sz w:val="20"/>
          <w:szCs w:val="20"/>
        </w:rPr>
        <w:t>‐</w:t>
      </w:r>
      <w:proofErr w:type="spellStart"/>
      <w:r w:rsidRPr="00E76716">
        <w:rPr>
          <w:rFonts w:ascii="Arial" w:eastAsia="Times New Roman" w:hAnsi="Arial" w:cs="Arial"/>
          <w:bCs/>
          <w:sz w:val="20"/>
          <w:szCs w:val="20"/>
        </w:rPr>
        <w:t>Moscona</w:t>
      </w:r>
      <w:proofErr w:type="spellEnd"/>
      <w:r w:rsidRPr="00E76716">
        <w:rPr>
          <w:rFonts w:ascii="Arial" w:eastAsia="Times New Roman" w:hAnsi="Arial" w:cs="Arial"/>
          <w:bCs/>
          <w:sz w:val="20"/>
          <w:szCs w:val="20"/>
        </w:rPr>
        <w:t xml:space="preserve">, C., &amp; </w:t>
      </w:r>
      <w:proofErr w:type="spellStart"/>
      <w:r w:rsidRPr="00E76716">
        <w:rPr>
          <w:rFonts w:ascii="Arial" w:eastAsia="Times New Roman" w:hAnsi="Arial" w:cs="Arial"/>
          <w:bCs/>
          <w:sz w:val="20"/>
          <w:szCs w:val="20"/>
        </w:rPr>
        <w:t>Eiroa</w:t>
      </w:r>
      <w:r w:rsidRPr="00E76716">
        <w:rPr>
          <w:rFonts w:ascii="Cambria Math" w:eastAsia="Times New Roman" w:hAnsi="Cambria Math" w:cs="Cambria Math"/>
          <w:bCs/>
          <w:sz w:val="20"/>
          <w:szCs w:val="20"/>
        </w:rPr>
        <w:t>‐</w:t>
      </w:r>
      <w:r w:rsidRPr="00E76716">
        <w:rPr>
          <w:rFonts w:ascii="Arial" w:eastAsia="Times New Roman" w:hAnsi="Arial" w:cs="Arial"/>
          <w:bCs/>
          <w:sz w:val="20"/>
          <w:szCs w:val="20"/>
        </w:rPr>
        <w:t>Orosa</w:t>
      </w:r>
      <w:proofErr w:type="spellEnd"/>
      <w:r w:rsidRPr="00E76716">
        <w:rPr>
          <w:rFonts w:ascii="Arial" w:eastAsia="Times New Roman" w:hAnsi="Arial" w:cs="Arial"/>
          <w:bCs/>
          <w:sz w:val="20"/>
          <w:szCs w:val="20"/>
        </w:rPr>
        <w:t>, F. J. (2021).</w:t>
      </w:r>
      <w:r w:rsidRPr="00E76716">
        <w:rPr>
          <w:rFonts w:ascii="Arial" w:eastAsia="Times New Roman" w:hAnsi="Arial" w:cs="Arial"/>
          <w:sz w:val="20"/>
          <w:szCs w:val="20"/>
        </w:rPr>
        <w:t xml:space="preserve"> Training mental health peer support training facilitators: A qualitative, participatory evaluation. </w:t>
      </w:r>
      <w:r w:rsidRPr="00E76716">
        <w:rPr>
          <w:rFonts w:ascii="Arial" w:eastAsia="Times New Roman" w:hAnsi="Arial" w:cs="Arial"/>
          <w:i/>
          <w:iCs/>
          <w:sz w:val="20"/>
          <w:szCs w:val="20"/>
        </w:rPr>
        <w:t>International Journal of Mental Health Nursing, 30</w:t>
      </w:r>
      <w:r w:rsidRPr="00E76716">
        <w:rPr>
          <w:rFonts w:ascii="Arial" w:eastAsia="Times New Roman" w:hAnsi="Arial" w:cs="Arial"/>
          <w:sz w:val="20"/>
          <w:szCs w:val="20"/>
        </w:rPr>
        <w:t xml:space="preserve">(1), 261–273. </w:t>
      </w:r>
      <w:hyperlink r:id="rId37" w:history="1">
        <w:r w:rsidRPr="00E76716">
          <w:rPr>
            <w:rStyle w:val="Hyperlink"/>
            <w:rFonts w:ascii="Arial" w:eastAsia="Times New Roman" w:hAnsi="Arial" w:cs="Arial"/>
            <w:sz w:val="20"/>
            <w:szCs w:val="20"/>
          </w:rPr>
          <w:t>https://doi.org/10.1111/inm.12804</w:t>
        </w:r>
      </w:hyperlink>
    </w:p>
    <w:p w14:paraId="6279C285"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Saunders, R., Buckman, J. E., Cape, J., Fearon, P., Leibowitz, J., &amp; Pilling, S. (2019).</w:t>
      </w:r>
      <w:r w:rsidRPr="00E76716">
        <w:rPr>
          <w:rFonts w:ascii="Arial" w:eastAsia="Times New Roman" w:hAnsi="Arial" w:cs="Arial"/>
          <w:sz w:val="20"/>
          <w:szCs w:val="20"/>
        </w:rPr>
        <w:t xml:space="preserve"> Trajectories of depression and anxiety symptom change during psychological therapy. </w:t>
      </w:r>
      <w:r w:rsidRPr="00E76716">
        <w:rPr>
          <w:rFonts w:ascii="Arial" w:eastAsia="Times New Roman" w:hAnsi="Arial" w:cs="Arial"/>
          <w:i/>
          <w:iCs/>
          <w:sz w:val="20"/>
          <w:szCs w:val="20"/>
        </w:rPr>
        <w:t>Journal of Affective Disorders, 249</w:t>
      </w:r>
      <w:r w:rsidRPr="00E76716">
        <w:rPr>
          <w:rFonts w:ascii="Arial" w:eastAsia="Times New Roman" w:hAnsi="Arial" w:cs="Arial"/>
          <w:sz w:val="20"/>
          <w:szCs w:val="20"/>
        </w:rPr>
        <w:t xml:space="preserve">, 327–335. </w:t>
      </w:r>
      <w:hyperlink r:id="rId38" w:history="1">
        <w:r w:rsidRPr="00E76716">
          <w:rPr>
            <w:rStyle w:val="Hyperlink"/>
            <w:rFonts w:ascii="Arial" w:eastAsia="Times New Roman" w:hAnsi="Arial" w:cs="Arial"/>
            <w:sz w:val="20"/>
            <w:szCs w:val="20"/>
          </w:rPr>
          <w:t>https://doi.org/10.1016/j.jad.2019.02.038</w:t>
        </w:r>
      </w:hyperlink>
    </w:p>
    <w:p w14:paraId="74286286"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Schwebel, F. J., &amp; Orban, D. G. (2023).</w:t>
      </w:r>
      <w:r w:rsidRPr="00E76716">
        <w:rPr>
          <w:rFonts w:ascii="Arial" w:eastAsia="Times New Roman" w:hAnsi="Arial" w:cs="Arial"/>
          <w:sz w:val="20"/>
          <w:szCs w:val="20"/>
        </w:rPr>
        <w:t xml:space="preserve"> Online support for all: Examining participant characteristics, engagement, and perceived benefits of an online harm reduction, abstinence, and moderation focused support group for alcohol and other drugs. </w:t>
      </w:r>
      <w:r w:rsidRPr="00E76716">
        <w:rPr>
          <w:rFonts w:ascii="Arial" w:eastAsia="Times New Roman" w:hAnsi="Arial" w:cs="Arial"/>
          <w:i/>
          <w:iCs/>
          <w:sz w:val="20"/>
          <w:szCs w:val="20"/>
        </w:rPr>
        <w:t>Psychology of Addictive Behaviors, 37</w:t>
      </w:r>
      <w:r w:rsidRPr="00E76716">
        <w:rPr>
          <w:rFonts w:ascii="Arial" w:eastAsia="Times New Roman" w:hAnsi="Arial" w:cs="Arial"/>
          <w:sz w:val="20"/>
          <w:szCs w:val="20"/>
        </w:rPr>
        <w:t xml:space="preserve">(2), 228–239. </w:t>
      </w:r>
      <w:hyperlink r:id="rId39" w:history="1">
        <w:r w:rsidRPr="00E76716">
          <w:rPr>
            <w:rStyle w:val="Hyperlink"/>
            <w:rFonts w:ascii="Arial" w:eastAsia="Times New Roman" w:hAnsi="Arial" w:cs="Arial"/>
            <w:sz w:val="20"/>
            <w:szCs w:val="20"/>
          </w:rPr>
          <w:t>https://doi.org/10.1037/adb0000869</w:t>
        </w:r>
      </w:hyperlink>
    </w:p>
    <w:p w14:paraId="4C589255"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Shorey, S., &amp; Chua, J. Y. X. (2023</w:t>
      </w:r>
      <w:r w:rsidRPr="00E76716">
        <w:rPr>
          <w:rFonts w:ascii="Arial" w:eastAsia="Times New Roman" w:hAnsi="Arial" w:cs="Arial"/>
          <w:b/>
          <w:bCs/>
          <w:sz w:val="20"/>
          <w:szCs w:val="20"/>
        </w:rPr>
        <w:t>).</w:t>
      </w:r>
      <w:r w:rsidRPr="00E76716">
        <w:rPr>
          <w:rFonts w:ascii="Arial" w:eastAsia="Times New Roman" w:hAnsi="Arial" w:cs="Arial"/>
          <w:sz w:val="20"/>
          <w:szCs w:val="20"/>
        </w:rPr>
        <w:t xml:space="preserve"> Effectiveness of peer support interventions for adults with depressive symptoms: A systematic review and meta-analysis. </w:t>
      </w:r>
      <w:r w:rsidRPr="00E76716">
        <w:rPr>
          <w:rFonts w:ascii="Arial" w:eastAsia="Times New Roman" w:hAnsi="Arial" w:cs="Arial"/>
          <w:i/>
          <w:iCs/>
          <w:sz w:val="20"/>
          <w:szCs w:val="20"/>
        </w:rPr>
        <w:t>Journal of Mental Health, 32</w:t>
      </w:r>
      <w:r w:rsidRPr="00E76716">
        <w:rPr>
          <w:rFonts w:ascii="Arial" w:eastAsia="Times New Roman" w:hAnsi="Arial" w:cs="Arial"/>
          <w:sz w:val="20"/>
          <w:szCs w:val="20"/>
        </w:rPr>
        <w:t xml:space="preserve">(2), 465–479. </w:t>
      </w:r>
      <w:hyperlink r:id="rId40" w:history="1">
        <w:r w:rsidRPr="00E76716">
          <w:rPr>
            <w:rStyle w:val="Hyperlink"/>
            <w:rFonts w:ascii="Arial" w:eastAsia="Times New Roman" w:hAnsi="Arial" w:cs="Arial"/>
            <w:sz w:val="20"/>
            <w:szCs w:val="20"/>
          </w:rPr>
          <w:t>https://doi.org/10.1080/09638237.2022.2095861</w:t>
        </w:r>
      </w:hyperlink>
    </w:p>
    <w:p w14:paraId="7CF2B731"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Simmons, M. B., Grace, D., Fava, N. J., Coates, D., Dimopoulos-Bick, T., Batchelor, S., ... &amp; Montague, A. E. (2020).</w:t>
      </w:r>
      <w:r w:rsidRPr="00E76716">
        <w:rPr>
          <w:rFonts w:ascii="Arial" w:eastAsia="Times New Roman" w:hAnsi="Arial" w:cs="Arial"/>
          <w:sz w:val="20"/>
          <w:szCs w:val="20"/>
        </w:rPr>
        <w:t xml:space="preserve"> The experiences of youth mental health peer workers over time: A qualitative study with longitudinal analysis. </w:t>
      </w:r>
      <w:r w:rsidRPr="00E76716">
        <w:rPr>
          <w:rFonts w:ascii="Arial" w:eastAsia="Times New Roman" w:hAnsi="Arial" w:cs="Arial"/>
          <w:i/>
          <w:iCs/>
          <w:sz w:val="20"/>
          <w:szCs w:val="20"/>
        </w:rPr>
        <w:t>Community Mental Health Journal, 56</w:t>
      </w:r>
      <w:r w:rsidRPr="00E76716">
        <w:rPr>
          <w:rFonts w:ascii="Arial" w:eastAsia="Times New Roman" w:hAnsi="Arial" w:cs="Arial"/>
          <w:sz w:val="20"/>
          <w:szCs w:val="20"/>
        </w:rPr>
        <w:t xml:space="preserve">(5), 906–914. </w:t>
      </w:r>
      <w:hyperlink r:id="rId41" w:history="1">
        <w:r w:rsidRPr="00E76716">
          <w:rPr>
            <w:rStyle w:val="Hyperlink"/>
            <w:rFonts w:ascii="Arial" w:eastAsia="Times New Roman" w:hAnsi="Arial" w:cs="Arial"/>
            <w:sz w:val="20"/>
            <w:szCs w:val="20"/>
          </w:rPr>
          <w:t>https://doi.org/10.1007/s10597-020-00562-2</w:t>
        </w:r>
      </w:hyperlink>
    </w:p>
    <w:p w14:paraId="066ADDB9"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Smit, D., Miguel, C., Vrijsen, J. N., Groeneweg, B., Spijker, J., &amp; Cuijpers, P. (2023).</w:t>
      </w:r>
      <w:r w:rsidRPr="00E76716">
        <w:rPr>
          <w:rFonts w:ascii="Arial" w:eastAsia="Times New Roman" w:hAnsi="Arial" w:cs="Arial"/>
          <w:sz w:val="20"/>
          <w:szCs w:val="20"/>
        </w:rPr>
        <w:t xml:space="preserve"> The effectiveness of peer support for individuals with mental illness: Systematic review and meta-analysis. </w:t>
      </w:r>
      <w:r w:rsidRPr="00E76716">
        <w:rPr>
          <w:rFonts w:ascii="Arial" w:eastAsia="Times New Roman" w:hAnsi="Arial" w:cs="Arial"/>
          <w:i/>
          <w:iCs/>
          <w:sz w:val="20"/>
          <w:szCs w:val="20"/>
        </w:rPr>
        <w:t>Psychological Medicine, 53</w:t>
      </w:r>
      <w:r w:rsidRPr="00E76716">
        <w:rPr>
          <w:rFonts w:ascii="Arial" w:eastAsia="Times New Roman" w:hAnsi="Arial" w:cs="Arial"/>
          <w:sz w:val="20"/>
          <w:szCs w:val="20"/>
        </w:rPr>
        <w:t xml:space="preserve">(11), 5332–5341. </w:t>
      </w:r>
      <w:hyperlink r:id="rId42" w:history="1">
        <w:r w:rsidRPr="00E76716">
          <w:rPr>
            <w:rStyle w:val="Hyperlink"/>
            <w:rFonts w:ascii="Arial" w:eastAsia="Times New Roman" w:hAnsi="Arial" w:cs="Arial"/>
            <w:sz w:val="20"/>
            <w:szCs w:val="20"/>
          </w:rPr>
          <w:t>https://doi.org/10.1017/S0033291722002187</w:t>
        </w:r>
      </w:hyperlink>
    </w:p>
    <w:p w14:paraId="4CC8ACB1"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 xml:space="preserve">Sutton, K., Isaacs, A. N., Dalziel, K., &amp; </w:t>
      </w:r>
      <w:proofErr w:type="spellStart"/>
      <w:r w:rsidRPr="00E76716">
        <w:rPr>
          <w:rFonts w:ascii="Arial" w:eastAsia="Times New Roman" w:hAnsi="Arial" w:cs="Arial"/>
          <w:bCs/>
          <w:sz w:val="20"/>
          <w:szCs w:val="20"/>
        </w:rPr>
        <w:t>Maybery</w:t>
      </w:r>
      <w:proofErr w:type="spellEnd"/>
      <w:r w:rsidRPr="00E76716">
        <w:rPr>
          <w:rFonts w:ascii="Arial" w:eastAsia="Times New Roman" w:hAnsi="Arial" w:cs="Arial"/>
          <w:bCs/>
          <w:sz w:val="20"/>
          <w:szCs w:val="20"/>
        </w:rPr>
        <w:t>, D. (2017).</w:t>
      </w:r>
      <w:r w:rsidRPr="00E76716">
        <w:rPr>
          <w:rFonts w:ascii="Arial" w:eastAsia="Times New Roman" w:hAnsi="Arial" w:cs="Arial"/>
          <w:sz w:val="20"/>
          <w:szCs w:val="20"/>
        </w:rPr>
        <w:t xml:space="preserve"> Roles and competencies of the support facilitator in Australia’s recovery-oriented mental health initiative: A qualitative study from Gippsland, Victoria. </w:t>
      </w:r>
      <w:r w:rsidRPr="00E76716">
        <w:rPr>
          <w:rFonts w:ascii="Arial" w:eastAsia="Times New Roman" w:hAnsi="Arial" w:cs="Arial"/>
          <w:i/>
          <w:iCs/>
          <w:sz w:val="20"/>
          <w:szCs w:val="20"/>
        </w:rPr>
        <w:t>Australian Health Review, 41</w:t>
      </w:r>
      <w:r w:rsidRPr="00E76716">
        <w:rPr>
          <w:rFonts w:ascii="Arial" w:eastAsia="Times New Roman" w:hAnsi="Arial" w:cs="Arial"/>
          <w:sz w:val="20"/>
          <w:szCs w:val="20"/>
        </w:rPr>
        <w:t xml:space="preserve">(1), 91–97. </w:t>
      </w:r>
      <w:hyperlink r:id="rId43" w:history="1">
        <w:r w:rsidRPr="00E76716">
          <w:rPr>
            <w:rStyle w:val="Hyperlink"/>
            <w:rFonts w:ascii="Arial" w:eastAsia="Times New Roman" w:hAnsi="Arial" w:cs="Arial"/>
            <w:sz w:val="20"/>
            <w:szCs w:val="20"/>
          </w:rPr>
          <w:t>https://doi.org/10.1071/AH15205</w:t>
        </w:r>
      </w:hyperlink>
    </w:p>
    <w:p w14:paraId="4995DBC4"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Uddin, M. N., Bhar, S., &amp; Islam, A. (2019).</w:t>
      </w:r>
      <w:r w:rsidRPr="00E76716">
        <w:rPr>
          <w:rFonts w:ascii="Arial" w:eastAsia="Times New Roman" w:hAnsi="Arial" w:cs="Arial"/>
          <w:sz w:val="20"/>
          <w:szCs w:val="20"/>
        </w:rPr>
        <w:t xml:space="preserve"> An assessment of awareness of mental health conditions and its association with socio-demographic characteristics: A cross-sectional study in a rural district in Bangladesh. </w:t>
      </w:r>
      <w:r w:rsidRPr="00E76716">
        <w:rPr>
          <w:rFonts w:ascii="Arial" w:eastAsia="Times New Roman" w:hAnsi="Arial" w:cs="Arial"/>
          <w:i/>
          <w:iCs/>
          <w:sz w:val="20"/>
          <w:szCs w:val="20"/>
        </w:rPr>
        <w:t>BMC Health Services Research, 19</w:t>
      </w:r>
      <w:r w:rsidRPr="00E76716">
        <w:rPr>
          <w:rFonts w:ascii="Arial" w:eastAsia="Times New Roman" w:hAnsi="Arial" w:cs="Arial"/>
          <w:sz w:val="20"/>
          <w:szCs w:val="20"/>
        </w:rPr>
        <w:t xml:space="preserve">(1), 4385. </w:t>
      </w:r>
      <w:hyperlink r:id="rId44" w:history="1">
        <w:r w:rsidRPr="00E76716">
          <w:rPr>
            <w:rStyle w:val="Hyperlink"/>
            <w:rFonts w:ascii="Arial" w:eastAsia="Times New Roman" w:hAnsi="Arial" w:cs="Arial"/>
            <w:sz w:val="20"/>
            <w:szCs w:val="20"/>
          </w:rPr>
          <w:t>https://doi.org/10.1186/s12913-019-4385-6</w:t>
        </w:r>
      </w:hyperlink>
    </w:p>
    <w:p w14:paraId="151CC366"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 xml:space="preserve">Vos, T., Lim, S. S., </w:t>
      </w:r>
      <w:proofErr w:type="spellStart"/>
      <w:r w:rsidRPr="00E76716">
        <w:rPr>
          <w:rFonts w:ascii="Arial" w:eastAsia="Times New Roman" w:hAnsi="Arial" w:cs="Arial"/>
          <w:bCs/>
          <w:sz w:val="20"/>
          <w:szCs w:val="20"/>
        </w:rPr>
        <w:t>Abbafati</w:t>
      </w:r>
      <w:proofErr w:type="spellEnd"/>
      <w:r w:rsidRPr="00E76716">
        <w:rPr>
          <w:rFonts w:ascii="Arial" w:eastAsia="Times New Roman" w:hAnsi="Arial" w:cs="Arial"/>
          <w:bCs/>
          <w:sz w:val="20"/>
          <w:szCs w:val="20"/>
        </w:rPr>
        <w:t xml:space="preserve">, C., Abbas, K., Abbasi, M., </w:t>
      </w:r>
      <w:proofErr w:type="spellStart"/>
      <w:r w:rsidRPr="00E76716">
        <w:rPr>
          <w:rFonts w:ascii="Arial" w:eastAsia="Times New Roman" w:hAnsi="Arial" w:cs="Arial"/>
          <w:bCs/>
          <w:sz w:val="20"/>
          <w:szCs w:val="20"/>
        </w:rPr>
        <w:t>Abbasifard</w:t>
      </w:r>
      <w:proofErr w:type="spellEnd"/>
      <w:r w:rsidRPr="00E76716">
        <w:rPr>
          <w:rFonts w:ascii="Arial" w:eastAsia="Times New Roman" w:hAnsi="Arial" w:cs="Arial"/>
          <w:bCs/>
          <w:sz w:val="20"/>
          <w:szCs w:val="20"/>
        </w:rPr>
        <w:t>, M., et al. (2020).</w:t>
      </w:r>
      <w:r w:rsidRPr="00E76716">
        <w:rPr>
          <w:rFonts w:ascii="Arial" w:eastAsia="Times New Roman" w:hAnsi="Arial" w:cs="Arial"/>
          <w:sz w:val="20"/>
          <w:szCs w:val="20"/>
        </w:rPr>
        <w:t xml:space="preserve"> Global burden of 369 diseases and injuries in 204 countries and territories, 1990–2019: A systematic analysis for the Global Burden of Disease Study 2019. </w:t>
      </w:r>
      <w:r w:rsidRPr="00E76716">
        <w:rPr>
          <w:rFonts w:ascii="Arial" w:eastAsia="Times New Roman" w:hAnsi="Arial" w:cs="Arial"/>
          <w:i/>
          <w:iCs/>
          <w:sz w:val="20"/>
          <w:szCs w:val="20"/>
        </w:rPr>
        <w:t>The Lancet, 396</w:t>
      </w:r>
      <w:r w:rsidRPr="00E76716">
        <w:rPr>
          <w:rFonts w:ascii="Arial" w:eastAsia="Times New Roman" w:hAnsi="Arial" w:cs="Arial"/>
          <w:sz w:val="20"/>
          <w:szCs w:val="20"/>
        </w:rPr>
        <w:t xml:space="preserve">(10258), 1204–1222. </w:t>
      </w:r>
      <w:hyperlink r:id="rId45" w:history="1">
        <w:r w:rsidRPr="00E76716">
          <w:rPr>
            <w:rStyle w:val="Hyperlink"/>
            <w:rFonts w:ascii="Arial" w:eastAsia="Times New Roman" w:hAnsi="Arial" w:cs="Arial"/>
            <w:sz w:val="20"/>
            <w:szCs w:val="20"/>
          </w:rPr>
          <w:t>https://doi.org/10.1016/S0140-6736(20)30925-9</w:t>
        </w:r>
      </w:hyperlink>
    </w:p>
    <w:p w14:paraId="0B80E7B1"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lastRenderedPageBreak/>
        <w:t>World Health Organization. (2020).</w:t>
      </w:r>
      <w:r w:rsidRPr="00E76716">
        <w:rPr>
          <w:rFonts w:ascii="Arial" w:eastAsia="Times New Roman" w:hAnsi="Arial" w:cs="Arial"/>
          <w:sz w:val="20"/>
          <w:szCs w:val="20"/>
        </w:rPr>
        <w:t xml:space="preserve"> World Mental Health Day: An opportunity to kick-start a massive scale-up in investment in mental health. Geneva, Switzerland: WHO. </w:t>
      </w:r>
      <w:hyperlink r:id="rId46" w:history="1">
        <w:r w:rsidRPr="00E76716">
          <w:rPr>
            <w:rStyle w:val="Hyperlink"/>
            <w:rFonts w:ascii="Arial" w:eastAsia="Times New Roman" w:hAnsi="Arial" w:cs="Arial"/>
            <w:sz w:val="20"/>
            <w:szCs w:val="20"/>
          </w:rPr>
          <w:t>https://www.who.int/news/item/27-08-2020-world-mental-health-day-an-opportunity-to-kick-start-a-massive-scale-up-in-investment-in-mental-health</w:t>
        </w:r>
      </w:hyperlink>
    </w:p>
    <w:p w14:paraId="6B45174A"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World Health Organization. (2021).</w:t>
      </w:r>
      <w:r w:rsidRPr="00E76716">
        <w:rPr>
          <w:rFonts w:ascii="Arial" w:eastAsia="Times New Roman" w:hAnsi="Arial" w:cs="Arial"/>
          <w:sz w:val="20"/>
          <w:szCs w:val="20"/>
        </w:rPr>
        <w:t xml:space="preserve"> Information sheet: Premature death among people with severe mental disorders. Geneva, Switzerland: WHO. </w:t>
      </w:r>
      <w:hyperlink r:id="rId47" w:history="1">
        <w:r w:rsidRPr="00E76716">
          <w:rPr>
            <w:rStyle w:val="Hyperlink"/>
            <w:rFonts w:ascii="Arial" w:eastAsia="Times New Roman" w:hAnsi="Arial" w:cs="Arial"/>
            <w:sz w:val="20"/>
            <w:szCs w:val="20"/>
          </w:rPr>
          <w:t>https://www.who.int/mental_health/management/info_sheet.pdf</w:t>
        </w:r>
      </w:hyperlink>
    </w:p>
    <w:p w14:paraId="549B4F3E"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Worrall, H., Schweizer, R., Marks, E., Yuan, L., Lloyd, C., &amp; Ramjan, R. (2018a).</w:t>
      </w:r>
      <w:r w:rsidRPr="00E76716">
        <w:rPr>
          <w:rFonts w:ascii="Arial" w:eastAsia="Times New Roman" w:hAnsi="Arial" w:cs="Arial"/>
          <w:sz w:val="20"/>
          <w:szCs w:val="20"/>
        </w:rPr>
        <w:t xml:space="preserve"> The effectiveness of support groups: A literature review. </w:t>
      </w:r>
      <w:r w:rsidRPr="00E76716">
        <w:rPr>
          <w:rFonts w:ascii="Arial" w:eastAsia="Times New Roman" w:hAnsi="Arial" w:cs="Arial"/>
          <w:i/>
          <w:iCs/>
          <w:sz w:val="20"/>
          <w:szCs w:val="20"/>
        </w:rPr>
        <w:t>Mental Health and Social Inclusion, 22</w:t>
      </w:r>
      <w:r w:rsidRPr="00E76716">
        <w:rPr>
          <w:rFonts w:ascii="Arial" w:eastAsia="Times New Roman" w:hAnsi="Arial" w:cs="Arial"/>
          <w:sz w:val="20"/>
          <w:szCs w:val="20"/>
        </w:rPr>
        <w:t xml:space="preserve">(2), 85–93. </w:t>
      </w:r>
      <w:hyperlink r:id="rId48" w:history="1">
        <w:r w:rsidRPr="00E76716">
          <w:rPr>
            <w:rStyle w:val="Hyperlink"/>
            <w:rFonts w:ascii="Arial" w:eastAsia="Times New Roman" w:hAnsi="Arial" w:cs="Arial"/>
            <w:sz w:val="20"/>
            <w:szCs w:val="20"/>
          </w:rPr>
          <w:t>https://doi.org/10.1108/MHSI-12-2017-0052</w:t>
        </w:r>
      </w:hyperlink>
    </w:p>
    <w:p w14:paraId="653BE3F3" w14:textId="77777777" w:rsidR="00E76716" w:rsidRPr="00E76716" w:rsidRDefault="00E76716" w:rsidP="00E76716">
      <w:pPr>
        <w:pStyle w:val="ListParagraph"/>
        <w:numPr>
          <w:ilvl w:val="0"/>
          <w:numId w:val="34"/>
        </w:numPr>
        <w:spacing w:before="100" w:beforeAutospacing="1" w:after="100" w:afterAutospacing="1" w:line="240" w:lineRule="auto"/>
        <w:jc w:val="both"/>
        <w:rPr>
          <w:rFonts w:ascii="Arial" w:eastAsia="Times New Roman" w:hAnsi="Arial" w:cs="Arial"/>
          <w:sz w:val="20"/>
          <w:szCs w:val="20"/>
        </w:rPr>
      </w:pPr>
      <w:r w:rsidRPr="00E76716">
        <w:rPr>
          <w:rFonts w:ascii="Arial" w:eastAsia="Times New Roman" w:hAnsi="Arial" w:cs="Arial"/>
          <w:bCs/>
          <w:sz w:val="20"/>
          <w:szCs w:val="20"/>
        </w:rPr>
        <w:t>Worrall, H., Schweizer, R., Marks, E., Yuan, L., Lloyd, C., &amp; Ramjan, R. (2018b</w:t>
      </w:r>
      <w:r w:rsidRPr="00E76716">
        <w:rPr>
          <w:rFonts w:ascii="Arial" w:eastAsia="Times New Roman" w:hAnsi="Arial" w:cs="Arial"/>
          <w:b/>
          <w:bCs/>
          <w:sz w:val="20"/>
          <w:szCs w:val="20"/>
        </w:rPr>
        <w:t>).</w:t>
      </w:r>
      <w:r w:rsidRPr="00E76716">
        <w:rPr>
          <w:rFonts w:ascii="Arial" w:eastAsia="Times New Roman" w:hAnsi="Arial" w:cs="Arial"/>
          <w:sz w:val="20"/>
          <w:szCs w:val="20"/>
        </w:rPr>
        <w:t xml:space="preserve"> The effectiveness of support groups: A literature review. </w:t>
      </w:r>
      <w:r w:rsidRPr="00E76716">
        <w:rPr>
          <w:rFonts w:ascii="Arial" w:eastAsia="Times New Roman" w:hAnsi="Arial" w:cs="Arial"/>
          <w:i/>
          <w:iCs/>
          <w:sz w:val="20"/>
          <w:szCs w:val="20"/>
        </w:rPr>
        <w:t>Faculty of Science, Medicine and Health – Papers: Part A, 5441</w:t>
      </w:r>
      <w:r w:rsidRPr="00E76716">
        <w:rPr>
          <w:rFonts w:ascii="Arial" w:eastAsia="Times New Roman" w:hAnsi="Arial" w:cs="Arial"/>
          <w:sz w:val="20"/>
          <w:szCs w:val="20"/>
        </w:rPr>
        <w:t xml:space="preserve">. University of Wollongong. </w:t>
      </w:r>
      <w:hyperlink r:id="rId49" w:history="1">
        <w:r w:rsidRPr="00E76716">
          <w:rPr>
            <w:rStyle w:val="Hyperlink"/>
            <w:rFonts w:ascii="Arial" w:eastAsia="Times New Roman" w:hAnsi="Arial" w:cs="Arial"/>
            <w:sz w:val="20"/>
            <w:szCs w:val="20"/>
          </w:rPr>
          <w:t>https://ro.uow.edu.au/smhpapers/5441</w:t>
        </w:r>
      </w:hyperlink>
    </w:p>
    <w:p w14:paraId="45A4C6BB" w14:textId="77777777" w:rsidR="00441B6F" w:rsidRDefault="00441B6F" w:rsidP="00441B6F">
      <w:pPr>
        <w:pStyle w:val="Body"/>
        <w:spacing w:after="0"/>
        <w:jc w:val="left"/>
        <w:rPr>
          <w:rFonts w:ascii="Arial" w:hAnsi="Arial" w:cs="Arial"/>
        </w:rPr>
      </w:pPr>
    </w:p>
    <w:p w14:paraId="5D68CB86" w14:textId="77777777" w:rsidR="00B01FCD" w:rsidRPr="00FB3A86" w:rsidRDefault="00B01FCD" w:rsidP="00441B6F">
      <w:pPr>
        <w:pStyle w:val="Reference"/>
        <w:numPr>
          <w:ilvl w:val="0"/>
          <w:numId w:val="0"/>
        </w:numPr>
        <w:spacing w:line="240" w:lineRule="auto"/>
        <w:rPr>
          <w:rFonts w:ascii="Arial" w:hAnsi="Arial" w:cs="Arial"/>
        </w:rPr>
      </w:pPr>
    </w:p>
    <w:p w14:paraId="7295BA46" w14:textId="77777777" w:rsidR="00790ADA" w:rsidRPr="00FB3A86" w:rsidRDefault="00790ADA" w:rsidP="00441B6F">
      <w:pPr>
        <w:pStyle w:val="Body"/>
        <w:spacing w:after="0"/>
        <w:rPr>
          <w:rFonts w:ascii="Arial" w:hAnsi="Arial" w:cs="Arial"/>
        </w:rPr>
      </w:pPr>
    </w:p>
    <w:p w14:paraId="7518061D" w14:textId="06749E27" w:rsidR="004D4277" w:rsidRPr="00FB3A86" w:rsidRDefault="004D4277" w:rsidP="00441B6F">
      <w:pPr>
        <w:pStyle w:val="Appendix"/>
        <w:spacing w:after="0"/>
        <w:jc w:val="both"/>
        <w:rPr>
          <w:rFonts w:ascii="Arial" w:hAnsi="Arial" w:cs="Arial"/>
          <w:b w:val="0"/>
        </w:rPr>
        <w:sectPr w:rsidR="004D4277" w:rsidRPr="00FB3A86" w:rsidSect="00164769">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pPr>
    </w:p>
    <w:p w14:paraId="35AF7BF3" w14:textId="77777777" w:rsidR="00B01FCD" w:rsidRPr="00FB3A86" w:rsidRDefault="00B01FCD" w:rsidP="00441B6F">
      <w:pPr>
        <w:pStyle w:val="Appendix"/>
        <w:spacing w:after="0"/>
        <w:jc w:val="both"/>
        <w:rPr>
          <w:rFonts w:ascii="Arial" w:hAnsi="Arial" w:cs="Arial"/>
          <w:b w:val="0"/>
        </w:rPr>
      </w:pPr>
    </w:p>
    <w:sectPr w:rsidR="00B01FCD" w:rsidRPr="00FB3A86" w:rsidSect="001647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92C1D" w14:textId="77777777" w:rsidR="00377C44" w:rsidRDefault="00377C44" w:rsidP="00C37E61">
      <w:r>
        <w:separator/>
      </w:r>
    </w:p>
  </w:endnote>
  <w:endnote w:type="continuationSeparator" w:id="0">
    <w:p w14:paraId="13D27358" w14:textId="77777777" w:rsidR="00377C44" w:rsidRDefault="00377C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93CF" w14:textId="77777777" w:rsidR="00164769" w:rsidRDefault="00164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DC670" w14:textId="77777777" w:rsidR="00164769" w:rsidRDefault="00164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695C" w14:textId="77777777" w:rsidR="009E048A" w:rsidRDefault="009E048A">
    <w:pPr>
      <w:pStyle w:val="Footer"/>
      <w:rPr>
        <w:rFonts w:ascii="Arial" w:hAnsi="Arial" w:cs="Arial"/>
        <w:sz w:val="16"/>
      </w:rPr>
    </w:pPr>
  </w:p>
  <w:p w14:paraId="7A79D5A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F070D03" w14:textId="77777777" w:rsidR="009E048A" w:rsidRDefault="009E048A">
    <w:pPr>
      <w:pStyle w:val="Footer"/>
      <w:rPr>
        <w:rFonts w:ascii="Arial" w:hAnsi="Arial" w:cs="Arial"/>
        <w:sz w:val="16"/>
      </w:rPr>
    </w:pPr>
  </w:p>
  <w:p w14:paraId="3C8B0AB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63B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62D58" w14:textId="77777777" w:rsidR="00377C44" w:rsidRDefault="00377C44" w:rsidP="00C37E61">
      <w:r>
        <w:separator/>
      </w:r>
    </w:p>
  </w:footnote>
  <w:footnote w:type="continuationSeparator" w:id="0">
    <w:p w14:paraId="12D29304" w14:textId="77777777" w:rsidR="00377C44" w:rsidRDefault="00377C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A38FB" w14:textId="573636CA" w:rsidR="00164769" w:rsidRDefault="00164769">
    <w:pPr>
      <w:pStyle w:val="Header"/>
    </w:pPr>
    <w:r>
      <w:rPr>
        <w:noProof/>
      </w:rPr>
      <w:pict w14:anchorId="6E9B4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5588" w14:textId="734C97AC" w:rsidR="00164769" w:rsidRDefault="00164769">
    <w:pPr>
      <w:pStyle w:val="Header"/>
    </w:pPr>
    <w:r>
      <w:rPr>
        <w:noProof/>
      </w:rPr>
      <w:pict w14:anchorId="50A55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E781C" w14:textId="1556BE49" w:rsidR="00296529" w:rsidRPr="00296529" w:rsidRDefault="00164769" w:rsidP="00296529">
    <w:pPr>
      <w:ind w:left="2160"/>
      <w:jc w:val="center"/>
      <w:rPr>
        <w:rFonts w:ascii="Times New Roman" w:eastAsia="Calibri" w:hAnsi="Times New Roman"/>
        <w:i/>
        <w:sz w:val="18"/>
        <w:szCs w:val="22"/>
      </w:rPr>
    </w:pPr>
    <w:r>
      <w:rPr>
        <w:noProof/>
      </w:rPr>
      <w:pict w14:anchorId="1F803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02835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75912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4E32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E2EF1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FA50E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FF16E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6EF5" w14:textId="129F4B30" w:rsidR="00164769" w:rsidRDefault="00164769">
    <w:pPr>
      <w:pStyle w:val="Header"/>
    </w:pPr>
    <w:r>
      <w:rPr>
        <w:noProof/>
      </w:rPr>
      <w:pict w14:anchorId="30B45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8C4A" w14:textId="28986BB6" w:rsidR="00164769" w:rsidRDefault="00164769">
    <w:pPr>
      <w:pStyle w:val="Header"/>
    </w:pPr>
    <w:r>
      <w:rPr>
        <w:noProof/>
      </w:rPr>
      <w:pict w14:anchorId="3D5CB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831D" w14:textId="06B62719" w:rsidR="00164769" w:rsidRDefault="00164769">
    <w:pPr>
      <w:pStyle w:val="Header"/>
    </w:pPr>
    <w:r>
      <w:rPr>
        <w:noProof/>
      </w:rPr>
      <w:pict w14:anchorId="67AD8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760866"/>
    <w:multiLevelType w:val="multilevel"/>
    <w:tmpl w:val="E7CCFCB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1B6834"/>
    <w:multiLevelType w:val="multilevel"/>
    <w:tmpl w:val="B8005BCC"/>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A75965"/>
    <w:multiLevelType w:val="hybridMultilevel"/>
    <w:tmpl w:val="6866A5AC"/>
    <w:lvl w:ilvl="0" w:tplc="DAD246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0E62E1E"/>
    <w:multiLevelType w:val="multilevel"/>
    <w:tmpl w:val="6592FF0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16"/>
  </w:num>
  <w:num w:numId="33">
    <w:abstractNumId w:val="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0656"/>
    <w:rsid w:val="000E7B7B"/>
    <w:rsid w:val="000E7D62"/>
    <w:rsid w:val="00103357"/>
    <w:rsid w:val="00123C9F"/>
    <w:rsid w:val="00126190"/>
    <w:rsid w:val="00130F17"/>
    <w:rsid w:val="001320BF"/>
    <w:rsid w:val="00163BC4"/>
    <w:rsid w:val="00164769"/>
    <w:rsid w:val="00191062"/>
    <w:rsid w:val="00192B72"/>
    <w:rsid w:val="001A077A"/>
    <w:rsid w:val="001A29D8"/>
    <w:rsid w:val="001A5CAA"/>
    <w:rsid w:val="001B0427"/>
    <w:rsid w:val="001C3A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9C1"/>
    <w:rsid w:val="00315186"/>
    <w:rsid w:val="0033343E"/>
    <w:rsid w:val="003512C2"/>
    <w:rsid w:val="00371FB6"/>
    <w:rsid w:val="003763C1"/>
    <w:rsid w:val="00376BBE"/>
    <w:rsid w:val="00377C44"/>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1EDD"/>
    <w:rsid w:val="004539DB"/>
    <w:rsid w:val="00471A80"/>
    <w:rsid w:val="004D305E"/>
    <w:rsid w:val="004D4277"/>
    <w:rsid w:val="00502516"/>
    <w:rsid w:val="00505F06"/>
    <w:rsid w:val="00506828"/>
    <w:rsid w:val="0053056E"/>
    <w:rsid w:val="00554FDA"/>
    <w:rsid w:val="00556BA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249"/>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6C57"/>
    <w:rsid w:val="008E13AE"/>
    <w:rsid w:val="008E1506"/>
    <w:rsid w:val="008E710C"/>
    <w:rsid w:val="008F69D6"/>
    <w:rsid w:val="00902823"/>
    <w:rsid w:val="009052C9"/>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24C9"/>
    <w:rsid w:val="00A94063"/>
    <w:rsid w:val="00AA6219"/>
    <w:rsid w:val="00AA74E0"/>
    <w:rsid w:val="00AB703F"/>
    <w:rsid w:val="00AC6BB8"/>
    <w:rsid w:val="00AE008F"/>
    <w:rsid w:val="00B01FCD"/>
    <w:rsid w:val="00B1776C"/>
    <w:rsid w:val="00B52583"/>
    <w:rsid w:val="00B52896"/>
    <w:rsid w:val="00B9067D"/>
    <w:rsid w:val="00B95236"/>
    <w:rsid w:val="00B96BD9"/>
    <w:rsid w:val="00BA1B01"/>
    <w:rsid w:val="00BA2641"/>
    <w:rsid w:val="00BB37AA"/>
    <w:rsid w:val="00BC53A0"/>
    <w:rsid w:val="00BE62AD"/>
    <w:rsid w:val="00BE715C"/>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069E"/>
    <w:rsid w:val="00D74CB0"/>
    <w:rsid w:val="00D8295D"/>
    <w:rsid w:val="00DC2A65"/>
    <w:rsid w:val="00DE15F0"/>
    <w:rsid w:val="00DE5663"/>
    <w:rsid w:val="00DE78AA"/>
    <w:rsid w:val="00E053D0"/>
    <w:rsid w:val="00E15994"/>
    <w:rsid w:val="00E271D9"/>
    <w:rsid w:val="00E3114E"/>
    <w:rsid w:val="00E31A70"/>
    <w:rsid w:val="00E35B02"/>
    <w:rsid w:val="00E66496"/>
    <w:rsid w:val="00E66B35"/>
    <w:rsid w:val="00E66E10"/>
    <w:rsid w:val="00E76716"/>
    <w:rsid w:val="00E769F6"/>
    <w:rsid w:val="00E8407C"/>
    <w:rsid w:val="00E84F3C"/>
    <w:rsid w:val="00EA012C"/>
    <w:rsid w:val="00EC6A55"/>
    <w:rsid w:val="00ED0288"/>
    <w:rsid w:val="00EE52CB"/>
    <w:rsid w:val="00EF581D"/>
    <w:rsid w:val="00EF7FD8"/>
    <w:rsid w:val="00F06F59"/>
    <w:rsid w:val="00F17988"/>
    <w:rsid w:val="00F46341"/>
    <w:rsid w:val="00F469F0"/>
    <w:rsid w:val="00F53273"/>
    <w:rsid w:val="00F554D6"/>
    <w:rsid w:val="00F755E4"/>
    <w:rsid w:val="00F77D02"/>
    <w:rsid w:val="00FB3A86"/>
    <w:rsid w:val="00FD26DD"/>
    <w:rsid w:val="00FD36C8"/>
    <w:rsid w:val="00FE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F5DC0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C3A2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1C3A2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C3A27"/>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1C3A2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C3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S2214-109X(22)00429-6" TargetMode="External"/><Relationship Id="rId26" Type="http://schemas.openxmlformats.org/officeDocument/2006/relationships/hyperlink" Target="https://doi.org/10.1007/978-3-030-12544-2_10" TargetMode="External"/><Relationship Id="rId39" Type="http://schemas.openxmlformats.org/officeDocument/2006/relationships/hyperlink" Target="https://doi.org/10.1037/adb0000869" TargetMode="External"/><Relationship Id="rId21" Type="http://schemas.openxmlformats.org/officeDocument/2006/relationships/hyperlink" Target="https://doi.org/10.1186/s12888-016-0820-5" TargetMode="External"/><Relationship Id="rId34" Type="http://schemas.openxmlformats.org/officeDocument/2006/relationships/hyperlink" Target="https://doi.org/10.1017/gmh.2021.21" TargetMode="External"/><Relationship Id="rId42" Type="http://schemas.openxmlformats.org/officeDocument/2006/relationships/hyperlink" Target="https://doi.org/10.1017/S0033291722002187" TargetMode="External"/><Relationship Id="rId47" Type="http://schemas.openxmlformats.org/officeDocument/2006/relationships/hyperlink" Target="https://www.who.int/mental_health/management/info_sheet.pdf"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36/bmjopen-2016-013325" TargetMode="External"/><Relationship Id="rId29" Type="http://schemas.openxmlformats.org/officeDocument/2006/relationships/hyperlink" Target="https://doi.org/10.1186/s13033-022-00526-x" TargetMode="External"/><Relationship Id="rId11" Type="http://schemas.openxmlformats.org/officeDocument/2006/relationships/footer" Target="footer2.xml"/><Relationship Id="rId24" Type="http://schemas.openxmlformats.org/officeDocument/2006/relationships/hyperlink" Target="https://doi.org/10.1111/eip.13245" TargetMode="External"/><Relationship Id="rId32" Type="http://schemas.openxmlformats.org/officeDocument/2006/relationships/hyperlink" Target="https://doi.org/10.1186/s13033-020-00360-z" TargetMode="External"/><Relationship Id="rId37" Type="http://schemas.openxmlformats.org/officeDocument/2006/relationships/hyperlink" Target="https://doi.org/10.1111/inm.12804" TargetMode="External"/><Relationship Id="rId40" Type="http://schemas.openxmlformats.org/officeDocument/2006/relationships/hyperlink" Target="https://doi.org/10.1080/09638237.2022.2095861" TargetMode="External"/><Relationship Id="rId45" Type="http://schemas.openxmlformats.org/officeDocument/2006/relationships/hyperlink" Target="https://doi.org/10.1016/S0140-6736(20)30925-9"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16/j.pec.2017.01.015" TargetMode="External"/><Relationship Id="rId31" Type="http://schemas.openxmlformats.org/officeDocument/2006/relationships/hyperlink" Target="https://doi.org/10.46827/ejphs.v6i1.1683" TargetMode="External"/><Relationship Id="rId44" Type="http://schemas.openxmlformats.org/officeDocument/2006/relationships/hyperlink" Target="https://doi.org/10.1186/s12913-019-4385-6"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1/2025.09" TargetMode="External"/><Relationship Id="rId22" Type="http://schemas.openxmlformats.org/officeDocument/2006/relationships/hyperlink" Target="https://doi.org/10.1001/jamapsychiatry.2014.112" TargetMode="External"/><Relationship Id="rId27" Type="http://schemas.openxmlformats.org/officeDocument/2006/relationships/hyperlink" Target="https://doi.org/10.1111/jhn.12325" TargetMode="External"/><Relationship Id="rId30" Type="http://schemas.openxmlformats.org/officeDocument/2006/relationships/hyperlink" Target="https://doi.org/10.1080/14461242.2015.1037380" TargetMode="External"/><Relationship Id="rId35" Type="http://schemas.openxmlformats.org/officeDocument/2006/relationships/hyperlink" Target="https://doi.org/10.1037/prj0000394" TargetMode="External"/><Relationship Id="rId43" Type="http://schemas.openxmlformats.org/officeDocument/2006/relationships/hyperlink" Target="https://doi.org/10.1071/AH15205" TargetMode="External"/><Relationship Id="rId48" Type="http://schemas.openxmlformats.org/officeDocument/2006/relationships/hyperlink" Target="https://doi.org/10.1108/MHSI-12-2017-0052"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77/0020764019879943" TargetMode="External"/><Relationship Id="rId25" Type="http://schemas.openxmlformats.org/officeDocument/2006/relationships/hyperlink" Target="https://doi.org/10.3390/ijerph15061279" TargetMode="External"/><Relationship Id="rId33" Type="http://schemas.openxmlformats.org/officeDocument/2006/relationships/hyperlink" Target="https://doi.org/10.20935/MHealthWellB8022" TargetMode="External"/><Relationship Id="rId38" Type="http://schemas.openxmlformats.org/officeDocument/2006/relationships/hyperlink" Target="https://doi.org/10.1016/j.jad.2019.02.038" TargetMode="External"/><Relationship Id="rId46" Type="http://schemas.openxmlformats.org/officeDocument/2006/relationships/hyperlink" Target="https://www.who.int/news/item/27-08-2020-world-mental-health-day-an-opportunity-to-kick-start-a-massive-scale-up-in-investment-in-mental-health" TargetMode="External"/><Relationship Id="rId20" Type="http://schemas.openxmlformats.org/officeDocument/2006/relationships/hyperlink" Target="https://doi.org/10.1186/s12888-024-05639-9" TargetMode="External"/><Relationship Id="rId41" Type="http://schemas.openxmlformats.org/officeDocument/2006/relationships/hyperlink" Target="https://doi.org/10.1007/s10597-020-00562-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2939-020-01223-2" TargetMode="External"/><Relationship Id="rId23" Type="http://schemas.openxmlformats.org/officeDocument/2006/relationships/hyperlink" Target="https://doi.org/10.1111/jep.13789" TargetMode="External"/><Relationship Id="rId28" Type="http://schemas.openxmlformats.org/officeDocument/2006/relationships/hyperlink" Target="https://doi.org/10.1186/s12888-021-03315-5" TargetMode="External"/><Relationship Id="rId36" Type="http://schemas.openxmlformats.org/officeDocument/2006/relationships/hyperlink" Target="https://doi.org/10.1371/journal.pgph.0005123" TargetMode="External"/><Relationship Id="rId49" Type="http://schemas.openxmlformats.org/officeDocument/2006/relationships/hyperlink" Target="https://ro.uow.edu.au/smhpapers/54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186E9-131B-4F93-9A7C-C9D8E89B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12</Pages>
  <Words>5321</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2026-04-07T22:05:00Z</dcterms:created>
  <dcterms:modified xsi:type="dcterms:W3CDTF">2026-04-08T13:07:00Z</dcterms:modified>
</cp:coreProperties>
</file>