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522E3" w14:textId="3F96A2CE" w:rsidR="00514450" w:rsidRDefault="00514450" w:rsidP="00514450">
      <w:pPr>
        <w:rPr>
          <w:rFonts w:ascii="Arial" w:hAnsi="Arial" w:cs="Arial"/>
          <w:b/>
          <w:bCs/>
          <w:sz w:val="36"/>
          <w:szCs w:val="36"/>
          <w:u w:val="single"/>
        </w:rPr>
      </w:pPr>
      <w:r w:rsidRPr="00514450">
        <w:rPr>
          <w:rFonts w:ascii="Arial" w:hAnsi="Arial" w:cs="Arial"/>
          <w:b/>
          <w:bCs/>
          <w:sz w:val="36"/>
          <w:szCs w:val="36"/>
          <w:u w:val="single"/>
        </w:rPr>
        <w:t>Original Research Article</w:t>
      </w:r>
    </w:p>
    <w:p w14:paraId="720835AB" w14:textId="77777777" w:rsidR="00514450" w:rsidRPr="00514450" w:rsidRDefault="00514450" w:rsidP="00514450">
      <w:pPr>
        <w:rPr>
          <w:rFonts w:ascii="Arial" w:hAnsi="Arial" w:cs="Arial"/>
          <w:b/>
          <w:bCs/>
          <w:sz w:val="36"/>
          <w:szCs w:val="36"/>
          <w:u w:val="single"/>
        </w:rPr>
      </w:pPr>
    </w:p>
    <w:p w14:paraId="0F2944A1" w14:textId="435FCC15" w:rsidR="00EE3FD5" w:rsidRDefault="00811C81">
      <w:pPr>
        <w:jc w:val="right"/>
        <w:rPr>
          <w:rFonts w:ascii="Arial" w:hAnsi="Arial" w:cs="Arial"/>
          <w:b/>
          <w:bCs/>
          <w:sz w:val="36"/>
          <w:szCs w:val="36"/>
        </w:rPr>
      </w:pPr>
      <w:r>
        <w:rPr>
          <w:rFonts w:ascii="Arial" w:hAnsi="Arial" w:cs="Arial"/>
          <w:b/>
          <w:bCs/>
          <w:sz w:val="36"/>
          <w:szCs w:val="36"/>
        </w:rPr>
        <w:t>Utilizing Data from Federal Neuro-Psychiatric Hospital Calabar to Assess Gender Specificity in Dementia Prevalence from January 2011 - December 2021</w:t>
      </w:r>
    </w:p>
    <w:p w14:paraId="3D3A7C5A" w14:textId="77777777" w:rsidR="00EE3FD5" w:rsidRDefault="00EE3FD5">
      <w:pPr>
        <w:pStyle w:val="Author"/>
        <w:spacing w:line="240" w:lineRule="auto"/>
        <w:rPr>
          <w:rFonts w:ascii="Arial" w:hAnsi="Arial" w:cs="Arial"/>
          <w:sz w:val="36"/>
          <w:szCs w:val="36"/>
        </w:rPr>
      </w:pPr>
    </w:p>
    <w:p w14:paraId="26C5A76D" w14:textId="77777777" w:rsidR="00EE3FD5" w:rsidRDefault="00EE3FD5">
      <w:pPr>
        <w:pStyle w:val="Affiliation"/>
        <w:spacing w:after="0" w:line="240" w:lineRule="auto"/>
        <w:jc w:val="both"/>
        <w:rPr>
          <w:rFonts w:ascii="Arial" w:hAnsi="Arial" w:cs="Arial"/>
        </w:rPr>
      </w:pPr>
    </w:p>
    <w:p w14:paraId="07B4DA97" w14:textId="77777777" w:rsidR="00EE3FD5" w:rsidRDefault="00EE3FD5">
      <w:pPr>
        <w:pStyle w:val="Affiliation"/>
        <w:spacing w:after="0" w:line="240" w:lineRule="auto"/>
        <w:jc w:val="both"/>
        <w:rPr>
          <w:rFonts w:ascii="Arial" w:hAnsi="Arial" w:cs="Arial"/>
        </w:rPr>
      </w:pPr>
    </w:p>
    <w:p w14:paraId="40328C1A" w14:textId="77777777" w:rsidR="00EE3FD5" w:rsidRDefault="00811C81">
      <w:pPr>
        <w:pStyle w:val="Copyright"/>
        <w:spacing w:after="0" w:line="240" w:lineRule="auto"/>
        <w:jc w:val="both"/>
        <w:rPr>
          <w:rFonts w:ascii="Arial" w:hAnsi="Arial" w:cs="Arial"/>
        </w:rPr>
        <w:sectPr w:rsidR="00EE3FD5" w:rsidSect="006F74CC">
          <w:headerReference w:type="even" r:id="rId8"/>
          <w:headerReference w:type="default" r:id="rId9"/>
          <w:footerReference w:type="even" r:id="rId10"/>
          <w:footerReference w:type="default" r:id="rId11"/>
          <w:headerReference w:type="first" r:id="rId12"/>
          <w:footerReference w:type="first" r:id="rId13"/>
          <w:pgSz w:w="12240" w:h="15840"/>
          <w:pgMar w:top="1440" w:right="424" w:bottom="2016" w:left="816" w:header="720" w:footer="1296" w:gutter="0"/>
          <w:cols w:space="720"/>
          <w:docGrid w:linePitch="272"/>
        </w:sectPr>
      </w:pPr>
      <w:r>
        <w:rPr>
          <w:rFonts w:ascii="Arial" w:hAnsi="Arial" w:cs="Arial"/>
          <w:noProof/>
        </w:rPr>
        <mc:AlternateContent>
          <mc:Choice Requires="wps">
            <w:drawing>
              <wp:inline distT="0" distB="0" distL="114300" distR="114300" wp14:anchorId="6367532B" wp14:editId="0DEE8139">
                <wp:extent cx="5303520" cy="0"/>
                <wp:effectExtent l="0" t="9525" r="11430" b="952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C343D45"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" strokeweight="1.5pt">
                <w10:anchorlock/>
              </v:shape>
            </w:pict>
          </mc:Fallback>
        </mc:AlternateContent>
      </w:r>
      <w:r>
        <w:rPr>
          <w:rFonts w:ascii="Arial" w:hAnsi="Arial" w:cs="Arial"/>
        </w:rPr>
        <w:t>.</w:t>
      </w:r>
    </w:p>
    <w:p w14:paraId="6E359297" w14:textId="77777777" w:rsidR="00EE3FD5" w:rsidRDefault="00811C81">
      <w:pPr>
        <w:pStyle w:val="AbstHead"/>
        <w:spacing w:after="0"/>
        <w:jc w:val="both"/>
        <w:rPr>
          <w:rFonts w:ascii="Arial" w:hAnsi="Arial" w:cs="Arial"/>
        </w:rPr>
      </w:pPr>
      <w:r>
        <w:rPr>
          <w:rFonts w:ascii="Arial" w:hAnsi="Arial" w:cs="Arial"/>
        </w:rPr>
        <w:t xml:space="preserve">ABSTRACT </w:t>
      </w:r>
    </w:p>
    <w:p w14:paraId="1845A032" w14:textId="77777777" w:rsidR="00EE3FD5" w:rsidRDefault="00EE3FD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E3FD5" w14:paraId="38396519" w14:textId="77777777">
        <w:tc>
          <w:tcPr>
            <w:tcW w:w="9576" w:type="dxa"/>
            <w:shd w:val="clear" w:color="auto" w:fill="F2F2F2"/>
          </w:tcPr>
          <w:p w14:paraId="421F6306" w14:textId="77777777" w:rsidR="00EE3FD5" w:rsidRDefault="00811C81">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szCs w:val="22"/>
              </w:rPr>
              <w:t xml:space="preserve">The aim of the study was to investigate the prevalence of dementia among patients in Calabar metropolis, from Federal Neuro-Psychiatric Hospital (2011-2021), Calabar, Cross River </w:t>
            </w:r>
            <w:proofErr w:type="gramStart"/>
            <w:r>
              <w:rPr>
                <w:rFonts w:ascii="Arial" w:eastAsia="Calibri" w:hAnsi="Arial"/>
                <w:szCs w:val="22"/>
              </w:rPr>
              <w:t>State.</w:t>
            </w:r>
            <w:r>
              <w:rPr>
                <w:rFonts w:ascii="Arial" w:eastAsia="Calibri" w:hAnsi="Arial" w:cs="Arial"/>
                <w:szCs w:val="22"/>
              </w:rPr>
              <w:t>.</w:t>
            </w:r>
            <w:proofErr w:type="gramEnd"/>
          </w:p>
          <w:p w14:paraId="4926B43F" w14:textId="77777777" w:rsidR="00EE3FD5" w:rsidRDefault="00811C81">
            <w:pPr>
              <w:pStyle w:val="Body"/>
              <w:spacing w:after="0"/>
              <w:rPr>
                <w:rFonts w:ascii="Arial" w:eastAsia="Calibri" w:hAnsi="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szCs w:val="22"/>
              </w:rPr>
              <w:t xml:space="preserve">The retrospective research design was adopted for the </w:t>
            </w:r>
            <w:r>
              <w:rPr>
                <w:rFonts w:ascii="Arial" w:eastAsia="Calibri" w:hAnsi="Arial"/>
                <w:szCs w:val="22"/>
              </w:rPr>
              <w:t>study. This was suitable to enable the review of the records of patients who had suffered from dementia in Federal Neuro-Psychiatric Hospital, Calabar, Cross River State from 2011 to 2021.</w:t>
            </w:r>
          </w:p>
          <w:p w14:paraId="6CDDB145" w14:textId="77777777" w:rsidR="00EE3FD5" w:rsidRDefault="00811C81">
            <w:pPr>
              <w:pStyle w:val="Body"/>
              <w:spacing w:after="0"/>
              <w:rPr>
                <w:rFonts w:ascii="Arial" w:eastAsia="Calibri" w:hAnsi="Arial" w:cs="Arial"/>
                <w:szCs w:val="22"/>
              </w:rPr>
            </w:pPr>
            <w:r>
              <w:rPr>
                <w:rFonts w:ascii="Arial" w:eastAsia="Calibri" w:hAnsi="Arial" w:cs="Arial"/>
                <w:b/>
                <w:szCs w:val="22"/>
              </w:rPr>
              <w:t xml:space="preserve">Place and Duration of Study: </w:t>
            </w:r>
            <w:r>
              <w:rPr>
                <w:rFonts w:ascii="Arial" w:eastAsia="Calibri" w:hAnsi="Arial"/>
                <w:szCs w:val="22"/>
              </w:rPr>
              <w:t>Federal Neuro-Psychiatric Hospital, Ca</w:t>
            </w:r>
            <w:r>
              <w:rPr>
                <w:rFonts w:ascii="Arial" w:eastAsia="Calibri" w:hAnsi="Arial"/>
                <w:szCs w:val="22"/>
              </w:rPr>
              <w:t>labar, Cross River State from</w:t>
            </w:r>
            <w:r>
              <w:rPr>
                <w:rFonts w:ascii="Arial" w:eastAsia="Calibri" w:hAnsi="Arial" w:cs="Arial"/>
                <w:szCs w:val="22"/>
              </w:rPr>
              <w:t xml:space="preserve"> 2011 to 2021.</w:t>
            </w:r>
          </w:p>
          <w:p w14:paraId="0FE6A2D9" w14:textId="77777777" w:rsidR="00EE3FD5" w:rsidRDefault="00811C81">
            <w:pPr>
              <w:pStyle w:val="Body"/>
              <w:spacing w:after="0"/>
              <w:rPr>
                <w:rFonts w:ascii="Arial" w:eastAsia="Calibri" w:hAnsi="Arial"/>
                <w:szCs w:val="22"/>
              </w:rPr>
            </w:pPr>
            <w:r>
              <w:rPr>
                <w:rFonts w:ascii="Arial" w:eastAsia="Calibri" w:hAnsi="Arial" w:cs="Arial"/>
                <w:b/>
                <w:bCs/>
                <w:szCs w:val="22"/>
              </w:rPr>
              <w:t xml:space="preserve">Methodology: </w:t>
            </w:r>
            <w:r>
              <w:rPr>
                <w:rFonts w:ascii="Arial" w:eastAsia="Calibri" w:hAnsi="Arial"/>
                <w:szCs w:val="22"/>
              </w:rPr>
              <w:t>A total of 195 medical records were extracted and used for the study. The target population of the study consisted of all the patients with dementia who had attended the Federal Neuro-Psychiatric Hos</w:t>
            </w:r>
            <w:r>
              <w:rPr>
                <w:rFonts w:ascii="Arial" w:eastAsia="Calibri" w:hAnsi="Arial"/>
                <w:szCs w:val="22"/>
              </w:rPr>
              <w:t xml:space="preserve">pital, Calabar, Cross River State from January 2011 to December 2021.The instrument for primary data collection was a validated checklist designed to retrieve data on: Section A: socio-demographic data of subjects and Section B: the prevalence of dementia </w:t>
            </w:r>
            <w:r>
              <w:rPr>
                <w:rFonts w:ascii="Arial" w:eastAsia="Calibri" w:hAnsi="Arial"/>
                <w:szCs w:val="22"/>
              </w:rPr>
              <w:t xml:space="preserve">in Federal Neuro-Psychiatric Hospital. </w:t>
            </w:r>
          </w:p>
          <w:p w14:paraId="1E021F33" w14:textId="77777777" w:rsidR="00EE3FD5" w:rsidRDefault="00811C81">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The percentage of the female patients with dementia (56.4%) were higher than males (43.6%) at the Federal Neuro-Psychiatric Hospital from 2011-2021. The age range of patients with the highest percentage (44.</w:t>
            </w:r>
            <w:r>
              <w:rPr>
                <w:rFonts w:ascii="Arial" w:eastAsia="Calibri" w:hAnsi="Arial"/>
                <w:szCs w:val="22"/>
              </w:rPr>
              <w:t>6%) of dementia from 2011 to 2021 was between 65 and 74 and the lowest was between 94 years and above. The percentage of the female patients with dementia (56.4%) were higher than males (43.6%) at the Federal Neuro-Psychiatric Hospital from 2011-2021.The p</w:t>
            </w:r>
            <w:r>
              <w:rPr>
                <w:rFonts w:ascii="Arial" w:eastAsia="Calibri" w:hAnsi="Arial"/>
                <w:szCs w:val="22"/>
              </w:rPr>
              <w:t>atients from Cross River state had the highest percentage (52.8%) while those from Anambra and Imo states had the lowest percentage (1.1%).</w:t>
            </w:r>
          </w:p>
          <w:p w14:paraId="52739C20" w14:textId="77777777" w:rsidR="00EE3FD5" w:rsidRDefault="00811C81">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The study showed that females were more predisposed to dementia than males within the Cross River popula</w:t>
            </w:r>
            <w:r>
              <w:rPr>
                <w:rFonts w:ascii="Arial" w:eastAsia="Calibri" w:hAnsi="Arial"/>
                <w:szCs w:val="22"/>
              </w:rPr>
              <w:t>tion of Nigeria.</w:t>
            </w:r>
          </w:p>
        </w:tc>
      </w:tr>
    </w:tbl>
    <w:p w14:paraId="0CE83206" w14:textId="77777777" w:rsidR="00EE3FD5" w:rsidRDefault="00EE3FD5">
      <w:pPr>
        <w:pStyle w:val="Body"/>
        <w:spacing w:after="0"/>
        <w:rPr>
          <w:rFonts w:ascii="Arial" w:hAnsi="Arial" w:cs="Arial"/>
          <w:i/>
        </w:rPr>
      </w:pPr>
    </w:p>
    <w:p w14:paraId="42D3BDA9" w14:textId="77777777" w:rsidR="00EE3FD5" w:rsidRDefault="00811C81">
      <w:pPr>
        <w:pStyle w:val="Body"/>
        <w:spacing w:after="0"/>
        <w:rPr>
          <w:rFonts w:ascii="Arial" w:hAnsi="Arial" w:cs="Arial"/>
          <w:i/>
        </w:rPr>
      </w:pPr>
      <w:r>
        <w:rPr>
          <w:rFonts w:ascii="Arial" w:hAnsi="Arial" w:cs="Arial"/>
          <w:i/>
        </w:rPr>
        <w:t xml:space="preserve">Keywords: </w:t>
      </w:r>
      <w:r>
        <w:rPr>
          <w:rFonts w:ascii="Arial" w:hAnsi="Arial"/>
          <w:i/>
        </w:rPr>
        <w:t>Dementia; gender specificity; neuro-psychiatry; Alzheimer’s disease, age specificity; mental health</w:t>
      </w:r>
    </w:p>
    <w:p w14:paraId="501FE00C" w14:textId="77777777" w:rsidR="00EE3FD5" w:rsidRDefault="00EE3FD5">
      <w:pPr>
        <w:pStyle w:val="Body"/>
        <w:spacing w:after="0"/>
        <w:rPr>
          <w:rFonts w:ascii="Arial" w:hAnsi="Arial" w:cs="Arial"/>
          <w:i/>
        </w:rPr>
      </w:pPr>
    </w:p>
    <w:p w14:paraId="71E31C86" w14:textId="77777777" w:rsidR="00EE3FD5" w:rsidRDefault="00811C81">
      <w:pPr>
        <w:pStyle w:val="AbstHead"/>
        <w:spacing w:after="0"/>
        <w:jc w:val="both"/>
        <w:rPr>
          <w:rFonts w:ascii="Arial" w:hAnsi="Arial" w:cs="Arial"/>
        </w:rPr>
      </w:pPr>
      <w:r>
        <w:rPr>
          <w:rFonts w:ascii="Arial" w:hAnsi="Arial" w:cs="Arial"/>
        </w:rPr>
        <w:t>1. INTRODUCTION</w:t>
      </w:r>
    </w:p>
    <w:p w14:paraId="30CA3DA9" w14:textId="77777777" w:rsidR="00EE3FD5" w:rsidRDefault="00EE3FD5">
      <w:pPr>
        <w:pStyle w:val="AbstHead"/>
        <w:spacing w:after="0"/>
        <w:jc w:val="both"/>
        <w:rPr>
          <w:rFonts w:ascii="Arial" w:hAnsi="Arial" w:cs="Arial"/>
        </w:rPr>
      </w:pPr>
    </w:p>
    <w:p w14:paraId="59AC5555" w14:textId="77777777" w:rsidR="00EE3FD5" w:rsidRDefault="00811C81">
      <w:pPr>
        <w:pStyle w:val="Body"/>
        <w:spacing w:after="0"/>
        <w:rPr>
          <w:rFonts w:ascii="Arial" w:hAnsi="Arial"/>
        </w:rPr>
      </w:pPr>
      <w:r>
        <w:rPr>
          <w:rFonts w:ascii="Arial" w:hAnsi="Arial"/>
        </w:rPr>
        <w:t>Dementia is known to be one of the major challenges of the century due to the enormous pathologies imposed on</w:t>
      </w:r>
      <w:r>
        <w:rPr>
          <w:rFonts w:ascii="Arial" w:hAnsi="Arial"/>
        </w:rPr>
        <w:t xml:space="preserve"> the health care system (</w:t>
      </w:r>
      <w:proofErr w:type="spellStart"/>
      <w:r>
        <w:rPr>
          <w:rFonts w:ascii="Arial" w:hAnsi="Arial"/>
        </w:rPr>
        <w:t>Budson</w:t>
      </w:r>
      <w:proofErr w:type="spellEnd"/>
      <w:r>
        <w:rPr>
          <w:rFonts w:ascii="Arial" w:hAnsi="Arial"/>
        </w:rPr>
        <w:t xml:space="preserve"> and Solomon, 2017). It is a significant public health issue because it is one of the most common diseases in the elderly and a major cause of disability and mortality in the aged population. The condition affects memory, thi</w:t>
      </w:r>
      <w:r>
        <w:rPr>
          <w:rFonts w:ascii="Arial" w:hAnsi="Arial"/>
        </w:rPr>
        <w:t>nking, comprehension, orientation, calculation, learning capacity, language and judgement. In 2020, an outstanding review increased the number of risk factors for dementia from nine to twelve. The three newly added risks are traumatic brain injury, air pol</w:t>
      </w:r>
      <w:r>
        <w:rPr>
          <w:rFonts w:ascii="Arial" w:hAnsi="Arial"/>
        </w:rPr>
        <w:t>lution and over-indulgence in alcohol. The other nine risk factors are high blood pressure, hearing loss, smoking, obesity, depression, lower levels of education, low social contact, inactivity and diabetes (Livingston et al., 2020). With increasing loss o</w:t>
      </w:r>
      <w:r>
        <w:rPr>
          <w:rFonts w:ascii="Arial" w:hAnsi="Arial"/>
        </w:rPr>
        <w:t xml:space="preserve">f function, a patient is gradually robbed of his or her independence. Patients with dementia usually survive seven to ten years after the onset of the symptoms (World Health Organization, </w:t>
      </w:r>
      <w:r>
        <w:rPr>
          <w:rFonts w:ascii="Arial" w:hAnsi="Arial"/>
        </w:rPr>
        <w:lastRenderedPageBreak/>
        <w:t>2022). The signs and symptoms of dementia are termed as the neuropsy</w:t>
      </w:r>
      <w:r>
        <w:rPr>
          <w:rFonts w:ascii="Arial" w:hAnsi="Arial"/>
        </w:rPr>
        <w:t xml:space="preserve">chiatric symptoms known as </w:t>
      </w:r>
      <w:proofErr w:type="spellStart"/>
      <w:r>
        <w:rPr>
          <w:rFonts w:ascii="Arial" w:hAnsi="Arial"/>
        </w:rPr>
        <w:t>behavioural</w:t>
      </w:r>
      <w:proofErr w:type="spellEnd"/>
      <w:r>
        <w:rPr>
          <w:rFonts w:ascii="Arial" w:hAnsi="Arial"/>
        </w:rPr>
        <w:t xml:space="preserve"> and psychological symptoms of dementia (Kales et al., 2015; Radue et al., 2019). </w:t>
      </w:r>
    </w:p>
    <w:p w14:paraId="43528F05" w14:textId="77777777" w:rsidR="00EE3FD5" w:rsidRDefault="00EE3FD5">
      <w:pPr>
        <w:pStyle w:val="Body"/>
        <w:spacing w:after="0"/>
        <w:rPr>
          <w:rFonts w:ascii="Arial" w:hAnsi="Arial"/>
        </w:rPr>
      </w:pPr>
    </w:p>
    <w:p w14:paraId="5145974B" w14:textId="77777777" w:rsidR="00EE3FD5" w:rsidRDefault="00811C81">
      <w:pPr>
        <w:pStyle w:val="Body"/>
        <w:spacing w:after="0"/>
        <w:rPr>
          <w:rFonts w:ascii="Arial" w:hAnsi="Arial"/>
        </w:rPr>
      </w:pPr>
      <w:r>
        <w:rPr>
          <w:rFonts w:ascii="Arial" w:hAnsi="Arial"/>
        </w:rPr>
        <w:t>The Diagnostic and Statistical Manual of Mental Disorders, Fifth Edition (DSM-5), has re-described dementia as a major neurocognitive disorder with varying degrees of severity and many causative sub-types. The most common type of dementia is Alzheimer’s di</w:t>
      </w:r>
      <w:r>
        <w:rPr>
          <w:rFonts w:ascii="Arial" w:hAnsi="Arial"/>
        </w:rPr>
        <w:t>sease. Other common types include vascular dementia, dementia with Lewy bodies, frontotemporal dementia and mixed dementia (World Health Organization, 2022).  By 2050, the number of people living with dementia is estimated to be over 150 million globally (</w:t>
      </w:r>
      <w:r>
        <w:rPr>
          <w:rFonts w:ascii="Arial" w:hAnsi="Arial"/>
        </w:rPr>
        <w:t>Arvanitakis et al., 2019). The prevalence of dementia differs in different world regions, ranging from 4.7% in Central Europe to 8.7% in North Africa/Middle East. Similarly, the prevalence in other regions is estimated to be between 5.6% and 7.6% (Nichols,</w:t>
      </w:r>
      <w:r>
        <w:rPr>
          <w:rFonts w:ascii="Arial" w:hAnsi="Arial"/>
        </w:rPr>
        <w:t xml:space="preserve"> 2022). An estimate of 58% of people with dementia are living in </w:t>
      </w:r>
      <w:proofErr w:type="gramStart"/>
      <w:r>
        <w:rPr>
          <w:rFonts w:ascii="Arial" w:hAnsi="Arial"/>
        </w:rPr>
        <w:t>low and middle income</w:t>
      </w:r>
      <w:proofErr w:type="gramEnd"/>
      <w:r>
        <w:rPr>
          <w:rFonts w:ascii="Arial" w:hAnsi="Arial"/>
        </w:rPr>
        <w:t xml:space="preserve"> countries (Weidner, 2023). The number of people living with dementia is estimated to double every 20 years. About 3% of people between the ages of 65-74 years have demen</w:t>
      </w:r>
      <w:r>
        <w:rPr>
          <w:rFonts w:ascii="Arial" w:hAnsi="Arial"/>
        </w:rPr>
        <w:t>tia, 19% between 75 and 84 and nearly half of those over 85 years of age (Prince et al. 2016).</w:t>
      </w:r>
    </w:p>
    <w:p w14:paraId="75CA0856" w14:textId="77777777" w:rsidR="00EE3FD5" w:rsidRDefault="00EE3FD5">
      <w:pPr>
        <w:pStyle w:val="Body"/>
        <w:spacing w:after="0"/>
        <w:rPr>
          <w:rFonts w:ascii="Arial" w:hAnsi="Arial"/>
        </w:rPr>
      </w:pPr>
    </w:p>
    <w:p w14:paraId="62AEC141" w14:textId="77777777" w:rsidR="00EE3FD5" w:rsidRDefault="00811C81">
      <w:pPr>
        <w:pStyle w:val="Body"/>
        <w:spacing w:after="0"/>
        <w:rPr>
          <w:rFonts w:ascii="Arial" w:hAnsi="Arial"/>
        </w:rPr>
      </w:pPr>
      <w:r>
        <w:rPr>
          <w:rFonts w:ascii="Arial" w:hAnsi="Arial"/>
        </w:rPr>
        <w:t>The documented country-specific dementia prevalence in sub-Saharan Africa (</w:t>
      </w:r>
      <w:proofErr w:type="spellStart"/>
      <w:r>
        <w:rPr>
          <w:rFonts w:ascii="Arial" w:hAnsi="Arial"/>
        </w:rPr>
        <w:t>sSA</w:t>
      </w:r>
      <w:proofErr w:type="spellEnd"/>
      <w:r>
        <w:rPr>
          <w:rFonts w:ascii="Arial" w:hAnsi="Arial"/>
        </w:rPr>
        <w:t>) ranges between 2% and 5% (</w:t>
      </w:r>
      <w:proofErr w:type="spellStart"/>
      <w:r>
        <w:rPr>
          <w:rFonts w:ascii="Arial" w:hAnsi="Arial"/>
        </w:rPr>
        <w:t>Mavrodaris</w:t>
      </w:r>
      <w:proofErr w:type="spellEnd"/>
      <w:r>
        <w:rPr>
          <w:rFonts w:ascii="Arial" w:hAnsi="Arial"/>
        </w:rPr>
        <w:t xml:space="preserve"> et al., 2013; George-Carey et al., 2015). A</w:t>
      </w:r>
      <w:r>
        <w:rPr>
          <w:rFonts w:ascii="Arial" w:hAnsi="Arial"/>
        </w:rPr>
        <w:t>lthough in most of these settings, dementia studies are relatively low. Consequently, the awareness and response to dementia is limited (Olayinka and Mbuyi, 2014). In Nigeria, several communities still link dementia to normal process of aging with many pat</w:t>
      </w:r>
      <w:r>
        <w:rPr>
          <w:rFonts w:ascii="Arial" w:hAnsi="Arial"/>
        </w:rPr>
        <w:t>ients stigmatized and abandoned due to the perception that their condition is beyond any medical intervention (Sanni and Adebayo, 2014). Thus, many of those affected, delay seeking medical care and endure poor outcomes (</w:t>
      </w:r>
      <w:proofErr w:type="spellStart"/>
      <w:r>
        <w:rPr>
          <w:rFonts w:ascii="Arial" w:hAnsi="Arial"/>
        </w:rPr>
        <w:t>Adeloye</w:t>
      </w:r>
      <w:proofErr w:type="spellEnd"/>
      <w:r>
        <w:rPr>
          <w:rFonts w:ascii="Arial" w:hAnsi="Arial"/>
        </w:rPr>
        <w:t xml:space="preserve"> et al., 2019). This is exace</w:t>
      </w:r>
      <w:r>
        <w:rPr>
          <w:rFonts w:ascii="Arial" w:hAnsi="Arial"/>
        </w:rPr>
        <w:t>rbated by access to good mental health care which partly results in high out-of-pocket expenses that only few can afford (Ogunniyi et al., 2013; Albanese et al., 2017).</w:t>
      </w:r>
    </w:p>
    <w:p w14:paraId="6538B7BF" w14:textId="77777777" w:rsidR="00EE3FD5" w:rsidRDefault="00EE3FD5">
      <w:pPr>
        <w:pStyle w:val="Body"/>
        <w:spacing w:after="0"/>
        <w:rPr>
          <w:rFonts w:ascii="Arial" w:hAnsi="Arial"/>
        </w:rPr>
      </w:pPr>
    </w:p>
    <w:p w14:paraId="4BEE121F" w14:textId="77777777" w:rsidR="00EE3FD5" w:rsidRDefault="00811C81">
      <w:pPr>
        <w:pStyle w:val="Body"/>
        <w:spacing w:after="0"/>
        <w:rPr>
          <w:rFonts w:ascii="Arial" w:hAnsi="Arial"/>
        </w:rPr>
      </w:pPr>
      <w:r>
        <w:rPr>
          <w:rFonts w:ascii="Arial" w:hAnsi="Arial"/>
        </w:rPr>
        <w:t>The Ibadan study of aging group by Ogunniyi et al. (2013), covering several parts of t</w:t>
      </w:r>
      <w:r>
        <w:rPr>
          <w:rFonts w:ascii="Arial" w:hAnsi="Arial"/>
        </w:rPr>
        <w:t xml:space="preserve">he South-West Nigeria is widely recognized as a leading research group on dementia in Nigeria. Over the last two decades, the group has contributed to the understanding of the burden of dementia in the South-West region. However, the remaining five of the </w:t>
      </w:r>
      <w:r>
        <w:rPr>
          <w:rFonts w:ascii="Arial" w:hAnsi="Arial"/>
        </w:rPr>
        <w:t>six geopolitical zones in the country lack recent epidemiologic data according to Prince et al. (2013) and Olayinka and Mbuyi (2014), hence there is need to obtain the available evidence and create awareness about the frequency and gender-specific occurren</w:t>
      </w:r>
      <w:r>
        <w:rPr>
          <w:rFonts w:ascii="Arial" w:hAnsi="Arial"/>
        </w:rPr>
        <w:t>ce of dementia among the patients of the Federal Neuro-Psychiatric Hospital, Calabar in Nigeria from January 2011 to December 2021.</w:t>
      </w:r>
    </w:p>
    <w:p w14:paraId="073A1325" w14:textId="77777777" w:rsidR="00EE3FD5" w:rsidRDefault="00EE3FD5">
      <w:pPr>
        <w:pStyle w:val="Body"/>
        <w:spacing w:after="0"/>
        <w:rPr>
          <w:rFonts w:ascii="Arial" w:hAnsi="Arial"/>
        </w:rPr>
      </w:pPr>
    </w:p>
    <w:p w14:paraId="59FD2AC9" w14:textId="77777777" w:rsidR="00EE3FD5" w:rsidRDefault="00811C81">
      <w:pPr>
        <w:pStyle w:val="AbstHead"/>
        <w:spacing w:after="0"/>
        <w:jc w:val="both"/>
        <w:rPr>
          <w:rFonts w:ascii="Arial" w:hAnsi="Arial" w:cs="Arial"/>
        </w:rPr>
      </w:pPr>
      <w:r>
        <w:rPr>
          <w:rFonts w:ascii="Arial" w:hAnsi="Arial" w:cs="Arial"/>
        </w:rPr>
        <w:t>2. material and methods</w:t>
      </w:r>
    </w:p>
    <w:p w14:paraId="605F51A3" w14:textId="77777777" w:rsidR="00EE3FD5" w:rsidRDefault="00811C81">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 xml:space="preserve">Experimental design </w:t>
      </w:r>
    </w:p>
    <w:p w14:paraId="43CBB447" w14:textId="77777777" w:rsidR="00EE3FD5" w:rsidRDefault="00EE3FD5">
      <w:pPr>
        <w:pStyle w:val="Body"/>
        <w:spacing w:after="0"/>
        <w:rPr>
          <w:rFonts w:ascii="Arial" w:hAnsi="Arial" w:cs="Arial"/>
          <w:b/>
          <w:sz w:val="22"/>
        </w:rPr>
      </w:pPr>
    </w:p>
    <w:p w14:paraId="78CFEE5E" w14:textId="77777777" w:rsidR="00EE3FD5" w:rsidRDefault="00811C81">
      <w:pPr>
        <w:jc w:val="both"/>
        <w:rPr>
          <w:rFonts w:ascii="Arial" w:hAnsi="Arial" w:cs="Arial"/>
        </w:rPr>
      </w:pPr>
      <w:r>
        <w:rPr>
          <w:rFonts w:ascii="Arial" w:hAnsi="Arial"/>
        </w:rPr>
        <w:t>A total of 195 medical records were extracted and used for the study. The</w:t>
      </w:r>
      <w:r>
        <w:rPr>
          <w:rFonts w:ascii="Arial" w:hAnsi="Arial"/>
        </w:rPr>
        <w:t xml:space="preserve"> target population of the study consisted of all the patients with dementia who had attended the Federal Neuro-Psychiatric Hospital, Calabar, Cross River State from January 2011 to December 2021. The</w:t>
      </w:r>
      <w:r>
        <w:rPr>
          <w:rFonts w:ascii="Arial" w:hAnsi="Arial" w:cs="Arial"/>
        </w:rPr>
        <w:t xml:space="preserve"> retrospective research design was adopted for the study.</w:t>
      </w:r>
      <w:r>
        <w:rPr>
          <w:rFonts w:ascii="Arial" w:hAnsi="Arial" w:cs="Arial"/>
        </w:rPr>
        <w:t xml:space="preserve"> This was suitable to enable the review of patients’ records, who had suffered from dementia in Federal Neuro-Psychiatric Hospital, Calabar, Cross River State from January 2011 to December 2021.</w:t>
      </w:r>
    </w:p>
    <w:p w14:paraId="5BF87F89" w14:textId="77777777" w:rsidR="00EE3FD5" w:rsidRDefault="00EE3FD5">
      <w:pPr>
        <w:jc w:val="both"/>
        <w:rPr>
          <w:rFonts w:ascii="Arial" w:hAnsi="Arial" w:cs="Arial"/>
        </w:rPr>
      </w:pPr>
    </w:p>
    <w:p w14:paraId="6741A07B" w14:textId="77777777" w:rsidR="00EE3FD5" w:rsidRDefault="00811C81">
      <w:pPr>
        <w:pStyle w:val="Body"/>
        <w:spacing w:after="0"/>
        <w:rPr>
          <w:rFonts w:ascii="Arial" w:hAnsi="Arial" w:cs="Arial"/>
          <w:b/>
          <w:sz w:val="22"/>
        </w:rPr>
      </w:pPr>
      <w:r>
        <w:rPr>
          <w:rFonts w:ascii="Arial" w:hAnsi="Arial" w:cs="Arial"/>
          <w:b/>
          <w:sz w:val="22"/>
        </w:rPr>
        <w:t xml:space="preserve"> </w:t>
      </w:r>
      <w:r>
        <w:rPr>
          <w:rFonts w:ascii="Arial" w:hAnsi="Arial" w:cs="Arial"/>
          <w:b/>
          <w:caps/>
          <w:sz w:val="22"/>
        </w:rPr>
        <w:t xml:space="preserve">2.2 </w:t>
      </w:r>
      <w:r>
        <w:rPr>
          <w:rFonts w:ascii="Arial" w:hAnsi="Arial" w:cs="Arial"/>
          <w:b/>
          <w:sz w:val="22"/>
        </w:rPr>
        <w:t xml:space="preserve">Location of study </w:t>
      </w:r>
    </w:p>
    <w:p w14:paraId="5BB6763C" w14:textId="77777777" w:rsidR="00EE3FD5" w:rsidRDefault="00EE3FD5">
      <w:pPr>
        <w:pStyle w:val="Body"/>
        <w:spacing w:after="0"/>
        <w:rPr>
          <w:rFonts w:ascii="Arial" w:hAnsi="Arial" w:cs="Arial"/>
          <w:b/>
          <w:sz w:val="22"/>
        </w:rPr>
      </w:pPr>
    </w:p>
    <w:p w14:paraId="01E2B6B0" w14:textId="77777777" w:rsidR="00EE3FD5" w:rsidRDefault="00811C81">
      <w:pPr>
        <w:jc w:val="both"/>
        <w:rPr>
          <w:rFonts w:ascii="Arial" w:hAnsi="Arial" w:cs="Arial"/>
        </w:rPr>
      </w:pPr>
      <w:r>
        <w:rPr>
          <w:rFonts w:ascii="Arial" w:hAnsi="Arial" w:cs="Arial"/>
        </w:rPr>
        <w:t>The study was carried out at the Fe</w:t>
      </w:r>
      <w:r>
        <w:rPr>
          <w:rFonts w:ascii="Arial" w:hAnsi="Arial" w:cs="Arial"/>
        </w:rPr>
        <w:t xml:space="preserve">deral Neuro-Psychiatric Hospital, Calabar, Cross River State. The hospital provides both in and out-patients services. It is made up of different departments including clinical services, Nursing department, Laboratory, Pharmacy, Medical Records, </w:t>
      </w:r>
      <w:proofErr w:type="spellStart"/>
      <w:r>
        <w:rPr>
          <w:rFonts w:ascii="Arial" w:hAnsi="Arial" w:cs="Arial"/>
        </w:rPr>
        <w:t>ElectroCon</w:t>
      </w:r>
      <w:r>
        <w:rPr>
          <w:rFonts w:ascii="Arial" w:hAnsi="Arial" w:cs="Arial"/>
        </w:rPr>
        <w:t>vulsive</w:t>
      </w:r>
      <w:proofErr w:type="spellEnd"/>
      <w:r>
        <w:rPr>
          <w:rFonts w:ascii="Arial" w:hAnsi="Arial" w:cs="Arial"/>
        </w:rPr>
        <w:t xml:space="preserve"> Therapy, Occupational Therapy, Library, Research and Training Unit, Administrative Unit, Accounting Unit, Kitchen, Laundry and Maintenance Units. It serves as the United Nations Office for drugs and Crime control, training institution for medical s</w:t>
      </w:r>
      <w:r>
        <w:rPr>
          <w:rFonts w:ascii="Arial" w:hAnsi="Arial" w:cs="Arial"/>
        </w:rPr>
        <w:t xml:space="preserve">tudents, nurses and social workers as well as a treatment </w:t>
      </w:r>
      <w:proofErr w:type="spellStart"/>
      <w:r>
        <w:rPr>
          <w:rFonts w:ascii="Arial" w:hAnsi="Arial" w:cs="Arial"/>
        </w:rPr>
        <w:t>centre</w:t>
      </w:r>
      <w:proofErr w:type="spellEnd"/>
      <w:r>
        <w:rPr>
          <w:rFonts w:ascii="Arial" w:hAnsi="Arial" w:cs="Arial"/>
        </w:rPr>
        <w:t xml:space="preserve"> for psychiatric patients.</w:t>
      </w:r>
    </w:p>
    <w:p w14:paraId="71873E13" w14:textId="77777777" w:rsidR="00EE3FD5" w:rsidRDefault="00EE3FD5">
      <w:pPr>
        <w:jc w:val="both"/>
        <w:rPr>
          <w:rFonts w:ascii="Arial" w:hAnsi="Arial" w:cs="Arial"/>
        </w:rPr>
      </w:pPr>
    </w:p>
    <w:p w14:paraId="6C654B53" w14:textId="77777777" w:rsidR="00EE3FD5" w:rsidRDefault="00811C81">
      <w:pPr>
        <w:pStyle w:val="Body"/>
        <w:spacing w:after="0"/>
        <w:rPr>
          <w:rFonts w:ascii="Arial" w:hAnsi="Arial" w:cs="Arial"/>
          <w:b/>
          <w:sz w:val="22"/>
        </w:rPr>
      </w:pPr>
      <w:r>
        <w:rPr>
          <w:rFonts w:ascii="Arial" w:hAnsi="Arial" w:cs="Arial"/>
          <w:b/>
          <w:sz w:val="22"/>
        </w:rPr>
        <w:t xml:space="preserve"> </w:t>
      </w:r>
      <w:r>
        <w:rPr>
          <w:rFonts w:ascii="Arial" w:hAnsi="Arial" w:cs="Arial"/>
          <w:b/>
          <w:caps/>
          <w:sz w:val="22"/>
        </w:rPr>
        <w:t xml:space="preserve">2.3 </w:t>
      </w:r>
      <w:r>
        <w:rPr>
          <w:rFonts w:ascii="Arial" w:hAnsi="Arial" w:cs="Arial"/>
          <w:b/>
          <w:sz w:val="22"/>
        </w:rPr>
        <w:t xml:space="preserve">Data collection </w:t>
      </w:r>
    </w:p>
    <w:p w14:paraId="050799A1" w14:textId="77777777" w:rsidR="00EE3FD5" w:rsidRDefault="00EE3FD5">
      <w:pPr>
        <w:jc w:val="both"/>
        <w:rPr>
          <w:rFonts w:ascii="Arial" w:hAnsi="Arial"/>
        </w:rPr>
      </w:pPr>
    </w:p>
    <w:p w14:paraId="0F9D6D50" w14:textId="77777777" w:rsidR="00EE3FD5" w:rsidRDefault="00811C81">
      <w:pPr>
        <w:jc w:val="both"/>
        <w:rPr>
          <w:rFonts w:ascii="Arial" w:hAnsi="Arial"/>
        </w:rPr>
      </w:pPr>
      <w:r>
        <w:rPr>
          <w:rFonts w:ascii="Arial" w:hAnsi="Arial"/>
        </w:rPr>
        <w:t xml:space="preserve">The instrument used for primary data collection was a validated checklist designed to retrieve data on: Section A: socio-demographic data of </w:t>
      </w:r>
      <w:r>
        <w:rPr>
          <w:rFonts w:ascii="Arial" w:hAnsi="Arial"/>
        </w:rPr>
        <w:t>subjects and Section B: the prevalence of dementia in Federal Neuro-Psychiatric Hospital. The data was collected based on the admission records of the patients at the Federal Neuro-Psychiatric Hospital from 2011 to 2021.</w:t>
      </w:r>
    </w:p>
    <w:p w14:paraId="257755E7" w14:textId="77777777" w:rsidR="00EE3FD5" w:rsidRDefault="00EE3FD5">
      <w:pPr>
        <w:jc w:val="both"/>
        <w:rPr>
          <w:rFonts w:ascii="Arial" w:hAnsi="Arial"/>
        </w:rPr>
      </w:pPr>
    </w:p>
    <w:p w14:paraId="6E274F77" w14:textId="77777777" w:rsidR="00EE3FD5" w:rsidRDefault="00811C81">
      <w:pPr>
        <w:pStyle w:val="Body"/>
        <w:spacing w:after="0"/>
        <w:rPr>
          <w:rFonts w:ascii="Arial" w:hAnsi="Arial" w:cs="Arial"/>
          <w:b/>
          <w:sz w:val="22"/>
        </w:rPr>
      </w:pPr>
      <w:r>
        <w:rPr>
          <w:rFonts w:ascii="Arial" w:hAnsi="Arial" w:cs="Arial"/>
          <w:b/>
          <w:sz w:val="22"/>
        </w:rPr>
        <w:t xml:space="preserve"> </w:t>
      </w:r>
      <w:r>
        <w:rPr>
          <w:rFonts w:ascii="Arial" w:hAnsi="Arial" w:cs="Arial"/>
          <w:b/>
          <w:caps/>
          <w:sz w:val="22"/>
        </w:rPr>
        <w:t xml:space="preserve">2.4 </w:t>
      </w:r>
      <w:r>
        <w:rPr>
          <w:rFonts w:ascii="Arial" w:hAnsi="Arial" w:cs="Arial"/>
          <w:b/>
          <w:sz w:val="22"/>
        </w:rPr>
        <w:t>Statistical analysis</w:t>
      </w:r>
    </w:p>
    <w:p w14:paraId="75206C2F" w14:textId="77777777" w:rsidR="00EE3FD5" w:rsidRDefault="00EE3FD5">
      <w:pPr>
        <w:jc w:val="both"/>
        <w:rPr>
          <w:rFonts w:ascii="Arial" w:hAnsi="Arial"/>
        </w:rPr>
      </w:pPr>
    </w:p>
    <w:p w14:paraId="77E32CE6" w14:textId="77777777" w:rsidR="00EE3FD5" w:rsidRDefault="00811C81">
      <w:pPr>
        <w:jc w:val="both"/>
        <w:rPr>
          <w:rFonts w:ascii="Arial" w:hAnsi="Arial"/>
        </w:rPr>
      </w:pPr>
      <w:r>
        <w:rPr>
          <w:rFonts w:ascii="Arial" w:hAnsi="Arial" w:cs="Arial"/>
        </w:rPr>
        <w:lastRenderedPageBreak/>
        <w:t>The dat</w:t>
      </w:r>
      <w:r>
        <w:rPr>
          <w:rFonts w:ascii="Arial" w:hAnsi="Arial" w:cs="Arial"/>
        </w:rPr>
        <w:t>a was collected and sorted in an excel spreadsheet. The data was analyzed using Statistical Package for Social Sciences (SPSS) version 23.</w:t>
      </w:r>
    </w:p>
    <w:p w14:paraId="613E6E10" w14:textId="77777777" w:rsidR="00EE3FD5" w:rsidRDefault="00EE3FD5">
      <w:pPr>
        <w:pStyle w:val="Body"/>
        <w:spacing w:after="0"/>
        <w:rPr>
          <w:rFonts w:ascii="Arial" w:hAnsi="Arial" w:cs="Arial"/>
        </w:rPr>
      </w:pPr>
    </w:p>
    <w:p w14:paraId="3311350E" w14:textId="77777777" w:rsidR="00EE3FD5" w:rsidRDefault="00811C81">
      <w:pPr>
        <w:pStyle w:val="Head1"/>
        <w:spacing w:after="0"/>
        <w:jc w:val="both"/>
        <w:rPr>
          <w:rFonts w:ascii="Arial" w:hAnsi="Arial" w:cs="Arial"/>
        </w:rPr>
      </w:pPr>
      <w:r>
        <w:rPr>
          <w:rFonts w:ascii="Arial" w:hAnsi="Arial" w:cs="Arial"/>
        </w:rPr>
        <w:t>3. results</w:t>
      </w:r>
    </w:p>
    <w:p w14:paraId="362D1A60" w14:textId="77777777" w:rsidR="00EE3FD5" w:rsidRDefault="00EE3FD5">
      <w:pPr>
        <w:pStyle w:val="Body"/>
        <w:spacing w:after="0"/>
        <w:rPr>
          <w:rFonts w:ascii="Arial" w:hAnsi="Arial" w:cs="Arial"/>
        </w:rPr>
      </w:pPr>
    </w:p>
    <w:p w14:paraId="7B59A8DE" w14:textId="77777777" w:rsidR="00EE3FD5" w:rsidRDefault="00811C81">
      <w:pPr>
        <w:pStyle w:val="Body"/>
        <w:spacing w:after="0"/>
        <w:rPr>
          <w:rFonts w:ascii="Arial" w:hAnsi="Arial" w:cs="Arial"/>
        </w:rPr>
      </w:pPr>
      <w:r>
        <w:rPr>
          <w:rFonts w:ascii="Arial" w:hAnsi="Arial"/>
        </w:rPr>
        <w:t xml:space="preserve">The age range of patients with the highest percentage (44.6%) of dementia from 2011 to 2021 was between </w:t>
      </w:r>
      <w:r>
        <w:rPr>
          <w:rFonts w:ascii="Arial" w:hAnsi="Arial"/>
        </w:rPr>
        <w:t>65 and 74 and the lowest was between 94 years and above (Table 1). This revealed that the former were more susceptible to dementia than the other groups.</w:t>
      </w:r>
    </w:p>
    <w:p w14:paraId="39B03E3E" w14:textId="77777777" w:rsidR="00EE3FD5" w:rsidRDefault="00EE3FD5">
      <w:pPr>
        <w:pStyle w:val="Body"/>
        <w:spacing w:after="0"/>
        <w:rPr>
          <w:rFonts w:ascii="Arial" w:hAnsi="Arial" w:cs="Arial"/>
        </w:rPr>
      </w:pPr>
    </w:p>
    <w:p w14:paraId="39509216" w14:textId="77777777" w:rsidR="00EE3FD5" w:rsidRDefault="00811C81">
      <w:pPr>
        <w:tabs>
          <w:tab w:val="left" w:pos="1080"/>
        </w:tabs>
        <w:jc w:val="both"/>
        <w:rPr>
          <w:rFonts w:ascii="Arial" w:hAnsi="Arial"/>
          <w:b/>
        </w:rPr>
      </w:pPr>
      <w:r>
        <w:rPr>
          <w:rFonts w:ascii="Arial" w:hAnsi="Arial"/>
          <w:b/>
        </w:rPr>
        <w:t>Table 1. Frequency distribution of respondents based on age</w:t>
      </w:r>
    </w:p>
    <w:p w14:paraId="63012D5B" w14:textId="77777777" w:rsidR="00EE3FD5" w:rsidRDefault="00EE3FD5">
      <w:pPr>
        <w:tabs>
          <w:tab w:val="left" w:pos="1080"/>
        </w:tabs>
        <w:jc w:val="both"/>
        <w:rPr>
          <w:rFonts w:ascii="Arial" w:hAnsi="Arial"/>
          <w:b/>
        </w:rPr>
      </w:pPr>
    </w:p>
    <w:tbl>
      <w:tblPr>
        <w:tblW w:w="641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060"/>
        <w:gridCol w:w="1228"/>
        <w:gridCol w:w="2129"/>
      </w:tblGrid>
      <w:tr w:rsidR="00EE3FD5" w14:paraId="70EF4B6A" w14:textId="77777777">
        <w:trPr>
          <w:trHeight w:val="494"/>
          <w:jc w:val="center"/>
        </w:trPr>
        <w:tc>
          <w:tcPr>
            <w:tcW w:w="3060" w:type="dxa"/>
            <w:tcBorders>
              <w:bottom w:val="single" w:sz="4" w:space="0" w:color="auto"/>
            </w:tcBorders>
          </w:tcPr>
          <w:p w14:paraId="3F35F452" w14:textId="77777777" w:rsidR="00EE3FD5" w:rsidRDefault="00811C81">
            <w:pPr>
              <w:jc w:val="both"/>
              <w:rPr>
                <w:rFonts w:ascii="Arial" w:hAnsi="Arial"/>
                <w:b/>
                <w:bCs/>
              </w:rPr>
            </w:pPr>
            <w:r>
              <w:rPr>
                <w:rFonts w:ascii="Arial" w:hAnsi="Arial"/>
                <w:b/>
                <w:bCs/>
              </w:rPr>
              <w:t>Age</w:t>
            </w:r>
          </w:p>
        </w:tc>
        <w:tc>
          <w:tcPr>
            <w:tcW w:w="1228" w:type="dxa"/>
            <w:tcBorders>
              <w:bottom w:val="single" w:sz="4" w:space="0" w:color="auto"/>
            </w:tcBorders>
          </w:tcPr>
          <w:p w14:paraId="13EAB5B9" w14:textId="77777777" w:rsidR="00EE3FD5" w:rsidRDefault="00811C81">
            <w:pPr>
              <w:jc w:val="both"/>
              <w:rPr>
                <w:rFonts w:ascii="Arial" w:hAnsi="Arial"/>
                <w:b/>
                <w:bCs/>
              </w:rPr>
            </w:pPr>
            <w:r>
              <w:rPr>
                <w:rFonts w:ascii="Arial" w:hAnsi="Arial"/>
                <w:b/>
                <w:bCs/>
              </w:rPr>
              <w:t>Frequency (n=195)</w:t>
            </w:r>
          </w:p>
        </w:tc>
        <w:tc>
          <w:tcPr>
            <w:tcW w:w="2129" w:type="dxa"/>
            <w:tcBorders>
              <w:bottom w:val="single" w:sz="4" w:space="0" w:color="auto"/>
            </w:tcBorders>
          </w:tcPr>
          <w:p w14:paraId="2E4A3C12" w14:textId="77777777" w:rsidR="00EE3FD5" w:rsidRDefault="00811C81">
            <w:pPr>
              <w:jc w:val="both"/>
              <w:rPr>
                <w:rFonts w:ascii="Arial" w:hAnsi="Arial"/>
                <w:b/>
                <w:bCs/>
              </w:rPr>
            </w:pPr>
            <w:r>
              <w:rPr>
                <w:rFonts w:ascii="Arial" w:hAnsi="Arial"/>
                <w:b/>
                <w:bCs/>
              </w:rPr>
              <w:t>Percentage (%)</w:t>
            </w:r>
          </w:p>
        </w:tc>
      </w:tr>
      <w:tr w:rsidR="00EE3FD5" w14:paraId="52646323" w14:textId="77777777">
        <w:trPr>
          <w:trHeight w:val="713"/>
          <w:jc w:val="center"/>
          <w:hidden/>
        </w:trPr>
        <w:tc>
          <w:tcPr>
            <w:tcW w:w="3060" w:type="dxa"/>
            <w:tcBorders>
              <w:bottom w:val="nil"/>
            </w:tcBorders>
          </w:tcPr>
          <w:p w14:paraId="272D0949" w14:textId="77777777" w:rsidR="00EE3FD5" w:rsidRDefault="00EE3FD5">
            <w:pPr>
              <w:jc w:val="both"/>
              <w:rPr>
                <w:rFonts w:ascii="Arial" w:hAnsi="Arial"/>
                <w:vanish/>
              </w:rPr>
            </w:pPr>
          </w:p>
          <w:p w14:paraId="05C9FF07" w14:textId="77777777" w:rsidR="00EE3FD5" w:rsidRDefault="00811C81">
            <w:pPr>
              <w:jc w:val="both"/>
              <w:rPr>
                <w:rFonts w:ascii="Arial" w:hAnsi="Arial"/>
              </w:rPr>
            </w:pPr>
            <w:r>
              <w:rPr>
                <w:rFonts w:ascii="Arial" w:hAnsi="Arial"/>
              </w:rPr>
              <w:t>65-74</w:t>
            </w:r>
          </w:p>
          <w:p w14:paraId="31496A4A" w14:textId="77777777" w:rsidR="00EE3FD5" w:rsidRDefault="00EE3FD5">
            <w:pPr>
              <w:jc w:val="both"/>
              <w:rPr>
                <w:rFonts w:ascii="Arial" w:hAnsi="Arial"/>
                <w:vanish/>
              </w:rPr>
            </w:pPr>
          </w:p>
          <w:p w14:paraId="687F5BF1" w14:textId="77777777" w:rsidR="00EE3FD5" w:rsidRDefault="00811C81">
            <w:pPr>
              <w:jc w:val="both"/>
              <w:rPr>
                <w:rFonts w:ascii="Arial" w:hAnsi="Arial"/>
              </w:rPr>
            </w:pPr>
            <w:r>
              <w:rPr>
                <w:rFonts w:ascii="Arial" w:hAnsi="Arial"/>
              </w:rPr>
              <w:t>75-84</w:t>
            </w:r>
          </w:p>
          <w:p w14:paraId="78F71C31" w14:textId="77777777" w:rsidR="00EE3FD5" w:rsidRDefault="00811C81">
            <w:pPr>
              <w:jc w:val="both"/>
              <w:rPr>
                <w:rFonts w:ascii="Arial" w:hAnsi="Arial"/>
                <w:b/>
                <w:bCs/>
              </w:rPr>
            </w:pPr>
            <w:r>
              <w:rPr>
                <w:rFonts w:ascii="Arial" w:hAnsi="Arial"/>
              </w:rPr>
              <w:t>85-94</w:t>
            </w:r>
          </w:p>
        </w:tc>
        <w:tc>
          <w:tcPr>
            <w:tcW w:w="1228" w:type="dxa"/>
            <w:tcBorders>
              <w:bottom w:val="nil"/>
            </w:tcBorders>
          </w:tcPr>
          <w:p w14:paraId="3B01765E" w14:textId="77777777" w:rsidR="00EE3FD5" w:rsidRDefault="00811C81">
            <w:pPr>
              <w:jc w:val="both"/>
              <w:rPr>
                <w:rFonts w:ascii="Arial" w:hAnsi="Arial"/>
              </w:rPr>
            </w:pPr>
            <w:r>
              <w:rPr>
                <w:rFonts w:ascii="Arial" w:hAnsi="Arial"/>
              </w:rPr>
              <w:t>87</w:t>
            </w:r>
          </w:p>
          <w:p w14:paraId="4226C3A6" w14:textId="77777777" w:rsidR="00EE3FD5" w:rsidRDefault="00811C81">
            <w:pPr>
              <w:jc w:val="both"/>
              <w:rPr>
                <w:rFonts w:ascii="Arial" w:hAnsi="Arial"/>
              </w:rPr>
            </w:pPr>
            <w:r>
              <w:rPr>
                <w:rFonts w:ascii="Arial" w:hAnsi="Arial"/>
              </w:rPr>
              <w:t>21.4</w:t>
            </w:r>
          </w:p>
          <w:p w14:paraId="642C866D" w14:textId="77777777" w:rsidR="00EE3FD5" w:rsidRDefault="00811C81">
            <w:pPr>
              <w:jc w:val="both"/>
              <w:rPr>
                <w:rFonts w:ascii="Arial" w:hAnsi="Arial"/>
                <w:b/>
                <w:bCs/>
              </w:rPr>
            </w:pPr>
            <w:r>
              <w:rPr>
                <w:rFonts w:ascii="Arial" w:hAnsi="Arial"/>
              </w:rPr>
              <w:t>37</w:t>
            </w:r>
          </w:p>
        </w:tc>
        <w:tc>
          <w:tcPr>
            <w:tcW w:w="2129" w:type="dxa"/>
            <w:tcBorders>
              <w:bottom w:val="nil"/>
            </w:tcBorders>
          </w:tcPr>
          <w:p w14:paraId="1B2DFC9C" w14:textId="77777777" w:rsidR="00EE3FD5" w:rsidRDefault="00811C81">
            <w:pPr>
              <w:jc w:val="both"/>
              <w:rPr>
                <w:rFonts w:ascii="Arial" w:hAnsi="Arial" w:cs="Arial"/>
              </w:rPr>
            </w:pPr>
            <w:r>
              <w:rPr>
                <w:rFonts w:ascii="Arial" w:hAnsi="Arial" w:cs="Arial"/>
              </w:rPr>
              <w:t>44.6</w:t>
            </w:r>
          </w:p>
          <w:p w14:paraId="4E40AD8F" w14:textId="77777777" w:rsidR="00EE3FD5" w:rsidRDefault="00811C81">
            <w:pPr>
              <w:jc w:val="both"/>
              <w:rPr>
                <w:rFonts w:ascii="Arial" w:hAnsi="Arial" w:cs="Arial"/>
              </w:rPr>
            </w:pPr>
            <w:r>
              <w:rPr>
                <w:rFonts w:ascii="Arial" w:hAnsi="Arial" w:cs="Arial"/>
              </w:rPr>
              <w:t>25.3</w:t>
            </w:r>
          </w:p>
          <w:p w14:paraId="224F2C54" w14:textId="77777777" w:rsidR="00EE3FD5" w:rsidRDefault="00811C81">
            <w:pPr>
              <w:jc w:val="both"/>
              <w:rPr>
                <w:rFonts w:ascii="Arial" w:hAnsi="Arial" w:cs="Arial"/>
              </w:rPr>
            </w:pPr>
            <w:r>
              <w:rPr>
                <w:rFonts w:ascii="Arial" w:hAnsi="Arial" w:cs="Arial"/>
              </w:rPr>
              <w:t>18.9</w:t>
            </w:r>
          </w:p>
        </w:tc>
      </w:tr>
      <w:tr w:rsidR="00EE3FD5" w14:paraId="74349DF1" w14:textId="77777777">
        <w:trPr>
          <w:trHeight w:val="90"/>
          <w:jc w:val="center"/>
          <w:hidden/>
        </w:trPr>
        <w:tc>
          <w:tcPr>
            <w:tcW w:w="3060" w:type="dxa"/>
            <w:tcBorders>
              <w:top w:val="nil"/>
              <w:bottom w:val="single" w:sz="4" w:space="0" w:color="auto"/>
            </w:tcBorders>
          </w:tcPr>
          <w:p w14:paraId="703C20A3" w14:textId="77777777" w:rsidR="00EE3FD5" w:rsidRDefault="00811C81">
            <w:pPr>
              <w:jc w:val="both"/>
              <w:rPr>
                <w:rFonts w:ascii="Arial" w:hAnsi="Arial" w:cs="Arial"/>
                <w:vanish/>
                <w:vertAlign w:val="superscript"/>
              </w:rPr>
            </w:pPr>
            <w:r>
              <w:rPr>
                <w:rFonts w:ascii="Arial" w:hAnsi="Arial" w:cs="Arial"/>
                <w:vanish/>
                <w:vertAlign w:val="superscript"/>
              </w:rPr>
              <w:t>95 9995</w:t>
            </w:r>
          </w:p>
          <w:p w14:paraId="4DBCEEC5" w14:textId="77777777" w:rsidR="00EE3FD5" w:rsidRDefault="00EE3FD5">
            <w:pPr>
              <w:jc w:val="both"/>
              <w:rPr>
                <w:rFonts w:ascii="Arial" w:hAnsi="Arial" w:cs="Arial"/>
                <w:vanish/>
              </w:rPr>
            </w:pPr>
          </w:p>
          <w:p w14:paraId="6420E896" w14:textId="77777777" w:rsidR="00EE3FD5" w:rsidRDefault="00811C81">
            <w:pPr>
              <w:jc w:val="both"/>
              <w:rPr>
                <w:rFonts w:ascii="Arial" w:hAnsi="Arial" w:cs="Arial"/>
              </w:rPr>
            </w:pPr>
            <w:r>
              <w:rPr>
                <w:rFonts w:ascii="Arial" w:hAnsi="Arial" w:cs="Arial"/>
              </w:rPr>
              <w:t>95 and above</w:t>
            </w:r>
          </w:p>
          <w:p w14:paraId="5D87A758" w14:textId="77777777" w:rsidR="00EE3FD5" w:rsidRDefault="00811C81">
            <w:pPr>
              <w:jc w:val="both"/>
              <w:rPr>
                <w:rFonts w:ascii="Arial" w:hAnsi="Arial" w:cs="Arial"/>
              </w:rPr>
            </w:pPr>
            <w:r>
              <w:rPr>
                <w:rFonts w:ascii="Arial" w:hAnsi="Arial" w:cs="Arial"/>
                <w:b/>
                <w:bCs/>
              </w:rPr>
              <w:t>Total</w:t>
            </w:r>
          </w:p>
        </w:tc>
        <w:tc>
          <w:tcPr>
            <w:tcW w:w="1228" w:type="dxa"/>
            <w:tcBorders>
              <w:top w:val="nil"/>
              <w:bottom w:val="single" w:sz="4" w:space="0" w:color="auto"/>
            </w:tcBorders>
          </w:tcPr>
          <w:p w14:paraId="382BC78A" w14:textId="77777777" w:rsidR="00EE3FD5" w:rsidRDefault="00811C81">
            <w:pPr>
              <w:jc w:val="both"/>
              <w:rPr>
                <w:rFonts w:ascii="Arial" w:hAnsi="Arial" w:cs="Arial"/>
              </w:rPr>
            </w:pPr>
            <w:r>
              <w:rPr>
                <w:rFonts w:ascii="Arial" w:hAnsi="Arial" w:cs="Arial"/>
              </w:rPr>
              <w:t>22</w:t>
            </w:r>
          </w:p>
          <w:p w14:paraId="0292DA8B" w14:textId="77777777" w:rsidR="00EE3FD5" w:rsidRDefault="00811C81">
            <w:pPr>
              <w:jc w:val="both"/>
              <w:rPr>
                <w:rFonts w:ascii="Arial" w:hAnsi="Arial" w:cs="Arial"/>
              </w:rPr>
            </w:pPr>
            <w:r>
              <w:rPr>
                <w:rFonts w:ascii="Arial" w:hAnsi="Arial" w:cs="Arial"/>
                <w:b/>
                <w:bCs/>
              </w:rPr>
              <w:t>195</w:t>
            </w:r>
          </w:p>
        </w:tc>
        <w:tc>
          <w:tcPr>
            <w:tcW w:w="2129" w:type="dxa"/>
            <w:tcBorders>
              <w:top w:val="nil"/>
              <w:bottom w:val="single" w:sz="4" w:space="0" w:color="auto"/>
            </w:tcBorders>
          </w:tcPr>
          <w:p w14:paraId="56D6BF11" w14:textId="77777777" w:rsidR="00EE3FD5" w:rsidRDefault="00811C81">
            <w:pPr>
              <w:jc w:val="both"/>
              <w:rPr>
                <w:rFonts w:ascii="Arial" w:hAnsi="Arial" w:cs="Arial"/>
              </w:rPr>
            </w:pPr>
            <w:r>
              <w:rPr>
                <w:rFonts w:ascii="Arial" w:hAnsi="Arial" w:cs="Arial"/>
              </w:rPr>
              <w:t>11.2</w:t>
            </w:r>
          </w:p>
          <w:p w14:paraId="076CCE57" w14:textId="77777777" w:rsidR="00EE3FD5" w:rsidRDefault="00811C81">
            <w:pPr>
              <w:jc w:val="both"/>
              <w:rPr>
                <w:rFonts w:ascii="Arial" w:hAnsi="Arial"/>
              </w:rPr>
            </w:pPr>
            <w:r>
              <w:rPr>
                <w:rFonts w:ascii="Arial" w:hAnsi="Arial" w:cs="Arial"/>
                <w:b/>
                <w:bCs/>
              </w:rPr>
              <w:t>100</w:t>
            </w:r>
          </w:p>
        </w:tc>
      </w:tr>
    </w:tbl>
    <w:p w14:paraId="219C2B8D" w14:textId="77777777" w:rsidR="00EE3FD5" w:rsidRDefault="00EE3FD5">
      <w:pPr>
        <w:pStyle w:val="BodyText3"/>
        <w:tabs>
          <w:tab w:val="left" w:pos="1080"/>
        </w:tabs>
        <w:spacing w:after="0"/>
        <w:ind w:left="1080" w:hanging="1080"/>
        <w:jc w:val="both"/>
        <w:rPr>
          <w:rFonts w:ascii="Arial" w:hAnsi="Arial"/>
          <w:b/>
          <w:sz w:val="20"/>
          <w:szCs w:val="20"/>
        </w:rPr>
      </w:pPr>
    </w:p>
    <w:p w14:paraId="7F3F8394" w14:textId="77777777" w:rsidR="00EE3FD5" w:rsidRDefault="00811C81">
      <w:pPr>
        <w:pStyle w:val="Body"/>
        <w:spacing w:after="0"/>
        <w:rPr>
          <w:rFonts w:ascii="Arial" w:hAnsi="Arial" w:cs="Arial"/>
        </w:rPr>
      </w:pPr>
      <w:r>
        <w:rPr>
          <w:rFonts w:ascii="Arial" w:hAnsi="Arial"/>
        </w:rPr>
        <w:t>The percentage of the female patients with dementia (56.4%) were higher than males (43.6%) at the Federal Neuro-Psychiatric Hospital from 2011-2021 (Table 2).</w:t>
      </w:r>
    </w:p>
    <w:p w14:paraId="42A7D048" w14:textId="77777777" w:rsidR="00EE3FD5" w:rsidRDefault="00EE3FD5">
      <w:pPr>
        <w:pStyle w:val="Body"/>
        <w:spacing w:after="0"/>
        <w:rPr>
          <w:rFonts w:ascii="Arial" w:hAnsi="Arial" w:cs="Arial"/>
        </w:rPr>
      </w:pPr>
    </w:p>
    <w:p w14:paraId="3AEE3C63" w14:textId="77777777" w:rsidR="00EE3FD5" w:rsidRDefault="00811C81">
      <w:pPr>
        <w:tabs>
          <w:tab w:val="left" w:pos="1080"/>
        </w:tabs>
        <w:jc w:val="both"/>
        <w:rPr>
          <w:rFonts w:ascii="Arial" w:hAnsi="Arial"/>
          <w:b/>
        </w:rPr>
      </w:pPr>
      <w:r>
        <w:rPr>
          <w:rFonts w:ascii="Arial" w:hAnsi="Arial"/>
          <w:b/>
        </w:rPr>
        <w:t>Table 2. Frequency distribution of patients based on gender</w:t>
      </w:r>
    </w:p>
    <w:p w14:paraId="608F80D3" w14:textId="77777777" w:rsidR="00EE3FD5" w:rsidRDefault="00EE3FD5">
      <w:pPr>
        <w:tabs>
          <w:tab w:val="left" w:pos="1080"/>
        </w:tabs>
        <w:jc w:val="both"/>
        <w:rPr>
          <w:rFonts w:ascii="Arial" w:hAnsi="Arial"/>
          <w:bCs/>
        </w:rPr>
      </w:pPr>
    </w:p>
    <w:tbl>
      <w:tblPr>
        <w:tblW w:w="641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97"/>
        <w:gridCol w:w="2220"/>
        <w:gridCol w:w="2300"/>
      </w:tblGrid>
      <w:tr w:rsidR="00EE3FD5" w14:paraId="1D20A19A" w14:textId="77777777">
        <w:trPr>
          <w:trHeight w:val="494"/>
          <w:jc w:val="center"/>
        </w:trPr>
        <w:tc>
          <w:tcPr>
            <w:tcW w:w="1897" w:type="dxa"/>
            <w:tcBorders>
              <w:bottom w:val="single" w:sz="4" w:space="0" w:color="auto"/>
            </w:tcBorders>
          </w:tcPr>
          <w:p w14:paraId="7C4DF6D7" w14:textId="77777777" w:rsidR="00EE3FD5" w:rsidRDefault="00811C81">
            <w:pPr>
              <w:jc w:val="both"/>
              <w:rPr>
                <w:rFonts w:ascii="Arial" w:hAnsi="Arial"/>
                <w:b/>
                <w:bCs/>
              </w:rPr>
            </w:pPr>
            <w:r>
              <w:rPr>
                <w:rFonts w:ascii="Arial" w:hAnsi="Arial"/>
                <w:b/>
                <w:bCs/>
              </w:rPr>
              <w:t>Gender</w:t>
            </w:r>
          </w:p>
        </w:tc>
        <w:tc>
          <w:tcPr>
            <w:tcW w:w="2220" w:type="dxa"/>
            <w:tcBorders>
              <w:bottom w:val="single" w:sz="4" w:space="0" w:color="auto"/>
            </w:tcBorders>
          </w:tcPr>
          <w:p w14:paraId="56038E4A" w14:textId="77777777" w:rsidR="00EE3FD5" w:rsidRDefault="00811C81">
            <w:pPr>
              <w:jc w:val="both"/>
              <w:rPr>
                <w:rFonts w:ascii="Arial" w:hAnsi="Arial"/>
                <w:b/>
                <w:bCs/>
              </w:rPr>
            </w:pPr>
            <w:r>
              <w:rPr>
                <w:rFonts w:ascii="Arial" w:hAnsi="Arial"/>
                <w:b/>
                <w:bCs/>
              </w:rPr>
              <w:t>Frequency (n=195)</w:t>
            </w:r>
          </w:p>
        </w:tc>
        <w:tc>
          <w:tcPr>
            <w:tcW w:w="2300" w:type="dxa"/>
            <w:tcBorders>
              <w:bottom w:val="single" w:sz="4" w:space="0" w:color="auto"/>
            </w:tcBorders>
          </w:tcPr>
          <w:p w14:paraId="61769435" w14:textId="77777777" w:rsidR="00EE3FD5" w:rsidRDefault="00811C81">
            <w:pPr>
              <w:jc w:val="both"/>
              <w:rPr>
                <w:rFonts w:ascii="Arial" w:hAnsi="Arial"/>
                <w:b/>
                <w:bCs/>
              </w:rPr>
            </w:pPr>
            <w:r>
              <w:rPr>
                <w:rFonts w:ascii="Arial" w:hAnsi="Arial"/>
                <w:b/>
                <w:bCs/>
              </w:rPr>
              <w:t>Percentage (%)</w:t>
            </w:r>
          </w:p>
        </w:tc>
      </w:tr>
      <w:tr w:rsidR="00EE3FD5" w14:paraId="147192EE" w14:textId="77777777">
        <w:trPr>
          <w:trHeight w:val="539"/>
          <w:jc w:val="center"/>
          <w:hidden/>
        </w:trPr>
        <w:tc>
          <w:tcPr>
            <w:tcW w:w="1897" w:type="dxa"/>
            <w:tcBorders>
              <w:bottom w:val="single" w:sz="4" w:space="0" w:color="auto"/>
            </w:tcBorders>
          </w:tcPr>
          <w:p w14:paraId="07E45D73" w14:textId="77777777" w:rsidR="00EE3FD5" w:rsidRDefault="00EE3FD5">
            <w:pPr>
              <w:jc w:val="both"/>
              <w:rPr>
                <w:rFonts w:ascii="Arial" w:hAnsi="Arial"/>
                <w:vanish/>
              </w:rPr>
            </w:pPr>
          </w:p>
          <w:p w14:paraId="5EE1C9B6" w14:textId="77777777" w:rsidR="00EE3FD5" w:rsidRDefault="00811C81">
            <w:pPr>
              <w:jc w:val="both"/>
              <w:rPr>
                <w:rFonts w:ascii="Arial" w:hAnsi="Arial"/>
              </w:rPr>
            </w:pPr>
            <w:r>
              <w:rPr>
                <w:rFonts w:ascii="Arial" w:hAnsi="Arial"/>
              </w:rPr>
              <w:t>Male</w:t>
            </w:r>
          </w:p>
          <w:p w14:paraId="17042928" w14:textId="77777777" w:rsidR="00EE3FD5" w:rsidRDefault="00EE3FD5">
            <w:pPr>
              <w:jc w:val="both"/>
              <w:rPr>
                <w:rFonts w:ascii="Arial" w:hAnsi="Arial"/>
                <w:vanish/>
              </w:rPr>
            </w:pPr>
          </w:p>
          <w:p w14:paraId="15AB9570" w14:textId="77777777" w:rsidR="00EE3FD5" w:rsidRDefault="00811C81">
            <w:pPr>
              <w:jc w:val="both"/>
              <w:rPr>
                <w:rFonts w:ascii="Arial" w:hAnsi="Arial"/>
              </w:rPr>
            </w:pPr>
            <w:r>
              <w:rPr>
                <w:rFonts w:ascii="Arial" w:hAnsi="Arial"/>
              </w:rPr>
              <w:t>Female</w:t>
            </w:r>
          </w:p>
          <w:p w14:paraId="72909C1D" w14:textId="77777777" w:rsidR="00EE3FD5" w:rsidRDefault="00811C81">
            <w:pPr>
              <w:jc w:val="both"/>
              <w:rPr>
                <w:rFonts w:ascii="Arial" w:hAnsi="Arial"/>
              </w:rPr>
            </w:pPr>
            <w:r>
              <w:rPr>
                <w:rFonts w:ascii="Arial" w:hAnsi="Arial"/>
                <w:b/>
                <w:bCs/>
              </w:rPr>
              <w:t>Total</w:t>
            </w:r>
          </w:p>
        </w:tc>
        <w:tc>
          <w:tcPr>
            <w:tcW w:w="2220" w:type="dxa"/>
            <w:tcBorders>
              <w:bottom w:val="single" w:sz="4" w:space="0" w:color="auto"/>
            </w:tcBorders>
          </w:tcPr>
          <w:p w14:paraId="30C1E7BE" w14:textId="77777777" w:rsidR="00EE3FD5" w:rsidRDefault="00811C81">
            <w:pPr>
              <w:jc w:val="both"/>
              <w:rPr>
                <w:rFonts w:ascii="Arial" w:hAnsi="Arial"/>
              </w:rPr>
            </w:pPr>
            <w:r>
              <w:rPr>
                <w:rFonts w:ascii="Arial" w:hAnsi="Arial"/>
              </w:rPr>
              <w:t>85</w:t>
            </w:r>
          </w:p>
          <w:p w14:paraId="19E42A62" w14:textId="77777777" w:rsidR="00EE3FD5" w:rsidRDefault="00811C81">
            <w:pPr>
              <w:jc w:val="both"/>
              <w:rPr>
                <w:rFonts w:ascii="Arial" w:hAnsi="Arial"/>
              </w:rPr>
            </w:pPr>
            <w:r>
              <w:rPr>
                <w:rFonts w:ascii="Arial" w:hAnsi="Arial"/>
              </w:rPr>
              <w:t>110</w:t>
            </w:r>
          </w:p>
          <w:p w14:paraId="613ABA94" w14:textId="77777777" w:rsidR="00EE3FD5" w:rsidRDefault="00811C81">
            <w:pPr>
              <w:jc w:val="both"/>
              <w:rPr>
                <w:rFonts w:ascii="Arial" w:hAnsi="Arial"/>
                <w:b/>
                <w:bCs/>
              </w:rPr>
            </w:pPr>
            <w:r>
              <w:rPr>
                <w:rFonts w:ascii="Arial" w:hAnsi="Arial"/>
                <w:b/>
                <w:bCs/>
              </w:rPr>
              <w:t>195</w:t>
            </w:r>
          </w:p>
        </w:tc>
        <w:tc>
          <w:tcPr>
            <w:tcW w:w="2300" w:type="dxa"/>
            <w:tcBorders>
              <w:bottom w:val="single" w:sz="4" w:space="0" w:color="auto"/>
            </w:tcBorders>
          </w:tcPr>
          <w:p w14:paraId="2514BCD3" w14:textId="77777777" w:rsidR="00EE3FD5" w:rsidRDefault="00811C81">
            <w:pPr>
              <w:jc w:val="both"/>
              <w:rPr>
                <w:rFonts w:ascii="Arial" w:hAnsi="Arial" w:cs="Arial"/>
              </w:rPr>
            </w:pPr>
            <w:r>
              <w:rPr>
                <w:rFonts w:ascii="Arial" w:hAnsi="Arial" w:cs="Arial"/>
              </w:rPr>
              <w:t>43.6</w:t>
            </w:r>
          </w:p>
          <w:p w14:paraId="279CA433" w14:textId="77777777" w:rsidR="00EE3FD5" w:rsidRDefault="00811C81">
            <w:pPr>
              <w:jc w:val="both"/>
              <w:rPr>
                <w:rFonts w:ascii="Arial" w:hAnsi="Arial" w:cs="Arial"/>
              </w:rPr>
            </w:pPr>
            <w:r>
              <w:rPr>
                <w:rFonts w:ascii="Arial" w:hAnsi="Arial" w:cs="Arial"/>
              </w:rPr>
              <w:t>56.4</w:t>
            </w:r>
          </w:p>
          <w:p w14:paraId="3F53FF2F" w14:textId="77777777" w:rsidR="00EE3FD5" w:rsidRDefault="00811C81">
            <w:pPr>
              <w:jc w:val="both"/>
              <w:rPr>
                <w:rFonts w:ascii="Arial" w:hAnsi="Arial" w:cs="Arial"/>
              </w:rPr>
            </w:pPr>
            <w:r>
              <w:rPr>
                <w:rFonts w:ascii="Arial" w:hAnsi="Arial" w:cs="Arial"/>
                <w:b/>
                <w:bCs/>
              </w:rPr>
              <w:t>100</w:t>
            </w:r>
          </w:p>
        </w:tc>
      </w:tr>
    </w:tbl>
    <w:p w14:paraId="641E7AAB" w14:textId="77777777" w:rsidR="00EE3FD5" w:rsidRDefault="00811C81">
      <w:pPr>
        <w:tabs>
          <w:tab w:val="left" w:pos="5200"/>
        </w:tabs>
        <w:jc w:val="both"/>
        <w:rPr>
          <w:rFonts w:ascii="Arial" w:hAnsi="Arial" w:cs="Arial"/>
        </w:rPr>
      </w:pPr>
      <w:r>
        <w:rPr>
          <w:rFonts w:ascii="Arial" w:hAnsi="Arial" w:cs="Arial"/>
        </w:rPr>
        <w:t xml:space="preserve">The patients from Cross River state had the highest percentage (52.8%) while those from Anambra and Imo </w:t>
      </w:r>
      <w:r>
        <w:rPr>
          <w:rFonts w:ascii="Arial" w:hAnsi="Arial" w:cs="Arial"/>
        </w:rPr>
        <w:t>states had the lowest percentage (1.1%) (Table 3). The disparity is accrued to the facility being utilized mostly by the indigenes of Cross River State.</w:t>
      </w:r>
    </w:p>
    <w:p w14:paraId="0054D388" w14:textId="77777777" w:rsidR="00EE3FD5" w:rsidRDefault="00EE3FD5">
      <w:pPr>
        <w:tabs>
          <w:tab w:val="left" w:pos="5200"/>
        </w:tabs>
        <w:jc w:val="both"/>
        <w:rPr>
          <w:rFonts w:ascii="Arial" w:hAnsi="Arial" w:cs="Arial"/>
        </w:rPr>
      </w:pPr>
    </w:p>
    <w:p w14:paraId="5143C0FA" w14:textId="77777777" w:rsidR="00EE3FD5" w:rsidRDefault="00811C81">
      <w:pPr>
        <w:tabs>
          <w:tab w:val="left" w:pos="1080"/>
        </w:tabs>
        <w:jc w:val="both"/>
        <w:rPr>
          <w:rFonts w:ascii="Arial" w:hAnsi="Arial"/>
          <w:b/>
        </w:rPr>
      </w:pPr>
      <w:r>
        <w:rPr>
          <w:rFonts w:ascii="Arial" w:hAnsi="Arial"/>
          <w:b/>
        </w:rPr>
        <w:t>Table 3. Frequency distribution of patients based on state of origin</w:t>
      </w:r>
    </w:p>
    <w:p w14:paraId="2F4F15FB" w14:textId="77777777" w:rsidR="00EE3FD5" w:rsidRDefault="00EE3FD5">
      <w:pPr>
        <w:tabs>
          <w:tab w:val="left" w:pos="1080"/>
        </w:tabs>
        <w:jc w:val="both"/>
        <w:rPr>
          <w:rFonts w:ascii="Arial" w:hAnsi="Arial"/>
          <w:b/>
        </w:rPr>
      </w:pPr>
    </w:p>
    <w:tbl>
      <w:tblPr>
        <w:tblW w:w="641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97"/>
        <w:gridCol w:w="1995"/>
        <w:gridCol w:w="2525"/>
      </w:tblGrid>
      <w:tr w:rsidR="00EE3FD5" w14:paraId="210CC9CD" w14:textId="77777777">
        <w:trPr>
          <w:trHeight w:val="494"/>
          <w:jc w:val="center"/>
        </w:trPr>
        <w:tc>
          <w:tcPr>
            <w:tcW w:w="1897" w:type="dxa"/>
            <w:tcBorders>
              <w:bottom w:val="single" w:sz="4" w:space="0" w:color="auto"/>
            </w:tcBorders>
          </w:tcPr>
          <w:p w14:paraId="080B1A46" w14:textId="77777777" w:rsidR="00EE3FD5" w:rsidRDefault="00811C81">
            <w:pPr>
              <w:jc w:val="both"/>
              <w:rPr>
                <w:rFonts w:ascii="Arial" w:hAnsi="Arial"/>
                <w:b/>
                <w:bCs/>
              </w:rPr>
            </w:pPr>
            <w:r>
              <w:rPr>
                <w:rFonts w:ascii="Arial" w:hAnsi="Arial"/>
                <w:b/>
                <w:bCs/>
              </w:rPr>
              <w:t>State of Origin</w:t>
            </w:r>
          </w:p>
        </w:tc>
        <w:tc>
          <w:tcPr>
            <w:tcW w:w="1995" w:type="dxa"/>
            <w:tcBorders>
              <w:bottom w:val="single" w:sz="4" w:space="0" w:color="auto"/>
            </w:tcBorders>
          </w:tcPr>
          <w:p w14:paraId="2CFBABF9" w14:textId="77777777" w:rsidR="00EE3FD5" w:rsidRDefault="00811C81">
            <w:pPr>
              <w:jc w:val="both"/>
              <w:rPr>
                <w:rFonts w:ascii="Arial" w:hAnsi="Arial"/>
                <w:b/>
                <w:bCs/>
              </w:rPr>
            </w:pPr>
            <w:r>
              <w:rPr>
                <w:rFonts w:ascii="Arial" w:hAnsi="Arial"/>
                <w:b/>
                <w:bCs/>
              </w:rPr>
              <w:t>Frequency (n=195</w:t>
            </w:r>
            <w:r>
              <w:rPr>
                <w:rFonts w:ascii="Arial" w:hAnsi="Arial"/>
                <w:b/>
                <w:bCs/>
              </w:rPr>
              <w:t>)</w:t>
            </w:r>
          </w:p>
        </w:tc>
        <w:tc>
          <w:tcPr>
            <w:tcW w:w="2525" w:type="dxa"/>
            <w:tcBorders>
              <w:bottom w:val="single" w:sz="4" w:space="0" w:color="auto"/>
            </w:tcBorders>
          </w:tcPr>
          <w:p w14:paraId="4E01404E" w14:textId="77777777" w:rsidR="00EE3FD5" w:rsidRDefault="00811C81">
            <w:pPr>
              <w:jc w:val="both"/>
              <w:rPr>
                <w:rFonts w:ascii="Arial" w:hAnsi="Arial"/>
                <w:b/>
                <w:bCs/>
              </w:rPr>
            </w:pPr>
            <w:r>
              <w:rPr>
                <w:rFonts w:ascii="Arial" w:hAnsi="Arial"/>
                <w:b/>
                <w:bCs/>
              </w:rPr>
              <w:t>Percentage (%)</w:t>
            </w:r>
          </w:p>
        </w:tc>
      </w:tr>
      <w:tr w:rsidR="00EE3FD5" w14:paraId="20D20090" w14:textId="77777777">
        <w:trPr>
          <w:trHeight w:val="539"/>
          <w:jc w:val="center"/>
          <w:hidden/>
        </w:trPr>
        <w:tc>
          <w:tcPr>
            <w:tcW w:w="1897" w:type="dxa"/>
            <w:tcBorders>
              <w:bottom w:val="single" w:sz="4" w:space="0" w:color="auto"/>
            </w:tcBorders>
          </w:tcPr>
          <w:p w14:paraId="02A692AC" w14:textId="77777777" w:rsidR="00EE3FD5" w:rsidRDefault="00EE3FD5">
            <w:pPr>
              <w:jc w:val="both"/>
              <w:rPr>
                <w:rFonts w:ascii="Arial" w:hAnsi="Arial"/>
                <w:vanish/>
              </w:rPr>
            </w:pPr>
          </w:p>
          <w:p w14:paraId="4B5571C1" w14:textId="77777777" w:rsidR="00EE3FD5" w:rsidRDefault="00811C81">
            <w:pPr>
              <w:jc w:val="both"/>
              <w:rPr>
                <w:rFonts w:ascii="Arial" w:hAnsi="Arial"/>
              </w:rPr>
            </w:pPr>
            <w:r>
              <w:rPr>
                <w:rFonts w:ascii="Arial" w:hAnsi="Arial"/>
              </w:rPr>
              <w:t>Cross River</w:t>
            </w:r>
          </w:p>
          <w:p w14:paraId="27F9C578" w14:textId="77777777" w:rsidR="00EE3FD5" w:rsidRDefault="00811C81">
            <w:pPr>
              <w:jc w:val="both"/>
              <w:rPr>
                <w:rFonts w:ascii="Arial" w:hAnsi="Arial"/>
              </w:rPr>
            </w:pPr>
            <w:r>
              <w:rPr>
                <w:rFonts w:ascii="Arial" w:hAnsi="Arial"/>
              </w:rPr>
              <w:t>Akwa Ibom</w:t>
            </w:r>
          </w:p>
          <w:p w14:paraId="34195A98" w14:textId="77777777" w:rsidR="00EE3FD5" w:rsidRDefault="00811C81">
            <w:pPr>
              <w:jc w:val="both"/>
              <w:rPr>
                <w:rFonts w:ascii="Arial" w:hAnsi="Arial"/>
              </w:rPr>
            </w:pPr>
            <w:r>
              <w:rPr>
                <w:rFonts w:ascii="Arial" w:hAnsi="Arial"/>
              </w:rPr>
              <w:t>Rivers</w:t>
            </w:r>
          </w:p>
          <w:p w14:paraId="4BB5566E" w14:textId="77777777" w:rsidR="00EE3FD5" w:rsidRDefault="00811C81">
            <w:pPr>
              <w:jc w:val="both"/>
              <w:rPr>
                <w:rFonts w:ascii="Arial" w:hAnsi="Arial"/>
              </w:rPr>
            </w:pPr>
            <w:r>
              <w:rPr>
                <w:rFonts w:ascii="Arial" w:hAnsi="Arial"/>
              </w:rPr>
              <w:t>Abia</w:t>
            </w:r>
          </w:p>
          <w:p w14:paraId="06C1924E" w14:textId="77777777" w:rsidR="00EE3FD5" w:rsidRDefault="00811C81">
            <w:pPr>
              <w:jc w:val="both"/>
              <w:rPr>
                <w:rFonts w:ascii="Arial" w:hAnsi="Arial"/>
              </w:rPr>
            </w:pPr>
            <w:r>
              <w:rPr>
                <w:rFonts w:ascii="Arial" w:hAnsi="Arial"/>
              </w:rPr>
              <w:t>Delta</w:t>
            </w:r>
          </w:p>
          <w:p w14:paraId="4B1673BB" w14:textId="77777777" w:rsidR="00EE3FD5" w:rsidRDefault="00811C81">
            <w:pPr>
              <w:jc w:val="both"/>
              <w:rPr>
                <w:rFonts w:ascii="Arial" w:hAnsi="Arial"/>
              </w:rPr>
            </w:pPr>
            <w:r>
              <w:rPr>
                <w:rFonts w:ascii="Arial" w:hAnsi="Arial"/>
              </w:rPr>
              <w:t>Benue</w:t>
            </w:r>
          </w:p>
          <w:p w14:paraId="3762AC05" w14:textId="77777777" w:rsidR="00EE3FD5" w:rsidRDefault="00811C81">
            <w:pPr>
              <w:jc w:val="both"/>
              <w:rPr>
                <w:rFonts w:ascii="Arial" w:hAnsi="Arial"/>
              </w:rPr>
            </w:pPr>
            <w:r>
              <w:rPr>
                <w:rFonts w:ascii="Arial" w:hAnsi="Arial"/>
              </w:rPr>
              <w:t>Ebonyi</w:t>
            </w:r>
          </w:p>
          <w:p w14:paraId="5F6E028C" w14:textId="77777777" w:rsidR="00EE3FD5" w:rsidRDefault="00811C81">
            <w:pPr>
              <w:jc w:val="both"/>
              <w:rPr>
                <w:rFonts w:ascii="Arial" w:hAnsi="Arial"/>
              </w:rPr>
            </w:pPr>
            <w:r>
              <w:rPr>
                <w:rFonts w:ascii="Arial" w:hAnsi="Arial"/>
              </w:rPr>
              <w:t>Anambra</w:t>
            </w:r>
          </w:p>
          <w:p w14:paraId="1A64A0AF" w14:textId="77777777" w:rsidR="00EE3FD5" w:rsidRDefault="00811C81">
            <w:pPr>
              <w:jc w:val="both"/>
              <w:rPr>
                <w:rFonts w:ascii="Arial" w:hAnsi="Arial"/>
              </w:rPr>
            </w:pPr>
            <w:r>
              <w:rPr>
                <w:rFonts w:ascii="Arial" w:hAnsi="Arial"/>
              </w:rPr>
              <w:t>Imo</w:t>
            </w:r>
          </w:p>
        </w:tc>
        <w:tc>
          <w:tcPr>
            <w:tcW w:w="1995" w:type="dxa"/>
            <w:tcBorders>
              <w:bottom w:val="single" w:sz="4" w:space="0" w:color="auto"/>
            </w:tcBorders>
          </w:tcPr>
          <w:p w14:paraId="21751BAA" w14:textId="77777777" w:rsidR="00EE3FD5" w:rsidRDefault="00811C81">
            <w:pPr>
              <w:jc w:val="both"/>
              <w:rPr>
                <w:rFonts w:ascii="Arial" w:hAnsi="Arial"/>
              </w:rPr>
            </w:pPr>
            <w:r>
              <w:rPr>
                <w:rFonts w:ascii="Arial" w:hAnsi="Arial"/>
              </w:rPr>
              <w:t>103</w:t>
            </w:r>
          </w:p>
          <w:p w14:paraId="24B3042E" w14:textId="77777777" w:rsidR="00EE3FD5" w:rsidRDefault="00811C81">
            <w:pPr>
              <w:jc w:val="both"/>
              <w:rPr>
                <w:rFonts w:ascii="Arial" w:hAnsi="Arial"/>
              </w:rPr>
            </w:pPr>
            <w:r>
              <w:rPr>
                <w:rFonts w:ascii="Arial" w:hAnsi="Arial"/>
              </w:rPr>
              <w:t>38</w:t>
            </w:r>
          </w:p>
          <w:p w14:paraId="02B40DC4" w14:textId="77777777" w:rsidR="00EE3FD5" w:rsidRDefault="00811C81">
            <w:pPr>
              <w:jc w:val="both"/>
              <w:rPr>
                <w:rFonts w:ascii="Arial" w:hAnsi="Arial"/>
              </w:rPr>
            </w:pPr>
            <w:r>
              <w:rPr>
                <w:rFonts w:ascii="Arial" w:hAnsi="Arial"/>
              </w:rPr>
              <w:t>27</w:t>
            </w:r>
          </w:p>
          <w:p w14:paraId="5080BC65" w14:textId="77777777" w:rsidR="00EE3FD5" w:rsidRDefault="00811C81">
            <w:pPr>
              <w:jc w:val="both"/>
              <w:rPr>
                <w:rFonts w:ascii="Arial" w:hAnsi="Arial"/>
              </w:rPr>
            </w:pPr>
            <w:r>
              <w:rPr>
                <w:rFonts w:ascii="Arial" w:hAnsi="Arial"/>
              </w:rPr>
              <w:t>8</w:t>
            </w:r>
          </w:p>
          <w:p w14:paraId="75C83E44" w14:textId="77777777" w:rsidR="00EE3FD5" w:rsidRDefault="00811C81">
            <w:pPr>
              <w:jc w:val="both"/>
              <w:rPr>
                <w:rFonts w:ascii="Arial" w:hAnsi="Arial"/>
              </w:rPr>
            </w:pPr>
            <w:r>
              <w:rPr>
                <w:rFonts w:ascii="Arial" w:hAnsi="Arial"/>
              </w:rPr>
              <w:t>7</w:t>
            </w:r>
          </w:p>
          <w:p w14:paraId="1E09A3CD" w14:textId="77777777" w:rsidR="00EE3FD5" w:rsidRDefault="00811C81">
            <w:pPr>
              <w:jc w:val="both"/>
              <w:rPr>
                <w:rFonts w:ascii="Arial" w:hAnsi="Arial"/>
              </w:rPr>
            </w:pPr>
            <w:r>
              <w:rPr>
                <w:rFonts w:ascii="Arial" w:hAnsi="Arial"/>
              </w:rPr>
              <w:t>5</w:t>
            </w:r>
          </w:p>
          <w:p w14:paraId="72DDB4EE" w14:textId="77777777" w:rsidR="00EE3FD5" w:rsidRDefault="00811C81">
            <w:pPr>
              <w:jc w:val="both"/>
              <w:rPr>
                <w:rFonts w:ascii="Arial" w:hAnsi="Arial"/>
              </w:rPr>
            </w:pPr>
            <w:r>
              <w:rPr>
                <w:rFonts w:ascii="Arial" w:hAnsi="Arial"/>
              </w:rPr>
              <w:t>3</w:t>
            </w:r>
          </w:p>
          <w:p w14:paraId="3E72F6E9" w14:textId="77777777" w:rsidR="00EE3FD5" w:rsidRDefault="00811C81">
            <w:pPr>
              <w:jc w:val="both"/>
              <w:rPr>
                <w:rFonts w:ascii="Arial" w:hAnsi="Arial"/>
              </w:rPr>
            </w:pPr>
            <w:r>
              <w:rPr>
                <w:rFonts w:ascii="Arial" w:hAnsi="Arial"/>
              </w:rPr>
              <w:t>2</w:t>
            </w:r>
          </w:p>
          <w:p w14:paraId="5B772A93" w14:textId="77777777" w:rsidR="00EE3FD5" w:rsidRDefault="00811C81">
            <w:pPr>
              <w:jc w:val="both"/>
              <w:rPr>
                <w:rFonts w:ascii="Arial" w:hAnsi="Arial"/>
                <w:b/>
                <w:bCs/>
              </w:rPr>
            </w:pPr>
            <w:r>
              <w:rPr>
                <w:rFonts w:ascii="Arial" w:hAnsi="Arial"/>
              </w:rPr>
              <w:t>2</w:t>
            </w:r>
          </w:p>
        </w:tc>
        <w:tc>
          <w:tcPr>
            <w:tcW w:w="2525" w:type="dxa"/>
            <w:tcBorders>
              <w:bottom w:val="single" w:sz="4" w:space="0" w:color="auto"/>
            </w:tcBorders>
          </w:tcPr>
          <w:p w14:paraId="05A932C1" w14:textId="77777777" w:rsidR="00EE3FD5" w:rsidRDefault="00811C81">
            <w:pPr>
              <w:jc w:val="both"/>
              <w:rPr>
                <w:rFonts w:ascii="Arial" w:hAnsi="Arial" w:cs="Arial"/>
              </w:rPr>
            </w:pPr>
            <w:r>
              <w:rPr>
                <w:rFonts w:ascii="Arial" w:hAnsi="Arial" w:cs="Arial"/>
              </w:rPr>
              <w:t>52.8</w:t>
            </w:r>
          </w:p>
          <w:p w14:paraId="470CD86D" w14:textId="77777777" w:rsidR="00EE3FD5" w:rsidRDefault="00811C81">
            <w:pPr>
              <w:jc w:val="both"/>
              <w:rPr>
                <w:rFonts w:ascii="Arial" w:hAnsi="Arial" w:cs="Arial"/>
              </w:rPr>
            </w:pPr>
            <w:r>
              <w:rPr>
                <w:rFonts w:ascii="Arial" w:hAnsi="Arial" w:cs="Arial"/>
              </w:rPr>
              <w:t>19.5</w:t>
            </w:r>
          </w:p>
          <w:p w14:paraId="52D79DEC" w14:textId="77777777" w:rsidR="00EE3FD5" w:rsidRDefault="00811C81">
            <w:pPr>
              <w:jc w:val="both"/>
              <w:rPr>
                <w:rFonts w:ascii="Arial" w:hAnsi="Arial" w:cs="Arial"/>
              </w:rPr>
            </w:pPr>
            <w:r>
              <w:rPr>
                <w:rFonts w:ascii="Arial" w:hAnsi="Arial" w:cs="Arial"/>
              </w:rPr>
              <w:t>13.8</w:t>
            </w:r>
          </w:p>
          <w:p w14:paraId="34D235C9" w14:textId="77777777" w:rsidR="00EE3FD5" w:rsidRDefault="00811C81">
            <w:pPr>
              <w:jc w:val="both"/>
              <w:rPr>
                <w:rFonts w:ascii="Arial" w:hAnsi="Arial" w:cs="Arial"/>
              </w:rPr>
            </w:pPr>
            <w:r>
              <w:rPr>
                <w:rFonts w:ascii="Arial" w:hAnsi="Arial" w:cs="Arial"/>
              </w:rPr>
              <w:t>4.2</w:t>
            </w:r>
          </w:p>
          <w:p w14:paraId="7F662BB2" w14:textId="77777777" w:rsidR="00EE3FD5" w:rsidRDefault="00811C81">
            <w:pPr>
              <w:jc w:val="both"/>
              <w:rPr>
                <w:rFonts w:ascii="Arial" w:hAnsi="Arial" w:cs="Arial"/>
              </w:rPr>
            </w:pPr>
            <w:r>
              <w:rPr>
                <w:rFonts w:ascii="Arial" w:hAnsi="Arial" w:cs="Arial"/>
              </w:rPr>
              <w:t>3.6</w:t>
            </w:r>
          </w:p>
          <w:p w14:paraId="0DA7370A" w14:textId="77777777" w:rsidR="00EE3FD5" w:rsidRDefault="00811C81">
            <w:pPr>
              <w:jc w:val="both"/>
              <w:rPr>
                <w:rFonts w:ascii="Arial" w:hAnsi="Arial" w:cs="Arial"/>
              </w:rPr>
            </w:pPr>
            <w:r>
              <w:rPr>
                <w:rFonts w:ascii="Arial" w:hAnsi="Arial" w:cs="Arial"/>
              </w:rPr>
              <w:t>2.6</w:t>
            </w:r>
          </w:p>
          <w:p w14:paraId="62F73959" w14:textId="77777777" w:rsidR="00EE3FD5" w:rsidRDefault="00811C81">
            <w:pPr>
              <w:jc w:val="both"/>
              <w:rPr>
                <w:rFonts w:ascii="Arial" w:hAnsi="Arial" w:cs="Arial"/>
              </w:rPr>
            </w:pPr>
            <w:r>
              <w:rPr>
                <w:rFonts w:ascii="Arial" w:hAnsi="Arial" w:cs="Arial"/>
              </w:rPr>
              <w:t>1.5</w:t>
            </w:r>
          </w:p>
          <w:p w14:paraId="415FE672" w14:textId="77777777" w:rsidR="00EE3FD5" w:rsidRDefault="00811C81">
            <w:pPr>
              <w:jc w:val="both"/>
              <w:rPr>
                <w:rFonts w:ascii="Arial" w:hAnsi="Arial" w:cs="Arial"/>
              </w:rPr>
            </w:pPr>
            <w:r>
              <w:rPr>
                <w:rFonts w:ascii="Arial" w:hAnsi="Arial" w:cs="Arial"/>
              </w:rPr>
              <w:t>1.1</w:t>
            </w:r>
          </w:p>
          <w:p w14:paraId="17187876" w14:textId="77777777" w:rsidR="00EE3FD5" w:rsidRDefault="00811C81">
            <w:pPr>
              <w:jc w:val="both"/>
              <w:rPr>
                <w:rFonts w:ascii="Arial" w:hAnsi="Arial" w:cs="Arial"/>
              </w:rPr>
            </w:pPr>
            <w:r>
              <w:rPr>
                <w:rFonts w:ascii="Arial" w:hAnsi="Arial" w:cs="Arial"/>
              </w:rPr>
              <w:t>1.1</w:t>
            </w:r>
          </w:p>
        </w:tc>
      </w:tr>
    </w:tbl>
    <w:p w14:paraId="336C68E8" w14:textId="77777777" w:rsidR="00EE3FD5" w:rsidRDefault="00EE3FD5">
      <w:pPr>
        <w:pStyle w:val="Body"/>
        <w:spacing w:after="0"/>
        <w:rPr>
          <w:rFonts w:ascii="Arial" w:hAnsi="Arial" w:cs="Arial"/>
        </w:rPr>
      </w:pPr>
    </w:p>
    <w:p w14:paraId="610168E4" w14:textId="77777777" w:rsidR="00EE3FD5" w:rsidRDefault="00811C81">
      <w:pPr>
        <w:pStyle w:val="Body"/>
        <w:spacing w:after="0"/>
        <w:rPr>
          <w:rFonts w:ascii="Arial" w:hAnsi="Arial" w:cs="Arial"/>
        </w:rPr>
      </w:pPr>
      <w:r>
        <w:rPr>
          <w:rFonts w:ascii="Arial" w:hAnsi="Arial"/>
        </w:rPr>
        <w:t xml:space="preserve">The highest percentage of male (19.5%) and female patients (22.1%) with dementia visited the Federal </w:t>
      </w:r>
      <w:r>
        <w:rPr>
          <w:rFonts w:ascii="Arial" w:hAnsi="Arial"/>
        </w:rPr>
        <w:t>Neuro-Psychiatric Hospital from 2011 to 2014. The lowest percentage of male (8.2%) and female patients (14.8%) with dementia visited the facility between 2019 and 2021.</w:t>
      </w:r>
    </w:p>
    <w:p w14:paraId="0E21E027" w14:textId="77777777" w:rsidR="00EE3FD5" w:rsidRDefault="00EE3FD5">
      <w:pPr>
        <w:pStyle w:val="Body"/>
        <w:spacing w:after="0"/>
        <w:rPr>
          <w:rFonts w:ascii="Arial" w:hAnsi="Arial" w:cs="Arial"/>
        </w:rPr>
      </w:pPr>
    </w:p>
    <w:p w14:paraId="44A0EC2B" w14:textId="77777777" w:rsidR="00EE3FD5" w:rsidRDefault="00811C81">
      <w:pPr>
        <w:spacing w:line="360" w:lineRule="auto"/>
        <w:rPr>
          <w:rFonts w:ascii="Arial" w:hAnsi="Arial" w:cs="Arial"/>
          <w:b/>
          <w:bCs/>
          <w:szCs w:val="22"/>
        </w:rPr>
      </w:pPr>
      <w:r>
        <w:rPr>
          <w:noProof/>
        </w:rPr>
        <w:lastRenderedPageBreak/>
        <w:drawing>
          <wp:inline distT="0" distB="0" distL="114300" distR="114300" wp14:anchorId="11E03111" wp14:editId="60C705FB">
            <wp:extent cx="4530725" cy="2466975"/>
            <wp:effectExtent l="4445" t="5080" r="17780" b="4445"/>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9109B5" w14:textId="77777777" w:rsidR="00EE3FD5" w:rsidRDefault="00811C81">
      <w:pPr>
        <w:autoSpaceDE w:val="0"/>
        <w:autoSpaceDN w:val="0"/>
        <w:adjustRightInd w:val="0"/>
        <w:jc w:val="both"/>
        <w:rPr>
          <w:rFonts w:ascii="Arial" w:hAnsi="Arial"/>
          <w:b/>
          <w:bCs/>
          <w:szCs w:val="22"/>
        </w:rPr>
      </w:pPr>
      <w:r>
        <w:rPr>
          <w:rFonts w:ascii="Arial" w:hAnsi="Arial" w:cs="Arial"/>
          <w:b/>
          <w:bCs/>
          <w:szCs w:val="22"/>
        </w:rPr>
        <w:t xml:space="preserve">Fig. 1. </w:t>
      </w:r>
      <w:r>
        <w:rPr>
          <w:rFonts w:ascii="Arial" w:hAnsi="Arial"/>
          <w:b/>
          <w:bCs/>
          <w:szCs w:val="22"/>
        </w:rPr>
        <w:t>Frequency of dementia based on duration</w:t>
      </w:r>
    </w:p>
    <w:p w14:paraId="132E47AA" w14:textId="77777777" w:rsidR="00EE3FD5" w:rsidRDefault="00EE3FD5">
      <w:pPr>
        <w:autoSpaceDE w:val="0"/>
        <w:autoSpaceDN w:val="0"/>
        <w:adjustRightInd w:val="0"/>
        <w:jc w:val="both"/>
        <w:rPr>
          <w:rFonts w:ascii="Arial" w:hAnsi="Arial"/>
          <w:b/>
          <w:bCs/>
          <w:szCs w:val="22"/>
        </w:rPr>
      </w:pPr>
    </w:p>
    <w:p w14:paraId="717FEF3D" w14:textId="77777777" w:rsidR="00EE3FD5" w:rsidRDefault="00811C81">
      <w:pPr>
        <w:autoSpaceDE w:val="0"/>
        <w:autoSpaceDN w:val="0"/>
        <w:adjustRightInd w:val="0"/>
        <w:jc w:val="both"/>
        <w:rPr>
          <w:rFonts w:ascii="Arial" w:hAnsi="Arial"/>
          <w:szCs w:val="22"/>
        </w:rPr>
      </w:pPr>
      <w:r>
        <w:rPr>
          <w:rFonts w:ascii="Arial" w:hAnsi="Arial"/>
          <w:szCs w:val="22"/>
        </w:rPr>
        <w:t>The predominant type of dementia at</w:t>
      </w:r>
      <w:r>
        <w:rPr>
          <w:rFonts w:ascii="Arial" w:hAnsi="Arial"/>
          <w:szCs w:val="22"/>
        </w:rPr>
        <w:t xml:space="preserve"> the Federal Neuro-Psychiatric Hospital within the duration of 2011 to 2021 was Alzheimer’s disease (57.9%) (Fig. 2).</w:t>
      </w:r>
    </w:p>
    <w:p w14:paraId="5409F6FD" w14:textId="77777777" w:rsidR="00EE3FD5" w:rsidRDefault="00EE3FD5">
      <w:pPr>
        <w:autoSpaceDE w:val="0"/>
        <w:autoSpaceDN w:val="0"/>
        <w:adjustRightInd w:val="0"/>
        <w:jc w:val="both"/>
        <w:rPr>
          <w:rFonts w:ascii="Arial" w:hAnsi="Arial"/>
          <w:szCs w:val="22"/>
        </w:rPr>
      </w:pPr>
    </w:p>
    <w:p w14:paraId="1D551D42" w14:textId="77777777" w:rsidR="00EE3FD5" w:rsidRDefault="00811C81">
      <w:pPr>
        <w:tabs>
          <w:tab w:val="left" w:pos="1080"/>
        </w:tabs>
        <w:jc w:val="both"/>
        <w:rPr>
          <w:rFonts w:ascii="Arial" w:hAnsi="Arial"/>
          <w:b/>
        </w:rPr>
      </w:pPr>
      <w:r>
        <w:rPr>
          <w:noProof/>
        </w:rPr>
        <w:drawing>
          <wp:inline distT="0" distB="0" distL="114300" distR="114300" wp14:anchorId="4E3D5FD9" wp14:editId="2392F6BA">
            <wp:extent cx="4387850" cy="2336800"/>
            <wp:effectExtent l="4445" t="5080" r="8255" b="2032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501C2E" w14:textId="77777777" w:rsidR="00EE3FD5" w:rsidRDefault="00EE3FD5">
      <w:pPr>
        <w:autoSpaceDE w:val="0"/>
        <w:autoSpaceDN w:val="0"/>
        <w:adjustRightInd w:val="0"/>
        <w:jc w:val="both"/>
        <w:rPr>
          <w:rFonts w:ascii="Arial" w:hAnsi="Arial" w:cs="Arial"/>
          <w:b/>
          <w:bCs/>
          <w:szCs w:val="22"/>
        </w:rPr>
      </w:pPr>
    </w:p>
    <w:p w14:paraId="4D55FB2F" w14:textId="77777777" w:rsidR="00EE3FD5" w:rsidRDefault="00811C81">
      <w:pPr>
        <w:autoSpaceDE w:val="0"/>
        <w:autoSpaceDN w:val="0"/>
        <w:adjustRightInd w:val="0"/>
        <w:jc w:val="both"/>
        <w:rPr>
          <w:rFonts w:ascii="Arial" w:hAnsi="Arial"/>
          <w:b/>
          <w:bCs/>
          <w:szCs w:val="22"/>
        </w:rPr>
      </w:pPr>
      <w:r>
        <w:rPr>
          <w:rFonts w:ascii="Arial" w:hAnsi="Arial" w:cs="Arial"/>
          <w:b/>
          <w:bCs/>
          <w:szCs w:val="22"/>
        </w:rPr>
        <w:t xml:space="preserve">Fig. 2. </w:t>
      </w:r>
      <w:r>
        <w:rPr>
          <w:rFonts w:ascii="Arial" w:hAnsi="Arial"/>
          <w:b/>
          <w:bCs/>
          <w:szCs w:val="22"/>
        </w:rPr>
        <w:t>Frequency distribution of patients based on the type of dementia</w:t>
      </w:r>
    </w:p>
    <w:p w14:paraId="7692182E" w14:textId="77777777" w:rsidR="00EE3FD5" w:rsidRDefault="00EE3FD5">
      <w:pPr>
        <w:tabs>
          <w:tab w:val="left" w:pos="1080"/>
        </w:tabs>
        <w:jc w:val="both"/>
        <w:rPr>
          <w:rFonts w:ascii="Arial" w:hAnsi="Arial"/>
          <w:b/>
        </w:rPr>
      </w:pPr>
    </w:p>
    <w:p w14:paraId="5DB6A24E" w14:textId="77777777" w:rsidR="00EE3FD5" w:rsidRDefault="00811C81">
      <w:pPr>
        <w:pStyle w:val="Head1"/>
        <w:spacing w:after="0"/>
        <w:jc w:val="both"/>
        <w:rPr>
          <w:rFonts w:ascii="Arial" w:hAnsi="Arial" w:cs="Arial"/>
        </w:rPr>
      </w:pPr>
      <w:r>
        <w:rPr>
          <w:rFonts w:ascii="Arial" w:hAnsi="Arial" w:cs="Arial"/>
        </w:rPr>
        <w:t>4. DISCUSSION</w:t>
      </w:r>
    </w:p>
    <w:p w14:paraId="427D8571" w14:textId="77777777" w:rsidR="00EE3FD5" w:rsidRDefault="00EE3FD5">
      <w:pPr>
        <w:pStyle w:val="ConcHead"/>
        <w:spacing w:after="0"/>
        <w:jc w:val="both"/>
        <w:rPr>
          <w:rFonts w:ascii="Arial" w:hAnsi="Arial" w:cs="Arial"/>
        </w:rPr>
      </w:pPr>
    </w:p>
    <w:p w14:paraId="64752A99" w14:textId="77777777" w:rsidR="00EE3FD5" w:rsidRDefault="00811C81">
      <w:pPr>
        <w:pStyle w:val="Heading1"/>
        <w:shd w:val="clear" w:color="auto" w:fill="FFFFFF"/>
        <w:spacing w:beforeAutospacing="0" w:after="240" w:afterAutospacing="0"/>
        <w:jc w:val="both"/>
        <w:rPr>
          <w:rFonts w:ascii="Arial" w:hAnsi="Arial" w:cs="Arial" w:hint="default"/>
          <w:b w:val="0"/>
          <w:bCs w:val="0"/>
          <w:sz w:val="20"/>
          <w:szCs w:val="20"/>
        </w:rPr>
      </w:pPr>
      <w:r>
        <w:rPr>
          <w:rFonts w:ascii="Arial" w:hAnsi="Arial" w:cs="Arial" w:hint="default"/>
          <w:b w:val="0"/>
          <w:bCs w:val="0"/>
          <w:sz w:val="20"/>
          <w:szCs w:val="20"/>
          <w:lang w:val="en-GB"/>
        </w:rPr>
        <w:t xml:space="preserve">Mental health is a vital part of our </w:t>
      </w:r>
      <w:proofErr w:type="spellStart"/>
      <w:r>
        <w:rPr>
          <w:rFonts w:ascii="Arial" w:hAnsi="Arial" w:cs="Arial" w:hint="default"/>
          <w:b w:val="0"/>
          <w:bCs w:val="0"/>
          <w:sz w:val="20"/>
          <w:szCs w:val="20"/>
          <w:lang w:val="en-GB"/>
        </w:rPr>
        <w:t>well bei</w:t>
      </w:r>
      <w:r>
        <w:rPr>
          <w:rFonts w:ascii="Arial" w:hAnsi="Arial" w:cs="Arial" w:hint="default"/>
          <w:b w:val="0"/>
          <w:bCs w:val="0"/>
          <w:sz w:val="20"/>
          <w:szCs w:val="20"/>
          <w:lang w:val="en-GB"/>
        </w:rPr>
        <w:t>ng</w:t>
      </w:r>
      <w:proofErr w:type="spellEnd"/>
      <w:r>
        <w:rPr>
          <w:rFonts w:ascii="Arial" w:hAnsi="Arial" w:cs="Arial" w:hint="default"/>
          <w:b w:val="0"/>
          <w:bCs w:val="0"/>
          <w:sz w:val="20"/>
          <w:szCs w:val="20"/>
          <w:lang w:val="en-GB"/>
        </w:rPr>
        <w:t xml:space="preserve"> and a slight deviation from stability affects the productivity of the individual </w:t>
      </w:r>
      <w:r>
        <w:rPr>
          <w:rFonts w:ascii="Arial" w:hAnsi="Arial" w:cs="Arial" w:hint="default"/>
          <w:b w:val="0"/>
          <w:bCs w:val="0"/>
          <w:kern w:val="0"/>
          <w:sz w:val="20"/>
          <w:szCs w:val="20"/>
          <w:lang w:bidi="ar"/>
        </w:rPr>
        <w:t>(</w:t>
      </w:r>
      <w:proofErr w:type="spellStart"/>
      <w:r>
        <w:rPr>
          <w:rFonts w:ascii="Arial" w:hAnsi="Arial" w:cs="Arial" w:hint="default"/>
          <w:b w:val="0"/>
          <w:bCs w:val="0"/>
          <w:kern w:val="0"/>
          <w:sz w:val="20"/>
          <w:szCs w:val="20"/>
          <w:lang w:bidi="ar"/>
        </w:rPr>
        <w:t>Fadele</w:t>
      </w:r>
      <w:proofErr w:type="spellEnd"/>
      <w:r>
        <w:rPr>
          <w:rFonts w:ascii="Arial" w:hAnsi="Arial" w:cs="Arial" w:hint="default"/>
          <w:b w:val="0"/>
          <w:bCs w:val="0"/>
          <w:kern w:val="0"/>
          <w:sz w:val="20"/>
          <w:szCs w:val="20"/>
          <w:lang w:bidi="ar"/>
        </w:rPr>
        <w:t xml:space="preserve"> </w:t>
      </w:r>
      <w:r>
        <w:rPr>
          <w:rFonts w:ascii="Arial" w:hAnsi="Arial" w:cs="Arial" w:hint="default"/>
          <w:b w:val="0"/>
          <w:bCs w:val="0"/>
          <w:i/>
          <w:iCs/>
          <w:kern w:val="0"/>
          <w:sz w:val="20"/>
          <w:szCs w:val="20"/>
          <w:lang w:bidi="ar"/>
        </w:rPr>
        <w:t>et al</w:t>
      </w:r>
      <w:r>
        <w:rPr>
          <w:rFonts w:ascii="Arial" w:hAnsi="Arial" w:cs="Arial" w:hint="default"/>
          <w:b w:val="0"/>
          <w:bCs w:val="0"/>
          <w:kern w:val="0"/>
          <w:sz w:val="20"/>
          <w:szCs w:val="20"/>
          <w:lang w:bidi="ar"/>
        </w:rPr>
        <w:t>., 2024)</w:t>
      </w:r>
      <w:r>
        <w:rPr>
          <w:rFonts w:ascii="Arial" w:hAnsi="Arial" w:cs="Arial" w:hint="default"/>
          <w:b w:val="0"/>
          <w:bCs w:val="0"/>
          <w:sz w:val="20"/>
          <w:szCs w:val="20"/>
          <w:lang w:val="en-GB"/>
        </w:rPr>
        <w:t xml:space="preserve">. </w:t>
      </w:r>
      <w:r>
        <w:rPr>
          <w:rFonts w:ascii="Arial" w:hAnsi="Arial" w:cs="Arial" w:hint="default"/>
          <w:b w:val="0"/>
          <w:bCs w:val="0"/>
          <w:sz w:val="20"/>
          <w:szCs w:val="20"/>
        </w:rPr>
        <w:t xml:space="preserve">Currently, the mechanism by which the variants of dementia occur at the molecular level are not well understood (Cantone, 2023). The review by Zhang </w:t>
      </w:r>
      <w:r>
        <w:rPr>
          <w:rFonts w:ascii="Arial" w:hAnsi="Arial" w:cs="Arial" w:hint="default"/>
          <w:b w:val="0"/>
          <w:bCs w:val="0"/>
          <w:i/>
          <w:iCs/>
          <w:sz w:val="20"/>
          <w:szCs w:val="20"/>
        </w:rPr>
        <w:t>et al</w:t>
      </w:r>
      <w:r>
        <w:rPr>
          <w:rFonts w:ascii="Arial" w:hAnsi="Arial" w:cs="Arial" w:hint="default"/>
          <w:b w:val="0"/>
          <w:bCs w:val="0"/>
          <w:sz w:val="20"/>
          <w:szCs w:val="20"/>
        </w:rPr>
        <w:t xml:space="preserve">. (2024) on recent advances in Alzheimer’s disease as regards the mechanisms, clinical trials and new drug development strategies showed that the pivotal factors involved in combating </w:t>
      </w:r>
      <w:proofErr w:type="spellStart"/>
      <w:r>
        <w:rPr>
          <w:rFonts w:ascii="Arial" w:hAnsi="Arial" w:cs="Arial" w:hint="default"/>
          <w:b w:val="0"/>
          <w:bCs w:val="0"/>
          <w:sz w:val="20"/>
          <w:szCs w:val="20"/>
        </w:rPr>
        <w:t>alzheimer’s</w:t>
      </w:r>
      <w:proofErr w:type="spellEnd"/>
      <w:r>
        <w:rPr>
          <w:rFonts w:ascii="Arial" w:hAnsi="Arial" w:cs="Arial" w:hint="default"/>
          <w:b w:val="0"/>
          <w:bCs w:val="0"/>
          <w:sz w:val="20"/>
          <w:szCs w:val="20"/>
        </w:rPr>
        <w:t xml:space="preserve"> disease are prevention, early diagnosis and treatment (Zhang </w:t>
      </w:r>
      <w:r>
        <w:rPr>
          <w:rFonts w:ascii="Arial" w:hAnsi="Arial" w:cs="Arial" w:hint="default"/>
          <w:b w:val="0"/>
          <w:bCs w:val="0"/>
          <w:i/>
          <w:iCs/>
          <w:sz w:val="20"/>
          <w:szCs w:val="20"/>
        </w:rPr>
        <w:t>et al.</w:t>
      </w:r>
      <w:r>
        <w:rPr>
          <w:rFonts w:ascii="Arial" w:hAnsi="Arial" w:cs="Arial" w:hint="default"/>
          <w:b w:val="0"/>
          <w:bCs w:val="0"/>
          <w:sz w:val="20"/>
          <w:szCs w:val="20"/>
        </w:rPr>
        <w:t>, 2024).</w:t>
      </w:r>
    </w:p>
    <w:p w14:paraId="7DF014A8" w14:textId="77777777" w:rsidR="00EE3FD5" w:rsidRDefault="00811C81">
      <w:pPr>
        <w:jc w:val="both"/>
        <w:rPr>
          <w:rFonts w:ascii="Arial" w:hAnsi="Arial" w:cs="Arial"/>
        </w:rPr>
      </w:pPr>
      <w:r>
        <w:rPr>
          <w:rFonts w:ascii="Arial" w:hAnsi="Arial" w:cs="Arial"/>
        </w:rPr>
        <w:t>Globally, the number of dementia cases in 2021 was estimated to be 55 million, with close to 10 million new cases each year (World Health Organization, 2022). An estimate of 58% p</w:t>
      </w:r>
      <w:r>
        <w:rPr>
          <w:rFonts w:ascii="Arial" w:hAnsi="Arial" w:cs="Arial"/>
        </w:rPr>
        <w:t xml:space="preserve">eople with dementia are living in </w:t>
      </w:r>
      <w:proofErr w:type="gramStart"/>
      <w:r>
        <w:rPr>
          <w:rFonts w:ascii="Arial" w:hAnsi="Arial" w:cs="Arial"/>
        </w:rPr>
        <w:t>low and middle income</w:t>
      </w:r>
      <w:proofErr w:type="gramEnd"/>
      <w:r>
        <w:rPr>
          <w:rFonts w:ascii="Arial" w:hAnsi="Arial" w:cs="Arial"/>
        </w:rPr>
        <w:t xml:space="preserve"> countries (Prince </w:t>
      </w:r>
      <w:r>
        <w:rPr>
          <w:rFonts w:ascii="Arial" w:hAnsi="Arial" w:cs="Arial"/>
          <w:i/>
          <w:iCs/>
        </w:rPr>
        <w:t>et al.</w:t>
      </w:r>
      <w:r>
        <w:rPr>
          <w:rFonts w:ascii="Arial" w:hAnsi="Arial" w:cs="Arial"/>
        </w:rPr>
        <w:t>, 2018). The prevalence of dementia differs in different world regions, ranging from 4.7% in Central Europe to 8.7% in North Africa/ Middle East; the prevalence in other region</w:t>
      </w:r>
      <w:r>
        <w:rPr>
          <w:rFonts w:ascii="Arial" w:hAnsi="Arial" w:cs="Arial"/>
        </w:rPr>
        <w:t xml:space="preserve">s has been estimated to be between 5.6% to 7.6% (Prince et al., 2016). The number of people living with dementia is estimated to double every twenty (20) years. </w:t>
      </w:r>
      <w:proofErr w:type="gramStart"/>
      <w:r>
        <w:rPr>
          <w:rFonts w:ascii="Arial" w:hAnsi="Arial" w:cs="Arial"/>
        </w:rPr>
        <w:t>In  1990</w:t>
      </w:r>
      <w:proofErr w:type="gramEnd"/>
      <w:r>
        <w:rPr>
          <w:rFonts w:ascii="Arial" w:hAnsi="Arial" w:cs="Arial"/>
          <w:lang w:val="en-GB"/>
        </w:rPr>
        <w:t>,</w:t>
      </w:r>
      <w:r>
        <w:rPr>
          <w:rFonts w:ascii="Arial" w:hAnsi="Arial" w:cs="Arial"/>
        </w:rPr>
        <w:t xml:space="preserve"> 0.8 million deaths were recorded as a result of dementia and by 2016, dementia result</w:t>
      </w:r>
      <w:r>
        <w:rPr>
          <w:rFonts w:ascii="Arial" w:hAnsi="Arial" w:cs="Arial"/>
        </w:rPr>
        <w:t>ed in about 2.4 million deaths (Wang, 2016).</w:t>
      </w:r>
    </w:p>
    <w:p w14:paraId="7E557281" w14:textId="77777777" w:rsidR="00EE3FD5" w:rsidRDefault="00EE3FD5">
      <w:pPr>
        <w:jc w:val="both"/>
        <w:rPr>
          <w:rFonts w:ascii="Arial" w:hAnsi="Arial" w:cs="Arial"/>
        </w:rPr>
      </w:pPr>
    </w:p>
    <w:p w14:paraId="2F16BA46" w14:textId="77777777" w:rsidR="00EE3FD5" w:rsidRDefault="00811C81">
      <w:pPr>
        <w:jc w:val="both"/>
        <w:rPr>
          <w:rFonts w:ascii="Arial" w:hAnsi="Arial" w:cs="Arial"/>
          <w:lang w:val="en-GB"/>
        </w:rPr>
      </w:pPr>
      <w:r>
        <w:rPr>
          <w:rFonts w:ascii="Arial" w:hAnsi="Arial" w:cs="Arial"/>
        </w:rPr>
        <w:t xml:space="preserve">A study by Rotstein </w:t>
      </w:r>
      <w:r>
        <w:rPr>
          <w:rFonts w:ascii="Arial" w:hAnsi="Arial" w:cs="Arial"/>
          <w:i/>
          <w:iCs/>
        </w:rPr>
        <w:t>et al.</w:t>
      </w:r>
      <w:r>
        <w:rPr>
          <w:rFonts w:ascii="Arial" w:hAnsi="Arial" w:cs="Arial"/>
        </w:rPr>
        <w:t xml:space="preserve"> (2025) on the gender-specific dementia risk with respect to the causative medical conditions of the Israeli population born between 1922 and 1946 revealed that females are more predis</w:t>
      </w:r>
      <w:r>
        <w:rPr>
          <w:rFonts w:ascii="Arial" w:hAnsi="Arial" w:cs="Arial"/>
        </w:rPr>
        <w:t xml:space="preserve">posed to dementia than males </w:t>
      </w:r>
      <w:r>
        <w:rPr>
          <w:rFonts w:ascii="Arial" w:hAnsi="Arial" w:cs="Arial"/>
        </w:rPr>
        <w:lastRenderedPageBreak/>
        <w:t xml:space="preserve">(Rotstein </w:t>
      </w:r>
      <w:r>
        <w:rPr>
          <w:rFonts w:ascii="Arial" w:hAnsi="Arial" w:cs="Arial"/>
          <w:i/>
          <w:iCs/>
        </w:rPr>
        <w:t>et al</w:t>
      </w:r>
      <w:r>
        <w:rPr>
          <w:rFonts w:ascii="Arial" w:hAnsi="Arial" w:cs="Arial"/>
        </w:rPr>
        <w:t>., 2025). Similarly, t</w:t>
      </w:r>
      <w:r>
        <w:rPr>
          <w:rFonts w:ascii="Arial" w:hAnsi="Arial" w:cs="Arial"/>
          <w:lang w:val="en-GB"/>
        </w:rPr>
        <w:t xml:space="preserve">he study conducted by </w:t>
      </w:r>
      <w:proofErr w:type="spellStart"/>
      <w:r>
        <w:rPr>
          <w:rFonts w:ascii="Arial" w:eastAsia="SimSun" w:hAnsi="Arial" w:cs="Arial"/>
          <w:lang w:eastAsia="zh-CN" w:bidi="ar"/>
        </w:rPr>
        <w:t>Pszczołowska</w:t>
      </w:r>
      <w:proofErr w:type="spellEnd"/>
      <w:r>
        <w:rPr>
          <w:rFonts w:ascii="Arial" w:eastAsia="SimSun" w:hAnsi="Arial" w:cs="Arial"/>
          <w:lang w:eastAsia="zh-CN" w:bidi="ar"/>
        </w:rPr>
        <w:t xml:space="preserve"> </w:t>
      </w:r>
      <w:r>
        <w:rPr>
          <w:rFonts w:ascii="Arial" w:eastAsia="SimSun" w:hAnsi="Arial" w:cs="Arial"/>
          <w:i/>
          <w:iCs/>
          <w:lang w:eastAsia="zh-CN" w:bidi="ar"/>
        </w:rPr>
        <w:t>et al</w:t>
      </w:r>
      <w:r>
        <w:rPr>
          <w:rFonts w:ascii="Arial" w:eastAsia="SimSun" w:hAnsi="Arial" w:cs="Arial"/>
          <w:lang w:eastAsia="zh-CN" w:bidi="ar"/>
        </w:rPr>
        <w:t>.</w:t>
      </w:r>
      <w:r>
        <w:rPr>
          <w:rFonts w:ascii="Arial" w:eastAsia="SimSun" w:hAnsi="Arial" w:cs="Arial"/>
          <w:lang w:val="en-GB" w:eastAsia="zh-CN" w:bidi="ar"/>
        </w:rPr>
        <w:t xml:space="preserve"> (2024) showed that w</w:t>
      </w:r>
      <w:r>
        <w:rPr>
          <w:rFonts w:ascii="Arial" w:hAnsi="Arial" w:cs="Arial"/>
          <w:lang w:val="en-GB"/>
        </w:rPr>
        <w:t xml:space="preserve">omen are predisposed to dementia due to social factors, longer life expectancy and biological factors like hormonal changes and </w:t>
      </w:r>
      <w:r>
        <w:rPr>
          <w:rFonts w:ascii="Arial" w:hAnsi="Arial" w:cs="Arial"/>
          <w:lang w:val="en-GB"/>
        </w:rPr>
        <w:t xml:space="preserve">genetic composition </w:t>
      </w:r>
      <w:r>
        <w:rPr>
          <w:rFonts w:ascii="Arial" w:eastAsia="SimSun" w:hAnsi="Arial" w:cs="Arial"/>
          <w:lang w:eastAsia="zh-CN" w:bidi="ar"/>
        </w:rPr>
        <w:t>(</w:t>
      </w:r>
      <w:proofErr w:type="spellStart"/>
      <w:r>
        <w:rPr>
          <w:rFonts w:ascii="Arial" w:eastAsia="SimSun" w:hAnsi="Arial" w:cs="Arial"/>
          <w:lang w:eastAsia="zh-CN" w:bidi="ar"/>
        </w:rPr>
        <w:t>Pszczołowska</w:t>
      </w:r>
      <w:proofErr w:type="spellEnd"/>
      <w:r>
        <w:rPr>
          <w:rFonts w:ascii="Arial" w:eastAsia="SimSun" w:hAnsi="Arial" w:cs="Arial"/>
          <w:lang w:eastAsia="zh-CN" w:bidi="ar"/>
        </w:rPr>
        <w:t xml:space="preserve"> </w:t>
      </w:r>
      <w:r>
        <w:rPr>
          <w:rFonts w:ascii="Arial" w:eastAsia="SimSun" w:hAnsi="Arial" w:cs="Arial"/>
          <w:i/>
          <w:iCs/>
          <w:lang w:eastAsia="zh-CN" w:bidi="ar"/>
        </w:rPr>
        <w:t>et al</w:t>
      </w:r>
      <w:r>
        <w:rPr>
          <w:rFonts w:ascii="Arial" w:eastAsia="SimSun" w:hAnsi="Arial" w:cs="Arial"/>
          <w:lang w:eastAsia="zh-CN" w:bidi="ar"/>
        </w:rPr>
        <w:t>., 2024)</w:t>
      </w:r>
      <w:r>
        <w:rPr>
          <w:rFonts w:ascii="Arial" w:eastAsia="SimSun" w:hAnsi="Arial" w:cs="Arial"/>
          <w:lang w:val="en-GB" w:eastAsia="zh-CN" w:bidi="ar"/>
        </w:rPr>
        <w:t xml:space="preserve">. </w:t>
      </w:r>
      <w:r>
        <w:rPr>
          <w:rFonts w:ascii="Arial" w:hAnsi="Arial" w:cs="Arial"/>
          <w:lang w:val="en-GB"/>
        </w:rPr>
        <w:t>The</w:t>
      </w:r>
      <w:r>
        <w:rPr>
          <w:rFonts w:ascii="Arial" w:hAnsi="Arial" w:cs="Arial"/>
        </w:rPr>
        <w:t xml:space="preserve"> present</w:t>
      </w:r>
      <w:r>
        <w:rPr>
          <w:rFonts w:ascii="Arial" w:hAnsi="Arial" w:cs="Arial"/>
          <w:lang w:val="en-GB"/>
        </w:rPr>
        <w:t xml:space="preserve"> study on the prevalence of dementia at the Federal Neuro-</w:t>
      </w:r>
      <w:proofErr w:type="spellStart"/>
      <w:r>
        <w:rPr>
          <w:rFonts w:ascii="Arial" w:hAnsi="Arial" w:cs="Arial"/>
          <w:lang w:val="en-GB"/>
        </w:rPr>
        <w:t>Psychatric</w:t>
      </w:r>
      <w:proofErr w:type="spellEnd"/>
      <w:r>
        <w:rPr>
          <w:rFonts w:ascii="Arial" w:hAnsi="Arial" w:cs="Arial"/>
          <w:lang w:val="en-GB"/>
        </w:rPr>
        <w:t xml:space="preserve"> Hospital, Calabar highlight</w:t>
      </w:r>
      <w:r>
        <w:rPr>
          <w:rFonts w:ascii="Arial" w:hAnsi="Arial" w:cs="Arial"/>
        </w:rPr>
        <w:t>s</w:t>
      </w:r>
      <w:r>
        <w:rPr>
          <w:rFonts w:ascii="Arial" w:hAnsi="Arial" w:cs="Arial"/>
          <w:lang w:val="en-GB"/>
        </w:rPr>
        <w:t xml:space="preserve"> the gender-specificity of the condition between 2011 and 2021.</w:t>
      </w:r>
      <w:r>
        <w:rPr>
          <w:rFonts w:ascii="Arial" w:hAnsi="Arial" w:cs="Arial"/>
        </w:rPr>
        <w:t xml:space="preserve"> The number of dementia cases betwee</w:t>
      </w:r>
      <w:r>
        <w:rPr>
          <w:rFonts w:ascii="Arial" w:hAnsi="Arial" w:cs="Arial"/>
        </w:rPr>
        <w:t>n 2011 to 2021 increased particularly in females because women are disproportionately affected by the condition directly and indirectly with majority of the population being diagnosed with Alzheimer’s disease (5</w:t>
      </w:r>
      <w:r>
        <w:rPr>
          <w:rFonts w:ascii="Arial" w:hAnsi="Arial" w:cs="Arial"/>
          <w:lang w:val="en-GB"/>
        </w:rPr>
        <w:t>6</w:t>
      </w:r>
      <w:r>
        <w:rPr>
          <w:rFonts w:ascii="Arial" w:hAnsi="Arial" w:cs="Arial"/>
        </w:rPr>
        <w:t>.</w:t>
      </w:r>
      <w:r>
        <w:rPr>
          <w:rFonts w:ascii="Arial" w:hAnsi="Arial" w:cs="Arial"/>
          <w:lang w:val="en-GB"/>
        </w:rPr>
        <w:t>4</w:t>
      </w:r>
      <w:r>
        <w:rPr>
          <w:rFonts w:ascii="Arial" w:hAnsi="Arial" w:cs="Arial"/>
        </w:rPr>
        <w:t>%).</w:t>
      </w:r>
      <w:r>
        <w:rPr>
          <w:rFonts w:ascii="Arial" w:hAnsi="Arial" w:cs="Arial"/>
          <w:lang w:val="en-GB"/>
        </w:rPr>
        <w:t xml:space="preserve"> </w:t>
      </w:r>
    </w:p>
    <w:p w14:paraId="15F4C934" w14:textId="77777777" w:rsidR="00EE3FD5" w:rsidRDefault="00811C81">
      <w:pPr>
        <w:jc w:val="both"/>
        <w:rPr>
          <w:rFonts w:ascii="Arial" w:hAnsi="Arial" w:cs="Arial"/>
          <w:lang w:val="en-GB"/>
        </w:rPr>
      </w:pPr>
      <w:r>
        <w:rPr>
          <w:rFonts w:ascii="Arial" w:hAnsi="Arial" w:cs="Arial"/>
          <w:lang w:val="en-GB"/>
        </w:rPr>
        <w:t xml:space="preserve"> </w:t>
      </w:r>
    </w:p>
    <w:p w14:paraId="6AD78516" w14:textId="77777777" w:rsidR="00EE3FD5" w:rsidRDefault="00811C81">
      <w:pPr>
        <w:jc w:val="both"/>
        <w:rPr>
          <w:rFonts w:ascii="Arial" w:eastAsia="SimSun" w:hAnsi="Arial" w:cs="Arial"/>
          <w:lang w:eastAsia="zh-CN" w:bidi="ar"/>
        </w:rPr>
      </w:pPr>
      <w:r>
        <w:rPr>
          <w:rFonts w:ascii="Arial" w:hAnsi="Arial" w:cs="Arial"/>
          <w:lang w:val="en-GB"/>
        </w:rPr>
        <w:t>The three types of dementia that af</w:t>
      </w:r>
      <w:r>
        <w:rPr>
          <w:rFonts w:ascii="Arial" w:hAnsi="Arial" w:cs="Arial"/>
          <w:lang w:val="en-GB"/>
        </w:rPr>
        <w:t xml:space="preserve">fected the patients at the Federal Neuro-Psychiatric Hospital, Calabar were Alzheimer’s disease, mixed dementia and vascular (alcohol) dementia. </w:t>
      </w:r>
      <w:r>
        <w:rPr>
          <w:rFonts w:ascii="Arial" w:hAnsi="Arial" w:cs="Arial"/>
        </w:rPr>
        <w:t xml:space="preserve">Alzheimer’s disease accounts for 60-70% of dementia worldwide (Chung </w:t>
      </w:r>
      <w:r>
        <w:rPr>
          <w:rFonts w:ascii="Arial" w:hAnsi="Arial" w:cs="Arial"/>
          <w:i/>
          <w:iCs/>
        </w:rPr>
        <w:t xml:space="preserve">et al., </w:t>
      </w:r>
      <w:r>
        <w:rPr>
          <w:rFonts w:ascii="Arial" w:hAnsi="Arial" w:cs="Arial"/>
        </w:rPr>
        <w:t xml:space="preserve">2018). The present study revealed </w:t>
      </w:r>
      <w:r>
        <w:rPr>
          <w:rFonts w:ascii="Arial" w:hAnsi="Arial" w:cs="Arial"/>
        </w:rPr>
        <w:t>that the 57.9% of the patients had Alzheimer’s disease as a sub-type of dementia. It has been asserted that vascular dementia caused by injury or disease affecting the blood supply to the brain occurs in 20% of dementia cases, making it the second most com</w:t>
      </w:r>
      <w:r>
        <w:rPr>
          <w:rFonts w:ascii="Arial" w:hAnsi="Arial" w:cs="Arial"/>
        </w:rPr>
        <w:t>mon type (</w:t>
      </w:r>
      <w:proofErr w:type="spellStart"/>
      <w:r>
        <w:rPr>
          <w:rFonts w:ascii="Arial" w:hAnsi="Arial" w:cs="Arial"/>
        </w:rPr>
        <w:t>Iadecola</w:t>
      </w:r>
      <w:proofErr w:type="spellEnd"/>
      <w:r>
        <w:rPr>
          <w:rFonts w:ascii="Arial" w:hAnsi="Arial" w:cs="Arial"/>
        </w:rPr>
        <w:t>, 2013). Multiple injuries can cause progressive dementia over time while a single injury located in an area critical for cognition such as the hippocampus or thalamus can lead to sudden cognitive decline (</w:t>
      </w:r>
      <w:proofErr w:type="spellStart"/>
      <w:r>
        <w:rPr>
          <w:rFonts w:ascii="Arial" w:hAnsi="Arial" w:cs="Arial"/>
        </w:rPr>
        <w:t>Iadecola</w:t>
      </w:r>
      <w:proofErr w:type="spellEnd"/>
      <w:r>
        <w:rPr>
          <w:rFonts w:ascii="Arial" w:hAnsi="Arial" w:cs="Arial"/>
        </w:rPr>
        <w:t>, 2013). The present stu</w:t>
      </w:r>
      <w:r>
        <w:rPr>
          <w:rFonts w:ascii="Arial" w:hAnsi="Arial" w:cs="Arial"/>
        </w:rPr>
        <w:t xml:space="preserve">dy showed that 14.4 % of the patients had vascular dementia. Mixed dementia which is a combination of Alzheimer’s disease and stroke (cerebrovascular disease) affects one patient per time. A review by </w:t>
      </w:r>
      <w:r>
        <w:rPr>
          <w:rFonts w:ascii="Arial" w:eastAsia="SimSun" w:hAnsi="Arial" w:cs="Arial"/>
          <w:lang w:eastAsia="zh-CN" w:bidi="ar"/>
        </w:rPr>
        <w:t xml:space="preserve">Custodio </w:t>
      </w:r>
      <w:r>
        <w:rPr>
          <w:rFonts w:ascii="Arial" w:eastAsia="SimSun" w:hAnsi="Arial" w:cs="Arial"/>
          <w:i/>
          <w:iCs/>
          <w:lang w:eastAsia="zh-CN" w:bidi="ar"/>
        </w:rPr>
        <w:t xml:space="preserve">et al. </w:t>
      </w:r>
      <w:r>
        <w:rPr>
          <w:rFonts w:ascii="Arial" w:eastAsia="SimSun" w:hAnsi="Arial" w:cs="Arial"/>
          <w:lang w:eastAsia="zh-CN" w:bidi="ar"/>
        </w:rPr>
        <w:t>(2017) on articles from 1990 to 2016 sh</w:t>
      </w:r>
      <w:r>
        <w:rPr>
          <w:rFonts w:ascii="Arial" w:eastAsia="SimSun" w:hAnsi="Arial" w:cs="Arial"/>
          <w:lang w:eastAsia="zh-CN" w:bidi="ar"/>
        </w:rPr>
        <w:t xml:space="preserve">owed a general prevalence of 22% within a specific population (Custodio </w:t>
      </w:r>
      <w:r>
        <w:rPr>
          <w:rFonts w:ascii="Arial" w:eastAsia="SimSun" w:hAnsi="Arial" w:cs="Arial"/>
          <w:i/>
          <w:iCs/>
          <w:lang w:eastAsia="zh-CN" w:bidi="ar"/>
        </w:rPr>
        <w:t xml:space="preserve">et al., </w:t>
      </w:r>
      <w:r>
        <w:rPr>
          <w:rFonts w:ascii="Arial" w:eastAsia="SimSun" w:hAnsi="Arial" w:cs="Arial"/>
          <w:lang w:eastAsia="zh-CN" w:bidi="ar"/>
        </w:rPr>
        <w:t>2017). The present study revealed that 27.7% of the patients at the facility had the mixed variant of dementia.</w:t>
      </w:r>
    </w:p>
    <w:p w14:paraId="69199BD8" w14:textId="77777777" w:rsidR="00EE3FD5" w:rsidRDefault="00EE3FD5">
      <w:pPr>
        <w:jc w:val="both"/>
        <w:rPr>
          <w:rFonts w:ascii="Arial" w:eastAsia="SimSun" w:hAnsi="Arial" w:cs="Arial"/>
          <w:lang w:eastAsia="zh-CN" w:bidi="ar"/>
        </w:rPr>
      </w:pPr>
    </w:p>
    <w:p w14:paraId="167C9B3E" w14:textId="77777777" w:rsidR="00EE3FD5" w:rsidRDefault="00811C81">
      <w:pPr>
        <w:jc w:val="both"/>
        <w:rPr>
          <w:rFonts w:ascii="Arial" w:hAnsi="Arial" w:cs="Arial"/>
        </w:rPr>
      </w:pPr>
      <w:r>
        <w:rPr>
          <w:rFonts w:ascii="Arial" w:hAnsi="Arial" w:cs="Arial"/>
        </w:rPr>
        <w:t>Currently, there are limited options for treating dementia with</w:t>
      </w:r>
      <w:r>
        <w:rPr>
          <w:rFonts w:ascii="Arial" w:hAnsi="Arial" w:cs="Arial"/>
        </w:rPr>
        <w:t xml:space="preserve"> most approaches focused on managing or reducing individual symptoms. The majority of the patients at the Federal Neuro-Psychiatric Hospital, Calabar were placed on cognitive stimulation therapy and dietary supplements with the support of their families an</w:t>
      </w:r>
      <w:r>
        <w:rPr>
          <w:rFonts w:ascii="Arial" w:hAnsi="Arial" w:cs="Arial"/>
        </w:rPr>
        <w:t xml:space="preserve">d care givers. This aligned with the study conducted by </w:t>
      </w:r>
      <w:proofErr w:type="spellStart"/>
      <w:r>
        <w:rPr>
          <w:rFonts w:ascii="Arial" w:hAnsi="Arial" w:cs="Arial"/>
        </w:rPr>
        <w:t>Vandepitte</w:t>
      </w:r>
      <w:proofErr w:type="spellEnd"/>
      <w:r>
        <w:rPr>
          <w:rFonts w:ascii="Arial" w:hAnsi="Arial" w:cs="Arial"/>
        </w:rPr>
        <w:t xml:space="preserve"> </w:t>
      </w:r>
      <w:r>
        <w:rPr>
          <w:rFonts w:ascii="Arial" w:hAnsi="Arial" w:cs="Arial"/>
          <w:i/>
          <w:iCs/>
        </w:rPr>
        <w:t>et al</w:t>
      </w:r>
      <w:r>
        <w:rPr>
          <w:rFonts w:ascii="Arial" w:hAnsi="Arial" w:cs="Arial"/>
        </w:rPr>
        <w:t xml:space="preserve">. (2016) which showed that cognitive and </w:t>
      </w:r>
      <w:proofErr w:type="spellStart"/>
      <w:r>
        <w:rPr>
          <w:rFonts w:ascii="Arial" w:hAnsi="Arial" w:cs="Arial"/>
        </w:rPr>
        <w:t>behavioural</w:t>
      </w:r>
      <w:proofErr w:type="spellEnd"/>
      <w:r>
        <w:rPr>
          <w:rFonts w:ascii="Arial" w:hAnsi="Arial" w:cs="Arial"/>
        </w:rPr>
        <w:t xml:space="preserve"> interventions may be appropriate for the treatment of dementia.</w:t>
      </w:r>
    </w:p>
    <w:p w14:paraId="455C50F8" w14:textId="77777777" w:rsidR="00EE3FD5" w:rsidRDefault="00EE3FD5">
      <w:pPr>
        <w:jc w:val="both"/>
        <w:rPr>
          <w:rFonts w:ascii="Arial" w:hAnsi="Arial" w:cs="Arial"/>
        </w:rPr>
      </w:pPr>
    </w:p>
    <w:p w14:paraId="019B23D2" w14:textId="77777777" w:rsidR="00EE3FD5" w:rsidRDefault="00811C81">
      <w:pPr>
        <w:pStyle w:val="ConcHead"/>
        <w:spacing w:after="0"/>
        <w:jc w:val="both"/>
        <w:rPr>
          <w:rFonts w:ascii="Arial" w:hAnsi="Arial" w:cs="Arial"/>
        </w:rPr>
      </w:pPr>
      <w:r>
        <w:rPr>
          <w:rFonts w:ascii="Arial" w:hAnsi="Arial" w:cs="Arial"/>
        </w:rPr>
        <w:t>5. Conclusion</w:t>
      </w:r>
    </w:p>
    <w:p w14:paraId="37B9EE14" w14:textId="77777777" w:rsidR="00EE3FD5" w:rsidRDefault="00EE3FD5">
      <w:pPr>
        <w:pStyle w:val="ConcHead"/>
        <w:spacing w:after="0"/>
        <w:jc w:val="both"/>
        <w:rPr>
          <w:rFonts w:ascii="Arial" w:hAnsi="Arial" w:cs="Arial"/>
        </w:rPr>
      </w:pPr>
    </w:p>
    <w:p w14:paraId="72EF5758" w14:textId="77777777" w:rsidR="00EE3FD5" w:rsidRDefault="00811C81">
      <w:pPr>
        <w:jc w:val="both"/>
        <w:rPr>
          <w:rFonts w:ascii="Arial" w:hAnsi="Arial" w:cs="Arial"/>
        </w:rPr>
      </w:pPr>
      <w:r>
        <w:rPr>
          <w:rFonts w:ascii="Arial" w:hAnsi="Arial" w:cs="Arial"/>
        </w:rPr>
        <w:t>Females had more risk of dementia than males at the</w:t>
      </w:r>
      <w:r>
        <w:rPr>
          <w:rFonts w:ascii="Arial" w:hAnsi="Arial" w:cs="Arial"/>
        </w:rPr>
        <w:t xml:space="preserve"> Federal Neuro-Psychiatric Hospital, Calabar from 2011-2021. The predominant persons that visited the facility with the ten-year range were Cross </w:t>
      </w:r>
      <w:proofErr w:type="spellStart"/>
      <w:r>
        <w:rPr>
          <w:rFonts w:ascii="Arial" w:hAnsi="Arial" w:cs="Arial"/>
        </w:rPr>
        <w:t>Riverians</w:t>
      </w:r>
      <w:proofErr w:type="spellEnd"/>
      <w:r>
        <w:rPr>
          <w:rFonts w:ascii="Arial" w:hAnsi="Arial" w:cs="Arial"/>
        </w:rPr>
        <w:t xml:space="preserve"> with the peak being between 2011 and 2014.</w:t>
      </w:r>
    </w:p>
    <w:p w14:paraId="62F6CDB8" w14:textId="77777777" w:rsidR="00EE3FD5" w:rsidRDefault="00EE3FD5">
      <w:pPr>
        <w:pStyle w:val="Body"/>
        <w:spacing w:after="0"/>
        <w:rPr>
          <w:rFonts w:ascii="Arial" w:hAnsi="Arial" w:cs="Arial"/>
        </w:rPr>
      </w:pPr>
    </w:p>
    <w:p w14:paraId="37B7CC5F" w14:textId="77777777" w:rsidR="00EE3FD5" w:rsidRDefault="00EE3FD5"/>
    <w:p w14:paraId="21281714" w14:textId="77777777" w:rsidR="00EE3FD5" w:rsidRDefault="00811C81">
      <w:pPr>
        <w:pStyle w:val="ReferHead"/>
        <w:spacing w:after="0"/>
        <w:jc w:val="both"/>
        <w:rPr>
          <w:rFonts w:ascii="Arial" w:hAnsi="Arial" w:cs="Arial"/>
          <w:bCs/>
        </w:rPr>
      </w:pPr>
      <w:r>
        <w:rPr>
          <w:rFonts w:ascii="Arial" w:hAnsi="Arial" w:cs="Arial"/>
          <w:bCs/>
        </w:rPr>
        <w:t>Competing interests</w:t>
      </w:r>
    </w:p>
    <w:p w14:paraId="1A0A2772" w14:textId="77777777" w:rsidR="00EE3FD5" w:rsidRDefault="00EE3FD5">
      <w:pPr>
        <w:pStyle w:val="ReferHead"/>
        <w:spacing w:after="0"/>
        <w:jc w:val="both"/>
        <w:rPr>
          <w:rFonts w:ascii="Arial" w:hAnsi="Arial" w:cs="Arial"/>
          <w:bCs/>
        </w:rPr>
      </w:pPr>
    </w:p>
    <w:p w14:paraId="1297F757" w14:textId="77777777" w:rsidR="00EE3FD5" w:rsidRDefault="00811C81">
      <w:pPr>
        <w:pStyle w:val="ReferHead"/>
        <w:spacing w:after="0"/>
        <w:jc w:val="both"/>
        <w:rPr>
          <w:rFonts w:ascii="Arial" w:hAnsi="Arial" w:cs="Arial"/>
          <w:b w:val="0"/>
          <w:caps w:val="0"/>
          <w:sz w:val="20"/>
        </w:rPr>
      </w:pPr>
      <w:r>
        <w:rPr>
          <w:rFonts w:ascii="Arial" w:hAnsi="Arial" w:cs="Arial"/>
          <w:b w:val="0"/>
          <w:caps w:val="0"/>
          <w:sz w:val="20"/>
        </w:rPr>
        <w:t>Authors have</w:t>
      </w:r>
      <w:r>
        <w:rPr>
          <w:rFonts w:ascii="Arial" w:hAnsi="Arial" w:cs="Arial"/>
          <w:b w:val="0"/>
          <w:caps w:val="0"/>
          <w:sz w:val="20"/>
        </w:rPr>
        <w:t xml:space="preserve"> declared that no competing interests exist.</w:t>
      </w:r>
    </w:p>
    <w:p w14:paraId="6AF87D8C" w14:textId="77777777" w:rsidR="00EE3FD5" w:rsidRDefault="00EE3FD5">
      <w:pPr>
        <w:pStyle w:val="ReferHead"/>
        <w:spacing w:after="0"/>
        <w:jc w:val="both"/>
        <w:rPr>
          <w:rFonts w:ascii="Arial" w:hAnsi="Arial" w:cs="Arial"/>
          <w:b w:val="0"/>
          <w:caps w:val="0"/>
          <w:sz w:val="20"/>
        </w:rPr>
      </w:pPr>
    </w:p>
    <w:p w14:paraId="44C29EAB" w14:textId="77777777" w:rsidR="00EE3FD5" w:rsidRDefault="00EE3FD5">
      <w:pPr>
        <w:pStyle w:val="ReferHead"/>
        <w:spacing w:after="0"/>
        <w:jc w:val="both"/>
        <w:rPr>
          <w:rFonts w:ascii="Arial" w:hAnsi="Arial" w:cs="Arial"/>
          <w:b w:val="0"/>
          <w:caps w:val="0"/>
          <w:sz w:val="20"/>
        </w:rPr>
      </w:pPr>
    </w:p>
    <w:p w14:paraId="794DF0E4" w14:textId="77777777" w:rsidR="00EE3FD5" w:rsidRDefault="00EE3FD5">
      <w:pPr>
        <w:pStyle w:val="ReferHead"/>
        <w:spacing w:after="0"/>
        <w:jc w:val="both"/>
        <w:rPr>
          <w:rFonts w:ascii="Arial" w:hAnsi="Arial" w:cs="Arial"/>
          <w:b w:val="0"/>
          <w:caps w:val="0"/>
          <w:sz w:val="20"/>
        </w:rPr>
      </w:pPr>
    </w:p>
    <w:p w14:paraId="3E1F54D0" w14:textId="77777777" w:rsidR="00EE3FD5" w:rsidRDefault="00811C81">
      <w:pPr>
        <w:pStyle w:val="ReferHead"/>
        <w:spacing w:after="0"/>
        <w:jc w:val="both"/>
        <w:rPr>
          <w:rFonts w:ascii="Arial" w:hAnsi="Arial" w:cs="Arial"/>
          <w:bCs/>
        </w:rPr>
      </w:pPr>
      <w:r>
        <w:rPr>
          <w:rFonts w:ascii="Arial" w:hAnsi="Arial" w:cs="Arial"/>
          <w:bCs/>
        </w:rPr>
        <w:t>Ethical approval</w:t>
      </w:r>
    </w:p>
    <w:p w14:paraId="53057E50" w14:textId="77777777" w:rsidR="00EE3FD5" w:rsidRDefault="00EE3FD5">
      <w:pPr>
        <w:pStyle w:val="ReferHead"/>
        <w:spacing w:after="0"/>
        <w:jc w:val="both"/>
        <w:rPr>
          <w:rFonts w:ascii="Arial" w:hAnsi="Arial" w:cs="Arial"/>
          <w:b w:val="0"/>
          <w:caps w:val="0"/>
          <w:sz w:val="20"/>
        </w:rPr>
      </w:pPr>
    </w:p>
    <w:p w14:paraId="14CB993C" w14:textId="77777777" w:rsidR="00EE3FD5" w:rsidRDefault="00811C81">
      <w:pPr>
        <w:pStyle w:val="ReferHead"/>
        <w:spacing w:after="0"/>
        <w:jc w:val="both"/>
        <w:rPr>
          <w:rFonts w:ascii="Arial" w:hAnsi="Arial" w:cs="Arial"/>
          <w:b w:val="0"/>
          <w:caps w:val="0"/>
          <w:sz w:val="20"/>
        </w:rPr>
      </w:pPr>
      <w:r>
        <w:rPr>
          <w:rFonts w:ascii="Arial" w:hAnsi="Arial" w:cs="Arial"/>
          <w:b w:val="0"/>
          <w:caps w:val="0"/>
          <w:sz w:val="20"/>
        </w:rPr>
        <w:t>All authors hereby declare that the experiment has been examined and approved by the Cross River State Ministry of Health ethics committee and h</w:t>
      </w:r>
      <w:r>
        <w:rPr>
          <w:rFonts w:ascii="Arial" w:hAnsi="Arial" w:cs="Arial"/>
          <w:b w:val="0"/>
          <w:caps w:val="0"/>
          <w:sz w:val="20"/>
        </w:rPr>
        <w:t>ave therefore been performed in accordance with the ethical standards laid down in the 1964 Declaration of Helsinki. The ethical approval number CRSMOH/RP/REC/2020/125 was issued.</w:t>
      </w:r>
    </w:p>
    <w:p w14:paraId="35403D88" w14:textId="77777777" w:rsidR="00BB2634" w:rsidRDefault="00BB2634">
      <w:pPr>
        <w:pStyle w:val="ReferHead"/>
        <w:spacing w:after="0"/>
        <w:jc w:val="both"/>
        <w:rPr>
          <w:rFonts w:ascii="Arial" w:hAnsi="Arial" w:cs="Arial"/>
          <w:b w:val="0"/>
          <w:caps w:val="0"/>
          <w:sz w:val="20"/>
        </w:rPr>
      </w:pPr>
    </w:p>
    <w:p w14:paraId="1B4724DC" w14:textId="77777777" w:rsidR="00BB2634" w:rsidRDefault="00BB2634">
      <w:pPr>
        <w:pStyle w:val="ReferHead"/>
        <w:spacing w:after="0"/>
        <w:jc w:val="both"/>
        <w:rPr>
          <w:rFonts w:ascii="Arial" w:hAnsi="Arial" w:cs="Arial"/>
          <w:b w:val="0"/>
          <w:caps w:val="0"/>
          <w:sz w:val="20"/>
        </w:rPr>
      </w:pPr>
    </w:p>
    <w:p w14:paraId="7DA46E31" w14:textId="77777777" w:rsidR="00BB2634" w:rsidRPr="00BB2634" w:rsidRDefault="00BB2634" w:rsidP="00BB2634">
      <w:pPr>
        <w:spacing w:after="200" w:line="276" w:lineRule="auto"/>
        <w:rPr>
          <w:rFonts w:ascii="Arial" w:hAnsi="Arial" w:cs="Arial"/>
          <w:b/>
          <w:bCs/>
          <w:sz w:val="22"/>
          <w:szCs w:val="22"/>
          <w:lang w:val="en-GB" w:eastAsia="en-GB"/>
        </w:rPr>
      </w:pPr>
      <w:r w:rsidRPr="00BB2634">
        <w:rPr>
          <w:rFonts w:ascii="Arial" w:hAnsi="Arial" w:cs="Arial"/>
          <w:b/>
          <w:bCs/>
          <w:sz w:val="22"/>
          <w:szCs w:val="22"/>
          <w:lang w:val="en-GB" w:eastAsia="en-GB"/>
        </w:rPr>
        <w:t>COMPETING INTERESTS DISCLAIMER:</w:t>
      </w:r>
    </w:p>
    <w:p w14:paraId="2824459D" w14:textId="77777777" w:rsidR="00BB2634" w:rsidRPr="00BB2634" w:rsidRDefault="00BB2634" w:rsidP="00BB2634">
      <w:pPr>
        <w:spacing w:after="200" w:line="276" w:lineRule="auto"/>
        <w:rPr>
          <w:rFonts w:ascii="Calibri" w:hAnsi="Calibri"/>
          <w:sz w:val="22"/>
          <w:szCs w:val="22"/>
          <w:lang w:val="en-GB" w:eastAsia="en-GB"/>
        </w:rPr>
      </w:pPr>
      <w:r w:rsidRPr="00BB2634">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0A632BE" w14:textId="77777777" w:rsidR="00BB2634" w:rsidRDefault="00BB2634">
      <w:pPr>
        <w:pStyle w:val="ReferHead"/>
        <w:spacing w:after="0"/>
        <w:jc w:val="both"/>
        <w:rPr>
          <w:rFonts w:ascii="Arial" w:hAnsi="Arial" w:cs="Arial"/>
          <w:b w:val="0"/>
          <w:caps w:val="0"/>
          <w:sz w:val="20"/>
          <w:u w:val="single"/>
        </w:rPr>
      </w:pPr>
    </w:p>
    <w:p w14:paraId="61C241ED" w14:textId="77777777" w:rsidR="00EE3FD5" w:rsidRDefault="00EE3FD5">
      <w:pPr>
        <w:pStyle w:val="ReferHead"/>
        <w:spacing w:after="0"/>
        <w:jc w:val="both"/>
        <w:rPr>
          <w:rFonts w:ascii="Arial" w:hAnsi="Arial" w:cs="Arial"/>
        </w:rPr>
      </w:pPr>
    </w:p>
    <w:p w14:paraId="74680499" w14:textId="77777777" w:rsidR="00EE3FD5" w:rsidRDefault="00811C81">
      <w:pPr>
        <w:pStyle w:val="ReferHead"/>
        <w:spacing w:after="0"/>
        <w:jc w:val="both"/>
        <w:rPr>
          <w:rFonts w:ascii="Arial" w:hAnsi="Arial" w:cs="Arial"/>
        </w:rPr>
      </w:pPr>
      <w:r>
        <w:rPr>
          <w:rFonts w:ascii="Arial" w:hAnsi="Arial" w:cs="Arial"/>
        </w:rPr>
        <w:t>References</w:t>
      </w:r>
    </w:p>
    <w:p w14:paraId="55856A2D" w14:textId="77777777" w:rsidR="00EE3FD5" w:rsidRDefault="00EE3FD5">
      <w:pPr>
        <w:pStyle w:val="ReferHead"/>
        <w:spacing w:after="0"/>
        <w:jc w:val="both"/>
        <w:rPr>
          <w:rFonts w:ascii="Arial" w:hAnsi="Arial" w:cs="Arial"/>
        </w:rPr>
      </w:pPr>
    </w:p>
    <w:p w14:paraId="7A471F47" w14:textId="77777777" w:rsidR="00EE3FD5" w:rsidRDefault="00811C81">
      <w:pPr>
        <w:numPr>
          <w:ilvl w:val="0"/>
          <w:numId w:val="2"/>
        </w:numPr>
        <w:jc w:val="both"/>
        <w:rPr>
          <w:rFonts w:ascii="Arial" w:hAnsi="Arial" w:cs="Arial"/>
          <w:color w:val="000000" w:themeColor="text1"/>
        </w:rPr>
      </w:pPr>
      <w:r>
        <w:rPr>
          <w:rFonts w:ascii="Arial" w:hAnsi="Arial" w:cs="Arial"/>
          <w:color w:val="000000" w:themeColor="text1"/>
        </w:rPr>
        <w:t xml:space="preserve">Budson, A. &amp; Solomon, P. (2017). Memory loss: A practical guide for clinicians. </w:t>
      </w:r>
      <w:r>
        <w:rPr>
          <w:rFonts w:ascii="Arial" w:hAnsi="Arial" w:cs="Arial"/>
          <w:color w:val="000000" w:themeColor="text1"/>
        </w:rPr>
        <w:t>Edinburgh: Elsevier Saunders.</w:t>
      </w:r>
    </w:p>
    <w:p w14:paraId="1587EC51" w14:textId="77777777" w:rsidR="00EE3FD5" w:rsidRDefault="00811C81">
      <w:pPr>
        <w:pStyle w:val="NormalWeb"/>
        <w:numPr>
          <w:ilvl w:val="0"/>
          <w:numId w:val="2"/>
        </w:numPr>
        <w:spacing w:beforeAutospacing="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Livingston, G., Huntley, J., </w:t>
      </w:r>
      <w:proofErr w:type="spellStart"/>
      <w:r>
        <w:rPr>
          <w:rFonts w:ascii="Arial" w:hAnsi="Arial" w:cs="Arial"/>
          <w:color w:val="000000" w:themeColor="text1"/>
          <w:sz w:val="20"/>
          <w:szCs w:val="20"/>
        </w:rPr>
        <w:t>Sommerlad</w:t>
      </w:r>
      <w:proofErr w:type="spellEnd"/>
      <w:r>
        <w:rPr>
          <w:rFonts w:ascii="Arial" w:hAnsi="Arial" w:cs="Arial"/>
          <w:color w:val="000000" w:themeColor="text1"/>
          <w:sz w:val="20"/>
          <w:szCs w:val="20"/>
        </w:rPr>
        <w:t>, A., Ames, D., Ballard, C., Banerjee, S., et al. (2020). Dementia Prevention, Intervention, and Care: 2020 Report of the Lancet Commission. The Lancet, 396(10248), 413–446.</w:t>
      </w:r>
    </w:p>
    <w:p w14:paraId="1A81AD47" w14:textId="77777777" w:rsidR="00EE3FD5" w:rsidRDefault="00811C81">
      <w:pPr>
        <w:pStyle w:val="NormalWeb"/>
        <w:numPr>
          <w:ilvl w:val="0"/>
          <w:numId w:val="2"/>
        </w:numPr>
        <w:spacing w:beforeAutospacing="0" w:afterAutospacing="0"/>
        <w:jc w:val="both"/>
        <w:rPr>
          <w:rFonts w:ascii="Arial" w:hAnsi="Arial" w:cs="Arial"/>
          <w:color w:val="000000" w:themeColor="text1"/>
        </w:rPr>
      </w:pPr>
      <w:r>
        <w:rPr>
          <w:rFonts w:ascii="Arial" w:eastAsia="Segoe UI" w:hAnsi="Arial" w:cs="Arial"/>
          <w:color w:val="000000" w:themeColor="text1"/>
          <w:sz w:val="20"/>
          <w:szCs w:val="20"/>
          <w:shd w:val="clear" w:color="auto" w:fill="FFFFFF"/>
        </w:rPr>
        <w:t xml:space="preserve">WHO. (2022). </w:t>
      </w:r>
      <w:r>
        <w:rPr>
          <w:rFonts w:ascii="Arial" w:eastAsia="Segoe UI" w:hAnsi="Arial" w:cs="Arial"/>
          <w:i/>
          <w:iCs/>
          <w:color w:val="000000" w:themeColor="text1"/>
          <w:sz w:val="20"/>
          <w:szCs w:val="20"/>
          <w:shd w:val="clear" w:color="auto" w:fill="FFFFFF"/>
        </w:rPr>
        <w:t>A</w:t>
      </w:r>
      <w:r>
        <w:rPr>
          <w:rFonts w:ascii="Arial" w:eastAsia="Segoe UI" w:hAnsi="Arial" w:cs="Arial"/>
          <w:i/>
          <w:iCs/>
          <w:color w:val="000000" w:themeColor="text1"/>
          <w:sz w:val="20"/>
          <w:szCs w:val="20"/>
          <w:shd w:val="clear" w:color="auto" w:fill="FFFFFF"/>
        </w:rPr>
        <w:t xml:space="preserve"> blueprint for dementia research. Geneva: World Health Organization</w:t>
      </w:r>
      <w:r>
        <w:rPr>
          <w:rFonts w:ascii="Arial" w:eastAsia="Segoe UI" w:hAnsi="Arial" w:cs="Arial"/>
          <w:color w:val="000000" w:themeColor="text1"/>
          <w:sz w:val="20"/>
          <w:szCs w:val="20"/>
          <w:shd w:val="clear" w:color="auto" w:fill="FFFFFF"/>
        </w:rPr>
        <w:t> </w:t>
      </w:r>
    </w:p>
    <w:p w14:paraId="7BE14C10" w14:textId="77777777" w:rsidR="00EE3FD5" w:rsidRDefault="00811C81">
      <w:pPr>
        <w:numPr>
          <w:ilvl w:val="0"/>
          <w:numId w:val="2"/>
        </w:numPr>
        <w:jc w:val="both"/>
        <w:rPr>
          <w:rFonts w:ascii="Arial" w:hAnsi="Arial" w:cs="Arial"/>
          <w:color w:val="000000" w:themeColor="text1"/>
        </w:rPr>
      </w:pPr>
      <w:r>
        <w:rPr>
          <w:rFonts w:ascii="Arial" w:hAnsi="Arial" w:cs="Arial"/>
          <w:color w:val="000000" w:themeColor="text1"/>
        </w:rPr>
        <w:lastRenderedPageBreak/>
        <w:t xml:space="preserve">Kales, H.C., Gaitlin, L. N. &amp; </w:t>
      </w:r>
      <w:proofErr w:type="spellStart"/>
      <w:r>
        <w:rPr>
          <w:rFonts w:ascii="Arial" w:hAnsi="Arial" w:cs="Arial"/>
          <w:color w:val="000000" w:themeColor="text1"/>
        </w:rPr>
        <w:t>Lyketsos</w:t>
      </w:r>
      <w:proofErr w:type="spellEnd"/>
      <w:r>
        <w:rPr>
          <w:rFonts w:ascii="Arial" w:hAnsi="Arial" w:cs="Arial"/>
          <w:color w:val="000000" w:themeColor="text1"/>
        </w:rPr>
        <w:t xml:space="preserve">, C. G. (2015). Assessment and management of </w:t>
      </w:r>
      <w:proofErr w:type="spellStart"/>
      <w:r>
        <w:rPr>
          <w:rFonts w:ascii="Arial" w:hAnsi="Arial" w:cs="Arial"/>
          <w:color w:val="000000" w:themeColor="text1"/>
        </w:rPr>
        <w:t>behavioural</w:t>
      </w:r>
      <w:proofErr w:type="spellEnd"/>
      <w:r>
        <w:rPr>
          <w:rFonts w:ascii="Arial" w:hAnsi="Arial" w:cs="Arial"/>
          <w:color w:val="000000" w:themeColor="text1"/>
        </w:rPr>
        <w:t xml:space="preserve"> and psychological symptoms of dementia. British Medicinal Journa</w:t>
      </w:r>
      <w:r>
        <w:rPr>
          <w:rFonts w:ascii="Arial" w:hAnsi="Arial" w:cs="Arial"/>
          <w:i/>
          <w:iCs/>
          <w:color w:val="000000" w:themeColor="text1"/>
        </w:rPr>
        <w:t>l</w:t>
      </w:r>
      <w:r>
        <w:rPr>
          <w:rFonts w:ascii="Arial" w:hAnsi="Arial" w:cs="Arial"/>
          <w:color w:val="000000" w:themeColor="text1"/>
        </w:rPr>
        <w:t>, 350</w:t>
      </w:r>
      <w:r>
        <w:rPr>
          <w:rFonts w:ascii="Arial" w:hAnsi="Arial" w:cs="Arial"/>
          <w:color w:val="000000" w:themeColor="text1"/>
          <w:lang w:val="en-GB"/>
        </w:rPr>
        <w:t>-</w:t>
      </w:r>
      <w:r>
        <w:rPr>
          <w:rFonts w:ascii="Arial" w:hAnsi="Arial" w:cs="Arial"/>
          <w:color w:val="000000" w:themeColor="text1"/>
        </w:rPr>
        <w:t>369.</w:t>
      </w:r>
    </w:p>
    <w:p w14:paraId="0D3008C3" w14:textId="77777777" w:rsidR="00EE3FD5" w:rsidRDefault="00811C81">
      <w:pPr>
        <w:numPr>
          <w:ilvl w:val="0"/>
          <w:numId w:val="2"/>
        </w:numPr>
        <w:jc w:val="both"/>
        <w:rPr>
          <w:rFonts w:ascii="Arial" w:hAnsi="Arial" w:cs="Arial"/>
          <w:color w:val="000000" w:themeColor="text1"/>
        </w:rPr>
      </w:pPr>
      <w:r>
        <w:rPr>
          <w:rFonts w:ascii="Arial" w:hAnsi="Arial" w:cs="Arial"/>
          <w:color w:val="000000" w:themeColor="text1"/>
        </w:rPr>
        <w:t xml:space="preserve">Radue, R., </w:t>
      </w:r>
      <w:r>
        <w:rPr>
          <w:rFonts w:ascii="Arial" w:hAnsi="Arial" w:cs="Arial"/>
          <w:color w:val="000000" w:themeColor="text1"/>
        </w:rPr>
        <w:t>Walaszek, A &amp; Asthana, S. (2019). Chapter 24 - Neuropsychiatric symptoms in dementia. Handbook of Clinical Neurology, 167: 437-454.</w:t>
      </w:r>
    </w:p>
    <w:p w14:paraId="06CCD990" w14:textId="77777777" w:rsidR="00EE3FD5" w:rsidRDefault="00811C81">
      <w:pPr>
        <w:numPr>
          <w:ilvl w:val="0"/>
          <w:numId w:val="2"/>
        </w:numPr>
        <w:jc w:val="both"/>
        <w:rPr>
          <w:rFonts w:ascii="Arial" w:hAnsi="Arial" w:cs="Arial"/>
          <w:color w:val="000000" w:themeColor="text1"/>
        </w:rPr>
      </w:pPr>
      <w:r>
        <w:rPr>
          <w:rFonts w:ascii="Arial" w:hAnsi="Arial" w:cs="Arial"/>
          <w:color w:val="000000" w:themeColor="text1"/>
        </w:rPr>
        <w:t>Arvanitakis, Z., Shah, R. C &amp; Bennett, D. A. (2019). Diagnosis and management of dementia: Review. Journal of American Medic</w:t>
      </w:r>
      <w:r>
        <w:rPr>
          <w:rFonts w:ascii="Arial" w:hAnsi="Arial" w:cs="Arial"/>
          <w:color w:val="000000" w:themeColor="text1"/>
        </w:rPr>
        <w:t>ine Association, 322(16), 1589-1599.</w:t>
      </w:r>
    </w:p>
    <w:p w14:paraId="7BC3300B" w14:textId="77777777" w:rsidR="00EE3FD5" w:rsidRDefault="00811C81">
      <w:pPr>
        <w:numPr>
          <w:ilvl w:val="0"/>
          <w:numId w:val="2"/>
        </w:numPr>
        <w:jc w:val="both"/>
        <w:rPr>
          <w:rFonts w:ascii="Arial" w:hAnsi="Arial" w:cs="Arial"/>
          <w:color w:val="000000" w:themeColor="text1"/>
        </w:rPr>
      </w:pPr>
      <w:r>
        <w:rPr>
          <w:rFonts w:ascii="Arial" w:hAnsi="Arial" w:cs="Arial"/>
          <w:color w:val="000000" w:themeColor="text1"/>
        </w:rPr>
        <w:t>Nichols, E. (2022). Estimation of the global prevalence of dementia in 2019 and forecasted prevalence in 2050: An analysis for the global burden of disease study 2019. The Lancet on Public Health, 7(2), 105-125.</w:t>
      </w:r>
    </w:p>
    <w:p w14:paraId="0A1701D2" w14:textId="77777777" w:rsidR="00EE3FD5" w:rsidRDefault="00811C81">
      <w:pPr>
        <w:pStyle w:val="NormalWeb"/>
        <w:numPr>
          <w:ilvl w:val="0"/>
          <w:numId w:val="2"/>
        </w:numPr>
        <w:spacing w:beforeAutospacing="0" w:afterAutospacing="0"/>
        <w:jc w:val="both"/>
        <w:rPr>
          <w:rFonts w:ascii="Arial" w:hAnsi="Arial" w:cs="Arial"/>
          <w:color w:val="000000" w:themeColor="text1"/>
          <w:sz w:val="20"/>
          <w:szCs w:val="20"/>
        </w:rPr>
      </w:pPr>
      <w:r>
        <w:rPr>
          <w:rFonts w:ascii="Arial" w:hAnsi="Arial" w:cs="Arial"/>
          <w:color w:val="000000" w:themeColor="text1"/>
          <w:sz w:val="20"/>
          <w:szCs w:val="20"/>
        </w:rPr>
        <w:t>Weidner</w:t>
      </w:r>
      <w:r>
        <w:rPr>
          <w:rFonts w:ascii="Arial" w:hAnsi="Arial" w:cs="Arial"/>
          <w:color w:val="000000" w:themeColor="text1"/>
          <w:sz w:val="20"/>
          <w:szCs w:val="20"/>
        </w:rPr>
        <w:t xml:space="preserve">, W. S. (2023). World Alzheimer Report 2022 ‐ How strong are global health systems: Lessons learned and case studies from across the globe. Alzheimer’s &amp; Dementia, </w:t>
      </w:r>
      <w:r>
        <w:rPr>
          <w:rFonts w:ascii="Arial" w:hAnsi="Arial" w:cs="Arial"/>
          <w:i/>
          <w:iCs/>
          <w:color w:val="000000" w:themeColor="text1"/>
          <w:sz w:val="20"/>
          <w:szCs w:val="20"/>
        </w:rPr>
        <w:t>19</w:t>
      </w:r>
      <w:r>
        <w:rPr>
          <w:rFonts w:ascii="Arial" w:hAnsi="Arial" w:cs="Arial"/>
          <w:color w:val="000000" w:themeColor="text1"/>
          <w:sz w:val="20"/>
          <w:szCs w:val="20"/>
        </w:rPr>
        <w:t xml:space="preserve">(S23). </w:t>
      </w:r>
      <w:hyperlink r:id="rId16" w:history="1">
        <w:r w:rsidR="00EE3FD5">
          <w:rPr>
            <w:rStyle w:val="Hyperlink"/>
            <w:rFonts w:ascii="Arial" w:hAnsi="Arial" w:cs="Arial"/>
            <w:color w:val="000000" w:themeColor="text1"/>
            <w:sz w:val="20"/>
            <w:szCs w:val="20"/>
          </w:rPr>
          <w:t>https://doi.org/10.1002/alz.073714</w:t>
        </w:r>
      </w:hyperlink>
    </w:p>
    <w:p w14:paraId="2FAD9774" w14:textId="77777777" w:rsidR="00EE3FD5" w:rsidRDefault="00811C81">
      <w:pPr>
        <w:numPr>
          <w:ilvl w:val="0"/>
          <w:numId w:val="2"/>
        </w:numPr>
        <w:jc w:val="both"/>
        <w:rPr>
          <w:rFonts w:ascii="Arial" w:hAnsi="Arial" w:cs="Arial"/>
          <w:color w:val="000000" w:themeColor="text1"/>
        </w:rPr>
      </w:pPr>
      <w:r>
        <w:rPr>
          <w:rFonts w:ascii="Arial" w:eastAsia="Consolas" w:hAnsi="Arial" w:cs="Arial"/>
          <w:color w:val="1B1B1B"/>
          <w:shd w:val="clear" w:color="auto" w:fill="FFFFFF"/>
        </w:rPr>
        <w:t xml:space="preserve">Prince, M., Ali, G. C., </w:t>
      </w:r>
      <w:proofErr w:type="spellStart"/>
      <w:r>
        <w:rPr>
          <w:rFonts w:ascii="Arial" w:eastAsia="Consolas" w:hAnsi="Arial" w:cs="Arial"/>
          <w:color w:val="1B1B1B"/>
          <w:shd w:val="clear" w:color="auto" w:fill="FFFFFF"/>
        </w:rPr>
        <w:t>Guerchet</w:t>
      </w:r>
      <w:proofErr w:type="spellEnd"/>
      <w:r>
        <w:rPr>
          <w:rFonts w:ascii="Arial" w:eastAsia="Consolas" w:hAnsi="Arial" w:cs="Arial"/>
          <w:color w:val="1B1B1B"/>
          <w:shd w:val="clear" w:color="auto" w:fill="FFFFFF"/>
        </w:rPr>
        <w:t xml:space="preserve">, M., Prina A. M., Albanese E., &amp; Wu Y. T. (2016). Recent global trends in the prevalence and incidence of dementia, and survival with dementia. </w:t>
      </w:r>
      <w:proofErr w:type="spellStart"/>
      <w:r>
        <w:rPr>
          <w:rFonts w:ascii="Arial" w:eastAsia="Consolas" w:hAnsi="Arial" w:cs="Arial"/>
          <w:color w:val="1B1B1B"/>
          <w:shd w:val="clear" w:color="auto" w:fill="FFFFFF"/>
        </w:rPr>
        <w:t>Alzheimers</w:t>
      </w:r>
      <w:proofErr w:type="spellEnd"/>
      <w:r>
        <w:rPr>
          <w:rFonts w:ascii="Arial" w:eastAsia="Consolas" w:hAnsi="Arial" w:cs="Arial"/>
          <w:color w:val="1B1B1B"/>
          <w:shd w:val="clear" w:color="auto" w:fill="FFFFFF"/>
        </w:rPr>
        <w:t xml:space="preserve"> Research Therapy, 30;8(1):23. </w:t>
      </w:r>
      <w:proofErr w:type="spellStart"/>
      <w:r>
        <w:rPr>
          <w:rFonts w:ascii="Arial" w:eastAsia="Consolas" w:hAnsi="Arial" w:cs="Arial"/>
          <w:color w:val="1B1B1B"/>
          <w:shd w:val="clear" w:color="auto" w:fill="FFFFFF"/>
        </w:rPr>
        <w:t>doi</w:t>
      </w:r>
      <w:proofErr w:type="spellEnd"/>
      <w:r>
        <w:rPr>
          <w:rFonts w:ascii="Arial" w:eastAsia="Consolas" w:hAnsi="Arial" w:cs="Arial"/>
          <w:color w:val="1B1B1B"/>
          <w:shd w:val="clear" w:color="auto" w:fill="FFFFFF"/>
        </w:rPr>
        <w:t>: 10.1186/s13195-016-0188-8. PMI</w:t>
      </w:r>
      <w:r>
        <w:rPr>
          <w:rFonts w:ascii="Arial" w:eastAsia="Consolas" w:hAnsi="Arial" w:cs="Arial"/>
          <w:color w:val="1B1B1B"/>
          <w:shd w:val="clear" w:color="auto" w:fill="FFFFFF"/>
        </w:rPr>
        <w:t>D: 27473681; PMCID: PMC4967299.</w:t>
      </w:r>
    </w:p>
    <w:p w14:paraId="3197FF87" w14:textId="77777777" w:rsidR="00EE3FD5" w:rsidRDefault="00811C81">
      <w:pPr>
        <w:numPr>
          <w:ilvl w:val="0"/>
          <w:numId w:val="2"/>
        </w:numPr>
        <w:jc w:val="both"/>
        <w:rPr>
          <w:rFonts w:ascii="Arial" w:hAnsi="Arial" w:cs="Arial"/>
          <w:color w:val="000000" w:themeColor="text1"/>
        </w:rPr>
      </w:pPr>
      <w:proofErr w:type="spellStart"/>
      <w:r>
        <w:rPr>
          <w:rFonts w:ascii="Arial" w:hAnsi="Arial" w:cs="Arial"/>
          <w:color w:val="000000" w:themeColor="text1"/>
        </w:rPr>
        <w:t>Mavrodaris</w:t>
      </w:r>
      <w:proofErr w:type="spellEnd"/>
      <w:r>
        <w:rPr>
          <w:rFonts w:ascii="Arial" w:hAnsi="Arial" w:cs="Arial"/>
          <w:color w:val="000000" w:themeColor="text1"/>
        </w:rPr>
        <w:t>, A., Powell, J. &amp; Thorogood, M. (2013). Prevalences of dementia and cognitive impairment among older people in sub-Saharan Africa: A systematic review. Bulletin World Health Organization, 91 (10): 773-783.</w:t>
      </w:r>
    </w:p>
    <w:p w14:paraId="2F32B556" w14:textId="77777777" w:rsidR="00EE3FD5" w:rsidRDefault="00811C81">
      <w:pPr>
        <w:numPr>
          <w:ilvl w:val="0"/>
          <w:numId w:val="2"/>
        </w:numPr>
        <w:jc w:val="both"/>
        <w:rPr>
          <w:rFonts w:ascii="Arial" w:hAnsi="Arial" w:cs="Arial"/>
          <w:color w:val="000000" w:themeColor="text1"/>
        </w:rPr>
      </w:pPr>
      <w:r>
        <w:rPr>
          <w:rFonts w:ascii="Arial" w:hAnsi="Arial" w:cs="Arial"/>
        </w:rPr>
        <w:t xml:space="preserve">George-Carey, R. </w:t>
      </w:r>
      <w:proofErr w:type="spellStart"/>
      <w:r>
        <w:rPr>
          <w:rFonts w:ascii="Arial" w:hAnsi="Arial" w:cs="Arial"/>
        </w:rPr>
        <w:t>Adeloye</w:t>
      </w:r>
      <w:proofErr w:type="spellEnd"/>
      <w:r>
        <w:rPr>
          <w:rFonts w:ascii="Arial" w:hAnsi="Arial" w:cs="Arial"/>
        </w:rPr>
        <w:t xml:space="preserve">, D. &amp; Chan, K. Y. (2015). An estimate of the prevalence of </w:t>
      </w:r>
      <w:r>
        <w:rPr>
          <w:rFonts w:ascii="Arial" w:hAnsi="Arial" w:cs="Arial"/>
        </w:rPr>
        <w:tab/>
        <w:t xml:space="preserve">dementia in Africa: A systematic analysis. </w:t>
      </w:r>
      <w:r>
        <w:rPr>
          <w:rFonts w:ascii="Arial" w:hAnsi="Arial" w:cs="Arial"/>
          <w:i/>
          <w:iCs/>
        </w:rPr>
        <w:t>Journal Global Health</w:t>
      </w:r>
      <w:r>
        <w:rPr>
          <w:rFonts w:ascii="Arial" w:hAnsi="Arial" w:cs="Arial"/>
        </w:rPr>
        <w:t>, 2(2).</w:t>
      </w:r>
    </w:p>
    <w:p w14:paraId="47636F2C" w14:textId="77777777" w:rsidR="00EE3FD5" w:rsidRDefault="00811C81">
      <w:pPr>
        <w:jc w:val="both"/>
        <w:rPr>
          <w:rFonts w:ascii="Arial" w:hAnsi="Arial" w:cs="Arial"/>
          <w:color w:val="000000" w:themeColor="text1"/>
        </w:rPr>
      </w:pPr>
      <w:r>
        <w:rPr>
          <w:rFonts w:ascii="Arial" w:hAnsi="Arial" w:cs="Arial"/>
          <w:color w:val="000000" w:themeColor="text1"/>
        </w:rPr>
        <w:t>12. Olayinka, O.O. &amp; Mbuyi, N. N. (2014). Epidemiology of dementia among the elderly in Sub-Saharan</w:t>
      </w:r>
      <w:r>
        <w:rPr>
          <w:rFonts w:ascii="Arial" w:hAnsi="Arial" w:cs="Arial"/>
          <w:color w:val="000000" w:themeColor="text1"/>
        </w:rPr>
        <w:t xml:space="preserve"> Africa. International Journal </w:t>
      </w:r>
      <w:proofErr w:type="spellStart"/>
      <w:r>
        <w:rPr>
          <w:rFonts w:ascii="Arial" w:hAnsi="Arial" w:cs="Arial"/>
          <w:color w:val="000000" w:themeColor="text1"/>
        </w:rPr>
        <w:t>Alzheimers</w:t>
      </w:r>
      <w:proofErr w:type="spellEnd"/>
      <w:r>
        <w:rPr>
          <w:rFonts w:ascii="Arial" w:hAnsi="Arial" w:cs="Arial"/>
          <w:color w:val="000000" w:themeColor="text1"/>
        </w:rPr>
        <w:t xml:space="preserve"> Diseases, 1-15.</w:t>
      </w:r>
    </w:p>
    <w:p w14:paraId="4CACB709" w14:textId="77777777" w:rsidR="00EE3FD5" w:rsidRDefault="00811C81">
      <w:pPr>
        <w:pStyle w:val="NormalWeb"/>
        <w:spacing w:beforeAutospacing="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13. Sanni, A. A. &amp; Adebayo, F. O. (2013). Nigerian mental health act 2013 assessment: A policy towards modern international standards. American Academic &amp; Scholarly Research </w:t>
      </w:r>
      <w:r>
        <w:rPr>
          <w:rFonts w:ascii="Arial" w:hAnsi="Arial" w:cs="Arial"/>
          <w:color w:val="000000" w:themeColor="text1"/>
          <w:sz w:val="20"/>
          <w:szCs w:val="20"/>
          <w:lang w:val="en-GB"/>
        </w:rPr>
        <w:t>J</w:t>
      </w:r>
      <w:proofErr w:type="spellStart"/>
      <w:r>
        <w:rPr>
          <w:rFonts w:ascii="Arial" w:hAnsi="Arial" w:cs="Arial"/>
          <w:color w:val="000000" w:themeColor="text1"/>
          <w:sz w:val="20"/>
          <w:szCs w:val="20"/>
        </w:rPr>
        <w:t>ou</w:t>
      </w:r>
      <w:proofErr w:type="spellEnd"/>
      <w:r>
        <w:rPr>
          <w:rFonts w:ascii="Arial" w:hAnsi="Arial" w:cs="Arial"/>
          <w:color w:val="000000" w:themeColor="text1"/>
          <w:sz w:val="20"/>
          <w:szCs w:val="20"/>
          <w:lang w:val="en-GB"/>
        </w:rPr>
        <w:t>r</w:t>
      </w:r>
      <w:proofErr w:type="spellStart"/>
      <w:r>
        <w:rPr>
          <w:rFonts w:ascii="Arial" w:hAnsi="Arial" w:cs="Arial"/>
          <w:color w:val="000000" w:themeColor="text1"/>
          <w:sz w:val="20"/>
          <w:szCs w:val="20"/>
        </w:rPr>
        <w:t>nal</w:t>
      </w:r>
      <w:proofErr w:type="spellEnd"/>
      <w:r>
        <w:rPr>
          <w:rFonts w:ascii="Arial" w:hAnsi="Arial" w:cs="Arial"/>
          <w:color w:val="000000" w:themeColor="text1"/>
          <w:sz w:val="20"/>
          <w:szCs w:val="20"/>
        </w:rPr>
        <w:t>, 6, 1.</w:t>
      </w:r>
    </w:p>
    <w:p w14:paraId="18F6BC1F" w14:textId="77777777" w:rsidR="00EE3FD5" w:rsidRDefault="00811C81">
      <w:pPr>
        <w:pStyle w:val="NormalWeb"/>
        <w:spacing w:beforeAutospacing="0" w:afterAutospacing="0"/>
        <w:rPr>
          <w:rFonts w:ascii="Arial" w:hAnsi="Arial" w:cs="Arial"/>
          <w:b/>
          <w:bCs/>
          <w:color w:val="000000" w:themeColor="text1"/>
          <w:sz w:val="20"/>
          <w:szCs w:val="20"/>
        </w:rPr>
      </w:pPr>
      <w:r>
        <w:rPr>
          <w:rFonts w:ascii="Arial" w:hAnsi="Arial" w:cs="Arial"/>
          <w:color w:val="000000" w:themeColor="text1"/>
          <w:sz w:val="20"/>
          <w:szCs w:val="20"/>
        </w:rPr>
        <w:t xml:space="preserve">14 </w:t>
      </w:r>
      <w:proofErr w:type="spellStart"/>
      <w:r>
        <w:rPr>
          <w:rFonts w:ascii="Arial" w:hAnsi="Arial" w:cs="Arial"/>
          <w:sz w:val="20"/>
          <w:szCs w:val="20"/>
        </w:rPr>
        <w:t>Adeloy</w:t>
      </w:r>
      <w:r>
        <w:rPr>
          <w:rFonts w:ascii="Arial" w:hAnsi="Arial" w:cs="Arial"/>
          <w:sz w:val="20"/>
          <w:szCs w:val="20"/>
        </w:rPr>
        <w:t>e</w:t>
      </w:r>
      <w:proofErr w:type="spellEnd"/>
      <w:r>
        <w:rPr>
          <w:rFonts w:ascii="Arial" w:hAnsi="Arial" w:cs="Arial"/>
          <w:sz w:val="20"/>
          <w:szCs w:val="20"/>
        </w:rPr>
        <w:t xml:space="preserve">, D., Auta, A., </w:t>
      </w:r>
      <w:proofErr w:type="spellStart"/>
      <w:r>
        <w:rPr>
          <w:rFonts w:ascii="Arial" w:hAnsi="Arial" w:cs="Arial"/>
          <w:sz w:val="20"/>
          <w:szCs w:val="20"/>
        </w:rPr>
        <w:t>Ezejimofor</w:t>
      </w:r>
      <w:proofErr w:type="spellEnd"/>
      <w:r>
        <w:rPr>
          <w:rFonts w:ascii="Arial" w:hAnsi="Arial" w:cs="Arial"/>
          <w:sz w:val="20"/>
          <w:szCs w:val="20"/>
        </w:rPr>
        <w:t xml:space="preserve">, M., </w:t>
      </w:r>
      <w:proofErr w:type="spellStart"/>
      <w:r>
        <w:rPr>
          <w:rFonts w:ascii="Arial" w:hAnsi="Arial" w:cs="Arial"/>
          <w:sz w:val="20"/>
          <w:szCs w:val="20"/>
        </w:rPr>
        <w:t>Oyedokun</w:t>
      </w:r>
      <w:proofErr w:type="spellEnd"/>
      <w:r>
        <w:rPr>
          <w:rFonts w:ascii="Arial" w:hAnsi="Arial" w:cs="Arial"/>
          <w:sz w:val="20"/>
          <w:szCs w:val="20"/>
        </w:rPr>
        <w:t xml:space="preserve">, A., Harhay, M. O., Rudan, I., &amp; Chan, K. Y. (2019). Prevalence of dementia in Nigeria: a systematic review of the evidence. </w:t>
      </w:r>
      <w:r>
        <w:rPr>
          <w:rFonts w:ascii="Arial" w:hAnsi="Arial" w:cs="Arial"/>
          <w:i/>
          <w:iCs/>
          <w:sz w:val="20"/>
          <w:szCs w:val="20"/>
        </w:rPr>
        <w:t>Journal of Global Health Reports</w:t>
      </w:r>
      <w:r>
        <w:rPr>
          <w:rFonts w:ascii="Arial" w:hAnsi="Arial" w:cs="Arial"/>
          <w:sz w:val="20"/>
          <w:szCs w:val="20"/>
        </w:rPr>
        <w:t xml:space="preserve">, </w:t>
      </w:r>
      <w:r>
        <w:rPr>
          <w:rFonts w:ascii="Arial" w:hAnsi="Arial" w:cs="Arial"/>
          <w:i/>
          <w:iCs/>
          <w:sz w:val="20"/>
          <w:szCs w:val="20"/>
        </w:rPr>
        <w:t>3</w:t>
      </w:r>
      <w:r>
        <w:rPr>
          <w:rFonts w:ascii="Arial" w:hAnsi="Arial" w:cs="Arial"/>
          <w:sz w:val="20"/>
          <w:szCs w:val="20"/>
        </w:rPr>
        <w:t>. https://doi.org/10.29392/joghr.3.e2019014.</w:t>
      </w:r>
    </w:p>
    <w:p w14:paraId="4C9BC1A9" w14:textId="77777777" w:rsidR="00EE3FD5" w:rsidRDefault="00811C81">
      <w:pPr>
        <w:numPr>
          <w:ilvl w:val="0"/>
          <w:numId w:val="3"/>
        </w:numPr>
        <w:jc w:val="both"/>
        <w:rPr>
          <w:rFonts w:ascii="Arial" w:hAnsi="Arial" w:cs="Arial"/>
          <w:color w:val="000000" w:themeColor="text1"/>
        </w:rPr>
      </w:pPr>
      <w:r>
        <w:rPr>
          <w:rFonts w:ascii="Arial" w:hAnsi="Arial" w:cs="Arial"/>
          <w:color w:val="000000" w:themeColor="text1"/>
        </w:rPr>
        <w:t>Ogunniyi,</w:t>
      </w:r>
      <w:r>
        <w:rPr>
          <w:rFonts w:ascii="Arial" w:hAnsi="Arial" w:cs="Arial"/>
          <w:color w:val="000000" w:themeColor="text1"/>
        </w:rPr>
        <w:t xml:space="preserve"> A. </w:t>
      </w:r>
      <w:proofErr w:type="spellStart"/>
      <w:r>
        <w:rPr>
          <w:rFonts w:ascii="Arial" w:hAnsi="Arial" w:cs="Arial"/>
          <w:color w:val="000000" w:themeColor="text1"/>
        </w:rPr>
        <w:t>Baiyewu</w:t>
      </w:r>
      <w:proofErr w:type="spellEnd"/>
      <w:r>
        <w:rPr>
          <w:rFonts w:ascii="Arial" w:hAnsi="Arial" w:cs="Arial"/>
          <w:color w:val="000000" w:themeColor="text1"/>
        </w:rPr>
        <w:t xml:space="preserve">, O. &amp; </w:t>
      </w:r>
      <w:proofErr w:type="spellStart"/>
      <w:r>
        <w:rPr>
          <w:rFonts w:ascii="Arial" w:hAnsi="Arial" w:cs="Arial"/>
          <w:color w:val="000000" w:themeColor="text1"/>
        </w:rPr>
        <w:t>Gureje</w:t>
      </w:r>
      <w:proofErr w:type="spellEnd"/>
      <w:r>
        <w:rPr>
          <w:rFonts w:ascii="Arial" w:hAnsi="Arial" w:cs="Arial"/>
          <w:color w:val="000000" w:themeColor="text1"/>
        </w:rPr>
        <w:t>, O. (2013). Epidemiology of dementia in Nigeria: Results from the Indianapolis-Ibadan study. Europe Journal Neurology, 7(5), 485-490.</w:t>
      </w:r>
    </w:p>
    <w:p w14:paraId="0E61466A" w14:textId="77777777" w:rsidR="00EE3FD5" w:rsidRDefault="00811C81">
      <w:pPr>
        <w:jc w:val="both"/>
        <w:rPr>
          <w:rFonts w:ascii="Arial" w:hAnsi="Arial" w:cs="Arial"/>
          <w:color w:val="000000" w:themeColor="text1"/>
        </w:rPr>
      </w:pPr>
      <w:r>
        <w:rPr>
          <w:rFonts w:ascii="Arial" w:hAnsi="Arial" w:cs="Arial"/>
          <w:color w:val="000000" w:themeColor="text1"/>
        </w:rPr>
        <w:t xml:space="preserve">16. Albanese, E., Liu, Z. &amp; Acosta, D. (2017). Equity in the </w:t>
      </w:r>
      <w:proofErr w:type="spellStart"/>
      <w:r>
        <w:rPr>
          <w:rFonts w:ascii="Arial" w:hAnsi="Arial" w:cs="Arial"/>
          <w:color w:val="000000" w:themeColor="text1"/>
        </w:rPr>
        <w:t>dleivery</w:t>
      </w:r>
      <w:proofErr w:type="spellEnd"/>
      <w:r>
        <w:rPr>
          <w:rFonts w:ascii="Arial" w:hAnsi="Arial" w:cs="Arial"/>
          <w:color w:val="000000" w:themeColor="text1"/>
        </w:rPr>
        <w:t xml:space="preserve"> of community healthcare to </w:t>
      </w:r>
      <w:r>
        <w:rPr>
          <w:rFonts w:ascii="Arial" w:hAnsi="Arial" w:cs="Arial"/>
          <w:color w:val="000000" w:themeColor="text1"/>
        </w:rPr>
        <w:t>older people: Findings from 10/66 dementia research group cross-sectional surveys in Latin America, China, India and Nigeria. British Medicinal Council of Health Services Research, 11(1), 153.</w:t>
      </w:r>
    </w:p>
    <w:p w14:paraId="44D71810" w14:textId="77777777" w:rsidR="00EE3FD5" w:rsidRDefault="00811C81">
      <w:pPr>
        <w:pStyle w:val="NormalWeb"/>
        <w:spacing w:beforeAutospacing="0" w:afterAutospacing="0"/>
        <w:jc w:val="both"/>
        <w:rPr>
          <w:rFonts w:ascii="Arial" w:hAnsi="Arial" w:cs="Arial"/>
          <w:color w:val="000000" w:themeColor="text1"/>
          <w:sz w:val="20"/>
          <w:szCs w:val="20"/>
        </w:rPr>
      </w:pPr>
      <w:r>
        <w:rPr>
          <w:rFonts w:ascii="Arial" w:hAnsi="Arial" w:cs="Arial"/>
          <w:color w:val="000000" w:themeColor="text1"/>
          <w:sz w:val="20"/>
          <w:szCs w:val="20"/>
        </w:rPr>
        <w:t>17. Prince, M., Ferri, C. P. &amp; Acosta, D. (2013). The protocols</w:t>
      </w:r>
      <w:r>
        <w:rPr>
          <w:rFonts w:ascii="Arial" w:hAnsi="Arial" w:cs="Arial"/>
          <w:color w:val="000000" w:themeColor="text1"/>
          <w:sz w:val="20"/>
          <w:szCs w:val="20"/>
        </w:rPr>
        <w:t xml:space="preserve"> for the 10/66 dementia research group </w:t>
      </w:r>
      <w:proofErr w:type="gramStart"/>
      <w:r>
        <w:rPr>
          <w:rFonts w:ascii="Arial" w:hAnsi="Arial" w:cs="Arial"/>
          <w:color w:val="000000" w:themeColor="text1"/>
          <w:sz w:val="20"/>
          <w:szCs w:val="20"/>
        </w:rPr>
        <w:t>population based</w:t>
      </w:r>
      <w:proofErr w:type="gramEnd"/>
      <w:r>
        <w:rPr>
          <w:rFonts w:ascii="Arial" w:hAnsi="Arial" w:cs="Arial"/>
          <w:color w:val="000000" w:themeColor="text1"/>
          <w:sz w:val="20"/>
          <w:szCs w:val="20"/>
        </w:rPr>
        <w:t xml:space="preserve"> research </w:t>
      </w:r>
      <w:proofErr w:type="spellStart"/>
      <w:r>
        <w:rPr>
          <w:rFonts w:ascii="Arial" w:hAnsi="Arial" w:cs="Arial"/>
          <w:color w:val="000000" w:themeColor="text1"/>
          <w:sz w:val="20"/>
          <w:szCs w:val="20"/>
        </w:rPr>
        <w:t>programme</w:t>
      </w:r>
      <w:proofErr w:type="spellEnd"/>
      <w:r>
        <w:rPr>
          <w:rFonts w:ascii="Arial" w:hAnsi="Arial" w:cs="Arial"/>
          <w:color w:val="000000" w:themeColor="text1"/>
          <w:sz w:val="20"/>
          <w:szCs w:val="20"/>
        </w:rPr>
        <w:t>. British Medicinal C</w:t>
      </w:r>
      <w:r>
        <w:rPr>
          <w:rFonts w:ascii="Arial" w:hAnsi="Arial" w:cs="Arial"/>
          <w:color w:val="000000" w:themeColor="text1"/>
          <w:sz w:val="20"/>
          <w:szCs w:val="20"/>
          <w:lang w:val="en-GB"/>
        </w:rPr>
        <w:t>o</w:t>
      </w:r>
      <w:proofErr w:type="spellStart"/>
      <w:r>
        <w:rPr>
          <w:rFonts w:ascii="Arial" w:hAnsi="Arial" w:cs="Arial"/>
          <w:color w:val="000000" w:themeColor="text1"/>
          <w:sz w:val="20"/>
          <w:szCs w:val="20"/>
        </w:rPr>
        <w:t>uncil</w:t>
      </w:r>
      <w:proofErr w:type="spellEnd"/>
      <w:r>
        <w:rPr>
          <w:rFonts w:ascii="Arial" w:hAnsi="Arial" w:cs="Arial"/>
          <w:color w:val="000000" w:themeColor="text1"/>
          <w:sz w:val="20"/>
          <w:szCs w:val="20"/>
        </w:rPr>
        <w:t xml:space="preserve"> of Public Health, 7(1), 165.</w:t>
      </w:r>
    </w:p>
    <w:p w14:paraId="0AC30990" w14:textId="77777777" w:rsidR="00EE3FD5" w:rsidRDefault="00811C81">
      <w:pPr>
        <w:jc w:val="both"/>
        <w:rPr>
          <w:rFonts w:ascii="Arial" w:hAnsi="Arial" w:cs="Arial"/>
          <w:color w:val="000000" w:themeColor="text1"/>
        </w:rPr>
      </w:pPr>
      <w:r>
        <w:rPr>
          <w:rFonts w:ascii="Arial" w:hAnsi="Arial" w:cs="Arial"/>
          <w:color w:val="000000" w:themeColor="text1"/>
        </w:rPr>
        <w:t xml:space="preserve">18. </w:t>
      </w:r>
      <w:proofErr w:type="spellStart"/>
      <w:r>
        <w:rPr>
          <w:rFonts w:ascii="Arial" w:hAnsi="Arial" w:cs="Arial"/>
          <w:color w:val="000000" w:themeColor="text1"/>
        </w:rPr>
        <w:t>Fadele</w:t>
      </w:r>
      <w:proofErr w:type="spellEnd"/>
      <w:r>
        <w:rPr>
          <w:rFonts w:ascii="Arial" w:hAnsi="Arial" w:cs="Arial"/>
          <w:color w:val="000000" w:themeColor="text1"/>
        </w:rPr>
        <w:t xml:space="preserve">, K. P., Igwe, S. C., Olawepo, T. N., </w:t>
      </w:r>
      <w:proofErr w:type="spellStart"/>
      <w:r>
        <w:rPr>
          <w:rFonts w:ascii="Arial" w:hAnsi="Arial" w:cs="Arial"/>
          <w:color w:val="000000" w:themeColor="text1"/>
        </w:rPr>
        <w:t>Udokang</w:t>
      </w:r>
      <w:proofErr w:type="spellEnd"/>
      <w:r>
        <w:rPr>
          <w:rFonts w:ascii="Arial" w:hAnsi="Arial" w:cs="Arial"/>
          <w:color w:val="000000" w:themeColor="text1"/>
        </w:rPr>
        <w:t>, E. I., Ogaya, J. B., &amp; Lucero-</w:t>
      </w:r>
      <w:proofErr w:type="spellStart"/>
      <w:r>
        <w:rPr>
          <w:rFonts w:ascii="Arial" w:hAnsi="Arial" w:cs="Arial"/>
          <w:color w:val="000000" w:themeColor="text1"/>
        </w:rPr>
        <w:t>Prisno</w:t>
      </w:r>
      <w:proofErr w:type="spellEnd"/>
      <w:r>
        <w:rPr>
          <w:rFonts w:ascii="Arial" w:hAnsi="Arial" w:cs="Arial"/>
          <w:color w:val="000000" w:themeColor="text1"/>
        </w:rPr>
        <w:t>, D. E. (2024). Mental Health Ch</w:t>
      </w:r>
      <w:r>
        <w:rPr>
          <w:rFonts w:ascii="Arial" w:hAnsi="Arial" w:cs="Arial"/>
          <w:color w:val="000000" w:themeColor="text1"/>
        </w:rPr>
        <w:t xml:space="preserve">allenges in Nigeria: Bridging the Gap Between Demand and Resources. </w:t>
      </w:r>
      <w:r>
        <w:rPr>
          <w:rFonts w:ascii="Arial" w:hAnsi="Arial" w:cs="Arial"/>
          <w:iCs/>
          <w:color w:val="000000" w:themeColor="text1"/>
        </w:rPr>
        <w:t>Global Mental Health</w:t>
      </w:r>
      <w:r>
        <w:rPr>
          <w:rFonts w:ascii="Arial" w:hAnsi="Arial" w:cs="Arial"/>
          <w:color w:val="000000" w:themeColor="text1"/>
        </w:rPr>
        <w:t xml:space="preserve">, </w:t>
      </w:r>
      <w:r>
        <w:rPr>
          <w:rFonts w:ascii="Arial" w:hAnsi="Arial" w:cs="Arial"/>
          <w:i/>
          <w:color w:val="000000" w:themeColor="text1"/>
        </w:rPr>
        <w:t>11</w:t>
      </w:r>
      <w:r>
        <w:rPr>
          <w:rFonts w:ascii="Arial" w:hAnsi="Arial" w:cs="Arial"/>
          <w:color w:val="000000" w:themeColor="text1"/>
        </w:rPr>
        <w:t xml:space="preserve">(29), 1–13. </w:t>
      </w:r>
      <w:hyperlink r:id="rId17" w:history="1">
        <w:r w:rsidR="00EE3FD5">
          <w:rPr>
            <w:rFonts w:ascii="Arial" w:hAnsi="Arial" w:cs="Arial"/>
            <w:color w:val="000000" w:themeColor="text1"/>
          </w:rPr>
          <w:t>https://doi.org/10.1017/gmh.2024.19</w:t>
        </w:r>
      </w:hyperlink>
    </w:p>
    <w:p w14:paraId="7752946E" w14:textId="77777777" w:rsidR="00EE3FD5" w:rsidRDefault="00811C81">
      <w:pPr>
        <w:pStyle w:val="NormalWeb"/>
        <w:spacing w:beforeAutospacing="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19. </w:t>
      </w:r>
      <w:r>
        <w:rPr>
          <w:rFonts w:ascii="Arial" w:eastAsia="Consolas" w:hAnsi="Arial" w:cs="Arial"/>
          <w:color w:val="000000" w:themeColor="text1"/>
          <w:sz w:val="20"/>
          <w:szCs w:val="20"/>
          <w:shd w:val="clear" w:color="auto" w:fill="FFFFFF"/>
        </w:rPr>
        <w:t xml:space="preserve">Cantone M. (2023). Molecular Mechanisms of Dementia. International Journal of Molecular Sciences, 24(17):13027. </w:t>
      </w:r>
      <w:proofErr w:type="spellStart"/>
      <w:r>
        <w:rPr>
          <w:rFonts w:ascii="Arial" w:eastAsia="Consolas" w:hAnsi="Arial" w:cs="Arial"/>
          <w:color w:val="000000" w:themeColor="text1"/>
          <w:sz w:val="20"/>
          <w:szCs w:val="20"/>
          <w:shd w:val="clear" w:color="auto" w:fill="FFFFFF"/>
        </w:rPr>
        <w:t>doi</w:t>
      </w:r>
      <w:proofErr w:type="spellEnd"/>
      <w:r>
        <w:rPr>
          <w:rFonts w:ascii="Arial" w:eastAsia="Consolas" w:hAnsi="Arial" w:cs="Arial"/>
          <w:color w:val="000000" w:themeColor="text1"/>
          <w:sz w:val="20"/>
          <w:szCs w:val="20"/>
          <w:shd w:val="clear" w:color="auto" w:fill="FFFFFF"/>
        </w:rPr>
        <w:t>: 10.3390/ijms241713027.</w:t>
      </w:r>
    </w:p>
    <w:p w14:paraId="361525DD" w14:textId="77777777" w:rsidR="00EE3FD5" w:rsidRDefault="00811C81">
      <w:pPr>
        <w:jc w:val="both"/>
        <w:rPr>
          <w:rFonts w:ascii="Arial" w:hAnsi="Arial" w:cs="Arial"/>
          <w:b/>
          <w:bCs/>
          <w:color w:val="000000" w:themeColor="text1"/>
        </w:rPr>
      </w:pPr>
      <w:r>
        <w:rPr>
          <w:rFonts w:ascii="Arial" w:hAnsi="Arial" w:cs="Arial"/>
          <w:color w:val="000000" w:themeColor="text1"/>
        </w:rPr>
        <w:t xml:space="preserve">20. </w:t>
      </w:r>
      <w:r>
        <w:rPr>
          <w:rFonts w:ascii="Arial" w:eastAsia="Segoe UI" w:hAnsi="Arial" w:cs="Arial"/>
          <w:color w:val="000000" w:themeColor="text1"/>
          <w:shd w:val="clear" w:color="auto" w:fill="FFFFFF"/>
        </w:rPr>
        <w:t>Zhang, J., Zhang, Y., Wang, J., Xia, J., Zhang, J., &amp;</w:t>
      </w:r>
      <w:r>
        <w:rPr>
          <w:rFonts w:ascii="Arial" w:eastAsia="Segoe UI" w:hAnsi="Arial" w:cs="Arial"/>
          <w:i/>
          <w:iCs/>
          <w:color w:val="000000" w:themeColor="text1"/>
          <w:shd w:val="clear" w:color="auto" w:fill="FFFFFF"/>
        </w:rPr>
        <w:t xml:space="preserve"> </w:t>
      </w:r>
      <w:r>
        <w:rPr>
          <w:rFonts w:ascii="Arial" w:eastAsia="Segoe UI" w:hAnsi="Arial" w:cs="Arial"/>
          <w:color w:val="000000" w:themeColor="text1"/>
          <w:shd w:val="clear" w:color="auto" w:fill="FFFFFF"/>
        </w:rPr>
        <w:t>Chen, L. (2024). Recent advances in Alzheimer’s disease: m</w:t>
      </w:r>
      <w:r>
        <w:rPr>
          <w:rFonts w:ascii="Arial" w:eastAsia="Segoe UI" w:hAnsi="Arial" w:cs="Arial"/>
          <w:color w:val="000000" w:themeColor="text1"/>
          <w:shd w:val="clear" w:color="auto" w:fill="FFFFFF"/>
        </w:rPr>
        <w:t>echanisms, clinical trials and new drug development strategies. Signal Transduction Target Therapy, 9, 211. https://doi.org/10.1038/s41392-024-01911-3.</w:t>
      </w:r>
    </w:p>
    <w:p w14:paraId="645A6A52" w14:textId="77777777" w:rsidR="00EE3FD5" w:rsidRDefault="00811C81">
      <w:pPr>
        <w:jc w:val="both"/>
        <w:rPr>
          <w:rFonts w:ascii="Arial" w:hAnsi="Arial" w:cs="Arial"/>
          <w:color w:val="000000" w:themeColor="text1"/>
        </w:rPr>
      </w:pPr>
      <w:r>
        <w:rPr>
          <w:rFonts w:ascii="Arial" w:hAnsi="Arial" w:cs="Arial"/>
          <w:color w:val="000000" w:themeColor="text1"/>
        </w:rPr>
        <w:t>21. Wang, H. (2016). Global, regional and national life expectancy, all-cause mortality and cause-specif</w:t>
      </w:r>
      <w:r>
        <w:rPr>
          <w:rFonts w:ascii="Arial" w:hAnsi="Arial" w:cs="Arial"/>
          <w:color w:val="000000" w:themeColor="text1"/>
        </w:rPr>
        <w:t>ic mortality for 249 causes of death, 1980-2015: A systematic analysis for the Global Burden of Disease Study 2015. Lancet, 388 (10053), 1459-1544.</w:t>
      </w:r>
    </w:p>
    <w:p w14:paraId="7BADC039" w14:textId="77777777" w:rsidR="00EE3FD5" w:rsidRDefault="00811C81">
      <w:pPr>
        <w:pStyle w:val="NormalWeb"/>
        <w:spacing w:beforeAutospacing="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22. Rotstein, A., Kodesh, A., </w:t>
      </w:r>
      <w:proofErr w:type="spellStart"/>
      <w:r>
        <w:rPr>
          <w:rFonts w:ascii="Arial" w:hAnsi="Arial" w:cs="Arial"/>
          <w:color w:val="000000" w:themeColor="text1"/>
          <w:sz w:val="20"/>
          <w:szCs w:val="20"/>
        </w:rPr>
        <w:t>Schnaider</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Beeri</w:t>
      </w:r>
      <w:proofErr w:type="spellEnd"/>
      <w:r>
        <w:rPr>
          <w:rFonts w:ascii="Arial" w:hAnsi="Arial" w:cs="Arial"/>
          <w:color w:val="000000" w:themeColor="text1"/>
          <w:sz w:val="20"/>
          <w:szCs w:val="20"/>
        </w:rPr>
        <w:t>, M., &amp; Levine, S. Z. (2025). Sex differences in dementia risk:</w:t>
      </w:r>
      <w:r>
        <w:rPr>
          <w:rFonts w:ascii="Arial" w:hAnsi="Arial" w:cs="Arial"/>
          <w:color w:val="000000" w:themeColor="text1"/>
          <w:sz w:val="20"/>
          <w:szCs w:val="20"/>
        </w:rPr>
        <w:t xml:space="preserve"> considering underlying medical conditions. Alzheimer’s Research &amp; Therapy, </w:t>
      </w:r>
      <w:r>
        <w:rPr>
          <w:rFonts w:ascii="Arial" w:hAnsi="Arial" w:cs="Arial"/>
          <w:i/>
          <w:iCs/>
          <w:color w:val="000000" w:themeColor="text1"/>
          <w:sz w:val="20"/>
          <w:szCs w:val="20"/>
        </w:rPr>
        <w:t>17</w:t>
      </w:r>
      <w:r>
        <w:rPr>
          <w:rFonts w:ascii="Arial" w:hAnsi="Arial" w:cs="Arial"/>
          <w:color w:val="000000" w:themeColor="text1"/>
          <w:sz w:val="20"/>
          <w:szCs w:val="20"/>
        </w:rPr>
        <w:t>(1). https://doi.org/10.1186/s13195-025-01843-2</w:t>
      </w:r>
    </w:p>
    <w:p w14:paraId="53B45540" w14:textId="77777777" w:rsidR="00EE3FD5" w:rsidRDefault="00811C81">
      <w:pPr>
        <w:jc w:val="both"/>
        <w:rPr>
          <w:rFonts w:ascii="Arial" w:hAnsi="Arial" w:cs="Arial"/>
          <w:color w:val="000000" w:themeColor="text1"/>
        </w:rPr>
      </w:pPr>
      <w:r>
        <w:rPr>
          <w:rFonts w:ascii="Arial" w:hAnsi="Arial" w:cs="Arial"/>
          <w:color w:val="000000" w:themeColor="text1"/>
        </w:rPr>
        <w:t xml:space="preserve">23. </w:t>
      </w:r>
      <w:proofErr w:type="spellStart"/>
      <w:r>
        <w:rPr>
          <w:rFonts w:ascii="Arial" w:hAnsi="Arial" w:cs="Arial"/>
          <w:color w:val="000000" w:themeColor="text1"/>
        </w:rPr>
        <w:t>Pszczołowska</w:t>
      </w:r>
      <w:proofErr w:type="spellEnd"/>
      <w:r>
        <w:rPr>
          <w:rFonts w:ascii="Arial" w:hAnsi="Arial" w:cs="Arial"/>
          <w:color w:val="000000" w:themeColor="text1"/>
        </w:rPr>
        <w:t xml:space="preserve">, M., Walczak, K., </w:t>
      </w:r>
      <w:proofErr w:type="spellStart"/>
      <w:r>
        <w:rPr>
          <w:rFonts w:ascii="Arial" w:hAnsi="Arial" w:cs="Arial"/>
          <w:color w:val="000000" w:themeColor="text1"/>
        </w:rPr>
        <w:t>Miśków</w:t>
      </w:r>
      <w:proofErr w:type="spellEnd"/>
      <w:r>
        <w:rPr>
          <w:rFonts w:ascii="Arial" w:hAnsi="Arial" w:cs="Arial"/>
          <w:color w:val="000000" w:themeColor="text1"/>
        </w:rPr>
        <w:t xml:space="preserve">, W., </w:t>
      </w:r>
      <w:proofErr w:type="spellStart"/>
      <w:r>
        <w:rPr>
          <w:rFonts w:ascii="Arial" w:hAnsi="Arial" w:cs="Arial"/>
          <w:color w:val="000000" w:themeColor="text1"/>
        </w:rPr>
        <w:t>Mroziak</w:t>
      </w:r>
      <w:proofErr w:type="spellEnd"/>
      <w:r>
        <w:rPr>
          <w:rFonts w:ascii="Arial" w:hAnsi="Arial" w:cs="Arial"/>
          <w:color w:val="000000" w:themeColor="text1"/>
        </w:rPr>
        <w:t xml:space="preserve">, M., Kozłowski, G., </w:t>
      </w:r>
      <w:proofErr w:type="spellStart"/>
      <w:r>
        <w:rPr>
          <w:rFonts w:ascii="Arial" w:hAnsi="Arial" w:cs="Arial"/>
          <w:color w:val="000000" w:themeColor="text1"/>
        </w:rPr>
        <w:t>Beszłej</w:t>
      </w:r>
      <w:proofErr w:type="spellEnd"/>
      <w:r>
        <w:rPr>
          <w:rFonts w:ascii="Arial" w:hAnsi="Arial" w:cs="Arial"/>
          <w:color w:val="000000" w:themeColor="text1"/>
        </w:rPr>
        <w:t>, J. A., et al. (2024). Association between Fema</w:t>
      </w:r>
      <w:r>
        <w:rPr>
          <w:rFonts w:ascii="Arial" w:hAnsi="Arial" w:cs="Arial"/>
          <w:color w:val="000000" w:themeColor="text1"/>
        </w:rPr>
        <w:t xml:space="preserve">le Reproductive Factors and Risk of Dementia. </w:t>
      </w:r>
      <w:r>
        <w:rPr>
          <w:rFonts w:ascii="Arial" w:hAnsi="Arial" w:cs="Arial"/>
          <w:iCs/>
          <w:color w:val="000000" w:themeColor="text1"/>
        </w:rPr>
        <w:t>Journal of Clinical Medicine</w:t>
      </w:r>
      <w:r>
        <w:rPr>
          <w:rFonts w:ascii="Arial" w:hAnsi="Arial" w:cs="Arial"/>
          <w:color w:val="000000" w:themeColor="text1"/>
        </w:rPr>
        <w:t xml:space="preserve">, </w:t>
      </w:r>
      <w:r>
        <w:rPr>
          <w:rFonts w:ascii="Arial" w:hAnsi="Arial" w:cs="Arial"/>
          <w:i/>
          <w:color w:val="000000" w:themeColor="text1"/>
        </w:rPr>
        <w:t>13</w:t>
      </w:r>
      <w:r>
        <w:rPr>
          <w:rFonts w:ascii="Arial" w:hAnsi="Arial" w:cs="Arial"/>
          <w:color w:val="000000" w:themeColor="text1"/>
        </w:rPr>
        <w:t xml:space="preserve">(10), 2983. </w:t>
      </w:r>
      <w:hyperlink r:id="rId18" w:history="1">
        <w:r w:rsidR="00EE3FD5">
          <w:rPr>
            <w:rFonts w:ascii="Arial" w:hAnsi="Arial" w:cs="Arial"/>
            <w:color w:val="000000" w:themeColor="text1"/>
          </w:rPr>
          <w:t>https://doi.org/10.3390/jcm13102983</w:t>
        </w:r>
      </w:hyperlink>
      <w:r>
        <w:rPr>
          <w:rFonts w:ascii="Arial" w:hAnsi="Arial" w:cs="Arial"/>
          <w:color w:val="000000" w:themeColor="text1"/>
        </w:rPr>
        <w:t>.</w:t>
      </w:r>
    </w:p>
    <w:p w14:paraId="48374C8B" w14:textId="77777777" w:rsidR="00EE3FD5" w:rsidRDefault="00811C81">
      <w:pPr>
        <w:jc w:val="both"/>
        <w:rPr>
          <w:rFonts w:ascii="Arial" w:hAnsi="Arial" w:cs="Arial"/>
          <w:color w:val="000000" w:themeColor="text1"/>
        </w:rPr>
      </w:pPr>
      <w:r>
        <w:rPr>
          <w:rFonts w:ascii="Arial" w:hAnsi="Arial" w:cs="Arial"/>
          <w:color w:val="000000" w:themeColor="text1"/>
        </w:rPr>
        <w:t xml:space="preserve">24. Chung, C. G., Lee, H. &amp; Lee, S. B. (2018). Mechanisms of protein toxicity in </w:t>
      </w:r>
      <w:proofErr w:type="spellStart"/>
      <w:r>
        <w:rPr>
          <w:rFonts w:ascii="Arial" w:hAnsi="Arial" w:cs="Arial"/>
          <w:color w:val="000000" w:themeColor="text1"/>
        </w:rPr>
        <w:t>neurodegenrative</w:t>
      </w:r>
      <w:proofErr w:type="spellEnd"/>
      <w:r>
        <w:rPr>
          <w:rFonts w:ascii="Arial" w:hAnsi="Arial" w:cs="Arial"/>
          <w:color w:val="000000" w:themeColor="text1"/>
        </w:rPr>
        <w:t xml:space="preserve"> diseases. Cell Molecular Life Science, 75 (17), 3159-3180.</w:t>
      </w:r>
    </w:p>
    <w:p w14:paraId="0C80579A" w14:textId="77777777" w:rsidR="00EE3FD5" w:rsidRDefault="00811C81">
      <w:pPr>
        <w:jc w:val="both"/>
        <w:rPr>
          <w:rFonts w:ascii="Arial" w:hAnsi="Arial" w:cs="Arial"/>
          <w:color w:val="000000" w:themeColor="text1"/>
        </w:rPr>
      </w:pPr>
      <w:r>
        <w:rPr>
          <w:rFonts w:ascii="Arial" w:hAnsi="Arial" w:cs="Arial"/>
          <w:color w:val="000000" w:themeColor="text1"/>
        </w:rPr>
        <w:t xml:space="preserve">25. </w:t>
      </w:r>
      <w:proofErr w:type="spellStart"/>
      <w:r>
        <w:rPr>
          <w:rFonts w:ascii="Arial" w:hAnsi="Arial" w:cs="Arial"/>
          <w:color w:val="000000" w:themeColor="text1"/>
        </w:rPr>
        <w:t>Iadecola</w:t>
      </w:r>
      <w:proofErr w:type="spellEnd"/>
      <w:r>
        <w:rPr>
          <w:rFonts w:ascii="Arial" w:hAnsi="Arial" w:cs="Arial"/>
          <w:color w:val="000000" w:themeColor="text1"/>
        </w:rPr>
        <w:t xml:space="preserve">, C. (2013). The pathobiology of vascular dementia. </w:t>
      </w:r>
      <w:r>
        <w:rPr>
          <w:rFonts w:ascii="Arial" w:hAnsi="Arial" w:cs="Arial"/>
          <w:i/>
          <w:iCs/>
          <w:color w:val="000000" w:themeColor="text1"/>
        </w:rPr>
        <w:t>Neurons</w:t>
      </w:r>
      <w:r>
        <w:rPr>
          <w:rFonts w:ascii="Arial" w:hAnsi="Arial" w:cs="Arial"/>
          <w:color w:val="000000" w:themeColor="text1"/>
        </w:rPr>
        <w:t>, 80(4), 844-866.</w:t>
      </w:r>
    </w:p>
    <w:p w14:paraId="32AD6006" w14:textId="77777777" w:rsidR="00EE3FD5" w:rsidRDefault="00811C81">
      <w:pPr>
        <w:jc w:val="both"/>
        <w:rPr>
          <w:rFonts w:ascii="Arial" w:hAnsi="Arial" w:cs="Arial"/>
          <w:color w:val="000000" w:themeColor="text1"/>
        </w:rPr>
      </w:pPr>
      <w:r>
        <w:rPr>
          <w:rFonts w:ascii="Arial" w:hAnsi="Arial" w:cs="Arial"/>
          <w:color w:val="000000" w:themeColor="text1"/>
        </w:rPr>
        <w:t xml:space="preserve">26. Custodio, N., Montesinos, R., Lira, D., Herrera-Pérez, E., Bardales, Y., &amp; Valeriano-Lorenzo, L. (2017). Mixed dementia: A review of the evidence. </w:t>
      </w:r>
      <w:r>
        <w:rPr>
          <w:rFonts w:ascii="Arial" w:hAnsi="Arial" w:cs="Arial"/>
          <w:iCs/>
          <w:color w:val="000000" w:themeColor="text1"/>
        </w:rPr>
        <w:t>Dementia &amp; Neuropsychologia</w:t>
      </w:r>
      <w:r>
        <w:rPr>
          <w:rFonts w:ascii="Arial" w:hAnsi="Arial" w:cs="Arial"/>
          <w:color w:val="000000" w:themeColor="text1"/>
        </w:rPr>
        <w:t>,</w:t>
      </w:r>
      <w:r>
        <w:rPr>
          <w:rFonts w:ascii="Arial" w:hAnsi="Arial" w:cs="Arial"/>
          <w:i/>
          <w:color w:val="000000" w:themeColor="text1"/>
        </w:rPr>
        <w:t>11</w:t>
      </w:r>
      <w:r>
        <w:rPr>
          <w:rFonts w:ascii="Arial" w:hAnsi="Arial" w:cs="Arial"/>
          <w:color w:val="000000" w:themeColor="text1"/>
        </w:rPr>
        <w:t xml:space="preserve">(4),364–370. </w:t>
      </w:r>
      <w:hyperlink r:id="rId19" w:history="1">
        <w:r w:rsidR="00EE3FD5">
          <w:rPr>
            <w:rFonts w:ascii="Arial" w:hAnsi="Arial" w:cs="Arial"/>
            <w:color w:val="000000" w:themeColor="text1"/>
          </w:rPr>
          <w:t>https://www.ncbi.nlm.nih.gov/pmc/articles/PMC5769994/</w:t>
        </w:r>
      </w:hyperlink>
    </w:p>
    <w:p w14:paraId="40499F0C" w14:textId="77777777" w:rsidR="00EE3FD5" w:rsidRDefault="00811C81">
      <w:pPr>
        <w:jc w:val="both"/>
        <w:rPr>
          <w:rFonts w:ascii="Arial" w:hAnsi="Arial" w:cs="Arial"/>
        </w:rPr>
      </w:pPr>
      <w:r>
        <w:rPr>
          <w:rFonts w:ascii="Arial" w:hAnsi="Arial" w:cs="Arial"/>
          <w:color w:val="000000" w:themeColor="text1"/>
        </w:rPr>
        <w:t xml:space="preserve">27. </w:t>
      </w:r>
      <w:proofErr w:type="spellStart"/>
      <w:r>
        <w:rPr>
          <w:rFonts w:ascii="Arial" w:hAnsi="Arial" w:cs="Arial"/>
          <w:color w:val="000000" w:themeColor="text1"/>
        </w:rPr>
        <w:t>Vandepitte</w:t>
      </w:r>
      <w:proofErr w:type="spellEnd"/>
      <w:r>
        <w:rPr>
          <w:rFonts w:ascii="Arial" w:hAnsi="Arial" w:cs="Arial"/>
          <w:color w:val="000000" w:themeColor="text1"/>
        </w:rPr>
        <w:t xml:space="preserve">, S., Van, Den </w:t>
      </w:r>
      <w:proofErr w:type="spellStart"/>
      <w:r>
        <w:rPr>
          <w:rFonts w:ascii="Arial" w:hAnsi="Arial" w:cs="Arial"/>
          <w:color w:val="000000" w:themeColor="text1"/>
        </w:rPr>
        <w:t>Noortgate</w:t>
      </w:r>
      <w:proofErr w:type="spellEnd"/>
      <w:r>
        <w:rPr>
          <w:rFonts w:ascii="Arial" w:hAnsi="Arial" w:cs="Arial"/>
          <w:color w:val="000000" w:themeColor="text1"/>
        </w:rPr>
        <w:t xml:space="preserve">, N., Putman, K., Verhaeghe, S., Verdonck, C. &amp; </w:t>
      </w:r>
      <w:proofErr w:type="spellStart"/>
      <w:r>
        <w:rPr>
          <w:rFonts w:ascii="Arial" w:hAnsi="Arial" w:cs="Arial"/>
          <w:color w:val="000000" w:themeColor="text1"/>
        </w:rPr>
        <w:t>Annemans</w:t>
      </w:r>
      <w:proofErr w:type="spellEnd"/>
      <w:r>
        <w:rPr>
          <w:rFonts w:ascii="Arial" w:hAnsi="Arial" w:cs="Arial"/>
          <w:color w:val="000000" w:themeColor="text1"/>
        </w:rPr>
        <w:t>, L. (2016). Effectiveness of respite care in supporting informal caregivers of persons with dementi</w:t>
      </w:r>
      <w:r>
        <w:rPr>
          <w:rFonts w:ascii="Arial" w:hAnsi="Arial" w:cs="Arial"/>
          <w:color w:val="000000" w:themeColor="text1"/>
        </w:rPr>
        <w:t>a: A systematic review. International Journal of Geriatric Psychiatry, 31(12): 1277-1288.</w:t>
      </w:r>
    </w:p>
    <w:sectPr w:rsidR="00EE3FD5" w:rsidSect="006F74CC">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ADC7E" w14:textId="77777777" w:rsidR="00811C81" w:rsidRDefault="00811C81">
      <w:r>
        <w:separator/>
      </w:r>
    </w:p>
  </w:endnote>
  <w:endnote w:type="continuationSeparator" w:id="0">
    <w:p w14:paraId="00EC3BA3" w14:textId="77777777" w:rsidR="00811C81" w:rsidRDefault="0081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30E6E" w14:textId="77777777" w:rsidR="00A475D5" w:rsidRDefault="00A47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D0192" w14:textId="77777777" w:rsidR="00A475D5" w:rsidRDefault="00A47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FF7C" w14:textId="5F37EFD6" w:rsidR="00EE3FD5" w:rsidRPr="005A0906" w:rsidRDefault="00EE3FD5" w:rsidP="005A090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0509" w14:textId="77777777" w:rsidR="00EE3FD5" w:rsidRDefault="00811C81">
    <w:pPr>
      <w:pStyle w:val="Footer"/>
    </w:pPr>
    <w:r>
      <w:rPr>
        <w:noProof/>
      </w:rPr>
      <mc:AlternateContent>
        <mc:Choice Requires="wps">
          <w:drawing>
            <wp:anchor distT="0" distB="0" distL="114300" distR="114300" simplePos="0" relativeHeight="251657216" behindDoc="0" locked="0" layoutInCell="1" allowOverlap="1" wp14:anchorId="32421CB4" wp14:editId="2D53F7AA">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CAB46" w14:textId="77777777" w:rsidR="00EE3FD5" w:rsidRDefault="00811C81">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421CB4" id="_x0000_t202" coordsize="21600,21600" o:spt="202" path="m,l,21600r21600,l21600,xe">
              <v:stroke joinstyle="miter"/>
              <v:path gradientshapeok="t" o:connecttype="rect"/>
            </v:shapetype>
            <v:shape id="Text Box 7"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cOUwIAAAkFAAAOAAAAZHJzL2Uyb0RvYy54bWysVMFu2zAMvQ/YPwi6L047rA2C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h&#10;t3cOUwIAAAkFAAAOAAAAAAAAAAAAAAAAAC4CAABkcnMvZTJvRG9jLnhtbFBLAQItABQABgAIAAAA&#10;IQBxqtG51wAAAAUBAAAPAAAAAAAAAAAAAAAAAK0EAABkcnMvZG93bnJldi54bWxQSwUGAAAAAAQA&#10;BADzAAAAsQUAAAAA&#10;" filled="f" stroked="f" strokeweight=".5pt">
              <v:textbox style="mso-fit-shape-to-text:t" inset="0,0,0,0">
                <w:txbxContent>
                  <w:p w14:paraId="2CBCAB46" w14:textId="77777777" w:rsidR="00EE3FD5" w:rsidRDefault="00811C81">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F5EDB" w14:textId="77777777" w:rsidR="00811C81" w:rsidRDefault="00811C81">
      <w:r>
        <w:separator/>
      </w:r>
    </w:p>
  </w:footnote>
  <w:footnote w:type="continuationSeparator" w:id="0">
    <w:p w14:paraId="1612B5D3" w14:textId="77777777" w:rsidR="00811C81" w:rsidRDefault="00811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5C26" w14:textId="35077388" w:rsidR="00A475D5" w:rsidRDefault="00A475D5">
    <w:pPr>
      <w:pStyle w:val="Header"/>
    </w:pPr>
    <w:r>
      <w:rPr>
        <w:noProof/>
      </w:rPr>
      <w:pict w14:anchorId="0D6D4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47" o:spid="_x0000_s2050"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63A3" w14:textId="52BF1753" w:rsidR="00A475D5" w:rsidRDefault="00A475D5">
    <w:pPr>
      <w:pStyle w:val="Header"/>
    </w:pPr>
    <w:r>
      <w:rPr>
        <w:noProof/>
      </w:rPr>
      <w:pict w14:anchorId="6BE88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48" o:spid="_x0000_s2051"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0445" w14:textId="62D7193F" w:rsidR="00EE3FD5" w:rsidRDefault="00A475D5">
    <w:pPr>
      <w:ind w:left="2160"/>
      <w:jc w:val="center"/>
      <w:rPr>
        <w:rFonts w:ascii="Times New Roman" w:eastAsia="Calibri" w:hAnsi="Times New Roman"/>
        <w:i/>
        <w:sz w:val="18"/>
        <w:szCs w:val="22"/>
      </w:rPr>
    </w:pPr>
    <w:r>
      <w:rPr>
        <w:noProof/>
      </w:rPr>
      <w:pict w14:anchorId="04203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46" o:spid="_x0000_s2049" type="#_x0000_t136" style="position:absolute;left:0;text-align:left;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9AA84D7" w14:textId="77777777" w:rsidR="00EE3FD5" w:rsidRDefault="00811C8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DB6E14D" w14:textId="77777777" w:rsidR="00EE3FD5" w:rsidRDefault="00811C81">
    <w:pPr>
      <w:jc w:val="center"/>
      <w:rPr>
        <w:rFonts w:ascii="Times New Roman" w:eastAsia="Calibri" w:hAnsi="Times New Roman"/>
        <w:i/>
        <w:sz w:val="18"/>
        <w:szCs w:val="22"/>
      </w:rPr>
    </w:pPr>
    <w:r>
      <w:rPr>
        <w:rFonts w:ascii="Times New Roman" w:eastAsia="Calibri" w:hAnsi="Times New Roman"/>
        <w:i/>
        <w:sz w:val="18"/>
        <w:szCs w:val="22"/>
      </w:rPr>
      <w:t>.</w:t>
    </w:r>
  </w:p>
  <w:p w14:paraId="1BEE45D4" w14:textId="77777777" w:rsidR="00EE3FD5" w:rsidRDefault="00811C8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EF99D6D" w14:textId="77777777" w:rsidR="00EE3FD5" w:rsidRDefault="00811C8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919160B" w14:textId="77777777" w:rsidR="00EE3FD5" w:rsidRDefault="00811C8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6F8DB9" w14:textId="77777777" w:rsidR="00EE3FD5" w:rsidRDefault="00811C8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D295" w14:textId="54E69850" w:rsidR="00A475D5" w:rsidRDefault="00A475D5">
    <w:pPr>
      <w:pStyle w:val="Header"/>
    </w:pPr>
    <w:r>
      <w:rPr>
        <w:noProof/>
      </w:rPr>
      <w:pict w14:anchorId="1A128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50" o:spid="_x0000_s2053" type="#_x0000_t136" style="position:absolute;margin-left:0;margin-top:0;width:685.25pt;height:76.1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5A22" w14:textId="5DFFB724" w:rsidR="00A475D5" w:rsidRDefault="00A475D5">
    <w:pPr>
      <w:pStyle w:val="Header"/>
    </w:pPr>
    <w:r>
      <w:rPr>
        <w:noProof/>
      </w:rPr>
      <w:pict w14:anchorId="467DA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51" o:spid="_x0000_s2054" type="#_x0000_t136" style="position:absolute;margin-left:0;margin-top:0;width:685.25pt;height:76.1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318C" w14:textId="7D9C0314" w:rsidR="00A475D5" w:rsidRDefault="00A475D5">
    <w:pPr>
      <w:pStyle w:val="Header"/>
    </w:pPr>
    <w:r>
      <w:rPr>
        <w:noProof/>
      </w:rPr>
      <w:pict w14:anchorId="0AC9D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49" o:spid="_x0000_s2052"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B82663"/>
    <w:multiLevelType w:val="singleLevel"/>
    <w:tmpl w:val="F1B82663"/>
    <w:lvl w:ilvl="0">
      <w:start w:val="15"/>
      <w:numFmt w:val="decimal"/>
      <w:suff w:val="space"/>
      <w:lvlText w:val="%1."/>
      <w:lvlJc w:val="left"/>
    </w:lvl>
  </w:abstractNum>
  <w:abstractNum w:abstractNumId="1" w15:restartNumberingAfterBreak="0">
    <w:nsid w:val="4172A99A"/>
    <w:multiLevelType w:val="singleLevel"/>
    <w:tmpl w:val="4172A99A"/>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VerticalSpacing w:val="156"/>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16E61"/>
    <w:rsid w:val="00514450"/>
    <w:rsid w:val="0053136A"/>
    <w:rsid w:val="005A0906"/>
    <w:rsid w:val="006F74CC"/>
    <w:rsid w:val="0070664E"/>
    <w:rsid w:val="00811C81"/>
    <w:rsid w:val="00A475D5"/>
    <w:rsid w:val="00BB2634"/>
    <w:rsid w:val="00E535DC"/>
    <w:rsid w:val="00E95C73"/>
    <w:rsid w:val="00EE3FD5"/>
    <w:rsid w:val="00F261AC"/>
    <w:rsid w:val="010121B4"/>
    <w:rsid w:val="022A4754"/>
    <w:rsid w:val="033E7560"/>
    <w:rsid w:val="034F2C81"/>
    <w:rsid w:val="053B4F8F"/>
    <w:rsid w:val="05921402"/>
    <w:rsid w:val="06285D29"/>
    <w:rsid w:val="07897E26"/>
    <w:rsid w:val="08502684"/>
    <w:rsid w:val="08C068E7"/>
    <w:rsid w:val="09F826F1"/>
    <w:rsid w:val="0B790C6D"/>
    <w:rsid w:val="0B8C5B00"/>
    <w:rsid w:val="0C38149C"/>
    <w:rsid w:val="0C830864"/>
    <w:rsid w:val="0D1B0366"/>
    <w:rsid w:val="0D23109A"/>
    <w:rsid w:val="0D542EEE"/>
    <w:rsid w:val="0E4C2BC1"/>
    <w:rsid w:val="0FD629AB"/>
    <w:rsid w:val="10977CE3"/>
    <w:rsid w:val="11521D1E"/>
    <w:rsid w:val="133A093E"/>
    <w:rsid w:val="14FA66F7"/>
    <w:rsid w:val="16910080"/>
    <w:rsid w:val="18085437"/>
    <w:rsid w:val="184B341D"/>
    <w:rsid w:val="195B4191"/>
    <w:rsid w:val="1E4C3240"/>
    <w:rsid w:val="20297421"/>
    <w:rsid w:val="20B96BBD"/>
    <w:rsid w:val="221948AF"/>
    <w:rsid w:val="23083840"/>
    <w:rsid w:val="27A3133B"/>
    <w:rsid w:val="27FB75DF"/>
    <w:rsid w:val="27FE1B38"/>
    <w:rsid w:val="28572556"/>
    <w:rsid w:val="28701767"/>
    <w:rsid w:val="2AE666D2"/>
    <w:rsid w:val="2AF670D9"/>
    <w:rsid w:val="2CCD2011"/>
    <w:rsid w:val="2FA07530"/>
    <w:rsid w:val="30401638"/>
    <w:rsid w:val="30F92FE5"/>
    <w:rsid w:val="32866BD7"/>
    <w:rsid w:val="342949DB"/>
    <w:rsid w:val="34FC16D0"/>
    <w:rsid w:val="38074FC1"/>
    <w:rsid w:val="385602EA"/>
    <w:rsid w:val="3B977B51"/>
    <w:rsid w:val="3C593051"/>
    <w:rsid w:val="3D8A4574"/>
    <w:rsid w:val="3F251027"/>
    <w:rsid w:val="4057049F"/>
    <w:rsid w:val="41941FB2"/>
    <w:rsid w:val="42ED5653"/>
    <w:rsid w:val="431F762D"/>
    <w:rsid w:val="43E95C26"/>
    <w:rsid w:val="43F4090A"/>
    <w:rsid w:val="43F4670C"/>
    <w:rsid w:val="44160097"/>
    <w:rsid w:val="44972FAA"/>
    <w:rsid w:val="46166F98"/>
    <w:rsid w:val="46BF5306"/>
    <w:rsid w:val="46E64066"/>
    <w:rsid w:val="470F78A3"/>
    <w:rsid w:val="48934632"/>
    <w:rsid w:val="49175A7A"/>
    <w:rsid w:val="4A687A06"/>
    <w:rsid w:val="4BC05088"/>
    <w:rsid w:val="4C321CB5"/>
    <w:rsid w:val="4D37308F"/>
    <w:rsid w:val="4D3D03C8"/>
    <w:rsid w:val="4E8428DD"/>
    <w:rsid w:val="4FD16CF7"/>
    <w:rsid w:val="50F1625A"/>
    <w:rsid w:val="51956D68"/>
    <w:rsid w:val="52421573"/>
    <w:rsid w:val="530E63FB"/>
    <w:rsid w:val="5415227F"/>
    <w:rsid w:val="54204B40"/>
    <w:rsid w:val="54DC31DB"/>
    <w:rsid w:val="569272B9"/>
    <w:rsid w:val="571E3FA4"/>
    <w:rsid w:val="57652CE4"/>
    <w:rsid w:val="576D5090"/>
    <w:rsid w:val="57B54CF4"/>
    <w:rsid w:val="5B4F6DF9"/>
    <w:rsid w:val="5B5041DA"/>
    <w:rsid w:val="5BD218CF"/>
    <w:rsid w:val="5C447CC6"/>
    <w:rsid w:val="5D5B0DB7"/>
    <w:rsid w:val="60C367B5"/>
    <w:rsid w:val="618B4BE0"/>
    <w:rsid w:val="61D41755"/>
    <w:rsid w:val="62173BF9"/>
    <w:rsid w:val="62BC7C0A"/>
    <w:rsid w:val="62FE0980"/>
    <w:rsid w:val="636E32B1"/>
    <w:rsid w:val="65A11F4C"/>
    <w:rsid w:val="666B32B4"/>
    <w:rsid w:val="67AB7DC0"/>
    <w:rsid w:val="682F601A"/>
    <w:rsid w:val="6B234374"/>
    <w:rsid w:val="6B3A7AF3"/>
    <w:rsid w:val="6DC30922"/>
    <w:rsid w:val="6E306D57"/>
    <w:rsid w:val="6E4A7901"/>
    <w:rsid w:val="6F3D7161"/>
    <w:rsid w:val="70371236"/>
    <w:rsid w:val="70883DDA"/>
    <w:rsid w:val="72D043AB"/>
    <w:rsid w:val="736C11ED"/>
    <w:rsid w:val="761F61D8"/>
    <w:rsid w:val="76AC72AD"/>
    <w:rsid w:val="76B63BA5"/>
    <w:rsid w:val="774614BE"/>
    <w:rsid w:val="79092423"/>
    <w:rsid w:val="7B077B06"/>
    <w:rsid w:val="7BC96724"/>
    <w:rsid w:val="7CEF488E"/>
    <w:rsid w:val="7D937014"/>
    <w:rsid w:val="7F22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81A8240"/>
  <w15:docId w15:val="{E06EBAB1-3941-40A1-9F4B-BAF57BA4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paragraph" w:styleId="NormalWeb">
    <w:name w:val="Normal (Web)"/>
    <w:qFormat/>
    <w:pPr>
      <w:spacing w:beforeAutospacing="1" w:afterAutospacing="1"/>
    </w:pPr>
    <w:rPr>
      <w:sz w:val="24"/>
      <w:szCs w:val="24"/>
      <w:lang w:eastAsia="zh-CN"/>
    </w:r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Reference">
    <w:name w:val="Reference"/>
    <w:basedOn w:val="Body"/>
    <w:qFormat/>
    <w:pPr>
      <w:numPr>
        <w:numId w:val="1"/>
      </w:numPr>
      <w:spacing w:after="0" w:line="240" w:lineRule="exact"/>
    </w:pPr>
  </w:style>
  <w:style w:type="paragraph" w:customStyle="1" w:styleId="DefAcrHead">
    <w:name w:val="DefAcrHead"/>
    <w:basedOn w:val="MainHead"/>
    <w:qFormat/>
    <w:rPr>
      <w:sz w:val="22"/>
    </w:rPr>
  </w:style>
  <w:style w:type="paragraph" w:customStyle="1" w:styleId="Appendix">
    <w:name w:val="Appendix"/>
    <w:basedOn w:val="MainHead"/>
    <w:qFormat/>
    <w:rPr>
      <w:sz w:val="22"/>
    </w:rPr>
  </w:style>
  <w:style w:type="character" w:styleId="LineNumber">
    <w:name w:val="line number"/>
    <w:basedOn w:val="DefaultParagraphFont"/>
    <w:rsid w:val="00514450"/>
  </w:style>
  <w:style w:type="character" w:styleId="UnresolvedMention">
    <w:name w:val="Unresolved Mention"/>
    <w:basedOn w:val="DefaultParagraphFont"/>
    <w:uiPriority w:val="99"/>
    <w:semiHidden/>
    <w:unhideWhenUsed/>
    <w:rsid w:val="00514450"/>
    <w:rPr>
      <w:color w:val="605E5C"/>
      <w:shd w:val="clear" w:color="auto" w:fill="E1DFDD"/>
    </w:rPr>
  </w:style>
  <w:style w:type="table" w:styleId="TableGrid">
    <w:name w:val="Table Grid"/>
    <w:basedOn w:val="TableNormal"/>
    <w:uiPriority w:val="39"/>
    <w:rsid w:val="0051445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jcm13102983"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7/gmh.2024.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2/alz.073714"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ncbi.nlm.nih.gov/pmc/articles/PMC576999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RISTABEL%20FRANCIS\Desktop\DR%20ERU%20MANUSCRIPT\DEMENTI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RISTABEL%20FRANCIS\Desktop\DR%20ERU%20MANUSCRIPT\DEMENTI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'[DEMENTIA ANALYSIS.xlsx]Sheet1'!$H$48</c:f>
              <c:strCache>
                <c:ptCount val="1"/>
                <c:pt idx="0">
                  <c:v>Male </c:v>
                </c:pt>
              </c:strCache>
            </c:strRef>
          </c:tx>
          <c:spPr>
            <a:pattFill prst="wdUpDiag">
              <a:fgClr>
                <a:schemeClr val="tx1"/>
              </a:fgClr>
              <a:bgClr>
                <a:srgbClr val="FFFFFF"/>
              </a:bgClr>
            </a:pattFill>
            <a:ln w="9525">
              <a:solidFill>
                <a:schemeClr val="tx1"/>
              </a:solidFill>
            </a:ln>
            <a:effectLst/>
            <a:sp3d contourW="9525"/>
          </c:spPr>
          <c:invertIfNegative val="0"/>
          <c:dPt>
            <c:idx val="0"/>
            <c:invertIfNegative val="0"/>
            <c:bubble3D val="0"/>
            <c:extLst>
              <c:ext xmlns:c16="http://schemas.microsoft.com/office/drawing/2014/chart" uri="{C3380CC4-5D6E-409C-BE32-E72D297353CC}">
                <c16:uniqueId val="{00000000-8A38-4BD7-A1D4-7503F97BCD66}"/>
              </c:ext>
            </c:extLst>
          </c:dPt>
          <c:errBars>
            <c:errBarType val="both"/>
            <c:errValType val="percentage"/>
            <c:noEndCap val="0"/>
            <c:val val="5"/>
            <c:spPr>
              <a:noFill/>
              <a:ln w="9525" cap="flat" cmpd="sng" algn="ctr">
                <a:solidFill>
                  <a:schemeClr val="tx1">
                    <a:lumMod val="65000"/>
                    <a:lumOff val="35000"/>
                  </a:schemeClr>
                </a:solidFill>
                <a:round/>
              </a:ln>
              <a:effectLst/>
            </c:spPr>
          </c:errBars>
          <c:cat>
            <c:strRef>
              <c:f>'[DEMENTIA ANALYSIS.xlsx]Sheet1'!$G$49:$G$51</c:f>
              <c:strCache>
                <c:ptCount val="3"/>
                <c:pt idx="0">
                  <c:v>2011-2014</c:v>
                </c:pt>
                <c:pt idx="1">
                  <c:v>2015-2018</c:v>
                </c:pt>
                <c:pt idx="2">
                  <c:v>2019-2021</c:v>
                </c:pt>
              </c:strCache>
            </c:strRef>
          </c:cat>
          <c:val>
            <c:numRef>
              <c:f>'[DEMENTIA ANALYSIS.xlsx]Sheet1'!$H$49:$H$51</c:f>
              <c:numCache>
                <c:formatCode>0.00%</c:formatCode>
                <c:ptCount val="3"/>
                <c:pt idx="0">
                  <c:v>0.19500000000000001</c:v>
                </c:pt>
                <c:pt idx="1">
                  <c:v>0.159</c:v>
                </c:pt>
                <c:pt idx="2">
                  <c:v>8.2000000000000003E-2</c:v>
                </c:pt>
              </c:numCache>
            </c:numRef>
          </c:val>
          <c:extLst>
            <c:ext xmlns:c16="http://schemas.microsoft.com/office/drawing/2014/chart" uri="{C3380CC4-5D6E-409C-BE32-E72D297353CC}">
              <c16:uniqueId val="{00000001-8A38-4BD7-A1D4-7503F97BCD66}"/>
            </c:ext>
          </c:extLst>
        </c:ser>
        <c:ser>
          <c:idx val="1"/>
          <c:order val="1"/>
          <c:tx>
            <c:strRef>
              <c:f>'[DEMENTIA ANALYSIS.xlsx]Sheet1'!$I$48</c:f>
              <c:strCache>
                <c:ptCount val="1"/>
                <c:pt idx="0">
                  <c:v>Female</c:v>
                </c:pt>
              </c:strCache>
            </c:strRef>
          </c:tx>
          <c:spPr>
            <a:pattFill prst="smGrid">
              <a:fgClr>
                <a:schemeClr val="tx1"/>
              </a:fgClr>
              <a:bgClr>
                <a:srgbClr val="FFFFFF"/>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'[DEMENTIA ANALYSIS.xlsx]Sheet1'!$G$49:$G$51</c:f>
              <c:strCache>
                <c:ptCount val="3"/>
                <c:pt idx="0">
                  <c:v>2011-2014</c:v>
                </c:pt>
                <c:pt idx="1">
                  <c:v>2015-2018</c:v>
                </c:pt>
                <c:pt idx="2">
                  <c:v>2019-2021</c:v>
                </c:pt>
              </c:strCache>
            </c:strRef>
          </c:cat>
          <c:val>
            <c:numRef>
              <c:f>'[DEMENTIA ANALYSIS.xlsx]Sheet1'!$I$49:$I$51</c:f>
              <c:numCache>
                <c:formatCode>0.00%</c:formatCode>
                <c:ptCount val="3"/>
                <c:pt idx="0">
                  <c:v>0.221</c:v>
                </c:pt>
                <c:pt idx="1">
                  <c:v>0.19500000000000001</c:v>
                </c:pt>
                <c:pt idx="2">
                  <c:v>0.14799999999999999</c:v>
                </c:pt>
              </c:numCache>
            </c:numRef>
          </c:val>
          <c:extLst>
            <c:ext xmlns:c16="http://schemas.microsoft.com/office/drawing/2014/chart" uri="{C3380CC4-5D6E-409C-BE32-E72D297353CC}">
              <c16:uniqueId val="{00000002-8A38-4BD7-A1D4-7503F97BCD66}"/>
            </c:ext>
          </c:extLst>
        </c:ser>
        <c:dLbls>
          <c:showLegendKey val="0"/>
          <c:showVal val="0"/>
          <c:showCatName val="0"/>
          <c:showSerName val="0"/>
          <c:showPercent val="0"/>
          <c:showBubbleSize val="0"/>
        </c:dLbls>
        <c:gapWidth val="246"/>
        <c:overlap val="-28"/>
        <c:axId val="451326978"/>
        <c:axId val="119524725"/>
      </c:barChart>
      <c:catAx>
        <c:axId val="451326978"/>
        <c:scaling>
          <c:orientation val="minMax"/>
        </c:scaling>
        <c:delete val="0"/>
        <c:axPos val="b"/>
        <c:title>
          <c:tx>
            <c:rich>
              <a:bodyPr rot="0" spcFirstLastPara="0" vertOverflow="ellipsis" vert="horz" wrap="square" anchor="ctr" anchorCtr="1"/>
              <a:lstStyle/>
              <a:p>
                <a:pPr defTabSz="914400">
                  <a:defRPr lang="en-GB" sz="1000" b="1" i="0" u="none" strike="noStrike" kern="1200" baseline="0">
                    <a:solidFill>
                      <a:schemeClr val="tx1">
                        <a:lumMod val="65000"/>
                        <a:lumOff val="35000"/>
                      </a:schemeClr>
                    </a:solidFill>
                    <a:latin typeface="+mn-lt"/>
                    <a:ea typeface="+mn-ea"/>
                    <a:cs typeface="+mn-cs"/>
                  </a:defRPr>
                </a:pPr>
                <a:r>
                  <a:rPr lang="en-US" altLang="en-GB" b="1"/>
                  <a:t>Duration (years)</a:t>
                </a:r>
              </a:p>
            </c:rich>
          </c:tx>
          <c:overlay val="0"/>
          <c:spPr>
            <a:noFill/>
            <a:ln>
              <a:noFill/>
            </a:ln>
            <a:effectLst/>
          </c:spPr>
          <c:txPr>
            <a:bodyPr rot="0" spcFirstLastPara="0" vertOverflow="ellipsis" vert="horz" wrap="square" anchor="ctr" anchorCtr="1"/>
            <a:lstStyle/>
            <a:p>
              <a:pPr defTabSz="914400">
                <a:defRPr lang="en-GB"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cross"/>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9524725"/>
        <c:crossesAt val="0"/>
        <c:auto val="1"/>
        <c:lblAlgn val="ctr"/>
        <c:lblOffset val="100"/>
        <c:noMultiLvlLbl val="0"/>
      </c:catAx>
      <c:valAx>
        <c:axId val="119524725"/>
        <c:scaling>
          <c:orientation val="minMax"/>
        </c:scaling>
        <c:delete val="0"/>
        <c:axPos val="l"/>
        <c:title>
          <c:tx>
            <c:rich>
              <a:bodyPr rot="-5400000" spcFirstLastPara="0" vertOverflow="ellipsis" vert="horz" wrap="square" anchor="ctr" anchorCtr="1"/>
              <a:lstStyle/>
              <a:p>
                <a:pPr defTabSz="914400">
                  <a:defRPr lang="en-GB" sz="1000" b="1" i="0" u="none" strike="noStrike" kern="1200" baseline="0">
                    <a:solidFill>
                      <a:schemeClr val="tx1">
                        <a:lumMod val="65000"/>
                        <a:lumOff val="35000"/>
                      </a:schemeClr>
                    </a:solidFill>
                    <a:latin typeface="+mn-lt"/>
                    <a:ea typeface="+mn-ea"/>
                    <a:cs typeface="+mn-cs"/>
                  </a:defRPr>
                </a:pPr>
                <a:r>
                  <a:rPr lang="en-US" altLang="en-GB" b="1"/>
                  <a:t>Percentage (%)</a:t>
                </a:r>
              </a:p>
            </c:rich>
          </c:tx>
          <c:overlay val="0"/>
          <c:spPr>
            <a:noFill/>
            <a:ln>
              <a:noFill/>
            </a:ln>
            <a:effectLst/>
          </c:spPr>
          <c:txPr>
            <a:bodyPr rot="-5400000" spcFirstLastPara="0" vertOverflow="ellipsis" vert="horz" wrap="square" anchor="ctr" anchorCtr="1"/>
            <a:lstStyle/>
            <a:p>
              <a:pPr defTabSz="914400">
                <a:defRPr lang="en-GB"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cross"/>
        <c:minorTickMark val="none"/>
        <c:tickLblPos val="nextTo"/>
        <c:spPr>
          <a:noFill/>
          <a:ln>
            <a:solidFill>
              <a:schemeClr val="accent1"/>
            </a:solid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45132697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7dde287-4184-4a60-846d-22962444e07e}"/>
      </c:ext>
    </c:extLst>
  </c:chart>
  <c:spPr>
    <a:solidFill>
      <a:schemeClr val="bg1"/>
    </a:solidFill>
    <a:ln w="9525" cap="flat" cmpd="sng" algn="ctr">
      <a:solidFill>
        <a:schemeClr val="tx1"/>
      </a:solid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4.3415340086830701E-3"/>
          <c:y val="0.101086956521739"/>
          <c:w val="0.94211287988422598"/>
          <c:h val="0.74021739130434805"/>
        </c:manualLayout>
      </c:layout>
      <c:pie3DChart>
        <c:varyColors val="1"/>
        <c:ser>
          <c:idx val="0"/>
          <c:order val="0"/>
          <c:tx>
            <c:strRef>
              <c:f>'[DEMENTIA ANALYSIS.xlsx]Sheet1'!$G$59</c:f>
              <c:strCache>
                <c:ptCount val="1"/>
                <c:pt idx="0">
                  <c:v>Percentage (%)</c:v>
                </c:pt>
              </c:strCache>
            </c:strRef>
          </c:tx>
          <c:spPr>
            <a:scene3d>
              <a:camera prst="orthographicFront"/>
              <a:lightRig rig="threePt" dir="t"/>
            </a:scene3d>
            <a:sp3d contourW="9525"/>
          </c:spPr>
          <c:dPt>
            <c:idx val="0"/>
            <c:bubble3D val="0"/>
            <c:spPr>
              <a:solidFill>
                <a:schemeClr val="accent6"/>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1-15FF-4857-97D3-A0FCD2B49017}"/>
              </c:ext>
            </c:extLst>
          </c:dPt>
          <c:dPt>
            <c:idx val="1"/>
            <c:bubble3D val="0"/>
            <c:spPr>
              <a:solidFill>
                <a:schemeClr val="accent5"/>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3-15FF-4857-97D3-A0FCD2B49017}"/>
              </c:ext>
            </c:extLst>
          </c:dPt>
          <c:dPt>
            <c:idx val="2"/>
            <c:bubble3D val="0"/>
            <c:spPr>
              <a:solidFill>
                <a:schemeClr val="accent4"/>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5-15FF-4857-97D3-A0FCD2B49017}"/>
              </c:ext>
            </c:extLst>
          </c:dPt>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'[DEMENTIA ANALYSIS.xlsx]Sheet1'!$E$60:$E$62</c:f>
              <c:strCache>
                <c:ptCount val="3"/>
                <c:pt idx="0">
                  <c:v>Alzheimer's disease</c:v>
                </c:pt>
                <c:pt idx="1">
                  <c:v>Mixed dementia</c:v>
                </c:pt>
                <c:pt idx="2">
                  <c:v>Vascular (alcohol) dementia</c:v>
                </c:pt>
              </c:strCache>
            </c:strRef>
          </c:cat>
          <c:val>
            <c:numRef>
              <c:f>'[DEMENTIA ANALYSIS.xlsx]Sheet1'!$G$60:$G$62</c:f>
              <c:numCache>
                <c:formatCode>General</c:formatCode>
                <c:ptCount val="3"/>
                <c:pt idx="0">
                  <c:v>57.9</c:v>
                </c:pt>
                <c:pt idx="1">
                  <c:v>27.7</c:v>
                </c:pt>
                <c:pt idx="2">
                  <c:v>14.4</c:v>
                </c:pt>
              </c:numCache>
            </c:numRef>
          </c:val>
          <c:extLst>
            <c:ext xmlns:c16="http://schemas.microsoft.com/office/drawing/2014/chart" uri="{C3380CC4-5D6E-409C-BE32-E72D297353CC}">
              <c16:uniqueId val="{00000006-15FF-4857-97D3-A0FCD2B49017}"/>
            </c:ext>
          </c:extLst>
        </c:ser>
        <c:dLbls>
          <c:showLegendKey val="0"/>
          <c:showVal val="0"/>
          <c:showCatName val="0"/>
          <c:showSerName val="0"/>
          <c:showPercent val="1"/>
          <c:showBubbleSize val="0"/>
          <c:showLeaderLines val="1"/>
        </c:dLbls>
      </c:pie3DChart>
      <c:spPr>
        <a:noFill/>
        <a:ln>
          <a:noFill/>
        </a:ln>
        <a:effectLst/>
      </c:spPr>
    </c:plotArea>
    <c:legend>
      <c:legendPos val="t"/>
      <c:legendEntry>
        <c:idx val="0"/>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1"/>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2"/>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ayout>
        <c:manualLayout>
          <c:xMode val="edge"/>
          <c:yMode val="edge"/>
          <c:x val="0.101652163150278"/>
          <c:y val="0.90135869565217397"/>
        </c:manualLayout>
      </c:layout>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
    <c:plotVisOnly val="1"/>
    <c:dispBlanksAs val="gap"/>
    <c:showDLblsOverMax val="0"/>
    <c:extLst>
      <c:ext uri="{0b15fc19-7d7d-44ad-8c2d-2c3a37ce22c3}">
        <chartProps xmlns="https://web.wps.cn/et/2018/main" chartId="{576bf6b0-b267-4e49-a9b2-1306f9e234ef}"/>
      </c:ext>
    </c:extLst>
  </c:chart>
  <c:spPr>
    <a:solidFill>
      <a:schemeClr val="bg1"/>
    </a:solidFill>
    <a:ln w="9525" cap="flat" cmpd="sng" algn="ctr">
      <a:solidFill>
        <a:schemeClr val="tx1"/>
      </a:solidFill>
      <a:round/>
    </a:ln>
    <a:effectLst/>
  </c:spPr>
  <c:txPr>
    <a:bodyPr/>
    <a:lstStyle/>
    <a:p>
      <a:pPr>
        <a:defRPr lang="en-GB">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3034</Words>
  <Characters>17297</Characters>
  <Application>Microsoft Office Word</Application>
  <DocSecurity>0</DocSecurity>
  <Lines>144</Lines>
  <Paragraphs>40</Paragraphs>
  <ScaleCrop>false</ScaleCrop>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WPS_1754139648</dc:creator>
  <cp:lastModifiedBy>SDI 1166</cp:lastModifiedBy>
  <cp:revision>11</cp:revision>
  <dcterms:created xsi:type="dcterms:W3CDTF">2026-03-10T13:04:00Z</dcterms:created>
  <dcterms:modified xsi:type="dcterms:W3CDTF">2026-03-18T09:55:00Z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550843B638774A478697FB77543C9154_11</vt:lpwstr>
  </property>
</Properties>
</file>