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AFD3" w14:textId="6267FAC0" w:rsidR="00922F71" w:rsidRDefault="00922F71" w:rsidP="00922F71">
      <w:pPr>
        <w:pStyle w:val="Author"/>
        <w:spacing w:line="240" w:lineRule="auto"/>
        <w:jc w:val="left"/>
        <w:rPr>
          <w:rFonts w:ascii="Arial" w:hAnsi="Arial" w:cs="Arial"/>
          <w:bCs/>
          <w:iCs/>
          <w:kern w:val="28"/>
          <w:sz w:val="36"/>
          <w:u w:val="single"/>
        </w:rPr>
      </w:pPr>
      <w:r w:rsidRPr="00922F71">
        <w:rPr>
          <w:rFonts w:ascii="Arial" w:hAnsi="Arial" w:cs="Arial"/>
          <w:bCs/>
          <w:iCs/>
          <w:kern w:val="28"/>
          <w:sz w:val="36"/>
          <w:u w:val="single"/>
        </w:rPr>
        <w:t>Original Research Article</w:t>
      </w:r>
    </w:p>
    <w:p w14:paraId="2C7B06D9" w14:textId="77777777" w:rsidR="00922F71" w:rsidRPr="00922F71" w:rsidRDefault="00922F71" w:rsidP="00922F71">
      <w:pPr>
        <w:pStyle w:val="Author"/>
        <w:spacing w:line="240" w:lineRule="auto"/>
        <w:jc w:val="left"/>
        <w:rPr>
          <w:rFonts w:ascii="Arial" w:hAnsi="Arial" w:cs="Arial"/>
          <w:bCs/>
          <w:iCs/>
          <w:kern w:val="28"/>
          <w:sz w:val="36"/>
          <w:u w:val="single"/>
        </w:rPr>
      </w:pPr>
    </w:p>
    <w:p w14:paraId="3C22DFE9" w14:textId="18DD519D" w:rsidR="00163BC4" w:rsidRPr="00163BC4" w:rsidRDefault="00485B50" w:rsidP="00FE1E9D">
      <w:pPr>
        <w:pStyle w:val="Author"/>
        <w:spacing w:line="240" w:lineRule="auto"/>
        <w:rPr>
          <w:rFonts w:ascii="Arial" w:hAnsi="Arial" w:cs="Arial"/>
          <w:bCs/>
          <w:iCs/>
          <w:kern w:val="28"/>
          <w:sz w:val="36"/>
        </w:rPr>
      </w:pPr>
      <w:r w:rsidRPr="00485B50">
        <w:rPr>
          <w:rFonts w:ascii="Arial" w:hAnsi="Arial" w:cs="Arial"/>
          <w:bCs/>
          <w:iCs/>
          <w:kern w:val="28"/>
          <w:sz w:val="36"/>
        </w:rPr>
        <w:t>Prevalence of vestibular and systemic symptoms post-COVID-19 and vaccination: neurological and sensory impacts</w:t>
      </w:r>
    </w:p>
    <w:p w14:paraId="20F4B102" w14:textId="77777777" w:rsidR="00A258C3" w:rsidRPr="00790ADA" w:rsidRDefault="00A258C3" w:rsidP="00441B6F">
      <w:pPr>
        <w:pStyle w:val="Author"/>
        <w:spacing w:line="240" w:lineRule="auto"/>
        <w:jc w:val="both"/>
        <w:rPr>
          <w:rFonts w:ascii="Arial" w:hAnsi="Arial" w:cs="Arial"/>
          <w:sz w:val="36"/>
        </w:rPr>
      </w:pPr>
    </w:p>
    <w:p w14:paraId="4DE6CE6B" w14:textId="77777777" w:rsidR="005B1BA2" w:rsidRDefault="005B1BA2" w:rsidP="00441B6F">
      <w:pPr>
        <w:pStyle w:val="Copyright"/>
        <w:spacing w:after="0" w:line="240" w:lineRule="auto"/>
        <w:jc w:val="both"/>
        <w:rPr>
          <w:rFonts w:ascii="Arial" w:hAnsi="Arial" w:cs="Arial"/>
        </w:rPr>
      </w:pPr>
    </w:p>
    <w:p w14:paraId="7D322B5E" w14:textId="0F1C5B4A" w:rsidR="00B01FCD" w:rsidRPr="00FB3A86" w:rsidRDefault="00E53141" w:rsidP="00441B6F">
      <w:pPr>
        <w:pStyle w:val="Copyright"/>
        <w:spacing w:after="0" w:line="240" w:lineRule="auto"/>
        <w:jc w:val="both"/>
        <w:rPr>
          <w:rFonts w:ascii="Arial" w:hAnsi="Arial" w:cs="Arial"/>
        </w:rPr>
        <w:sectPr w:rsidR="00B01FCD" w:rsidRPr="00FB3A86" w:rsidSect="005B1B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B6B8A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FFF492B" w14:textId="7FB24216" w:rsidR="00B01FCD" w:rsidRDefault="00B01FCD" w:rsidP="00441B6F">
      <w:pPr>
        <w:pStyle w:val="AbstHead"/>
        <w:spacing w:after="0"/>
        <w:jc w:val="both"/>
        <w:rPr>
          <w:rFonts w:ascii="Arial" w:hAnsi="Arial" w:cs="Arial"/>
        </w:rPr>
      </w:pPr>
      <w:r w:rsidRPr="00FB3A86">
        <w:rPr>
          <w:rFonts w:ascii="Arial" w:hAnsi="Arial" w:cs="Arial"/>
        </w:rPr>
        <w:t>ABSTRACT</w:t>
      </w:r>
    </w:p>
    <w:p w14:paraId="2FA6E79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0F76FBC" w14:textId="77777777" w:rsidTr="001E44FE">
        <w:tc>
          <w:tcPr>
            <w:tcW w:w="9576" w:type="dxa"/>
            <w:shd w:val="clear" w:color="auto" w:fill="F2F2F2"/>
          </w:tcPr>
          <w:p w14:paraId="24096288" w14:textId="29011877"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Aims:</w:t>
            </w:r>
            <w:r w:rsidRPr="00485B50">
              <w:rPr>
                <w:rFonts w:ascii="Arial" w:eastAsia="Calibri" w:hAnsi="Arial" w:cs="Arial"/>
                <w:szCs w:val="22"/>
              </w:rPr>
              <w:t xml:space="preserve"> To investigate the prevalence of vestibular and systemic symptoms in immunized individuals, analyzing the statistical association between a history of COVID-19 infection and </w:t>
            </w:r>
            <w:proofErr w:type="spellStart"/>
            <w:r w:rsidRPr="00485B50">
              <w:rPr>
                <w:rFonts w:ascii="Arial" w:eastAsia="Calibri" w:hAnsi="Arial" w:cs="Arial"/>
                <w:szCs w:val="22"/>
              </w:rPr>
              <w:t>otoneurological</w:t>
            </w:r>
            <w:proofErr w:type="spellEnd"/>
            <w:r w:rsidRPr="00485B50">
              <w:rPr>
                <w:rFonts w:ascii="Arial" w:eastAsia="Calibri" w:hAnsi="Arial" w:cs="Arial"/>
                <w:szCs w:val="22"/>
              </w:rPr>
              <w:t xml:space="preserve"> deficits.</w:t>
            </w:r>
          </w:p>
          <w:p w14:paraId="1715CA4F" w14:textId="01197699"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Study Design:</w:t>
            </w:r>
            <w:r w:rsidRPr="00485B50">
              <w:rPr>
                <w:rFonts w:ascii="Arial" w:eastAsia="Calibri" w:hAnsi="Arial" w:cs="Arial"/>
                <w:szCs w:val="22"/>
              </w:rPr>
              <w:t xml:space="preserve"> Observational, analytical cross-sectional study.</w:t>
            </w:r>
          </w:p>
          <w:p w14:paraId="39FEF671" w14:textId="13326363"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Place and Duration of Study:</w:t>
            </w:r>
            <w:r w:rsidRPr="00485B50">
              <w:rPr>
                <w:rFonts w:ascii="Arial" w:eastAsia="Calibri" w:hAnsi="Arial" w:cs="Arial"/>
                <w:szCs w:val="22"/>
              </w:rPr>
              <w:t xml:space="preserve"> Community of Ribeirão Preto/SP, between May and September 2024.</w:t>
            </w:r>
          </w:p>
          <w:p w14:paraId="05411A4E" w14:textId="70A231BA"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Methodology:</w:t>
            </w:r>
            <w:r w:rsidRPr="00485B50">
              <w:rPr>
                <w:rFonts w:ascii="Arial" w:eastAsia="Calibri" w:hAnsi="Arial" w:cs="Arial"/>
                <w:szCs w:val="22"/>
              </w:rPr>
              <w:t xml:space="preserve"> A total of 387 individuals vaccinated against COVID-19 were included. Data were collected via a structured electronic questionnaire. Inferential analysis used the Pearson Chi-square Test (</w:t>
            </w:r>
            <w:r w:rsidR="00F163D7" w:rsidRPr="00F163D7">
              <w:rPr>
                <w:rFonts w:ascii="Arial" w:eastAsia="Calibri" w:hAnsi="Arial" w:cs="Arial"/>
                <w:i/>
                <w:iCs/>
                <w:szCs w:val="22"/>
              </w:rPr>
              <w:t>P</w:t>
            </w:r>
            <w:r w:rsidRPr="00485B50">
              <w:rPr>
                <w:rFonts w:ascii="Arial" w:eastAsia="Calibri" w:hAnsi="Arial" w:cs="Arial"/>
                <w:szCs w:val="22"/>
              </w:rPr>
              <w:t xml:space="preserve"> &lt; .05).</w:t>
            </w:r>
          </w:p>
          <w:p w14:paraId="2D9AE03A" w14:textId="4B12EF0E"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Results:</w:t>
            </w:r>
            <w:r w:rsidRPr="00485B50">
              <w:rPr>
                <w:rFonts w:ascii="Arial" w:eastAsia="Calibri" w:hAnsi="Arial" w:cs="Arial"/>
                <w:szCs w:val="22"/>
              </w:rPr>
              <w:t xml:space="preserve"> The sample had a mean age of 24.9 years, with 63.8% reporting prior infection. History of the disease was strongly associated with sensory and motor manifestations (</w:t>
            </w:r>
            <w:r>
              <w:rPr>
                <w:rFonts w:ascii="Arial" w:eastAsia="Calibri" w:hAnsi="Arial" w:cs="Arial"/>
                <w:szCs w:val="22"/>
              </w:rPr>
              <w:t>p</w:t>
            </w:r>
            <w:r w:rsidRPr="00485B50">
              <w:rPr>
                <w:rFonts w:ascii="Arial" w:eastAsia="Calibri" w:hAnsi="Arial" w:cs="Arial"/>
                <w:szCs w:val="22"/>
              </w:rPr>
              <w:t xml:space="preserve"> &lt; .05), notably loss of smell/taste (51.8%), loss of balance (8.1%), and dizziness. Tinnitus and dizziness were significantly associated (</w:t>
            </w:r>
            <w:r w:rsidR="00F163D7" w:rsidRPr="00F163D7">
              <w:rPr>
                <w:rFonts w:ascii="Arial" w:eastAsia="Calibri" w:hAnsi="Arial" w:cs="Arial"/>
                <w:i/>
                <w:iCs/>
                <w:szCs w:val="22"/>
              </w:rPr>
              <w:t>P</w:t>
            </w:r>
            <w:r w:rsidRPr="00485B50">
              <w:rPr>
                <w:rFonts w:ascii="Arial" w:eastAsia="Calibri" w:hAnsi="Arial" w:cs="Arial"/>
                <w:szCs w:val="22"/>
              </w:rPr>
              <w:t xml:space="preserve"> &lt; .001) with fatigue (94.6%), headache (87.8%), and blurred vision (18.9%).</w:t>
            </w:r>
          </w:p>
          <w:p w14:paraId="2998EC42" w14:textId="67B5EF71"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Conclusion:</w:t>
            </w:r>
            <w:r w:rsidRPr="00485B50">
              <w:rPr>
                <w:rFonts w:ascii="Arial" w:eastAsia="Calibri" w:hAnsi="Arial" w:cs="Arial"/>
                <w:szCs w:val="22"/>
              </w:rPr>
              <w:t xml:space="preserve"> COVID-19 has a significant impact on the vestibular system. The interrelation with cognitive symptoms suggests prolonged neuroinflammation, highlighting the need for multidisciplinary rehabilitation.</w:t>
            </w:r>
          </w:p>
          <w:p w14:paraId="51C5811F" w14:textId="01F188DE" w:rsidR="00505F06" w:rsidRPr="00BA1B01" w:rsidRDefault="00505F06" w:rsidP="00441B6F">
            <w:pPr>
              <w:pStyle w:val="Body"/>
              <w:spacing w:after="0"/>
              <w:rPr>
                <w:rFonts w:ascii="Arial" w:eastAsia="Calibri" w:hAnsi="Arial" w:cs="Arial"/>
                <w:szCs w:val="22"/>
              </w:rPr>
            </w:pPr>
          </w:p>
        </w:tc>
      </w:tr>
    </w:tbl>
    <w:p w14:paraId="4F86413C" w14:textId="77777777" w:rsidR="00636EB2" w:rsidRDefault="00636EB2" w:rsidP="00441B6F">
      <w:pPr>
        <w:pStyle w:val="Body"/>
        <w:spacing w:after="0"/>
        <w:rPr>
          <w:rFonts w:ascii="Arial" w:hAnsi="Arial" w:cs="Arial"/>
          <w:i/>
        </w:rPr>
      </w:pPr>
    </w:p>
    <w:p w14:paraId="3C7E6D3C" w14:textId="1F2773E4" w:rsidR="00790ADA" w:rsidRDefault="00A24E7E" w:rsidP="00441B6F">
      <w:pPr>
        <w:pStyle w:val="Body"/>
        <w:spacing w:after="0"/>
        <w:rPr>
          <w:rFonts w:ascii="Arial" w:hAnsi="Arial" w:cs="Arial"/>
          <w:i/>
        </w:rPr>
      </w:pPr>
      <w:r>
        <w:rPr>
          <w:rFonts w:ascii="Arial" w:hAnsi="Arial" w:cs="Arial"/>
          <w:i/>
        </w:rPr>
        <w:t xml:space="preserve">Keywords: </w:t>
      </w:r>
      <w:r w:rsidR="00723002" w:rsidRPr="00723002">
        <w:rPr>
          <w:rFonts w:ascii="Arial" w:hAnsi="Arial" w:cs="Arial"/>
          <w:i/>
        </w:rPr>
        <w:t>COVID-19; SARS-CoV-2; Vestibular Diseases; Dizziness; Tinnitus.</w:t>
      </w:r>
    </w:p>
    <w:p w14:paraId="734A5BCB" w14:textId="77777777" w:rsidR="0024282C" w:rsidRDefault="0024282C" w:rsidP="00441B6F">
      <w:pPr>
        <w:pStyle w:val="Body"/>
        <w:spacing w:after="0"/>
        <w:rPr>
          <w:rFonts w:ascii="Arial" w:hAnsi="Arial" w:cs="Arial"/>
          <w:i/>
          <w:sz w:val="18"/>
        </w:rPr>
      </w:pPr>
    </w:p>
    <w:p w14:paraId="06B07E8C" w14:textId="77777777" w:rsidR="00505F06" w:rsidRPr="00A24E7E" w:rsidRDefault="00505F06" w:rsidP="00441B6F">
      <w:pPr>
        <w:pStyle w:val="Body"/>
        <w:spacing w:after="0"/>
        <w:rPr>
          <w:rFonts w:ascii="Arial" w:hAnsi="Arial" w:cs="Arial"/>
          <w:i/>
        </w:rPr>
      </w:pPr>
    </w:p>
    <w:p w14:paraId="3BF387D1" w14:textId="7B86C80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8AE374B" w14:textId="77777777" w:rsidR="00790ADA" w:rsidRPr="00FB3A86" w:rsidRDefault="00790ADA" w:rsidP="00441B6F">
      <w:pPr>
        <w:pStyle w:val="AbstHead"/>
        <w:spacing w:after="0"/>
        <w:jc w:val="both"/>
        <w:rPr>
          <w:rFonts w:ascii="Arial" w:hAnsi="Arial" w:cs="Arial"/>
        </w:rPr>
      </w:pPr>
    </w:p>
    <w:p w14:paraId="6E54A651" w14:textId="77777777" w:rsidR="003F1B7E" w:rsidRPr="003F1B7E" w:rsidRDefault="003F1B7E" w:rsidP="003F1B7E">
      <w:pPr>
        <w:pStyle w:val="Body"/>
        <w:rPr>
          <w:rFonts w:ascii="Arial" w:hAnsi="Arial" w:cs="Arial"/>
        </w:rPr>
      </w:pPr>
      <w:r w:rsidRPr="003F1B7E">
        <w:rPr>
          <w:rFonts w:ascii="Arial" w:hAnsi="Arial" w:cs="Arial"/>
        </w:rPr>
        <w:t>Coronavirus disease 2019 (COVID-19), caused by the SARS-CoV-2 virus, resulted in a global pandemic with an unprecedented epidemiological impact. Although primarily recognized and treated as a severe acute respiratory syndrome, clinical evidence rapidly demonstrated its systemic and multifactorial nature ¹. Among extrapulmonary manifestations, neurological and sensory complications have gained significant prominence in clinical practice, directly impacting patients' quality of life in both the short and long term.</w:t>
      </w:r>
    </w:p>
    <w:p w14:paraId="407D681D" w14:textId="77777777" w:rsidR="003F1B7E" w:rsidRPr="003F1B7E" w:rsidRDefault="003F1B7E" w:rsidP="003F1B7E">
      <w:pPr>
        <w:pStyle w:val="Body"/>
        <w:rPr>
          <w:rFonts w:ascii="Arial" w:hAnsi="Arial" w:cs="Arial"/>
        </w:rPr>
      </w:pPr>
      <w:r w:rsidRPr="003F1B7E">
        <w:rPr>
          <w:rFonts w:ascii="Arial" w:hAnsi="Arial" w:cs="Arial"/>
        </w:rPr>
        <w:t xml:space="preserve">The vestibular system, structured by the labyrinth pathways in the inner ear and central nerve connections, is primarily responsible for the maintenance of bodily balance, posture, and spatial orientation. Dysfunctions in this complex system manifest clinically through disabling symptoms such as dizziness, vertigo, tinnitus, and loss of balance ². Studies have reported a significant prevalence of </w:t>
      </w:r>
      <w:proofErr w:type="spellStart"/>
      <w:r w:rsidRPr="003F1B7E">
        <w:rPr>
          <w:rFonts w:ascii="Arial" w:hAnsi="Arial" w:cs="Arial"/>
        </w:rPr>
        <w:t>otoneurological</w:t>
      </w:r>
      <w:proofErr w:type="spellEnd"/>
      <w:r w:rsidRPr="003F1B7E">
        <w:rPr>
          <w:rFonts w:ascii="Arial" w:hAnsi="Arial" w:cs="Arial"/>
        </w:rPr>
        <w:t xml:space="preserve"> complaints in post-COVID-19 patients.</w:t>
      </w:r>
    </w:p>
    <w:p w14:paraId="260FEF96" w14:textId="77777777" w:rsidR="003F1B7E" w:rsidRPr="003F1B7E" w:rsidRDefault="003F1B7E" w:rsidP="003F1B7E">
      <w:pPr>
        <w:pStyle w:val="Body"/>
        <w:rPr>
          <w:rFonts w:ascii="Arial" w:hAnsi="Arial" w:cs="Arial"/>
        </w:rPr>
      </w:pPr>
      <w:r w:rsidRPr="003F1B7E">
        <w:rPr>
          <w:rFonts w:ascii="Arial" w:hAnsi="Arial" w:cs="Arial"/>
        </w:rPr>
        <w:lastRenderedPageBreak/>
        <w:t>The pathophysiology underlying this vestibular deficit is strongly associated with the neurotropism of SARS-CoV-2. Histopathological studies of human tissues have demonstrated that inner ear cells, including hair cells and Schwann cells, express high levels of angiotensin-converting enzyme 2 (ACE2) receptors and transmembrane proteases. These structures act as an obligatory gateway for the virus. This direct invasion results in cellular damage and chronic neuroinflammation in the vestibulocochlear nerve ³. Consequently, viral infection has come to be identified as a direct trigger for conditions such as vertigo, sudden sensorineural hearing loss, and persistent tinnitus ⁴.</w:t>
      </w:r>
    </w:p>
    <w:p w14:paraId="4C67192B" w14:textId="77777777" w:rsidR="003F1B7E" w:rsidRPr="003F1B7E" w:rsidRDefault="003F1B7E" w:rsidP="003F1B7E">
      <w:pPr>
        <w:pStyle w:val="Body"/>
        <w:rPr>
          <w:rFonts w:ascii="Arial" w:hAnsi="Arial" w:cs="Arial"/>
        </w:rPr>
      </w:pPr>
      <w:r w:rsidRPr="003F1B7E">
        <w:rPr>
          <w:rFonts w:ascii="Arial" w:hAnsi="Arial" w:cs="Arial"/>
        </w:rPr>
        <w:t>With the advancement of mass vaccination campaigns, which proved to be the fundamental epidemiological pillar for containing pandemic mortality, pharmacovigilance reports also emerged regarding the occurrence of acute vestibular symptoms post-immunization ⁵. Although vaccines are proven to be safe and severe adverse reactions are rare, the documentation of transient dizziness and vertigo following vaccination has raised important scientific questions. It is therefore imperative to investigate the susceptibility of the labyrinthine system to inflammatory processes, in order to differentiate the actual neurotoxic impacts induced by natural viral infection from those resulting from transient systemic immune responses generated by the vaccine ⁵.</w:t>
      </w:r>
    </w:p>
    <w:p w14:paraId="177DC460" w14:textId="5191E028" w:rsidR="00790ADA" w:rsidRPr="00FB3A86" w:rsidRDefault="003F1B7E" w:rsidP="002A453B">
      <w:pPr>
        <w:pStyle w:val="Body"/>
        <w:rPr>
          <w:rFonts w:ascii="Arial" w:hAnsi="Arial" w:cs="Arial"/>
        </w:rPr>
      </w:pPr>
      <w:r w:rsidRPr="003F1B7E">
        <w:rPr>
          <w:rFonts w:ascii="Arial" w:hAnsi="Arial" w:cs="Arial"/>
        </w:rPr>
        <w:t xml:space="preserve">Given this scenario, the hypothesis of the present study is that direct prior infection with COVID-19 promotes more aggressive and persistent tissue damage and neuroinflammation in the vestibular system, resulting in a significantly higher prevalence of </w:t>
      </w:r>
      <w:proofErr w:type="spellStart"/>
      <w:r w:rsidRPr="003F1B7E">
        <w:rPr>
          <w:rFonts w:ascii="Arial" w:hAnsi="Arial" w:cs="Arial"/>
        </w:rPr>
        <w:t>otoneurological</w:t>
      </w:r>
      <w:proofErr w:type="spellEnd"/>
      <w:r w:rsidRPr="003F1B7E">
        <w:rPr>
          <w:rFonts w:ascii="Arial" w:hAnsi="Arial" w:cs="Arial"/>
        </w:rPr>
        <w:t xml:space="preserve"> complaints (such as dizziness, tinnitus, and loss of balance) compared to individuals who only received the vaccination regimen but did not contract the disease. The general objective of this study is to investigate the prevalence of vestibular and systemic symptoms in a sample of vaccinated individuals, analyzing the statistical association between a history of prior COVID-19 infection and the development of specific </w:t>
      </w:r>
      <w:proofErr w:type="spellStart"/>
      <w:r w:rsidRPr="003F1B7E">
        <w:rPr>
          <w:rFonts w:ascii="Arial" w:hAnsi="Arial" w:cs="Arial"/>
        </w:rPr>
        <w:t>otoneurological</w:t>
      </w:r>
      <w:proofErr w:type="spellEnd"/>
      <w:r w:rsidRPr="003F1B7E">
        <w:rPr>
          <w:rFonts w:ascii="Arial" w:hAnsi="Arial" w:cs="Arial"/>
        </w:rPr>
        <w:t xml:space="preserve"> deficits</w:t>
      </w:r>
    </w:p>
    <w:p w14:paraId="30CC4FDE" w14:textId="6CB2CE48" w:rsidR="00C90C01" w:rsidRPr="00C90C01" w:rsidRDefault="00902823" w:rsidP="002A453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20B3D1" w14:textId="77777777" w:rsidR="00C90C01" w:rsidRPr="00C90C01" w:rsidRDefault="00C90C01" w:rsidP="00C90C01">
      <w:pPr>
        <w:pStyle w:val="Body"/>
        <w:rPr>
          <w:rFonts w:ascii="Arial" w:hAnsi="Arial" w:cs="Arial"/>
          <w:b/>
          <w:bCs/>
        </w:rPr>
      </w:pPr>
      <w:r w:rsidRPr="00C90C01">
        <w:rPr>
          <w:rFonts w:ascii="Arial" w:hAnsi="Arial" w:cs="Arial"/>
          <w:b/>
          <w:bCs/>
        </w:rPr>
        <w:t>2.1 Study Design</w:t>
      </w:r>
    </w:p>
    <w:p w14:paraId="669F2D4B" w14:textId="62DF20D7" w:rsidR="00C90C01" w:rsidRPr="00C90C01" w:rsidRDefault="00C90C01" w:rsidP="00C90C01">
      <w:pPr>
        <w:pStyle w:val="Body"/>
        <w:rPr>
          <w:rFonts w:ascii="Arial" w:hAnsi="Arial" w:cs="Arial"/>
        </w:rPr>
      </w:pPr>
      <w:r w:rsidRPr="00C90C01">
        <w:rPr>
          <w:rFonts w:ascii="Arial" w:hAnsi="Arial" w:cs="Arial"/>
        </w:rPr>
        <w:t>This is an observational, analytical cross-sectional study. Participants were required to provide their Informed Consent before participating. The sample size was determined to estimate the prevalence of clinical outcomes in a population-based cross-sectional study. A standard formula for finite populations was applied, considering a 95% confidence level (Z = 1.9), a maximum tolerable margin of error of 5% e = 0.05), and an expected outcome prevalence of 50% (</w:t>
      </w:r>
      <w:r w:rsidR="00F163D7" w:rsidRPr="00F163D7">
        <w:rPr>
          <w:rFonts w:ascii="Arial" w:eastAsia="Calibri" w:hAnsi="Arial" w:cs="Arial"/>
          <w:i/>
          <w:iCs/>
          <w:szCs w:val="22"/>
        </w:rPr>
        <w:t>P</w:t>
      </w:r>
      <w:r w:rsidRPr="00C90C01">
        <w:rPr>
          <w:rFonts w:ascii="Arial" w:hAnsi="Arial" w:cs="Arial"/>
        </w:rPr>
        <w:t xml:space="preserve"> = 0.5). This approach ensured maximum statistical variance and the most robust sample size possible for this methodological design.</w:t>
      </w:r>
    </w:p>
    <w:p w14:paraId="79AEBC9C" w14:textId="77777777" w:rsidR="002A453B" w:rsidRDefault="00C90C01" w:rsidP="00C90C01">
      <w:pPr>
        <w:pStyle w:val="Body"/>
        <w:rPr>
          <w:rFonts w:ascii="Arial" w:hAnsi="Arial" w:cs="Arial"/>
          <w:b/>
          <w:bCs/>
        </w:rPr>
      </w:pPr>
      <w:r w:rsidRPr="00C90C01">
        <w:rPr>
          <w:rFonts w:ascii="Arial" w:hAnsi="Arial" w:cs="Arial"/>
          <w:b/>
          <w:bCs/>
        </w:rPr>
        <w:t>2.2 Participants and Setting</w:t>
      </w:r>
    </w:p>
    <w:p w14:paraId="3375EABF" w14:textId="6FD5D73A" w:rsidR="00C90C01" w:rsidRPr="00C90C01" w:rsidRDefault="00C90C01" w:rsidP="00C90C01">
      <w:pPr>
        <w:pStyle w:val="Body"/>
        <w:rPr>
          <w:rFonts w:ascii="Arial" w:hAnsi="Arial" w:cs="Arial"/>
          <w:b/>
          <w:bCs/>
        </w:rPr>
      </w:pPr>
      <w:r w:rsidRPr="00C90C01">
        <w:rPr>
          <w:rFonts w:ascii="Arial" w:hAnsi="Arial" w:cs="Arial"/>
        </w:rPr>
        <w:t>The target population consisted of individuals in Ribeirão Preto/SP who had received at least two vaccine doses, totaling 231,218 people at the start of data collection, according to the Municipal Health Department’s Epidemiological Bulletin. The statistical calculation required a minimum of 384 participants. This research ultimately included 387 community members, with data collected between May and September 2024.</w:t>
      </w:r>
    </w:p>
    <w:p w14:paraId="4DBB7AA0" w14:textId="77777777" w:rsidR="00C90C01" w:rsidRPr="00C90C01" w:rsidRDefault="00C90C01" w:rsidP="00C90C01">
      <w:pPr>
        <w:pStyle w:val="Body"/>
        <w:rPr>
          <w:rFonts w:ascii="Arial" w:hAnsi="Arial" w:cs="Arial"/>
        </w:rPr>
      </w:pPr>
      <w:r w:rsidRPr="00C90C01">
        <w:rPr>
          <w:rFonts w:ascii="Arial" w:hAnsi="Arial" w:cs="Arial"/>
        </w:rPr>
        <w:t xml:space="preserve">This specific timeframe was selected due to the established vaccination coverage and the epidemiological transition to the post-pandemic period. Furthermore, this interval allowed for the assessment of persistent medium- and long-term </w:t>
      </w:r>
      <w:proofErr w:type="spellStart"/>
      <w:r w:rsidRPr="00C90C01">
        <w:rPr>
          <w:rFonts w:ascii="Arial" w:hAnsi="Arial" w:cs="Arial"/>
        </w:rPr>
        <w:t>otoneurological</w:t>
      </w:r>
      <w:proofErr w:type="spellEnd"/>
      <w:r w:rsidRPr="00C90C01">
        <w:rPr>
          <w:rFonts w:ascii="Arial" w:hAnsi="Arial" w:cs="Arial"/>
        </w:rPr>
        <w:t xml:space="preserve"> and systemic sequelae, minimizing measurement bias associated with acute, transient adverse reactions that typically occur immediately following immunization.</w:t>
      </w:r>
    </w:p>
    <w:p w14:paraId="2C5C32C7" w14:textId="77777777" w:rsidR="00C90C01" w:rsidRPr="00C90C01" w:rsidRDefault="00C90C01" w:rsidP="00C90C01">
      <w:pPr>
        <w:pStyle w:val="Body"/>
        <w:rPr>
          <w:rFonts w:ascii="Arial" w:hAnsi="Arial" w:cs="Arial"/>
          <w:b/>
          <w:bCs/>
          <w:lang w:val="pt-BR"/>
        </w:rPr>
      </w:pPr>
      <w:r w:rsidRPr="00C90C01">
        <w:rPr>
          <w:rFonts w:ascii="Arial" w:hAnsi="Arial" w:cs="Arial"/>
          <w:b/>
          <w:bCs/>
          <w:lang w:val="pt-BR"/>
        </w:rPr>
        <w:lastRenderedPageBreak/>
        <w:t>2.3 Eligibility Criteria</w:t>
      </w:r>
    </w:p>
    <w:p w14:paraId="6814D049" w14:textId="77777777" w:rsidR="00C90C01" w:rsidRPr="00C90C01" w:rsidRDefault="00C90C01" w:rsidP="00C90C01">
      <w:pPr>
        <w:pStyle w:val="Body"/>
        <w:numPr>
          <w:ilvl w:val="0"/>
          <w:numId w:val="31"/>
        </w:numPr>
        <w:rPr>
          <w:rFonts w:ascii="Arial" w:hAnsi="Arial" w:cs="Arial"/>
        </w:rPr>
      </w:pPr>
      <w:r w:rsidRPr="00C90C01">
        <w:rPr>
          <w:rFonts w:ascii="Arial" w:hAnsi="Arial" w:cs="Arial"/>
          <w:b/>
          <w:bCs/>
        </w:rPr>
        <w:t>Inclusion Criteria:</w:t>
      </w:r>
      <w:r w:rsidRPr="00C90C01">
        <w:rPr>
          <w:rFonts w:ascii="Arial" w:hAnsi="Arial" w:cs="Arial"/>
        </w:rPr>
        <w:t xml:space="preserve"> Participants vaccinated against COVID-19 with at least two doses; aged 18 to 75 years; all genders; and possessing the cognitive capacity to understand the Informed Consent and complete the study questionnaire.</w:t>
      </w:r>
    </w:p>
    <w:p w14:paraId="0187721D" w14:textId="77777777" w:rsidR="00C90C01" w:rsidRPr="00C90C01" w:rsidRDefault="00C90C01" w:rsidP="00C90C01">
      <w:pPr>
        <w:pStyle w:val="Body"/>
        <w:numPr>
          <w:ilvl w:val="0"/>
          <w:numId w:val="31"/>
        </w:numPr>
        <w:rPr>
          <w:rFonts w:ascii="Arial" w:hAnsi="Arial" w:cs="Arial"/>
        </w:rPr>
      </w:pPr>
      <w:r w:rsidRPr="00C90C01">
        <w:rPr>
          <w:rFonts w:ascii="Arial" w:hAnsi="Arial" w:cs="Arial"/>
          <w:b/>
          <w:bCs/>
        </w:rPr>
        <w:t>Exclusion Criteria:</w:t>
      </w:r>
      <w:r w:rsidRPr="00C90C01">
        <w:rPr>
          <w:rFonts w:ascii="Arial" w:hAnsi="Arial" w:cs="Arial"/>
        </w:rPr>
        <w:t xml:space="preserve"> Individuals who had not received at least two vaccine doses; those younger than 18 or older than 75; and individuals lacking the cognitive condition to answer the survey or provide consent.</w:t>
      </w:r>
    </w:p>
    <w:p w14:paraId="44318419" w14:textId="77777777" w:rsidR="00C90C01" w:rsidRPr="00C90C01" w:rsidRDefault="00C90C01" w:rsidP="00C90C01">
      <w:pPr>
        <w:pStyle w:val="Body"/>
        <w:rPr>
          <w:rFonts w:ascii="Arial" w:hAnsi="Arial" w:cs="Arial"/>
          <w:b/>
          <w:bCs/>
        </w:rPr>
      </w:pPr>
      <w:r w:rsidRPr="00C90C01">
        <w:rPr>
          <w:rFonts w:ascii="Arial" w:hAnsi="Arial" w:cs="Arial"/>
          <w:b/>
          <w:bCs/>
        </w:rPr>
        <w:t>2.4 Data Collection Instrument</w:t>
      </w:r>
    </w:p>
    <w:p w14:paraId="3AA58A73" w14:textId="77777777" w:rsidR="00C90C01" w:rsidRPr="00C90C01" w:rsidRDefault="00C90C01" w:rsidP="00C90C01">
      <w:pPr>
        <w:pStyle w:val="Body"/>
        <w:rPr>
          <w:rFonts w:ascii="Arial" w:hAnsi="Arial" w:cs="Arial"/>
          <w:lang w:val="pt-BR"/>
        </w:rPr>
      </w:pPr>
      <w:r w:rsidRPr="00C90C01">
        <w:rPr>
          <w:rFonts w:ascii="Arial" w:hAnsi="Arial" w:cs="Arial"/>
        </w:rPr>
        <w:t xml:space="preserve">Data were collected through a detailed structured electronic questionnaire (Google Forms®). </w:t>
      </w:r>
      <w:r w:rsidRPr="00C90C01">
        <w:rPr>
          <w:rFonts w:ascii="Arial" w:hAnsi="Arial" w:cs="Arial"/>
          <w:lang w:val="pt-BR"/>
        </w:rPr>
        <w:t>The instrument addressed:</w:t>
      </w:r>
    </w:p>
    <w:p w14:paraId="7BBD3B22" w14:textId="77777777" w:rsidR="00C90C01" w:rsidRPr="00C90C01" w:rsidRDefault="00C90C01" w:rsidP="00AA15EF">
      <w:pPr>
        <w:pStyle w:val="Body"/>
        <w:ind w:left="360"/>
        <w:rPr>
          <w:rFonts w:ascii="Arial" w:hAnsi="Arial" w:cs="Arial"/>
        </w:rPr>
      </w:pPr>
      <w:r w:rsidRPr="00C90C01">
        <w:rPr>
          <w:rFonts w:ascii="Arial" w:hAnsi="Arial" w:cs="Arial"/>
          <w:b/>
          <w:bCs/>
        </w:rPr>
        <w:t>Personal Data:</w:t>
      </w:r>
      <w:r w:rsidRPr="00C90C01">
        <w:rPr>
          <w:rFonts w:ascii="Arial" w:hAnsi="Arial" w:cs="Arial"/>
        </w:rPr>
        <w:t xml:space="preserve"> Name, gender, and age.</w:t>
      </w:r>
    </w:p>
    <w:p w14:paraId="259293FE" w14:textId="77777777" w:rsidR="00C90C01" w:rsidRPr="00C90C01" w:rsidRDefault="00C90C01" w:rsidP="00AA15EF">
      <w:pPr>
        <w:pStyle w:val="Body"/>
        <w:ind w:left="360"/>
        <w:rPr>
          <w:rFonts w:ascii="Arial" w:hAnsi="Arial" w:cs="Arial"/>
        </w:rPr>
      </w:pPr>
      <w:r w:rsidRPr="00C90C01">
        <w:rPr>
          <w:rFonts w:ascii="Arial" w:hAnsi="Arial" w:cs="Arial"/>
          <w:b/>
          <w:bCs/>
        </w:rPr>
        <w:t>COVID-19 History:</w:t>
      </w:r>
      <w:r w:rsidRPr="00C90C01">
        <w:rPr>
          <w:rFonts w:ascii="Arial" w:hAnsi="Arial" w:cs="Arial"/>
        </w:rPr>
        <w:t xml:space="preserve"> Prior infection history and associated symptoms.</w:t>
      </w:r>
    </w:p>
    <w:p w14:paraId="03444EDE" w14:textId="77777777" w:rsidR="00C90C01" w:rsidRPr="00C90C01" w:rsidRDefault="00C90C01" w:rsidP="00AA15EF">
      <w:pPr>
        <w:pStyle w:val="Body"/>
        <w:ind w:left="360"/>
        <w:rPr>
          <w:rFonts w:ascii="Arial" w:hAnsi="Arial" w:cs="Arial"/>
        </w:rPr>
      </w:pPr>
      <w:r w:rsidRPr="00C90C01">
        <w:rPr>
          <w:rFonts w:ascii="Arial" w:hAnsi="Arial" w:cs="Arial"/>
          <w:b/>
          <w:bCs/>
        </w:rPr>
        <w:t>Post-Vaccination Data:</w:t>
      </w:r>
      <w:r w:rsidRPr="00C90C01">
        <w:rPr>
          <w:rFonts w:ascii="Arial" w:hAnsi="Arial" w:cs="Arial"/>
        </w:rPr>
        <w:t xml:space="preserve"> Presence of side effects after each dose.</w:t>
      </w:r>
    </w:p>
    <w:p w14:paraId="6E925B16" w14:textId="77777777" w:rsidR="00C90C01" w:rsidRPr="00C90C01" w:rsidRDefault="00C90C01" w:rsidP="00AA15EF">
      <w:pPr>
        <w:pStyle w:val="Body"/>
        <w:ind w:left="360"/>
        <w:rPr>
          <w:rFonts w:ascii="Arial" w:hAnsi="Arial" w:cs="Arial"/>
        </w:rPr>
      </w:pPr>
      <w:r w:rsidRPr="00C90C01">
        <w:rPr>
          <w:rFonts w:ascii="Arial" w:hAnsi="Arial" w:cs="Arial"/>
          <w:b/>
          <w:bCs/>
        </w:rPr>
        <w:t>Clinical Symptoms:</w:t>
      </w:r>
      <w:r w:rsidRPr="00C90C01">
        <w:rPr>
          <w:rFonts w:ascii="Arial" w:hAnsi="Arial" w:cs="Arial"/>
        </w:rPr>
        <w:t xml:space="preserve"> A list including common viral symptoms and those specifically associated with COVID-19.</w:t>
      </w:r>
    </w:p>
    <w:p w14:paraId="7FBD3CEC" w14:textId="77777777" w:rsidR="00C90C01" w:rsidRPr="00C90C01" w:rsidRDefault="00C90C01" w:rsidP="00AA15EF">
      <w:pPr>
        <w:pStyle w:val="Body"/>
        <w:ind w:left="360"/>
        <w:rPr>
          <w:rFonts w:ascii="Arial" w:hAnsi="Arial" w:cs="Arial"/>
        </w:rPr>
      </w:pPr>
      <w:r w:rsidRPr="00C90C01">
        <w:rPr>
          <w:rFonts w:ascii="Arial" w:hAnsi="Arial" w:cs="Arial"/>
          <w:b/>
          <w:bCs/>
        </w:rPr>
        <w:t>Vestibular Symptoms:</w:t>
      </w:r>
      <w:r w:rsidRPr="00C90C01">
        <w:rPr>
          <w:rFonts w:ascii="Arial" w:hAnsi="Arial" w:cs="Arial"/>
        </w:rPr>
        <w:t xml:space="preserve"> A specific list of symptoms related to vestibular alterations, such as nausea, vertigo, dizziness, visual changes, loss of balance, and tinnitus.</w:t>
      </w:r>
    </w:p>
    <w:p w14:paraId="19D72A17" w14:textId="77777777" w:rsidR="00C90C01" w:rsidRPr="00C90C01" w:rsidRDefault="00C90C01" w:rsidP="00C90C01">
      <w:pPr>
        <w:pStyle w:val="Body"/>
        <w:rPr>
          <w:rFonts w:ascii="Arial" w:hAnsi="Arial" w:cs="Arial"/>
        </w:rPr>
      </w:pPr>
      <w:r w:rsidRPr="00C90C01">
        <w:rPr>
          <w:rFonts w:ascii="Arial" w:hAnsi="Arial" w:cs="Arial"/>
        </w:rPr>
        <w:t>These symptoms were selected for their importance in evaluating potential side effects related to both the infection and the vaccine. The objective was to analyze the incidence of vestibular symptoms relative to the vaccination sequence of the participants.</w:t>
      </w:r>
    </w:p>
    <w:p w14:paraId="6E766DAC" w14:textId="77777777" w:rsidR="00C90C01" w:rsidRPr="00C90C01" w:rsidRDefault="00C90C01" w:rsidP="00C90C01">
      <w:pPr>
        <w:pStyle w:val="Body"/>
        <w:rPr>
          <w:rFonts w:ascii="Arial" w:hAnsi="Arial" w:cs="Arial"/>
          <w:b/>
          <w:bCs/>
        </w:rPr>
      </w:pPr>
      <w:r w:rsidRPr="00C90C01">
        <w:rPr>
          <w:rFonts w:ascii="Arial" w:hAnsi="Arial" w:cs="Arial"/>
          <w:b/>
          <w:bCs/>
        </w:rPr>
        <w:t>2.5 Data Analysis</w:t>
      </w:r>
    </w:p>
    <w:p w14:paraId="505A5DF6" w14:textId="77777777" w:rsidR="00C90C01" w:rsidRPr="00C90C01" w:rsidRDefault="00C90C01" w:rsidP="00AA15EF">
      <w:pPr>
        <w:pStyle w:val="Body"/>
        <w:ind w:left="360"/>
        <w:rPr>
          <w:rFonts w:ascii="Arial" w:hAnsi="Arial" w:cs="Arial"/>
        </w:rPr>
      </w:pPr>
      <w:r w:rsidRPr="00C90C01">
        <w:rPr>
          <w:rFonts w:ascii="Arial" w:hAnsi="Arial" w:cs="Arial"/>
        </w:rPr>
        <w:t>Statistical analysis was performed using IBM SPSS Statistics software, version 26.0.</w:t>
      </w:r>
    </w:p>
    <w:p w14:paraId="35D39796" w14:textId="7C36E7E3" w:rsidR="00C90C01" w:rsidRPr="00C90C01" w:rsidRDefault="00C90C01" w:rsidP="00AA15EF">
      <w:pPr>
        <w:pStyle w:val="Body"/>
        <w:ind w:left="360"/>
        <w:rPr>
          <w:rFonts w:ascii="Arial" w:hAnsi="Arial" w:cs="Arial"/>
        </w:rPr>
      </w:pPr>
      <w:r w:rsidRPr="00C90C01">
        <w:rPr>
          <w:rFonts w:ascii="Arial" w:hAnsi="Arial" w:cs="Arial"/>
          <w:b/>
          <w:bCs/>
        </w:rPr>
        <w:t>Descriptive Statistics:</w:t>
      </w:r>
      <w:r w:rsidRPr="00C90C01">
        <w:rPr>
          <w:rFonts w:ascii="Arial" w:hAnsi="Arial" w:cs="Arial"/>
        </w:rPr>
        <w:t xml:space="preserve"> Categorical variables, including COVID-19 history, vestibular symptoms (dizziness, vertigo, balance loss, tinnitus), and systemic complaints, were presented as absolute (n) and relative (%) frequencies.</w:t>
      </w:r>
    </w:p>
    <w:p w14:paraId="116B1A94" w14:textId="77777777" w:rsidR="00C90C01" w:rsidRPr="00C90C01" w:rsidRDefault="00C90C01" w:rsidP="00AA15EF">
      <w:pPr>
        <w:pStyle w:val="Body"/>
        <w:ind w:left="360"/>
        <w:rPr>
          <w:rFonts w:ascii="Arial" w:hAnsi="Arial" w:cs="Arial"/>
        </w:rPr>
      </w:pPr>
      <w:r w:rsidRPr="00C90C01">
        <w:rPr>
          <w:rFonts w:ascii="Arial" w:hAnsi="Arial" w:cs="Arial"/>
          <w:b/>
          <w:bCs/>
        </w:rPr>
        <w:t>Inferential Statistics:</w:t>
      </w:r>
      <w:r w:rsidRPr="00C90C01">
        <w:rPr>
          <w:rFonts w:ascii="Arial" w:hAnsi="Arial" w:cs="Arial"/>
        </w:rPr>
        <w:t xml:space="preserve"> Pearson’s Chi-square test was used to verify significant associations between independent categorical variables. Fisher’s Exact test was applied when more than 20% of the cells in contingency tables had expected frequencies below 5.</w:t>
      </w:r>
    </w:p>
    <w:p w14:paraId="54E76560" w14:textId="0F859F30" w:rsidR="00C90C01" w:rsidRPr="00C90C01" w:rsidRDefault="00C90C01" w:rsidP="00AA15EF">
      <w:pPr>
        <w:pStyle w:val="Body"/>
        <w:ind w:left="360"/>
        <w:rPr>
          <w:rFonts w:ascii="Arial" w:hAnsi="Arial" w:cs="Arial"/>
        </w:rPr>
      </w:pPr>
      <w:r w:rsidRPr="00C90C01">
        <w:rPr>
          <w:rFonts w:ascii="Arial" w:hAnsi="Arial" w:cs="Arial"/>
          <w:b/>
          <w:bCs/>
        </w:rPr>
        <w:t>Significance:</w:t>
      </w:r>
      <w:r w:rsidRPr="00C90C01">
        <w:rPr>
          <w:rFonts w:ascii="Arial" w:hAnsi="Arial" w:cs="Arial"/>
        </w:rPr>
        <w:t xml:space="preserve"> The level of significance for rejecting the null hypothesis was set at 5% (</w:t>
      </w:r>
      <w:r w:rsidR="00F163D7" w:rsidRPr="00F163D7">
        <w:rPr>
          <w:rFonts w:ascii="Arial" w:eastAsia="Calibri" w:hAnsi="Arial" w:cs="Arial"/>
          <w:i/>
          <w:iCs/>
          <w:szCs w:val="22"/>
        </w:rPr>
        <w:t>P</w:t>
      </w:r>
      <w:r w:rsidRPr="00C90C01">
        <w:rPr>
          <w:rFonts w:ascii="Arial" w:hAnsi="Arial" w:cs="Arial"/>
        </w:rPr>
        <w:t xml:space="preserve"> &lt; .05).</w:t>
      </w:r>
    </w:p>
    <w:p w14:paraId="4C28E3E6" w14:textId="77777777" w:rsidR="00C90C01" w:rsidRPr="00C90C01" w:rsidRDefault="00C90C01" w:rsidP="00C90C01">
      <w:pPr>
        <w:pStyle w:val="Body"/>
        <w:rPr>
          <w:rFonts w:ascii="Arial" w:hAnsi="Arial" w:cs="Arial"/>
        </w:rPr>
      </w:pPr>
      <w:r w:rsidRPr="00C90C01">
        <w:rPr>
          <w:rFonts w:ascii="Arial" w:hAnsi="Arial" w:cs="Arial"/>
        </w:rPr>
        <w:t xml:space="preserve">The dependent variables were the </w:t>
      </w:r>
      <w:proofErr w:type="spellStart"/>
      <w:r w:rsidRPr="00C90C01">
        <w:rPr>
          <w:rFonts w:ascii="Arial" w:hAnsi="Arial" w:cs="Arial"/>
        </w:rPr>
        <w:t>otoneurological</w:t>
      </w:r>
      <w:proofErr w:type="spellEnd"/>
      <w:r w:rsidRPr="00C90C01">
        <w:rPr>
          <w:rFonts w:ascii="Arial" w:hAnsi="Arial" w:cs="Arial"/>
        </w:rPr>
        <w:t xml:space="preserve"> and systemic complaints, while the independent variables focused on the history of COVID-19 infection.</w:t>
      </w:r>
    </w:p>
    <w:p w14:paraId="57BBC818" w14:textId="77777777" w:rsidR="00C90C01" w:rsidRPr="00C90C01" w:rsidRDefault="00C90C01" w:rsidP="00C90C01">
      <w:pPr>
        <w:pStyle w:val="Body"/>
        <w:rPr>
          <w:rFonts w:ascii="Arial" w:hAnsi="Arial" w:cs="Arial"/>
          <w:b/>
          <w:bCs/>
        </w:rPr>
      </w:pPr>
      <w:r w:rsidRPr="00C90C01">
        <w:rPr>
          <w:rFonts w:ascii="Arial" w:hAnsi="Arial" w:cs="Arial"/>
          <w:b/>
          <w:bCs/>
        </w:rPr>
        <w:t>2.6 Ethical Aspects</w:t>
      </w:r>
    </w:p>
    <w:p w14:paraId="59F81CE1" w14:textId="77777777" w:rsidR="00C90C01" w:rsidRPr="00C90C01" w:rsidRDefault="00C90C01" w:rsidP="00C90C01">
      <w:pPr>
        <w:pStyle w:val="Body"/>
        <w:rPr>
          <w:rFonts w:ascii="Arial" w:hAnsi="Arial" w:cs="Arial"/>
        </w:rPr>
      </w:pPr>
      <w:r w:rsidRPr="00C90C01">
        <w:rPr>
          <w:rFonts w:ascii="Arial" w:hAnsi="Arial" w:cs="Arial"/>
        </w:rPr>
        <w:lastRenderedPageBreak/>
        <w:t>The study was approved by the Ethics Committee (opinion No. 6.836.934 and CAAE No. 78904324.9.0000.5498).</w:t>
      </w:r>
    </w:p>
    <w:p w14:paraId="5B6251B8" w14:textId="6E20E35D" w:rsidR="00E23BA2" w:rsidRDefault="00791A80" w:rsidP="00791A80">
      <w:pPr>
        <w:tabs>
          <w:tab w:val="left" w:pos="1080"/>
        </w:tabs>
        <w:spacing w:before="240"/>
        <w:jc w:val="both"/>
        <w:rPr>
          <w:rFonts w:ascii="Arial" w:hAnsi="Arial" w:cs="Arial"/>
          <w:b/>
          <w:bCs/>
        </w:rPr>
      </w:pPr>
      <w:r w:rsidRPr="00791A80">
        <w:rPr>
          <w:rFonts w:ascii="Arial" w:hAnsi="Arial" w:cs="Arial"/>
          <w:b/>
          <w:bCs/>
        </w:rPr>
        <w:t>3.</w:t>
      </w:r>
      <w:r w:rsidR="00E23BA2">
        <w:rPr>
          <w:rFonts w:ascii="Arial" w:hAnsi="Arial" w:cs="Arial"/>
          <w:b/>
          <w:bCs/>
        </w:rPr>
        <w:t xml:space="preserve"> Results and </w:t>
      </w:r>
      <w:r w:rsidR="00E23BA2" w:rsidRPr="00A76751">
        <w:rPr>
          <w:rFonts w:ascii="Arial" w:hAnsi="Arial"/>
          <w:b/>
          <w:bCs/>
        </w:rPr>
        <w:t>Discussion</w:t>
      </w:r>
    </w:p>
    <w:p w14:paraId="56236D07" w14:textId="3DDCF10D" w:rsidR="00791A80" w:rsidRPr="00791A80" w:rsidRDefault="00E23BA2" w:rsidP="00791A80">
      <w:pPr>
        <w:tabs>
          <w:tab w:val="left" w:pos="1080"/>
        </w:tabs>
        <w:spacing w:before="240"/>
        <w:jc w:val="both"/>
        <w:rPr>
          <w:rFonts w:ascii="Arial" w:hAnsi="Arial" w:cs="Arial"/>
          <w:b/>
          <w:bCs/>
        </w:rPr>
      </w:pPr>
      <w:r>
        <w:rPr>
          <w:rFonts w:ascii="Arial" w:hAnsi="Arial" w:cs="Arial"/>
          <w:b/>
          <w:bCs/>
        </w:rPr>
        <w:t xml:space="preserve">3.1 </w:t>
      </w:r>
      <w:r w:rsidR="00791A80" w:rsidRPr="00791A80">
        <w:rPr>
          <w:rFonts w:ascii="Arial" w:hAnsi="Arial" w:cs="Arial"/>
          <w:b/>
          <w:bCs/>
        </w:rPr>
        <w:t>Results</w:t>
      </w:r>
    </w:p>
    <w:p w14:paraId="281A774B" w14:textId="26233EA5" w:rsidR="00791A80" w:rsidRPr="00791A80" w:rsidRDefault="00791A80" w:rsidP="00791A80">
      <w:pPr>
        <w:tabs>
          <w:tab w:val="left" w:pos="1080"/>
        </w:tabs>
        <w:spacing w:before="240" w:after="240"/>
        <w:jc w:val="both"/>
        <w:rPr>
          <w:rFonts w:ascii="Arial" w:hAnsi="Arial" w:cs="Arial"/>
        </w:rPr>
      </w:pPr>
      <w:r w:rsidRPr="00791A80">
        <w:rPr>
          <w:rFonts w:ascii="Arial" w:hAnsi="Arial" w:cs="Arial"/>
        </w:rPr>
        <w:t xml:space="preserve">The final sample consisted of 387 individuals: 297 women (24.91 ± 0.55 years old) and 90 men (24.52 ± 0.78 years old), with no significant difference. Regarding COVID-19 history, 63.8% of the sample reported prior infection. Vaccination data indicated that for the first dose, 59% received Pfizer (N=230), 23% </w:t>
      </w:r>
      <w:proofErr w:type="spellStart"/>
      <w:r w:rsidRPr="00791A80">
        <w:rPr>
          <w:rFonts w:ascii="Arial" w:hAnsi="Arial" w:cs="Arial"/>
        </w:rPr>
        <w:t>Coronavac</w:t>
      </w:r>
      <w:proofErr w:type="spellEnd"/>
      <w:r w:rsidRPr="00791A80">
        <w:rPr>
          <w:rFonts w:ascii="Arial" w:hAnsi="Arial" w:cs="Arial"/>
        </w:rPr>
        <w:t xml:space="preserve"> </w:t>
      </w:r>
      <w:r>
        <w:rPr>
          <w:rFonts w:ascii="Arial" w:hAnsi="Arial" w:cs="Arial"/>
        </w:rPr>
        <w:t>(</w:t>
      </w:r>
      <w:r w:rsidRPr="00791A80">
        <w:rPr>
          <w:rFonts w:ascii="Arial" w:hAnsi="Arial" w:cs="Arial"/>
        </w:rPr>
        <w:t xml:space="preserve">N=90), 15% </w:t>
      </w:r>
      <w:proofErr w:type="spellStart"/>
      <w:r w:rsidRPr="00791A80">
        <w:rPr>
          <w:rFonts w:ascii="Arial" w:hAnsi="Arial" w:cs="Arial"/>
        </w:rPr>
        <w:t>Astrazeneca</w:t>
      </w:r>
      <w:proofErr w:type="spellEnd"/>
      <w:r w:rsidRPr="00791A80">
        <w:rPr>
          <w:rFonts w:ascii="Arial" w:hAnsi="Arial" w:cs="Arial"/>
        </w:rPr>
        <w:t xml:space="preserve"> (N=59), and 2% Janssen (N=8). For the second dose, 61% received Pfizer (N=239), 18% </w:t>
      </w:r>
      <w:proofErr w:type="spellStart"/>
      <w:r w:rsidRPr="00791A80">
        <w:rPr>
          <w:rFonts w:ascii="Arial" w:hAnsi="Arial" w:cs="Arial"/>
        </w:rPr>
        <w:t>Coronavac</w:t>
      </w:r>
      <w:proofErr w:type="spellEnd"/>
      <w:r w:rsidRPr="00791A80">
        <w:rPr>
          <w:rFonts w:ascii="Arial" w:hAnsi="Arial" w:cs="Arial"/>
        </w:rPr>
        <w:t xml:space="preserve"> (N=70), 17% </w:t>
      </w:r>
      <w:proofErr w:type="spellStart"/>
      <w:r w:rsidRPr="00791A80">
        <w:rPr>
          <w:rFonts w:ascii="Arial" w:hAnsi="Arial" w:cs="Arial"/>
        </w:rPr>
        <w:t>Astrazeneca</w:t>
      </w:r>
      <w:proofErr w:type="spellEnd"/>
      <w:r w:rsidRPr="00791A80">
        <w:rPr>
          <w:rFonts w:ascii="Arial" w:hAnsi="Arial" w:cs="Arial"/>
        </w:rPr>
        <w:t xml:space="preserve"> (N=69), 1% Janssen (N=4), while 1% did not receive a second dose (N=4).</w:t>
      </w:r>
    </w:p>
    <w:p w14:paraId="1A5F323E" w14:textId="4B9CF36C" w:rsidR="00791A80" w:rsidRPr="00791A80" w:rsidRDefault="00791A80" w:rsidP="00791A80">
      <w:pPr>
        <w:tabs>
          <w:tab w:val="left" w:pos="1080"/>
        </w:tabs>
        <w:spacing w:before="240" w:after="240"/>
        <w:jc w:val="both"/>
        <w:rPr>
          <w:rFonts w:ascii="Arial" w:hAnsi="Arial" w:cs="Arial"/>
        </w:rPr>
      </w:pPr>
      <w:r w:rsidRPr="00791A80">
        <w:rPr>
          <w:rFonts w:ascii="Arial" w:hAnsi="Arial" w:cs="Arial"/>
        </w:rPr>
        <w:t>Table 1 presents the association between dizziness (or vertigo) and other symptoms. Dizziness was strongly associated with a higher frequency of all evaluated systemic and neurological symptoms (</w:t>
      </w:r>
      <w:r w:rsidR="00F163D7" w:rsidRPr="00F163D7">
        <w:rPr>
          <w:rFonts w:ascii="Arial" w:eastAsia="Calibri" w:hAnsi="Arial" w:cs="Arial"/>
          <w:i/>
          <w:iCs/>
          <w:szCs w:val="22"/>
        </w:rPr>
        <w:t>P</w:t>
      </w:r>
      <w:r w:rsidRPr="00791A80">
        <w:rPr>
          <w:rFonts w:ascii="Arial" w:hAnsi="Arial" w:cs="Arial"/>
        </w:rPr>
        <w:t xml:space="preserve"> &lt; .001). Among individuals reporting dizziness, high prevalences were noted for physical fatigue (94.6%), headache (87.8%), and fever (70.3%). </w:t>
      </w:r>
      <w:proofErr w:type="spellStart"/>
      <w:r w:rsidRPr="00791A80">
        <w:rPr>
          <w:rFonts w:ascii="Arial" w:hAnsi="Arial" w:cs="Arial"/>
        </w:rPr>
        <w:t>Otoneurological</w:t>
      </w:r>
      <w:proofErr w:type="spellEnd"/>
      <w:r w:rsidRPr="00791A80">
        <w:rPr>
          <w:rFonts w:ascii="Arial" w:hAnsi="Arial" w:cs="Arial"/>
        </w:rPr>
        <w:t xml:space="preserve"> and postural control symptoms were also significantly more common, including loss of balance (25.7%; </w:t>
      </w:r>
      <w:r>
        <w:rPr>
          <w:rFonts w:ascii="Arial" w:hAnsi="Arial" w:cs="Arial"/>
        </w:rPr>
        <w:t>p</w:t>
      </w:r>
      <w:r w:rsidRPr="00791A80">
        <w:rPr>
          <w:rFonts w:ascii="Arial" w:hAnsi="Arial" w:cs="Arial"/>
        </w:rPr>
        <w:t xml:space="preserve"> &lt; .001) and blurred vision (18.9%; </w:t>
      </w:r>
      <w:r>
        <w:rPr>
          <w:rFonts w:ascii="Arial" w:hAnsi="Arial" w:cs="Arial"/>
        </w:rPr>
        <w:t>p</w:t>
      </w:r>
      <w:r w:rsidRPr="00791A80">
        <w:rPr>
          <w:rFonts w:ascii="Arial" w:hAnsi="Arial" w:cs="Arial"/>
        </w:rPr>
        <w:t xml:space="preserve"> &lt; .001).</w:t>
      </w:r>
    </w:p>
    <w:p w14:paraId="70146C86" w14:textId="4531FFC9" w:rsidR="009762DF" w:rsidRPr="00A31359" w:rsidRDefault="009762DF" w:rsidP="00645472">
      <w:pPr>
        <w:jc w:val="center"/>
        <w:rPr>
          <w:rFonts w:ascii="Arial" w:hAnsi="Arial" w:cs="Arial"/>
          <w:b/>
          <w:bCs/>
        </w:rPr>
      </w:pPr>
      <w:r w:rsidRPr="008F1045">
        <w:rPr>
          <w:rFonts w:ascii="Arial" w:hAnsi="Arial" w:cs="Arial"/>
          <w:b/>
          <w:bCs/>
        </w:rPr>
        <w:t>Tab</w:t>
      </w:r>
      <w:r w:rsidR="00A31359" w:rsidRPr="008F1045">
        <w:rPr>
          <w:rFonts w:ascii="Arial" w:hAnsi="Arial" w:cs="Arial"/>
          <w:b/>
          <w:bCs/>
        </w:rPr>
        <w:t>le</w:t>
      </w:r>
      <w:r w:rsidRPr="008F1045">
        <w:rPr>
          <w:rFonts w:ascii="Arial" w:hAnsi="Arial" w:cs="Arial"/>
          <w:b/>
          <w:bCs/>
        </w:rPr>
        <w:t xml:space="preserve"> 1. </w:t>
      </w:r>
      <w:r w:rsidR="00A31359" w:rsidRPr="00A31359">
        <w:rPr>
          <w:rFonts w:ascii="Arial" w:hAnsi="Arial" w:cs="Arial"/>
          <w:b/>
          <w:bCs/>
        </w:rPr>
        <w:t>Association between dizziness/vertigo and other variables</w:t>
      </w:r>
    </w:p>
    <w:tbl>
      <w:tblPr>
        <w:tblW w:w="5000" w:type="pct"/>
        <w:tblCellMar>
          <w:left w:w="70" w:type="dxa"/>
          <w:right w:w="70" w:type="dxa"/>
        </w:tblCellMar>
        <w:tblLook w:val="04A0" w:firstRow="1" w:lastRow="0" w:firstColumn="1" w:lastColumn="0" w:noHBand="0" w:noVBand="1"/>
      </w:tblPr>
      <w:tblGrid>
        <w:gridCol w:w="3410"/>
        <w:gridCol w:w="2121"/>
        <w:gridCol w:w="1752"/>
        <w:gridCol w:w="1065"/>
      </w:tblGrid>
      <w:tr w:rsidR="00B93B39" w:rsidRPr="00B93B39" w14:paraId="0DE7C4EA" w14:textId="77777777" w:rsidTr="00B93B39">
        <w:trPr>
          <w:trHeight w:val="300"/>
        </w:trPr>
        <w:tc>
          <w:tcPr>
            <w:tcW w:w="2042" w:type="pct"/>
            <w:tcBorders>
              <w:top w:val="single" w:sz="8" w:space="0" w:color="7F7F7F"/>
              <w:left w:val="nil"/>
              <w:bottom w:val="single" w:sz="8" w:space="0" w:color="7F7F7F"/>
              <w:right w:val="nil"/>
            </w:tcBorders>
            <w:noWrap/>
            <w:vAlign w:val="center"/>
            <w:hideMark/>
          </w:tcPr>
          <w:p w14:paraId="6CF8A27D"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Symptom Assessed</w:t>
            </w:r>
          </w:p>
        </w:tc>
        <w:tc>
          <w:tcPr>
            <w:tcW w:w="1270" w:type="pct"/>
            <w:tcBorders>
              <w:top w:val="single" w:sz="8" w:space="0" w:color="7F7F7F"/>
              <w:left w:val="nil"/>
              <w:bottom w:val="single" w:sz="8" w:space="0" w:color="7F7F7F"/>
              <w:right w:val="nil"/>
            </w:tcBorders>
            <w:noWrap/>
            <w:vAlign w:val="center"/>
            <w:hideMark/>
          </w:tcPr>
          <w:p w14:paraId="197E99D0"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No dizziness (%)</w:t>
            </w:r>
          </w:p>
        </w:tc>
        <w:tc>
          <w:tcPr>
            <w:tcW w:w="1049" w:type="pct"/>
            <w:tcBorders>
              <w:top w:val="single" w:sz="8" w:space="0" w:color="7F7F7F"/>
              <w:left w:val="nil"/>
              <w:bottom w:val="single" w:sz="8" w:space="0" w:color="7F7F7F"/>
              <w:right w:val="nil"/>
            </w:tcBorders>
            <w:noWrap/>
            <w:vAlign w:val="center"/>
            <w:hideMark/>
          </w:tcPr>
          <w:p w14:paraId="28DF728B"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Dizziness (%)</w:t>
            </w:r>
          </w:p>
        </w:tc>
        <w:tc>
          <w:tcPr>
            <w:tcW w:w="638" w:type="pct"/>
            <w:tcBorders>
              <w:top w:val="single" w:sz="8" w:space="0" w:color="7F7F7F"/>
              <w:left w:val="nil"/>
              <w:bottom w:val="single" w:sz="8" w:space="0" w:color="7F7F7F"/>
              <w:right w:val="nil"/>
            </w:tcBorders>
            <w:noWrap/>
            <w:vAlign w:val="center"/>
            <w:hideMark/>
          </w:tcPr>
          <w:p w14:paraId="1F39F7E5" w14:textId="576B3C38" w:rsidR="00B93B39" w:rsidRPr="00B93B39" w:rsidRDefault="00232531" w:rsidP="00B93B39">
            <w:pPr>
              <w:jc w:val="center"/>
              <w:rPr>
                <w:rFonts w:ascii="Arial" w:hAnsi="Arial" w:cs="Arial"/>
                <w:b/>
                <w:bCs/>
                <w:color w:val="1F1F1F"/>
                <w:lang w:val="pt-BR" w:eastAsia="pt-BR"/>
              </w:rPr>
            </w:pPr>
            <w:r>
              <w:rPr>
                <w:rFonts w:ascii="Arial" w:hAnsi="Arial" w:cs="Arial"/>
                <w:b/>
                <w:bCs/>
                <w:color w:val="1F1F1F"/>
                <w:lang w:val="pt-BR" w:eastAsia="pt-BR"/>
              </w:rPr>
              <w:t>P-v</w:t>
            </w:r>
            <w:r w:rsidR="00B93B39" w:rsidRPr="00B93B39">
              <w:rPr>
                <w:rFonts w:ascii="Arial" w:hAnsi="Arial" w:cs="Arial"/>
                <w:b/>
                <w:bCs/>
                <w:color w:val="1F1F1F"/>
                <w:lang w:val="pt-BR" w:eastAsia="pt-BR"/>
              </w:rPr>
              <w:t>alue</w:t>
            </w:r>
          </w:p>
        </w:tc>
      </w:tr>
      <w:tr w:rsidR="00B93B39" w:rsidRPr="00B93B39" w14:paraId="6ADA45C3" w14:textId="77777777" w:rsidTr="00B93B39">
        <w:trPr>
          <w:trHeight w:val="288"/>
        </w:trPr>
        <w:tc>
          <w:tcPr>
            <w:tcW w:w="2042" w:type="pct"/>
            <w:tcBorders>
              <w:top w:val="nil"/>
              <w:left w:val="nil"/>
              <w:bottom w:val="nil"/>
              <w:right w:val="nil"/>
            </w:tcBorders>
            <w:noWrap/>
            <w:vAlign w:val="center"/>
            <w:hideMark/>
          </w:tcPr>
          <w:p w14:paraId="0F7A0BBE"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Physical fatigue</w:t>
            </w:r>
          </w:p>
        </w:tc>
        <w:tc>
          <w:tcPr>
            <w:tcW w:w="1270" w:type="pct"/>
            <w:tcBorders>
              <w:top w:val="nil"/>
              <w:left w:val="nil"/>
              <w:bottom w:val="nil"/>
              <w:right w:val="nil"/>
            </w:tcBorders>
            <w:noWrap/>
            <w:vAlign w:val="center"/>
            <w:hideMark/>
          </w:tcPr>
          <w:p w14:paraId="58213D7B"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45,00%</w:t>
            </w:r>
          </w:p>
        </w:tc>
        <w:tc>
          <w:tcPr>
            <w:tcW w:w="1049" w:type="pct"/>
            <w:tcBorders>
              <w:top w:val="nil"/>
              <w:left w:val="nil"/>
              <w:bottom w:val="nil"/>
              <w:right w:val="nil"/>
            </w:tcBorders>
            <w:noWrap/>
            <w:vAlign w:val="center"/>
            <w:hideMark/>
          </w:tcPr>
          <w:p w14:paraId="0E408023"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94,60%</w:t>
            </w:r>
          </w:p>
        </w:tc>
        <w:tc>
          <w:tcPr>
            <w:tcW w:w="638" w:type="pct"/>
            <w:tcBorders>
              <w:top w:val="nil"/>
              <w:left w:val="nil"/>
              <w:bottom w:val="nil"/>
              <w:right w:val="nil"/>
            </w:tcBorders>
            <w:noWrap/>
            <w:vAlign w:val="center"/>
            <w:hideMark/>
          </w:tcPr>
          <w:p w14:paraId="5B807A22"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517EDF9B" w14:textId="77777777" w:rsidTr="00B93B39">
        <w:trPr>
          <w:trHeight w:val="288"/>
        </w:trPr>
        <w:tc>
          <w:tcPr>
            <w:tcW w:w="2042" w:type="pct"/>
            <w:tcBorders>
              <w:top w:val="nil"/>
              <w:left w:val="nil"/>
              <w:bottom w:val="nil"/>
              <w:right w:val="nil"/>
            </w:tcBorders>
            <w:noWrap/>
            <w:vAlign w:val="center"/>
            <w:hideMark/>
          </w:tcPr>
          <w:p w14:paraId="52B33AC2"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Headache</w:t>
            </w:r>
          </w:p>
        </w:tc>
        <w:tc>
          <w:tcPr>
            <w:tcW w:w="1270" w:type="pct"/>
            <w:tcBorders>
              <w:top w:val="nil"/>
              <w:left w:val="nil"/>
              <w:bottom w:val="nil"/>
              <w:right w:val="nil"/>
            </w:tcBorders>
            <w:noWrap/>
            <w:vAlign w:val="center"/>
            <w:hideMark/>
          </w:tcPr>
          <w:p w14:paraId="40E1F420"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41,20%</w:t>
            </w:r>
          </w:p>
        </w:tc>
        <w:tc>
          <w:tcPr>
            <w:tcW w:w="1049" w:type="pct"/>
            <w:tcBorders>
              <w:top w:val="nil"/>
              <w:left w:val="nil"/>
              <w:bottom w:val="nil"/>
              <w:right w:val="nil"/>
            </w:tcBorders>
            <w:noWrap/>
            <w:vAlign w:val="center"/>
            <w:hideMark/>
          </w:tcPr>
          <w:p w14:paraId="375F4CB0"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87,80%</w:t>
            </w:r>
          </w:p>
        </w:tc>
        <w:tc>
          <w:tcPr>
            <w:tcW w:w="638" w:type="pct"/>
            <w:tcBorders>
              <w:top w:val="nil"/>
              <w:left w:val="nil"/>
              <w:bottom w:val="nil"/>
              <w:right w:val="nil"/>
            </w:tcBorders>
            <w:noWrap/>
            <w:vAlign w:val="center"/>
            <w:hideMark/>
          </w:tcPr>
          <w:p w14:paraId="5E0DC657"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328EF8DD" w14:textId="77777777" w:rsidTr="00B93B39">
        <w:trPr>
          <w:trHeight w:val="288"/>
        </w:trPr>
        <w:tc>
          <w:tcPr>
            <w:tcW w:w="2042" w:type="pct"/>
            <w:tcBorders>
              <w:top w:val="nil"/>
              <w:left w:val="nil"/>
              <w:bottom w:val="nil"/>
              <w:right w:val="nil"/>
            </w:tcBorders>
            <w:noWrap/>
            <w:vAlign w:val="center"/>
            <w:hideMark/>
          </w:tcPr>
          <w:p w14:paraId="0B551BA6"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Fever</w:t>
            </w:r>
          </w:p>
        </w:tc>
        <w:tc>
          <w:tcPr>
            <w:tcW w:w="1270" w:type="pct"/>
            <w:tcBorders>
              <w:top w:val="nil"/>
              <w:left w:val="nil"/>
              <w:bottom w:val="nil"/>
              <w:right w:val="nil"/>
            </w:tcBorders>
            <w:noWrap/>
            <w:vAlign w:val="center"/>
            <w:hideMark/>
          </w:tcPr>
          <w:p w14:paraId="5B1256B7"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28,80%</w:t>
            </w:r>
          </w:p>
        </w:tc>
        <w:tc>
          <w:tcPr>
            <w:tcW w:w="1049" w:type="pct"/>
            <w:tcBorders>
              <w:top w:val="nil"/>
              <w:left w:val="nil"/>
              <w:bottom w:val="nil"/>
              <w:right w:val="nil"/>
            </w:tcBorders>
            <w:noWrap/>
            <w:vAlign w:val="center"/>
            <w:hideMark/>
          </w:tcPr>
          <w:p w14:paraId="69959926"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70,30%</w:t>
            </w:r>
          </w:p>
        </w:tc>
        <w:tc>
          <w:tcPr>
            <w:tcW w:w="638" w:type="pct"/>
            <w:tcBorders>
              <w:top w:val="nil"/>
              <w:left w:val="nil"/>
              <w:bottom w:val="nil"/>
              <w:right w:val="nil"/>
            </w:tcBorders>
            <w:noWrap/>
            <w:vAlign w:val="center"/>
            <w:hideMark/>
          </w:tcPr>
          <w:p w14:paraId="2B212B83"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750F1EC1" w14:textId="77777777" w:rsidTr="00B93B39">
        <w:trPr>
          <w:trHeight w:val="288"/>
        </w:trPr>
        <w:tc>
          <w:tcPr>
            <w:tcW w:w="2042" w:type="pct"/>
            <w:tcBorders>
              <w:top w:val="nil"/>
              <w:left w:val="nil"/>
              <w:bottom w:val="nil"/>
              <w:right w:val="nil"/>
            </w:tcBorders>
            <w:noWrap/>
            <w:vAlign w:val="center"/>
            <w:hideMark/>
          </w:tcPr>
          <w:p w14:paraId="31EDF992"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Shortness of breathe</w:t>
            </w:r>
          </w:p>
        </w:tc>
        <w:tc>
          <w:tcPr>
            <w:tcW w:w="1270" w:type="pct"/>
            <w:tcBorders>
              <w:top w:val="nil"/>
              <w:left w:val="nil"/>
              <w:bottom w:val="nil"/>
              <w:right w:val="nil"/>
            </w:tcBorders>
            <w:noWrap/>
            <w:vAlign w:val="center"/>
            <w:hideMark/>
          </w:tcPr>
          <w:p w14:paraId="118C343A"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15,70%</w:t>
            </w:r>
          </w:p>
        </w:tc>
        <w:tc>
          <w:tcPr>
            <w:tcW w:w="1049" w:type="pct"/>
            <w:tcBorders>
              <w:top w:val="nil"/>
              <w:left w:val="nil"/>
              <w:bottom w:val="nil"/>
              <w:right w:val="nil"/>
            </w:tcBorders>
            <w:noWrap/>
            <w:vAlign w:val="center"/>
            <w:hideMark/>
          </w:tcPr>
          <w:p w14:paraId="4ABC54E9"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59,50%</w:t>
            </w:r>
          </w:p>
        </w:tc>
        <w:tc>
          <w:tcPr>
            <w:tcW w:w="638" w:type="pct"/>
            <w:tcBorders>
              <w:top w:val="nil"/>
              <w:left w:val="nil"/>
              <w:bottom w:val="nil"/>
              <w:right w:val="nil"/>
            </w:tcBorders>
            <w:noWrap/>
            <w:vAlign w:val="center"/>
            <w:hideMark/>
          </w:tcPr>
          <w:p w14:paraId="36123F32"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2C2C1968" w14:textId="77777777" w:rsidTr="00B93B39">
        <w:trPr>
          <w:trHeight w:val="288"/>
        </w:trPr>
        <w:tc>
          <w:tcPr>
            <w:tcW w:w="2042" w:type="pct"/>
            <w:tcBorders>
              <w:top w:val="nil"/>
              <w:left w:val="nil"/>
              <w:bottom w:val="nil"/>
              <w:right w:val="nil"/>
            </w:tcBorders>
            <w:noWrap/>
            <w:vAlign w:val="center"/>
            <w:hideMark/>
          </w:tcPr>
          <w:p w14:paraId="601BB7CA"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Emotional Exhaustion</w:t>
            </w:r>
          </w:p>
        </w:tc>
        <w:tc>
          <w:tcPr>
            <w:tcW w:w="1270" w:type="pct"/>
            <w:tcBorders>
              <w:top w:val="nil"/>
              <w:left w:val="nil"/>
              <w:bottom w:val="nil"/>
              <w:right w:val="nil"/>
            </w:tcBorders>
            <w:noWrap/>
            <w:vAlign w:val="center"/>
            <w:hideMark/>
          </w:tcPr>
          <w:p w14:paraId="2266ACF5"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15,30%</w:t>
            </w:r>
          </w:p>
        </w:tc>
        <w:tc>
          <w:tcPr>
            <w:tcW w:w="1049" w:type="pct"/>
            <w:tcBorders>
              <w:top w:val="nil"/>
              <w:left w:val="nil"/>
              <w:bottom w:val="nil"/>
              <w:right w:val="nil"/>
            </w:tcBorders>
            <w:noWrap/>
            <w:vAlign w:val="center"/>
            <w:hideMark/>
          </w:tcPr>
          <w:p w14:paraId="5805EE0C"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52,70%</w:t>
            </w:r>
          </w:p>
        </w:tc>
        <w:tc>
          <w:tcPr>
            <w:tcW w:w="638" w:type="pct"/>
            <w:tcBorders>
              <w:top w:val="nil"/>
              <w:left w:val="nil"/>
              <w:bottom w:val="nil"/>
              <w:right w:val="nil"/>
            </w:tcBorders>
            <w:noWrap/>
            <w:vAlign w:val="center"/>
            <w:hideMark/>
          </w:tcPr>
          <w:p w14:paraId="768A214A"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7F7CF277" w14:textId="77777777" w:rsidTr="00B93B39">
        <w:trPr>
          <w:trHeight w:val="288"/>
        </w:trPr>
        <w:tc>
          <w:tcPr>
            <w:tcW w:w="2042" w:type="pct"/>
            <w:tcBorders>
              <w:top w:val="nil"/>
              <w:left w:val="nil"/>
              <w:bottom w:val="nil"/>
              <w:right w:val="nil"/>
            </w:tcBorders>
            <w:noWrap/>
            <w:vAlign w:val="center"/>
            <w:hideMark/>
          </w:tcPr>
          <w:p w14:paraId="32D778A2"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Loss of smell/taste</w:t>
            </w:r>
          </w:p>
        </w:tc>
        <w:tc>
          <w:tcPr>
            <w:tcW w:w="1270" w:type="pct"/>
            <w:tcBorders>
              <w:top w:val="nil"/>
              <w:left w:val="nil"/>
              <w:bottom w:val="nil"/>
              <w:right w:val="nil"/>
            </w:tcBorders>
            <w:noWrap/>
            <w:vAlign w:val="center"/>
            <w:hideMark/>
          </w:tcPr>
          <w:p w14:paraId="0F3BAE21"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29,70%</w:t>
            </w:r>
          </w:p>
        </w:tc>
        <w:tc>
          <w:tcPr>
            <w:tcW w:w="1049" w:type="pct"/>
            <w:tcBorders>
              <w:top w:val="nil"/>
              <w:left w:val="nil"/>
              <w:bottom w:val="nil"/>
              <w:right w:val="nil"/>
            </w:tcBorders>
            <w:noWrap/>
            <w:vAlign w:val="center"/>
            <w:hideMark/>
          </w:tcPr>
          <w:p w14:paraId="7F93E234"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58,10%</w:t>
            </w:r>
          </w:p>
        </w:tc>
        <w:tc>
          <w:tcPr>
            <w:tcW w:w="638" w:type="pct"/>
            <w:tcBorders>
              <w:top w:val="nil"/>
              <w:left w:val="nil"/>
              <w:bottom w:val="nil"/>
              <w:right w:val="nil"/>
            </w:tcBorders>
            <w:noWrap/>
            <w:vAlign w:val="center"/>
            <w:hideMark/>
          </w:tcPr>
          <w:p w14:paraId="6759EA43"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14AF9C6B" w14:textId="77777777" w:rsidTr="00B93B39">
        <w:trPr>
          <w:trHeight w:val="288"/>
        </w:trPr>
        <w:tc>
          <w:tcPr>
            <w:tcW w:w="2042" w:type="pct"/>
            <w:tcBorders>
              <w:top w:val="nil"/>
              <w:left w:val="nil"/>
              <w:bottom w:val="nil"/>
              <w:right w:val="nil"/>
            </w:tcBorders>
            <w:noWrap/>
            <w:vAlign w:val="center"/>
            <w:hideMark/>
          </w:tcPr>
          <w:p w14:paraId="776EAF2C"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Nausea or Vomiting</w:t>
            </w:r>
          </w:p>
        </w:tc>
        <w:tc>
          <w:tcPr>
            <w:tcW w:w="1270" w:type="pct"/>
            <w:tcBorders>
              <w:top w:val="nil"/>
              <w:left w:val="nil"/>
              <w:bottom w:val="nil"/>
              <w:right w:val="nil"/>
            </w:tcBorders>
            <w:noWrap/>
            <w:vAlign w:val="center"/>
            <w:hideMark/>
          </w:tcPr>
          <w:p w14:paraId="6C431335"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7,70%</w:t>
            </w:r>
          </w:p>
        </w:tc>
        <w:tc>
          <w:tcPr>
            <w:tcW w:w="1049" w:type="pct"/>
            <w:tcBorders>
              <w:top w:val="nil"/>
              <w:left w:val="nil"/>
              <w:bottom w:val="nil"/>
              <w:right w:val="nil"/>
            </w:tcBorders>
            <w:noWrap/>
            <w:vAlign w:val="center"/>
            <w:hideMark/>
          </w:tcPr>
          <w:p w14:paraId="6444CB91"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44,60%</w:t>
            </w:r>
          </w:p>
        </w:tc>
        <w:tc>
          <w:tcPr>
            <w:tcW w:w="638" w:type="pct"/>
            <w:tcBorders>
              <w:top w:val="nil"/>
              <w:left w:val="nil"/>
              <w:bottom w:val="nil"/>
              <w:right w:val="nil"/>
            </w:tcBorders>
            <w:noWrap/>
            <w:vAlign w:val="center"/>
            <w:hideMark/>
          </w:tcPr>
          <w:p w14:paraId="3E42687F"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56717B54" w14:textId="77777777" w:rsidTr="00B93B39">
        <w:trPr>
          <w:trHeight w:val="288"/>
        </w:trPr>
        <w:tc>
          <w:tcPr>
            <w:tcW w:w="2042" w:type="pct"/>
            <w:tcBorders>
              <w:top w:val="nil"/>
              <w:left w:val="nil"/>
              <w:bottom w:val="nil"/>
              <w:right w:val="nil"/>
            </w:tcBorders>
            <w:noWrap/>
            <w:vAlign w:val="center"/>
            <w:hideMark/>
          </w:tcPr>
          <w:p w14:paraId="301064E7"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Memory Loss</w:t>
            </w:r>
          </w:p>
        </w:tc>
        <w:tc>
          <w:tcPr>
            <w:tcW w:w="1270" w:type="pct"/>
            <w:tcBorders>
              <w:top w:val="nil"/>
              <w:left w:val="nil"/>
              <w:bottom w:val="nil"/>
              <w:right w:val="nil"/>
            </w:tcBorders>
            <w:noWrap/>
            <w:vAlign w:val="center"/>
            <w:hideMark/>
          </w:tcPr>
          <w:p w14:paraId="7FFBB5F3"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10,50%</w:t>
            </w:r>
          </w:p>
        </w:tc>
        <w:tc>
          <w:tcPr>
            <w:tcW w:w="1049" w:type="pct"/>
            <w:tcBorders>
              <w:top w:val="nil"/>
              <w:left w:val="nil"/>
              <w:bottom w:val="nil"/>
              <w:right w:val="nil"/>
            </w:tcBorders>
            <w:noWrap/>
            <w:vAlign w:val="center"/>
            <w:hideMark/>
          </w:tcPr>
          <w:p w14:paraId="768028C7"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35,10%</w:t>
            </w:r>
          </w:p>
        </w:tc>
        <w:tc>
          <w:tcPr>
            <w:tcW w:w="638" w:type="pct"/>
            <w:tcBorders>
              <w:top w:val="nil"/>
              <w:left w:val="nil"/>
              <w:bottom w:val="nil"/>
              <w:right w:val="nil"/>
            </w:tcBorders>
            <w:noWrap/>
            <w:vAlign w:val="center"/>
            <w:hideMark/>
          </w:tcPr>
          <w:p w14:paraId="2DA96416"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45A56553" w14:textId="77777777" w:rsidTr="00B93B39">
        <w:trPr>
          <w:trHeight w:val="288"/>
        </w:trPr>
        <w:tc>
          <w:tcPr>
            <w:tcW w:w="2042" w:type="pct"/>
            <w:tcBorders>
              <w:top w:val="nil"/>
              <w:left w:val="nil"/>
              <w:bottom w:val="nil"/>
              <w:right w:val="nil"/>
            </w:tcBorders>
            <w:noWrap/>
            <w:vAlign w:val="center"/>
            <w:hideMark/>
          </w:tcPr>
          <w:p w14:paraId="5A952F77"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Loss of Balance</w:t>
            </w:r>
          </w:p>
        </w:tc>
        <w:tc>
          <w:tcPr>
            <w:tcW w:w="1270" w:type="pct"/>
            <w:tcBorders>
              <w:top w:val="nil"/>
              <w:left w:val="nil"/>
              <w:bottom w:val="nil"/>
              <w:right w:val="nil"/>
            </w:tcBorders>
            <w:noWrap/>
            <w:vAlign w:val="center"/>
            <w:hideMark/>
          </w:tcPr>
          <w:p w14:paraId="284ABBED"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1,00%</w:t>
            </w:r>
          </w:p>
        </w:tc>
        <w:tc>
          <w:tcPr>
            <w:tcW w:w="1049" w:type="pct"/>
            <w:tcBorders>
              <w:top w:val="nil"/>
              <w:left w:val="nil"/>
              <w:bottom w:val="nil"/>
              <w:right w:val="nil"/>
            </w:tcBorders>
            <w:noWrap/>
            <w:vAlign w:val="center"/>
            <w:hideMark/>
          </w:tcPr>
          <w:p w14:paraId="561848D1"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25,70%</w:t>
            </w:r>
          </w:p>
        </w:tc>
        <w:tc>
          <w:tcPr>
            <w:tcW w:w="638" w:type="pct"/>
            <w:tcBorders>
              <w:top w:val="nil"/>
              <w:left w:val="nil"/>
              <w:bottom w:val="nil"/>
              <w:right w:val="nil"/>
            </w:tcBorders>
            <w:noWrap/>
            <w:vAlign w:val="center"/>
            <w:hideMark/>
          </w:tcPr>
          <w:p w14:paraId="7CAE4BF8"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1B1CE8FF" w14:textId="77777777" w:rsidTr="00B93B39">
        <w:trPr>
          <w:trHeight w:val="288"/>
        </w:trPr>
        <w:tc>
          <w:tcPr>
            <w:tcW w:w="2042" w:type="pct"/>
            <w:tcBorders>
              <w:top w:val="nil"/>
              <w:left w:val="nil"/>
              <w:bottom w:val="nil"/>
              <w:right w:val="nil"/>
            </w:tcBorders>
            <w:noWrap/>
            <w:vAlign w:val="center"/>
            <w:hideMark/>
          </w:tcPr>
          <w:p w14:paraId="752D0148"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Blurred/Obscured Vision</w:t>
            </w:r>
          </w:p>
        </w:tc>
        <w:tc>
          <w:tcPr>
            <w:tcW w:w="1270" w:type="pct"/>
            <w:tcBorders>
              <w:top w:val="nil"/>
              <w:left w:val="nil"/>
              <w:bottom w:val="nil"/>
              <w:right w:val="nil"/>
            </w:tcBorders>
            <w:noWrap/>
            <w:vAlign w:val="center"/>
            <w:hideMark/>
          </w:tcPr>
          <w:p w14:paraId="5A972915"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1,60%</w:t>
            </w:r>
          </w:p>
        </w:tc>
        <w:tc>
          <w:tcPr>
            <w:tcW w:w="1049" w:type="pct"/>
            <w:tcBorders>
              <w:top w:val="nil"/>
              <w:left w:val="nil"/>
              <w:bottom w:val="nil"/>
              <w:right w:val="nil"/>
            </w:tcBorders>
            <w:noWrap/>
            <w:vAlign w:val="center"/>
            <w:hideMark/>
          </w:tcPr>
          <w:p w14:paraId="740FE344"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18,90%</w:t>
            </w:r>
          </w:p>
        </w:tc>
        <w:tc>
          <w:tcPr>
            <w:tcW w:w="638" w:type="pct"/>
            <w:tcBorders>
              <w:top w:val="nil"/>
              <w:left w:val="nil"/>
              <w:bottom w:val="nil"/>
              <w:right w:val="nil"/>
            </w:tcBorders>
            <w:noWrap/>
            <w:vAlign w:val="center"/>
            <w:hideMark/>
          </w:tcPr>
          <w:p w14:paraId="208EA356"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1A90AA4C" w14:textId="77777777" w:rsidTr="00B93B39">
        <w:trPr>
          <w:trHeight w:val="288"/>
        </w:trPr>
        <w:tc>
          <w:tcPr>
            <w:tcW w:w="2042" w:type="pct"/>
            <w:tcBorders>
              <w:top w:val="nil"/>
              <w:left w:val="nil"/>
              <w:bottom w:val="nil"/>
              <w:right w:val="nil"/>
            </w:tcBorders>
            <w:noWrap/>
            <w:vAlign w:val="center"/>
            <w:hideMark/>
          </w:tcPr>
          <w:p w14:paraId="3F232E71"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Loss of Motor Coordination</w:t>
            </w:r>
          </w:p>
        </w:tc>
        <w:tc>
          <w:tcPr>
            <w:tcW w:w="1270" w:type="pct"/>
            <w:tcBorders>
              <w:top w:val="nil"/>
              <w:left w:val="nil"/>
              <w:bottom w:val="nil"/>
              <w:right w:val="nil"/>
            </w:tcBorders>
            <w:noWrap/>
            <w:vAlign w:val="center"/>
            <w:hideMark/>
          </w:tcPr>
          <w:p w14:paraId="43B97A8B"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0,60%</w:t>
            </w:r>
          </w:p>
        </w:tc>
        <w:tc>
          <w:tcPr>
            <w:tcW w:w="1049" w:type="pct"/>
            <w:tcBorders>
              <w:top w:val="nil"/>
              <w:left w:val="nil"/>
              <w:bottom w:val="nil"/>
              <w:right w:val="nil"/>
            </w:tcBorders>
            <w:noWrap/>
            <w:vAlign w:val="center"/>
            <w:hideMark/>
          </w:tcPr>
          <w:p w14:paraId="3D9F0A00"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12,20%</w:t>
            </w:r>
          </w:p>
        </w:tc>
        <w:tc>
          <w:tcPr>
            <w:tcW w:w="638" w:type="pct"/>
            <w:tcBorders>
              <w:top w:val="nil"/>
              <w:left w:val="nil"/>
              <w:bottom w:val="nil"/>
              <w:right w:val="nil"/>
            </w:tcBorders>
            <w:noWrap/>
            <w:vAlign w:val="center"/>
            <w:hideMark/>
          </w:tcPr>
          <w:p w14:paraId="194F843C"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3CFBE18B" w14:textId="77777777" w:rsidTr="00B93B39">
        <w:trPr>
          <w:trHeight w:val="300"/>
        </w:trPr>
        <w:tc>
          <w:tcPr>
            <w:tcW w:w="2042" w:type="pct"/>
            <w:tcBorders>
              <w:top w:val="nil"/>
              <w:left w:val="nil"/>
              <w:bottom w:val="single" w:sz="8" w:space="0" w:color="7F7F7F"/>
              <w:right w:val="nil"/>
            </w:tcBorders>
            <w:noWrap/>
            <w:vAlign w:val="center"/>
            <w:hideMark/>
          </w:tcPr>
          <w:p w14:paraId="3AE1D770"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Hearing Loss</w:t>
            </w:r>
          </w:p>
        </w:tc>
        <w:tc>
          <w:tcPr>
            <w:tcW w:w="1270" w:type="pct"/>
            <w:tcBorders>
              <w:top w:val="nil"/>
              <w:left w:val="nil"/>
              <w:bottom w:val="single" w:sz="8" w:space="0" w:color="7F7F7F"/>
              <w:right w:val="nil"/>
            </w:tcBorders>
            <w:noWrap/>
            <w:vAlign w:val="center"/>
            <w:hideMark/>
          </w:tcPr>
          <w:p w14:paraId="0512B583"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0,60%</w:t>
            </w:r>
          </w:p>
        </w:tc>
        <w:tc>
          <w:tcPr>
            <w:tcW w:w="1049" w:type="pct"/>
            <w:tcBorders>
              <w:top w:val="nil"/>
              <w:left w:val="nil"/>
              <w:bottom w:val="single" w:sz="8" w:space="0" w:color="7F7F7F"/>
              <w:right w:val="nil"/>
            </w:tcBorders>
            <w:noWrap/>
            <w:vAlign w:val="center"/>
            <w:hideMark/>
          </w:tcPr>
          <w:p w14:paraId="39CA238E"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6,80%</w:t>
            </w:r>
          </w:p>
        </w:tc>
        <w:tc>
          <w:tcPr>
            <w:tcW w:w="638" w:type="pct"/>
            <w:tcBorders>
              <w:top w:val="nil"/>
              <w:left w:val="nil"/>
              <w:bottom w:val="single" w:sz="8" w:space="0" w:color="7F7F7F"/>
              <w:right w:val="nil"/>
            </w:tcBorders>
            <w:noWrap/>
            <w:vAlign w:val="center"/>
            <w:hideMark/>
          </w:tcPr>
          <w:p w14:paraId="1AC2C492"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bl>
    <w:p w14:paraId="0D294B93" w14:textId="77777777" w:rsidR="00863BD3" w:rsidRDefault="00863BD3" w:rsidP="00A93C1D">
      <w:pPr>
        <w:pStyle w:val="BodyText3"/>
        <w:tabs>
          <w:tab w:val="left" w:pos="1080"/>
        </w:tabs>
        <w:spacing w:after="0"/>
        <w:jc w:val="both"/>
        <w:rPr>
          <w:rFonts w:ascii="Arial" w:hAnsi="Arial"/>
          <w:b/>
          <w:sz w:val="20"/>
          <w:szCs w:val="20"/>
        </w:rPr>
      </w:pPr>
    </w:p>
    <w:p w14:paraId="7A0C553C" w14:textId="3D22F16F" w:rsidR="002C1CE0" w:rsidRPr="00791A80" w:rsidRDefault="002C1CE0" w:rsidP="002C1CE0">
      <w:pPr>
        <w:tabs>
          <w:tab w:val="left" w:pos="1080"/>
        </w:tabs>
        <w:spacing w:after="240"/>
        <w:jc w:val="both"/>
        <w:rPr>
          <w:rFonts w:ascii="Arial" w:hAnsi="Arial" w:cs="Arial"/>
        </w:rPr>
      </w:pPr>
      <w:r w:rsidRPr="00791A80">
        <w:rPr>
          <w:rFonts w:ascii="Arial" w:hAnsi="Arial" w:cs="Arial"/>
        </w:rPr>
        <w:t>Regarding COVID-19 infection history (Table 2), patients who contracted the disease presented a significantly higher prevalence of all investigated clinical symptoms (</w:t>
      </w:r>
      <w:r w:rsidR="00F163D7" w:rsidRPr="00F163D7">
        <w:rPr>
          <w:rFonts w:ascii="Arial" w:eastAsia="Calibri" w:hAnsi="Arial" w:cs="Arial"/>
          <w:i/>
          <w:iCs/>
          <w:szCs w:val="22"/>
        </w:rPr>
        <w:t>P</w:t>
      </w:r>
      <w:r w:rsidRPr="00791A80">
        <w:rPr>
          <w:rFonts w:ascii="Arial" w:hAnsi="Arial" w:cs="Arial"/>
        </w:rPr>
        <w:t xml:space="preserve"> &lt; .05). The most frequent complaints in the COVID-19 group were physical fatigue (82.6%) and headache (74.1%). Characteristic neurological and sensory symptoms showed strong statistical associations, notably loss of smell or taste reported by 51.8% of the COVID-19 group versus 5.7% in the non-infected group (</w:t>
      </w:r>
      <w:r w:rsidR="00F163D7" w:rsidRPr="00F163D7">
        <w:rPr>
          <w:rFonts w:ascii="Arial" w:eastAsia="Calibri" w:hAnsi="Arial" w:cs="Arial"/>
          <w:i/>
          <w:iCs/>
          <w:szCs w:val="22"/>
        </w:rPr>
        <w:t>P</w:t>
      </w:r>
      <w:r w:rsidRPr="00791A80">
        <w:rPr>
          <w:rFonts w:ascii="Arial" w:hAnsi="Arial" w:cs="Arial"/>
        </w:rPr>
        <w:t xml:space="preserve"> &lt; .001).</w:t>
      </w:r>
    </w:p>
    <w:p w14:paraId="462ECA52" w14:textId="77777777" w:rsidR="002C1CE0" w:rsidRPr="00C02C38" w:rsidRDefault="002C1CE0" w:rsidP="002C1CE0">
      <w:pPr>
        <w:tabs>
          <w:tab w:val="left" w:pos="1080"/>
        </w:tabs>
        <w:spacing w:after="240"/>
        <w:jc w:val="both"/>
        <w:rPr>
          <w:rFonts w:ascii="Arial" w:hAnsi="Arial" w:cs="Arial"/>
        </w:rPr>
      </w:pPr>
      <w:r w:rsidRPr="00791A80">
        <w:rPr>
          <w:rFonts w:ascii="Arial" w:hAnsi="Arial" w:cs="Arial"/>
        </w:rPr>
        <w:t xml:space="preserve">Table 3 details the association between tinnitus and clinical variables. Similar to dizziness findings, tinnitus was statistically associated with a more exacerbated global symptomatology. Patients with tinnitus reported high rates of physical fatigue (92.5%) and loss of smell/taste (70.3%). A strong correlation was found between tinnitus and other </w:t>
      </w:r>
      <w:r w:rsidRPr="00791A80">
        <w:rPr>
          <w:rFonts w:ascii="Arial" w:hAnsi="Arial" w:cs="Arial"/>
        </w:rPr>
        <w:lastRenderedPageBreak/>
        <w:t xml:space="preserve">neurological impairments, such as memory loss (48.1% vs. 12.7%; </w:t>
      </w:r>
      <w:r>
        <w:rPr>
          <w:rFonts w:ascii="Arial" w:hAnsi="Arial" w:cs="Arial"/>
        </w:rPr>
        <w:t>p</w:t>
      </w:r>
      <w:r w:rsidRPr="00791A80">
        <w:rPr>
          <w:rFonts w:ascii="Arial" w:hAnsi="Arial" w:cs="Arial"/>
        </w:rPr>
        <w:t xml:space="preserve"> &lt; .001) and loss of balance (33.3% vs. 3.6%; </w:t>
      </w:r>
      <w:r>
        <w:rPr>
          <w:rFonts w:ascii="Arial" w:hAnsi="Arial" w:cs="Arial"/>
        </w:rPr>
        <w:t>p</w:t>
      </w:r>
      <w:r w:rsidRPr="00791A80">
        <w:rPr>
          <w:rFonts w:ascii="Arial" w:hAnsi="Arial" w:cs="Arial"/>
        </w:rPr>
        <w:t xml:space="preserve"> &lt; .001).</w:t>
      </w:r>
    </w:p>
    <w:p w14:paraId="03F466AD" w14:textId="77777777" w:rsidR="002C1CE0" w:rsidRDefault="002C1CE0" w:rsidP="00A93C1D">
      <w:pPr>
        <w:pStyle w:val="BodyText3"/>
        <w:tabs>
          <w:tab w:val="left" w:pos="1080"/>
        </w:tabs>
        <w:spacing w:after="0"/>
        <w:jc w:val="both"/>
        <w:rPr>
          <w:rFonts w:ascii="Arial" w:hAnsi="Arial"/>
          <w:b/>
          <w:sz w:val="20"/>
          <w:szCs w:val="20"/>
        </w:rPr>
      </w:pPr>
    </w:p>
    <w:p w14:paraId="06E60AB3" w14:textId="2F92EA56" w:rsidR="00A93C1D" w:rsidRPr="00A93C1D" w:rsidRDefault="00A93C1D" w:rsidP="00645472">
      <w:pPr>
        <w:jc w:val="center"/>
        <w:rPr>
          <w:rFonts w:ascii="Arial" w:hAnsi="Arial" w:cs="Arial"/>
          <w:b/>
          <w:bCs/>
        </w:rPr>
      </w:pPr>
      <w:r w:rsidRPr="00A93C1D">
        <w:rPr>
          <w:rFonts w:ascii="Arial" w:hAnsi="Arial" w:cs="Arial"/>
          <w:b/>
          <w:bCs/>
        </w:rPr>
        <w:t xml:space="preserve">Table </w:t>
      </w:r>
      <w:r>
        <w:rPr>
          <w:rFonts w:ascii="Arial" w:hAnsi="Arial" w:cs="Arial"/>
          <w:b/>
          <w:bCs/>
        </w:rPr>
        <w:t>2</w:t>
      </w:r>
      <w:r w:rsidRPr="00A93C1D">
        <w:rPr>
          <w:rFonts w:ascii="Arial" w:hAnsi="Arial" w:cs="Arial"/>
          <w:b/>
          <w:bCs/>
        </w:rPr>
        <w:t xml:space="preserve">. </w:t>
      </w:r>
      <w:r w:rsidRPr="00A31359">
        <w:rPr>
          <w:rFonts w:ascii="Arial" w:hAnsi="Arial" w:cs="Arial"/>
          <w:b/>
          <w:bCs/>
        </w:rPr>
        <w:t xml:space="preserve">Association between </w:t>
      </w:r>
      <w:r>
        <w:rPr>
          <w:rFonts w:ascii="Arial" w:hAnsi="Arial" w:cs="Arial"/>
          <w:b/>
          <w:bCs/>
        </w:rPr>
        <w:t>COVID-19</w:t>
      </w:r>
      <w:r w:rsidRPr="00A31359">
        <w:rPr>
          <w:rFonts w:ascii="Arial" w:hAnsi="Arial" w:cs="Arial"/>
          <w:b/>
          <w:bCs/>
        </w:rPr>
        <w:t xml:space="preserve"> and other variables</w:t>
      </w:r>
      <w:r w:rsidR="00645472">
        <w:rPr>
          <w:rFonts w:ascii="Arial" w:hAnsi="Arial" w:cs="Arial"/>
          <w:b/>
          <w:bCs/>
        </w:rPr>
        <w:t>.</w:t>
      </w:r>
    </w:p>
    <w:tbl>
      <w:tblPr>
        <w:tblW w:w="5000" w:type="pct"/>
        <w:tblCellMar>
          <w:left w:w="70" w:type="dxa"/>
          <w:right w:w="70" w:type="dxa"/>
        </w:tblCellMar>
        <w:tblLook w:val="04A0" w:firstRow="1" w:lastRow="0" w:firstColumn="1" w:lastColumn="0" w:noHBand="0" w:noVBand="1"/>
      </w:tblPr>
      <w:tblGrid>
        <w:gridCol w:w="3223"/>
        <w:gridCol w:w="2162"/>
        <w:gridCol w:w="1798"/>
        <w:gridCol w:w="1165"/>
      </w:tblGrid>
      <w:tr w:rsidR="00232531" w:rsidRPr="00232531" w14:paraId="57A9E377" w14:textId="77777777" w:rsidTr="00A93C1D">
        <w:trPr>
          <w:trHeight w:val="300"/>
        </w:trPr>
        <w:tc>
          <w:tcPr>
            <w:tcW w:w="1930" w:type="pct"/>
            <w:tcBorders>
              <w:top w:val="single" w:sz="8" w:space="0" w:color="7F7F7F"/>
              <w:left w:val="nil"/>
              <w:bottom w:val="single" w:sz="8" w:space="0" w:color="7F7F7F"/>
              <w:right w:val="nil"/>
            </w:tcBorders>
            <w:noWrap/>
            <w:vAlign w:val="center"/>
            <w:hideMark/>
          </w:tcPr>
          <w:p w14:paraId="716D9943"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Symptom Assessed</w:t>
            </w:r>
          </w:p>
        </w:tc>
        <w:tc>
          <w:tcPr>
            <w:tcW w:w="1295" w:type="pct"/>
            <w:tcBorders>
              <w:top w:val="single" w:sz="8" w:space="0" w:color="7F7F7F"/>
              <w:left w:val="nil"/>
              <w:bottom w:val="single" w:sz="8" w:space="0" w:color="7F7F7F"/>
              <w:right w:val="nil"/>
            </w:tcBorders>
            <w:noWrap/>
            <w:vAlign w:val="center"/>
            <w:hideMark/>
          </w:tcPr>
          <w:p w14:paraId="149DA28B"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No COVID-19 (%)</w:t>
            </w:r>
          </w:p>
        </w:tc>
        <w:tc>
          <w:tcPr>
            <w:tcW w:w="1077" w:type="pct"/>
            <w:tcBorders>
              <w:top w:val="single" w:sz="8" w:space="0" w:color="7F7F7F"/>
              <w:left w:val="nil"/>
              <w:bottom w:val="single" w:sz="8" w:space="0" w:color="7F7F7F"/>
              <w:right w:val="nil"/>
            </w:tcBorders>
            <w:noWrap/>
            <w:vAlign w:val="center"/>
            <w:hideMark/>
          </w:tcPr>
          <w:p w14:paraId="7E716411"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COVID-19 (%)</w:t>
            </w:r>
          </w:p>
        </w:tc>
        <w:tc>
          <w:tcPr>
            <w:tcW w:w="698" w:type="pct"/>
            <w:tcBorders>
              <w:top w:val="single" w:sz="8" w:space="0" w:color="7F7F7F"/>
              <w:left w:val="nil"/>
              <w:bottom w:val="single" w:sz="8" w:space="0" w:color="7F7F7F"/>
              <w:right w:val="nil"/>
            </w:tcBorders>
            <w:noWrap/>
            <w:vAlign w:val="center"/>
            <w:hideMark/>
          </w:tcPr>
          <w:p w14:paraId="5F18DB82" w14:textId="4DC5C997" w:rsidR="00A93C1D" w:rsidRPr="00232531" w:rsidRDefault="00232531"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P-v</w:t>
            </w:r>
            <w:r w:rsidR="00A93C1D" w:rsidRPr="00232531">
              <w:rPr>
                <w:rFonts w:ascii="Arial" w:hAnsi="Arial" w:cs="Arial"/>
                <w:b/>
                <w:bCs/>
                <w:color w:val="000000" w:themeColor="text1"/>
                <w:lang w:val="pt-BR" w:eastAsia="pt-BR"/>
              </w:rPr>
              <w:t>alue</w:t>
            </w:r>
          </w:p>
        </w:tc>
      </w:tr>
      <w:tr w:rsidR="00232531" w:rsidRPr="00232531" w14:paraId="5A7C7D91" w14:textId="77777777" w:rsidTr="00A93C1D">
        <w:trPr>
          <w:trHeight w:val="288"/>
        </w:trPr>
        <w:tc>
          <w:tcPr>
            <w:tcW w:w="1930" w:type="pct"/>
            <w:tcBorders>
              <w:top w:val="nil"/>
              <w:left w:val="nil"/>
              <w:bottom w:val="nil"/>
              <w:right w:val="nil"/>
            </w:tcBorders>
            <w:noWrap/>
            <w:vAlign w:val="center"/>
            <w:hideMark/>
          </w:tcPr>
          <w:p w14:paraId="2B8832E2"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Physical fatigue</w:t>
            </w:r>
          </w:p>
        </w:tc>
        <w:tc>
          <w:tcPr>
            <w:tcW w:w="1295" w:type="pct"/>
            <w:tcBorders>
              <w:top w:val="nil"/>
              <w:left w:val="nil"/>
              <w:bottom w:val="nil"/>
              <w:right w:val="nil"/>
            </w:tcBorders>
            <w:noWrap/>
            <w:vAlign w:val="center"/>
            <w:hideMark/>
          </w:tcPr>
          <w:p w14:paraId="2314DC19"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5,00%</w:t>
            </w:r>
          </w:p>
        </w:tc>
        <w:tc>
          <w:tcPr>
            <w:tcW w:w="1077" w:type="pct"/>
            <w:tcBorders>
              <w:top w:val="nil"/>
              <w:left w:val="nil"/>
              <w:bottom w:val="nil"/>
              <w:right w:val="nil"/>
            </w:tcBorders>
            <w:noWrap/>
            <w:vAlign w:val="center"/>
            <w:hideMark/>
          </w:tcPr>
          <w:p w14:paraId="724C764F"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82,60%</w:t>
            </w:r>
          </w:p>
        </w:tc>
        <w:tc>
          <w:tcPr>
            <w:tcW w:w="698" w:type="pct"/>
            <w:tcBorders>
              <w:top w:val="nil"/>
              <w:left w:val="nil"/>
              <w:bottom w:val="nil"/>
              <w:right w:val="nil"/>
            </w:tcBorders>
            <w:noWrap/>
            <w:vAlign w:val="center"/>
            <w:hideMark/>
          </w:tcPr>
          <w:p w14:paraId="7A639C9F"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17DF1EF8" w14:textId="77777777" w:rsidTr="00A93C1D">
        <w:trPr>
          <w:trHeight w:val="288"/>
        </w:trPr>
        <w:tc>
          <w:tcPr>
            <w:tcW w:w="1930" w:type="pct"/>
            <w:tcBorders>
              <w:top w:val="nil"/>
              <w:left w:val="nil"/>
              <w:bottom w:val="nil"/>
              <w:right w:val="nil"/>
            </w:tcBorders>
            <w:noWrap/>
            <w:vAlign w:val="center"/>
            <w:hideMark/>
          </w:tcPr>
          <w:p w14:paraId="74E9FC9D"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Headache</w:t>
            </w:r>
          </w:p>
        </w:tc>
        <w:tc>
          <w:tcPr>
            <w:tcW w:w="1295" w:type="pct"/>
            <w:tcBorders>
              <w:top w:val="nil"/>
              <w:left w:val="nil"/>
              <w:bottom w:val="nil"/>
              <w:right w:val="nil"/>
            </w:tcBorders>
            <w:noWrap/>
            <w:vAlign w:val="center"/>
            <w:hideMark/>
          </w:tcPr>
          <w:p w14:paraId="4F8D042D"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7,90%</w:t>
            </w:r>
          </w:p>
        </w:tc>
        <w:tc>
          <w:tcPr>
            <w:tcW w:w="1077" w:type="pct"/>
            <w:tcBorders>
              <w:top w:val="nil"/>
              <w:left w:val="nil"/>
              <w:bottom w:val="nil"/>
              <w:right w:val="nil"/>
            </w:tcBorders>
            <w:noWrap/>
            <w:vAlign w:val="center"/>
            <w:hideMark/>
          </w:tcPr>
          <w:p w14:paraId="6FE616F9"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74,10%</w:t>
            </w:r>
          </w:p>
        </w:tc>
        <w:tc>
          <w:tcPr>
            <w:tcW w:w="698" w:type="pct"/>
            <w:tcBorders>
              <w:top w:val="nil"/>
              <w:left w:val="nil"/>
              <w:bottom w:val="nil"/>
              <w:right w:val="nil"/>
            </w:tcBorders>
            <w:noWrap/>
            <w:vAlign w:val="center"/>
            <w:hideMark/>
          </w:tcPr>
          <w:p w14:paraId="690C4C7C"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172FC816" w14:textId="77777777" w:rsidTr="00A93C1D">
        <w:trPr>
          <w:trHeight w:val="288"/>
        </w:trPr>
        <w:tc>
          <w:tcPr>
            <w:tcW w:w="1930" w:type="pct"/>
            <w:tcBorders>
              <w:top w:val="nil"/>
              <w:left w:val="nil"/>
              <w:bottom w:val="nil"/>
              <w:right w:val="nil"/>
            </w:tcBorders>
            <w:noWrap/>
            <w:vAlign w:val="center"/>
            <w:hideMark/>
          </w:tcPr>
          <w:p w14:paraId="65B3D57A"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Fever</w:t>
            </w:r>
          </w:p>
        </w:tc>
        <w:tc>
          <w:tcPr>
            <w:tcW w:w="1295" w:type="pct"/>
            <w:tcBorders>
              <w:top w:val="nil"/>
              <w:left w:val="nil"/>
              <w:bottom w:val="nil"/>
              <w:right w:val="nil"/>
            </w:tcBorders>
            <w:noWrap/>
            <w:vAlign w:val="center"/>
            <w:hideMark/>
          </w:tcPr>
          <w:p w14:paraId="3F118ACD"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4,30%</w:t>
            </w:r>
          </w:p>
        </w:tc>
        <w:tc>
          <w:tcPr>
            <w:tcW w:w="1077" w:type="pct"/>
            <w:tcBorders>
              <w:top w:val="nil"/>
              <w:left w:val="nil"/>
              <w:bottom w:val="nil"/>
              <w:right w:val="nil"/>
            </w:tcBorders>
            <w:noWrap/>
            <w:vAlign w:val="center"/>
            <w:hideMark/>
          </w:tcPr>
          <w:p w14:paraId="1F06C061"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55,10%</w:t>
            </w:r>
          </w:p>
        </w:tc>
        <w:tc>
          <w:tcPr>
            <w:tcW w:w="698" w:type="pct"/>
            <w:tcBorders>
              <w:top w:val="nil"/>
              <w:left w:val="nil"/>
              <w:bottom w:val="nil"/>
              <w:right w:val="nil"/>
            </w:tcBorders>
            <w:noWrap/>
            <w:vAlign w:val="center"/>
            <w:hideMark/>
          </w:tcPr>
          <w:p w14:paraId="610EFDE9"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23FD6897" w14:textId="77777777" w:rsidTr="00A93C1D">
        <w:trPr>
          <w:trHeight w:val="288"/>
        </w:trPr>
        <w:tc>
          <w:tcPr>
            <w:tcW w:w="1930" w:type="pct"/>
            <w:tcBorders>
              <w:top w:val="nil"/>
              <w:left w:val="nil"/>
              <w:bottom w:val="nil"/>
              <w:right w:val="nil"/>
            </w:tcBorders>
            <w:noWrap/>
            <w:vAlign w:val="center"/>
            <w:hideMark/>
          </w:tcPr>
          <w:p w14:paraId="1F1BB1CF"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Shortness of breathe</w:t>
            </w:r>
          </w:p>
        </w:tc>
        <w:tc>
          <w:tcPr>
            <w:tcW w:w="1295" w:type="pct"/>
            <w:tcBorders>
              <w:top w:val="nil"/>
              <w:left w:val="nil"/>
              <w:bottom w:val="nil"/>
              <w:right w:val="nil"/>
            </w:tcBorders>
            <w:noWrap/>
            <w:vAlign w:val="center"/>
            <w:hideMark/>
          </w:tcPr>
          <w:p w14:paraId="0481266C"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5,70%</w:t>
            </w:r>
          </w:p>
        </w:tc>
        <w:tc>
          <w:tcPr>
            <w:tcW w:w="1077" w:type="pct"/>
            <w:tcBorders>
              <w:top w:val="nil"/>
              <w:left w:val="nil"/>
              <w:bottom w:val="nil"/>
              <w:right w:val="nil"/>
            </w:tcBorders>
            <w:noWrap/>
            <w:vAlign w:val="center"/>
            <w:hideMark/>
          </w:tcPr>
          <w:p w14:paraId="69ABB700"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51,80%</w:t>
            </w:r>
          </w:p>
        </w:tc>
        <w:tc>
          <w:tcPr>
            <w:tcW w:w="698" w:type="pct"/>
            <w:tcBorders>
              <w:top w:val="nil"/>
              <w:left w:val="nil"/>
              <w:bottom w:val="nil"/>
              <w:right w:val="nil"/>
            </w:tcBorders>
            <w:noWrap/>
            <w:vAlign w:val="center"/>
            <w:hideMark/>
          </w:tcPr>
          <w:p w14:paraId="7B987CEC"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29536B3F" w14:textId="77777777" w:rsidTr="00A93C1D">
        <w:trPr>
          <w:trHeight w:val="288"/>
        </w:trPr>
        <w:tc>
          <w:tcPr>
            <w:tcW w:w="1930" w:type="pct"/>
            <w:tcBorders>
              <w:top w:val="nil"/>
              <w:left w:val="nil"/>
              <w:bottom w:val="nil"/>
              <w:right w:val="nil"/>
            </w:tcBorders>
            <w:noWrap/>
            <w:vAlign w:val="center"/>
            <w:hideMark/>
          </w:tcPr>
          <w:p w14:paraId="4BA23043"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Emotional Exhaustion</w:t>
            </w:r>
          </w:p>
        </w:tc>
        <w:tc>
          <w:tcPr>
            <w:tcW w:w="1295" w:type="pct"/>
            <w:tcBorders>
              <w:top w:val="nil"/>
              <w:left w:val="nil"/>
              <w:bottom w:val="nil"/>
              <w:right w:val="nil"/>
            </w:tcBorders>
            <w:noWrap/>
            <w:vAlign w:val="center"/>
            <w:hideMark/>
          </w:tcPr>
          <w:p w14:paraId="28225827"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0,70%</w:t>
            </w:r>
          </w:p>
        </w:tc>
        <w:tc>
          <w:tcPr>
            <w:tcW w:w="1077" w:type="pct"/>
            <w:tcBorders>
              <w:top w:val="nil"/>
              <w:left w:val="nil"/>
              <w:bottom w:val="nil"/>
              <w:right w:val="nil"/>
            </w:tcBorders>
            <w:noWrap/>
            <w:vAlign w:val="center"/>
            <w:hideMark/>
          </w:tcPr>
          <w:p w14:paraId="489C9387"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37,20%</w:t>
            </w:r>
          </w:p>
        </w:tc>
        <w:tc>
          <w:tcPr>
            <w:tcW w:w="698" w:type="pct"/>
            <w:tcBorders>
              <w:top w:val="nil"/>
              <w:left w:val="nil"/>
              <w:bottom w:val="nil"/>
              <w:right w:val="nil"/>
            </w:tcBorders>
            <w:noWrap/>
            <w:vAlign w:val="center"/>
            <w:hideMark/>
          </w:tcPr>
          <w:p w14:paraId="39D48732"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0609FFD0" w14:textId="77777777" w:rsidTr="00A93C1D">
        <w:trPr>
          <w:trHeight w:val="288"/>
        </w:trPr>
        <w:tc>
          <w:tcPr>
            <w:tcW w:w="1930" w:type="pct"/>
            <w:tcBorders>
              <w:top w:val="nil"/>
              <w:left w:val="nil"/>
              <w:bottom w:val="nil"/>
              <w:right w:val="nil"/>
            </w:tcBorders>
            <w:noWrap/>
            <w:vAlign w:val="center"/>
            <w:hideMark/>
          </w:tcPr>
          <w:p w14:paraId="004620D0"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Loss of smell/taste</w:t>
            </w:r>
          </w:p>
        </w:tc>
        <w:tc>
          <w:tcPr>
            <w:tcW w:w="1295" w:type="pct"/>
            <w:tcBorders>
              <w:top w:val="nil"/>
              <w:left w:val="nil"/>
              <w:bottom w:val="nil"/>
              <w:right w:val="nil"/>
            </w:tcBorders>
            <w:noWrap/>
            <w:vAlign w:val="center"/>
            <w:hideMark/>
          </w:tcPr>
          <w:p w14:paraId="1D6585A2"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2,90%</w:t>
            </w:r>
          </w:p>
        </w:tc>
        <w:tc>
          <w:tcPr>
            <w:tcW w:w="1077" w:type="pct"/>
            <w:tcBorders>
              <w:top w:val="nil"/>
              <w:left w:val="nil"/>
              <w:bottom w:val="nil"/>
              <w:right w:val="nil"/>
            </w:tcBorders>
            <w:noWrap/>
            <w:vAlign w:val="center"/>
            <w:hideMark/>
          </w:tcPr>
          <w:p w14:paraId="5AC468ED"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33,60%</w:t>
            </w:r>
          </w:p>
        </w:tc>
        <w:tc>
          <w:tcPr>
            <w:tcW w:w="698" w:type="pct"/>
            <w:tcBorders>
              <w:top w:val="nil"/>
              <w:left w:val="nil"/>
              <w:bottom w:val="nil"/>
              <w:right w:val="nil"/>
            </w:tcBorders>
            <w:noWrap/>
            <w:vAlign w:val="center"/>
            <w:hideMark/>
          </w:tcPr>
          <w:p w14:paraId="3BFA227E"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1E093595" w14:textId="77777777" w:rsidTr="00A93C1D">
        <w:trPr>
          <w:trHeight w:val="288"/>
        </w:trPr>
        <w:tc>
          <w:tcPr>
            <w:tcW w:w="1930" w:type="pct"/>
            <w:tcBorders>
              <w:top w:val="nil"/>
              <w:left w:val="nil"/>
              <w:bottom w:val="nil"/>
              <w:right w:val="nil"/>
            </w:tcBorders>
            <w:noWrap/>
            <w:vAlign w:val="center"/>
            <w:hideMark/>
          </w:tcPr>
          <w:p w14:paraId="48A77F57"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Nausea or Vomiting</w:t>
            </w:r>
          </w:p>
        </w:tc>
        <w:tc>
          <w:tcPr>
            <w:tcW w:w="1295" w:type="pct"/>
            <w:tcBorders>
              <w:top w:val="nil"/>
              <w:left w:val="nil"/>
              <w:bottom w:val="nil"/>
              <w:right w:val="nil"/>
            </w:tcBorders>
            <w:noWrap/>
            <w:vAlign w:val="center"/>
            <w:hideMark/>
          </w:tcPr>
          <w:p w14:paraId="5CCD0FF5"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0,70%</w:t>
            </w:r>
          </w:p>
        </w:tc>
        <w:tc>
          <w:tcPr>
            <w:tcW w:w="1077" w:type="pct"/>
            <w:tcBorders>
              <w:top w:val="nil"/>
              <w:left w:val="nil"/>
              <w:bottom w:val="nil"/>
              <w:right w:val="nil"/>
            </w:tcBorders>
            <w:noWrap/>
            <w:vAlign w:val="center"/>
            <w:hideMark/>
          </w:tcPr>
          <w:p w14:paraId="41EA24A9"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22,70%</w:t>
            </w:r>
          </w:p>
        </w:tc>
        <w:tc>
          <w:tcPr>
            <w:tcW w:w="698" w:type="pct"/>
            <w:tcBorders>
              <w:top w:val="nil"/>
              <w:left w:val="nil"/>
              <w:bottom w:val="nil"/>
              <w:right w:val="nil"/>
            </w:tcBorders>
            <w:noWrap/>
            <w:vAlign w:val="center"/>
            <w:hideMark/>
          </w:tcPr>
          <w:p w14:paraId="4E8D4E7F"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6A240271" w14:textId="77777777" w:rsidTr="00A93C1D">
        <w:trPr>
          <w:trHeight w:val="288"/>
        </w:trPr>
        <w:tc>
          <w:tcPr>
            <w:tcW w:w="1930" w:type="pct"/>
            <w:tcBorders>
              <w:top w:val="nil"/>
              <w:left w:val="nil"/>
              <w:bottom w:val="nil"/>
              <w:right w:val="nil"/>
            </w:tcBorders>
            <w:noWrap/>
            <w:vAlign w:val="center"/>
            <w:hideMark/>
          </w:tcPr>
          <w:p w14:paraId="625947A1"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Memory Loss</w:t>
            </w:r>
          </w:p>
        </w:tc>
        <w:tc>
          <w:tcPr>
            <w:tcW w:w="1295" w:type="pct"/>
            <w:tcBorders>
              <w:top w:val="nil"/>
              <w:left w:val="nil"/>
              <w:bottom w:val="nil"/>
              <w:right w:val="nil"/>
            </w:tcBorders>
            <w:noWrap/>
            <w:vAlign w:val="center"/>
            <w:hideMark/>
          </w:tcPr>
          <w:p w14:paraId="161DD5AA"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2,90%</w:t>
            </w:r>
          </w:p>
        </w:tc>
        <w:tc>
          <w:tcPr>
            <w:tcW w:w="1077" w:type="pct"/>
            <w:tcBorders>
              <w:top w:val="nil"/>
              <w:left w:val="nil"/>
              <w:bottom w:val="nil"/>
              <w:right w:val="nil"/>
            </w:tcBorders>
            <w:noWrap/>
            <w:vAlign w:val="center"/>
            <w:hideMark/>
          </w:tcPr>
          <w:p w14:paraId="119A9CFF"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22,30%</w:t>
            </w:r>
          </w:p>
        </w:tc>
        <w:tc>
          <w:tcPr>
            <w:tcW w:w="698" w:type="pct"/>
            <w:tcBorders>
              <w:top w:val="nil"/>
              <w:left w:val="nil"/>
              <w:bottom w:val="nil"/>
              <w:right w:val="nil"/>
            </w:tcBorders>
            <w:noWrap/>
            <w:vAlign w:val="center"/>
            <w:hideMark/>
          </w:tcPr>
          <w:p w14:paraId="7385ABFD"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0B469538" w14:textId="77777777" w:rsidTr="00A93C1D">
        <w:trPr>
          <w:trHeight w:val="288"/>
        </w:trPr>
        <w:tc>
          <w:tcPr>
            <w:tcW w:w="1930" w:type="pct"/>
            <w:tcBorders>
              <w:top w:val="nil"/>
              <w:left w:val="nil"/>
              <w:bottom w:val="nil"/>
              <w:right w:val="nil"/>
            </w:tcBorders>
            <w:noWrap/>
            <w:vAlign w:val="center"/>
            <w:hideMark/>
          </w:tcPr>
          <w:p w14:paraId="027E9ADF"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Loss of Balance</w:t>
            </w:r>
          </w:p>
        </w:tc>
        <w:tc>
          <w:tcPr>
            <w:tcW w:w="1295" w:type="pct"/>
            <w:tcBorders>
              <w:top w:val="nil"/>
              <w:left w:val="nil"/>
              <w:bottom w:val="nil"/>
              <w:right w:val="nil"/>
            </w:tcBorders>
            <w:noWrap/>
            <w:vAlign w:val="center"/>
            <w:hideMark/>
          </w:tcPr>
          <w:p w14:paraId="4E080D1D"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1,40%</w:t>
            </w:r>
          </w:p>
        </w:tc>
        <w:tc>
          <w:tcPr>
            <w:tcW w:w="1077" w:type="pct"/>
            <w:tcBorders>
              <w:top w:val="nil"/>
              <w:left w:val="nil"/>
              <w:bottom w:val="nil"/>
              <w:right w:val="nil"/>
            </w:tcBorders>
            <w:noWrap/>
            <w:vAlign w:val="center"/>
            <w:hideMark/>
          </w:tcPr>
          <w:p w14:paraId="25EC02E8"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8,10%</w:t>
            </w:r>
          </w:p>
        </w:tc>
        <w:tc>
          <w:tcPr>
            <w:tcW w:w="698" w:type="pct"/>
            <w:tcBorders>
              <w:top w:val="nil"/>
              <w:left w:val="nil"/>
              <w:bottom w:val="nil"/>
              <w:right w:val="nil"/>
            </w:tcBorders>
            <w:noWrap/>
            <w:vAlign w:val="center"/>
            <w:hideMark/>
          </w:tcPr>
          <w:p w14:paraId="6A3841F0"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0,006</w:t>
            </w:r>
          </w:p>
        </w:tc>
      </w:tr>
      <w:tr w:rsidR="00232531" w:rsidRPr="00232531" w14:paraId="7F09A58D" w14:textId="77777777" w:rsidTr="00A93C1D">
        <w:trPr>
          <w:trHeight w:val="288"/>
        </w:trPr>
        <w:tc>
          <w:tcPr>
            <w:tcW w:w="1930" w:type="pct"/>
            <w:tcBorders>
              <w:top w:val="nil"/>
              <w:left w:val="nil"/>
              <w:bottom w:val="nil"/>
              <w:right w:val="nil"/>
            </w:tcBorders>
            <w:noWrap/>
            <w:vAlign w:val="center"/>
            <w:hideMark/>
          </w:tcPr>
          <w:p w14:paraId="2DD73094"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Blurred/Obscured Vision</w:t>
            </w:r>
          </w:p>
        </w:tc>
        <w:tc>
          <w:tcPr>
            <w:tcW w:w="1295" w:type="pct"/>
            <w:tcBorders>
              <w:top w:val="nil"/>
              <w:left w:val="nil"/>
              <w:bottom w:val="nil"/>
              <w:right w:val="nil"/>
            </w:tcBorders>
            <w:noWrap/>
            <w:vAlign w:val="center"/>
            <w:hideMark/>
          </w:tcPr>
          <w:p w14:paraId="336F7030"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0,00%</w:t>
            </w:r>
          </w:p>
        </w:tc>
        <w:tc>
          <w:tcPr>
            <w:tcW w:w="1077" w:type="pct"/>
            <w:tcBorders>
              <w:top w:val="nil"/>
              <w:left w:val="nil"/>
              <w:bottom w:val="nil"/>
              <w:right w:val="nil"/>
            </w:tcBorders>
            <w:noWrap/>
            <w:vAlign w:val="center"/>
            <w:hideMark/>
          </w:tcPr>
          <w:p w14:paraId="552FB3C8"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7,70%</w:t>
            </w:r>
          </w:p>
        </w:tc>
        <w:tc>
          <w:tcPr>
            <w:tcW w:w="698" w:type="pct"/>
            <w:tcBorders>
              <w:top w:val="nil"/>
              <w:left w:val="nil"/>
              <w:bottom w:val="nil"/>
              <w:right w:val="nil"/>
            </w:tcBorders>
            <w:noWrap/>
            <w:vAlign w:val="center"/>
            <w:hideMark/>
          </w:tcPr>
          <w:p w14:paraId="2210F166"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420BA6A9" w14:textId="77777777" w:rsidTr="00A93C1D">
        <w:trPr>
          <w:trHeight w:val="288"/>
        </w:trPr>
        <w:tc>
          <w:tcPr>
            <w:tcW w:w="1930" w:type="pct"/>
            <w:tcBorders>
              <w:top w:val="nil"/>
              <w:left w:val="nil"/>
              <w:bottom w:val="nil"/>
              <w:right w:val="nil"/>
            </w:tcBorders>
            <w:noWrap/>
            <w:vAlign w:val="center"/>
            <w:hideMark/>
          </w:tcPr>
          <w:p w14:paraId="302107B6"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Loss of Motor Coordination</w:t>
            </w:r>
          </w:p>
        </w:tc>
        <w:tc>
          <w:tcPr>
            <w:tcW w:w="1295" w:type="pct"/>
            <w:tcBorders>
              <w:top w:val="nil"/>
              <w:left w:val="nil"/>
              <w:bottom w:val="nil"/>
              <w:right w:val="nil"/>
            </w:tcBorders>
            <w:noWrap/>
            <w:vAlign w:val="center"/>
            <w:hideMark/>
          </w:tcPr>
          <w:p w14:paraId="7E31A3C2"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0,00%</w:t>
            </w:r>
          </w:p>
        </w:tc>
        <w:tc>
          <w:tcPr>
            <w:tcW w:w="1077" w:type="pct"/>
            <w:tcBorders>
              <w:top w:val="nil"/>
              <w:left w:val="nil"/>
              <w:bottom w:val="nil"/>
              <w:right w:val="nil"/>
            </w:tcBorders>
            <w:noWrap/>
            <w:vAlign w:val="center"/>
            <w:hideMark/>
          </w:tcPr>
          <w:p w14:paraId="51645717"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4,50%</w:t>
            </w:r>
          </w:p>
        </w:tc>
        <w:tc>
          <w:tcPr>
            <w:tcW w:w="698" w:type="pct"/>
            <w:tcBorders>
              <w:top w:val="nil"/>
              <w:left w:val="nil"/>
              <w:bottom w:val="nil"/>
              <w:right w:val="nil"/>
            </w:tcBorders>
            <w:noWrap/>
            <w:vAlign w:val="center"/>
            <w:hideMark/>
          </w:tcPr>
          <w:p w14:paraId="116DF2E3"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0,011</w:t>
            </w:r>
          </w:p>
        </w:tc>
      </w:tr>
      <w:tr w:rsidR="00232531" w:rsidRPr="00232531" w14:paraId="21093419" w14:textId="77777777" w:rsidTr="00A93C1D">
        <w:trPr>
          <w:trHeight w:val="300"/>
        </w:trPr>
        <w:tc>
          <w:tcPr>
            <w:tcW w:w="1930" w:type="pct"/>
            <w:tcBorders>
              <w:top w:val="nil"/>
              <w:left w:val="nil"/>
              <w:bottom w:val="single" w:sz="8" w:space="0" w:color="7F7F7F"/>
              <w:right w:val="nil"/>
            </w:tcBorders>
            <w:noWrap/>
            <w:vAlign w:val="center"/>
            <w:hideMark/>
          </w:tcPr>
          <w:p w14:paraId="54058413"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Hearing Loss</w:t>
            </w:r>
          </w:p>
        </w:tc>
        <w:tc>
          <w:tcPr>
            <w:tcW w:w="1295" w:type="pct"/>
            <w:tcBorders>
              <w:top w:val="nil"/>
              <w:left w:val="nil"/>
              <w:bottom w:val="single" w:sz="8" w:space="0" w:color="7F7F7F"/>
              <w:right w:val="nil"/>
            </w:tcBorders>
            <w:noWrap/>
            <w:vAlign w:val="center"/>
            <w:hideMark/>
          </w:tcPr>
          <w:p w14:paraId="72A8AF35"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0,00%</w:t>
            </w:r>
          </w:p>
        </w:tc>
        <w:tc>
          <w:tcPr>
            <w:tcW w:w="1077" w:type="pct"/>
            <w:tcBorders>
              <w:top w:val="nil"/>
              <w:left w:val="nil"/>
              <w:bottom w:val="single" w:sz="8" w:space="0" w:color="7F7F7F"/>
              <w:right w:val="nil"/>
            </w:tcBorders>
            <w:noWrap/>
            <w:vAlign w:val="center"/>
            <w:hideMark/>
          </w:tcPr>
          <w:p w14:paraId="4C566A15"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2,80%</w:t>
            </w:r>
          </w:p>
        </w:tc>
        <w:tc>
          <w:tcPr>
            <w:tcW w:w="698" w:type="pct"/>
            <w:tcBorders>
              <w:top w:val="nil"/>
              <w:left w:val="nil"/>
              <w:bottom w:val="single" w:sz="8" w:space="0" w:color="7F7F7F"/>
              <w:right w:val="nil"/>
            </w:tcBorders>
            <w:noWrap/>
            <w:vAlign w:val="center"/>
            <w:hideMark/>
          </w:tcPr>
          <w:p w14:paraId="2A307BC6"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0,044</w:t>
            </w:r>
          </w:p>
        </w:tc>
      </w:tr>
    </w:tbl>
    <w:p w14:paraId="4132F6F8" w14:textId="77777777" w:rsidR="00645472" w:rsidRDefault="00645472" w:rsidP="00645472">
      <w:pPr>
        <w:pStyle w:val="BodyText3"/>
        <w:tabs>
          <w:tab w:val="left" w:pos="1080"/>
        </w:tabs>
        <w:spacing w:after="0"/>
        <w:jc w:val="both"/>
        <w:rPr>
          <w:rFonts w:ascii="Arial" w:hAnsi="Arial"/>
          <w:b/>
          <w:sz w:val="20"/>
          <w:szCs w:val="20"/>
        </w:rPr>
      </w:pPr>
    </w:p>
    <w:p w14:paraId="5AA44537" w14:textId="628BE14D" w:rsidR="00645472" w:rsidRPr="00645472" w:rsidRDefault="00645472" w:rsidP="00645472">
      <w:pPr>
        <w:jc w:val="center"/>
        <w:rPr>
          <w:rFonts w:ascii="Arial" w:hAnsi="Arial" w:cs="Arial"/>
          <w:b/>
          <w:bCs/>
        </w:rPr>
      </w:pPr>
      <w:r w:rsidRPr="00A93C1D">
        <w:rPr>
          <w:rFonts w:ascii="Arial" w:hAnsi="Arial" w:cs="Arial"/>
          <w:b/>
          <w:bCs/>
        </w:rPr>
        <w:t xml:space="preserve">Table </w:t>
      </w:r>
      <w:r w:rsidR="002C1CE0">
        <w:rPr>
          <w:rFonts w:ascii="Arial" w:hAnsi="Arial" w:cs="Arial"/>
          <w:b/>
          <w:bCs/>
        </w:rPr>
        <w:t>3</w:t>
      </w:r>
      <w:r w:rsidRPr="00A93C1D">
        <w:rPr>
          <w:rFonts w:ascii="Arial" w:hAnsi="Arial" w:cs="Arial"/>
          <w:b/>
          <w:bCs/>
        </w:rPr>
        <w:t xml:space="preserve">. </w:t>
      </w:r>
      <w:r w:rsidRPr="00A31359">
        <w:rPr>
          <w:rFonts w:ascii="Arial" w:hAnsi="Arial" w:cs="Arial"/>
          <w:b/>
          <w:bCs/>
        </w:rPr>
        <w:t xml:space="preserve">Association between </w:t>
      </w:r>
      <w:r>
        <w:rPr>
          <w:rFonts w:ascii="Arial" w:hAnsi="Arial" w:cs="Arial"/>
          <w:b/>
          <w:bCs/>
        </w:rPr>
        <w:t>tinnitus</w:t>
      </w:r>
      <w:r w:rsidRPr="00A31359">
        <w:rPr>
          <w:rFonts w:ascii="Arial" w:hAnsi="Arial" w:cs="Arial"/>
          <w:b/>
          <w:bCs/>
        </w:rPr>
        <w:t xml:space="preserve"> and other variables</w:t>
      </w:r>
      <w:r>
        <w:rPr>
          <w:rFonts w:ascii="Arial" w:hAnsi="Arial" w:cs="Arial"/>
          <w:b/>
          <w:bCs/>
        </w:rPr>
        <w:t>.</w:t>
      </w:r>
    </w:p>
    <w:tbl>
      <w:tblPr>
        <w:tblW w:w="5000" w:type="pct"/>
        <w:tblCellMar>
          <w:left w:w="70" w:type="dxa"/>
          <w:right w:w="70" w:type="dxa"/>
        </w:tblCellMar>
        <w:tblLook w:val="04A0" w:firstRow="1" w:lastRow="0" w:firstColumn="1" w:lastColumn="0" w:noHBand="0" w:noVBand="1"/>
      </w:tblPr>
      <w:tblGrid>
        <w:gridCol w:w="3968"/>
        <w:gridCol w:w="1551"/>
        <w:gridCol w:w="1415"/>
        <w:gridCol w:w="1414"/>
      </w:tblGrid>
      <w:tr w:rsidR="00645472" w:rsidRPr="00232531" w14:paraId="768176F7" w14:textId="77777777" w:rsidTr="00645472">
        <w:trPr>
          <w:trHeight w:val="300"/>
        </w:trPr>
        <w:tc>
          <w:tcPr>
            <w:tcW w:w="2397" w:type="pct"/>
            <w:tcBorders>
              <w:top w:val="single" w:sz="8" w:space="0" w:color="7F7F7F"/>
              <w:left w:val="nil"/>
              <w:bottom w:val="single" w:sz="8" w:space="0" w:color="7F7F7F"/>
              <w:right w:val="nil"/>
            </w:tcBorders>
            <w:noWrap/>
            <w:vAlign w:val="center"/>
            <w:hideMark/>
          </w:tcPr>
          <w:p w14:paraId="5E7D5F5F"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Symptom Assessed</w:t>
            </w:r>
          </w:p>
        </w:tc>
        <w:tc>
          <w:tcPr>
            <w:tcW w:w="868" w:type="pct"/>
            <w:tcBorders>
              <w:top w:val="single" w:sz="8" w:space="0" w:color="7F7F7F"/>
              <w:left w:val="nil"/>
              <w:bottom w:val="single" w:sz="8" w:space="0" w:color="7F7F7F"/>
              <w:right w:val="nil"/>
            </w:tcBorders>
            <w:noWrap/>
            <w:vAlign w:val="center"/>
            <w:hideMark/>
          </w:tcPr>
          <w:p w14:paraId="0AC0A9D7"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No tinnitus (%)</w:t>
            </w:r>
          </w:p>
        </w:tc>
        <w:tc>
          <w:tcPr>
            <w:tcW w:w="868" w:type="pct"/>
            <w:tcBorders>
              <w:top w:val="single" w:sz="8" w:space="0" w:color="7F7F7F"/>
              <w:left w:val="nil"/>
              <w:bottom w:val="single" w:sz="8" w:space="0" w:color="7F7F7F"/>
              <w:right w:val="nil"/>
            </w:tcBorders>
            <w:noWrap/>
            <w:vAlign w:val="center"/>
            <w:hideMark/>
          </w:tcPr>
          <w:p w14:paraId="1C4046EB"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Tinnitus (%)</w:t>
            </w:r>
          </w:p>
        </w:tc>
        <w:tc>
          <w:tcPr>
            <w:tcW w:w="868" w:type="pct"/>
            <w:tcBorders>
              <w:top w:val="single" w:sz="8" w:space="0" w:color="7F7F7F"/>
              <w:left w:val="nil"/>
              <w:bottom w:val="single" w:sz="8" w:space="0" w:color="7F7F7F"/>
              <w:right w:val="nil"/>
            </w:tcBorders>
            <w:noWrap/>
            <w:vAlign w:val="center"/>
            <w:hideMark/>
          </w:tcPr>
          <w:p w14:paraId="68ED667B" w14:textId="458AF74D" w:rsidR="00645472" w:rsidRPr="00232531" w:rsidRDefault="00232531" w:rsidP="00645472">
            <w:pPr>
              <w:jc w:val="center"/>
              <w:rPr>
                <w:rFonts w:ascii="Arial" w:hAnsi="Arial" w:cs="Arial"/>
                <w:b/>
                <w:bCs/>
                <w:color w:val="1F1F1F"/>
                <w:lang w:val="pt-BR" w:eastAsia="pt-BR"/>
              </w:rPr>
            </w:pPr>
            <w:r w:rsidRPr="00232531">
              <w:rPr>
                <w:rFonts w:ascii="Arial" w:hAnsi="Arial" w:cs="Arial"/>
                <w:b/>
                <w:bCs/>
                <w:color w:val="1F1F1F"/>
                <w:lang w:val="pt-BR" w:eastAsia="pt-BR"/>
              </w:rPr>
              <w:t>P-v</w:t>
            </w:r>
            <w:r w:rsidR="00645472" w:rsidRPr="00232531">
              <w:rPr>
                <w:rFonts w:ascii="Arial" w:hAnsi="Arial" w:cs="Arial"/>
                <w:b/>
                <w:bCs/>
                <w:color w:val="1F1F1F"/>
                <w:lang w:val="pt-BR" w:eastAsia="pt-BR"/>
              </w:rPr>
              <w:t>alue</w:t>
            </w:r>
          </w:p>
        </w:tc>
      </w:tr>
      <w:tr w:rsidR="00645472" w:rsidRPr="00232531" w14:paraId="5BFAF1C0" w14:textId="77777777" w:rsidTr="00645472">
        <w:trPr>
          <w:trHeight w:val="288"/>
        </w:trPr>
        <w:tc>
          <w:tcPr>
            <w:tcW w:w="2397" w:type="pct"/>
            <w:tcBorders>
              <w:top w:val="nil"/>
              <w:left w:val="nil"/>
              <w:bottom w:val="nil"/>
              <w:right w:val="nil"/>
            </w:tcBorders>
            <w:noWrap/>
            <w:vAlign w:val="center"/>
            <w:hideMark/>
          </w:tcPr>
          <w:p w14:paraId="5FBDCC5A"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Physical fatigue</w:t>
            </w:r>
          </w:p>
        </w:tc>
        <w:tc>
          <w:tcPr>
            <w:tcW w:w="868" w:type="pct"/>
            <w:tcBorders>
              <w:top w:val="nil"/>
              <w:left w:val="nil"/>
              <w:bottom w:val="nil"/>
              <w:right w:val="nil"/>
            </w:tcBorders>
            <w:noWrap/>
            <w:vAlign w:val="center"/>
            <w:hideMark/>
          </w:tcPr>
          <w:p w14:paraId="0F5584D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51,60%</w:t>
            </w:r>
          </w:p>
        </w:tc>
        <w:tc>
          <w:tcPr>
            <w:tcW w:w="868" w:type="pct"/>
            <w:tcBorders>
              <w:top w:val="nil"/>
              <w:left w:val="nil"/>
              <w:bottom w:val="nil"/>
              <w:right w:val="nil"/>
            </w:tcBorders>
            <w:noWrap/>
            <w:vAlign w:val="center"/>
            <w:hideMark/>
          </w:tcPr>
          <w:p w14:paraId="5ED523E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92,50%</w:t>
            </w:r>
          </w:p>
        </w:tc>
        <w:tc>
          <w:tcPr>
            <w:tcW w:w="868" w:type="pct"/>
            <w:tcBorders>
              <w:top w:val="nil"/>
              <w:left w:val="nil"/>
              <w:bottom w:val="nil"/>
              <w:right w:val="nil"/>
            </w:tcBorders>
            <w:noWrap/>
            <w:vAlign w:val="center"/>
            <w:hideMark/>
          </w:tcPr>
          <w:p w14:paraId="31CE8CC3"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4C9A4B20" w14:textId="77777777" w:rsidTr="00645472">
        <w:trPr>
          <w:trHeight w:val="288"/>
        </w:trPr>
        <w:tc>
          <w:tcPr>
            <w:tcW w:w="2397" w:type="pct"/>
            <w:tcBorders>
              <w:top w:val="nil"/>
              <w:left w:val="nil"/>
              <w:bottom w:val="nil"/>
              <w:right w:val="nil"/>
            </w:tcBorders>
            <w:noWrap/>
            <w:vAlign w:val="center"/>
            <w:hideMark/>
          </w:tcPr>
          <w:p w14:paraId="45193595"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Headache</w:t>
            </w:r>
          </w:p>
        </w:tc>
        <w:tc>
          <w:tcPr>
            <w:tcW w:w="868" w:type="pct"/>
            <w:tcBorders>
              <w:top w:val="nil"/>
              <w:left w:val="nil"/>
              <w:bottom w:val="nil"/>
              <w:right w:val="nil"/>
            </w:tcBorders>
            <w:noWrap/>
            <w:vAlign w:val="center"/>
            <w:hideMark/>
          </w:tcPr>
          <w:p w14:paraId="73295F0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47,70%</w:t>
            </w:r>
          </w:p>
        </w:tc>
        <w:tc>
          <w:tcPr>
            <w:tcW w:w="868" w:type="pct"/>
            <w:tcBorders>
              <w:top w:val="nil"/>
              <w:left w:val="nil"/>
              <w:bottom w:val="nil"/>
              <w:right w:val="nil"/>
            </w:tcBorders>
            <w:noWrap/>
            <w:vAlign w:val="center"/>
            <w:hideMark/>
          </w:tcPr>
          <w:p w14:paraId="152EAD5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81,40%</w:t>
            </w:r>
          </w:p>
        </w:tc>
        <w:tc>
          <w:tcPr>
            <w:tcW w:w="868" w:type="pct"/>
            <w:tcBorders>
              <w:top w:val="nil"/>
              <w:left w:val="nil"/>
              <w:bottom w:val="nil"/>
              <w:right w:val="nil"/>
            </w:tcBorders>
            <w:noWrap/>
            <w:vAlign w:val="center"/>
            <w:hideMark/>
          </w:tcPr>
          <w:p w14:paraId="3ABBAAF5"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22BC5B9D" w14:textId="77777777" w:rsidTr="00645472">
        <w:trPr>
          <w:trHeight w:val="288"/>
        </w:trPr>
        <w:tc>
          <w:tcPr>
            <w:tcW w:w="2397" w:type="pct"/>
            <w:tcBorders>
              <w:top w:val="nil"/>
              <w:left w:val="nil"/>
              <w:bottom w:val="nil"/>
              <w:right w:val="nil"/>
            </w:tcBorders>
            <w:noWrap/>
            <w:vAlign w:val="center"/>
            <w:hideMark/>
          </w:tcPr>
          <w:p w14:paraId="5640E776"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Fever</w:t>
            </w:r>
          </w:p>
        </w:tc>
        <w:tc>
          <w:tcPr>
            <w:tcW w:w="868" w:type="pct"/>
            <w:tcBorders>
              <w:top w:val="nil"/>
              <w:left w:val="nil"/>
              <w:bottom w:val="nil"/>
              <w:right w:val="nil"/>
            </w:tcBorders>
            <w:noWrap/>
            <w:vAlign w:val="center"/>
            <w:hideMark/>
          </w:tcPr>
          <w:p w14:paraId="12FC75BB"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32,50%</w:t>
            </w:r>
          </w:p>
        </w:tc>
        <w:tc>
          <w:tcPr>
            <w:tcW w:w="868" w:type="pct"/>
            <w:tcBorders>
              <w:top w:val="nil"/>
              <w:left w:val="nil"/>
              <w:bottom w:val="nil"/>
              <w:right w:val="nil"/>
            </w:tcBorders>
            <w:noWrap/>
            <w:vAlign w:val="center"/>
            <w:hideMark/>
          </w:tcPr>
          <w:p w14:paraId="7A3D54EE"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70,30%</w:t>
            </w:r>
          </w:p>
        </w:tc>
        <w:tc>
          <w:tcPr>
            <w:tcW w:w="868" w:type="pct"/>
            <w:tcBorders>
              <w:top w:val="nil"/>
              <w:left w:val="nil"/>
              <w:bottom w:val="nil"/>
              <w:right w:val="nil"/>
            </w:tcBorders>
            <w:noWrap/>
            <w:vAlign w:val="center"/>
            <w:hideMark/>
          </w:tcPr>
          <w:p w14:paraId="1DF0320A"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17297DE0" w14:textId="77777777" w:rsidTr="00645472">
        <w:trPr>
          <w:trHeight w:val="288"/>
        </w:trPr>
        <w:tc>
          <w:tcPr>
            <w:tcW w:w="2397" w:type="pct"/>
            <w:tcBorders>
              <w:top w:val="nil"/>
              <w:left w:val="nil"/>
              <w:bottom w:val="nil"/>
              <w:right w:val="nil"/>
            </w:tcBorders>
            <w:noWrap/>
            <w:vAlign w:val="center"/>
            <w:hideMark/>
          </w:tcPr>
          <w:p w14:paraId="2F134F6E"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Shortness of breathe</w:t>
            </w:r>
          </w:p>
        </w:tc>
        <w:tc>
          <w:tcPr>
            <w:tcW w:w="868" w:type="pct"/>
            <w:tcBorders>
              <w:top w:val="nil"/>
              <w:left w:val="nil"/>
              <w:bottom w:val="nil"/>
              <w:right w:val="nil"/>
            </w:tcBorders>
            <w:noWrap/>
            <w:vAlign w:val="center"/>
            <w:hideMark/>
          </w:tcPr>
          <w:p w14:paraId="12DB0E0C"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34,40%</w:t>
            </w:r>
          </w:p>
        </w:tc>
        <w:tc>
          <w:tcPr>
            <w:tcW w:w="868" w:type="pct"/>
            <w:tcBorders>
              <w:top w:val="nil"/>
              <w:left w:val="nil"/>
              <w:bottom w:val="nil"/>
              <w:right w:val="nil"/>
            </w:tcBorders>
            <w:noWrap/>
            <w:vAlign w:val="center"/>
            <w:hideMark/>
          </w:tcPr>
          <w:p w14:paraId="78B6A917"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66,60%</w:t>
            </w:r>
          </w:p>
        </w:tc>
        <w:tc>
          <w:tcPr>
            <w:tcW w:w="868" w:type="pct"/>
            <w:tcBorders>
              <w:top w:val="nil"/>
              <w:left w:val="nil"/>
              <w:bottom w:val="nil"/>
              <w:right w:val="nil"/>
            </w:tcBorders>
            <w:noWrap/>
            <w:vAlign w:val="center"/>
            <w:hideMark/>
          </w:tcPr>
          <w:p w14:paraId="1281C32E"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6D4A5E1A" w14:textId="77777777" w:rsidTr="00645472">
        <w:trPr>
          <w:trHeight w:val="288"/>
        </w:trPr>
        <w:tc>
          <w:tcPr>
            <w:tcW w:w="2397" w:type="pct"/>
            <w:tcBorders>
              <w:top w:val="nil"/>
              <w:left w:val="nil"/>
              <w:bottom w:val="nil"/>
              <w:right w:val="nil"/>
            </w:tcBorders>
            <w:noWrap/>
            <w:vAlign w:val="center"/>
            <w:hideMark/>
          </w:tcPr>
          <w:p w14:paraId="2DCEBCC3"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Emotional Exhaustion</w:t>
            </w:r>
          </w:p>
        </w:tc>
        <w:tc>
          <w:tcPr>
            <w:tcW w:w="868" w:type="pct"/>
            <w:tcBorders>
              <w:top w:val="nil"/>
              <w:left w:val="nil"/>
              <w:bottom w:val="nil"/>
              <w:right w:val="nil"/>
            </w:tcBorders>
            <w:noWrap/>
            <w:vAlign w:val="center"/>
            <w:hideMark/>
          </w:tcPr>
          <w:p w14:paraId="6F2C5C2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19,10%</w:t>
            </w:r>
          </w:p>
        </w:tc>
        <w:tc>
          <w:tcPr>
            <w:tcW w:w="868" w:type="pct"/>
            <w:tcBorders>
              <w:top w:val="nil"/>
              <w:left w:val="nil"/>
              <w:bottom w:val="nil"/>
              <w:right w:val="nil"/>
            </w:tcBorders>
            <w:noWrap/>
            <w:vAlign w:val="center"/>
            <w:hideMark/>
          </w:tcPr>
          <w:p w14:paraId="13D74F48"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66,60%</w:t>
            </w:r>
          </w:p>
        </w:tc>
        <w:tc>
          <w:tcPr>
            <w:tcW w:w="868" w:type="pct"/>
            <w:tcBorders>
              <w:top w:val="nil"/>
              <w:left w:val="nil"/>
              <w:bottom w:val="nil"/>
              <w:right w:val="nil"/>
            </w:tcBorders>
            <w:noWrap/>
            <w:vAlign w:val="center"/>
            <w:hideMark/>
          </w:tcPr>
          <w:p w14:paraId="46094935"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0C48EAEF" w14:textId="77777777" w:rsidTr="00645472">
        <w:trPr>
          <w:trHeight w:val="288"/>
        </w:trPr>
        <w:tc>
          <w:tcPr>
            <w:tcW w:w="2397" w:type="pct"/>
            <w:tcBorders>
              <w:top w:val="nil"/>
              <w:left w:val="nil"/>
              <w:bottom w:val="nil"/>
              <w:right w:val="nil"/>
            </w:tcBorders>
            <w:noWrap/>
            <w:vAlign w:val="center"/>
            <w:hideMark/>
          </w:tcPr>
          <w:p w14:paraId="59090235"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Loss of smell/taste</w:t>
            </w:r>
          </w:p>
        </w:tc>
        <w:tc>
          <w:tcPr>
            <w:tcW w:w="868" w:type="pct"/>
            <w:tcBorders>
              <w:top w:val="nil"/>
              <w:left w:val="nil"/>
              <w:bottom w:val="nil"/>
              <w:right w:val="nil"/>
            </w:tcBorders>
            <w:noWrap/>
            <w:vAlign w:val="center"/>
            <w:hideMark/>
          </w:tcPr>
          <w:p w14:paraId="49A68159"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21,10%</w:t>
            </w:r>
          </w:p>
        </w:tc>
        <w:tc>
          <w:tcPr>
            <w:tcW w:w="868" w:type="pct"/>
            <w:tcBorders>
              <w:top w:val="nil"/>
              <w:left w:val="nil"/>
              <w:bottom w:val="nil"/>
              <w:right w:val="nil"/>
            </w:tcBorders>
            <w:noWrap/>
            <w:vAlign w:val="center"/>
            <w:hideMark/>
          </w:tcPr>
          <w:p w14:paraId="13BD01DC"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62,90%</w:t>
            </w:r>
          </w:p>
        </w:tc>
        <w:tc>
          <w:tcPr>
            <w:tcW w:w="868" w:type="pct"/>
            <w:tcBorders>
              <w:top w:val="nil"/>
              <w:left w:val="nil"/>
              <w:bottom w:val="nil"/>
              <w:right w:val="nil"/>
            </w:tcBorders>
            <w:noWrap/>
            <w:vAlign w:val="center"/>
            <w:hideMark/>
          </w:tcPr>
          <w:p w14:paraId="54FD162F"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2B43D6A1" w14:textId="77777777" w:rsidTr="00645472">
        <w:trPr>
          <w:trHeight w:val="288"/>
        </w:trPr>
        <w:tc>
          <w:tcPr>
            <w:tcW w:w="2397" w:type="pct"/>
            <w:tcBorders>
              <w:top w:val="nil"/>
              <w:left w:val="nil"/>
              <w:bottom w:val="nil"/>
              <w:right w:val="nil"/>
            </w:tcBorders>
            <w:noWrap/>
            <w:vAlign w:val="center"/>
            <w:hideMark/>
          </w:tcPr>
          <w:p w14:paraId="64698ED7"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Nausea or Vomiting</w:t>
            </w:r>
          </w:p>
        </w:tc>
        <w:tc>
          <w:tcPr>
            <w:tcW w:w="868" w:type="pct"/>
            <w:tcBorders>
              <w:top w:val="nil"/>
              <w:left w:val="nil"/>
              <w:bottom w:val="nil"/>
              <w:right w:val="nil"/>
            </w:tcBorders>
            <w:noWrap/>
            <w:vAlign w:val="center"/>
            <w:hideMark/>
          </w:tcPr>
          <w:p w14:paraId="4099BAE7"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12,70%</w:t>
            </w:r>
          </w:p>
        </w:tc>
        <w:tc>
          <w:tcPr>
            <w:tcW w:w="868" w:type="pct"/>
            <w:tcBorders>
              <w:top w:val="nil"/>
              <w:left w:val="nil"/>
              <w:bottom w:val="nil"/>
              <w:right w:val="nil"/>
            </w:tcBorders>
            <w:noWrap/>
            <w:vAlign w:val="center"/>
            <w:hideMark/>
          </w:tcPr>
          <w:p w14:paraId="64A3FFDD"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48,10%</w:t>
            </w:r>
          </w:p>
        </w:tc>
        <w:tc>
          <w:tcPr>
            <w:tcW w:w="868" w:type="pct"/>
            <w:tcBorders>
              <w:top w:val="nil"/>
              <w:left w:val="nil"/>
              <w:bottom w:val="nil"/>
              <w:right w:val="nil"/>
            </w:tcBorders>
            <w:noWrap/>
            <w:vAlign w:val="center"/>
            <w:hideMark/>
          </w:tcPr>
          <w:p w14:paraId="029BBA39"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6DD6DCB8" w14:textId="77777777" w:rsidTr="00645472">
        <w:trPr>
          <w:trHeight w:val="288"/>
        </w:trPr>
        <w:tc>
          <w:tcPr>
            <w:tcW w:w="2397" w:type="pct"/>
            <w:tcBorders>
              <w:top w:val="nil"/>
              <w:left w:val="nil"/>
              <w:bottom w:val="nil"/>
              <w:right w:val="nil"/>
            </w:tcBorders>
            <w:noWrap/>
            <w:vAlign w:val="center"/>
            <w:hideMark/>
          </w:tcPr>
          <w:p w14:paraId="648DA1A0"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Memory Loss</w:t>
            </w:r>
          </w:p>
        </w:tc>
        <w:tc>
          <w:tcPr>
            <w:tcW w:w="868" w:type="pct"/>
            <w:tcBorders>
              <w:top w:val="nil"/>
              <w:left w:val="nil"/>
              <w:bottom w:val="nil"/>
              <w:right w:val="nil"/>
            </w:tcBorders>
            <w:noWrap/>
            <w:vAlign w:val="center"/>
            <w:hideMark/>
          </w:tcPr>
          <w:p w14:paraId="287E5E6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12,70%</w:t>
            </w:r>
          </w:p>
        </w:tc>
        <w:tc>
          <w:tcPr>
            <w:tcW w:w="868" w:type="pct"/>
            <w:tcBorders>
              <w:top w:val="nil"/>
              <w:left w:val="nil"/>
              <w:bottom w:val="nil"/>
              <w:right w:val="nil"/>
            </w:tcBorders>
            <w:noWrap/>
            <w:vAlign w:val="center"/>
            <w:hideMark/>
          </w:tcPr>
          <w:p w14:paraId="12F76E4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40,70%</w:t>
            </w:r>
          </w:p>
        </w:tc>
        <w:tc>
          <w:tcPr>
            <w:tcW w:w="868" w:type="pct"/>
            <w:tcBorders>
              <w:top w:val="nil"/>
              <w:left w:val="nil"/>
              <w:bottom w:val="nil"/>
              <w:right w:val="nil"/>
            </w:tcBorders>
            <w:noWrap/>
            <w:vAlign w:val="center"/>
            <w:hideMark/>
          </w:tcPr>
          <w:p w14:paraId="394D843D"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183E25BA" w14:textId="77777777" w:rsidTr="00645472">
        <w:trPr>
          <w:trHeight w:val="288"/>
        </w:trPr>
        <w:tc>
          <w:tcPr>
            <w:tcW w:w="2397" w:type="pct"/>
            <w:tcBorders>
              <w:top w:val="nil"/>
              <w:left w:val="nil"/>
              <w:bottom w:val="nil"/>
              <w:right w:val="nil"/>
            </w:tcBorders>
            <w:noWrap/>
            <w:vAlign w:val="center"/>
            <w:hideMark/>
          </w:tcPr>
          <w:p w14:paraId="66DE6066"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Loss of Balance</w:t>
            </w:r>
          </w:p>
        </w:tc>
        <w:tc>
          <w:tcPr>
            <w:tcW w:w="868" w:type="pct"/>
            <w:tcBorders>
              <w:top w:val="nil"/>
              <w:left w:val="nil"/>
              <w:bottom w:val="nil"/>
              <w:right w:val="nil"/>
            </w:tcBorders>
            <w:noWrap/>
            <w:vAlign w:val="center"/>
            <w:hideMark/>
          </w:tcPr>
          <w:p w14:paraId="7C25161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2,20%</w:t>
            </w:r>
          </w:p>
        </w:tc>
        <w:tc>
          <w:tcPr>
            <w:tcW w:w="868" w:type="pct"/>
            <w:tcBorders>
              <w:top w:val="nil"/>
              <w:left w:val="nil"/>
              <w:bottom w:val="nil"/>
              <w:right w:val="nil"/>
            </w:tcBorders>
            <w:noWrap/>
            <w:vAlign w:val="center"/>
            <w:hideMark/>
          </w:tcPr>
          <w:p w14:paraId="35CCBBC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40,70%</w:t>
            </w:r>
          </w:p>
        </w:tc>
        <w:tc>
          <w:tcPr>
            <w:tcW w:w="868" w:type="pct"/>
            <w:tcBorders>
              <w:top w:val="nil"/>
              <w:left w:val="nil"/>
              <w:bottom w:val="nil"/>
              <w:right w:val="nil"/>
            </w:tcBorders>
            <w:noWrap/>
            <w:vAlign w:val="center"/>
            <w:hideMark/>
          </w:tcPr>
          <w:p w14:paraId="0A4BC7D6"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4B6F3213" w14:textId="77777777" w:rsidTr="00645472">
        <w:trPr>
          <w:trHeight w:val="288"/>
        </w:trPr>
        <w:tc>
          <w:tcPr>
            <w:tcW w:w="2397" w:type="pct"/>
            <w:tcBorders>
              <w:top w:val="nil"/>
              <w:left w:val="nil"/>
              <w:bottom w:val="nil"/>
              <w:right w:val="nil"/>
            </w:tcBorders>
            <w:noWrap/>
            <w:vAlign w:val="center"/>
            <w:hideMark/>
          </w:tcPr>
          <w:p w14:paraId="233A00E7"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Blurred/Obscured Vision</w:t>
            </w:r>
          </w:p>
        </w:tc>
        <w:tc>
          <w:tcPr>
            <w:tcW w:w="868" w:type="pct"/>
            <w:tcBorders>
              <w:top w:val="nil"/>
              <w:left w:val="nil"/>
              <w:bottom w:val="nil"/>
              <w:right w:val="nil"/>
            </w:tcBorders>
            <w:noWrap/>
            <w:vAlign w:val="center"/>
            <w:hideMark/>
          </w:tcPr>
          <w:p w14:paraId="03415778"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3,60%</w:t>
            </w:r>
          </w:p>
        </w:tc>
        <w:tc>
          <w:tcPr>
            <w:tcW w:w="868" w:type="pct"/>
            <w:tcBorders>
              <w:top w:val="nil"/>
              <w:left w:val="nil"/>
              <w:bottom w:val="nil"/>
              <w:right w:val="nil"/>
            </w:tcBorders>
            <w:noWrap/>
            <w:vAlign w:val="center"/>
            <w:hideMark/>
          </w:tcPr>
          <w:p w14:paraId="7CC536E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33,30%</w:t>
            </w:r>
          </w:p>
        </w:tc>
        <w:tc>
          <w:tcPr>
            <w:tcW w:w="868" w:type="pct"/>
            <w:tcBorders>
              <w:top w:val="nil"/>
              <w:left w:val="nil"/>
              <w:bottom w:val="nil"/>
              <w:right w:val="nil"/>
            </w:tcBorders>
            <w:noWrap/>
            <w:vAlign w:val="center"/>
            <w:hideMark/>
          </w:tcPr>
          <w:p w14:paraId="34D7875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6E5661C0" w14:textId="77777777" w:rsidTr="00645472">
        <w:trPr>
          <w:trHeight w:val="288"/>
        </w:trPr>
        <w:tc>
          <w:tcPr>
            <w:tcW w:w="2397" w:type="pct"/>
            <w:tcBorders>
              <w:top w:val="nil"/>
              <w:left w:val="nil"/>
              <w:bottom w:val="nil"/>
              <w:right w:val="nil"/>
            </w:tcBorders>
            <w:noWrap/>
            <w:vAlign w:val="center"/>
            <w:hideMark/>
          </w:tcPr>
          <w:p w14:paraId="03E0E237"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Loss of Motor Coordination</w:t>
            </w:r>
          </w:p>
        </w:tc>
        <w:tc>
          <w:tcPr>
            <w:tcW w:w="868" w:type="pct"/>
            <w:tcBorders>
              <w:top w:val="nil"/>
              <w:left w:val="nil"/>
              <w:bottom w:val="nil"/>
              <w:right w:val="nil"/>
            </w:tcBorders>
            <w:noWrap/>
            <w:vAlign w:val="center"/>
            <w:hideMark/>
          </w:tcPr>
          <w:p w14:paraId="65530D4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0,50%</w:t>
            </w:r>
          </w:p>
        </w:tc>
        <w:tc>
          <w:tcPr>
            <w:tcW w:w="868" w:type="pct"/>
            <w:tcBorders>
              <w:top w:val="nil"/>
              <w:left w:val="nil"/>
              <w:bottom w:val="nil"/>
              <w:right w:val="nil"/>
            </w:tcBorders>
            <w:noWrap/>
            <w:vAlign w:val="center"/>
            <w:hideMark/>
          </w:tcPr>
          <w:p w14:paraId="3E305613"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18,50%</w:t>
            </w:r>
          </w:p>
        </w:tc>
        <w:tc>
          <w:tcPr>
            <w:tcW w:w="868" w:type="pct"/>
            <w:tcBorders>
              <w:top w:val="nil"/>
              <w:left w:val="nil"/>
              <w:bottom w:val="nil"/>
              <w:right w:val="nil"/>
            </w:tcBorders>
            <w:noWrap/>
            <w:vAlign w:val="center"/>
            <w:hideMark/>
          </w:tcPr>
          <w:p w14:paraId="5F62DA1D"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2F13E487" w14:textId="77777777" w:rsidTr="00645472">
        <w:trPr>
          <w:trHeight w:val="300"/>
        </w:trPr>
        <w:tc>
          <w:tcPr>
            <w:tcW w:w="2397" w:type="pct"/>
            <w:tcBorders>
              <w:top w:val="nil"/>
              <w:left w:val="nil"/>
              <w:bottom w:val="single" w:sz="8" w:space="0" w:color="7F7F7F"/>
              <w:right w:val="nil"/>
            </w:tcBorders>
            <w:noWrap/>
            <w:vAlign w:val="center"/>
            <w:hideMark/>
          </w:tcPr>
          <w:p w14:paraId="02F0ED14"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Hearing Loss</w:t>
            </w:r>
          </w:p>
        </w:tc>
        <w:tc>
          <w:tcPr>
            <w:tcW w:w="868" w:type="pct"/>
            <w:tcBorders>
              <w:top w:val="nil"/>
              <w:left w:val="nil"/>
              <w:bottom w:val="single" w:sz="8" w:space="0" w:color="7F7F7F"/>
              <w:right w:val="nil"/>
            </w:tcBorders>
            <w:noWrap/>
            <w:vAlign w:val="center"/>
            <w:hideMark/>
          </w:tcPr>
          <w:p w14:paraId="6FC3C226"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1,90%</w:t>
            </w:r>
          </w:p>
        </w:tc>
        <w:tc>
          <w:tcPr>
            <w:tcW w:w="868" w:type="pct"/>
            <w:tcBorders>
              <w:top w:val="nil"/>
              <w:left w:val="nil"/>
              <w:bottom w:val="single" w:sz="8" w:space="0" w:color="7F7F7F"/>
              <w:right w:val="nil"/>
            </w:tcBorders>
            <w:noWrap/>
            <w:vAlign w:val="center"/>
            <w:hideMark/>
          </w:tcPr>
          <w:p w14:paraId="43FC1A40"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14,80%</w:t>
            </w:r>
          </w:p>
        </w:tc>
        <w:tc>
          <w:tcPr>
            <w:tcW w:w="868" w:type="pct"/>
            <w:tcBorders>
              <w:top w:val="nil"/>
              <w:left w:val="nil"/>
              <w:bottom w:val="single" w:sz="8" w:space="0" w:color="7F7F7F"/>
              <w:right w:val="nil"/>
            </w:tcBorders>
            <w:noWrap/>
            <w:vAlign w:val="center"/>
            <w:hideMark/>
          </w:tcPr>
          <w:p w14:paraId="3987F02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bl>
    <w:p w14:paraId="0E503AD1" w14:textId="77777777" w:rsidR="00A93C1D" w:rsidRDefault="00A93C1D" w:rsidP="00B93B39">
      <w:pPr>
        <w:pStyle w:val="BodyText3"/>
        <w:tabs>
          <w:tab w:val="left" w:pos="1080"/>
        </w:tabs>
        <w:spacing w:after="0"/>
        <w:jc w:val="both"/>
        <w:rPr>
          <w:rFonts w:ascii="Arial" w:hAnsi="Arial"/>
          <w:b/>
          <w:sz w:val="20"/>
          <w:szCs w:val="20"/>
        </w:rPr>
      </w:pPr>
    </w:p>
    <w:p w14:paraId="0B55AF24" w14:textId="77777777" w:rsidR="00A76751" w:rsidRPr="00A76751" w:rsidRDefault="00A76751" w:rsidP="00A76751">
      <w:pPr>
        <w:pStyle w:val="BodyText3"/>
        <w:tabs>
          <w:tab w:val="left" w:pos="1080"/>
        </w:tabs>
        <w:jc w:val="both"/>
        <w:rPr>
          <w:rFonts w:ascii="Arial" w:hAnsi="Arial"/>
          <w:b/>
          <w:bCs/>
          <w:sz w:val="20"/>
          <w:szCs w:val="20"/>
        </w:rPr>
      </w:pPr>
      <w:r w:rsidRPr="00A76751">
        <w:rPr>
          <w:rFonts w:ascii="Arial" w:hAnsi="Arial"/>
          <w:b/>
          <w:bCs/>
          <w:sz w:val="20"/>
          <w:szCs w:val="20"/>
        </w:rPr>
        <w:t>3.2 Discussion</w:t>
      </w:r>
    </w:p>
    <w:p w14:paraId="712CB0A5" w14:textId="77777777" w:rsidR="00A76751" w:rsidRPr="00A76751" w:rsidRDefault="00A76751" w:rsidP="00A76751">
      <w:pPr>
        <w:pStyle w:val="BodyText3"/>
        <w:tabs>
          <w:tab w:val="left" w:pos="1080"/>
        </w:tabs>
        <w:jc w:val="both"/>
        <w:rPr>
          <w:rFonts w:ascii="Arial" w:hAnsi="Arial"/>
          <w:sz w:val="20"/>
          <w:szCs w:val="20"/>
        </w:rPr>
      </w:pPr>
      <w:r w:rsidRPr="00A76751">
        <w:rPr>
          <w:rFonts w:ascii="Arial" w:hAnsi="Arial"/>
          <w:sz w:val="20"/>
          <w:szCs w:val="20"/>
        </w:rPr>
        <w:t xml:space="preserve">Our findings corroborate recent international literature, which classifies </w:t>
      </w:r>
      <w:proofErr w:type="spellStart"/>
      <w:r w:rsidRPr="00A76751">
        <w:rPr>
          <w:rFonts w:ascii="Arial" w:hAnsi="Arial"/>
          <w:sz w:val="20"/>
          <w:szCs w:val="20"/>
        </w:rPr>
        <w:t>otoneurological</w:t>
      </w:r>
      <w:proofErr w:type="spellEnd"/>
      <w:r w:rsidRPr="00A76751">
        <w:rPr>
          <w:rFonts w:ascii="Arial" w:hAnsi="Arial"/>
          <w:sz w:val="20"/>
          <w:szCs w:val="20"/>
        </w:rPr>
        <w:t xml:space="preserve"> dysfunctions as significant sequelae of SARS-CoV-2 infection. Population-based studies have demonstrated that prior COVID-19 infection significantly increases the risk of developing peripheral vestibular and auditory conditions, including benign paroxysmal positional vertigo, vestibular neuritis, sudden sensorineural hearing loss, and tinnitus ⁸'⁹. The high prevalence of dizziness found in our post-infection sample, and its strong association with visual and kinetic symptoms, has also been reported in recent surveys pointing to vertigo as one of the most frequent and disabling neurological complaints following recovery from the acute phase of the disease ¹⁰.</w:t>
      </w:r>
    </w:p>
    <w:p w14:paraId="5A81AF76" w14:textId="77777777" w:rsidR="00A76751" w:rsidRPr="00A76751" w:rsidRDefault="00A76751" w:rsidP="00A76751">
      <w:pPr>
        <w:pStyle w:val="BodyText3"/>
        <w:tabs>
          <w:tab w:val="left" w:pos="1080"/>
        </w:tabs>
        <w:jc w:val="both"/>
        <w:rPr>
          <w:rFonts w:ascii="Arial" w:hAnsi="Arial"/>
          <w:sz w:val="20"/>
          <w:szCs w:val="20"/>
        </w:rPr>
      </w:pPr>
      <w:r w:rsidRPr="00A76751">
        <w:rPr>
          <w:rFonts w:ascii="Arial" w:hAnsi="Arial"/>
          <w:sz w:val="20"/>
          <w:szCs w:val="20"/>
        </w:rPr>
        <w:lastRenderedPageBreak/>
        <w:t>The pathophysiological justification for the involvement of the vestibular and auditory systems is based on the neurotropism of SARS-CoV-2 and subsequent neuroinflammation. Investigations of human inner ear tissue have proven that hair cells and Schwann cells abundantly express angiotensin-converting enzyme 2 (ACE2) receptors, as well as proteases, which are mandatory cofactors for viral entry into the cell ³. This direct viral invasion of the labyrinthine cells and cranial nerves provides an explanation for the pathophysiological mechanics and direct damage to inner ear structures.</w:t>
      </w:r>
    </w:p>
    <w:p w14:paraId="3C353615" w14:textId="77777777" w:rsidR="00A76751" w:rsidRPr="00A76751" w:rsidRDefault="00A76751" w:rsidP="00A76751">
      <w:pPr>
        <w:pStyle w:val="BodyText3"/>
        <w:tabs>
          <w:tab w:val="left" w:pos="1080"/>
        </w:tabs>
        <w:jc w:val="both"/>
        <w:rPr>
          <w:rFonts w:ascii="Arial" w:hAnsi="Arial"/>
          <w:sz w:val="20"/>
          <w:szCs w:val="20"/>
        </w:rPr>
      </w:pPr>
      <w:r w:rsidRPr="00A76751">
        <w:rPr>
          <w:rFonts w:ascii="Arial" w:hAnsi="Arial"/>
          <w:sz w:val="20"/>
          <w:szCs w:val="20"/>
        </w:rPr>
        <w:t>Additionally, the statistically significant association found in our study between vestibular symptoms (dizziness and tinnitus) and perceptual and cognitive alterations (such as memory loss and blurred vision) suggests the involvement of the central nervous system. Studies indicate that post-infectious inflammation of nervous tissue affects not only peripheral cranial nerves, such as the vestibulocochlear nerve, but can also dysregulate central pathways for balance processing, causing imbalance and dizziness to manifest as symptoms of prolonged neuroinflammation ⁹'¹⁰.</w:t>
      </w:r>
    </w:p>
    <w:p w14:paraId="606892E7" w14:textId="77777777" w:rsidR="00A76751" w:rsidRPr="00A76751" w:rsidRDefault="00A76751" w:rsidP="00A76751">
      <w:pPr>
        <w:pStyle w:val="BodyText3"/>
        <w:tabs>
          <w:tab w:val="left" w:pos="1080"/>
        </w:tabs>
        <w:jc w:val="both"/>
        <w:rPr>
          <w:rFonts w:ascii="Arial" w:hAnsi="Arial"/>
          <w:sz w:val="20"/>
          <w:szCs w:val="20"/>
        </w:rPr>
      </w:pPr>
      <w:r w:rsidRPr="00A76751">
        <w:rPr>
          <w:rFonts w:ascii="Arial" w:hAnsi="Arial"/>
          <w:sz w:val="20"/>
          <w:szCs w:val="20"/>
        </w:rPr>
        <w:t xml:space="preserve">A finding of particular relevance in the present study is the high prevalence of </w:t>
      </w:r>
      <w:proofErr w:type="spellStart"/>
      <w:r w:rsidRPr="00A76751">
        <w:rPr>
          <w:rFonts w:ascii="Arial" w:hAnsi="Arial"/>
          <w:sz w:val="20"/>
          <w:szCs w:val="20"/>
        </w:rPr>
        <w:t>otoneurological</w:t>
      </w:r>
      <w:proofErr w:type="spellEnd"/>
      <w:r w:rsidRPr="00A76751">
        <w:rPr>
          <w:rFonts w:ascii="Arial" w:hAnsi="Arial"/>
          <w:sz w:val="20"/>
          <w:szCs w:val="20"/>
        </w:rPr>
        <w:t xml:space="preserve"> symptoms in an eminently young sample (mean age of 24.9 years). Historically, vestibular dysfunctions and tinnitus present a higher incidence in older age groups. However, post-COVID-19 syndrome (Long COVID) has broken this clinical paradigm. Corroborating our results, a recent epidemiological survey conducted by Xia et al. ¹¹ demonstrated that individuals under 30 years of age showed a significantly higher susceptibility to developing persistent tinnitus after infection. Similarly, Jaber et al. ¹², evaluating a cohort with a mean age of 27, identified dizziness (26%) and hearing loss as highly disabling prolonged symptoms, strongly associated with severe fatigue—a systemic pattern that accurately mimics the statistical associations (dizziness and physical fatigue) found in our sample.</w:t>
      </w:r>
    </w:p>
    <w:p w14:paraId="26D88881" w14:textId="77777777" w:rsidR="00A76751" w:rsidRPr="00A76751" w:rsidRDefault="00A76751" w:rsidP="00A76751">
      <w:pPr>
        <w:pStyle w:val="BodyText3"/>
        <w:tabs>
          <w:tab w:val="left" w:pos="1080"/>
        </w:tabs>
        <w:jc w:val="both"/>
        <w:rPr>
          <w:rFonts w:ascii="Arial" w:hAnsi="Arial"/>
          <w:sz w:val="20"/>
          <w:szCs w:val="20"/>
        </w:rPr>
      </w:pPr>
      <w:r w:rsidRPr="00A76751">
        <w:rPr>
          <w:rFonts w:ascii="Arial" w:hAnsi="Arial"/>
          <w:sz w:val="20"/>
          <w:szCs w:val="20"/>
        </w:rPr>
        <w:t xml:space="preserve">Furthermore, it is crucial to contextualize these findings regarding the vaccination status of the studied population, as all participants received the COVID-19 immunization schedule. Although the literature categorically states that vaccination substantially reduces the risk of hospitalization and the overall severity of post-COVID-19 syndrome ¹³, our data evidence that immunization does not absolutely block the development of neuroinflammatory sequelae after breakthrough infections. Recent studies confirm that, even in vaccinated cohorts, a significant portion of patients continues to report persistent residual symptoms, such as chronic fatigue and </w:t>
      </w:r>
      <w:proofErr w:type="spellStart"/>
      <w:r w:rsidRPr="00A76751">
        <w:rPr>
          <w:rFonts w:ascii="Arial" w:hAnsi="Arial"/>
          <w:sz w:val="20"/>
          <w:szCs w:val="20"/>
        </w:rPr>
        <w:t>otoneurological</w:t>
      </w:r>
      <w:proofErr w:type="spellEnd"/>
      <w:r w:rsidRPr="00A76751">
        <w:rPr>
          <w:rFonts w:ascii="Arial" w:hAnsi="Arial"/>
          <w:sz w:val="20"/>
          <w:szCs w:val="20"/>
        </w:rPr>
        <w:t xml:space="preserve"> deficits, months after the acute phase of the disease ¹⁴. This reinforces the hypothesis that the trigger for dizziness and tinnitus does not derive primarily from an adverse and transient response to the vaccine, but rather from structural damage caused by direct viral invasion, requiring continuous clinical monitoring.</w:t>
      </w:r>
    </w:p>
    <w:p w14:paraId="5BF97582" w14:textId="77777777" w:rsidR="00A76751" w:rsidRPr="00A76751" w:rsidRDefault="00A76751" w:rsidP="00A76751">
      <w:pPr>
        <w:pStyle w:val="BodyText3"/>
        <w:tabs>
          <w:tab w:val="left" w:pos="1080"/>
        </w:tabs>
        <w:jc w:val="both"/>
        <w:rPr>
          <w:rFonts w:ascii="Arial" w:hAnsi="Arial"/>
          <w:sz w:val="20"/>
          <w:szCs w:val="20"/>
        </w:rPr>
      </w:pPr>
      <w:r w:rsidRPr="00A76751">
        <w:rPr>
          <w:rFonts w:ascii="Arial" w:hAnsi="Arial"/>
          <w:sz w:val="20"/>
          <w:szCs w:val="20"/>
        </w:rPr>
        <w:t>In this context, the findings of the present study are of extreme importance for the planning and construction of public health interventions in Brazil, especially within the scope of the Unified Health System (SUS). The high prevalence of persistent vestibular symptoms in the community demands a restructuring of post-COVID-19 care lines, evidencing that assistance should not be restricted solely to cardiopulmonary rehabilitation. Contemporary international literature highlights the urgency of implementing primary and specialized care models that integrate active screening and early rehabilitation for neurosensory disorders ¹⁵. The structuring of multidisciplinary protocols directed at the integrated management of dizziness, tinnitus, and associated fatigue is essential to mitigate the prolonged socioeconomic impact of the infection, preventing chronic functional disability and promoting the return to work and quality of life for the affected population ¹⁶.</w:t>
      </w:r>
    </w:p>
    <w:p w14:paraId="5FA5DD27" w14:textId="11FDDD0D" w:rsidR="00E053D0" w:rsidRPr="005B20EA" w:rsidRDefault="00A76751" w:rsidP="005B20EA">
      <w:pPr>
        <w:pStyle w:val="BodyText3"/>
        <w:tabs>
          <w:tab w:val="left" w:pos="1080"/>
        </w:tabs>
        <w:jc w:val="both"/>
        <w:rPr>
          <w:rFonts w:ascii="Arial" w:hAnsi="Arial"/>
          <w:sz w:val="20"/>
          <w:szCs w:val="20"/>
        </w:rPr>
      </w:pPr>
      <w:r w:rsidRPr="00A76751">
        <w:rPr>
          <w:rFonts w:ascii="Arial" w:hAnsi="Arial"/>
          <w:sz w:val="20"/>
          <w:szCs w:val="20"/>
        </w:rPr>
        <w:t xml:space="preserve">Regarding prognosis, longitudinal evidence indicates that </w:t>
      </w:r>
      <w:proofErr w:type="spellStart"/>
      <w:r w:rsidRPr="00A76751">
        <w:rPr>
          <w:rFonts w:ascii="Arial" w:hAnsi="Arial"/>
          <w:sz w:val="20"/>
          <w:szCs w:val="20"/>
        </w:rPr>
        <w:t>otoneurological</w:t>
      </w:r>
      <w:proofErr w:type="spellEnd"/>
      <w:r w:rsidRPr="00A76751">
        <w:rPr>
          <w:rFonts w:ascii="Arial" w:hAnsi="Arial"/>
          <w:sz w:val="20"/>
          <w:szCs w:val="20"/>
        </w:rPr>
        <w:t xml:space="preserve"> manifestations of post-COVID-19 syndrome frequently take on a chronic and fluctuating character. Complaints of dizziness, tinnitus, and fatigue can persist for months or even years after the acute infection, establishing a framework of prolonged disability that delays the individual's return </w:t>
      </w:r>
      <w:r w:rsidRPr="00A76751">
        <w:rPr>
          <w:rFonts w:ascii="Arial" w:hAnsi="Arial"/>
          <w:sz w:val="20"/>
          <w:szCs w:val="20"/>
        </w:rPr>
        <w:lastRenderedPageBreak/>
        <w:t xml:space="preserve">to routine activities ¹⁷. From a health management perspective, the chronicity of this condition projects an alarming economic challenge for the SUS. The transition of COVID-19 from an acute emergency to a chronic morbidity generates a continuous demand for specialized medical consultations, high-cost complementary exams, and, fundamentally, months of vestibular and motor rehabilitation. The impact on Brazilian public health costs is aggravated not only by the increase in direct expenditures but also by indirect costs associated with workplace absenteeism and loss of productivity of the population affected by </w:t>
      </w:r>
      <w:proofErr w:type="spellStart"/>
      <w:r w:rsidRPr="00A76751">
        <w:rPr>
          <w:rFonts w:ascii="Arial" w:hAnsi="Arial"/>
          <w:sz w:val="20"/>
          <w:szCs w:val="20"/>
        </w:rPr>
        <w:t>otoneurological</w:t>
      </w:r>
      <w:proofErr w:type="spellEnd"/>
      <w:r w:rsidRPr="00A76751">
        <w:rPr>
          <w:rFonts w:ascii="Arial" w:hAnsi="Arial"/>
          <w:sz w:val="20"/>
          <w:szCs w:val="20"/>
        </w:rPr>
        <w:t xml:space="preserve"> sequelae ¹⁸.</w:t>
      </w:r>
    </w:p>
    <w:p w14:paraId="79220E8F" w14:textId="77777777" w:rsidR="00790ADA" w:rsidRPr="00FB3A86" w:rsidRDefault="00790ADA" w:rsidP="00441B6F">
      <w:pPr>
        <w:pStyle w:val="Body"/>
        <w:spacing w:after="0"/>
        <w:rPr>
          <w:rFonts w:ascii="Arial" w:hAnsi="Arial" w:cs="Arial"/>
        </w:rPr>
      </w:pPr>
    </w:p>
    <w:p w14:paraId="461B10FB" w14:textId="7CF31EC1"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920687" w14:textId="54F8E279" w:rsidR="00790ADA" w:rsidRPr="00FB3A86" w:rsidRDefault="00CD7A11" w:rsidP="003844F1">
      <w:pPr>
        <w:pStyle w:val="Body"/>
        <w:rPr>
          <w:rFonts w:ascii="Arial" w:hAnsi="Arial" w:cs="Arial"/>
        </w:rPr>
      </w:pPr>
      <w:r w:rsidRPr="00CD7A11">
        <w:rPr>
          <w:rFonts w:ascii="Arial" w:hAnsi="Arial" w:cs="Arial"/>
        </w:rPr>
        <w:t xml:space="preserve">In conclusion, the results demonstrate that COVID-19 has a significant and multifactorial impact on the vestibular system, showing a strong association with symptoms such as dizziness, loss of balance, and tinnitus. The intrinsic interrelationship between these </w:t>
      </w:r>
      <w:proofErr w:type="spellStart"/>
      <w:r w:rsidRPr="00CD7A11">
        <w:rPr>
          <w:rFonts w:ascii="Arial" w:hAnsi="Arial" w:cs="Arial"/>
        </w:rPr>
        <w:t>otoneurological</w:t>
      </w:r>
      <w:proofErr w:type="spellEnd"/>
      <w:r w:rsidRPr="00CD7A11">
        <w:rPr>
          <w:rFonts w:ascii="Arial" w:hAnsi="Arial" w:cs="Arial"/>
        </w:rPr>
        <w:t xml:space="preserve"> complaints and systemic and cognitive symptoms reinforces the hypothesis of virus-induced tissue damage and neuroinflammation. These findings highlight the need for a multidisciplinary clinical approach involving physicians, physical therapists, and speech-language pathologists for the comprehensive screening, assessment, and rehabilitation of post-COVID-19 sequelae in the population.</w:t>
      </w:r>
    </w:p>
    <w:p w14:paraId="6123FB25" w14:textId="77777777" w:rsidR="003844F1" w:rsidRPr="003844F1" w:rsidRDefault="003844F1" w:rsidP="003844F1">
      <w:pPr>
        <w:pStyle w:val="Body"/>
        <w:spacing w:after="0"/>
        <w:rPr>
          <w:rFonts w:ascii="Arial" w:hAnsi="Arial" w:cs="Arial"/>
        </w:rPr>
      </w:pPr>
      <w:bookmarkStart w:id="0" w:name="_GoBack"/>
      <w:bookmarkEnd w:id="0"/>
    </w:p>
    <w:p w14:paraId="3AE0868B" w14:textId="77777777" w:rsidR="00A91914" w:rsidRDefault="00A91914" w:rsidP="00441B6F">
      <w:pPr>
        <w:pStyle w:val="ReferHead"/>
        <w:spacing w:after="0"/>
        <w:jc w:val="both"/>
        <w:rPr>
          <w:rFonts w:ascii="Arial" w:hAnsi="Arial" w:cs="Arial"/>
          <w:b w:val="0"/>
          <w:caps w:val="0"/>
          <w:sz w:val="20"/>
        </w:rPr>
      </w:pPr>
    </w:p>
    <w:p w14:paraId="7406219C" w14:textId="25409D55" w:rsidR="00A91914" w:rsidRPr="00A91914" w:rsidRDefault="00A91914" w:rsidP="00441B6F">
      <w:pPr>
        <w:pStyle w:val="ReferHead"/>
        <w:spacing w:after="0"/>
        <w:jc w:val="both"/>
        <w:rPr>
          <w:rFonts w:ascii="Arial" w:hAnsi="Arial" w:cs="Arial"/>
          <w:bCs/>
          <w:caps w:val="0"/>
          <w:szCs w:val="22"/>
        </w:rPr>
      </w:pPr>
      <w:r w:rsidRPr="00A91914">
        <w:rPr>
          <w:rFonts w:ascii="Arial" w:hAnsi="Arial" w:cs="Arial"/>
          <w:bCs/>
          <w:caps w:val="0"/>
          <w:szCs w:val="22"/>
        </w:rPr>
        <w:t>ETHICAL APPROVAL</w:t>
      </w:r>
    </w:p>
    <w:p w14:paraId="355EB9FF" w14:textId="77777777" w:rsidR="00A91914" w:rsidRDefault="00A91914" w:rsidP="00441B6F">
      <w:pPr>
        <w:pStyle w:val="ReferHead"/>
        <w:spacing w:after="0"/>
        <w:jc w:val="both"/>
        <w:rPr>
          <w:rFonts w:ascii="Arial" w:hAnsi="Arial" w:cs="Arial"/>
          <w:b w:val="0"/>
          <w:caps w:val="0"/>
          <w:sz w:val="20"/>
        </w:rPr>
      </w:pPr>
      <w:r w:rsidRPr="00A91914">
        <w:rPr>
          <w:rFonts w:ascii="Arial" w:hAnsi="Arial" w:cs="Arial"/>
          <w:b w:val="0"/>
          <w:caps w:val="0"/>
          <w:sz w:val="20"/>
        </w:rPr>
        <w:t>The study was approved by the Research Ethics Committee under opinion No. 6,836,934 and CAAE No. 78904324.9.0000.5498. All experiments and procedures involving human participants were performed in accordance with the ethical standards laid down in the 1964 Declaration of Helsinki and its later amendments or comparable ethical standards.</w:t>
      </w:r>
    </w:p>
    <w:p w14:paraId="79459C41" w14:textId="77777777" w:rsidR="00A91914" w:rsidRDefault="00A91914" w:rsidP="00441B6F">
      <w:pPr>
        <w:pStyle w:val="ReferHead"/>
        <w:spacing w:after="0"/>
        <w:jc w:val="both"/>
        <w:rPr>
          <w:rFonts w:ascii="Arial" w:hAnsi="Arial" w:cs="Arial"/>
          <w:b w:val="0"/>
          <w:caps w:val="0"/>
          <w:sz w:val="20"/>
        </w:rPr>
      </w:pPr>
    </w:p>
    <w:p w14:paraId="0006843D" w14:textId="77777777" w:rsidR="00B34CE8" w:rsidRPr="00B34CE8" w:rsidRDefault="00A91914" w:rsidP="00441B6F">
      <w:pPr>
        <w:pStyle w:val="ReferHead"/>
        <w:spacing w:after="0"/>
        <w:jc w:val="both"/>
        <w:rPr>
          <w:rFonts w:ascii="Arial" w:hAnsi="Arial" w:cs="Arial"/>
          <w:bCs/>
          <w:caps w:val="0"/>
          <w:sz w:val="20"/>
        </w:rPr>
      </w:pPr>
      <w:r w:rsidRPr="00B34CE8">
        <w:rPr>
          <w:rFonts w:ascii="Arial" w:hAnsi="Arial" w:cs="Arial"/>
          <w:bCs/>
          <w:caps w:val="0"/>
          <w:sz w:val="20"/>
        </w:rPr>
        <w:t>CONSENT</w:t>
      </w:r>
    </w:p>
    <w:p w14:paraId="3372A571" w14:textId="323A4219" w:rsidR="00A91914" w:rsidRDefault="00A91914" w:rsidP="00441B6F">
      <w:pPr>
        <w:pStyle w:val="ReferHead"/>
        <w:spacing w:after="0"/>
        <w:jc w:val="both"/>
        <w:rPr>
          <w:rFonts w:ascii="Arial" w:hAnsi="Arial" w:cs="Arial"/>
          <w:b w:val="0"/>
          <w:caps w:val="0"/>
          <w:sz w:val="20"/>
        </w:rPr>
      </w:pPr>
      <w:r w:rsidRPr="00A91914">
        <w:rPr>
          <w:rFonts w:ascii="Arial" w:hAnsi="Arial" w:cs="Arial"/>
          <w:b w:val="0"/>
          <w:caps w:val="0"/>
          <w:sz w:val="20"/>
        </w:rPr>
        <w:t xml:space="preserve">All participants were required to read and provide their written Informed Consent (TCLE - </w:t>
      </w:r>
      <w:proofErr w:type="spellStart"/>
      <w:r w:rsidRPr="00A91914">
        <w:rPr>
          <w:rFonts w:ascii="Arial" w:hAnsi="Arial" w:cs="Arial"/>
          <w:b w:val="0"/>
          <w:caps w:val="0"/>
          <w:sz w:val="20"/>
        </w:rPr>
        <w:t>Termo</w:t>
      </w:r>
      <w:proofErr w:type="spellEnd"/>
      <w:r w:rsidRPr="00A91914">
        <w:rPr>
          <w:rFonts w:ascii="Arial" w:hAnsi="Arial" w:cs="Arial"/>
          <w:b w:val="0"/>
          <w:caps w:val="0"/>
          <w:sz w:val="20"/>
        </w:rPr>
        <w:t xml:space="preserve"> de </w:t>
      </w:r>
      <w:proofErr w:type="spellStart"/>
      <w:r w:rsidRPr="00A91914">
        <w:rPr>
          <w:rFonts w:ascii="Arial" w:hAnsi="Arial" w:cs="Arial"/>
          <w:b w:val="0"/>
          <w:caps w:val="0"/>
          <w:sz w:val="20"/>
        </w:rPr>
        <w:t>Consentimento</w:t>
      </w:r>
      <w:proofErr w:type="spellEnd"/>
      <w:r w:rsidRPr="00A91914">
        <w:rPr>
          <w:rFonts w:ascii="Arial" w:hAnsi="Arial" w:cs="Arial"/>
          <w:b w:val="0"/>
          <w:caps w:val="0"/>
          <w:sz w:val="20"/>
        </w:rPr>
        <w:t xml:space="preserve"> Livre e </w:t>
      </w:r>
      <w:proofErr w:type="spellStart"/>
      <w:r w:rsidRPr="00A91914">
        <w:rPr>
          <w:rFonts w:ascii="Arial" w:hAnsi="Arial" w:cs="Arial"/>
          <w:b w:val="0"/>
          <w:caps w:val="0"/>
          <w:sz w:val="20"/>
        </w:rPr>
        <w:t>Esclarecido</w:t>
      </w:r>
      <w:proofErr w:type="spellEnd"/>
      <w:r w:rsidRPr="00A91914">
        <w:rPr>
          <w:rFonts w:ascii="Arial" w:hAnsi="Arial" w:cs="Arial"/>
          <w:b w:val="0"/>
          <w:caps w:val="0"/>
          <w:sz w:val="20"/>
        </w:rPr>
        <w:t>) before participating in the study. The authors declare that written informed consent was obtained from all individual participants included in the study.</w:t>
      </w:r>
    </w:p>
    <w:p w14:paraId="57C38652" w14:textId="77777777" w:rsidR="00AA15EF" w:rsidRDefault="00AA15EF" w:rsidP="00441B6F">
      <w:pPr>
        <w:pStyle w:val="ReferHead"/>
        <w:spacing w:after="0"/>
        <w:jc w:val="both"/>
        <w:rPr>
          <w:rFonts w:ascii="Arial" w:hAnsi="Arial" w:cs="Arial"/>
          <w:b w:val="0"/>
          <w:caps w:val="0"/>
          <w:sz w:val="20"/>
        </w:rPr>
      </w:pPr>
    </w:p>
    <w:p w14:paraId="677BD19D" w14:textId="77777777" w:rsidR="00AA15EF" w:rsidRDefault="00AA15EF" w:rsidP="00441B6F">
      <w:pPr>
        <w:pStyle w:val="ReferHead"/>
        <w:spacing w:after="0"/>
        <w:jc w:val="both"/>
        <w:rPr>
          <w:rFonts w:ascii="Arial" w:hAnsi="Arial" w:cs="Arial"/>
          <w:b w:val="0"/>
          <w:caps w:val="0"/>
          <w:sz w:val="20"/>
        </w:rPr>
      </w:pPr>
    </w:p>
    <w:p w14:paraId="3817271A" w14:textId="77777777" w:rsidR="00AA15EF" w:rsidRPr="00AA15EF" w:rsidRDefault="00AA15EF" w:rsidP="00AA15EF">
      <w:pPr>
        <w:pStyle w:val="ReferHead"/>
        <w:jc w:val="both"/>
        <w:rPr>
          <w:rFonts w:ascii="Arial" w:hAnsi="Arial" w:cs="Arial"/>
          <w:b w:val="0"/>
          <w:caps w:val="0"/>
          <w:sz w:val="20"/>
        </w:rPr>
      </w:pPr>
      <w:r w:rsidRPr="00AA15EF">
        <w:rPr>
          <w:rFonts w:ascii="Arial" w:hAnsi="Arial" w:cs="Arial"/>
          <w:b w:val="0"/>
          <w:caps w:val="0"/>
          <w:sz w:val="20"/>
        </w:rPr>
        <w:t>COMPETING INTERESTS DISCLAIMER:</w:t>
      </w:r>
    </w:p>
    <w:p w14:paraId="08D15087" w14:textId="6B43D6CD" w:rsidR="00AA15EF" w:rsidRPr="00A91914" w:rsidRDefault="00AA15EF" w:rsidP="00AA15EF">
      <w:pPr>
        <w:pStyle w:val="ReferHead"/>
        <w:spacing w:after="0"/>
        <w:jc w:val="both"/>
        <w:rPr>
          <w:rFonts w:ascii="Arial" w:hAnsi="Arial" w:cs="Arial"/>
          <w:b w:val="0"/>
          <w:caps w:val="0"/>
          <w:sz w:val="20"/>
        </w:rPr>
      </w:pPr>
      <w:r w:rsidRPr="00AA15E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CDC93C9" w14:textId="77777777" w:rsidR="005C784C" w:rsidRPr="00A91914" w:rsidRDefault="005C784C" w:rsidP="00441B6F">
      <w:pPr>
        <w:pStyle w:val="ReferHead"/>
        <w:spacing w:after="0"/>
        <w:jc w:val="both"/>
        <w:rPr>
          <w:rFonts w:ascii="Arial" w:hAnsi="Arial" w:cs="Arial"/>
          <w:b w:val="0"/>
          <w:caps w:val="0"/>
          <w:sz w:val="20"/>
        </w:rPr>
      </w:pPr>
    </w:p>
    <w:p w14:paraId="0AC91C47" w14:textId="43061FD9"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3606D6E3" w14:textId="77777777" w:rsidR="00D212B6" w:rsidRPr="00EC21ED" w:rsidRDefault="00D212B6" w:rsidP="00D212B6">
      <w:pPr>
        <w:spacing w:before="240"/>
        <w:jc w:val="both"/>
        <w:rPr>
          <w:rFonts w:ascii="Arial" w:hAnsi="Arial" w:cs="Arial"/>
        </w:rPr>
      </w:pPr>
      <w:r w:rsidRPr="00EC21ED">
        <w:rPr>
          <w:rFonts w:ascii="Arial" w:hAnsi="Arial" w:cs="Arial"/>
        </w:rPr>
        <w:t xml:space="preserve">1. </w:t>
      </w:r>
      <w:proofErr w:type="spellStart"/>
      <w:r w:rsidRPr="00EC21ED">
        <w:rPr>
          <w:rFonts w:ascii="Arial" w:hAnsi="Arial" w:cs="Arial"/>
        </w:rPr>
        <w:t>Berlot</w:t>
      </w:r>
      <w:proofErr w:type="spellEnd"/>
      <w:r w:rsidRPr="00EC21ED">
        <w:rPr>
          <w:rFonts w:ascii="Arial" w:hAnsi="Arial" w:cs="Arial"/>
        </w:rPr>
        <w:t xml:space="preserve"> AA, Moskowitz HS, Lin J, Liu J, </w:t>
      </w:r>
      <w:proofErr w:type="spellStart"/>
      <w:r w:rsidRPr="00EC21ED">
        <w:rPr>
          <w:rFonts w:ascii="Arial" w:hAnsi="Arial" w:cs="Arial"/>
        </w:rPr>
        <w:t>Sehanobish</w:t>
      </w:r>
      <w:proofErr w:type="spellEnd"/>
      <w:r w:rsidRPr="00EC21ED">
        <w:rPr>
          <w:rFonts w:ascii="Arial" w:hAnsi="Arial" w:cs="Arial"/>
        </w:rPr>
        <w:t xml:space="preserve"> E, </w:t>
      </w:r>
      <w:proofErr w:type="spellStart"/>
      <w:r w:rsidRPr="00EC21ED">
        <w:rPr>
          <w:rFonts w:ascii="Arial" w:hAnsi="Arial" w:cs="Arial"/>
        </w:rPr>
        <w:t>Jerschow</w:t>
      </w:r>
      <w:proofErr w:type="spellEnd"/>
      <w:r w:rsidRPr="00EC21ED">
        <w:rPr>
          <w:rFonts w:ascii="Arial" w:hAnsi="Arial" w:cs="Arial"/>
        </w:rPr>
        <w:t xml:space="preserve"> E, et al. Acute and Longer-Term Effects of COVID-19 on Auditory and Vestibular Symptoms. </w:t>
      </w:r>
      <w:proofErr w:type="spellStart"/>
      <w:r w:rsidRPr="00EC21ED">
        <w:rPr>
          <w:rFonts w:ascii="Arial" w:hAnsi="Arial" w:cs="Arial"/>
        </w:rPr>
        <w:t>Otol</w:t>
      </w:r>
      <w:proofErr w:type="spellEnd"/>
      <w:r w:rsidRPr="00EC21ED">
        <w:rPr>
          <w:rFonts w:ascii="Arial" w:hAnsi="Arial" w:cs="Arial"/>
        </w:rPr>
        <w:t xml:space="preserve"> </w:t>
      </w:r>
      <w:proofErr w:type="spellStart"/>
      <w:r w:rsidRPr="00EC21ED">
        <w:rPr>
          <w:rFonts w:ascii="Arial" w:hAnsi="Arial" w:cs="Arial"/>
        </w:rPr>
        <w:t>Neurotol</w:t>
      </w:r>
      <w:proofErr w:type="spellEnd"/>
      <w:r w:rsidRPr="00EC21ED">
        <w:rPr>
          <w:rFonts w:ascii="Arial" w:hAnsi="Arial" w:cs="Arial"/>
        </w:rPr>
        <w:t xml:space="preserve">. 2023 Dec 1;44(10):1100-1105. </w:t>
      </w:r>
      <w:hyperlink r:id="rId14" w:tgtFrame="_blank" w:history="1">
        <w:r w:rsidRPr="00EC21ED">
          <w:rPr>
            <w:rStyle w:val="Hyperlink"/>
            <w:rFonts w:ascii="Arial" w:hAnsi="Arial" w:cs="Arial"/>
          </w:rPr>
          <w:t>https://pubmed.ncbi.nlm.nih.gov/37758317/</w:t>
        </w:r>
      </w:hyperlink>
    </w:p>
    <w:p w14:paraId="3F6E9A82" w14:textId="77777777" w:rsidR="00D212B6" w:rsidRPr="00EC21ED" w:rsidRDefault="00D212B6" w:rsidP="00D212B6">
      <w:pPr>
        <w:spacing w:before="240"/>
        <w:jc w:val="both"/>
        <w:rPr>
          <w:rFonts w:ascii="Arial" w:hAnsi="Arial" w:cs="Arial"/>
        </w:rPr>
      </w:pPr>
      <w:r w:rsidRPr="00EC21ED">
        <w:rPr>
          <w:rFonts w:ascii="Arial" w:hAnsi="Arial" w:cs="Arial"/>
        </w:rPr>
        <w:t xml:space="preserve">2. Jafari Z, Kolb BE, Mohajerani MH. Hearing Loss, Tinnitus, and Dizziness in COVID-19: A Systematic Review and Meta-Analysis. Can J Neurol Sci. 2022 Mar;49(2):184-195. </w:t>
      </w:r>
      <w:hyperlink r:id="rId15" w:tgtFrame="_blank" w:history="1">
        <w:r w:rsidRPr="00EC21ED">
          <w:rPr>
            <w:rStyle w:val="Hyperlink"/>
            <w:rFonts w:ascii="Arial" w:hAnsi="Arial" w:cs="Arial"/>
          </w:rPr>
          <w:t>https://pubmed.ncbi.nlm.nih.gov/33843530/</w:t>
        </w:r>
      </w:hyperlink>
    </w:p>
    <w:p w14:paraId="112A311D" w14:textId="77777777" w:rsidR="00D212B6" w:rsidRPr="00EC21ED" w:rsidRDefault="00D212B6" w:rsidP="00D212B6">
      <w:pPr>
        <w:spacing w:before="240"/>
        <w:jc w:val="both"/>
        <w:rPr>
          <w:rFonts w:ascii="Arial" w:hAnsi="Arial" w:cs="Arial"/>
        </w:rPr>
      </w:pPr>
      <w:r w:rsidRPr="00EC21ED">
        <w:rPr>
          <w:rFonts w:ascii="Arial" w:hAnsi="Arial" w:cs="Arial"/>
        </w:rPr>
        <w:lastRenderedPageBreak/>
        <w:t xml:space="preserve">3. </w:t>
      </w:r>
      <w:proofErr w:type="spellStart"/>
      <w:r w:rsidRPr="00EC21ED">
        <w:rPr>
          <w:rFonts w:ascii="Arial" w:hAnsi="Arial" w:cs="Arial"/>
        </w:rPr>
        <w:t>Jeong</w:t>
      </w:r>
      <w:proofErr w:type="spellEnd"/>
      <w:r w:rsidRPr="00EC21ED">
        <w:rPr>
          <w:rFonts w:ascii="Arial" w:hAnsi="Arial" w:cs="Arial"/>
        </w:rPr>
        <w:t xml:space="preserve"> M, </w:t>
      </w:r>
      <w:proofErr w:type="spellStart"/>
      <w:r w:rsidRPr="00EC21ED">
        <w:rPr>
          <w:rFonts w:ascii="Arial" w:hAnsi="Arial" w:cs="Arial"/>
        </w:rPr>
        <w:t>Ocwieja</w:t>
      </w:r>
      <w:proofErr w:type="spellEnd"/>
      <w:r w:rsidRPr="00EC21ED">
        <w:rPr>
          <w:rFonts w:ascii="Arial" w:hAnsi="Arial" w:cs="Arial"/>
        </w:rPr>
        <w:t xml:space="preserve"> KE, Han D, </w:t>
      </w:r>
      <w:proofErr w:type="spellStart"/>
      <w:r w:rsidRPr="00EC21ED">
        <w:rPr>
          <w:rFonts w:ascii="Arial" w:hAnsi="Arial" w:cs="Arial"/>
        </w:rPr>
        <w:t>Wackym</w:t>
      </w:r>
      <w:proofErr w:type="spellEnd"/>
      <w:r w:rsidRPr="00EC21ED">
        <w:rPr>
          <w:rFonts w:ascii="Arial" w:hAnsi="Arial" w:cs="Arial"/>
        </w:rPr>
        <w:t xml:space="preserve"> PA, Zhang Y, Brown A, et al. Direct SARS-CoV-2 infection of the human inner ear may underlie COVID-19-associated </w:t>
      </w:r>
      <w:proofErr w:type="spellStart"/>
      <w:r w:rsidRPr="00EC21ED">
        <w:rPr>
          <w:rFonts w:ascii="Arial" w:hAnsi="Arial" w:cs="Arial"/>
        </w:rPr>
        <w:t>audiovestibular</w:t>
      </w:r>
      <w:proofErr w:type="spellEnd"/>
      <w:r w:rsidRPr="00EC21ED">
        <w:rPr>
          <w:rFonts w:ascii="Arial" w:hAnsi="Arial" w:cs="Arial"/>
        </w:rPr>
        <w:t xml:space="preserve"> dysfunction. Commun Med (Lond). 2021;1(1):44. </w:t>
      </w:r>
      <w:hyperlink r:id="rId16" w:tgtFrame="_blank" w:history="1">
        <w:r w:rsidRPr="00EC21ED">
          <w:rPr>
            <w:rStyle w:val="Hyperlink"/>
            <w:rFonts w:ascii="Arial" w:hAnsi="Arial" w:cs="Arial"/>
          </w:rPr>
          <w:t>https://pubmed.ncbi.nlm.nih.gov/34870285/</w:t>
        </w:r>
      </w:hyperlink>
    </w:p>
    <w:p w14:paraId="1AAAEEBE" w14:textId="77777777" w:rsidR="00D212B6" w:rsidRPr="00EC21ED" w:rsidRDefault="00D212B6" w:rsidP="00D212B6">
      <w:pPr>
        <w:spacing w:before="240"/>
        <w:jc w:val="both"/>
        <w:rPr>
          <w:rFonts w:ascii="Arial" w:hAnsi="Arial" w:cs="Arial"/>
        </w:rPr>
      </w:pPr>
      <w:r w:rsidRPr="00EC21ED">
        <w:rPr>
          <w:rFonts w:ascii="Arial" w:hAnsi="Arial" w:cs="Arial"/>
        </w:rPr>
        <w:t xml:space="preserve">4. </w:t>
      </w:r>
      <w:proofErr w:type="spellStart"/>
      <w:r w:rsidRPr="00EC21ED">
        <w:rPr>
          <w:rFonts w:ascii="Arial" w:hAnsi="Arial" w:cs="Arial"/>
        </w:rPr>
        <w:t>Aldè</w:t>
      </w:r>
      <w:proofErr w:type="spellEnd"/>
      <w:r w:rsidRPr="00EC21ED">
        <w:rPr>
          <w:rFonts w:ascii="Arial" w:hAnsi="Arial" w:cs="Arial"/>
        </w:rPr>
        <w:t xml:space="preserve"> M, Di </w:t>
      </w:r>
      <w:proofErr w:type="spellStart"/>
      <w:r w:rsidRPr="00EC21ED">
        <w:rPr>
          <w:rFonts w:ascii="Arial" w:hAnsi="Arial" w:cs="Arial"/>
        </w:rPr>
        <w:t>Berardino</w:t>
      </w:r>
      <w:proofErr w:type="spellEnd"/>
      <w:r w:rsidRPr="00EC21ED">
        <w:rPr>
          <w:rFonts w:ascii="Arial" w:hAnsi="Arial" w:cs="Arial"/>
        </w:rPr>
        <w:t xml:space="preserve"> F, Ambrosetti U, Barozzi S, Piatti G, Zanetti D, et al. Audiological and vestibular symptoms following SARS-CoV-2 infection and COVID-19 vaccination in children aged 5-11 years. Am J Otolaryngol. 2023 Jan-Feb;44(1):103669. </w:t>
      </w:r>
      <w:hyperlink r:id="rId17" w:history="1">
        <w:r w:rsidRPr="00EC21ED">
          <w:rPr>
            <w:rStyle w:val="Hyperlink"/>
            <w:rFonts w:ascii="Arial" w:hAnsi="Arial" w:cs="Arial"/>
          </w:rPr>
          <w:t>https://pubmed.ncbi.nlm.nih.gov/36283164/</w:t>
        </w:r>
      </w:hyperlink>
    </w:p>
    <w:p w14:paraId="2A95B442" w14:textId="77777777" w:rsidR="00D212B6" w:rsidRPr="00EC21ED" w:rsidRDefault="00D212B6" w:rsidP="00D212B6">
      <w:pPr>
        <w:spacing w:before="240"/>
        <w:jc w:val="both"/>
        <w:rPr>
          <w:rFonts w:ascii="Arial" w:hAnsi="Arial" w:cs="Arial"/>
        </w:rPr>
      </w:pPr>
      <w:r w:rsidRPr="00D212B6">
        <w:rPr>
          <w:rFonts w:ascii="Arial" w:hAnsi="Arial" w:cs="Arial"/>
          <w:lang w:val="pt-BR"/>
        </w:rPr>
        <w:t xml:space="preserve">5. Di Mauro P, La Mantia I, Cocuzza S, Sciancalepore PI, Rasà D, Maniaci A, et al. </w:t>
      </w:r>
      <w:r w:rsidRPr="00EC21ED">
        <w:rPr>
          <w:rFonts w:ascii="Arial" w:hAnsi="Arial" w:cs="Arial"/>
        </w:rPr>
        <w:t xml:space="preserve">Acute Vertigo After COVID-19 Vaccination: Case Series and Literature Review. Front Med (Lausanne). 2022 Jan </w:t>
      </w:r>
      <w:proofErr w:type="gramStart"/>
      <w:r w:rsidRPr="00EC21ED">
        <w:rPr>
          <w:rFonts w:ascii="Arial" w:hAnsi="Arial" w:cs="Arial"/>
        </w:rPr>
        <w:t>6;8:790931</w:t>
      </w:r>
      <w:proofErr w:type="gramEnd"/>
      <w:r w:rsidRPr="00EC21ED">
        <w:rPr>
          <w:rFonts w:ascii="Arial" w:hAnsi="Arial" w:cs="Arial"/>
        </w:rPr>
        <w:t xml:space="preserve">. </w:t>
      </w:r>
      <w:hyperlink r:id="rId18" w:history="1">
        <w:r w:rsidRPr="00EC21ED">
          <w:rPr>
            <w:rStyle w:val="Hyperlink"/>
            <w:rFonts w:ascii="Arial" w:hAnsi="Arial" w:cs="Arial"/>
          </w:rPr>
          <w:t>https://pubmed.ncbi.nlm.nih.gov/35071270/</w:t>
        </w:r>
      </w:hyperlink>
    </w:p>
    <w:p w14:paraId="4C311B85" w14:textId="77777777" w:rsidR="00D212B6" w:rsidRPr="00EC21ED" w:rsidRDefault="00D212B6" w:rsidP="00D212B6">
      <w:pPr>
        <w:spacing w:before="240"/>
        <w:jc w:val="both"/>
        <w:rPr>
          <w:rFonts w:ascii="Arial" w:hAnsi="Arial" w:cs="Arial"/>
        </w:rPr>
      </w:pPr>
      <w:r w:rsidRPr="00EC21ED">
        <w:rPr>
          <w:rFonts w:ascii="Arial" w:hAnsi="Arial" w:cs="Arial"/>
        </w:rPr>
        <w:t xml:space="preserve">6. </w:t>
      </w:r>
      <w:proofErr w:type="spellStart"/>
      <w:r w:rsidRPr="00EC21ED">
        <w:rPr>
          <w:rFonts w:ascii="Arial" w:hAnsi="Arial" w:cs="Arial"/>
        </w:rPr>
        <w:t>Pourhoseingholi</w:t>
      </w:r>
      <w:proofErr w:type="spellEnd"/>
      <w:r w:rsidRPr="00EC21ED">
        <w:rPr>
          <w:rFonts w:ascii="Arial" w:hAnsi="Arial" w:cs="Arial"/>
        </w:rPr>
        <w:t xml:space="preserve"> MA, </w:t>
      </w:r>
      <w:proofErr w:type="spellStart"/>
      <w:r w:rsidRPr="00EC21ED">
        <w:rPr>
          <w:rFonts w:ascii="Arial" w:hAnsi="Arial" w:cs="Arial"/>
        </w:rPr>
        <w:t>Vahedi</w:t>
      </w:r>
      <w:proofErr w:type="spellEnd"/>
      <w:r w:rsidRPr="00EC21ED">
        <w:rPr>
          <w:rFonts w:ascii="Arial" w:hAnsi="Arial" w:cs="Arial"/>
        </w:rPr>
        <w:t xml:space="preserve"> M, Rahimzadeh M. Sample size calculation in medical studies. Gastroenterol Hepatol Bed Bench. 2013;6(1):14-7. </w:t>
      </w:r>
      <w:hyperlink r:id="rId19" w:history="1">
        <w:r w:rsidRPr="00EC21ED">
          <w:rPr>
            <w:rStyle w:val="Hyperlink"/>
            <w:rFonts w:ascii="Arial" w:hAnsi="Arial" w:cs="Arial"/>
          </w:rPr>
          <w:t>https://pubmed.ncbi.nlm.nih.gov/24834239/</w:t>
        </w:r>
      </w:hyperlink>
    </w:p>
    <w:p w14:paraId="12F9AB77" w14:textId="77777777" w:rsidR="00D212B6" w:rsidRPr="00D212B6" w:rsidRDefault="00D212B6" w:rsidP="00D212B6">
      <w:pPr>
        <w:spacing w:before="240"/>
        <w:jc w:val="both"/>
        <w:rPr>
          <w:rFonts w:ascii="Arial" w:hAnsi="Arial" w:cs="Arial"/>
          <w:lang w:val="pt-BR"/>
        </w:rPr>
      </w:pPr>
      <w:r w:rsidRPr="00D212B6">
        <w:rPr>
          <w:rFonts w:ascii="Arial" w:hAnsi="Arial" w:cs="Arial"/>
          <w:lang w:val="pt-BR"/>
        </w:rPr>
        <w:t xml:space="preserve">7. Secretaria Municipal da Saúde de Ribeirão Preto, Vigilância Sanitária. Boletim Epidemiológico: Dados de vacinação contra COVID-19. Ribeirão Preto: Secretaria Municipal da Saúde; 2023. Disponível em: </w:t>
      </w:r>
      <w:hyperlink r:id="rId20" w:history="1">
        <w:r w:rsidRPr="00D212B6">
          <w:rPr>
            <w:rStyle w:val="Hyperlink"/>
            <w:rFonts w:ascii="Arial" w:hAnsi="Arial" w:cs="Arial"/>
            <w:lang w:val="pt-BR"/>
          </w:rPr>
          <w:t>https://www.ribeiraopreto.sp.gov.br/portal/saude/boletim-novo-coronavirus-covid-19</w:t>
        </w:r>
      </w:hyperlink>
    </w:p>
    <w:p w14:paraId="0F33A829" w14:textId="77777777" w:rsidR="00D212B6" w:rsidRPr="00EC21ED" w:rsidRDefault="00D212B6" w:rsidP="00D212B6">
      <w:pPr>
        <w:spacing w:before="240"/>
        <w:jc w:val="both"/>
        <w:rPr>
          <w:rFonts w:ascii="Arial" w:hAnsi="Arial" w:cs="Arial"/>
        </w:rPr>
      </w:pPr>
      <w:r w:rsidRPr="00EC21ED">
        <w:rPr>
          <w:rFonts w:ascii="Arial" w:hAnsi="Arial" w:cs="Arial"/>
        </w:rPr>
        <w:t xml:space="preserve">8. Ko HY, Kim MH. A Nationwide Population-Based Study for Audio-Vestibular Disorders following COVID-19 Infection. </w:t>
      </w:r>
      <w:proofErr w:type="spellStart"/>
      <w:r w:rsidRPr="00EC21ED">
        <w:rPr>
          <w:rFonts w:ascii="Arial" w:hAnsi="Arial" w:cs="Arial"/>
        </w:rPr>
        <w:t>Audiol</w:t>
      </w:r>
      <w:proofErr w:type="spellEnd"/>
      <w:r w:rsidRPr="00EC21ED">
        <w:rPr>
          <w:rFonts w:ascii="Arial" w:hAnsi="Arial" w:cs="Arial"/>
        </w:rPr>
        <w:t xml:space="preserve"> </w:t>
      </w:r>
      <w:proofErr w:type="spellStart"/>
      <w:r w:rsidRPr="00EC21ED">
        <w:rPr>
          <w:rFonts w:ascii="Arial" w:hAnsi="Arial" w:cs="Arial"/>
        </w:rPr>
        <w:t>Neurootol</w:t>
      </w:r>
      <w:proofErr w:type="spellEnd"/>
      <w:r w:rsidRPr="00EC21ED">
        <w:rPr>
          <w:rFonts w:ascii="Arial" w:hAnsi="Arial" w:cs="Arial"/>
        </w:rPr>
        <w:t xml:space="preserve">. 2025;30(3):245-251. </w:t>
      </w:r>
      <w:hyperlink r:id="rId21" w:history="1">
        <w:r w:rsidRPr="00EC21ED">
          <w:rPr>
            <w:rStyle w:val="Hyperlink"/>
            <w:rFonts w:ascii="Arial" w:hAnsi="Arial" w:cs="Arial"/>
          </w:rPr>
          <w:t>https://pubmed.ncbi.nlm.nih.gov/39733771/</w:t>
        </w:r>
      </w:hyperlink>
    </w:p>
    <w:p w14:paraId="4BC6DBA6" w14:textId="77777777" w:rsidR="00D212B6" w:rsidRPr="00EC21ED" w:rsidRDefault="00D212B6" w:rsidP="00D212B6">
      <w:pPr>
        <w:spacing w:before="240"/>
        <w:jc w:val="both"/>
        <w:rPr>
          <w:rFonts w:ascii="Arial" w:hAnsi="Arial" w:cs="Arial"/>
        </w:rPr>
      </w:pPr>
      <w:r w:rsidRPr="00EC21ED">
        <w:rPr>
          <w:rFonts w:ascii="Arial" w:hAnsi="Arial" w:cs="Arial"/>
        </w:rPr>
        <w:t xml:space="preserve">9. </w:t>
      </w:r>
      <w:proofErr w:type="spellStart"/>
      <w:r w:rsidRPr="00EC21ED">
        <w:rPr>
          <w:rFonts w:ascii="Arial" w:hAnsi="Arial" w:cs="Arial"/>
        </w:rPr>
        <w:t>Pazdro-Zastawny</w:t>
      </w:r>
      <w:proofErr w:type="spellEnd"/>
      <w:r w:rsidRPr="00EC21ED">
        <w:rPr>
          <w:rFonts w:ascii="Arial" w:hAnsi="Arial" w:cs="Arial"/>
        </w:rPr>
        <w:t xml:space="preserve"> K, </w:t>
      </w:r>
      <w:proofErr w:type="spellStart"/>
      <w:r w:rsidRPr="00EC21ED">
        <w:rPr>
          <w:rFonts w:ascii="Arial" w:hAnsi="Arial" w:cs="Arial"/>
        </w:rPr>
        <w:t>Dorobisz</w:t>
      </w:r>
      <w:proofErr w:type="spellEnd"/>
      <w:r w:rsidRPr="00EC21ED">
        <w:rPr>
          <w:rFonts w:ascii="Arial" w:hAnsi="Arial" w:cs="Arial"/>
        </w:rPr>
        <w:t xml:space="preserve"> K, </w:t>
      </w:r>
      <w:proofErr w:type="spellStart"/>
      <w:r w:rsidRPr="00EC21ED">
        <w:rPr>
          <w:rFonts w:ascii="Arial" w:hAnsi="Arial" w:cs="Arial"/>
        </w:rPr>
        <w:t>Misiak</w:t>
      </w:r>
      <w:proofErr w:type="spellEnd"/>
      <w:r w:rsidRPr="00EC21ED">
        <w:rPr>
          <w:rFonts w:ascii="Arial" w:hAnsi="Arial" w:cs="Arial"/>
        </w:rPr>
        <w:t xml:space="preserve"> P, Kruk-</w:t>
      </w:r>
      <w:proofErr w:type="spellStart"/>
      <w:r w:rsidRPr="00EC21ED">
        <w:rPr>
          <w:rFonts w:ascii="Arial" w:hAnsi="Arial" w:cs="Arial"/>
        </w:rPr>
        <w:t>Krzemień</w:t>
      </w:r>
      <w:proofErr w:type="spellEnd"/>
      <w:r w:rsidRPr="00EC21ED">
        <w:rPr>
          <w:rFonts w:ascii="Arial" w:hAnsi="Arial" w:cs="Arial"/>
        </w:rPr>
        <w:t xml:space="preserve"> A, </w:t>
      </w:r>
      <w:proofErr w:type="spellStart"/>
      <w:r w:rsidRPr="00EC21ED">
        <w:rPr>
          <w:rFonts w:ascii="Arial" w:hAnsi="Arial" w:cs="Arial"/>
        </w:rPr>
        <w:t>Zatoński</w:t>
      </w:r>
      <w:proofErr w:type="spellEnd"/>
      <w:r w:rsidRPr="00EC21ED">
        <w:rPr>
          <w:rFonts w:ascii="Arial" w:hAnsi="Arial" w:cs="Arial"/>
        </w:rPr>
        <w:t xml:space="preserve"> T. Vestibular disorders in patients after COVID-19 infection. Front Neurol. </w:t>
      </w:r>
      <w:proofErr w:type="gramStart"/>
      <w:r w:rsidRPr="00EC21ED">
        <w:rPr>
          <w:rFonts w:ascii="Arial" w:hAnsi="Arial" w:cs="Arial"/>
        </w:rPr>
        <w:t>2022;13:956515</w:t>
      </w:r>
      <w:proofErr w:type="gramEnd"/>
      <w:r w:rsidRPr="00EC21ED">
        <w:rPr>
          <w:rFonts w:ascii="Arial" w:hAnsi="Arial" w:cs="Arial"/>
        </w:rPr>
        <w:t xml:space="preserve">. </w:t>
      </w:r>
      <w:hyperlink r:id="rId22" w:history="1">
        <w:r w:rsidRPr="00EC21ED">
          <w:rPr>
            <w:rStyle w:val="Hyperlink"/>
            <w:rFonts w:ascii="Arial" w:hAnsi="Arial" w:cs="Arial"/>
          </w:rPr>
          <w:t>https://pubmed.ncbi.nlm.nih.gov/36203969/</w:t>
        </w:r>
      </w:hyperlink>
    </w:p>
    <w:p w14:paraId="26E55655" w14:textId="77777777" w:rsidR="00D212B6" w:rsidRPr="00EC21ED" w:rsidRDefault="00D212B6" w:rsidP="00D212B6">
      <w:pPr>
        <w:spacing w:before="240"/>
        <w:jc w:val="both"/>
        <w:rPr>
          <w:rFonts w:ascii="Arial" w:hAnsi="Arial" w:cs="Arial"/>
        </w:rPr>
      </w:pPr>
      <w:r w:rsidRPr="00EC21ED">
        <w:rPr>
          <w:rFonts w:ascii="Arial" w:hAnsi="Arial" w:cs="Arial"/>
        </w:rPr>
        <w:t xml:space="preserve">10. </w:t>
      </w:r>
      <w:proofErr w:type="spellStart"/>
      <w:r w:rsidRPr="00EC21ED">
        <w:rPr>
          <w:rFonts w:ascii="Arial" w:hAnsi="Arial" w:cs="Arial"/>
        </w:rPr>
        <w:t>Kesiktaş</w:t>
      </w:r>
      <w:proofErr w:type="spellEnd"/>
      <w:r w:rsidRPr="00EC21ED">
        <w:rPr>
          <w:rFonts w:ascii="Arial" w:hAnsi="Arial" w:cs="Arial"/>
        </w:rPr>
        <w:t xml:space="preserve"> N, </w:t>
      </w:r>
      <w:proofErr w:type="spellStart"/>
      <w:r w:rsidRPr="00EC21ED">
        <w:rPr>
          <w:rFonts w:ascii="Arial" w:hAnsi="Arial" w:cs="Arial"/>
        </w:rPr>
        <w:t>Şirin</w:t>
      </w:r>
      <w:proofErr w:type="spellEnd"/>
      <w:r w:rsidRPr="00EC21ED">
        <w:rPr>
          <w:rFonts w:ascii="Arial" w:hAnsi="Arial" w:cs="Arial"/>
        </w:rPr>
        <w:t xml:space="preserve"> </w:t>
      </w:r>
      <w:proofErr w:type="spellStart"/>
      <w:r w:rsidRPr="00EC21ED">
        <w:rPr>
          <w:rFonts w:ascii="Arial" w:hAnsi="Arial" w:cs="Arial"/>
        </w:rPr>
        <w:t>Ahısha</w:t>
      </w:r>
      <w:proofErr w:type="spellEnd"/>
      <w:r w:rsidRPr="00EC21ED">
        <w:rPr>
          <w:rFonts w:ascii="Arial" w:hAnsi="Arial" w:cs="Arial"/>
        </w:rPr>
        <w:t xml:space="preserve"> B, Çelik F, Ceylan CM, Aydın T, Erten N, et al. Assessment of vertigo and dizziness in individuals following COVID-19. </w:t>
      </w:r>
      <w:proofErr w:type="spellStart"/>
      <w:r w:rsidRPr="00EC21ED">
        <w:rPr>
          <w:rFonts w:ascii="Arial" w:hAnsi="Arial" w:cs="Arial"/>
        </w:rPr>
        <w:t>Ir</w:t>
      </w:r>
      <w:proofErr w:type="spellEnd"/>
      <w:r w:rsidRPr="00EC21ED">
        <w:rPr>
          <w:rFonts w:ascii="Arial" w:hAnsi="Arial" w:cs="Arial"/>
        </w:rPr>
        <w:t xml:space="preserve"> J Med Sci. 2025;194(5):1815-1821. </w:t>
      </w:r>
      <w:hyperlink r:id="rId23" w:history="1">
        <w:r w:rsidRPr="00EC21ED">
          <w:rPr>
            <w:rStyle w:val="Hyperlink"/>
            <w:rFonts w:ascii="Arial" w:hAnsi="Arial" w:cs="Arial"/>
          </w:rPr>
          <w:t>https://pubmed.ncbi.nlm.nih.gov/40748589/</w:t>
        </w:r>
      </w:hyperlink>
    </w:p>
    <w:p w14:paraId="472DCB5A" w14:textId="77777777" w:rsidR="00D212B6" w:rsidRPr="00D212B6" w:rsidRDefault="00D212B6" w:rsidP="00D212B6">
      <w:pPr>
        <w:spacing w:before="240"/>
        <w:jc w:val="both"/>
        <w:rPr>
          <w:rFonts w:ascii="Arial" w:hAnsi="Arial" w:cs="Arial"/>
          <w:lang w:val="pt-BR"/>
        </w:rPr>
      </w:pPr>
      <w:r w:rsidRPr="00EC21ED">
        <w:rPr>
          <w:rFonts w:ascii="Arial" w:hAnsi="Arial" w:cs="Arial"/>
        </w:rPr>
        <w:t xml:space="preserve">11. Wang D, Li P, Huang X, Liu Y, Mao S, Yin H, et al. Exploring the Prevalence of Tinnitus and Ear-Related Symptoms in China After the COVID-19 Pandemic: Online Cross-Sectional Survey. </w:t>
      </w:r>
      <w:r w:rsidRPr="00D212B6">
        <w:rPr>
          <w:rFonts w:ascii="Arial" w:hAnsi="Arial" w:cs="Arial"/>
          <w:lang w:val="pt-BR"/>
        </w:rPr>
        <w:t xml:space="preserve">JMIR Form Res. 2024;8:e54326. </w:t>
      </w:r>
      <w:hyperlink r:id="rId24" w:history="1">
        <w:r w:rsidRPr="00D212B6">
          <w:rPr>
            <w:rStyle w:val="Hyperlink"/>
            <w:rFonts w:ascii="Arial" w:hAnsi="Arial" w:cs="Arial"/>
            <w:lang w:val="pt-BR"/>
          </w:rPr>
          <w:t>https://pubmed.ncbi.nlm.nih.gov/38657236/</w:t>
        </w:r>
      </w:hyperlink>
    </w:p>
    <w:p w14:paraId="42DF18AE" w14:textId="77777777" w:rsidR="00D212B6" w:rsidRPr="00EC21ED" w:rsidRDefault="00D212B6" w:rsidP="00D212B6">
      <w:pPr>
        <w:spacing w:before="240"/>
        <w:jc w:val="both"/>
        <w:rPr>
          <w:rFonts w:ascii="Arial" w:hAnsi="Arial" w:cs="Arial"/>
        </w:rPr>
      </w:pPr>
      <w:r w:rsidRPr="00EC21ED">
        <w:rPr>
          <w:rFonts w:ascii="Arial" w:hAnsi="Arial" w:cs="Arial"/>
        </w:rPr>
        <w:t xml:space="preserve">12. </w:t>
      </w:r>
      <w:proofErr w:type="spellStart"/>
      <w:r w:rsidRPr="00EC21ED">
        <w:rPr>
          <w:rFonts w:ascii="Arial" w:hAnsi="Arial" w:cs="Arial"/>
        </w:rPr>
        <w:t>Obeidat</w:t>
      </w:r>
      <w:proofErr w:type="spellEnd"/>
      <w:r w:rsidRPr="00EC21ED">
        <w:rPr>
          <w:rFonts w:ascii="Arial" w:hAnsi="Arial" w:cs="Arial"/>
        </w:rPr>
        <w:t xml:space="preserve"> FS, </w:t>
      </w:r>
      <w:proofErr w:type="spellStart"/>
      <w:r w:rsidRPr="00EC21ED">
        <w:rPr>
          <w:rFonts w:ascii="Arial" w:hAnsi="Arial" w:cs="Arial"/>
        </w:rPr>
        <w:t>Alghwiri</w:t>
      </w:r>
      <w:proofErr w:type="spellEnd"/>
      <w:r w:rsidRPr="00EC21ED">
        <w:rPr>
          <w:rFonts w:ascii="Arial" w:hAnsi="Arial" w:cs="Arial"/>
        </w:rPr>
        <w:t xml:space="preserve"> AA, Whitney SL. Predictors of Dizziness and Hearing Disorders in People with Long COVID. Medicina (Kaunas). 2023;59(11):1901. </w:t>
      </w:r>
      <w:hyperlink r:id="rId25" w:history="1">
        <w:r w:rsidRPr="00EC21ED">
          <w:rPr>
            <w:rStyle w:val="Hyperlink"/>
            <w:rFonts w:ascii="Arial" w:hAnsi="Arial" w:cs="Arial"/>
          </w:rPr>
          <w:t>https://pubmed.ncbi.nlm.nih.gov/38003950/</w:t>
        </w:r>
      </w:hyperlink>
    </w:p>
    <w:p w14:paraId="03C2B504" w14:textId="77777777" w:rsidR="00D212B6" w:rsidRPr="00EC21ED" w:rsidRDefault="00D212B6" w:rsidP="00D212B6">
      <w:pPr>
        <w:spacing w:before="240"/>
        <w:jc w:val="both"/>
        <w:rPr>
          <w:rFonts w:ascii="Arial" w:hAnsi="Arial" w:cs="Arial"/>
        </w:rPr>
      </w:pPr>
      <w:r w:rsidRPr="00EC21ED">
        <w:rPr>
          <w:rFonts w:ascii="Arial" w:hAnsi="Arial" w:cs="Arial"/>
        </w:rPr>
        <w:t xml:space="preserve">13. Byambasuren O, Stehlik P, Clark J, Alcorn K, </w:t>
      </w:r>
      <w:proofErr w:type="spellStart"/>
      <w:r w:rsidRPr="00EC21ED">
        <w:rPr>
          <w:rFonts w:ascii="Arial" w:hAnsi="Arial" w:cs="Arial"/>
        </w:rPr>
        <w:t>Glasziou</w:t>
      </w:r>
      <w:proofErr w:type="spellEnd"/>
      <w:r w:rsidRPr="00EC21ED">
        <w:rPr>
          <w:rFonts w:ascii="Arial" w:hAnsi="Arial" w:cs="Arial"/>
        </w:rPr>
        <w:t xml:space="preserve"> P. Effect of covid-19 vaccination on long covid: systematic review. BMJ Med. 2023;2(1</w:t>
      </w:r>
      <w:proofErr w:type="gramStart"/>
      <w:r w:rsidRPr="00EC21ED">
        <w:rPr>
          <w:rFonts w:ascii="Arial" w:hAnsi="Arial" w:cs="Arial"/>
        </w:rPr>
        <w:t>):e</w:t>
      </w:r>
      <w:proofErr w:type="gramEnd"/>
      <w:r w:rsidRPr="00EC21ED">
        <w:rPr>
          <w:rFonts w:ascii="Arial" w:hAnsi="Arial" w:cs="Arial"/>
        </w:rPr>
        <w:t xml:space="preserve">000385. </w:t>
      </w:r>
      <w:hyperlink r:id="rId26" w:history="1">
        <w:r w:rsidRPr="00EC21ED">
          <w:rPr>
            <w:rStyle w:val="Hyperlink"/>
            <w:rFonts w:ascii="Arial" w:hAnsi="Arial" w:cs="Arial"/>
          </w:rPr>
          <w:t>https://pubmed.ncbi.nlm.nih.gov/36936268/</w:t>
        </w:r>
      </w:hyperlink>
    </w:p>
    <w:p w14:paraId="5FA6F9D9" w14:textId="77777777" w:rsidR="00D212B6" w:rsidRPr="00EC21ED" w:rsidRDefault="00D212B6" w:rsidP="00D212B6">
      <w:pPr>
        <w:spacing w:before="240"/>
        <w:jc w:val="both"/>
        <w:rPr>
          <w:rFonts w:ascii="Arial" w:hAnsi="Arial" w:cs="Arial"/>
        </w:rPr>
      </w:pPr>
      <w:r w:rsidRPr="00EC21ED">
        <w:rPr>
          <w:rFonts w:ascii="Arial" w:hAnsi="Arial" w:cs="Arial"/>
        </w:rPr>
        <w:t xml:space="preserve">14. Liu C, Liu C, Yan R, Becker D, Shi JX, Slezak J, et al. Association of COVID vaccinations and treatments with long COVID beyond 6 months: a case-control study on the adult population in a large integrated healthcare system in the United States from 2020 to 2023. Prev Med Rep. </w:t>
      </w:r>
      <w:proofErr w:type="gramStart"/>
      <w:r w:rsidRPr="00EC21ED">
        <w:rPr>
          <w:rFonts w:ascii="Arial" w:hAnsi="Arial" w:cs="Arial"/>
        </w:rPr>
        <w:t>2025;57:103188</w:t>
      </w:r>
      <w:proofErr w:type="gramEnd"/>
      <w:r w:rsidRPr="00EC21ED">
        <w:rPr>
          <w:rFonts w:ascii="Arial" w:hAnsi="Arial" w:cs="Arial"/>
        </w:rPr>
        <w:t xml:space="preserve">. </w:t>
      </w:r>
      <w:hyperlink r:id="rId27" w:history="1">
        <w:r w:rsidRPr="00EC21ED">
          <w:rPr>
            <w:rStyle w:val="Hyperlink"/>
            <w:rFonts w:ascii="Arial" w:hAnsi="Arial" w:cs="Arial"/>
          </w:rPr>
          <w:t>https://pubmed.ncbi.nlm.nih.gov/40948805/</w:t>
        </w:r>
      </w:hyperlink>
    </w:p>
    <w:p w14:paraId="23CBD7CB" w14:textId="77777777" w:rsidR="00D212B6" w:rsidRPr="00EC21ED" w:rsidRDefault="00D212B6" w:rsidP="00D212B6">
      <w:pPr>
        <w:spacing w:before="240"/>
        <w:jc w:val="both"/>
        <w:rPr>
          <w:rFonts w:ascii="Arial" w:hAnsi="Arial" w:cs="Arial"/>
        </w:rPr>
      </w:pPr>
      <w:r w:rsidRPr="00EC21ED">
        <w:rPr>
          <w:rFonts w:ascii="Arial" w:hAnsi="Arial" w:cs="Arial"/>
        </w:rPr>
        <w:lastRenderedPageBreak/>
        <w:t xml:space="preserve">15. Davis HE, McCorkell L, Vogel JM, Topol EJ. Long COVID: major findings, mechanisms and recommendations. Nat Rev Microbiol. 2023;21(3):133-146. </w:t>
      </w:r>
      <w:hyperlink r:id="rId28" w:tgtFrame="_blank" w:history="1">
        <w:r w:rsidRPr="00EC21ED">
          <w:rPr>
            <w:rStyle w:val="Hyperlink"/>
            <w:rFonts w:ascii="Arial" w:hAnsi="Arial" w:cs="Arial"/>
          </w:rPr>
          <w:t>https://pubmed.ncbi.nlm.nih.gov/36639608/</w:t>
        </w:r>
      </w:hyperlink>
    </w:p>
    <w:p w14:paraId="5E22580B" w14:textId="77777777" w:rsidR="00D212B6" w:rsidRPr="00EC21ED" w:rsidRDefault="00D212B6" w:rsidP="00D212B6">
      <w:pPr>
        <w:spacing w:before="240"/>
        <w:jc w:val="both"/>
        <w:rPr>
          <w:rFonts w:ascii="Arial" w:hAnsi="Arial" w:cs="Arial"/>
        </w:rPr>
      </w:pPr>
      <w:r w:rsidRPr="00EC21ED">
        <w:rPr>
          <w:rFonts w:ascii="Arial" w:hAnsi="Arial" w:cs="Arial"/>
        </w:rPr>
        <w:t xml:space="preserve">16. </w:t>
      </w:r>
      <w:proofErr w:type="spellStart"/>
      <w:r w:rsidRPr="00EC21ED">
        <w:rPr>
          <w:rFonts w:ascii="Arial" w:hAnsi="Arial" w:cs="Arial"/>
        </w:rPr>
        <w:t>Décary</w:t>
      </w:r>
      <w:proofErr w:type="spellEnd"/>
      <w:r w:rsidRPr="00EC21ED">
        <w:rPr>
          <w:rFonts w:ascii="Arial" w:hAnsi="Arial" w:cs="Arial"/>
        </w:rPr>
        <w:t xml:space="preserve"> S, Royston A, Sanghvi P, Hutton B, </w:t>
      </w:r>
      <w:proofErr w:type="spellStart"/>
      <w:r w:rsidRPr="00EC21ED">
        <w:rPr>
          <w:rFonts w:ascii="Arial" w:hAnsi="Arial" w:cs="Arial"/>
        </w:rPr>
        <w:t>Nabbijee</w:t>
      </w:r>
      <w:proofErr w:type="spellEnd"/>
      <w:r w:rsidRPr="00EC21ED">
        <w:rPr>
          <w:rFonts w:ascii="Arial" w:hAnsi="Arial" w:cs="Arial"/>
        </w:rPr>
        <w:t xml:space="preserve"> K, </w:t>
      </w:r>
      <w:proofErr w:type="spellStart"/>
      <w:r w:rsidRPr="00EC21ED">
        <w:rPr>
          <w:rFonts w:ascii="Arial" w:hAnsi="Arial" w:cs="Arial"/>
        </w:rPr>
        <w:t>Ramkissoon</w:t>
      </w:r>
      <w:proofErr w:type="spellEnd"/>
      <w:r w:rsidRPr="00EC21ED">
        <w:rPr>
          <w:rFonts w:ascii="Arial" w:hAnsi="Arial" w:cs="Arial"/>
        </w:rPr>
        <w:t xml:space="preserve"> N, et al. Care Models for Long COVID - A Rapid Systematic Review. Int J Environ Res Public Health. 2021;18(23):12235. </w:t>
      </w:r>
      <w:hyperlink r:id="rId29" w:tgtFrame="_blank" w:history="1">
        <w:r w:rsidRPr="00EC21ED">
          <w:rPr>
            <w:rStyle w:val="Hyperlink"/>
            <w:rFonts w:ascii="Arial" w:hAnsi="Arial" w:cs="Arial"/>
          </w:rPr>
          <w:t>https://pubmed.ncbi.nlm.nih.gov/34886961/</w:t>
        </w:r>
      </w:hyperlink>
    </w:p>
    <w:p w14:paraId="66987AE8" w14:textId="77777777" w:rsidR="00D212B6" w:rsidRPr="00D212B6" w:rsidRDefault="00D212B6" w:rsidP="00D212B6">
      <w:pPr>
        <w:spacing w:before="240"/>
        <w:jc w:val="both"/>
        <w:rPr>
          <w:rFonts w:ascii="Arial" w:hAnsi="Arial" w:cs="Arial"/>
          <w:lang w:val="pt-BR"/>
        </w:rPr>
      </w:pPr>
      <w:r w:rsidRPr="00EC21ED">
        <w:rPr>
          <w:rFonts w:ascii="Arial" w:hAnsi="Arial" w:cs="Arial"/>
        </w:rPr>
        <w:t xml:space="preserve">17. Peter RS, </w:t>
      </w:r>
      <w:proofErr w:type="spellStart"/>
      <w:r w:rsidRPr="00EC21ED">
        <w:rPr>
          <w:rFonts w:ascii="Arial" w:hAnsi="Arial" w:cs="Arial"/>
        </w:rPr>
        <w:t>Nieters</w:t>
      </w:r>
      <w:proofErr w:type="spellEnd"/>
      <w:r w:rsidRPr="00EC21ED">
        <w:rPr>
          <w:rFonts w:ascii="Arial" w:hAnsi="Arial" w:cs="Arial"/>
        </w:rPr>
        <w:t xml:space="preserve"> A, </w:t>
      </w:r>
      <w:proofErr w:type="spellStart"/>
      <w:r w:rsidRPr="00EC21ED">
        <w:rPr>
          <w:rFonts w:ascii="Arial" w:hAnsi="Arial" w:cs="Arial"/>
        </w:rPr>
        <w:t>Kräusslich</w:t>
      </w:r>
      <w:proofErr w:type="spellEnd"/>
      <w:r w:rsidRPr="00EC21ED">
        <w:rPr>
          <w:rFonts w:ascii="Arial" w:hAnsi="Arial" w:cs="Arial"/>
        </w:rPr>
        <w:t xml:space="preserve"> HG, </w:t>
      </w:r>
      <w:proofErr w:type="spellStart"/>
      <w:r w:rsidRPr="00EC21ED">
        <w:rPr>
          <w:rFonts w:ascii="Arial" w:hAnsi="Arial" w:cs="Arial"/>
        </w:rPr>
        <w:t>Brockmann</w:t>
      </w:r>
      <w:proofErr w:type="spellEnd"/>
      <w:r w:rsidRPr="00EC21ED">
        <w:rPr>
          <w:rFonts w:ascii="Arial" w:hAnsi="Arial" w:cs="Arial"/>
        </w:rPr>
        <w:t xml:space="preserve"> SO, </w:t>
      </w:r>
      <w:proofErr w:type="spellStart"/>
      <w:r w:rsidRPr="00EC21ED">
        <w:rPr>
          <w:rFonts w:ascii="Arial" w:hAnsi="Arial" w:cs="Arial"/>
        </w:rPr>
        <w:t>Göpel</w:t>
      </w:r>
      <w:proofErr w:type="spellEnd"/>
      <w:r w:rsidRPr="00EC21ED">
        <w:rPr>
          <w:rFonts w:ascii="Arial" w:hAnsi="Arial" w:cs="Arial"/>
        </w:rPr>
        <w:t xml:space="preserve"> S, Kindle G, et al. Post-acute sequelae of covid-19 six to 12 months after infection: </w:t>
      </w:r>
      <w:proofErr w:type="gramStart"/>
      <w:r w:rsidRPr="00EC21ED">
        <w:rPr>
          <w:rFonts w:ascii="Arial" w:hAnsi="Arial" w:cs="Arial"/>
        </w:rPr>
        <w:t>population based</w:t>
      </w:r>
      <w:proofErr w:type="gramEnd"/>
      <w:r w:rsidRPr="00EC21ED">
        <w:rPr>
          <w:rFonts w:ascii="Arial" w:hAnsi="Arial" w:cs="Arial"/>
        </w:rPr>
        <w:t xml:space="preserve"> study. </w:t>
      </w:r>
      <w:r w:rsidRPr="00D212B6">
        <w:rPr>
          <w:rFonts w:ascii="Arial" w:hAnsi="Arial" w:cs="Arial"/>
          <w:lang w:val="pt-BR"/>
        </w:rPr>
        <w:t xml:space="preserve">BMJ. 2022;379:e071050. </w:t>
      </w:r>
      <w:hyperlink r:id="rId30" w:tgtFrame="_blank" w:history="1">
        <w:r w:rsidRPr="00D212B6">
          <w:rPr>
            <w:rStyle w:val="Hyperlink"/>
            <w:rFonts w:ascii="Arial" w:hAnsi="Arial" w:cs="Arial"/>
            <w:lang w:val="pt-BR"/>
          </w:rPr>
          <w:t>https://pubmed.ncbi.nlm.nih.gov/36239356/</w:t>
        </w:r>
      </w:hyperlink>
    </w:p>
    <w:p w14:paraId="02AFF91E" w14:textId="77777777" w:rsidR="00D212B6" w:rsidRPr="00EC21ED" w:rsidRDefault="00D212B6" w:rsidP="00D212B6">
      <w:pPr>
        <w:spacing w:before="240"/>
        <w:jc w:val="both"/>
        <w:rPr>
          <w:rFonts w:ascii="Arial" w:hAnsi="Arial" w:cs="Arial"/>
          <w:b/>
          <w:bCs/>
        </w:rPr>
      </w:pPr>
      <w:r w:rsidRPr="008F1045">
        <w:rPr>
          <w:rFonts w:ascii="Arial" w:hAnsi="Arial" w:cs="Arial"/>
        </w:rPr>
        <w:t xml:space="preserve">18. Cutler DM. </w:t>
      </w:r>
      <w:r w:rsidRPr="00EC21ED">
        <w:rPr>
          <w:rFonts w:ascii="Arial" w:hAnsi="Arial" w:cs="Arial"/>
        </w:rPr>
        <w:t>The Costs of Long COVID. JAMA Health Forum. 2022;3(5</w:t>
      </w:r>
      <w:proofErr w:type="gramStart"/>
      <w:r w:rsidRPr="00EC21ED">
        <w:rPr>
          <w:rFonts w:ascii="Arial" w:hAnsi="Arial" w:cs="Arial"/>
        </w:rPr>
        <w:t>):e</w:t>
      </w:r>
      <w:proofErr w:type="gramEnd"/>
      <w:r w:rsidRPr="00EC21ED">
        <w:rPr>
          <w:rFonts w:ascii="Arial" w:hAnsi="Arial" w:cs="Arial"/>
        </w:rPr>
        <w:t xml:space="preserve">221809. </w:t>
      </w:r>
      <w:hyperlink r:id="rId31" w:tgtFrame="_blank" w:history="1">
        <w:r w:rsidRPr="00EC21ED">
          <w:rPr>
            <w:rStyle w:val="Hyperlink"/>
            <w:rFonts w:ascii="Arial" w:hAnsi="Arial" w:cs="Arial"/>
          </w:rPr>
          <w:t>https://pubmed.ncbi.nlm.nih.gov/36218925/</w:t>
        </w:r>
      </w:hyperlink>
    </w:p>
    <w:p w14:paraId="16AFEC38" w14:textId="22CEB72B" w:rsidR="004D4277" w:rsidRPr="00FB3A86" w:rsidRDefault="004D4277" w:rsidP="00441B6F">
      <w:pPr>
        <w:pStyle w:val="Appendix"/>
        <w:spacing w:after="0"/>
        <w:jc w:val="both"/>
        <w:rPr>
          <w:rFonts w:ascii="Arial" w:hAnsi="Arial" w:cs="Arial"/>
          <w:b w:val="0"/>
        </w:rPr>
        <w:sectPr w:rsidR="004D4277" w:rsidRPr="00FB3A86" w:rsidSect="005B1BA2">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7605ECB1" w14:textId="77777777" w:rsidR="00B01FCD" w:rsidRPr="00FB3A86" w:rsidRDefault="00B01FCD" w:rsidP="00441B6F">
      <w:pPr>
        <w:pStyle w:val="Appendix"/>
        <w:spacing w:after="0"/>
        <w:jc w:val="both"/>
        <w:rPr>
          <w:rFonts w:ascii="Arial" w:hAnsi="Arial" w:cs="Arial"/>
          <w:b w:val="0"/>
        </w:rPr>
      </w:pPr>
    </w:p>
    <w:sectPr w:rsidR="00B01FCD" w:rsidRPr="00FB3A86" w:rsidSect="005B1B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D43F2" w14:textId="77777777" w:rsidR="00E53141" w:rsidRDefault="00E53141" w:rsidP="00C37E61">
      <w:r>
        <w:separator/>
      </w:r>
    </w:p>
  </w:endnote>
  <w:endnote w:type="continuationSeparator" w:id="0">
    <w:p w14:paraId="51A8A8A8" w14:textId="77777777" w:rsidR="00E53141" w:rsidRDefault="00E531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E3F9" w14:textId="77777777" w:rsidR="005B1BA2" w:rsidRDefault="005B1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4370C" w14:textId="77777777" w:rsidR="005B1BA2" w:rsidRDefault="005B1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A4BC" w14:textId="77777777" w:rsidR="009E048A" w:rsidRDefault="009E048A">
    <w:pPr>
      <w:pStyle w:val="Footer"/>
      <w:rPr>
        <w:rFonts w:ascii="Arial" w:hAnsi="Arial" w:cs="Arial"/>
        <w:sz w:val="16"/>
      </w:rPr>
    </w:pPr>
  </w:p>
  <w:p w14:paraId="5359A1E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A5F4F0" w14:textId="77777777" w:rsidR="009E048A" w:rsidRDefault="009E048A">
    <w:pPr>
      <w:pStyle w:val="Footer"/>
      <w:rPr>
        <w:rFonts w:ascii="Arial" w:hAnsi="Arial" w:cs="Arial"/>
        <w:sz w:val="16"/>
      </w:rPr>
    </w:pPr>
  </w:p>
  <w:p w14:paraId="69B26D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818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505FE" w14:textId="77777777" w:rsidR="00E53141" w:rsidRDefault="00E53141" w:rsidP="00C37E61">
      <w:r>
        <w:separator/>
      </w:r>
    </w:p>
  </w:footnote>
  <w:footnote w:type="continuationSeparator" w:id="0">
    <w:p w14:paraId="3032F4FF" w14:textId="77777777" w:rsidR="00E53141" w:rsidRDefault="00E531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BE13" w14:textId="58C48F65" w:rsidR="005B1BA2" w:rsidRDefault="005B1BA2">
    <w:pPr>
      <w:pStyle w:val="Header"/>
    </w:pPr>
    <w:r>
      <w:rPr>
        <w:noProof/>
      </w:rPr>
      <w:pict w14:anchorId="06572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F2F0" w14:textId="753B938F" w:rsidR="005B1BA2" w:rsidRDefault="005B1BA2">
    <w:pPr>
      <w:pStyle w:val="Header"/>
    </w:pPr>
    <w:r>
      <w:rPr>
        <w:noProof/>
      </w:rPr>
      <w:pict w14:anchorId="51B3A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C3D8" w14:textId="07F0A88D" w:rsidR="00296529" w:rsidRPr="00296529" w:rsidRDefault="005B1BA2" w:rsidP="00296529">
    <w:pPr>
      <w:ind w:left="2160"/>
      <w:jc w:val="center"/>
      <w:rPr>
        <w:rFonts w:ascii="Times New Roman" w:eastAsia="Calibri" w:hAnsi="Times New Roman"/>
        <w:i/>
        <w:sz w:val="18"/>
        <w:szCs w:val="22"/>
      </w:rPr>
    </w:pPr>
    <w:r>
      <w:rPr>
        <w:noProof/>
      </w:rPr>
      <w:pict w14:anchorId="40E0B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702D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8BA76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A12C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4631A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EBC98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9F359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D87F" w14:textId="5631444D" w:rsidR="005B1BA2" w:rsidRDefault="005B1BA2">
    <w:pPr>
      <w:pStyle w:val="Header"/>
    </w:pPr>
    <w:r>
      <w:rPr>
        <w:noProof/>
      </w:rPr>
      <w:pict w14:anchorId="6F5CC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F3C3" w14:textId="581AB361" w:rsidR="005B1BA2" w:rsidRDefault="005B1BA2">
    <w:pPr>
      <w:pStyle w:val="Header"/>
    </w:pPr>
    <w:r>
      <w:rPr>
        <w:noProof/>
      </w:rPr>
      <w:pict w14:anchorId="08AC6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66C43" w14:textId="46C8C77D" w:rsidR="005B1BA2" w:rsidRDefault="005B1BA2">
    <w:pPr>
      <w:pStyle w:val="Header"/>
    </w:pPr>
    <w:r>
      <w:rPr>
        <w:noProof/>
      </w:rPr>
      <w:pict w14:anchorId="3292D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124F4"/>
    <w:multiLevelType w:val="multilevel"/>
    <w:tmpl w:val="B884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516156"/>
    <w:multiLevelType w:val="multilevel"/>
    <w:tmpl w:val="BA74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FA6BD3"/>
    <w:multiLevelType w:val="hybridMultilevel"/>
    <w:tmpl w:val="A258B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3F1C74"/>
    <w:multiLevelType w:val="multilevel"/>
    <w:tmpl w:val="AC56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9"/>
  </w:num>
  <w:num w:numId="22">
    <w:abstractNumId w:val="14"/>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8"/>
  </w:num>
  <w:num w:numId="30">
    <w:abstractNumId w:val="10"/>
  </w:num>
  <w:num w:numId="31">
    <w:abstractNumId w:val="16"/>
  </w:num>
  <w:num w:numId="32">
    <w:abstractNumId w:val="11"/>
  </w:num>
  <w:num w:numId="33">
    <w:abstractNumId w:val="2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16C4"/>
    <w:rsid w:val="00186734"/>
    <w:rsid w:val="00191062"/>
    <w:rsid w:val="00192B72"/>
    <w:rsid w:val="001A29D8"/>
    <w:rsid w:val="001A5CAA"/>
    <w:rsid w:val="001B0427"/>
    <w:rsid w:val="001D3A51"/>
    <w:rsid w:val="001E10D2"/>
    <w:rsid w:val="001E25B4"/>
    <w:rsid w:val="001E44FE"/>
    <w:rsid w:val="00200595"/>
    <w:rsid w:val="00204835"/>
    <w:rsid w:val="00231920"/>
    <w:rsid w:val="0023195C"/>
    <w:rsid w:val="00232531"/>
    <w:rsid w:val="0024282C"/>
    <w:rsid w:val="002460DC"/>
    <w:rsid w:val="00250985"/>
    <w:rsid w:val="002556F6"/>
    <w:rsid w:val="00282542"/>
    <w:rsid w:val="00283105"/>
    <w:rsid w:val="00284C4C"/>
    <w:rsid w:val="00287E68"/>
    <w:rsid w:val="00296529"/>
    <w:rsid w:val="002A453B"/>
    <w:rsid w:val="002B27FB"/>
    <w:rsid w:val="002B685A"/>
    <w:rsid w:val="002C1CE0"/>
    <w:rsid w:val="002C57D2"/>
    <w:rsid w:val="002E0D56"/>
    <w:rsid w:val="002E7CDB"/>
    <w:rsid w:val="00315186"/>
    <w:rsid w:val="0033343E"/>
    <w:rsid w:val="003512C2"/>
    <w:rsid w:val="00371FB6"/>
    <w:rsid w:val="003763C1"/>
    <w:rsid w:val="00376BBE"/>
    <w:rsid w:val="003844F1"/>
    <w:rsid w:val="0039224F"/>
    <w:rsid w:val="003A43A4"/>
    <w:rsid w:val="003A7E18"/>
    <w:rsid w:val="003B3C90"/>
    <w:rsid w:val="003B591D"/>
    <w:rsid w:val="003B6360"/>
    <w:rsid w:val="003C4C86"/>
    <w:rsid w:val="003C6258"/>
    <w:rsid w:val="003E2904"/>
    <w:rsid w:val="003F1B7E"/>
    <w:rsid w:val="00401927"/>
    <w:rsid w:val="0041027F"/>
    <w:rsid w:val="00412475"/>
    <w:rsid w:val="00423789"/>
    <w:rsid w:val="00424AE4"/>
    <w:rsid w:val="00440F43"/>
    <w:rsid w:val="00441B6F"/>
    <w:rsid w:val="00446221"/>
    <w:rsid w:val="00450E62"/>
    <w:rsid w:val="004539DB"/>
    <w:rsid w:val="00471A80"/>
    <w:rsid w:val="00485B50"/>
    <w:rsid w:val="004B4856"/>
    <w:rsid w:val="004D305E"/>
    <w:rsid w:val="004D4277"/>
    <w:rsid w:val="00502516"/>
    <w:rsid w:val="00505F06"/>
    <w:rsid w:val="00506828"/>
    <w:rsid w:val="0053056E"/>
    <w:rsid w:val="00554FDA"/>
    <w:rsid w:val="0057243C"/>
    <w:rsid w:val="005B1BA2"/>
    <w:rsid w:val="005B20EA"/>
    <w:rsid w:val="005C784C"/>
    <w:rsid w:val="005D17F6"/>
    <w:rsid w:val="005E5539"/>
    <w:rsid w:val="00602BF5"/>
    <w:rsid w:val="00617FDD"/>
    <w:rsid w:val="00633614"/>
    <w:rsid w:val="00633F68"/>
    <w:rsid w:val="00636EB2"/>
    <w:rsid w:val="006375B8"/>
    <w:rsid w:val="00645472"/>
    <w:rsid w:val="0066510A"/>
    <w:rsid w:val="00673F9F"/>
    <w:rsid w:val="00686953"/>
    <w:rsid w:val="00687DEA"/>
    <w:rsid w:val="00687E67"/>
    <w:rsid w:val="006967F7"/>
    <w:rsid w:val="006A250C"/>
    <w:rsid w:val="006B21D3"/>
    <w:rsid w:val="006B57D0"/>
    <w:rsid w:val="006D30FF"/>
    <w:rsid w:val="006D6940"/>
    <w:rsid w:val="006F11EC"/>
    <w:rsid w:val="0070082C"/>
    <w:rsid w:val="00723002"/>
    <w:rsid w:val="007369E6"/>
    <w:rsid w:val="00746E59"/>
    <w:rsid w:val="00754C9A"/>
    <w:rsid w:val="0075599A"/>
    <w:rsid w:val="00761D52"/>
    <w:rsid w:val="0077749E"/>
    <w:rsid w:val="00790ADA"/>
    <w:rsid w:val="00791A80"/>
    <w:rsid w:val="00791AEF"/>
    <w:rsid w:val="007D2288"/>
    <w:rsid w:val="007E088F"/>
    <w:rsid w:val="007E1459"/>
    <w:rsid w:val="007F7B32"/>
    <w:rsid w:val="00804BC2"/>
    <w:rsid w:val="0081431A"/>
    <w:rsid w:val="0083216F"/>
    <w:rsid w:val="00860000"/>
    <w:rsid w:val="00863BD3"/>
    <w:rsid w:val="008641ED"/>
    <w:rsid w:val="00866D66"/>
    <w:rsid w:val="008671C6"/>
    <w:rsid w:val="00875803"/>
    <w:rsid w:val="00897B11"/>
    <w:rsid w:val="008B459E"/>
    <w:rsid w:val="008E13AE"/>
    <w:rsid w:val="008E1506"/>
    <w:rsid w:val="008E710C"/>
    <w:rsid w:val="008F1045"/>
    <w:rsid w:val="008F69D6"/>
    <w:rsid w:val="00902823"/>
    <w:rsid w:val="00915CA6"/>
    <w:rsid w:val="009178AD"/>
    <w:rsid w:val="0092135E"/>
    <w:rsid w:val="009213C8"/>
    <w:rsid w:val="00922F71"/>
    <w:rsid w:val="00927834"/>
    <w:rsid w:val="009500A6"/>
    <w:rsid w:val="00957C18"/>
    <w:rsid w:val="009659BA"/>
    <w:rsid w:val="009762DF"/>
    <w:rsid w:val="00983040"/>
    <w:rsid w:val="009B3FB9"/>
    <w:rsid w:val="009C2465"/>
    <w:rsid w:val="009D35A0"/>
    <w:rsid w:val="009D7EB7"/>
    <w:rsid w:val="009E048A"/>
    <w:rsid w:val="009E08E9"/>
    <w:rsid w:val="009E3DB9"/>
    <w:rsid w:val="009E6E35"/>
    <w:rsid w:val="009F0EDA"/>
    <w:rsid w:val="00A03B96"/>
    <w:rsid w:val="00A05259"/>
    <w:rsid w:val="00A05B19"/>
    <w:rsid w:val="00A1134E"/>
    <w:rsid w:val="00A24E7E"/>
    <w:rsid w:val="00A258C3"/>
    <w:rsid w:val="00A31359"/>
    <w:rsid w:val="00A347C0"/>
    <w:rsid w:val="00A51431"/>
    <w:rsid w:val="00A539AD"/>
    <w:rsid w:val="00A76751"/>
    <w:rsid w:val="00A91914"/>
    <w:rsid w:val="00A93C1D"/>
    <w:rsid w:val="00A94063"/>
    <w:rsid w:val="00AA15EF"/>
    <w:rsid w:val="00AA6219"/>
    <w:rsid w:val="00AA74E0"/>
    <w:rsid w:val="00AB237F"/>
    <w:rsid w:val="00AB703F"/>
    <w:rsid w:val="00AC6BB8"/>
    <w:rsid w:val="00AD2D70"/>
    <w:rsid w:val="00AE008F"/>
    <w:rsid w:val="00AF781B"/>
    <w:rsid w:val="00B01FCD"/>
    <w:rsid w:val="00B1776C"/>
    <w:rsid w:val="00B34CE8"/>
    <w:rsid w:val="00B52583"/>
    <w:rsid w:val="00B52896"/>
    <w:rsid w:val="00B610A4"/>
    <w:rsid w:val="00B93B39"/>
    <w:rsid w:val="00B95236"/>
    <w:rsid w:val="00B96BD9"/>
    <w:rsid w:val="00BA1B01"/>
    <w:rsid w:val="00BA2641"/>
    <w:rsid w:val="00BB37AA"/>
    <w:rsid w:val="00BB5983"/>
    <w:rsid w:val="00BC53A0"/>
    <w:rsid w:val="00BE62AD"/>
    <w:rsid w:val="00BF121F"/>
    <w:rsid w:val="00BF1F80"/>
    <w:rsid w:val="00C02C38"/>
    <w:rsid w:val="00C166EF"/>
    <w:rsid w:val="00C17EB0"/>
    <w:rsid w:val="00C27F5F"/>
    <w:rsid w:val="00C30A0F"/>
    <w:rsid w:val="00C37E61"/>
    <w:rsid w:val="00C70F1B"/>
    <w:rsid w:val="00C71A47"/>
    <w:rsid w:val="00C7464C"/>
    <w:rsid w:val="00C81B77"/>
    <w:rsid w:val="00C85588"/>
    <w:rsid w:val="00C879E2"/>
    <w:rsid w:val="00C90C01"/>
    <w:rsid w:val="00CB5011"/>
    <w:rsid w:val="00CC444F"/>
    <w:rsid w:val="00CD6755"/>
    <w:rsid w:val="00CD6856"/>
    <w:rsid w:val="00CD7A11"/>
    <w:rsid w:val="00CE0089"/>
    <w:rsid w:val="00CE793C"/>
    <w:rsid w:val="00CF193C"/>
    <w:rsid w:val="00D173F1"/>
    <w:rsid w:val="00D212B6"/>
    <w:rsid w:val="00D74CB0"/>
    <w:rsid w:val="00D8295D"/>
    <w:rsid w:val="00DC0078"/>
    <w:rsid w:val="00DC2A65"/>
    <w:rsid w:val="00DE15F0"/>
    <w:rsid w:val="00DE5663"/>
    <w:rsid w:val="00DE78AA"/>
    <w:rsid w:val="00E053D0"/>
    <w:rsid w:val="00E15994"/>
    <w:rsid w:val="00E23BA2"/>
    <w:rsid w:val="00E3114E"/>
    <w:rsid w:val="00E31A70"/>
    <w:rsid w:val="00E35B02"/>
    <w:rsid w:val="00E53141"/>
    <w:rsid w:val="00E66496"/>
    <w:rsid w:val="00E66B35"/>
    <w:rsid w:val="00E66E10"/>
    <w:rsid w:val="00E769F6"/>
    <w:rsid w:val="00E8407C"/>
    <w:rsid w:val="00E84F3C"/>
    <w:rsid w:val="00EA012C"/>
    <w:rsid w:val="00EC6A55"/>
    <w:rsid w:val="00ED0288"/>
    <w:rsid w:val="00EE52CB"/>
    <w:rsid w:val="00EE6698"/>
    <w:rsid w:val="00EF581D"/>
    <w:rsid w:val="00EF7FD8"/>
    <w:rsid w:val="00F06F59"/>
    <w:rsid w:val="00F163D7"/>
    <w:rsid w:val="00F17988"/>
    <w:rsid w:val="00F35ABF"/>
    <w:rsid w:val="00F469F0"/>
    <w:rsid w:val="00F53273"/>
    <w:rsid w:val="00F755E4"/>
    <w:rsid w:val="00F77D02"/>
    <w:rsid w:val="00FA66F4"/>
    <w:rsid w:val="00FB3A86"/>
    <w:rsid w:val="00FD36C8"/>
    <w:rsid w:val="00FE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90C0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90C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C90C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90C01"/>
    <w:rPr>
      <w:rFonts w:asciiTheme="majorHAnsi" w:eastAsiaTheme="majorEastAsia" w:hAnsiTheme="majorHAnsi" w:cstheme="majorBidi"/>
      <w:i/>
      <w:iCs/>
      <w:color w:val="365F91" w:themeColor="accent1" w:themeShade="BF"/>
    </w:rPr>
  </w:style>
  <w:style w:type="table" w:styleId="PlainTable2">
    <w:name w:val="Plain Table 2"/>
    <w:basedOn w:val="TableNormal"/>
    <w:uiPriority w:val="42"/>
    <w:rsid w:val="009762DF"/>
    <w:rPr>
      <w:rFonts w:ascii="Calibri" w:eastAsia="Calibri" w:hAnsi="Calibri" w:cs="Calibri"/>
      <w:sz w:val="22"/>
      <w:szCs w:val="22"/>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35071270/" TargetMode="External"/><Relationship Id="rId26" Type="http://schemas.openxmlformats.org/officeDocument/2006/relationships/hyperlink" Target="https://pubmed.ncbi.nlm.nih.gov/36936268/" TargetMode="External"/><Relationship Id="rId21" Type="http://schemas.openxmlformats.org/officeDocument/2006/relationships/hyperlink" Target="https://pubmed.ncbi.nlm.nih.gov/39733771/"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bmed.ncbi.nlm.nih.gov/36283164/" TargetMode="External"/><Relationship Id="rId25" Type="http://schemas.openxmlformats.org/officeDocument/2006/relationships/hyperlink" Target="https://pubmed.ncbi.nlm.nih.gov/38003950/"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pubmed.ncbi.nlm.nih.gov/34870285/" TargetMode="External"/><Relationship Id="rId20" Type="http://schemas.openxmlformats.org/officeDocument/2006/relationships/hyperlink" Target="https://www.ribeiraopreto.sp.gov.br/portal/saude/boletim-novo-coronavirus-covid-19" TargetMode="External"/><Relationship Id="rId29" Type="http://schemas.openxmlformats.org/officeDocument/2006/relationships/hyperlink" Target="https://pubmed.ncbi.nlm.nih.gov/348869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38657236/"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33843530/" TargetMode="External"/><Relationship Id="rId23" Type="http://schemas.openxmlformats.org/officeDocument/2006/relationships/hyperlink" Target="https://pubmed.ncbi.nlm.nih.gov/40748589/" TargetMode="External"/><Relationship Id="rId28" Type="http://schemas.openxmlformats.org/officeDocument/2006/relationships/hyperlink" Target="https://pubmed.ncbi.nlm.nih.gov/36639608/"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ubmed.ncbi.nlm.nih.gov/24834239/" TargetMode="External"/><Relationship Id="rId31" Type="http://schemas.openxmlformats.org/officeDocument/2006/relationships/hyperlink" Target="https://www.google.com/search?q=https://pubmed.ncbi.nlm.nih.gov/362189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bmed.ncbi.nlm.nih.gov/37758317/" TargetMode="External"/><Relationship Id="rId22" Type="http://schemas.openxmlformats.org/officeDocument/2006/relationships/hyperlink" Target="https://pubmed.ncbi.nlm.nih.gov/36203969/" TargetMode="External"/><Relationship Id="rId27" Type="http://schemas.openxmlformats.org/officeDocument/2006/relationships/hyperlink" Target="https://pubmed.ncbi.nlm.nih.gov/40948805/" TargetMode="External"/><Relationship Id="rId30" Type="http://schemas.openxmlformats.org/officeDocument/2006/relationships/hyperlink" Target="https://pubmed.ncbi.nlm.nih.gov/36239356/"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FD54-323E-4D55-BAB3-E51DBEC6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9</Pages>
  <Words>3704</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51</cp:revision>
  <cp:lastPrinted>1999-07-06T11:00:00Z</cp:lastPrinted>
  <dcterms:created xsi:type="dcterms:W3CDTF">2014-10-25T14:34:00Z</dcterms:created>
  <dcterms:modified xsi:type="dcterms:W3CDTF">2026-04-02T08:47:00Z</dcterms:modified>
</cp:coreProperties>
</file>