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E7DDD9" w14:textId="18DE3F80" w:rsidR="00754C9A" w:rsidRDefault="00DF4681" w:rsidP="00441B6F">
      <w:pPr>
        <w:pStyle w:val="Title"/>
        <w:spacing w:after="0"/>
        <w:jc w:val="both"/>
        <w:rPr>
          <w:rFonts w:ascii="Arial" w:hAnsi="Arial" w:cs="Arial"/>
        </w:rPr>
      </w:pPr>
      <w:r w:rsidRPr="00DF4681">
        <w:rPr>
          <w:rFonts w:ascii="Arial" w:hAnsi="Arial" w:cs="Arial"/>
        </w:rPr>
        <w:t>Case Report</w:t>
      </w:r>
    </w:p>
    <w:p w14:paraId="5E3F172D" w14:textId="77777777" w:rsidR="00DF4681" w:rsidRDefault="00DF4681" w:rsidP="00441B6F">
      <w:pPr>
        <w:pStyle w:val="Title"/>
        <w:spacing w:after="0"/>
        <w:jc w:val="both"/>
        <w:rPr>
          <w:rFonts w:ascii="Arial" w:hAnsi="Arial" w:cs="Arial"/>
        </w:rPr>
      </w:pPr>
    </w:p>
    <w:p w14:paraId="3D1DDE2C" w14:textId="2991E6BE" w:rsidR="003E56B6" w:rsidRPr="006357BE" w:rsidRDefault="003E56B6" w:rsidP="006C4252">
      <w:pPr>
        <w:pStyle w:val="p1"/>
        <w:jc w:val="right"/>
        <w:rPr>
          <w:rFonts w:ascii="Arial" w:hAnsi="Arial" w:cs="Arial"/>
          <w:sz w:val="32"/>
          <w:szCs w:val="32"/>
        </w:rPr>
      </w:pPr>
      <w:r w:rsidRPr="006357BE">
        <w:rPr>
          <w:rStyle w:val="s1"/>
          <w:rFonts w:ascii="Arial" w:hAnsi="Arial" w:cs="Arial"/>
          <w:sz w:val="32"/>
          <w:szCs w:val="32"/>
        </w:rPr>
        <w:t>NON-SURGICAL PERIODONTAL MANAGEMENT OF NIFEDIPINE-</w:t>
      </w:r>
    </w:p>
    <w:p w14:paraId="3DE109E3" w14:textId="77777777" w:rsidR="003E56B6" w:rsidRPr="006357BE" w:rsidRDefault="003E56B6" w:rsidP="006C4252">
      <w:pPr>
        <w:pStyle w:val="p1"/>
        <w:jc w:val="right"/>
        <w:rPr>
          <w:rFonts w:ascii="Arial" w:hAnsi="Arial" w:cs="Arial"/>
          <w:sz w:val="32"/>
          <w:szCs w:val="32"/>
        </w:rPr>
      </w:pPr>
      <w:r w:rsidRPr="006357BE">
        <w:rPr>
          <w:rStyle w:val="s1"/>
          <w:rFonts w:ascii="Arial" w:hAnsi="Arial" w:cs="Arial"/>
          <w:sz w:val="32"/>
          <w:szCs w:val="32"/>
        </w:rPr>
        <w:t>INDUCED GINGIVAL OVERGROWTH: A CASE REPORT</w:t>
      </w:r>
    </w:p>
    <w:p w14:paraId="40466E2E" w14:textId="303C3159" w:rsidR="000F243A" w:rsidRDefault="000F243A" w:rsidP="00984CA3">
      <w:pPr>
        <w:pStyle w:val="Affiliation"/>
        <w:spacing w:after="0" w:line="240" w:lineRule="auto"/>
        <w:rPr>
          <w:rFonts w:ascii="Arial" w:hAnsi="Arial" w:cs="Arial"/>
        </w:rPr>
      </w:pPr>
    </w:p>
    <w:p w14:paraId="103DDE74" w14:textId="77777777" w:rsidR="009071FE" w:rsidRDefault="009071FE" w:rsidP="00984CA3">
      <w:pPr>
        <w:pStyle w:val="Affiliation"/>
        <w:spacing w:after="0" w:line="240" w:lineRule="auto"/>
        <w:rPr>
          <w:rFonts w:ascii="Arial" w:hAnsi="Arial" w:cs="Arial"/>
        </w:rPr>
      </w:pPr>
    </w:p>
    <w:p w14:paraId="6E4E25E5" w14:textId="77777777" w:rsidR="002C57D2" w:rsidRPr="00FB3A86" w:rsidRDefault="002C57D2" w:rsidP="00441B6F">
      <w:pPr>
        <w:pStyle w:val="Affiliation"/>
        <w:spacing w:after="0" w:line="240" w:lineRule="auto"/>
        <w:jc w:val="both"/>
        <w:rPr>
          <w:rFonts w:ascii="Arial" w:hAnsi="Arial" w:cs="Arial"/>
        </w:rPr>
      </w:pPr>
    </w:p>
    <w:p w14:paraId="4710A878" w14:textId="77777777" w:rsidR="00B01FCD" w:rsidRPr="00FB3A86" w:rsidRDefault="00BC01B0" w:rsidP="00441B6F">
      <w:pPr>
        <w:pStyle w:val="Copyright"/>
        <w:spacing w:after="0" w:line="240" w:lineRule="auto"/>
        <w:jc w:val="both"/>
        <w:rPr>
          <w:rFonts w:ascii="Arial" w:hAnsi="Arial" w:cs="Arial"/>
        </w:rPr>
        <w:sectPr w:rsidR="00B01FCD" w:rsidRPr="00FB3A86" w:rsidSect="009071F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 w:code="1"/>
          <w:pgMar w:top="1440" w:right="2016" w:bottom="2016" w:left="2016" w:header="720" w:footer="1296" w:gutter="0"/>
          <w:cols w:space="720"/>
          <w:docGrid w:linePitch="272"/>
        </w:sect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7F57DB13" wp14:editId="687C6AE0">
                <wp:extent cx="5303520" cy="635"/>
                <wp:effectExtent l="0" t="12700" r="5080" b="12065"/>
                <wp:docPr id="26898345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0352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1505D7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width:417.6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" strokeweight="1.5pt">
                <o:lock v:ext="edit" shapetype="f"/>
                <w10:anchorlock/>
              </v:shape>
            </w:pict>
          </mc:Fallback>
        </mc:AlternateContent>
      </w:r>
      <w:r w:rsidR="00FB3A86">
        <w:rPr>
          <w:rFonts w:ascii="Arial" w:hAnsi="Arial" w:cs="Arial"/>
        </w:rPr>
        <w:t>.</w:t>
      </w:r>
    </w:p>
    <w:p w14:paraId="651BDB2F" w14:textId="79A537BC" w:rsidR="00B01FCD" w:rsidRDefault="00B01FCD" w:rsidP="00441B6F">
      <w:pPr>
        <w:pStyle w:val="AbstHead"/>
        <w:spacing w:after="0"/>
        <w:jc w:val="both"/>
        <w:rPr>
          <w:rFonts w:ascii="Arial" w:hAnsi="Arial" w:cs="Arial"/>
        </w:rPr>
      </w:pPr>
      <w:r w:rsidRPr="00FB3A86">
        <w:rPr>
          <w:rFonts w:ascii="Arial" w:hAnsi="Arial" w:cs="Arial"/>
        </w:rPr>
        <w:t>ABSTRACT</w:t>
      </w:r>
      <w:r w:rsidR="0066510A">
        <w:rPr>
          <w:rFonts w:ascii="Arial" w:hAnsi="Arial" w:cs="Arial"/>
        </w:rPr>
        <w:t xml:space="preserve"> </w:t>
      </w:r>
    </w:p>
    <w:p w14:paraId="78B480DF" w14:textId="77777777" w:rsidR="00790ADA" w:rsidRPr="00FB3A86" w:rsidRDefault="00790ADA" w:rsidP="00441B6F">
      <w:pPr>
        <w:pStyle w:val="AbstHead"/>
        <w:spacing w:after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ook w:val="04A0" w:firstRow="1" w:lastRow="0" w:firstColumn="1" w:lastColumn="0" w:noHBand="0" w:noVBand="1"/>
      </w:tblPr>
      <w:tblGrid>
        <w:gridCol w:w="9576"/>
      </w:tblGrid>
      <w:tr w:rsidR="00296529" w:rsidRPr="001E44FE" w14:paraId="2CE6A7D9" w14:textId="77777777" w:rsidTr="00C40C87">
        <w:trPr>
          <w:trHeight w:val="1408"/>
        </w:trPr>
        <w:tc>
          <w:tcPr>
            <w:tcW w:w="9576" w:type="dxa"/>
            <w:shd w:val="clear" w:color="auto" w:fill="F2F2F2"/>
          </w:tcPr>
          <w:p w14:paraId="692C01B1" w14:textId="77777777" w:rsidR="00C40C87" w:rsidRPr="00C40C87" w:rsidRDefault="00C40C87" w:rsidP="00C40C87">
            <w:pPr>
              <w:pStyle w:val="Body"/>
              <w:spacing w:after="0"/>
              <w:rPr>
                <w:rFonts w:ascii="Arial" w:eastAsia="Calibri" w:hAnsi="Arial" w:cs="Arial"/>
                <w:b/>
                <w:bCs/>
                <w:szCs w:val="22"/>
                <w:lang w:val="en-IN"/>
              </w:rPr>
            </w:pPr>
            <w:r w:rsidRPr="00C40C87">
              <w:rPr>
                <w:rFonts w:ascii="Arial" w:eastAsia="Calibri" w:hAnsi="Arial" w:cs="Arial"/>
                <w:b/>
                <w:bCs/>
                <w:szCs w:val="22"/>
                <w:lang w:val="en-IN"/>
              </w:rPr>
              <w:t>Introduction</w:t>
            </w:r>
          </w:p>
          <w:p w14:paraId="5849D4BE" w14:textId="77777777" w:rsidR="00C40C87" w:rsidRPr="00C40C87" w:rsidRDefault="00C40C87" w:rsidP="00C40C87">
            <w:pPr>
              <w:pStyle w:val="Body"/>
              <w:spacing w:after="0"/>
              <w:rPr>
                <w:rFonts w:ascii="Arial" w:eastAsia="Calibri" w:hAnsi="Arial" w:cs="Arial"/>
                <w:szCs w:val="22"/>
                <w:lang w:val="en-IN"/>
              </w:rPr>
            </w:pPr>
            <w:r w:rsidRPr="00C40C87">
              <w:rPr>
                <w:rFonts w:ascii="Arial" w:eastAsia="Calibri" w:hAnsi="Arial" w:cs="Arial"/>
                <w:szCs w:val="22"/>
                <w:lang w:val="en-IN"/>
              </w:rPr>
              <w:t>Gingival overgrowth is a common adverse effect associated with long-term use of antihypertensive, anticonvulsant, and immunosuppressant drugs, influenced by drug-related factors and periodontal status.</w:t>
            </w:r>
          </w:p>
          <w:p w14:paraId="23735704" w14:textId="77777777" w:rsidR="00C40C87" w:rsidRPr="00C40C87" w:rsidRDefault="00C40C87" w:rsidP="00C40C87">
            <w:pPr>
              <w:pStyle w:val="Body"/>
              <w:spacing w:after="0"/>
              <w:rPr>
                <w:rFonts w:ascii="Arial" w:eastAsia="Calibri" w:hAnsi="Arial" w:cs="Arial"/>
                <w:b/>
                <w:bCs/>
                <w:szCs w:val="22"/>
                <w:lang w:val="en-IN"/>
              </w:rPr>
            </w:pPr>
            <w:r w:rsidRPr="00C40C87">
              <w:rPr>
                <w:rFonts w:ascii="Arial" w:eastAsia="Calibri" w:hAnsi="Arial" w:cs="Arial"/>
                <w:b/>
                <w:bCs/>
                <w:szCs w:val="22"/>
                <w:lang w:val="en-IN"/>
              </w:rPr>
              <w:t>Case Presentation</w:t>
            </w:r>
          </w:p>
          <w:p w14:paraId="1ADDEDB3" w14:textId="77777777" w:rsidR="00C40C87" w:rsidRPr="00C40C87" w:rsidRDefault="00C40C87" w:rsidP="00C40C87">
            <w:pPr>
              <w:pStyle w:val="Body"/>
              <w:spacing w:after="0"/>
              <w:rPr>
                <w:rFonts w:ascii="Arial" w:eastAsia="Calibri" w:hAnsi="Arial" w:cs="Arial"/>
                <w:szCs w:val="22"/>
                <w:lang w:val="en-IN"/>
              </w:rPr>
            </w:pPr>
            <w:r w:rsidRPr="00C40C87">
              <w:rPr>
                <w:rFonts w:ascii="Arial" w:eastAsia="Calibri" w:hAnsi="Arial" w:cs="Arial"/>
                <w:szCs w:val="22"/>
                <w:lang w:val="en-IN"/>
              </w:rPr>
              <w:t xml:space="preserve">A 40-year-old patient presented with nifedipine-induced gingival enlargement affecting function, aesthetics, and oral hygiene. Nonsurgical periodontal therapy, including scaling, root </w:t>
            </w:r>
            <w:proofErr w:type="spellStart"/>
            <w:r w:rsidRPr="00C40C87">
              <w:rPr>
                <w:rFonts w:ascii="Arial" w:eastAsia="Calibri" w:hAnsi="Arial" w:cs="Arial"/>
                <w:szCs w:val="22"/>
                <w:lang w:val="en-IN"/>
              </w:rPr>
              <w:t>planing</w:t>
            </w:r>
            <w:proofErr w:type="spellEnd"/>
            <w:r w:rsidRPr="00C40C87">
              <w:rPr>
                <w:rFonts w:ascii="Arial" w:eastAsia="Calibri" w:hAnsi="Arial" w:cs="Arial"/>
                <w:szCs w:val="22"/>
                <w:lang w:val="en-IN"/>
              </w:rPr>
              <w:t>, and oral hygiene reinforcement, was performed without altering medication.</w:t>
            </w:r>
          </w:p>
          <w:p w14:paraId="4EF4BD2D" w14:textId="77777777" w:rsidR="00C40C87" w:rsidRPr="00C40C87" w:rsidRDefault="00C40C87" w:rsidP="00C40C87">
            <w:pPr>
              <w:pStyle w:val="Body"/>
              <w:spacing w:after="0"/>
              <w:rPr>
                <w:rFonts w:ascii="Arial" w:eastAsia="Calibri" w:hAnsi="Arial" w:cs="Arial"/>
                <w:b/>
                <w:bCs/>
                <w:szCs w:val="22"/>
                <w:lang w:val="en-IN"/>
              </w:rPr>
            </w:pPr>
            <w:r w:rsidRPr="00C40C87">
              <w:rPr>
                <w:rFonts w:ascii="Arial" w:eastAsia="Calibri" w:hAnsi="Arial" w:cs="Arial"/>
                <w:b/>
                <w:bCs/>
                <w:szCs w:val="22"/>
                <w:lang w:val="en-IN"/>
              </w:rPr>
              <w:t>Discussion</w:t>
            </w:r>
          </w:p>
          <w:p w14:paraId="1E0A3653" w14:textId="77777777" w:rsidR="00C40C87" w:rsidRPr="00C40C87" w:rsidRDefault="00C40C87" w:rsidP="00C40C87">
            <w:pPr>
              <w:pStyle w:val="Body"/>
              <w:spacing w:after="0"/>
              <w:rPr>
                <w:rFonts w:ascii="Arial" w:eastAsia="Calibri" w:hAnsi="Arial" w:cs="Arial"/>
                <w:szCs w:val="22"/>
                <w:lang w:val="en-IN"/>
              </w:rPr>
            </w:pPr>
            <w:r w:rsidRPr="00C40C87">
              <w:rPr>
                <w:rFonts w:ascii="Arial" w:eastAsia="Calibri" w:hAnsi="Arial" w:cs="Arial"/>
                <w:szCs w:val="22"/>
                <w:lang w:val="en-IN"/>
              </w:rPr>
              <w:t>Progressive reduction in gingival overgrowth was observed, with complete resolution achieved through meticulous plaque control and regular supportive periodontal therapy, avoiding surgical intervention.</w:t>
            </w:r>
          </w:p>
          <w:p w14:paraId="08D2D2DE" w14:textId="77777777" w:rsidR="00C40C87" w:rsidRPr="00C40C87" w:rsidRDefault="00C40C87" w:rsidP="00C40C87">
            <w:pPr>
              <w:pStyle w:val="Body"/>
              <w:spacing w:after="0"/>
              <w:rPr>
                <w:rFonts w:ascii="Arial" w:eastAsia="Calibri" w:hAnsi="Arial" w:cs="Arial"/>
                <w:b/>
                <w:bCs/>
                <w:szCs w:val="22"/>
                <w:lang w:val="en-IN"/>
              </w:rPr>
            </w:pPr>
            <w:r w:rsidRPr="00C40C87">
              <w:rPr>
                <w:rFonts w:ascii="Arial" w:eastAsia="Calibri" w:hAnsi="Arial" w:cs="Arial"/>
                <w:b/>
                <w:bCs/>
                <w:szCs w:val="22"/>
                <w:lang w:val="en-IN"/>
              </w:rPr>
              <w:t>Conclusion</w:t>
            </w:r>
          </w:p>
          <w:p w14:paraId="1AF0316B" w14:textId="77777777" w:rsidR="00C40C87" w:rsidRPr="00C40C87" w:rsidRDefault="00C40C87" w:rsidP="00C40C87">
            <w:pPr>
              <w:pStyle w:val="Body"/>
              <w:spacing w:after="0"/>
              <w:rPr>
                <w:rFonts w:ascii="Arial" w:eastAsia="Calibri" w:hAnsi="Arial" w:cs="Arial"/>
                <w:szCs w:val="22"/>
                <w:lang w:val="en-IN"/>
              </w:rPr>
            </w:pPr>
            <w:r w:rsidRPr="00C40C87">
              <w:rPr>
                <w:rFonts w:ascii="Arial" w:eastAsia="Calibri" w:hAnsi="Arial" w:cs="Arial"/>
                <w:szCs w:val="22"/>
                <w:lang w:val="en-IN"/>
              </w:rPr>
              <w:t>Nonsurgical management can effectively treat drug-induced gingival overgrowth, with long-term stability achievable through consistent maintenance and patient compliance.</w:t>
            </w:r>
          </w:p>
          <w:p w14:paraId="44091E92" w14:textId="1B496172" w:rsidR="00505F06" w:rsidRPr="00BA1B01" w:rsidRDefault="00505F06" w:rsidP="00441B6F">
            <w:pPr>
              <w:pStyle w:val="Body"/>
              <w:spacing w:after="0"/>
              <w:rPr>
                <w:rFonts w:ascii="Arial" w:eastAsia="Calibri" w:hAnsi="Arial" w:cs="Arial"/>
                <w:szCs w:val="22"/>
              </w:rPr>
            </w:pPr>
          </w:p>
        </w:tc>
      </w:tr>
    </w:tbl>
    <w:p w14:paraId="27C1FD62" w14:textId="77777777" w:rsidR="00636EB2" w:rsidRDefault="00636EB2" w:rsidP="00441B6F">
      <w:pPr>
        <w:pStyle w:val="Body"/>
        <w:spacing w:after="0"/>
        <w:rPr>
          <w:rFonts w:ascii="Arial" w:hAnsi="Arial" w:cs="Arial"/>
          <w:i/>
        </w:rPr>
      </w:pPr>
    </w:p>
    <w:p w14:paraId="5822725D" w14:textId="53D42DAF" w:rsidR="00A24E7E" w:rsidRDefault="00A24E7E" w:rsidP="00441B6F">
      <w:pPr>
        <w:pStyle w:val="Body"/>
        <w:spacing w:after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Keywords: </w:t>
      </w:r>
      <w:r w:rsidR="002A41D5" w:rsidRPr="002A41D5">
        <w:rPr>
          <w:rFonts w:ascii="Arial" w:hAnsi="Arial" w:cs="Arial"/>
          <w:i/>
          <w:iCs/>
        </w:rPr>
        <w:t xml:space="preserve">Gingiva Hyperplasia, Nifedipine/Adverse Effects, Periodontal pocket, Calcium Channel Blockers, </w:t>
      </w:r>
      <w:r w:rsidR="002A41D5" w:rsidRPr="002A41D5">
        <w:rPr>
          <w:rFonts w:ascii="Arial" w:hAnsi="Arial" w:cs="Arial"/>
          <w:i/>
          <w:iCs/>
          <w:color w:val="212121"/>
          <w:u w:color="212121"/>
          <w:lang w:val="fr-FR"/>
        </w:rPr>
        <w:t xml:space="preserve">Oral </w:t>
      </w:r>
      <w:proofErr w:type="spellStart"/>
      <w:r w:rsidR="002A41D5" w:rsidRPr="002A41D5">
        <w:rPr>
          <w:rFonts w:ascii="Arial" w:hAnsi="Arial" w:cs="Arial"/>
          <w:i/>
          <w:iCs/>
          <w:color w:val="212121"/>
          <w:u w:color="212121"/>
          <w:lang w:val="fr-FR"/>
        </w:rPr>
        <w:t>Hygiene</w:t>
      </w:r>
      <w:proofErr w:type="spellEnd"/>
      <w:r w:rsidR="002A41D5" w:rsidRPr="002A41D5">
        <w:rPr>
          <w:rFonts w:ascii="Arial" w:hAnsi="Arial" w:cs="Arial"/>
          <w:i/>
          <w:iCs/>
          <w:color w:val="212121"/>
          <w:u w:color="212121"/>
          <w:lang w:val="fr-FR"/>
        </w:rPr>
        <w:t xml:space="preserve">/ Education, Plaque </w:t>
      </w:r>
      <w:proofErr w:type="spellStart"/>
      <w:r w:rsidR="002A41D5" w:rsidRPr="002A41D5">
        <w:rPr>
          <w:rFonts w:ascii="Arial" w:hAnsi="Arial" w:cs="Arial"/>
          <w:i/>
          <w:iCs/>
          <w:color w:val="212121"/>
          <w:u w:color="212121"/>
          <w:lang w:val="fr-FR"/>
        </w:rPr>
        <w:t>prevention</w:t>
      </w:r>
      <w:proofErr w:type="spellEnd"/>
      <w:r w:rsidR="002A41D5" w:rsidRPr="002A41D5">
        <w:rPr>
          <w:rFonts w:ascii="Arial" w:hAnsi="Arial" w:cs="Arial"/>
          <w:i/>
          <w:iCs/>
          <w:color w:val="212121"/>
          <w:u w:color="212121"/>
          <w:lang w:val="fr-FR"/>
        </w:rPr>
        <w:t xml:space="preserve"> &amp; control.</w:t>
      </w:r>
    </w:p>
    <w:p w14:paraId="3C8A4ADA" w14:textId="77777777" w:rsidR="00790ADA" w:rsidRDefault="00790ADA" w:rsidP="00441B6F">
      <w:pPr>
        <w:pStyle w:val="Body"/>
        <w:spacing w:after="0"/>
        <w:rPr>
          <w:rFonts w:ascii="Arial" w:hAnsi="Arial" w:cs="Arial"/>
          <w:i/>
        </w:rPr>
      </w:pPr>
    </w:p>
    <w:p w14:paraId="087E5C96" w14:textId="521D1815" w:rsidR="00B52896" w:rsidRDefault="00B52896" w:rsidP="00DF4681">
      <w:pPr>
        <w:pStyle w:val="Body"/>
        <w:spacing w:after="0"/>
        <w:rPr>
          <w:rFonts w:ascii="Arial" w:hAnsi="Arial" w:cs="Arial"/>
          <w:i/>
          <w:sz w:val="18"/>
        </w:rPr>
      </w:pPr>
    </w:p>
    <w:p w14:paraId="72B2A0B5" w14:textId="77777777" w:rsidR="0024282C" w:rsidRDefault="0024282C" w:rsidP="00441B6F">
      <w:pPr>
        <w:pStyle w:val="Body"/>
        <w:spacing w:after="0"/>
        <w:rPr>
          <w:rFonts w:ascii="Arial" w:hAnsi="Arial" w:cs="Arial"/>
          <w:i/>
          <w:sz w:val="18"/>
        </w:rPr>
      </w:pPr>
    </w:p>
    <w:p w14:paraId="49CC4520" w14:textId="77777777" w:rsidR="00505F06" w:rsidRPr="00A24E7E" w:rsidRDefault="00505F06" w:rsidP="00441B6F">
      <w:pPr>
        <w:pStyle w:val="Body"/>
        <w:spacing w:after="0"/>
        <w:rPr>
          <w:rFonts w:ascii="Arial" w:hAnsi="Arial" w:cs="Arial"/>
          <w:i/>
        </w:rPr>
      </w:pPr>
    </w:p>
    <w:p w14:paraId="3C84C2C1" w14:textId="4C78322A" w:rsidR="007F7B32" w:rsidRDefault="00902823" w:rsidP="00441B6F">
      <w:pPr>
        <w:pStyle w:val="Abst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B01FCD" w:rsidRPr="00FB3A86">
        <w:rPr>
          <w:rFonts w:ascii="Arial" w:hAnsi="Arial" w:cs="Arial"/>
        </w:rPr>
        <w:t>INTRODUCTION</w:t>
      </w:r>
      <w:r w:rsidR="007F7B32">
        <w:rPr>
          <w:rFonts w:ascii="Arial" w:hAnsi="Arial" w:cs="Arial"/>
        </w:rPr>
        <w:t xml:space="preserve"> </w:t>
      </w:r>
    </w:p>
    <w:p w14:paraId="4C302FB1" w14:textId="77777777" w:rsidR="00790ADA" w:rsidRPr="00FB3A86" w:rsidRDefault="00790ADA" w:rsidP="00441B6F">
      <w:pPr>
        <w:pStyle w:val="AbstHead"/>
        <w:spacing w:after="0"/>
        <w:jc w:val="both"/>
        <w:rPr>
          <w:rFonts w:ascii="Arial" w:hAnsi="Arial" w:cs="Arial"/>
        </w:rPr>
      </w:pPr>
    </w:p>
    <w:p w14:paraId="1980F7D3" w14:textId="3F6F1582" w:rsidR="00C40C87" w:rsidRDefault="00456E0E" w:rsidP="003B43D2">
      <w:pPr>
        <w:jc w:val="both"/>
        <w:rPr>
          <w:rFonts w:ascii="Arial" w:eastAsiaTheme="minorEastAsia" w:hAnsi="Arial" w:cs="Arial"/>
          <w:color w:val="000000"/>
          <w:lang w:val="en-IN" w:eastAsia="en-GB"/>
        </w:rPr>
      </w:pPr>
      <w:r w:rsidRPr="00456E0E">
        <w:rPr>
          <w:rFonts w:ascii="Arial" w:eastAsiaTheme="minorEastAsia" w:hAnsi="Arial" w:cs="Arial"/>
          <w:color w:val="000000"/>
          <w:lang w:val="en-IN" w:eastAsia="en-GB"/>
        </w:rPr>
        <w:t>An increasing number of medications are associated with gingival enlargement. In the context</w:t>
      </w:r>
      <w:r w:rsidR="007F218D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456E0E">
        <w:rPr>
          <w:rFonts w:ascii="Arial" w:eastAsiaTheme="minorEastAsia" w:hAnsi="Arial" w:cs="Arial"/>
          <w:color w:val="000000"/>
          <w:lang w:val="en-IN" w:eastAsia="en-GB"/>
        </w:rPr>
        <w:t>of medication-induced gingival alterations, the terminology gingival enlargement or gingival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456E0E">
        <w:rPr>
          <w:rFonts w:ascii="Arial" w:eastAsiaTheme="minorEastAsia" w:hAnsi="Arial" w:cs="Arial"/>
          <w:color w:val="000000"/>
          <w:lang w:val="en-IN" w:eastAsia="en-GB"/>
        </w:rPr>
        <w:t>overgrowth is currently recommended, superseding the previously used terms gingival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456E0E">
        <w:rPr>
          <w:rFonts w:ascii="Arial" w:eastAsiaTheme="minorEastAsia" w:hAnsi="Arial" w:cs="Arial"/>
          <w:color w:val="000000"/>
          <w:lang w:val="en-IN" w:eastAsia="en-GB"/>
        </w:rPr>
        <w:t>hyperplasia and gingival hypertrophy. These earlier terms did not accurately reflect the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456E0E">
        <w:rPr>
          <w:rFonts w:ascii="Arial" w:eastAsiaTheme="minorEastAsia" w:hAnsi="Arial" w:cs="Arial"/>
          <w:color w:val="000000"/>
          <w:lang w:val="en-IN" w:eastAsia="en-GB"/>
        </w:rPr>
        <w:t>histologic composition of the pharmacologically modified gingiva.</w:t>
      </w:r>
      <w:r w:rsidRPr="00456E0E">
        <w:rPr>
          <w:rFonts w:ascii="Arial" w:eastAsiaTheme="minorEastAsia" w:hAnsi="Arial" w:cs="Arial"/>
          <w:color w:val="000000"/>
          <w:vertAlign w:val="superscript"/>
          <w:lang w:val="en-IN" w:eastAsia="en-GB"/>
        </w:rPr>
        <w:t>1</w:t>
      </w:r>
      <w:r w:rsidRPr="00456E0E">
        <w:rPr>
          <w:rFonts w:ascii="Arial" w:eastAsiaTheme="minorEastAsia" w:hAnsi="Arial" w:cs="Arial"/>
          <w:color w:val="000000"/>
          <w:lang w:val="en-IN" w:eastAsia="en-GB"/>
        </w:rPr>
        <w:t xml:space="preserve"> More than 20 drugs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456E0E">
        <w:rPr>
          <w:rFonts w:ascii="Arial" w:eastAsiaTheme="minorEastAsia" w:hAnsi="Arial" w:cs="Arial"/>
          <w:color w:val="000000"/>
          <w:lang w:val="en-IN" w:eastAsia="en-GB"/>
        </w:rPr>
        <w:t xml:space="preserve">associated with gingival enlargements. Anticonvulsants, </w:t>
      </w:r>
      <w:proofErr w:type="spellStart"/>
      <w:r w:rsidRPr="00456E0E">
        <w:rPr>
          <w:rFonts w:ascii="Arial" w:eastAsiaTheme="minorEastAsia" w:hAnsi="Arial" w:cs="Arial"/>
          <w:color w:val="000000"/>
          <w:lang w:val="en-IN" w:eastAsia="en-GB"/>
        </w:rPr>
        <w:t>immunosuppressives</w:t>
      </w:r>
      <w:proofErr w:type="spellEnd"/>
      <w:r w:rsidRPr="00456E0E">
        <w:rPr>
          <w:rFonts w:ascii="Arial" w:eastAsiaTheme="minorEastAsia" w:hAnsi="Arial" w:cs="Arial"/>
          <w:color w:val="000000"/>
          <w:lang w:val="en-IN" w:eastAsia="en-GB"/>
        </w:rPr>
        <w:t>, and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456E0E">
        <w:rPr>
          <w:rFonts w:ascii="Arial" w:eastAsiaTheme="minorEastAsia" w:hAnsi="Arial" w:cs="Arial"/>
          <w:color w:val="000000"/>
          <w:lang w:val="en-IN" w:eastAsia="en-GB"/>
        </w:rPr>
        <w:t>antihypertensive medicines are the three primary pharmacological classes.</w:t>
      </w:r>
      <w:r w:rsidRPr="00456E0E">
        <w:rPr>
          <w:rFonts w:ascii="Arial" w:eastAsiaTheme="minorEastAsia" w:hAnsi="Arial" w:cs="Arial"/>
          <w:color w:val="000000"/>
          <w:vertAlign w:val="superscript"/>
          <w:lang w:val="en-IN" w:eastAsia="en-GB"/>
        </w:rPr>
        <w:t>2</w:t>
      </w:r>
      <w:r w:rsidRPr="00456E0E">
        <w:rPr>
          <w:rFonts w:ascii="Arial" w:eastAsiaTheme="minorEastAsia" w:hAnsi="Arial" w:cs="Arial"/>
          <w:color w:val="000000"/>
          <w:lang w:val="en-IN" w:eastAsia="en-GB"/>
        </w:rPr>
        <w:t xml:space="preserve"> Gingival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456E0E">
        <w:rPr>
          <w:rFonts w:ascii="Arial" w:eastAsiaTheme="minorEastAsia" w:hAnsi="Arial" w:cs="Arial"/>
          <w:color w:val="000000"/>
          <w:lang w:val="en-IN" w:eastAsia="en-GB"/>
        </w:rPr>
        <w:t>overgrowth does not develop in all individuals receiving these medications, and among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456E0E">
        <w:rPr>
          <w:rFonts w:ascii="Arial" w:eastAsiaTheme="minorEastAsia" w:hAnsi="Arial" w:cs="Arial"/>
          <w:color w:val="000000"/>
          <w:lang w:val="en-IN" w:eastAsia="en-GB"/>
        </w:rPr>
        <w:t>affected</w:t>
      </w:r>
      <w:r w:rsidR="00A87288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456E0E">
        <w:rPr>
          <w:rFonts w:ascii="Arial" w:eastAsiaTheme="minorEastAsia" w:hAnsi="Arial" w:cs="Arial"/>
          <w:color w:val="000000"/>
          <w:lang w:val="en-IN" w:eastAsia="en-GB"/>
        </w:rPr>
        <w:t>patients, the degree and severity vary considerably.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456E0E">
        <w:rPr>
          <w:rFonts w:ascii="Arial" w:eastAsiaTheme="minorEastAsia" w:hAnsi="Arial" w:cs="Arial"/>
          <w:color w:val="000000"/>
          <w:lang w:val="en-IN" w:eastAsia="en-GB"/>
        </w:rPr>
        <w:t>Nifedipine, a widely prescribed calcium channel blocker, is commonly used in the management</w:t>
      </w:r>
      <w:r w:rsidR="00A87288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456E0E">
        <w:rPr>
          <w:rFonts w:ascii="Arial" w:eastAsiaTheme="minorEastAsia" w:hAnsi="Arial" w:cs="Arial"/>
          <w:color w:val="000000"/>
          <w:lang w:val="en-IN" w:eastAsia="en-GB"/>
        </w:rPr>
        <w:t>of hypertension and certain types of angina. Among its several side effects, enlargement of the</w:t>
      </w:r>
      <w:r w:rsidR="007F218D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456E0E">
        <w:rPr>
          <w:rFonts w:ascii="Arial" w:eastAsiaTheme="minorEastAsia" w:hAnsi="Arial" w:cs="Arial"/>
          <w:color w:val="000000"/>
          <w:lang w:val="en-IN" w:eastAsia="en-GB"/>
        </w:rPr>
        <w:t>gingiva is the most notable and clinically significant in dentistry. This condition, linked to</w:t>
      </w:r>
      <w:r w:rsidR="00A87288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456E0E">
        <w:rPr>
          <w:rFonts w:ascii="Arial" w:eastAsiaTheme="minorEastAsia" w:hAnsi="Arial" w:cs="Arial"/>
          <w:color w:val="000000"/>
          <w:lang w:val="en-IN" w:eastAsia="en-GB"/>
        </w:rPr>
        <w:t>nifedipine use, was first documented in 1984.</w:t>
      </w:r>
      <w:r w:rsidRPr="00456E0E">
        <w:rPr>
          <w:rFonts w:ascii="Arial" w:eastAsiaTheme="minorEastAsia" w:hAnsi="Arial" w:cs="Arial"/>
          <w:color w:val="000000"/>
          <w:vertAlign w:val="superscript"/>
          <w:lang w:val="en-IN" w:eastAsia="en-GB"/>
        </w:rPr>
        <w:t>3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</w:p>
    <w:p w14:paraId="716CDDD4" w14:textId="3C86C6AF" w:rsidR="00456E0E" w:rsidRPr="00456E0E" w:rsidRDefault="00456E0E" w:rsidP="003B43D2">
      <w:pPr>
        <w:jc w:val="both"/>
        <w:rPr>
          <w:rFonts w:ascii="Arial" w:eastAsiaTheme="minorEastAsia" w:hAnsi="Arial" w:cs="Arial"/>
          <w:color w:val="000000"/>
          <w:lang w:val="en-IN" w:eastAsia="en-GB"/>
        </w:rPr>
      </w:pPr>
      <w:r w:rsidRPr="00456E0E">
        <w:rPr>
          <w:rFonts w:ascii="Arial" w:eastAsiaTheme="minorEastAsia" w:hAnsi="Arial" w:cs="Arial"/>
          <w:color w:val="000000"/>
          <w:lang w:val="en-IN" w:eastAsia="en-GB"/>
        </w:rPr>
        <w:t>Different treatment options can be suggested to manage gingival overgrowth; they can be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456E0E">
        <w:rPr>
          <w:rFonts w:ascii="Arial" w:eastAsiaTheme="minorEastAsia" w:hAnsi="Arial" w:cs="Arial"/>
          <w:color w:val="000000"/>
          <w:lang w:val="en-IN" w:eastAsia="en-GB"/>
        </w:rPr>
        <w:t>categorized as nonsurgical approach and surgical approach. The nonsurgical approach focuses</w:t>
      </w:r>
      <w:r w:rsidR="00153900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456E0E">
        <w:rPr>
          <w:rFonts w:ascii="Arial" w:eastAsiaTheme="minorEastAsia" w:hAnsi="Arial" w:cs="Arial"/>
          <w:color w:val="000000"/>
          <w:lang w:val="en-IN" w:eastAsia="en-GB"/>
        </w:rPr>
        <w:t>on controlling the inflammatory element of the gingiva, while the surgical approach is used to</w:t>
      </w:r>
      <w:r w:rsidR="00153900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456E0E">
        <w:rPr>
          <w:rFonts w:ascii="Arial" w:eastAsiaTheme="minorEastAsia" w:hAnsi="Arial" w:cs="Arial"/>
          <w:color w:val="000000"/>
          <w:lang w:val="en-IN" w:eastAsia="en-GB"/>
        </w:rPr>
        <w:t>remove the fibrotic portion in cases of marked severity unresponsive to conservative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456E0E">
        <w:rPr>
          <w:rFonts w:ascii="Arial" w:eastAsiaTheme="minorEastAsia" w:hAnsi="Arial" w:cs="Arial"/>
          <w:color w:val="000000"/>
          <w:lang w:val="en-IN" w:eastAsia="en-GB"/>
        </w:rPr>
        <w:lastRenderedPageBreak/>
        <w:t>measures.</w:t>
      </w:r>
      <w:r w:rsidRPr="00456E0E">
        <w:rPr>
          <w:rFonts w:ascii="Arial" w:eastAsiaTheme="minorEastAsia" w:hAnsi="Arial" w:cs="Arial"/>
          <w:color w:val="000000"/>
          <w:vertAlign w:val="superscript"/>
          <w:lang w:val="en-IN" w:eastAsia="en-GB"/>
        </w:rPr>
        <w:t>4</w:t>
      </w:r>
      <w:r w:rsidRPr="00456E0E">
        <w:rPr>
          <w:rFonts w:ascii="Arial" w:eastAsiaTheme="minorEastAsia" w:hAnsi="Arial" w:cs="Arial"/>
          <w:color w:val="000000"/>
          <w:lang w:val="en-IN" w:eastAsia="en-GB"/>
        </w:rPr>
        <w:t xml:space="preserve"> This case report highlights the successful nonsurgical management of nifedipine-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456E0E">
        <w:rPr>
          <w:rFonts w:ascii="Arial" w:eastAsiaTheme="minorEastAsia" w:hAnsi="Arial" w:cs="Arial"/>
          <w:color w:val="000000"/>
          <w:lang w:val="en-IN" w:eastAsia="en-GB"/>
        </w:rPr>
        <w:t>induced gingival overgrowth, monitored over a 2-year follow-up period.</w:t>
      </w:r>
    </w:p>
    <w:p w14:paraId="6FA28160" w14:textId="25265757" w:rsidR="00B95236" w:rsidRDefault="00B95236" w:rsidP="00441B6F">
      <w:pPr>
        <w:pStyle w:val="Body"/>
        <w:spacing w:after="0"/>
        <w:rPr>
          <w:rFonts w:ascii="Arial" w:hAnsi="Arial" w:cs="Arial"/>
        </w:rPr>
      </w:pPr>
      <w:r w:rsidRPr="00B95236">
        <w:rPr>
          <w:rFonts w:ascii="Arial" w:hAnsi="Arial" w:cs="Arial"/>
        </w:rPr>
        <w:t xml:space="preserve"> </w:t>
      </w:r>
    </w:p>
    <w:p w14:paraId="484A252E" w14:textId="77777777" w:rsidR="00505F06" w:rsidRDefault="00505F06" w:rsidP="00441B6F">
      <w:pPr>
        <w:pStyle w:val="Body"/>
        <w:spacing w:after="0"/>
        <w:rPr>
          <w:rFonts w:ascii="Arial" w:hAnsi="Arial" w:cs="Arial"/>
        </w:rPr>
      </w:pPr>
    </w:p>
    <w:p w14:paraId="779D21D3" w14:textId="77777777" w:rsidR="00790ADA" w:rsidRPr="00FB3A86" w:rsidRDefault="00790ADA" w:rsidP="00441B6F">
      <w:pPr>
        <w:pStyle w:val="Body"/>
        <w:spacing w:after="0"/>
        <w:rPr>
          <w:rFonts w:ascii="Arial" w:hAnsi="Arial" w:cs="Arial"/>
        </w:rPr>
      </w:pPr>
    </w:p>
    <w:p w14:paraId="6227A332" w14:textId="115EFC01" w:rsidR="007F7B32" w:rsidRDefault="00902823" w:rsidP="00441B6F">
      <w:pPr>
        <w:pStyle w:val="Abst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153900">
        <w:rPr>
          <w:rFonts w:ascii="Arial" w:hAnsi="Arial" w:cs="Arial"/>
        </w:rPr>
        <w:t xml:space="preserve">Case </w:t>
      </w:r>
      <w:r w:rsidR="007E073F">
        <w:rPr>
          <w:rFonts w:ascii="Arial" w:hAnsi="Arial" w:cs="Arial"/>
        </w:rPr>
        <w:t>description</w:t>
      </w:r>
    </w:p>
    <w:p w14:paraId="17180F7D" w14:textId="4612E194" w:rsidR="00A76B18" w:rsidRPr="00A76B18" w:rsidRDefault="00A76B18" w:rsidP="00A76B18">
      <w:pPr>
        <w:rPr>
          <w:rFonts w:ascii="Times New Roman" w:eastAsiaTheme="minorEastAsia" w:hAnsi="Times New Roman"/>
          <w:color w:val="000000"/>
          <w:sz w:val="18"/>
          <w:szCs w:val="18"/>
          <w:lang w:val="en-IN" w:eastAsia="en-GB"/>
        </w:rPr>
      </w:pPr>
    </w:p>
    <w:p w14:paraId="3684FE11" w14:textId="7CF9A6A2" w:rsidR="00A76B18" w:rsidRPr="00A76B18" w:rsidRDefault="00A76B18" w:rsidP="00824D5D">
      <w:pPr>
        <w:jc w:val="both"/>
        <w:rPr>
          <w:rFonts w:ascii="Arial" w:eastAsiaTheme="minorEastAsia" w:hAnsi="Arial" w:cs="Arial"/>
          <w:color w:val="000000"/>
          <w:lang w:val="en-IN" w:eastAsia="en-GB"/>
        </w:rPr>
      </w:pPr>
      <w:r w:rsidRPr="00A76B18">
        <w:rPr>
          <w:rFonts w:ascii="Arial" w:eastAsiaTheme="minorEastAsia" w:hAnsi="Arial" w:cs="Arial"/>
          <w:color w:val="000000"/>
          <w:lang w:val="en-IN" w:eastAsia="en-GB"/>
        </w:rPr>
        <w:t>A 40-year-old female reported with a chief complaint of swollen and bleeding gums in both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A76B18">
        <w:rPr>
          <w:rFonts w:ascii="Arial" w:eastAsiaTheme="minorEastAsia" w:hAnsi="Arial" w:cs="Arial"/>
          <w:color w:val="000000"/>
          <w:lang w:val="en-IN" w:eastAsia="en-GB"/>
        </w:rPr>
        <w:t>the upper and lower jaws, persisting for the past one year. Her medical history indicated a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A76B18">
        <w:rPr>
          <w:rFonts w:ascii="Arial" w:eastAsiaTheme="minorEastAsia" w:hAnsi="Arial" w:cs="Arial"/>
          <w:color w:val="000000"/>
          <w:lang w:val="en-IN" w:eastAsia="en-GB"/>
        </w:rPr>
        <w:t>diagnosis of hypertension ten years prior, for which she had been on nifedipine therapy since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A76B18">
        <w:rPr>
          <w:rFonts w:ascii="Arial" w:eastAsiaTheme="minorEastAsia" w:hAnsi="Arial" w:cs="Arial"/>
          <w:color w:val="000000"/>
          <w:lang w:val="en-IN" w:eastAsia="en-GB"/>
        </w:rPr>
        <w:t>then.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A76B18">
        <w:rPr>
          <w:rFonts w:ascii="Arial" w:eastAsiaTheme="minorEastAsia" w:hAnsi="Arial" w:cs="Arial"/>
          <w:color w:val="000000"/>
          <w:lang w:val="en-IN" w:eastAsia="en-GB"/>
        </w:rPr>
        <w:t>On general examination, the patient appeared moderately built and adequately nourished.</w:t>
      </w:r>
    </w:p>
    <w:p w14:paraId="52E3B5E5" w14:textId="2E9BAE0B" w:rsidR="00C40C87" w:rsidRDefault="00A76B18" w:rsidP="00824D5D">
      <w:pPr>
        <w:jc w:val="both"/>
        <w:rPr>
          <w:rFonts w:ascii="Arial" w:eastAsiaTheme="minorEastAsia" w:hAnsi="Arial" w:cs="Arial"/>
          <w:color w:val="000000"/>
          <w:lang w:val="en-IN" w:eastAsia="en-GB"/>
        </w:rPr>
      </w:pPr>
      <w:r w:rsidRPr="00A76B18">
        <w:rPr>
          <w:rFonts w:ascii="Arial" w:eastAsiaTheme="minorEastAsia" w:hAnsi="Arial" w:cs="Arial"/>
          <w:color w:val="000000"/>
          <w:lang w:val="en-IN" w:eastAsia="en-GB"/>
        </w:rPr>
        <w:t>Intraoral examination revealed generalized gingival enlargement involving the maxillary and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A76B18">
        <w:rPr>
          <w:rFonts w:ascii="Arial" w:eastAsiaTheme="minorEastAsia" w:hAnsi="Arial" w:cs="Arial"/>
          <w:color w:val="000000"/>
          <w:lang w:val="en-IN" w:eastAsia="en-GB"/>
        </w:rPr>
        <w:t>mandibular arches, affecting the marginal gingiva, attached gingiva, and interdental papillae.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A76B18">
        <w:rPr>
          <w:rFonts w:ascii="Arial" w:eastAsiaTheme="minorEastAsia" w:hAnsi="Arial" w:cs="Arial"/>
          <w:color w:val="000000"/>
          <w:lang w:val="en-IN" w:eastAsia="en-GB"/>
        </w:rPr>
        <w:t>The enlargement was most pronounced in the mandibular anterior region and less severe in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A76B18">
        <w:rPr>
          <w:rFonts w:ascii="Arial" w:eastAsiaTheme="minorEastAsia" w:hAnsi="Arial" w:cs="Arial"/>
          <w:color w:val="000000"/>
          <w:lang w:val="en-IN" w:eastAsia="en-GB"/>
        </w:rPr>
        <w:t>the</w:t>
      </w:r>
      <w:r w:rsidR="007E073F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A76B18">
        <w:rPr>
          <w:rFonts w:ascii="Arial" w:eastAsiaTheme="minorEastAsia" w:hAnsi="Arial" w:cs="Arial"/>
          <w:color w:val="000000"/>
          <w:lang w:val="en-IN" w:eastAsia="en-GB"/>
        </w:rPr>
        <w:t>right maxillary and mandibular quadrants. Clinical examination revealed diffusely enlarged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A76B18">
        <w:rPr>
          <w:rFonts w:ascii="Arial" w:eastAsiaTheme="minorEastAsia" w:hAnsi="Arial" w:cs="Arial"/>
          <w:color w:val="000000"/>
          <w:lang w:val="en-IN" w:eastAsia="en-GB"/>
        </w:rPr>
        <w:t>gingiva that was pale pink, firm in consistency, and exhibited irregular contours partially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A76B18">
        <w:rPr>
          <w:rFonts w:ascii="Arial" w:eastAsiaTheme="minorEastAsia" w:hAnsi="Arial" w:cs="Arial"/>
          <w:color w:val="000000"/>
          <w:lang w:val="en-IN" w:eastAsia="en-GB"/>
        </w:rPr>
        <w:t>covering the tooth crowns (</w:t>
      </w:r>
      <w:r w:rsidR="00C87671">
        <w:rPr>
          <w:rFonts w:ascii="Arial" w:eastAsiaTheme="minorEastAsia" w:hAnsi="Arial" w:cs="Arial"/>
          <w:color w:val="000000"/>
          <w:lang w:val="en-IN" w:eastAsia="en-GB"/>
        </w:rPr>
        <w:t>F</w:t>
      </w:r>
      <w:r w:rsidRPr="00A76B18">
        <w:rPr>
          <w:rFonts w:ascii="Arial" w:eastAsiaTheme="minorEastAsia" w:hAnsi="Arial" w:cs="Arial"/>
          <w:color w:val="000000"/>
          <w:lang w:val="en-IN" w:eastAsia="en-GB"/>
        </w:rPr>
        <w:t xml:space="preserve">igure 1). </w:t>
      </w:r>
    </w:p>
    <w:p w14:paraId="225AC56A" w14:textId="08631967" w:rsidR="00D02690" w:rsidRPr="00D02690" w:rsidRDefault="00D02690" w:rsidP="00D02690">
      <w:pPr>
        <w:jc w:val="center"/>
        <w:rPr>
          <w:rFonts w:ascii="Arial" w:eastAsiaTheme="minorEastAsia" w:hAnsi="Arial" w:cs="Arial"/>
          <w:color w:val="000000"/>
          <w:lang w:val="en-IN" w:eastAsia="en-GB"/>
        </w:rPr>
      </w:pPr>
      <w:r w:rsidRPr="00D02690">
        <w:rPr>
          <w:rFonts w:ascii="Arial" w:eastAsiaTheme="minorEastAsia" w:hAnsi="Arial" w:cs="Arial"/>
          <w:noProof/>
          <w:color w:val="000000"/>
          <w:lang w:val="en-IN" w:eastAsia="en-GB"/>
        </w:rPr>
        <w:drawing>
          <wp:inline distT="0" distB="0" distL="0" distR="0" wp14:anchorId="2142FFC4" wp14:editId="323ECBD3">
            <wp:extent cx="4592782" cy="1530754"/>
            <wp:effectExtent l="0" t="0" r="0" b="0"/>
            <wp:docPr id="17615151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21011" r="15248" b="39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121" cy="153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87531" w14:textId="77777777" w:rsidR="002A41D5" w:rsidRDefault="002A41D5" w:rsidP="00824D5D">
      <w:pPr>
        <w:jc w:val="both"/>
        <w:rPr>
          <w:rFonts w:ascii="Arial" w:eastAsiaTheme="minorEastAsia" w:hAnsi="Arial" w:cs="Arial"/>
          <w:color w:val="000000"/>
          <w:lang w:val="en-IN" w:eastAsia="en-GB"/>
        </w:rPr>
      </w:pPr>
    </w:p>
    <w:p w14:paraId="2276CCC2" w14:textId="52461174" w:rsidR="00A76B18" w:rsidRPr="00A76B18" w:rsidRDefault="00A76B18" w:rsidP="00824D5D">
      <w:pPr>
        <w:jc w:val="both"/>
        <w:rPr>
          <w:rFonts w:ascii="Arial" w:eastAsiaTheme="minorEastAsia" w:hAnsi="Arial" w:cs="Arial"/>
          <w:color w:val="000000"/>
          <w:lang w:val="en-IN" w:eastAsia="en-GB"/>
        </w:rPr>
      </w:pPr>
      <w:r w:rsidRPr="00A76B18">
        <w:rPr>
          <w:rFonts w:ascii="Arial" w:eastAsiaTheme="minorEastAsia" w:hAnsi="Arial" w:cs="Arial"/>
          <w:color w:val="000000"/>
          <w:lang w:val="en-IN" w:eastAsia="en-GB"/>
        </w:rPr>
        <w:t>The tissues showed profuse bleeding on</w:t>
      </w:r>
      <w:r w:rsidR="003F28FE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A76B18">
        <w:rPr>
          <w:rFonts w:ascii="Arial" w:eastAsiaTheme="minorEastAsia" w:hAnsi="Arial" w:cs="Arial"/>
          <w:color w:val="000000"/>
          <w:lang w:val="en-IN" w:eastAsia="en-GB"/>
        </w:rPr>
        <w:t>provocation, with increased probing depths and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A76B18">
        <w:rPr>
          <w:rFonts w:ascii="Arial" w:eastAsiaTheme="minorEastAsia" w:hAnsi="Arial" w:cs="Arial"/>
          <w:color w:val="000000"/>
          <w:lang w:val="en-IN" w:eastAsia="en-GB"/>
        </w:rPr>
        <w:t>accumulation of plaque and calculus. The</w:t>
      </w:r>
      <w:r w:rsidR="003F28FE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A76B18">
        <w:rPr>
          <w:rFonts w:ascii="Arial" w:eastAsiaTheme="minorEastAsia" w:hAnsi="Arial" w:cs="Arial"/>
          <w:color w:val="000000"/>
          <w:lang w:val="en-IN" w:eastAsia="en-GB"/>
        </w:rPr>
        <w:t>patient reported difficulty in mastication and speech,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A76B18">
        <w:rPr>
          <w:rFonts w:ascii="Arial" w:eastAsiaTheme="minorEastAsia" w:hAnsi="Arial" w:cs="Arial"/>
          <w:color w:val="000000"/>
          <w:lang w:val="en-IN" w:eastAsia="en-GB"/>
        </w:rPr>
        <w:t>challenges in maintaining oral hygiene,</w:t>
      </w:r>
      <w:r w:rsidR="003F28FE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A76B18">
        <w:rPr>
          <w:rFonts w:ascii="Arial" w:eastAsiaTheme="minorEastAsia" w:hAnsi="Arial" w:cs="Arial"/>
          <w:color w:val="000000"/>
          <w:lang w:val="en-IN" w:eastAsia="en-GB"/>
        </w:rPr>
        <w:t xml:space="preserve">and expressed concerns regarding </w:t>
      </w:r>
      <w:proofErr w:type="spellStart"/>
      <w:r w:rsidRPr="00A76B18">
        <w:rPr>
          <w:rFonts w:ascii="Arial" w:eastAsiaTheme="minorEastAsia" w:hAnsi="Arial" w:cs="Arial"/>
          <w:color w:val="000000"/>
          <w:lang w:val="en-IN" w:eastAsia="en-GB"/>
        </w:rPr>
        <w:t>esthetics</w:t>
      </w:r>
      <w:proofErr w:type="spellEnd"/>
      <w:r w:rsidRPr="00A76B18">
        <w:rPr>
          <w:rFonts w:ascii="Arial" w:eastAsiaTheme="minorEastAsia" w:hAnsi="Arial" w:cs="Arial"/>
          <w:color w:val="000000"/>
          <w:lang w:val="en-IN" w:eastAsia="en-GB"/>
        </w:rPr>
        <w:t>.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A76B18">
        <w:rPr>
          <w:rFonts w:ascii="Arial" w:eastAsiaTheme="minorEastAsia" w:hAnsi="Arial" w:cs="Arial"/>
          <w:color w:val="000000"/>
          <w:lang w:val="en-IN" w:eastAsia="en-GB"/>
        </w:rPr>
        <w:t>Additionally, she complained of halitosis and</w:t>
      </w:r>
      <w:r w:rsidR="003F28FE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A76B18">
        <w:rPr>
          <w:rFonts w:ascii="Arial" w:eastAsiaTheme="minorEastAsia" w:hAnsi="Arial" w:cs="Arial"/>
          <w:color w:val="000000"/>
          <w:lang w:val="en-IN" w:eastAsia="en-GB"/>
        </w:rPr>
        <w:t>bleeding gums during toothbrushing.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A76B18">
        <w:rPr>
          <w:rFonts w:ascii="Arial" w:eastAsiaTheme="minorEastAsia" w:hAnsi="Arial" w:cs="Arial"/>
          <w:color w:val="000000"/>
          <w:lang w:val="en-IN" w:eastAsia="en-GB"/>
        </w:rPr>
        <w:t>Correlating the history and clinical examinations, the case was diagnosed as combined gingival</w:t>
      </w:r>
      <w:r w:rsidR="007E073F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A76B18">
        <w:rPr>
          <w:rFonts w:ascii="Arial" w:eastAsiaTheme="minorEastAsia" w:hAnsi="Arial" w:cs="Arial"/>
          <w:color w:val="000000"/>
          <w:lang w:val="en-IN" w:eastAsia="en-GB"/>
        </w:rPr>
        <w:t>enlargement.</w:t>
      </w:r>
    </w:p>
    <w:p w14:paraId="00676ECF" w14:textId="1A8BF325" w:rsidR="00A76B18" w:rsidRPr="00A76B18" w:rsidRDefault="00A76B18" w:rsidP="00824D5D">
      <w:pPr>
        <w:jc w:val="both"/>
        <w:rPr>
          <w:rFonts w:ascii="Arial" w:eastAsiaTheme="minorEastAsia" w:hAnsi="Arial" w:cs="Arial"/>
          <w:color w:val="000000"/>
          <w:lang w:val="en-IN" w:eastAsia="en-GB"/>
        </w:rPr>
      </w:pPr>
      <w:r w:rsidRPr="00A76B18">
        <w:rPr>
          <w:rFonts w:ascii="Arial" w:eastAsiaTheme="minorEastAsia" w:hAnsi="Arial" w:cs="Arial"/>
          <w:color w:val="000000"/>
          <w:lang w:val="en-IN" w:eastAsia="en-GB"/>
        </w:rPr>
        <w:t>The management approach involved nonsurgical periodontal therapy, beginning with oral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A76B18">
        <w:rPr>
          <w:rFonts w:ascii="Arial" w:eastAsiaTheme="minorEastAsia" w:hAnsi="Arial" w:cs="Arial"/>
          <w:color w:val="000000"/>
          <w:lang w:val="en-IN" w:eastAsia="en-GB"/>
        </w:rPr>
        <w:t xml:space="preserve">hygiene instructions, followed by full-mouth scaling and root </w:t>
      </w:r>
      <w:proofErr w:type="spellStart"/>
      <w:r w:rsidRPr="00A76B18">
        <w:rPr>
          <w:rFonts w:ascii="Arial" w:eastAsiaTheme="minorEastAsia" w:hAnsi="Arial" w:cs="Arial"/>
          <w:color w:val="000000"/>
          <w:lang w:val="en-IN" w:eastAsia="en-GB"/>
        </w:rPr>
        <w:t>planing</w:t>
      </w:r>
      <w:proofErr w:type="spellEnd"/>
      <w:r w:rsidRPr="00A76B18">
        <w:rPr>
          <w:rFonts w:ascii="Arial" w:eastAsiaTheme="minorEastAsia" w:hAnsi="Arial" w:cs="Arial"/>
          <w:color w:val="000000"/>
          <w:lang w:val="en-IN" w:eastAsia="en-GB"/>
        </w:rPr>
        <w:t>, along with polishing of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A76B18">
        <w:rPr>
          <w:rFonts w:ascii="Arial" w:eastAsiaTheme="minorEastAsia" w:hAnsi="Arial" w:cs="Arial"/>
          <w:color w:val="000000"/>
          <w:lang w:val="en-IN" w:eastAsia="en-GB"/>
        </w:rPr>
        <w:t>all rough dental surfaces and systemic antibiotics, Doxycycline 100mg for 5 days. At the 2-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A76B18">
        <w:rPr>
          <w:rFonts w:ascii="Arial" w:eastAsiaTheme="minorEastAsia" w:hAnsi="Arial" w:cs="Arial"/>
          <w:color w:val="000000"/>
          <w:lang w:val="en-IN" w:eastAsia="en-GB"/>
        </w:rPr>
        <w:t xml:space="preserve">month recall, a substantial reduction in gingival inflammation was observed, along with </w:t>
      </w:r>
      <w:r w:rsidR="008643C0" w:rsidRPr="00A76B18">
        <w:rPr>
          <w:rFonts w:ascii="Arial" w:eastAsiaTheme="minorEastAsia" w:hAnsi="Arial" w:cs="Arial"/>
          <w:color w:val="000000"/>
          <w:lang w:val="en-IN" w:eastAsia="en-GB"/>
        </w:rPr>
        <w:t>notable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="008643C0" w:rsidRPr="00A76B18">
        <w:rPr>
          <w:rFonts w:ascii="Arial" w:eastAsiaTheme="minorEastAsia" w:hAnsi="Arial" w:cs="Arial"/>
          <w:color w:val="000000"/>
          <w:lang w:val="en-IN" w:eastAsia="en-GB"/>
        </w:rPr>
        <w:t>improvement</w:t>
      </w:r>
      <w:r w:rsidRPr="00A76B18">
        <w:rPr>
          <w:rFonts w:ascii="Arial" w:eastAsiaTheme="minorEastAsia" w:hAnsi="Arial" w:cs="Arial"/>
          <w:color w:val="000000"/>
          <w:lang w:val="en-IN" w:eastAsia="en-GB"/>
        </w:rPr>
        <w:t xml:space="preserve"> in periodontal health and oral hygiene maintenance. Accordingly, a supportive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A76B18">
        <w:rPr>
          <w:rFonts w:ascii="Arial" w:eastAsiaTheme="minorEastAsia" w:hAnsi="Arial" w:cs="Arial"/>
          <w:color w:val="000000"/>
          <w:lang w:val="en-IN" w:eastAsia="en-GB"/>
        </w:rPr>
        <w:t>periodontal therapy regimen was initiated, which included reiteration of oral hygiene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A76B18">
        <w:rPr>
          <w:rFonts w:ascii="Arial" w:eastAsiaTheme="minorEastAsia" w:hAnsi="Arial" w:cs="Arial"/>
          <w:color w:val="000000"/>
          <w:lang w:val="en-IN" w:eastAsia="en-GB"/>
        </w:rPr>
        <w:t xml:space="preserve">instructions and full-mouth scaling at </w:t>
      </w:r>
      <w:r w:rsidR="00EA1F2C">
        <w:rPr>
          <w:rFonts w:ascii="Arial" w:eastAsiaTheme="minorEastAsia" w:hAnsi="Arial" w:cs="Arial"/>
          <w:color w:val="000000"/>
          <w:lang w:val="en-IN" w:eastAsia="en-GB"/>
        </w:rPr>
        <w:t>6</w:t>
      </w:r>
      <w:r w:rsidRPr="00A76B18">
        <w:rPr>
          <w:rFonts w:ascii="Arial" w:eastAsiaTheme="minorEastAsia" w:hAnsi="Arial" w:cs="Arial"/>
          <w:color w:val="000000"/>
          <w:lang w:val="en-IN" w:eastAsia="en-GB"/>
        </w:rPr>
        <w:t>-month intervals. This comprehensive approach led to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A76B18">
        <w:rPr>
          <w:rFonts w:ascii="Arial" w:eastAsiaTheme="minorEastAsia" w:hAnsi="Arial" w:cs="Arial"/>
          <w:color w:val="000000"/>
          <w:lang w:val="en-IN" w:eastAsia="en-GB"/>
        </w:rPr>
        <w:t>total remission of the gingival overgrowth, thereby obviating the need for surgical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A76B18">
        <w:rPr>
          <w:rFonts w:ascii="Arial" w:eastAsiaTheme="minorEastAsia" w:hAnsi="Arial" w:cs="Arial"/>
          <w:color w:val="000000"/>
          <w:lang w:val="en-IN" w:eastAsia="en-GB"/>
        </w:rPr>
        <w:t>management. or modification of the patient’s medication. At the end of 2 years, favourable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A76B18">
        <w:rPr>
          <w:rFonts w:ascii="Arial" w:eastAsiaTheme="minorEastAsia" w:hAnsi="Arial" w:cs="Arial"/>
          <w:color w:val="000000"/>
          <w:lang w:val="en-IN" w:eastAsia="en-GB"/>
        </w:rPr>
        <w:t>condition of the gingival health was achieved with NSPT and supportive periodontal therapy.</w:t>
      </w:r>
    </w:p>
    <w:p w14:paraId="148FE5E8" w14:textId="77777777" w:rsidR="00A03B96" w:rsidRDefault="00A03B96" w:rsidP="00441B6F">
      <w:pPr>
        <w:pStyle w:val="Body"/>
        <w:spacing w:after="0"/>
        <w:rPr>
          <w:rFonts w:ascii="Arial" w:hAnsi="Arial" w:cs="Arial"/>
        </w:rPr>
      </w:pPr>
    </w:p>
    <w:p w14:paraId="28301808" w14:textId="77777777" w:rsidR="00790ADA" w:rsidRPr="00FB3A86" w:rsidRDefault="00790ADA" w:rsidP="00441B6F">
      <w:pPr>
        <w:pStyle w:val="Body"/>
        <w:spacing w:after="0"/>
        <w:rPr>
          <w:rFonts w:ascii="Arial" w:hAnsi="Arial" w:cs="Arial"/>
        </w:rPr>
      </w:pPr>
    </w:p>
    <w:p w14:paraId="5816AF2A" w14:textId="5AE6C996" w:rsidR="00902823" w:rsidRDefault="00000F8F" w:rsidP="00441B6F">
      <w:pPr>
        <w:pStyle w:val="Head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90282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discussion</w:t>
      </w:r>
    </w:p>
    <w:p w14:paraId="794ACA4D" w14:textId="77777777" w:rsidR="00790ADA" w:rsidRPr="00FB3A86" w:rsidRDefault="00790ADA" w:rsidP="00441B6F">
      <w:pPr>
        <w:pStyle w:val="Head1"/>
        <w:spacing w:after="0"/>
        <w:jc w:val="both"/>
        <w:rPr>
          <w:rFonts w:ascii="Arial" w:hAnsi="Arial" w:cs="Arial"/>
        </w:rPr>
      </w:pPr>
    </w:p>
    <w:p w14:paraId="327137E1" w14:textId="655E095E" w:rsidR="002C1C4E" w:rsidRPr="002C1C4E" w:rsidRDefault="002C1C4E" w:rsidP="000D7505">
      <w:pPr>
        <w:jc w:val="both"/>
        <w:rPr>
          <w:rFonts w:ascii="Arial" w:eastAsiaTheme="minorEastAsia" w:hAnsi="Arial" w:cs="Arial"/>
          <w:color w:val="000000"/>
          <w:lang w:val="en-IN" w:eastAsia="en-GB"/>
        </w:rPr>
      </w:pPr>
      <w:r w:rsidRPr="002C1C4E">
        <w:rPr>
          <w:rFonts w:ascii="Arial" w:eastAsiaTheme="minorEastAsia" w:hAnsi="Arial" w:cs="Arial"/>
          <w:color w:val="000000"/>
          <w:lang w:val="en-IN" w:eastAsia="en-GB"/>
        </w:rPr>
        <w:t>Nifedipine is a calcium channel blocker, prescribed for the management of hypertension and</w:t>
      </w:r>
      <w:r w:rsidR="006357BE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some forms of angina. Long term use of nifedipine is associated with gingival overgrowth and</w:t>
      </w:r>
      <w:r w:rsidR="006357BE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its prevalence varied from 14%12 to 83%.</w:t>
      </w:r>
      <w:r w:rsidRPr="002C1C4E">
        <w:rPr>
          <w:rFonts w:ascii="Arial" w:eastAsiaTheme="minorEastAsia" w:hAnsi="Arial" w:cs="Arial"/>
          <w:color w:val="000000"/>
          <w:vertAlign w:val="superscript"/>
          <w:lang w:val="en-IN" w:eastAsia="en-GB"/>
        </w:rPr>
        <w:t>5,6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 xml:space="preserve"> The first reported case of gingival hyperplasia due</w:t>
      </w:r>
      <w:r w:rsidR="00E541F4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 xml:space="preserve">to nifedipine use was reported by Lederman </w:t>
      </w:r>
      <w:r w:rsidRPr="002C1C4E">
        <w:rPr>
          <w:rFonts w:ascii="Arial" w:eastAsiaTheme="minorEastAsia" w:hAnsi="Arial" w:cs="Arial"/>
          <w:i/>
          <w:iCs/>
          <w:color w:val="000000"/>
          <w:lang w:val="en-IN" w:eastAsia="en-GB"/>
        </w:rPr>
        <w:t>et al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. in 1984.</w:t>
      </w:r>
      <w:r w:rsidRPr="002C1C4E">
        <w:rPr>
          <w:rFonts w:ascii="Arial" w:eastAsiaTheme="minorEastAsia" w:hAnsi="Arial" w:cs="Arial"/>
          <w:color w:val="000000"/>
          <w:vertAlign w:val="superscript"/>
          <w:lang w:val="en-IN" w:eastAsia="en-GB"/>
        </w:rPr>
        <w:t>7</w:t>
      </w:r>
      <w:r w:rsidR="006357BE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The drug-induced gingival enlargement could be detected clinically as early as 1–3 months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following the initial dose of CCB.</w:t>
      </w:r>
      <w:r w:rsidRPr="002C1C4E">
        <w:rPr>
          <w:rFonts w:ascii="Arial" w:eastAsiaTheme="minorEastAsia" w:hAnsi="Arial" w:cs="Arial"/>
          <w:color w:val="000000"/>
          <w:vertAlign w:val="superscript"/>
          <w:lang w:val="en-IN" w:eastAsia="en-GB"/>
        </w:rPr>
        <w:t>6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 xml:space="preserve"> The gingival enlargement could be localised or generalised</w:t>
      </w:r>
      <w:r w:rsidR="006357BE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and initially presents as an enlargement of the interdental papilla, eventually developing into a</w:t>
      </w:r>
      <w:r w:rsidR="00783F52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lobulated mass or nodular growth involving the marginal and the interdental gingiva.</w:t>
      </w:r>
      <w:r w:rsidRPr="002C1C4E">
        <w:rPr>
          <w:rFonts w:ascii="Arial" w:eastAsiaTheme="minorEastAsia" w:hAnsi="Arial" w:cs="Arial"/>
          <w:color w:val="000000"/>
          <w:vertAlign w:val="superscript"/>
          <w:lang w:val="en-IN" w:eastAsia="en-GB"/>
        </w:rPr>
        <w:t>8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 xml:space="preserve"> In this</w:t>
      </w:r>
      <w:r w:rsidR="00883D75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report, the enlargement was most pronounced in the mandibular anterior region and less severe</w:t>
      </w:r>
      <w:r w:rsidR="00783F52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in the right maxillary and mandibular quadrants. Excessive gingival overgrowth can lead to</w:t>
      </w:r>
      <w:r w:rsidR="00783F52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areas that are difficult to clean with regular brushing. Subsequently, the host becomes prone to</w:t>
      </w:r>
      <w:r w:rsidR="00783F52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tooth decay, oral infections and loss of alveolar bone. Failure to maintain optimal oral hygiene</w:t>
      </w:r>
      <w:r w:rsidR="00783F52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can lead to inflammation caused by dental plaque, which intensifies gingival overgrowth</w:t>
      </w:r>
      <w:r w:rsidR="00783F52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caused by existing medications.</w:t>
      </w:r>
      <w:r w:rsidR="00C87671">
        <w:rPr>
          <w:rFonts w:ascii="Arial" w:eastAsiaTheme="minorEastAsia" w:hAnsi="Arial" w:cs="Arial"/>
          <w:color w:val="000000"/>
          <w:vertAlign w:val="superscript"/>
          <w:lang w:val="en-IN" w:eastAsia="en-GB"/>
        </w:rPr>
        <w:t>9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 xml:space="preserve"> Typically, the condition manifests as ‘pseudo’ pockets caused</w:t>
      </w:r>
      <w:r w:rsidR="00783F52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by gingival overgrowth beneath the gingival margin, producing deeper probing depths without</w:t>
      </w:r>
      <w:r w:rsidR="00783F52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significant attachment loss. In certain instances, the overgrowth may extend over the tooth</w:t>
      </w:r>
      <w:r w:rsidR="00783F52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crowns, even reaching the occlusal surface and causing masticatory interference, as observed</w:t>
      </w:r>
      <w:r w:rsidR="00783F52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in the present case.</w:t>
      </w:r>
    </w:p>
    <w:p w14:paraId="26C1408F" w14:textId="1E169A85" w:rsidR="002C1C4E" w:rsidRPr="00C40C87" w:rsidRDefault="002C1C4E" w:rsidP="000D7505">
      <w:pPr>
        <w:jc w:val="both"/>
        <w:rPr>
          <w:rFonts w:ascii="Arial" w:eastAsiaTheme="minorEastAsia" w:hAnsi="Arial" w:cs="Arial"/>
          <w:color w:val="000000"/>
          <w:lang w:val="en-IN" w:eastAsia="en-GB"/>
        </w:rPr>
      </w:pPr>
      <w:r w:rsidRPr="002C1C4E">
        <w:rPr>
          <w:rFonts w:ascii="Arial" w:eastAsiaTheme="minorEastAsia" w:hAnsi="Arial" w:cs="Arial"/>
          <w:color w:val="000000"/>
          <w:lang w:val="en-IN" w:eastAsia="en-GB"/>
        </w:rPr>
        <w:t>Although calcium channel blockers (CCBs) exert no direct effect on the alveolar bone, the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associated gingival enlargement can promote bacterial biofilm accumulation and hinder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effective oral hygiene, thereby increasing the risk of persisting inflammation, periodontitis,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alveolar bone and tooth loss, as well as halitosis.</w:t>
      </w:r>
      <w:r w:rsidRPr="002C1C4E">
        <w:rPr>
          <w:rFonts w:ascii="Arial" w:eastAsiaTheme="minorEastAsia" w:hAnsi="Arial" w:cs="Arial"/>
          <w:color w:val="000000"/>
          <w:vertAlign w:val="superscript"/>
          <w:lang w:val="en-IN" w:eastAsia="en-GB"/>
        </w:rPr>
        <w:t>6</w:t>
      </w:r>
    </w:p>
    <w:p w14:paraId="724A4850" w14:textId="251DE527" w:rsidR="002C1C4E" w:rsidRPr="002C1C4E" w:rsidRDefault="002C1C4E" w:rsidP="000D7505">
      <w:pPr>
        <w:jc w:val="both"/>
        <w:rPr>
          <w:rFonts w:ascii="Arial" w:eastAsiaTheme="minorEastAsia" w:hAnsi="Arial" w:cs="Arial"/>
          <w:color w:val="000000"/>
          <w:lang w:val="en-IN" w:eastAsia="en-GB"/>
        </w:rPr>
      </w:pPr>
      <w:r w:rsidRPr="002C1C4E">
        <w:rPr>
          <w:rFonts w:ascii="Arial" w:eastAsiaTheme="minorEastAsia" w:hAnsi="Arial" w:cs="Arial"/>
          <w:color w:val="000000"/>
          <w:lang w:val="en-IN" w:eastAsia="en-GB"/>
        </w:rPr>
        <w:lastRenderedPageBreak/>
        <w:t>Numerous postulates have been proposed to explain the etiopathogenesis of calcium channel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blocker (CCB)-induced gingival overgrowth. Among these, the most extensively studied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mechanisms involve the roles of matrix metalloproteinases (MMPs), pro-inflammatory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cytokines, and gingival fibroblasts.</w:t>
      </w:r>
      <w:r w:rsidRPr="002C1C4E">
        <w:rPr>
          <w:rFonts w:ascii="Arial" w:eastAsiaTheme="minorEastAsia" w:hAnsi="Arial" w:cs="Arial"/>
          <w:color w:val="000000"/>
          <w:vertAlign w:val="superscript"/>
          <w:lang w:val="en-IN" w:eastAsia="en-GB"/>
        </w:rPr>
        <w:t>10,11,12</w:t>
      </w:r>
    </w:p>
    <w:p w14:paraId="6BC23EA7" w14:textId="4A9DE272" w:rsidR="00C40C87" w:rsidRDefault="002C1C4E" w:rsidP="000D7505">
      <w:pPr>
        <w:jc w:val="both"/>
        <w:rPr>
          <w:rFonts w:ascii="Arial" w:eastAsiaTheme="minorEastAsia" w:hAnsi="Arial" w:cs="Arial"/>
          <w:color w:val="000000"/>
          <w:lang w:val="en-IN" w:eastAsia="en-GB"/>
        </w:rPr>
      </w:pPr>
      <w:r w:rsidRPr="002C1C4E">
        <w:rPr>
          <w:rFonts w:ascii="Arial" w:eastAsiaTheme="minorEastAsia" w:hAnsi="Arial" w:cs="Arial"/>
          <w:color w:val="000000"/>
          <w:lang w:val="en-IN" w:eastAsia="en-GB"/>
        </w:rPr>
        <w:t>Therapeutic options for periodontal care range from nonsurgical techniques to an integrated</w:t>
      </w:r>
      <w:r w:rsidR="00783F52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approach combining nonsurgical and surgical modalities. The phase I therapy should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="00783F52" w:rsidRPr="002C1C4E">
        <w:rPr>
          <w:rFonts w:ascii="Arial" w:eastAsiaTheme="minorEastAsia" w:hAnsi="Arial" w:cs="Arial"/>
          <w:color w:val="000000"/>
          <w:lang w:val="en-IN" w:eastAsia="en-GB"/>
        </w:rPr>
        <w:t>emphasise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 xml:space="preserve"> thorough oral hygiene practices, incorporating oral hygiene instructions (OHI)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and/or multiple sessions of scaling and root planing.</w:t>
      </w:r>
      <w:r w:rsidRPr="002C1C4E">
        <w:rPr>
          <w:rFonts w:ascii="Arial" w:eastAsiaTheme="minorEastAsia" w:hAnsi="Arial" w:cs="Arial"/>
          <w:color w:val="000000"/>
          <w:vertAlign w:val="superscript"/>
          <w:lang w:val="en-IN" w:eastAsia="en-GB"/>
        </w:rPr>
        <w:t>13</w:t>
      </w:r>
      <w:r w:rsidR="000D7505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This form of periodontal therapy is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effective as it helps in decreasing the extent of gingival</w:t>
      </w:r>
      <w:r w:rsidR="000D7505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enlargement up to 40%.</w:t>
      </w:r>
      <w:r w:rsidRPr="002C1C4E">
        <w:rPr>
          <w:rFonts w:ascii="Arial" w:eastAsiaTheme="minorEastAsia" w:hAnsi="Arial" w:cs="Arial"/>
          <w:color w:val="000000"/>
          <w:vertAlign w:val="superscript"/>
          <w:lang w:val="en-IN" w:eastAsia="en-GB"/>
        </w:rPr>
        <w:t>14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 xml:space="preserve"> A thorough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 xml:space="preserve">scaling and root </w:t>
      </w:r>
      <w:proofErr w:type="spellStart"/>
      <w:r w:rsidRPr="002C1C4E">
        <w:rPr>
          <w:rFonts w:ascii="Arial" w:eastAsiaTheme="minorEastAsia" w:hAnsi="Arial" w:cs="Arial"/>
          <w:color w:val="000000"/>
          <w:lang w:val="en-IN" w:eastAsia="en-GB"/>
        </w:rPr>
        <w:t>planing</w:t>
      </w:r>
      <w:proofErr w:type="spellEnd"/>
      <w:r w:rsidRPr="002C1C4E">
        <w:rPr>
          <w:rFonts w:ascii="Arial" w:eastAsiaTheme="minorEastAsia" w:hAnsi="Arial" w:cs="Arial"/>
          <w:color w:val="000000"/>
          <w:lang w:val="en-IN" w:eastAsia="en-GB"/>
        </w:rPr>
        <w:t xml:space="preserve"> (SRP) combined with proper</w:t>
      </w:r>
      <w:r w:rsidR="000D7505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oral hygiene instruction can often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eliminate the need for surgical approach in cases of drug-induced gingival enlargement. In the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present scenario, drug substitution was not considered or</w:t>
      </w:r>
      <w:r w:rsidR="00783F52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 xml:space="preserve">implemented in this </w:t>
      </w:r>
      <w:r w:rsidR="007F218D">
        <w:rPr>
          <w:rFonts w:ascii="Arial" w:eastAsiaTheme="minorEastAsia" w:hAnsi="Arial" w:cs="Arial"/>
          <w:color w:val="000000"/>
          <w:lang w:val="en-IN" w:eastAsia="en-GB"/>
        </w:rPr>
        <w:t>case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. The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patient was subjected to mechanical therapy (SRP) for the</w:t>
      </w:r>
      <w:r w:rsidR="00761DF3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removal of the local factors along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 xml:space="preserve">with systemic antibiotics (doxycycline 100mg, </w:t>
      </w:r>
      <w:r w:rsidR="00C87671">
        <w:rPr>
          <w:rFonts w:ascii="Arial" w:eastAsiaTheme="minorEastAsia" w:hAnsi="Arial" w:cs="Arial"/>
          <w:color w:val="000000"/>
          <w:lang w:val="en-IN" w:eastAsia="en-GB"/>
        </w:rPr>
        <w:t>once daily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, for 5</w:t>
      </w:r>
      <w:r w:rsidR="00761DF3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days). The patient received strict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instructions on maintaining proper oral hygiene at home,</w:t>
      </w:r>
      <w:r w:rsidR="00761DF3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including the correct brushing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technique. At a 15-day follow-up, a reduction in inflammation</w:t>
      </w:r>
      <w:r w:rsidR="00761DF3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was noted, especially in the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 xml:space="preserve">mandibular arch. At </w:t>
      </w:r>
      <w:r w:rsidR="002A41D5">
        <w:rPr>
          <w:rFonts w:ascii="Arial" w:eastAsiaTheme="minorEastAsia" w:hAnsi="Arial" w:cs="Arial"/>
          <w:color w:val="000000"/>
          <w:lang w:val="en-IN" w:eastAsia="en-GB"/>
        </w:rPr>
        <w:t>6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 xml:space="preserve"> months the patient demonstrated marked</w:t>
      </w:r>
      <w:r w:rsidR="00761DF3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reduction in gingival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 xml:space="preserve">inflammation, improved plaque control, better oral hygiene practices, </w:t>
      </w:r>
      <w:r w:rsidR="00761DF3" w:rsidRPr="002C1C4E">
        <w:rPr>
          <w:rFonts w:ascii="Arial" w:eastAsiaTheme="minorEastAsia" w:hAnsi="Arial" w:cs="Arial"/>
          <w:color w:val="000000"/>
          <w:lang w:val="en-IN" w:eastAsia="en-GB"/>
        </w:rPr>
        <w:t>and</w:t>
      </w:r>
      <w:r w:rsidR="00761DF3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="00761DF3" w:rsidRPr="002C1C4E">
        <w:rPr>
          <w:rFonts w:ascii="Arial" w:eastAsiaTheme="minorEastAsia" w:hAnsi="Arial" w:cs="Arial"/>
          <w:color w:val="000000"/>
          <w:lang w:val="en-IN" w:eastAsia="en-GB"/>
        </w:rPr>
        <w:t>overall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 xml:space="preserve"> good gingival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health. Thorough subgingival scaling and curettage was performed every</w:t>
      </w:r>
      <w:r w:rsidR="00783F52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six months, and the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patient remained under regular follow-up for two years. At the end of 2-</w:t>
      </w:r>
      <w:r w:rsidR="00783F52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year follow-up, a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 xml:space="preserve">drastic reduction in gingival size was observed (Figure </w:t>
      </w:r>
      <w:r w:rsidR="00C87671">
        <w:rPr>
          <w:rFonts w:ascii="Arial" w:eastAsiaTheme="minorEastAsia" w:hAnsi="Arial" w:cs="Arial"/>
          <w:color w:val="000000"/>
          <w:lang w:val="en-IN" w:eastAsia="en-GB"/>
        </w:rPr>
        <w:t>2</w:t>
      </w:r>
      <w:r w:rsidR="002A41D5">
        <w:rPr>
          <w:rFonts w:ascii="Arial" w:eastAsiaTheme="minorEastAsia" w:hAnsi="Arial" w:cs="Arial"/>
          <w:color w:val="000000"/>
          <w:lang w:val="en-IN" w:eastAsia="en-GB"/>
        </w:rPr>
        <w:t xml:space="preserve"> &amp; 3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), attributed to</w:t>
      </w:r>
      <w:r w:rsidR="00783F52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multiple SRP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2C1C4E">
        <w:rPr>
          <w:rFonts w:ascii="Arial" w:eastAsiaTheme="minorEastAsia" w:hAnsi="Arial" w:cs="Arial"/>
          <w:color w:val="000000"/>
          <w:lang w:val="en-IN" w:eastAsia="en-GB"/>
        </w:rPr>
        <w:t>sessions, strict oral hygiene instructions, and improved patient compliance.</w:t>
      </w:r>
      <w:r w:rsidR="00666698" w:rsidRPr="00E541F4">
        <w:rPr>
          <w:rFonts w:ascii="Arial" w:hAnsi="Arial" w:cs="Arial"/>
        </w:rPr>
        <w:t xml:space="preserve"> 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</w:p>
    <w:p w14:paraId="6F236032" w14:textId="62030F11" w:rsidR="00F11D96" w:rsidRDefault="00D02690" w:rsidP="002A41D5">
      <w:pPr>
        <w:jc w:val="center"/>
        <w:rPr>
          <w:rFonts w:ascii="Arial" w:eastAsiaTheme="minorEastAsia" w:hAnsi="Arial" w:cs="Arial"/>
          <w:color w:val="000000"/>
          <w:lang w:val="en-IN" w:eastAsia="en-GB"/>
        </w:rPr>
      </w:pPr>
      <w:r w:rsidRPr="00D02690">
        <w:rPr>
          <w:rFonts w:ascii="Arial" w:eastAsiaTheme="minorEastAsia" w:hAnsi="Arial" w:cs="Arial"/>
          <w:noProof/>
          <w:color w:val="000000"/>
          <w:lang w:val="en-IN" w:eastAsia="en-GB"/>
        </w:rPr>
        <w:drawing>
          <wp:inline distT="0" distB="0" distL="0" distR="0" wp14:anchorId="2A65F531" wp14:editId="6D60EC25">
            <wp:extent cx="3492500" cy="1790700"/>
            <wp:effectExtent l="0" t="0" r="0" b="0"/>
            <wp:docPr id="826917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4" r="25370" b="5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810F6" w14:textId="5CA985B7" w:rsidR="00D02690" w:rsidRPr="00D02690" w:rsidRDefault="00D02690" w:rsidP="00D02690">
      <w:pPr>
        <w:jc w:val="center"/>
        <w:rPr>
          <w:rFonts w:ascii="Arial" w:eastAsiaTheme="minorEastAsia" w:hAnsi="Arial" w:cs="Arial"/>
          <w:color w:val="000000"/>
          <w:lang w:val="en-IN" w:eastAsia="en-GB"/>
        </w:rPr>
      </w:pPr>
      <w:r w:rsidRPr="00D02690">
        <w:rPr>
          <w:rFonts w:ascii="Arial" w:eastAsiaTheme="minorEastAsia" w:hAnsi="Arial" w:cs="Arial"/>
          <w:noProof/>
          <w:color w:val="000000"/>
          <w:lang w:val="en-IN" w:eastAsia="en-GB"/>
        </w:rPr>
        <w:drawing>
          <wp:inline distT="0" distB="0" distL="0" distR="0" wp14:anchorId="789028BF" wp14:editId="0D2F5F1F">
            <wp:extent cx="5156200" cy="1816100"/>
            <wp:effectExtent l="0" t="0" r="6350" b="0"/>
            <wp:docPr id="4088346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6" t="48066" r="14260" b="4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6109E" w14:textId="7EC22B4A" w:rsidR="00666698" w:rsidRPr="00666698" w:rsidRDefault="00666698" w:rsidP="000D7505">
      <w:pPr>
        <w:jc w:val="both"/>
        <w:rPr>
          <w:rFonts w:ascii="Arial" w:eastAsiaTheme="minorEastAsia" w:hAnsi="Arial" w:cs="Arial"/>
          <w:color w:val="000000"/>
          <w:lang w:val="en-IN" w:eastAsia="en-GB"/>
        </w:rPr>
      </w:pPr>
      <w:r w:rsidRPr="00E541F4">
        <w:rPr>
          <w:rFonts w:ascii="Arial" w:hAnsi="Arial" w:cs="Arial"/>
        </w:rPr>
        <w:t>Supportive periodontal therapy (SPT) plays a crucial role in maintaining long-term gingival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666698">
        <w:rPr>
          <w:rFonts w:ascii="Arial" w:eastAsiaTheme="minorEastAsia" w:hAnsi="Arial" w:cs="Arial"/>
          <w:color w:val="000000"/>
          <w:lang w:val="en-IN" w:eastAsia="en-GB"/>
        </w:rPr>
        <w:t>health following non-surgical periodontal treatment, particularly in cases of drug-induced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666698">
        <w:rPr>
          <w:rFonts w:ascii="Arial" w:eastAsiaTheme="minorEastAsia" w:hAnsi="Arial" w:cs="Arial"/>
          <w:color w:val="000000"/>
          <w:lang w:val="en-IN" w:eastAsia="en-GB"/>
        </w:rPr>
        <w:t>gingival overgrowth. While initial therapy can significantly reduce inflammation and gingival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666698">
        <w:rPr>
          <w:rFonts w:ascii="Arial" w:eastAsiaTheme="minorEastAsia" w:hAnsi="Arial" w:cs="Arial"/>
          <w:color w:val="000000"/>
          <w:lang w:val="en-IN" w:eastAsia="en-GB"/>
        </w:rPr>
        <w:t>enlargement, sustained improvements are highly dependent on regular follow-up care and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666698">
        <w:rPr>
          <w:rFonts w:ascii="Arial" w:eastAsiaTheme="minorEastAsia" w:hAnsi="Arial" w:cs="Arial"/>
          <w:color w:val="000000"/>
          <w:lang w:val="en-IN" w:eastAsia="en-GB"/>
        </w:rPr>
        <w:t>meticulous oral hygiene practices. SPT helps in early detection and management of recurrent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666698">
        <w:rPr>
          <w:rFonts w:ascii="Arial" w:eastAsiaTheme="minorEastAsia" w:hAnsi="Arial" w:cs="Arial"/>
          <w:color w:val="000000"/>
          <w:lang w:val="en-IN" w:eastAsia="en-GB"/>
        </w:rPr>
        <w:t>inflammation or overgrowth, ensuring periodontal stability.</w:t>
      </w:r>
      <w:r w:rsidRPr="00666698">
        <w:rPr>
          <w:rFonts w:ascii="Arial" w:eastAsiaTheme="minorEastAsia" w:hAnsi="Arial" w:cs="Arial"/>
          <w:color w:val="000000"/>
          <w:vertAlign w:val="superscript"/>
          <w:lang w:val="en-IN" w:eastAsia="en-GB"/>
        </w:rPr>
        <w:t>13</w:t>
      </w:r>
      <w:r w:rsidRPr="00666698">
        <w:rPr>
          <w:rFonts w:ascii="Arial" w:eastAsiaTheme="minorEastAsia" w:hAnsi="Arial" w:cs="Arial"/>
          <w:color w:val="000000"/>
          <w:lang w:val="en-IN" w:eastAsia="en-GB"/>
        </w:rPr>
        <w:t xml:space="preserve"> Equally important is the patient’s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666698">
        <w:rPr>
          <w:rFonts w:ascii="Arial" w:eastAsiaTheme="minorEastAsia" w:hAnsi="Arial" w:cs="Arial"/>
          <w:color w:val="000000"/>
          <w:lang w:val="en-IN" w:eastAsia="en-GB"/>
        </w:rPr>
        <w:t>motivation and compliance, as consistent plaque control and adherence to professional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666698">
        <w:rPr>
          <w:rFonts w:ascii="Arial" w:eastAsiaTheme="minorEastAsia" w:hAnsi="Arial" w:cs="Arial"/>
          <w:color w:val="000000"/>
          <w:lang w:val="en-IN" w:eastAsia="en-GB"/>
        </w:rPr>
        <w:t>maintenance schedules greatly influence treatment outcomes. Educating the patient about the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666698">
        <w:rPr>
          <w:rFonts w:ascii="Arial" w:eastAsiaTheme="minorEastAsia" w:hAnsi="Arial" w:cs="Arial"/>
          <w:color w:val="000000"/>
          <w:lang w:val="en-IN" w:eastAsia="en-GB"/>
        </w:rPr>
        <w:t>relationship between medication use, oral health, and health of periodontal structures is vital</w:t>
      </w:r>
      <w:r w:rsidR="00C40C87">
        <w:rPr>
          <w:rFonts w:ascii="Arial" w:eastAsiaTheme="minorEastAsia" w:hAnsi="Arial" w:cs="Arial"/>
          <w:color w:val="000000"/>
          <w:lang w:val="en-IN" w:eastAsia="en-GB"/>
        </w:rPr>
        <w:t xml:space="preserve"> </w:t>
      </w:r>
      <w:r w:rsidRPr="00666698">
        <w:rPr>
          <w:rFonts w:ascii="Arial" w:eastAsiaTheme="minorEastAsia" w:hAnsi="Arial" w:cs="Arial"/>
          <w:color w:val="000000"/>
          <w:lang w:val="en-IN" w:eastAsia="en-GB"/>
        </w:rPr>
        <w:t>for preventing recurrence and preserving gingival architecture</w:t>
      </w:r>
      <w:r w:rsidRPr="00E541F4">
        <w:rPr>
          <w:rFonts w:ascii="Arial" w:eastAsiaTheme="minorEastAsia" w:hAnsi="Arial" w:cs="Arial"/>
          <w:color w:val="000000"/>
          <w:lang w:val="en-IN" w:eastAsia="en-GB"/>
        </w:rPr>
        <w:t>.</w:t>
      </w:r>
    </w:p>
    <w:p w14:paraId="1BDFDE6E" w14:textId="7B884B05" w:rsidR="002C1C4E" w:rsidRPr="002C1C4E" w:rsidRDefault="002C1C4E" w:rsidP="002C1C4E">
      <w:pPr>
        <w:rPr>
          <w:rFonts w:ascii="Times New Roman" w:eastAsiaTheme="minorEastAsia" w:hAnsi="Times New Roman"/>
          <w:color w:val="000000"/>
          <w:sz w:val="18"/>
          <w:szCs w:val="18"/>
          <w:lang w:val="en-IN" w:eastAsia="en-GB"/>
        </w:rPr>
      </w:pPr>
    </w:p>
    <w:p w14:paraId="2448CB60" w14:textId="573AD94A" w:rsidR="00790ADA" w:rsidRPr="00FB3A86" w:rsidRDefault="00790ADA" w:rsidP="002C1C4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7AEEA8A" w14:textId="77777777" w:rsidR="00B01FCD" w:rsidRDefault="00000F8F" w:rsidP="00441B6F">
      <w:pPr>
        <w:pStyle w:val="Conc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="00B01FCD" w:rsidRPr="00FB3A86">
        <w:rPr>
          <w:rFonts w:ascii="Arial" w:hAnsi="Arial" w:cs="Arial"/>
        </w:rPr>
        <w:t>Conclusion</w:t>
      </w:r>
    </w:p>
    <w:p w14:paraId="2C6872D2" w14:textId="77777777" w:rsidR="00790ADA" w:rsidRPr="00FB3A86" w:rsidRDefault="00790ADA" w:rsidP="00441B6F">
      <w:pPr>
        <w:pStyle w:val="ConcHead"/>
        <w:spacing w:after="0"/>
        <w:jc w:val="both"/>
        <w:rPr>
          <w:rFonts w:ascii="Arial" w:hAnsi="Arial" w:cs="Arial"/>
        </w:rPr>
      </w:pPr>
    </w:p>
    <w:p w14:paraId="51F536C5" w14:textId="01AA6D0E" w:rsidR="00751862" w:rsidRPr="000D7505" w:rsidRDefault="00751862" w:rsidP="000D7505">
      <w:pPr>
        <w:pStyle w:val="p1"/>
        <w:jc w:val="both"/>
        <w:rPr>
          <w:rFonts w:ascii="Arial" w:hAnsi="Arial" w:cs="Arial"/>
          <w:sz w:val="20"/>
          <w:szCs w:val="20"/>
        </w:rPr>
      </w:pPr>
      <w:r w:rsidRPr="000D7505">
        <w:rPr>
          <w:rFonts w:ascii="Arial" w:hAnsi="Arial" w:cs="Arial"/>
          <w:sz w:val="20"/>
          <w:szCs w:val="20"/>
        </w:rPr>
        <w:t xml:space="preserve">Supportive periodontal therapy (SPT) plays a crucial role in maintaining long-term gingival </w:t>
      </w:r>
      <w:r w:rsidRPr="00751862">
        <w:rPr>
          <w:rFonts w:ascii="Arial" w:hAnsi="Arial" w:cs="Arial"/>
          <w:sz w:val="20"/>
          <w:szCs w:val="20"/>
        </w:rPr>
        <w:t>health following non-surgical periodontal treatment, particularly in cases of drug-induced</w:t>
      </w:r>
      <w:r w:rsidRPr="000D7505">
        <w:rPr>
          <w:rFonts w:ascii="Arial" w:hAnsi="Arial" w:cs="Arial"/>
          <w:sz w:val="20"/>
          <w:szCs w:val="20"/>
        </w:rPr>
        <w:t xml:space="preserve"> </w:t>
      </w:r>
      <w:r w:rsidRPr="00751862">
        <w:rPr>
          <w:rFonts w:ascii="Arial" w:hAnsi="Arial" w:cs="Arial"/>
          <w:sz w:val="20"/>
          <w:szCs w:val="20"/>
        </w:rPr>
        <w:t>gingival overgrowth. While initial</w:t>
      </w:r>
      <w:r w:rsidRPr="000D7505">
        <w:rPr>
          <w:rFonts w:ascii="Arial" w:hAnsi="Arial" w:cs="Arial"/>
          <w:sz w:val="20"/>
          <w:szCs w:val="20"/>
        </w:rPr>
        <w:t xml:space="preserve"> </w:t>
      </w:r>
      <w:r w:rsidRPr="00751862">
        <w:rPr>
          <w:rFonts w:ascii="Arial" w:hAnsi="Arial" w:cs="Arial"/>
          <w:sz w:val="20"/>
          <w:szCs w:val="20"/>
        </w:rPr>
        <w:t>therapy can significantly reduce inflammation and gingival</w:t>
      </w:r>
      <w:r w:rsidRPr="000D7505">
        <w:rPr>
          <w:rFonts w:ascii="Arial" w:hAnsi="Arial" w:cs="Arial"/>
          <w:sz w:val="20"/>
          <w:szCs w:val="20"/>
        </w:rPr>
        <w:t xml:space="preserve"> </w:t>
      </w:r>
      <w:r w:rsidRPr="00751862">
        <w:rPr>
          <w:rFonts w:ascii="Arial" w:hAnsi="Arial" w:cs="Arial"/>
          <w:sz w:val="20"/>
          <w:szCs w:val="20"/>
        </w:rPr>
        <w:t>enlargement, sustained improvements are highly dependent on regular follow-up care and</w:t>
      </w:r>
      <w:r w:rsidRPr="000D7505">
        <w:rPr>
          <w:rFonts w:ascii="Arial" w:hAnsi="Arial" w:cs="Arial"/>
          <w:sz w:val="20"/>
          <w:szCs w:val="20"/>
        </w:rPr>
        <w:t xml:space="preserve"> </w:t>
      </w:r>
      <w:r w:rsidRPr="00751862">
        <w:rPr>
          <w:rFonts w:ascii="Arial" w:hAnsi="Arial" w:cs="Arial"/>
          <w:sz w:val="20"/>
          <w:szCs w:val="20"/>
        </w:rPr>
        <w:t>meticulous oral hygiene practices. SPT helps in early detection and management of recurrent</w:t>
      </w:r>
      <w:r w:rsidRPr="000D7505">
        <w:rPr>
          <w:rFonts w:ascii="Arial" w:hAnsi="Arial" w:cs="Arial"/>
          <w:sz w:val="20"/>
          <w:szCs w:val="20"/>
        </w:rPr>
        <w:t xml:space="preserve"> </w:t>
      </w:r>
      <w:r w:rsidRPr="00751862">
        <w:rPr>
          <w:rFonts w:ascii="Arial" w:hAnsi="Arial" w:cs="Arial"/>
          <w:sz w:val="20"/>
          <w:szCs w:val="20"/>
        </w:rPr>
        <w:t>inflammation or overgrowth, ensuring periodontal stability.13 Equally important is the patient’s</w:t>
      </w:r>
      <w:r w:rsidRPr="000D7505">
        <w:rPr>
          <w:rFonts w:ascii="Arial" w:hAnsi="Arial" w:cs="Arial"/>
          <w:sz w:val="20"/>
          <w:szCs w:val="20"/>
        </w:rPr>
        <w:t xml:space="preserve"> </w:t>
      </w:r>
      <w:r w:rsidRPr="00751862">
        <w:rPr>
          <w:rFonts w:ascii="Arial" w:hAnsi="Arial" w:cs="Arial"/>
          <w:sz w:val="20"/>
          <w:szCs w:val="20"/>
        </w:rPr>
        <w:t>motivation and compliance, as consistent plaque control and adherence to professional</w:t>
      </w:r>
      <w:r w:rsidRPr="000D7505">
        <w:rPr>
          <w:rFonts w:ascii="Arial" w:hAnsi="Arial" w:cs="Arial"/>
          <w:sz w:val="20"/>
          <w:szCs w:val="20"/>
        </w:rPr>
        <w:t xml:space="preserve"> </w:t>
      </w:r>
      <w:r w:rsidRPr="00751862">
        <w:rPr>
          <w:rFonts w:ascii="Arial" w:hAnsi="Arial" w:cs="Arial"/>
          <w:sz w:val="20"/>
          <w:szCs w:val="20"/>
        </w:rPr>
        <w:t xml:space="preserve">maintenance schedules greatly influence treatment outcomes. Educating the patient about </w:t>
      </w:r>
      <w:r w:rsidRPr="00751862">
        <w:rPr>
          <w:rFonts w:ascii="Arial" w:hAnsi="Arial" w:cs="Arial"/>
          <w:sz w:val="20"/>
          <w:szCs w:val="20"/>
        </w:rPr>
        <w:lastRenderedPageBreak/>
        <w:t>the</w:t>
      </w:r>
      <w:r w:rsidRPr="000D7505">
        <w:rPr>
          <w:rFonts w:ascii="Arial" w:hAnsi="Arial" w:cs="Arial"/>
          <w:sz w:val="20"/>
          <w:szCs w:val="20"/>
        </w:rPr>
        <w:t xml:space="preserve"> </w:t>
      </w:r>
      <w:r w:rsidRPr="00751862">
        <w:rPr>
          <w:rFonts w:ascii="Arial" w:hAnsi="Arial" w:cs="Arial"/>
          <w:sz w:val="20"/>
          <w:szCs w:val="20"/>
        </w:rPr>
        <w:t>relationship between medication use, oral health, and health of periodontal structures is vital</w:t>
      </w:r>
      <w:r w:rsidRPr="000D7505">
        <w:rPr>
          <w:rFonts w:ascii="Arial" w:hAnsi="Arial" w:cs="Arial"/>
          <w:sz w:val="20"/>
          <w:szCs w:val="20"/>
        </w:rPr>
        <w:t xml:space="preserve"> </w:t>
      </w:r>
      <w:r w:rsidRPr="00751862">
        <w:rPr>
          <w:rFonts w:ascii="Arial" w:hAnsi="Arial" w:cs="Arial"/>
          <w:sz w:val="20"/>
          <w:szCs w:val="20"/>
        </w:rPr>
        <w:t>for preventing recurrence and preserving gingival architecture</w:t>
      </w:r>
      <w:r w:rsidRPr="000D7505">
        <w:rPr>
          <w:rFonts w:ascii="Arial" w:hAnsi="Arial" w:cs="Arial"/>
          <w:sz w:val="20"/>
          <w:szCs w:val="20"/>
        </w:rPr>
        <w:t>.</w:t>
      </w:r>
    </w:p>
    <w:p w14:paraId="47F1239F" w14:textId="77777777" w:rsidR="00751862" w:rsidRPr="00751862" w:rsidRDefault="00751862" w:rsidP="000D7505">
      <w:pPr>
        <w:pStyle w:val="p1"/>
        <w:jc w:val="both"/>
        <w:rPr>
          <w:rFonts w:ascii="Arial" w:hAnsi="Arial" w:cs="Arial"/>
          <w:sz w:val="20"/>
          <w:szCs w:val="20"/>
        </w:rPr>
      </w:pPr>
    </w:p>
    <w:p w14:paraId="76455CD4" w14:textId="77777777" w:rsidR="00F11D96" w:rsidRDefault="00F11D96" w:rsidP="00751862">
      <w:pPr>
        <w:pStyle w:val="Body"/>
        <w:spacing w:after="0"/>
        <w:rPr>
          <w:rFonts w:ascii="Arial" w:hAnsi="Arial" w:cs="Arial"/>
        </w:rPr>
      </w:pPr>
    </w:p>
    <w:p w14:paraId="5D35BBD1" w14:textId="77777777" w:rsidR="00ED2A5C" w:rsidRDefault="00ED2A5C" w:rsidP="00441B6F">
      <w:pPr>
        <w:pStyle w:val="ReferHead"/>
        <w:spacing w:after="0"/>
        <w:jc w:val="both"/>
        <w:rPr>
          <w:rFonts w:ascii="Arial" w:hAnsi="Arial" w:cs="Arial"/>
          <w:bCs/>
        </w:rPr>
      </w:pPr>
      <w:bookmarkStart w:id="0" w:name="_GoBack"/>
      <w:bookmarkEnd w:id="0"/>
    </w:p>
    <w:p w14:paraId="117C8CE0" w14:textId="0CB199AE" w:rsidR="00ED2A5C" w:rsidRPr="00ED2A5C" w:rsidRDefault="00ED2A5C" w:rsidP="00441B6F">
      <w:pPr>
        <w:pStyle w:val="ReferHead"/>
        <w:spacing w:after="0"/>
        <w:jc w:val="both"/>
        <w:rPr>
          <w:rFonts w:ascii="Arial" w:hAnsi="Arial" w:cs="Arial"/>
          <w:b w:val="0"/>
        </w:rPr>
      </w:pPr>
      <w:r w:rsidRPr="00ED2A5C">
        <w:rPr>
          <w:rFonts w:ascii="Arial" w:hAnsi="Arial" w:cs="Arial"/>
          <w:bCs/>
        </w:rPr>
        <w:t xml:space="preserve">INFORMED CONSENT STATEMENT: </w:t>
      </w:r>
      <w:r>
        <w:rPr>
          <w:rFonts w:ascii="Arial" w:hAnsi="Arial" w:cs="Arial"/>
          <w:b w:val="0"/>
          <w:caps w:val="0"/>
        </w:rPr>
        <w:t>W</w:t>
      </w:r>
      <w:r w:rsidRPr="00ED2A5C">
        <w:rPr>
          <w:rFonts w:ascii="Arial" w:hAnsi="Arial" w:cs="Arial"/>
          <w:b w:val="0"/>
          <w:caps w:val="0"/>
        </w:rPr>
        <w:t>ritten informed consent has been obtained from the patient</w:t>
      </w:r>
      <w:r w:rsidRPr="00ED2A5C">
        <w:rPr>
          <w:rFonts w:ascii="Arial" w:hAnsi="Arial" w:cs="Arial"/>
          <w:b w:val="0"/>
        </w:rPr>
        <w:t xml:space="preserve"> </w:t>
      </w:r>
      <w:r w:rsidRPr="00ED2A5C">
        <w:rPr>
          <w:rFonts w:ascii="Arial" w:hAnsi="Arial" w:cs="Arial"/>
          <w:b w:val="0"/>
          <w:caps w:val="0"/>
        </w:rPr>
        <w:t>to publish this paper</w:t>
      </w:r>
    </w:p>
    <w:p w14:paraId="30005C57" w14:textId="77777777" w:rsidR="002B685A" w:rsidRPr="002B685A" w:rsidRDefault="002B685A" w:rsidP="00441B6F">
      <w:pPr>
        <w:pStyle w:val="ReferHead"/>
        <w:spacing w:after="0"/>
        <w:jc w:val="both"/>
        <w:rPr>
          <w:rFonts w:ascii="Arial" w:hAnsi="Arial" w:cs="Arial"/>
          <w:bCs/>
        </w:rPr>
      </w:pPr>
    </w:p>
    <w:p w14:paraId="2B703BC0" w14:textId="77777777" w:rsidR="00860000" w:rsidRDefault="00860000" w:rsidP="00441B6F">
      <w:pPr>
        <w:pStyle w:val="ReferHead"/>
        <w:spacing w:after="0"/>
        <w:jc w:val="both"/>
        <w:rPr>
          <w:rFonts w:ascii="Arial" w:hAnsi="Arial" w:cs="Arial"/>
        </w:rPr>
      </w:pPr>
    </w:p>
    <w:p w14:paraId="0BB11017" w14:textId="77777777" w:rsidR="00B01FCD" w:rsidRDefault="00B01FCD" w:rsidP="00441B6F">
      <w:pPr>
        <w:pStyle w:val="ReferHead"/>
        <w:spacing w:after="0"/>
        <w:jc w:val="both"/>
        <w:rPr>
          <w:rFonts w:ascii="Arial" w:hAnsi="Arial" w:cs="Arial"/>
        </w:rPr>
      </w:pPr>
      <w:r w:rsidRPr="00FB3A86">
        <w:rPr>
          <w:rFonts w:ascii="Arial" w:hAnsi="Arial" w:cs="Arial"/>
        </w:rPr>
        <w:t>References</w:t>
      </w:r>
    </w:p>
    <w:p w14:paraId="2F10EA35" w14:textId="77777777" w:rsidR="00ED2A5C" w:rsidRDefault="00ED2A5C" w:rsidP="00441B6F">
      <w:pPr>
        <w:pStyle w:val="ReferHead"/>
        <w:spacing w:after="0"/>
        <w:jc w:val="both"/>
        <w:rPr>
          <w:rFonts w:ascii="Arial" w:hAnsi="Arial" w:cs="Arial"/>
        </w:rPr>
      </w:pPr>
    </w:p>
    <w:p w14:paraId="26C32CFF" w14:textId="104D63CF" w:rsidR="00ED2A5C" w:rsidRPr="00ED2A5C" w:rsidRDefault="00ED2A5C" w:rsidP="00ED2A5C">
      <w:pPr>
        <w:pStyle w:val="Body"/>
        <w:numPr>
          <w:ilvl w:val="0"/>
          <w:numId w:val="32"/>
        </w:numPr>
        <w:spacing w:line="360" w:lineRule="auto"/>
        <w:rPr>
          <w:rFonts w:ascii="Arial" w:hAnsi="Arial" w:cs="Arial"/>
        </w:rPr>
      </w:pPr>
      <w:r w:rsidRPr="00ED2A5C">
        <w:rPr>
          <w:rFonts w:ascii="Arial" w:hAnsi="Arial" w:cs="Arial"/>
        </w:rPr>
        <w:t xml:space="preserve">Informational Paper: Drug-Associated Gingival Enlargement. J </w:t>
      </w:r>
      <w:proofErr w:type="spellStart"/>
      <w:r w:rsidRPr="00ED2A5C">
        <w:rPr>
          <w:rFonts w:ascii="Arial" w:hAnsi="Arial" w:cs="Arial"/>
        </w:rPr>
        <w:t>Periodontol</w:t>
      </w:r>
      <w:proofErr w:type="spellEnd"/>
      <w:r w:rsidRPr="00ED2A5C">
        <w:rPr>
          <w:rFonts w:ascii="Arial" w:hAnsi="Arial" w:cs="Arial"/>
        </w:rPr>
        <w:t>. 2004 Oct;75(10):1424-31. </w:t>
      </w:r>
    </w:p>
    <w:p w14:paraId="28A1F3E7" w14:textId="26A62023" w:rsidR="00ED2A5C" w:rsidRPr="00ED2A5C" w:rsidRDefault="00ED2A5C" w:rsidP="00ED2A5C">
      <w:pPr>
        <w:pStyle w:val="Body"/>
        <w:numPr>
          <w:ilvl w:val="0"/>
          <w:numId w:val="32"/>
        </w:numPr>
        <w:spacing w:line="360" w:lineRule="auto"/>
        <w:rPr>
          <w:rFonts w:ascii="Arial" w:hAnsi="Arial" w:cs="Arial"/>
        </w:rPr>
      </w:pPr>
      <w:proofErr w:type="spellStart"/>
      <w:r w:rsidRPr="00ED2A5C">
        <w:rPr>
          <w:rFonts w:ascii="Arial" w:hAnsi="Arial" w:cs="Arial"/>
        </w:rPr>
        <w:t>Bakshi</w:t>
      </w:r>
      <w:proofErr w:type="spellEnd"/>
      <w:r w:rsidRPr="00ED2A5C">
        <w:rPr>
          <w:rFonts w:ascii="Arial" w:hAnsi="Arial" w:cs="Arial"/>
        </w:rPr>
        <w:t xml:space="preserve"> SS, Choudhary M, Agrawal A, </w:t>
      </w:r>
      <w:proofErr w:type="spellStart"/>
      <w:r w:rsidRPr="00ED2A5C">
        <w:rPr>
          <w:rFonts w:ascii="Arial" w:hAnsi="Arial" w:cs="Arial"/>
        </w:rPr>
        <w:t>Chakole</w:t>
      </w:r>
      <w:proofErr w:type="spellEnd"/>
      <w:r w:rsidRPr="00ED2A5C">
        <w:rPr>
          <w:rFonts w:ascii="Arial" w:hAnsi="Arial" w:cs="Arial"/>
        </w:rPr>
        <w:t xml:space="preserve"> S. Drug-Induced Gingival Hyperplasia in a Hypertensive Patient: A Case Report. </w:t>
      </w:r>
      <w:proofErr w:type="spellStart"/>
      <w:r w:rsidRPr="00ED2A5C">
        <w:rPr>
          <w:rFonts w:ascii="Arial" w:hAnsi="Arial" w:cs="Arial"/>
        </w:rPr>
        <w:t>Cureus</w:t>
      </w:r>
      <w:proofErr w:type="spellEnd"/>
      <w:r w:rsidRPr="00ED2A5C">
        <w:rPr>
          <w:rFonts w:ascii="Arial" w:hAnsi="Arial" w:cs="Arial"/>
        </w:rPr>
        <w:t>. 2023;15(2</w:t>
      </w:r>
      <w:proofErr w:type="gramStart"/>
      <w:r w:rsidRPr="00ED2A5C">
        <w:rPr>
          <w:rFonts w:ascii="Arial" w:hAnsi="Arial" w:cs="Arial"/>
        </w:rPr>
        <w:t>):e</w:t>
      </w:r>
      <w:proofErr w:type="gramEnd"/>
      <w:r w:rsidRPr="00ED2A5C">
        <w:rPr>
          <w:rFonts w:ascii="Arial" w:hAnsi="Arial" w:cs="Arial"/>
        </w:rPr>
        <w:t>34558.</w:t>
      </w:r>
    </w:p>
    <w:p w14:paraId="6816A069" w14:textId="4D1B6AAA" w:rsidR="00ED2A5C" w:rsidRPr="00ED2A5C" w:rsidRDefault="00ED2A5C" w:rsidP="00ED2A5C">
      <w:pPr>
        <w:pStyle w:val="Body"/>
        <w:numPr>
          <w:ilvl w:val="0"/>
          <w:numId w:val="32"/>
        </w:numPr>
        <w:spacing w:line="360" w:lineRule="auto"/>
        <w:rPr>
          <w:rFonts w:ascii="Arial" w:hAnsi="Arial" w:cs="Arial"/>
        </w:rPr>
      </w:pPr>
      <w:r w:rsidRPr="00ED2A5C">
        <w:rPr>
          <w:rFonts w:ascii="Arial" w:hAnsi="Arial" w:cs="Arial"/>
        </w:rPr>
        <w:t xml:space="preserve">Sunil PM, </w:t>
      </w:r>
      <w:proofErr w:type="spellStart"/>
      <w:r w:rsidRPr="00ED2A5C">
        <w:rPr>
          <w:rFonts w:ascii="Arial" w:hAnsi="Arial" w:cs="Arial"/>
        </w:rPr>
        <w:t>Nalluswami</w:t>
      </w:r>
      <w:proofErr w:type="spellEnd"/>
      <w:r w:rsidRPr="00ED2A5C">
        <w:rPr>
          <w:rFonts w:ascii="Arial" w:hAnsi="Arial" w:cs="Arial"/>
        </w:rPr>
        <w:t xml:space="preserve"> JS, </w:t>
      </w:r>
      <w:proofErr w:type="spellStart"/>
      <w:r w:rsidRPr="00ED2A5C">
        <w:rPr>
          <w:rFonts w:ascii="Arial" w:hAnsi="Arial" w:cs="Arial"/>
        </w:rPr>
        <w:t>Sanghar</w:t>
      </w:r>
      <w:proofErr w:type="spellEnd"/>
      <w:r w:rsidRPr="00ED2A5C">
        <w:rPr>
          <w:rFonts w:ascii="Arial" w:hAnsi="Arial" w:cs="Arial"/>
        </w:rPr>
        <w:t xml:space="preserve"> SJ, Joseph I. Nifedipine-induced gingival enlargement: Correlation with dose and oral hygiene. J Pharm </w:t>
      </w:r>
      <w:proofErr w:type="spellStart"/>
      <w:r w:rsidRPr="00ED2A5C">
        <w:rPr>
          <w:rFonts w:ascii="Arial" w:hAnsi="Arial" w:cs="Arial"/>
        </w:rPr>
        <w:t>Bioall</w:t>
      </w:r>
      <w:proofErr w:type="spellEnd"/>
      <w:r w:rsidRPr="00ED2A5C">
        <w:rPr>
          <w:rFonts w:ascii="Arial" w:hAnsi="Arial" w:cs="Arial"/>
        </w:rPr>
        <w:t xml:space="preserve"> Sci </w:t>
      </w:r>
      <w:proofErr w:type="gramStart"/>
      <w:r w:rsidRPr="00ED2A5C">
        <w:rPr>
          <w:rFonts w:ascii="Arial" w:hAnsi="Arial" w:cs="Arial"/>
        </w:rPr>
        <w:t>2012;4:191</w:t>
      </w:r>
      <w:proofErr w:type="gramEnd"/>
      <w:r w:rsidRPr="00ED2A5C">
        <w:rPr>
          <w:rFonts w:ascii="Arial" w:hAnsi="Arial" w:cs="Arial"/>
        </w:rPr>
        <w:t>-</w:t>
      </w:r>
      <w:r w:rsidR="00C87671">
        <w:rPr>
          <w:rFonts w:ascii="Arial" w:hAnsi="Arial" w:cs="Arial"/>
        </w:rPr>
        <w:t>1</w:t>
      </w:r>
      <w:r w:rsidRPr="00ED2A5C">
        <w:rPr>
          <w:rFonts w:ascii="Arial" w:hAnsi="Arial" w:cs="Arial"/>
        </w:rPr>
        <w:t>93.</w:t>
      </w:r>
    </w:p>
    <w:p w14:paraId="4714BE86" w14:textId="4A47DEF4" w:rsidR="00ED2A5C" w:rsidRPr="00ED2A5C" w:rsidRDefault="00ED2A5C" w:rsidP="00ED2A5C">
      <w:pPr>
        <w:pStyle w:val="Body"/>
        <w:numPr>
          <w:ilvl w:val="0"/>
          <w:numId w:val="32"/>
        </w:numPr>
        <w:spacing w:line="360" w:lineRule="auto"/>
        <w:rPr>
          <w:rFonts w:ascii="Arial" w:hAnsi="Arial" w:cs="Arial"/>
        </w:rPr>
      </w:pPr>
      <w:proofErr w:type="spellStart"/>
      <w:r w:rsidRPr="00ED2A5C">
        <w:rPr>
          <w:rFonts w:ascii="Arial" w:hAnsi="Arial" w:cs="Arial"/>
        </w:rPr>
        <w:t>Mavrogiannis</w:t>
      </w:r>
      <w:proofErr w:type="spellEnd"/>
      <w:r w:rsidRPr="00ED2A5C">
        <w:rPr>
          <w:rFonts w:ascii="Arial" w:hAnsi="Arial" w:cs="Arial"/>
        </w:rPr>
        <w:t xml:space="preserve"> M, Ellis JS, Thomason JM, Seymour RA. The management of drug- induced gingival overgrowth. J Clin </w:t>
      </w:r>
      <w:proofErr w:type="spellStart"/>
      <w:r w:rsidRPr="00ED2A5C">
        <w:rPr>
          <w:rFonts w:ascii="Arial" w:hAnsi="Arial" w:cs="Arial"/>
        </w:rPr>
        <w:t>Periodontol</w:t>
      </w:r>
      <w:proofErr w:type="spellEnd"/>
      <w:r w:rsidRPr="00ED2A5C">
        <w:rPr>
          <w:rFonts w:ascii="Arial" w:hAnsi="Arial" w:cs="Arial"/>
        </w:rPr>
        <w:t>. 2006 Jun;33(6):434-</w:t>
      </w:r>
      <w:r w:rsidR="00C87671">
        <w:rPr>
          <w:rFonts w:ascii="Arial" w:hAnsi="Arial" w:cs="Arial"/>
        </w:rPr>
        <w:t>4</w:t>
      </w:r>
      <w:r w:rsidRPr="00ED2A5C">
        <w:rPr>
          <w:rFonts w:ascii="Arial" w:hAnsi="Arial" w:cs="Arial"/>
        </w:rPr>
        <w:t>39.</w:t>
      </w:r>
    </w:p>
    <w:p w14:paraId="01DE077B" w14:textId="196A081F" w:rsidR="00ED2A5C" w:rsidRPr="00ED2A5C" w:rsidRDefault="00ED2A5C" w:rsidP="00ED2A5C">
      <w:pPr>
        <w:pStyle w:val="Body"/>
        <w:numPr>
          <w:ilvl w:val="0"/>
          <w:numId w:val="32"/>
        </w:numPr>
        <w:spacing w:line="360" w:lineRule="auto"/>
        <w:rPr>
          <w:rFonts w:ascii="Arial" w:hAnsi="Arial" w:cs="Arial"/>
        </w:rPr>
      </w:pPr>
      <w:proofErr w:type="spellStart"/>
      <w:r w:rsidRPr="00ED2A5C">
        <w:rPr>
          <w:rFonts w:ascii="Arial" w:hAnsi="Arial" w:cs="Arial"/>
        </w:rPr>
        <w:t>Eslami</w:t>
      </w:r>
      <w:proofErr w:type="spellEnd"/>
      <w:r w:rsidRPr="00ED2A5C">
        <w:rPr>
          <w:rFonts w:ascii="Arial" w:hAnsi="Arial" w:cs="Arial"/>
        </w:rPr>
        <w:t xml:space="preserve"> M, </w:t>
      </w:r>
      <w:proofErr w:type="spellStart"/>
      <w:r w:rsidRPr="00ED2A5C">
        <w:rPr>
          <w:rFonts w:ascii="Arial" w:hAnsi="Arial" w:cs="Arial"/>
        </w:rPr>
        <w:t>Baghaii</w:t>
      </w:r>
      <w:proofErr w:type="spellEnd"/>
      <w:r w:rsidRPr="00ED2A5C">
        <w:rPr>
          <w:rFonts w:ascii="Arial" w:hAnsi="Arial" w:cs="Arial"/>
        </w:rPr>
        <w:t xml:space="preserve"> F, </w:t>
      </w:r>
      <w:proofErr w:type="spellStart"/>
      <w:r w:rsidRPr="00ED2A5C">
        <w:rPr>
          <w:rFonts w:ascii="Arial" w:hAnsi="Arial" w:cs="Arial"/>
        </w:rPr>
        <w:t>Jalayer</w:t>
      </w:r>
      <w:proofErr w:type="spellEnd"/>
      <w:r w:rsidRPr="00ED2A5C">
        <w:rPr>
          <w:rFonts w:ascii="Arial" w:hAnsi="Arial" w:cs="Arial"/>
        </w:rPr>
        <w:t xml:space="preserve"> </w:t>
      </w:r>
      <w:proofErr w:type="spellStart"/>
      <w:r w:rsidRPr="00ED2A5C">
        <w:rPr>
          <w:rFonts w:ascii="Arial" w:hAnsi="Arial" w:cs="Arial"/>
        </w:rPr>
        <w:t>Nadery</w:t>
      </w:r>
      <w:proofErr w:type="spellEnd"/>
      <w:r w:rsidRPr="00ED2A5C">
        <w:rPr>
          <w:rFonts w:ascii="Arial" w:hAnsi="Arial" w:cs="Arial"/>
        </w:rPr>
        <w:t xml:space="preserve"> N. An Investigation on gingival hyperplasia induced by nifedipine. J Dent (Tehran) 2004:1:33-37.</w:t>
      </w:r>
    </w:p>
    <w:p w14:paraId="3DD1A345" w14:textId="13C65439" w:rsidR="00ED2A5C" w:rsidRPr="00ED2A5C" w:rsidRDefault="00ED2A5C" w:rsidP="00ED2A5C">
      <w:pPr>
        <w:pStyle w:val="Body"/>
        <w:numPr>
          <w:ilvl w:val="0"/>
          <w:numId w:val="32"/>
        </w:numPr>
        <w:spacing w:line="360" w:lineRule="auto"/>
        <w:rPr>
          <w:rFonts w:ascii="Arial" w:hAnsi="Arial" w:cs="Arial"/>
        </w:rPr>
      </w:pPr>
      <w:proofErr w:type="spellStart"/>
      <w:r w:rsidRPr="00ED2A5C">
        <w:rPr>
          <w:rFonts w:ascii="Arial" w:hAnsi="Arial" w:cs="Arial"/>
        </w:rPr>
        <w:t>Livada</w:t>
      </w:r>
      <w:proofErr w:type="spellEnd"/>
      <w:r w:rsidRPr="00ED2A5C">
        <w:rPr>
          <w:rFonts w:ascii="Arial" w:hAnsi="Arial" w:cs="Arial"/>
        </w:rPr>
        <w:t xml:space="preserve"> R, </w:t>
      </w:r>
      <w:proofErr w:type="spellStart"/>
      <w:r w:rsidRPr="00ED2A5C">
        <w:rPr>
          <w:rFonts w:ascii="Arial" w:hAnsi="Arial" w:cs="Arial"/>
        </w:rPr>
        <w:t>Shiloah</w:t>
      </w:r>
      <w:proofErr w:type="spellEnd"/>
      <w:r w:rsidRPr="00ED2A5C">
        <w:rPr>
          <w:rFonts w:ascii="Arial" w:hAnsi="Arial" w:cs="Arial"/>
        </w:rPr>
        <w:t xml:space="preserve"> J. Calcium channel blocker-induced gingival enlargement. J Hum Hypertens.2014:28(1):10-14.</w:t>
      </w:r>
    </w:p>
    <w:p w14:paraId="2E7160A4" w14:textId="1A22B407" w:rsidR="00ED2A5C" w:rsidRPr="00ED2A5C" w:rsidRDefault="00ED2A5C" w:rsidP="00ED2A5C">
      <w:pPr>
        <w:pStyle w:val="Body"/>
        <w:numPr>
          <w:ilvl w:val="0"/>
          <w:numId w:val="32"/>
        </w:numPr>
        <w:spacing w:line="360" w:lineRule="auto"/>
        <w:rPr>
          <w:rFonts w:ascii="Arial" w:hAnsi="Arial" w:cs="Arial"/>
        </w:rPr>
      </w:pPr>
      <w:r w:rsidRPr="00ED2A5C">
        <w:rPr>
          <w:rFonts w:ascii="Arial" w:hAnsi="Arial" w:cs="Arial"/>
        </w:rPr>
        <w:t xml:space="preserve">Lederman D, </w:t>
      </w:r>
      <w:proofErr w:type="spellStart"/>
      <w:r w:rsidRPr="00ED2A5C">
        <w:rPr>
          <w:rFonts w:ascii="Arial" w:hAnsi="Arial" w:cs="Arial"/>
        </w:rPr>
        <w:t>Lumerman</w:t>
      </w:r>
      <w:proofErr w:type="spellEnd"/>
      <w:r w:rsidRPr="00ED2A5C">
        <w:rPr>
          <w:rFonts w:ascii="Arial" w:hAnsi="Arial" w:cs="Arial"/>
        </w:rPr>
        <w:t xml:space="preserve"> H, Reuben S, Freedman PD. Gingival hyperplasia associated with nifedipine therapy. Report of a case. Oral Surg Oral Med Oral Pathol.1984;57(6):620-</w:t>
      </w:r>
      <w:r w:rsidR="00C87671">
        <w:rPr>
          <w:rFonts w:ascii="Arial" w:hAnsi="Arial" w:cs="Arial"/>
        </w:rPr>
        <w:t>6</w:t>
      </w:r>
      <w:r w:rsidRPr="00ED2A5C">
        <w:rPr>
          <w:rFonts w:ascii="Arial" w:hAnsi="Arial" w:cs="Arial"/>
        </w:rPr>
        <w:t>22.</w:t>
      </w:r>
    </w:p>
    <w:p w14:paraId="4E954480" w14:textId="5FD390EA" w:rsidR="00ED2A5C" w:rsidRPr="00ED2A5C" w:rsidRDefault="00ED2A5C" w:rsidP="00ED2A5C">
      <w:pPr>
        <w:pStyle w:val="Body"/>
        <w:numPr>
          <w:ilvl w:val="0"/>
          <w:numId w:val="32"/>
        </w:numPr>
        <w:spacing w:line="360" w:lineRule="auto"/>
        <w:rPr>
          <w:rFonts w:ascii="Arial" w:hAnsi="Arial" w:cs="Arial"/>
        </w:rPr>
      </w:pPr>
      <w:r w:rsidRPr="00ED2A5C">
        <w:rPr>
          <w:rFonts w:ascii="Arial" w:hAnsi="Arial" w:cs="Arial"/>
        </w:rPr>
        <w:t xml:space="preserve">Bharti V, Bansal C. Drug-induced gingival overgrowth: The nemesis of gingiva </w:t>
      </w:r>
      <w:proofErr w:type="spellStart"/>
      <w:r w:rsidRPr="00ED2A5C">
        <w:rPr>
          <w:rFonts w:ascii="Arial" w:hAnsi="Arial" w:cs="Arial"/>
        </w:rPr>
        <w:t>unravelled</w:t>
      </w:r>
      <w:proofErr w:type="spellEnd"/>
      <w:r w:rsidRPr="00ED2A5C">
        <w:rPr>
          <w:rFonts w:ascii="Arial" w:hAnsi="Arial" w:cs="Arial"/>
        </w:rPr>
        <w:t xml:space="preserve">. J Indian Soc </w:t>
      </w:r>
      <w:proofErr w:type="spellStart"/>
      <w:r w:rsidRPr="00ED2A5C">
        <w:rPr>
          <w:rFonts w:ascii="Arial" w:hAnsi="Arial" w:cs="Arial"/>
        </w:rPr>
        <w:t>Periodontol</w:t>
      </w:r>
      <w:proofErr w:type="spellEnd"/>
      <w:r w:rsidRPr="00ED2A5C">
        <w:rPr>
          <w:rFonts w:ascii="Arial" w:hAnsi="Arial" w:cs="Arial"/>
        </w:rPr>
        <w:t>. 2013;17(2):182-</w:t>
      </w:r>
      <w:r w:rsidR="00C87671">
        <w:rPr>
          <w:rFonts w:ascii="Arial" w:hAnsi="Arial" w:cs="Arial"/>
        </w:rPr>
        <w:t>1</w:t>
      </w:r>
      <w:r w:rsidRPr="00ED2A5C">
        <w:rPr>
          <w:rFonts w:ascii="Arial" w:hAnsi="Arial" w:cs="Arial"/>
        </w:rPr>
        <w:t>87.</w:t>
      </w:r>
    </w:p>
    <w:p w14:paraId="4F71C2EF" w14:textId="4BE492D3" w:rsidR="00ED2A5C" w:rsidRPr="00ED2A5C" w:rsidRDefault="00ED2A5C" w:rsidP="00ED2A5C">
      <w:pPr>
        <w:pStyle w:val="Body"/>
        <w:numPr>
          <w:ilvl w:val="0"/>
          <w:numId w:val="32"/>
        </w:numPr>
        <w:spacing w:line="360" w:lineRule="auto"/>
        <w:rPr>
          <w:rFonts w:ascii="Arial" w:hAnsi="Arial" w:cs="Arial"/>
        </w:rPr>
      </w:pPr>
      <w:proofErr w:type="spellStart"/>
      <w:r w:rsidRPr="00ED2A5C">
        <w:rPr>
          <w:rFonts w:ascii="Arial" w:hAnsi="Arial" w:cs="Arial"/>
        </w:rPr>
        <w:t>Samudrala</w:t>
      </w:r>
      <w:proofErr w:type="spellEnd"/>
      <w:r w:rsidRPr="00ED2A5C">
        <w:rPr>
          <w:rFonts w:ascii="Arial" w:hAnsi="Arial" w:cs="Arial"/>
        </w:rPr>
        <w:t xml:space="preserve"> P, </w:t>
      </w:r>
      <w:proofErr w:type="spellStart"/>
      <w:r w:rsidRPr="00ED2A5C">
        <w:rPr>
          <w:rFonts w:ascii="Arial" w:hAnsi="Arial" w:cs="Arial"/>
        </w:rPr>
        <w:t>Chava</w:t>
      </w:r>
      <w:proofErr w:type="spellEnd"/>
      <w:r w:rsidRPr="00ED2A5C">
        <w:rPr>
          <w:rFonts w:ascii="Arial" w:hAnsi="Arial" w:cs="Arial"/>
        </w:rPr>
        <w:t xml:space="preserve"> VK, Chandana TS, Suresh R. Drug-induced gingival overgrowth: A critical insight into case reports from over two decades. J Indian Soc Periodontol.2016;20(5):496-</w:t>
      </w:r>
      <w:r w:rsidR="00C87671">
        <w:rPr>
          <w:rFonts w:ascii="Arial" w:hAnsi="Arial" w:cs="Arial"/>
        </w:rPr>
        <w:t>5</w:t>
      </w:r>
      <w:r w:rsidRPr="00ED2A5C">
        <w:rPr>
          <w:rFonts w:ascii="Arial" w:hAnsi="Arial" w:cs="Arial"/>
        </w:rPr>
        <w:t>02.</w:t>
      </w:r>
    </w:p>
    <w:p w14:paraId="5A501BE5" w14:textId="5B7F930C" w:rsidR="00ED2A5C" w:rsidRPr="00ED2A5C" w:rsidRDefault="00ED2A5C" w:rsidP="00ED2A5C">
      <w:pPr>
        <w:pStyle w:val="Body"/>
        <w:numPr>
          <w:ilvl w:val="0"/>
          <w:numId w:val="32"/>
        </w:numPr>
        <w:spacing w:line="360" w:lineRule="auto"/>
        <w:rPr>
          <w:rFonts w:ascii="Arial" w:hAnsi="Arial" w:cs="Arial"/>
        </w:rPr>
      </w:pPr>
      <w:r w:rsidRPr="00ED2A5C">
        <w:rPr>
          <w:rFonts w:ascii="Arial" w:hAnsi="Arial" w:cs="Arial"/>
        </w:rPr>
        <w:t xml:space="preserve">Barclay S, Thomason JM, Idle JR, Seymour RA. The incidence and severity of nifedipine-induced gingival overgrowth. J Clin </w:t>
      </w:r>
      <w:proofErr w:type="spellStart"/>
      <w:r w:rsidRPr="00ED2A5C">
        <w:rPr>
          <w:rFonts w:ascii="Arial" w:hAnsi="Arial" w:cs="Arial"/>
        </w:rPr>
        <w:t>Periodontol</w:t>
      </w:r>
      <w:proofErr w:type="spellEnd"/>
      <w:r w:rsidRPr="00ED2A5C">
        <w:rPr>
          <w:rFonts w:ascii="Arial" w:hAnsi="Arial" w:cs="Arial"/>
        </w:rPr>
        <w:t>. 1992; 19(5): 311–</w:t>
      </w:r>
      <w:r w:rsidR="00C87671">
        <w:rPr>
          <w:rFonts w:ascii="Arial" w:hAnsi="Arial" w:cs="Arial"/>
        </w:rPr>
        <w:t>3</w:t>
      </w:r>
      <w:r w:rsidRPr="00ED2A5C">
        <w:rPr>
          <w:rFonts w:ascii="Arial" w:hAnsi="Arial" w:cs="Arial"/>
        </w:rPr>
        <w:t>14.</w:t>
      </w:r>
    </w:p>
    <w:p w14:paraId="4E4B0E8F" w14:textId="48C2A3A7" w:rsidR="00ED2A5C" w:rsidRPr="00ED2A5C" w:rsidRDefault="00ED2A5C" w:rsidP="00ED2A5C">
      <w:pPr>
        <w:pStyle w:val="Body"/>
        <w:numPr>
          <w:ilvl w:val="0"/>
          <w:numId w:val="32"/>
        </w:numPr>
        <w:spacing w:line="360" w:lineRule="auto"/>
        <w:rPr>
          <w:rFonts w:ascii="Arial" w:hAnsi="Arial" w:cs="Arial"/>
        </w:rPr>
      </w:pPr>
      <w:r w:rsidRPr="00ED2A5C">
        <w:rPr>
          <w:rFonts w:ascii="Arial" w:hAnsi="Arial" w:cs="Arial"/>
        </w:rPr>
        <w:t xml:space="preserve">Johnson RB, Zebrowski EJ, Dai X. Synergistic enhancement of collagenous protein synthesis by human gingival fibroblasts exposed to nifedipine and interleukin-1-beta in </w:t>
      </w:r>
      <w:proofErr w:type="spellStart"/>
      <w:proofErr w:type="gramStart"/>
      <w:r w:rsidRPr="00ED2A5C">
        <w:rPr>
          <w:rFonts w:ascii="Arial" w:hAnsi="Arial" w:cs="Arial"/>
        </w:rPr>
        <w:t>vitro.J</w:t>
      </w:r>
      <w:proofErr w:type="spellEnd"/>
      <w:proofErr w:type="gramEnd"/>
      <w:r w:rsidRPr="00ED2A5C">
        <w:rPr>
          <w:rFonts w:ascii="Arial" w:hAnsi="Arial" w:cs="Arial"/>
        </w:rPr>
        <w:t xml:space="preserve"> Oral </w:t>
      </w:r>
      <w:proofErr w:type="spellStart"/>
      <w:r w:rsidRPr="00ED2A5C">
        <w:rPr>
          <w:rFonts w:ascii="Arial" w:hAnsi="Arial" w:cs="Arial"/>
        </w:rPr>
        <w:t>Pathol</w:t>
      </w:r>
      <w:proofErr w:type="spellEnd"/>
      <w:r w:rsidRPr="00ED2A5C">
        <w:rPr>
          <w:rFonts w:ascii="Arial" w:hAnsi="Arial" w:cs="Arial"/>
        </w:rPr>
        <w:t xml:space="preserve"> Med. 2000;29(1):8-12.</w:t>
      </w:r>
    </w:p>
    <w:p w14:paraId="307A7325" w14:textId="6E0D1302" w:rsidR="00ED2A5C" w:rsidRPr="00ED2A5C" w:rsidRDefault="00ED2A5C" w:rsidP="00ED2A5C">
      <w:pPr>
        <w:pStyle w:val="Body"/>
        <w:numPr>
          <w:ilvl w:val="0"/>
          <w:numId w:val="32"/>
        </w:numPr>
        <w:spacing w:line="360" w:lineRule="auto"/>
        <w:rPr>
          <w:rFonts w:ascii="Arial" w:hAnsi="Arial" w:cs="Arial"/>
        </w:rPr>
      </w:pPr>
      <w:proofErr w:type="spellStart"/>
      <w:r w:rsidRPr="00ED2A5C">
        <w:rPr>
          <w:rFonts w:ascii="Arial" w:hAnsi="Arial" w:cs="Arial"/>
        </w:rPr>
        <w:t>Pernu</w:t>
      </w:r>
      <w:proofErr w:type="spellEnd"/>
      <w:r w:rsidRPr="00ED2A5C">
        <w:rPr>
          <w:rFonts w:ascii="Arial" w:hAnsi="Arial" w:cs="Arial"/>
        </w:rPr>
        <w:t xml:space="preserve"> HE, </w:t>
      </w:r>
      <w:proofErr w:type="spellStart"/>
      <w:r w:rsidRPr="00ED2A5C">
        <w:rPr>
          <w:rFonts w:ascii="Arial" w:hAnsi="Arial" w:cs="Arial"/>
        </w:rPr>
        <w:t>Knuuttila</w:t>
      </w:r>
      <w:proofErr w:type="spellEnd"/>
      <w:r w:rsidRPr="00ED2A5C">
        <w:rPr>
          <w:rFonts w:ascii="Arial" w:hAnsi="Arial" w:cs="Arial"/>
        </w:rPr>
        <w:t xml:space="preserve"> ML, </w:t>
      </w:r>
      <w:proofErr w:type="spellStart"/>
      <w:r w:rsidRPr="00ED2A5C">
        <w:rPr>
          <w:rFonts w:ascii="Arial" w:hAnsi="Arial" w:cs="Arial"/>
        </w:rPr>
        <w:t>Huttenen</w:t>
      </w:r>
      <w:proofErr w:type="spellEnd"/>
      <w:r w:rsidRPr="00ED2A5C">
        <w:rPr>
          <w:rFonts w:ascii="Arial" w:hAnsi="Arial" w:cs="Arial"/>
        </w:rPr>
        <w:t xml:space="preserve"> KR, </w:t>
      </w:r>
      <w:proofErr w:type="spellStart"/>
      <w:r w:rsidRPr="00ED2A5C">
        <w:rPr>
          <w:rFonts w:ascii="Arial" w:hAnsi="Arial" w:cs="Arial"/>
        </w:rPr>
        <w:t>Tiilikainen</w:t>
      </w:r>
      <w:proofErr w:type="spellEnd"/>
      <w:r w:rsidRPr="00ED2A5C">
        <w:rPr>
          <w:rFonts w:ascii="Arial" w:hAnsi="Arial" w:cs="Arial"/>
        </w:rPr>
        <w:t xml:space="preserve"> AS. Drug-induced gingival overgrowth and class I1 major histocompatibility antigens. Transplantation.1994;57(12):1811-3.</w:t>
      </w:r>
    </w:p>
    <w:p w14:paraId="64A01B32" w14:textId="77808CEF" w:rsidR="00ED2A5C" w:rsidRPr="00ED2A5C" w:rsidRDefault="00ED2A5C" w:rsidP="00ED2A5C">
      <w:pPr>
        <w:pStyle w:val="Body"/>
        <w:numPr>
          <w:ilvl w:val="0"/>
          <w:numId w:val="32"/>
        </w:numPr>
        <w:spacing w:line="360" w:lineRule="auto"/>
        <w:rPr>
          <w:rFonts w:ascii="Arial" w:hAnsi="Arial" w:cs="Arial"/>
        </w:rPr>
      </w:pPr>
      <w:proofErr w:type="spellStart"/>
      <w:r w:rsidRPr="00ED2A5C">
        <w:rPr>
          <w:rFonts w:ascii="Arial" w:hAnsi="Arial" w:cs="Arial"/>
        </w:rPr>
        <w:t>Tonsekar</w:t>
      </w:r>
      <w:proofErr w:type="spellEnd"/>
      <w:r w:rsidRPr="00ED2A5C">
        <w:rPr>
          <w:rFonts w:ascii="Arial" w:hAnsi="Arial" w:cs="Arial"/>
        </w:rPr>
        <w:t xml:space="preserve">, P.; </w:t>
      </w:r>
      <w:proofErr w:type="spellStart"/>
      <w:r w:rsidRPr="00ED2A5C">
        <w:rPr>
          <w:rFonts w:ascii="Arial" w:hAnsi="Arial" w:cs="Arial"/>
        </w:rPr>
        <w:t>Tonsekar</w:t>
      </w:r>
      <w:proofErr w:type="spellEnd"/>
      <w:r w:rsidRPr="00ED2A5C">
        <w:rPr>
          <w:rFonts w:ascii="Arial" w:hAnsi="Arial" w:cs="Arial"/>
        </w:rPr>
        <w:t>, V. Calcium-Channel-Blocker-Influenced Gingival Enlargement: A Conundrum Demystified. Oral. 2021;1(3):236-</w:t>
      </w:r>
      <w:r w:rsidR="00C87671">
        <w:rPr>
          <w:rFonts w:ascii="Arial" w:hAnsi="Arial" w:cs="Arial"/>
        </w:rPr>
        <w:t>2</w:t>
      </w:r>
      <w:r w:rsidRPr="00ED2A5C">
        <w:rPr>
          <w:rFonts w:ascii="Arial" w:hAnsi="Arial" w:cs="Arial"/>
        </w:rPr>
        <w:t>49.</w:t>
      </w:r>
    </w:p>
    <w:p w14:paraId="6D403550" w14:textId="350161B2" w:rsidR="00ED2A5C" w:rsidRPr="00ED2A5C" w:rsidRDefault="00ED2A5C" w:rsidP="00ED2A5C">
      <w:pPr>
        <w:pStyle w:val="Body"/>
        <w:numPr>
          <w:ilvl w:val="0"/>
          <w:numId w:val="32"/>
        </w:numPr>
        <w:spacing w:line="360" w:lineRule="auto"/>
        <w:rPr>
          <w:rFonts w:ascii="Arial" w:hAnsi="Arial" w:cs="Arial"/>
        </w:rPr>
      </w:pPr>
      <w:proofErr w:type="spellStart"/>
      <w:r w:rsidRPr="00ED2A5C">
        <w:rPr>
          <w:rFonts w:ascii="Arial" w:hAnsi="Arial" w:cs="Arial"/>
        </w:rPr>
        <w:lastRenderedPageBreak/>
        <w:t>Kantarci</w:t>
      </w:r>
      <w:proofErr w:type="spellEnd"/>
      <w:r w:rsidRPr="00ED2A5C">
        <w:rPr>
          <w:rFonts w:ascii="Arial" w:hAnsi="Arial" w:cs="Arial"/>
        </w:rPr>
        <w:t xml:space="preserve"> A, </w:t>
      </w:r>
      <w:proofErr w:type="spellStart"/>
      <w:r w:rsidRPr="00ED2A5C">
        <w:rPr>
          <w:rFonts w:ascii="Arial" w:hAnsi="Arial" w:cs="Arial"/>
        </w:rPr>
        <w:t>Cebeci</w:t>
      </w:r>
      <w:proofErr w:type="spellEnd"/>
      <w:r w:rsidRPr="00ED2A5C">
        <w:rPr>
          <w:rFonts w:ascii="Arial" w:hAnsi="Arial" w:cs="Arial"/>
        </w:rPr>
        <w:t xml:space="preserve"> I, </w:t>
      </w:r>
      <w:proofErr w:type="spellStart"/>
      <w:r w:rsidRPr="00ED2A5C">
        <w:rPr>
          <w:rFonts w:ascii="Arial" w:hAnsi="Arial" w:cs="Arial"/>
        </w:rPr>
        <w:t>Tuncer</w:t>
      </w:r>
      <w:proofErr w:type="spellEnd"/>
      <w:r w:rsidRPr="00ED2A5C">
        <w:rPr>
          <w:rFonts w:ascii="Arial" w:hAnsi="Arial" w:cs="Arial"/>
        </w:rPr>
        <w:t xml:space="preserve"> O, Carin M, </w:t>
      </w:r>
      <w:proofErr w:type="spellStart"/>
      <w:r w:rsidRPr="00ED2A5C">
        <w:rPr>
          <w:rFonts w:ascii="Arial" w:hAnsi="Arial" w:cs="Arial"/>
        </w:rPr>
        <w:t>Firatli</w:t>
      </w:r>
      <w:proofErr w:type="spellEnd"/>
      <w:r w:rsidRPr="00ED2A5C">
        <w:rPr>
          <w:rFonts w:ascii="Arial" w:hAnsi="Arial" w:cs="Arial"/>
        </w:rPr>
        <w:t xml:space="preserve"> E. Clinical effects of periodontal therapy on the severity of cyclosporin A-induced gingival hyperplasia. J Periodontol.1999;70(6):587-</w:t>
      </w:r>
      <w:r w:rsidR="00C87671">
        <w:rPr>
          <w:rFonts w:ascii="Arial" w:hAnsi="Arial" w:cs="Arial"/>
        </w:rPr>
        <w:t>5</w:t>
      </w:r>
      <w:r w:rsidRPr="00ED2A5C">
        <w:rPr>
          <w:rFonts w:ascii="Arial" w:hAnsi="Arial" w:cs="Arial"/>
        </w:rPr>
        <w:t>93.</w:t>
      </w:r>
    </w:p>
    <w:p w14:paraId="22C305F1" w14:textId="77777777" w:rsidR="00790ADA" w:rsidRPr="00FB3A86" w:rsidRDefault="00790ADA" w:rsidP="00441B6F">
      <w:pPr>
        <w:pStyle w:val="ReferHead"/>
        <w:spacing w:after="0"/>
        <w:jc w:val="both"/>
        <w:rPr>
          <w:rFonts w:ascii="Arial" w:hAnsi="Arial" w:cs="Arial"/>
        </w:rPr>
      </w:pPr>
    </w:p>
    <w:p w14:paraId="276240AC" w14:textId="77777777" w:rsidR="00B01FCD" w:rsidRPr="00FB3A86" w:rsidRDefault="00B01FCD" w:rsidP="00441B6F">
      <w:pPr>
        <w:pStyle w:val="Appendix"/>
        <w:spacing w:after="0"/>
        <w:jc w:val="both"/>
        <w:rPr>
          <w:rFonts w:ascii="Arial" w:hAnsi="Arial" w:cs="Arial"/>
          <w:b w:val="0"/>
        </w:rPr>
      </w:pPr>
    </w:p>
    <w:sectPr w:rsidR="00B01FCD" w:rsidRPr="00FB3A86" w:rsidSect="009071FE">
      <w:headerReference w:type="even" r:id="rId16"/>
      <w:headerReference w:type="default" r:id="rId17"/>
      <w:footerReference w:type="default" r:id="rId18"/>
      <w:headerReference w:type="first" r:id="rId19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D9E320" w14:textId="77777777" w:rsidR="00566640" w:rsidRDefault="00566640" w:rsidP="00C37E61">
      <w:r>
        <w:separator/>
      </w:r>
    </w:p>
  </w:endnote>
  <w:endnote w:type="continuationSeparator" w:id="0">
    <w:p w14:paraId="0F467CC0" w14:textId="77777777" w:rsidR="00566640" w:rsidRDefault="00566640" w:rsidP="00C37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195FE" w14:textId="77777777" w:rsidR="009071FE" w:rsidRDefault="009071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9C2B9" w14:textId="77777777" w:rsidR="009071FE" w:rsidRDefault="009071F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6EB7C" w14:textId="77777777" w:rsidR="009E048A" w:rsidRDefault="009E048A">
    <w:pPr>
      <w:pStyle w:val="Footer"/>
      <w:rPr>
        <w:rFonts w:ascii="Arial" w:hAnsi="Arial" w:cs="Arial"/>
        <w:sz w:val="16"/>
      </w:rPr>
    </w:pPr>
  </w:p>
  <w:p w14:paraId="7E94AE1D" w14:textId="77777777" w:rsidR="009E048A" w:rsidRDefault="009E048A" w:rsidP="009E048A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______________________________________________________________________</w:t>
    </w:r>
    <w:r w:rsidR="00BF121F">
      <w:rPr>
        <w:rFonts w:ascii="Arial" w:hAnsi="Arial" w:cs="Arial"/>
        <w:sz w:val="16"/>
      </w:rPr>
      <w:t>______________________</w:t>
    </w:r>
  </w:p>
  <w:p w14:paraId="28E885F9" w14:textId="77777777" w:rsidR="009E048A" w:rsidRDefault="009E048A">
    <w:pPr>
      <w:pStyle w:val="Footer"/>
      <w:rPr>
        <w:rFonts w:ascii="Arial" w:hAnsi="Arial" w:cs="Arial"/>
        <w:sz w:val="16"/>
      </w:rPr>
    </w:pPr>
  </w:p>
  <w:p w14:paraId="7B687500" w14:textId="77777777" w:rsidR="00754C9A" w:rsidRPr="009E048A" w:rsidRDefault="00754C9A">
    <w:pPr>
      <w:pStyle w:val="Footer"/>
      <w:rPr>
        <w:rFonts w:ascii="Arial" w:hAnsi="Arial" w:cs="Arial"/>
        <w:i/>
        <w:sz w:val="16"/>
      </w:rPr>
    </w:pPr>
    <w:r w:rsidRPr="009E048A">
      <w:rPr>
        <w:rFonts w:ascii="Arial" w:hAnsi="Arial" w:cs="Arial"/>
        <w:i/>
        <w:sz w:val="16"/>
      </w:rPr>
      <w:t>*Corresponding author: Email: XYZ@ABC.COM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7DB8BB" w14:textId="77777777" w:rsidR="00C37E61" w:rsidRPr="00C37E61" w:rsidRDefault="00C37E61" w:rsidP="00C37E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B783C8" w14:textId="77777777" w:rsidR="00566640" w:rsidRDefault="00566640" w:rsidP="00C37E61">
      <w:r>
        <w:separator/>
      </w:r>
    </w:p>
  </w:footnote>
  <w:footnote w:type="continuationSeparator" w:id="0">
    <w:p w14:paraId="23C2E41E" w14:textId="77777777" w:rsidR="00566640" w:rsidRDefault="00566640" w:rsidP="00C37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8393F" w14:textId="15EC3001" w:rsidR="009071FE" w:rsidRDefault="009071FE">
    <w:pPr>
      <w:pStyle w:val="Header"/>
    </w:pPr>
    <w:r>
      <w:rPr>
        <w:noProof/>
      </w:rPr>
      <w:pict w14:anchorId="306461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99204" o:spid="_x0000_s2050" type="#_x0000_t136" style="position:absolute;margin-left:0;margin-top:0;width:684.1pt;height:77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B3C67C" w14:textId="74C6C658" w:rsidR="009071FE" w:rsidRDefault="009071FE">
    <w:pPr>
      <w:pStyle w:val="Header"/>
    </w:pPr>
    <w:r>
      <w:rPr>
        <w:noProof/>
      </w:rPr>
      <w:pict w14:anchorId="3FA9EBC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99205" o:spid="_x0000_s2051" type="#_x0000_t136" style="position:absolute;margin-left:0;margin-top:0;width:684.1pt;height:77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8009E" w14:textId="410A9923" w:rsidR="00296529" w:rsidRPr="00296529" w:rsidRDefault="009071FE" w:rsidP="00296529">
    <w:pPr>
      <w:ind w:left="2160"/>
      <w:jc w:val="center"/>
      <w:rPr>
        <w:rFonts w:ascii="Times New Roman" w:eastAsia="Calibri" w:hAnsi="Times New Roman"/>
        <w:i/>
        <w:sz w:val="18"/>
        <w:szCs w:val="22"/>
      </w:rPr>
    </w:pPr>
    <w:r>
      <w:rPr>
        <w:noProof/>
      </w:rPr>
      <w:pict w14:anchorId="4BB6DB5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99203" o:spid="_x0000_s2049" type="#_x0000_t136" style="position:absolute;left:0;text-align:left;margin-left:0;margin-top:0;width:684.1pt;height:77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  <w:p w14:paraId="353C7794" w14:textId="77777777" w:rsidR="00296529" w:rsidRPr="00296529" w:rsidRDefault="00754C9A" w:rsidP="00296529">
    <w:pPr>
      <w:ind w:left="4320"/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>.</w:t>
    </w:r>
    <w:r w:rsidR="00296529" w:rsidRPr="00296529">
      <w:rPr>
        <w:rFonts w:ascii="Times New Roman" w:eastAsia="Calibri" w:hAnsi="Times New Roman"/>
        <w:i/>
        <w:sz w:val="18"/>
        <w:szCs w:val="22"/>
      </w:rPr>
      <w:t xml:space="preserve">     </w:t>
    </w:r>
  </w:p>
  <w:p w14:paraId="6BC43BDC" w14:textId="77777777" w:rsidR="00296529" w:rsidRPr="00296529" w:rsidRDefault="00754C9A" w:rsidP="00296529">
    <w:pPr>
      <w:jc w:val="center"/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>.</w:t>
    </w:r>
  </w:p>
  <w:p w14:paraId="6239519E" w14:textId="77777777" w:rsidR="00296529" w:rsidRPr="00296529" w:rsidRDefault="00296529" w:rsidP="00296529">
    <w:pPr>
      <w:spacing w:after="200"/>
      <w:jc w:val="center"/>
      <w:rPr>
        <w:rFonts w:ascii="Times New Roman" w:eastAsia="Calibri" w:hAnsi="Times New Roman"/>
        <w:b/>
        <w:i/>
        <w:sz w:val="32"/>
        <w:szCs w:val="22"/>
      </w:rPr>
    </w:pPr>
    <w:r w:rsidRPr="00296529">
      <w:rPr>
        <w:rFonts w:ascii="Times New Roman" w:eastAsia="Calibri" w:hAnsi="Times New Roman"/>
        <w:b/>
        <w:i/>
        <w:sz w:val="32"/>
        <w:szCs w:val="22"/>
      </w:rPr>
      <w:t xml:space="preserve">              </w:t>
    </w:r>
    <w:r w:rsidR="00754C9A">
      <w:rPr>
        <w:rFonts w:ascii="Times New Roman" w:eastAsia="Calibri" w:hAnsi="Times New Roman"/>
        <w:b/>
        <w:i/>
        <w:sz w:val="32"/>
        <w:szCs w:val="22"/>
      </w:rPr>
      <w:t>.</w:t>
    </w:r>
    <w:r w:rsidRPr="00296529">
      <w:rPr>
        <w:rFonts w:ascii="Times New Roman" w:eastAsia="Calibri" w:hAnsi="Times New Roman"/>
        <w:b/>
        <w:i/>
        <w:sz w:val="32"/>
        <w:szCs w:val="22"/>
      </w:rPr>
      <w:t xml:space="preserve"> </w:t>
    </w:r>
  </w:p>
  <w:p w14:paraId="4BFD0D6A" w14:textId="77777777" w:rsidR="00296529" w:rsidRDefault="00296529" w:rsidP="00296529">
    <w:pPr>
      <w:jc w:val="center"/>
      <w:rPr>
        <w:rFonts w:ascii="Times New Roman" w:eastAsia="Calibri" w:hAnsi="Times New Roman"/>
        <w:i/>
        <w:sz w:val="18"/>
        <w:szCs w:val="22"/>
      </w:rPr>
    </w:pPr>
    <w:r w:rsidRPr="00296529">
      <w:rPr>
        <w:rFonts w:ascii="Times New Roman" w:eastAsia="Calibri" w:hAnsi="Times New Roman"/>
        <w:i/>
        <w:sz w:val="18"/>
        <w:szCs w:val="22"/>
      </w:rPr>
      <w:t xml:space="preserve">                     </w:t>
    </w:r>
  </w:p>
  <w:p w14:paraId="45F86E61" w14:textId="77777777" w:rsidR="00296529" w:rsidRDefault="00296529" w:rsidP="00296529">
    <w:pPr>
      <w:tabs>
        <w:tab w:val="left" w:pos="2145"/>
      </w:tabs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ab/>
    </w:r>
    <w:r w:rsidR="00754C9A">
      <w:rPr>
        <w:rFonts w:ascii="Times New Roman" w:eastAsia="Calibri" w:hAnsi="Times New Roman"/>
        <w:i/>
        <w:sz w:val="18"/>
        <w:szCs w:val="22"/>
      </w:rPr>
      <w:t>.</w:t>
    </w:r>
  </w:p>
  <w:p w14:paraId="66AF5507" w14:textId="77777777" w:rsidR="00296529" w:rsidRDefault="00754C9A">
    <w:pPr>
      <w:pStyle w:val="Header"/>
    </w:pPr>
    <w:r>
      <w:t>..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60F17" w14:textId="671B6241" w:rsidR="009071FE" w:rsidRDefault="009071FE">
    <w:pPr>
      <w:pStyle w:val="Header"/>
    </w:pPr>
    <w:r>
      <w:rPr>
        <w:noProof/>
      </w:rPr>
      <w:pict w14:anchorId="33232A5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99207" o:spid="_x0000_s2053" type="#_x0000_t136" style="position:absolute;margin-left:0;margin-top:0;width:684.1pt;height:77.1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D9835" w14:textId="31FC174D" w:rsidR="009071FE" w:rsidRDefault="009071FE">
    <w:pPr>
      <w:pStyle w:val="Header"/>
    </w:pPr>
    <w:r>
      <w:rPr>
        <w:noProof/>
      </w:rPr>
      <w:pict w14:anchorId="7A23298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99208" o:spid="_x0000_s2054" type="#_x0000_t136" style="position:absolute;margin-left:0;margin-top:0;width:684.1pt;height:77.15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32ACF2" w14:textId="76887FF7" w:rsidR="009071FE" w:rsidRDefault="009071FE">
    <w:pPr>
      <w:pStyle w:val="Header"/>
    </w:pPr>
    <w:r>
      <w:rPr>
        <w:noProof/>
      </w:rPr>
      <w:pict w14:anchorId="6CC9031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99206" o:spid="_x0000_s2052" type="#_x0000_t136" style="position:absolute;margin-left:0;margin-top:0;width:684.1pt;height:77.1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053B8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" w15:restartNumberingAfterBreak="0">
    <w:nsid w:val="05456171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3" w15:restartNumberingAfterBreak="0">
    <w:nsid w:val="07DC245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4" w15:restartNumberingAfterBreak="0">
    <w:nsid w:val="082B0AB1"/>
    <w:multiLevelType w:val="hybridMultilevel"/>
    <w:tmpl w:val="C464E6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9A26EC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6" w15:restartNumberingAfterBreak="0">
    <w:nsid w:val="0EC833EF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7" w15:restartNumberingAfterBreak="0">
    <w:nsid w:val="193B2D1D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8" w15:restartNumberingAfterBreak="0">
    <w:nsid w:val="1CC15D69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9" w15:restartNumberingAfterBreak="0">
    <w:nsid w:val="21B564C6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0" w15:restartNumberingAfterBreak="0">
    <w:nsid w:val="22CB701F"/>
    <w:multiLevelType w:val="multilevel"/>
    <w:tmpl w:val="2548A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A1541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2" w15:restartNumberingAfterBreak="0">
    <w:nsid w:val="2D7946B7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3" w15:restartNumberingAfterBreak="0">
    <w:nsid w:val="2EF941EF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4" w15:restartNumberingAfterBreak="0">
    <w:nsid w:val="310972C1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5" w15:restartNumberingAfterBreak="0">
    <w:nsid w:val="3DB164E2"/>
    <w:multiLevelType w:val="hybridMultilevel"/>
    <w:tmpl w:val="E860727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0C5ABA"/>
    <w:multiLevelType w:val="singleLevel"/>
    <w:tmpl w:val="A1B04A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7" w15:restartNumberingAfterBreak="0">
    <w:nsid w:val="52A6797C"/>
    <w:multiLevelType w:val="hybridMultilevel"/>
    <w:tmpl w:val="D05A99DE"/>
    <w:lvl w:ilvl="0" w:tplc="7A92AA74">
      <w:numFmt w:val="bullet"/>
      <w:lvlText w:val="·"/>
      <w:lvlJc w:val="left"/>
      <w:pPr>
        <w:ind w:left="900" w:hanging="54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3778F8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9" w15:restartNumberingAfterBreak="0">
    <w:nsid w:val="69C16E47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0" w15:restartNumberingAfterBreak="0">
    <w:nsid w:val="71604DCD"/>
    <w:multiLevelType w:val="singleLevel"/>
    <w:tmpl w:val="E368B7EE"/>
    <w:lvl w:ilvl="0">
      <w:start w:val="1"/>
      <w:numFmt w:val="decimal"/>
      <w:pStyle w:val="Referenc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2B66FC8"/>
    <w:multiLevelType w:val="hybridMultilevel"/>
    <w:tmpl w:val="256E6680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997DC5"/>
    <w:multiLevelType w:val="singleLevel"/>
    <w:tmpl w:val="A1B04A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3" w15:restartNumberingAfterBreak="0">
    <w:nsid w:val="741A595A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4" w15:restartNumberingAfterBreak="0">
    <w:nsid w:val="7477441B"/>
    <w:multiLevelType w:val="singleLevel"/>
    <w:tmpl w:val="199E1F42"/>
    <w:lvl w:ilvl="0">
      <w:start w:val="1"/>
      <w:numFmt w:val="decimal"/>
      <w:lvlText w:val="%1"/>
      <w:legacy w:legacy="1" w:legacySpace="0" w:legacyIndent="360"/>
      <w:lvlJc w:val="left"/>
      <w:pPr>
        <w:ind w:left="360" w:hanging="360"/>
      </w:pPr>
      <w:rPr>
        <w:rFonts w:ascii="Symbol" w:hAnsi="Symbol" w:hint="default"/>
        <w:b w:val="0"/>
        <w:i w:val="0"/>
        <w:sz w:val="20"/>
      </w:rPr>
    </w:lvl>
  </w:abstractNum>
  <w:abstractNum w:abstractNumId="25" w15:restartNumberingAfterBreak="0">
    <w:nsid w:val="760B4DD1"/>
    <w:multiLevelType w:val="hybridMultilevel"/>
    <w:tmpl w:val="1B76CCE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F3002E"/>
    <w:multiLevelType w:val="multilevel"/>
    <w:tmpl w:val="469AF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82D2992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8" w15:restartNumberingAfterBreak="0">
    <w:nsid w:val="7B165441"/>
    <w:multiLevelType w:val="hybridMultilevel"/>
    <w:tmpl w:val="094E5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FA7EFB"/>
    <w:multiLevelType w:val="multilevel"/>
    <w:tmpl w:val="7C8A2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F7D3A3A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6"/>
  </w:num>
  <w:num w:numId="3">
    <w:abstractNumId w:val="24"/>
  </w:num>
  <w:num w:numId="4">
    <w:abstractNumId w:val="0"/>
    <w:lvlOverride w:ilvl="0">
      <w:lvl w:ilvl="0">
        <w:start w:val="1"/>
        <w:numFmt w:val="bullet"/>
        <w:lvlText w:val="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  <w:sz w:val="16"/>
        </w:rPr>
      </w:lvl>
    </w:lvlOverride>
  </w:num>
  <w:num w:numId="5">
    <w:abstractNumId w:val="7"/>
  </w:num>
  <w:num w:numId="6">
    <w:abstractNumId w:val="6"/>
  </w:num>
  <w:num w:numId="7">
    <w:abstractNumId w:val="1"/>
  </w:num>
  <w:num w:numId="8">
    <w:abstractNumId w:val="12"/>
  </w:num>
  <w:num w:numId="9">
    <w:abstractNumId w:val="27"/>
  </w:num>
  <w:num w:numId="10">
    <w:abstractNumId w:val="2"/>
  </w:num>
  <w:num w:numId="11">
    <w:abstractNumId w:val="19"/>
  </w:num>
  <w:num w:numId="12">
    <w:abstractNumId w:val="3"/>
  </w:num>
  <w:num w:numId="13">
    <w:abstractNumId w:val="18"/>
  </w:num>
  <w:num w:numId="14">
    <w:abstractNumId w:val="8"/>
  </w:num>
  <w:num w:numId="15">
    <w:abstractNumId w:val="22"/>
  </w:num>
  <w:num w:numId="16">
    <w:abstractNumId w:val="5"/>
  </w:num>
  <w:num w:numId="17">
    <w:abstractNumId w:val="23"/>
  </w:num>
  <w:num w:numId="18">
    <w:abstractNumId w:val="14"/>
  </w:num>
  <w:num w:numId="19">
    <w:abstractNumId w:val="30"/>
  </w:num>
  <w:num w:numId="20">
    <w:abstractNumId w:val="11"/>
  </w:num>
  <w:num w:numId="21">
    <w:abstractNumId w:val="9"/>
  </w:num>
  <w:num w:numId="22">
    <w:abstractNumId w:val="13"/>
  </w:num>
  <w:num w:numId="23">
    <w:abstractNumId w:val="20"/>
  </w:num>
  <w:num w:numId="24">
    <w:abstractNumId w:val="28"/>
  </w:num>
  <w:num w:numId="25">
    <w:abstractNumId w:val="4"/>
  </w:num>
  <w:num w:numId="26">
    <w:abstractNumId w:val="17"/>
  </w:num>
  <w:num w:numId="27">
    <w:abstractNumId w:val="21"/>
  </w:num>
  <w:num w:numId="28">
    <w:abstractNumId w:val="29"/>
  </w:num>
  <w:num w:numId="29">
    <w:abstractNumId w:val="26"/>
  </w:num>
  <w:num w:numId="30">
    <w:abstractNumId w:val="10"/>
  </w:num>
  <w:num w:numId="31">
    <w:abstractNumId w:val="15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219"/>
    <w:rsid w:val="00000F8F"/>
    <w:rsid w:val="00030174"/>
    <w:rsid w:val="0004579C"/>
    <w:rsid w:val="000A47FA"/>
    <w:rsid w:val="000A65D3"/>
    <w:rsid w:val="000B1E33"/>
    <w:rsid w:val="000D3443"/>
    <w:rsid w:val="000D689F"/>
    <w:rsid w:val="000D7505"/>
    <w:rsid w:val="000E7B7B"/>
    <w:rsid w:val="000E7D62"/>
    <w:rsid w:val="000F243A"/>
    <w:rsid w:val="00103357"/>
    <w:rsid w:val="00123C9F"/>
    <w:rsid w:val="00126190"/>
    <w:rsid w:val="00130F17"/>
    <w:rsid w:val="001320BF"/>
    <w:rsid w:val="00153900"/>
    <w:rsid w:val="00163BC4"/>
    <w:rsid w:val="001820C2"/>
    <w:rsid w:val="001856D0"/>
    <w:rsid w:val="00191062"/>
    <w:rsid w:val="00192B72"/>
    <w:rsid w:val="001A29D8"/>
    <w:rsid w:val="001A5CAA"/>
    <w:rsid w:val="001B0427"/>
    <w:rsid w:val="001D0B71"/>
    <w:rsid w:val="001D3A51"/>
    <w:rsid w:val="001E10D2"/>
    <w:rsid w:val="001E25B4"/>
    <w:rsid w:val="001E44FE"/>
    <w:rsid w:val="00200595"/>
    <w:rsid w:val="00204835"/>
    <w:rsid w:val="00231920"/>
    <w:rsid w:val="0023195C"/>
    <w:rsid w:val="0024282C"/>
    <w:rsid w:val="002460DC"/>
    <w:rsid w:val="00250985"/>
    <w:rsid w:val="002556F6"/>
    <w:rsid w:val="00283105"/>
    <w:rsid w:val="00284C4C"/>
    <w:rsid w:val="00287E68"/>
    <w:rsid w:val="00296529"/>
    <w:rsid w:val="002A41D5"/>
    <w:rsid w:val="002B27FB"/>
    <w:rsid w:val="002B63DA"/>
    <w:rsid w:val="002B685A"/>
    <w:rsid w:val="002C1C4E"/>
    <w:rsid w:val="002C57D2"/>
    <w:rsid w:val="002E0D56"/>
    <w:rsid w:val="00304CD9"/>
    <w:rsid w:val="00315186"/>
    <w:rsid w:val="0033343E"/>
    <w:rsid w:val="0034428E"/>
    <w:rsid w:val="003512C2"/>
    <w:rsid w:val="00371FB6"/>
    <w:rsid w:val="003763C1"/>
    <w:rsid w:val="00376BBE"/>
    <w:rsid w:val="0039224F"/>
    <w:rsid w:val="003A43A4"/>
    <w:rsid w:val="003A7E18"/>
    <w:rsid w:val="003B3C61"/>
    <w:rsid w:val="003B43D2"/>
    <w:rsid w:val="003C4C86"/>
    <w:rsid w:val="003C6258"/>
    <w:rsid w:val="003E2904"/>
    <w:rsid w:val="003E56B6"/>
    <w:rsid w:val="003F28FE"/>
    <w:rsid w:val="00401927"/>
    <w:rsid w:val="0041027F"/>
    <w:rsid w:val="00412475"/>
    <w:rsid w:val="00416221"/>
    <w:rsid w:val="00423789"/>
    <w:rsid w:val="00425D41"/>
    <w:rsid w:val="00440F43"/>
    <w:rsid w:val="00441B6F"/>
    <w:rsid w:val="00446221"/>
    <w:rsid w:val="00450E62"/>
    <w:rsid w:val="004539DB"/>
    <w:rsid w:val="00456E0E"/>
    <w:rsid w:val="00471A80"/>
    <w:rsid w:val="0049503B"/>
    <w:rsid w:val="004B7E70"/>
    <w:rsid w:val="004D305E"/>
    <w:rsid w:val="004D4277"/>
    <w:rsid w:val="00502516"/>
    <w:rsid w:val="00502994"/>
    <w:rsid w:val="00505F06"/>
    <w:rsid w:val="00506828"/>
    <w:rsid w:val="0053056E"/>
    <w:rsid w:val="005466F5"/>
    <w:rsid w:val="00546FFE"/>
    <w:rsid w:val="00554FDA"/>
    <w:rsid w:val="00566640"/>
    <w:rsid w:val="005C784C"/>
    <w:rsid w:val="005D17F6"/>
    <w:rsid w:val="005E5539"/>
    <w:rsid w:val="00602BF5"/>
    <w:rsid w:val="00613CC4"/>
    <w:rsid w:val="00617FDD"/>
    <w:rsid w:val="00633614"/>
    <w:rsid w:val="00633F68"/>
    <w:rsid w:val="006357BE"/>
    <w:rsid w:val="00636EB2"/>
    <w:rsid w:val="006375B8"/>
    <w:rsid w:val="0066510A"/>
    <w:rsid w:val="00666698"/>
    <w:rsid w:val="00673F9F"/>
    <w:rsid w:val="00686953"/>
    <w:rsid w:val="00687DEA"/>
    <w:rsid w:val="00687E67"/>
    <w:rsid w:val="006967F7"/>
    <w:rsid w:val="006A250C"/>
    <w:rsid w:val="006B21D3"/>
    <w:rsid w:val="006B57D0"/>
    <w:rsid w:val="006C4252"/>
    <w:rsid w:val="006D30FF"/>
    <w:rsid w:val="006D6940"/>
    <w:rsid w:val="006F11EC"/>
    <w:rsid w:val="0070082C"/>
    <w:rsid w:val="007369E6"/>
    <w:rsid w:val="00746E59"/>
    <w:rsid w:val="00751862"/>
    <w:rsid w:val="00754C9A"/>
    <w:rsid w:val="0075599A"/>
    <w:rsid w:val="00761D52"/>
    <w:rsid w:val="00761DF3"/>
    <w:rsid w:val="0077749E"/>
    <w:rsid w:val="00783F52"/>
    <w:rsid w:val="00790ADA"/>
    <w:rsid w:val="00797578"/>
    <w:rsid w:val="007A230F"/>
    <w:rsid w:val="007D2288"/>
    <w:rsid w:val="007E073F"/>
    <w:rsid w:val="007E088F"/>
    <w:rsid w:val="007F218D"/>
    <w:rsid w:val="007F7B32"/>
    <w:rsid w:val="00804BC2"/>
    <w:rsid w:val="0081431A"/>
    <w:rsid w:val="00824D5D"/>
    <w:rsid w:val="0083216F"/>
    <w:rsid w:val="00860000"/>
    <w:rsid w:val="00863BD3"/>
    <w:rsid w:val="008641ED"/>
    <w:rsid w:val="008643C0"/>
    <w:rsid w:val="00866D66"/>
    <w:rsid w:val="008671C6"/>
    <w:rsid w:val="00875803"/>
    <w:rsid w:val="00876FB4"/>
    <w:rsid w:val="008779BF"/>
    <w:rsid w:val="00883D75"/>
    <w:rsid w:val="008B459E"/>
    <w:rsid w:val="008E13AE"/>
    <w:rsid w:val="008E1506"/>
    <w:rsid w:val="008E710C"/>
    <w:rsid w:val="008F69D6"/>
    <w:rsid w:val="00902823"/>
    <w:rsid w:val="009071FE"/>
    <w:rsid w:val="00915CA6"/>
    <w:rsid w:val="00922556"/>
    <w:rsid w:val="00927834"/>
    <w:rsid w:val="009500A6"/>
    <w:rsid w:val="009505B3"/>
    <w:rsid w:val="00957C18"/>
    <w:rsid w:val="009659BA"/>
    <w:rsid w:val="00983040"/>
    <w:rsid w:val="00984CA3"/>
    <w:rsid w:val="009B3FB9"/>
    <w:rsid w:val="009C2465"/>
    <w:rsid w:val="009D35A0"/>
    <w:rsid w:val="009D7EB7"/>
    <w:rsid w:val="009E048A"/>
    <w:rsid w:val="009E08E9"/>
    <w:rsid w:val="009E3DB9"/>
    <w:rsid w:val="009E6E35"/>
    <w:rsid w:val="009F0EDA"/>
    <w:rsid w:val="00A03B96"/>
    <w:rsid w:val="00A05B19"/>
    <w:rsid w:val="00A1134E"/>
    <w:rsid w:val="00A24E7E"/>
    <w:rsid w:val="00A258C3"/>
    <w:rsid w:val="00A34068"/>
    <w:rsid w:val="00A347C0"/>
    <w:rsid w:val="00A34C80"/>
    <w:rsid w:val="00A51431"/>
    <w:rsid w:val="00A539AD"/>
    <w:rsid w:val="00A76B18"/>
    <w:rsid w:val="00A87288"/>
    <w:rsid w:val="00A94063"/>
    <w:rsid w:val="00AA6219"/>
    <w:rsid w:val="00AA74E0"/>
    <w:rsid w:val="00AB353D"/>
    <w:rsid w:val="00AB703F"/>
    <w:rsid w:val="00AC6BB8"/>
    <w:rsid w:val="00AE008F"/>
    <w:rsid w:val="00AF4080"/>
    <w:rsid w:val="00B01FCD"/>
    <w:rsid w:val="00B1776C"/>
    <w:rsid w:val="00B52583"/>
    <w:rsid w:val="00B52896"/>
    <w:rsid w:val="00B61B00"/>
    <w:rsid w:val="00B95236"/>
    <w:rsid w:val="00B96BD9"/>
    <w:rsid w:val="00BA1B01"/>
    <w:rsid w:val="00BA2641"/>
    <w:rsid w:val="00BB37AA"/>
    <w:rsid w:val="00BC01B0"/>
    <w:rsid w:val="00BC53A0"/>
    <w:rsid w:val="00BE62AD"/>
    <w:rsid w:val="00BF121F"/>
    <w:rsid w:val="00BF1F80"/>
    <w:rsid w:val="00C166EF"/>
    <w:rsid w:val="00C17EB0"/>
    <w:rsid w:val="00C2100A"/>
    <w:rsid w:val="00C27F5F"/>
    <w:rsid w:val="00C30A0F"/>
    <w:rsid w:val="00C373F7"/>
    <w:rsid w:val="00C37E61"/>
    <w:rsid w:val="00C40C87"/>
    <w:rsid w:val="00C70F1B"/>
    <w:rsid w:val="00C71A47"/>
    <w:rsid w:val="00C7464C"/>
    <w:rsid w:val="00C85588"/>
    <w:rsid w:val="00C87671"/>
    <w:rsid w:val="00CD6755"/>
    <w:rsid w:val="00CD6856"/>
    <w:rsid w:val="00CE0089"/>
    <w:rsid w:val="00CE793C"/>
    <w:rsid w:val="00CF193C"/>
    <w:rsid w:val="00D02690"/>
    <w:rsid w:val="00D173F1"/>
    <w:rsid w:val="00D46065"/>
    <w:rsid w:val="00D47DC8"/>
    <w:rsid w:val="00D74CB0"/>
    <w:rsid w:val="00D75996"/>
    <w:rsid w:val="00D8295D"/>
    <w:rsid w:val="00DC2A65"/>
    <w:rsid w:val="00DE15F0"/>
    <w:rsid w:val="00DE5663"/>
    <w:rsid w:val="00DE78AA"/>
    <w:rsid w:val="00DF4681"/>
    <w:rsid w:val="00E053D0"/>
    <w:rsid w:val="00E15994"/>
    <w:rsid w:val="00E3114E"/>
    <w:rsid w:val="00E31A70"/>
    <w:rsid w:val="00E35B02"/>
    <w:rsid w:val="00E541F4"/>
    <w:rsid w:val="00E66496"/>
    <w:rsid w:val="00E66B35"/>
    <w:rsid w:val="00E66E10"/>
    <w:rsid w:val="00E769F6"/>
    <w:rsid w:val="00E8407C"/>
    <w:rsid w:val="00E84F3C"/>
    <w:rsid w:val="00E9608D"/>
    <w:rsid w:val="00EA012C"/>
    <w:rsid w:val="00EA1F2C"/>
    <w:rsid w:val="00EC6A55"/>
    <w:rsid w:val="00ED0288"/>
    <w:rsid w:val="00ED2A5C"/>
    <w:rsid w:val="00EE52CB"/>
    <w:rsid w:val="00EF581D"/>
    <w:rsid w:val="00EF7FD8"/>
    <w:rsid w:val="00F06F59"/>
    <w:rsid w:val="00F11D96"/>
    <w:rsid w:val="00F17988"/>
    <w:rsid w:val="00F469F0"/>
    <w:rsid w:val="00F53273"/>
    <w:rsid w:val="00F755E4"/>
    <w:rsid w:val="00F77D02"/>
    <w:rsid w:val="00F9292F"/>
    <w:rsid w:val="00FB3A86"/>
    <w:rsid w:val="00FD3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  <w14:docId w14:val="7C65B4FF"/>
  <w15:docId w15:val="{FB5E9E74-C5B3-422F-B9CC-E247798E1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23789"/>
    <w:rPr>
      <w:rFonts w:ascii="Helvetica" w:hAnsi="Helvetica"/>
    </w:rPr>
  </w:style>
  <w:style w:type="paragraph" w:styleId="Heading1">
    <w:name w:val="heading 1"/>
    <w:basedOn w:val="Normal"/>
    <w:next w:val="Normal"/>
    <w:qFormat/>
    <w:rsid w:val="00423789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C40C8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">
    <w:name w:val="Author"/>
    <w:basedOn w:val="Normal"/>
    <w:rsid w:val="00423789"/>
    <w:pPr>
      <w:spacing w:line="280" w:lineRule="exact"/>
      <w:jc w:val="right"/>
    </w:pPr>
    <w:rPr>
      <w:b/>
      <w:sz w:val="24"/>
    </w:rPr>
  </w:style>
  <w:style w:type="paragraph" w:customStyle="1" w:styleId="Affiliation">
    <w:name w:val="Affiliation"/>
    <w:basedOn w:val="Normal"/>
    <w:rsid w:val="00423789"/>
    <w:pPr>
      <w:spacing w:after="240" w:line="240" w:lineRule="exact"/>
      <w:jc w:val="right"/>
    </w:pPr>
  </w:style>
  <w:style w:type="paragraph" w:customStyle="1" w:styleId="Body">
    <w:name w:val="Body"/>
    <w:basedOn w:val="Normal"/>
    <w:rsid w:val="00423789"/>
    <w:pPr>
      <w:spacing w:after="240"/>
      <w:jc w:val="both"/>
    </w:pPr>
  </w:style>
  <w:style w:type="paragraph" w:customStyle="1" w:styleId="AbstHead">
    <w:name w:val="Abst Head"/>
    <w:basedOn w:val="MainHead"/>
    <w:rsid w:val="00423789"/>
    <w:rPr>
      <w:sz w:val="22"/>
    </w:rPr>
  </w:style>
  <w:style w:type="paragraph" w:customStyle="1" w:styleId="IntroHead">
    <w:name w:val="Intro Head"/>
    <w:basedOn w:val="MainHead"/>
    <w:rsid w:val="00423789"/>
    <w:rPr>
      <w:sz w:val="22"/>
    </w:rPr>
  </w:style>
  <w:style w:type="paragraph" w:customStyle="1" w:styleId="PaperNumber">
    <w:name w:val="Paper Number"/>
    <w:basedOn w:val="Normal"/>
    <w:rsid w:val="00423789"/>
    <w:pPr>
      <w:spacing w:after="280" w:line="280" w:lineRule="exact"/>
      <w:jc w:val="right"/>
    </w:pPr>
    <w:rPr>
      <w:b/>
      <w:sz w:val="28"/>
    </w:rPr>
  </w:style>
  <w:style w:type="paragraph" w:customStyle="1" w:styleId="ConcHead">
    <w:name w:val="Conc Head"/>
    <w:basedOn w:val="MainHead"/>
    <w:rsid w:val="00423789"/>
    <w:rPr>
      <w:sz w:val="22"/>
    </w:rPr>
  </w:style>
  <w:style w:type="paragraph" w:customStyle="1" w:styleId="AcknHead">
    <w:name w:val="Ackn Head"/>
    <w:basedOn w:val="MainHead"/>
    <w:rsid w:val="00423789"/>
    <w:rPr>
      <w:sz w:val="22"/>
    </w:rPr>
  </w:style>
  <w:style w:type="paragraph" w:customStyle="1" w:styleId="ReferHead">
    <w:name w:val="Refer Head"/>
    <w:basedOn w:val="MainHead"/>
    <w:rsid w:val="00423789"/>
    <w:rPr>
      <w:sz w:val="22"/>
    </w:rPr>
  </w:style>
  <w:style w:type="paragraph" w:customStyle="1" w:styleId="AddSrcHead">
    <w:name w:val="AddSrc Head"/>
    <w:basedOn w:val="MainHead"/>
    <w:rsid w:val="00423789"/>
    <w:rPr>
      <w:sz w:val="22"/>
    </w:rPr>
  </w:style>
  <w:style w:type="paragraph" w:customStyle="1" w:styleId="DefAcrHead">
    <w:name w:val="DefAcrHead"/>
    <w:basedOn w:val="MainHead"/>
    <w:rsid w:val="00423789"/>
    <w:rPr>
      <w:sz w:val="22"/>
    </w:rPr>
  </w:style>
  <w:style w:type="paragraph" w:customStyle="1" w:styleId="Copyright">
    <w:name w:val="Copyright"/>
    <w:basedOn w:val="Normal"/>
    <w:rsid w:val="00423789"/>
    <w:pPr>
      <w:spacing w:after="960" w:line="200" w:lineRule="exact"/>
    </w:pPr>
    <w:rPr>
      <w:sz w:val="16"/>
    </w:rPr>
  </w:style>
  <w:style w:type="paragraph" w:styleId="Title">
    <w:name w:val="Title"/>
    <w:basedOn w:val="Normal"/>
    <w:qFormat/>
    <w:rsid w:val="00423789"/>
    <w:pPr>
      <w:spacing w:after="360"/>
      <w:jc w:val="right"/>
    </w:pPr>
    <w:rPr>
      <w:b/>
      <w:kern w:val="28"/>
      <w:sz w:val="36"/>
    </w:rPr>
  </w:style>
  <w:style w:type="paragraph" w:customStyle="1" w:styleId="Reference">
    <w:name w:val="Reference"/>
    <w:basedOn w:val="Body"/>
    <w:rsid w:val="00423789"/>
    <w:pPr>
      <w:numPr>
        <w:numId w:val="23"/>
      </w:numPr>
      <w:spacing w:after="0" w:line="240" w:lineRule="exact"/>
    </w:pPr>
  </w:style>
  <w:style w:type="paragraph" w:customStyle="1" w:styleId="Head1">
    <w:name w:val="Head1"/>
    <w:basedOn w:val="MainHead"/>
    <w:rsid w:val="00423789"/>
    <w:rPr>
      <w:sz w:val="22"/>
    </w:rPr>
  </w:style>
  <w:style w:type="paragraph" w:customStyle="1" w:styleId="ContactHead">
    <w:name w:val="Contact Head"/>
    <w:basedOn w:val="MainHead"/>
    <w:rsid w:val="00423789"/>
    <w:rPr>
      <w:sz w:val="22"/>
    </w:rPr>
  </w:style>
  <w:style w:type="paragraph" w:customStyle="1" w:styleId="Head3">
    <w:name w:val="Head3"/>
    <w:basedOn w:val="Head2"/>
    <w:rsid w:val="00423789"/>
    <w:rPr>
      <w:caps w:val="0"/>
      <w:u w:val="single"/>
    </w:rPr>
  </w:style>
  <w:style w:type="paragraph" w:customStyle="1" w:styleId="Head4">
    <w:name w:val="Head4"/>
    <w:basedOn w:val="Head3"/>
    <w:rsid w:val="00423789"/>
    <w:rPr>
      <w:u w:val="none"/>
    </w:rPr>
  </w:style>
  <w:style w:type="paragraph" w:customStyle="1" w:styleId="UnordList">
    <w:name w:val="Unord List"/>
    <w:basedOn w:val="Body"/>
    <w:rsid w:val="00423789"/>
    <w:pPr>
      <w:spacing w:after="0"/>
      <w:ind w:left="360" w:hanging="360"/>
    </w:pPr>
  </w:style>
  <w:style w:type="paragraph" w:customStyle="1" w:styleId="OrdList">
    <w:name w:val="Ord List"/>
    <w:basedOn w:val="UnordList"/>
    <w:rsid w:val="00423789"/>
    <w:pPr>
      <w:jc w:val="left"/>
    </w:pPr>
  </w:style>
  <w:style w:type="paragraph" w:customStyle="1" w:styleId="Appendix">
    <w:name w:val="Appendix"/>
    <w:basedOn w:val="MainHead"/>
    <w:rsid w:val="00423789"/>
    <w:rPr>
      <w:sz w:val="22"/>
    </w:rPr>
  </w:style>
  <w:style w:type="paragraph" w:customStyle="1" w:styleId="Term">
    <w:name w:val="Term"/>
    <w:basedOn w:val="Body"/>
    <w:rsid w:val="00423789"/>
    <w:pPr>
      <w:spacing w:after="0"/>
    </w:pPr>
    <w:rPr>
      <w:b/>
    </w:rPr>
  </w:style>
  <w:style w:type="paragraph" w:customStyle="1" w:styleId="Definition">
    <w:name w:val="Definition"/>
    <w:basedOn w:val="Body"/>
    <w:rsid w:val="00423789"/>
  </w:style>
  <w:style w:type="paragraph" w:customStyle="1" w:styleId="Head2">
    <w:name w:val="Head2"/>
    <w:basedOn w:val="Normal"/>
    <w:next w:val="Body"/>
    <w:rsid w:val="00423789"/>
    <w:pPr>
      <w:keepNext/>
      <w:spacing w:after="240"/>
    </w:pPr>
    <w:rPr>
      <w:caps/>
    </w:rPr>
  </w:style>
  <w:style w:type="character" w:customStyle="1" w:styleId="Bold">
    <w:name w:val="Bold"/>
    <w:rsid w:val="00423789"/>
    <w:rPr>
      <w:b/>
    </w:rPr>
  </w:style>
  <w:style w:type="character" w:customStyle="1" w:styleId="Italic">
    <w:name w:val="Italic"/>
    <w:rsid w:val="00423789"/>
    <w:rPr>
      <w:i/>
    </w:rPr>
  </w:style>
  <w:style w:type="character" w:customStyle="1" w:styleId="Underline">
    <w:name w:val="Underline"/>
    <w:rsid w:val="00423789"/>
    <w:rPr>
      <w:u w:val="single"/>
    </w:rPr>
  </w:style>
  <w:style w:type="paragraph" w:customStyle="1" w:styleId="MainHead">
    <w:name w:val="Main Head"/>
    <w:basedOn w:val="Normal"/>
    <w:rsid w:val="00423789"/>
    <w:pPr>
      <w:keepNext/>
      <w:spacing w:after="240"/>
    </w:pPr>
    <w:rPr>
      <w:b/>
      <w:caps/>
    </w:rPr>
  </w:style>
  <w:style w:type="paragraph" w:customStyle="1" w:styleId="Equation">
    <w:name w:val="Equation"/>
    <w:basedOn w:val="Body"/>
    <w:rsid w:val="0053056E"/>
  </w:style>
  <w:style w:type="paragraph" w:customStyle="1" w:styleId="Figure">
    <w:name w:val="Figure"/>
    <w:basedOn w:val="Copyright"/>
    <w:rsid w:val="00030174"/>
    <w:pPr>
      <w:spacing w:after="240"/>
    </w:pPr>
    <w:rPr>
      <w:sz w:val="20"/>
    </w:rPr>
  </w:style>
  <w:style w:type="paragraph" w:styleId="Footer">
    <w:name w:val="foot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Head40">
    <w:name w:val="Head 4"/>
    <w:basedOn w:val="Head3"/>
    <w:rsid w:val="00423789"/>
    <w:rPr>
      <w:u w:val="none"/>
    </w:rPr>
  </w:style>
  <w:style w:type="paragraph" w:styleId="Header">
    <w:name w:val="head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Paper">
    <w:name w:val="Paper"/>
    <w:basedOn w:val="Normal"/>
    <w:rsid w:val="00423789"/>
    <w:pPr>
      <w:spacing w:after="360" w:line="440" w:lineRule="exact"/>
      <w:jc w:val="right"/>
    </w:pPr>
    <w:rPr>
      <w:b/>
      <w:sz w:val="36"/>
    </w:rPr>
  </w:style>
  <w:style w:type="paragraph" w:styleId="Signature">
    <w:name w:val="Signature"/>
    <w:basedOn w:val="Normal"/>
    <w:rsid w:val="00423789"/>
    <w:pPr>
      <w:ind w:left="4320"/>
    </w:pPr>
  </w:style>
  <w:style w:type="character" w:customStyle="1" w:styleId="Subscript">
    <w:name w:val="Subscript"/>
    <w:rsid w:val="00423789"/>
    <w:rPr>
      <w:vertAlign w:val="subscript"/>
    </w:rPr>
  </w:style>
  <w:style w:type="character" w:customStyle="1" w:styleId="Superscript">
    <w:name w:val="Superscript"/>
    <w:rsid w:val="00423789"/>
    <w:rPr>
      <w:vertAlign w:val="superscript"/>
    </w:rPr>
  </w:style>
  <w:style w:type="character" w:customStyle="1" w:styleId="Symbol">
    <w:name w:val="Symbol"/>
    <w:rsid w:val="00423789"/>
    <w:rPr>
      <w:rFonts w:ascii="Symbol" w:hAnsi="Symbol"/>
    </w:rPr>
  </w:style>
  <w:style w:type="paragraph" w:customStyle="1" w:styleId="SymbolP">
    <w:name w:val="Symbol P"/>
    <w:basedOn w:val="Body"/>
    <w:rsid w:val="00423789"/>
    <w:pPr>
      <w:tabs>
        <w:tab w:val="left" w:pos="720"/>
        <w:tab w:val="left" w:pos="3780"/>
      </w:tabs>
      <w:spacing w:after="0"/>
    </w:pPr>
    <w:rPr>
      <w:sz w:val="24"/>
    </w:rPr>
  </w:style>
  <w:style w:type="character" w:customStyle="1" w:styleId="BoldItal">
    <w:name w:val="BoldItal"/>
    <w:basedOn w:val="DefaultParagraphFont"/>
    <w:rsid w:val="00423789"/>
    <w:rPr>
      <w:b/>
      <w:i/>
    </w:rPr>
  </w:style>
  <w:style w:type="character" w:customStyle="1" w:styleId="SubItal">
    <w:name w:val="SubItal"/>
    <w:rsid w:val="00423789"/>
    <w:rPr>
      <w:i/>
      <w:vertAlign w:val="subscript"/>
    </w:rPr>
  </w:style>
  <w:style w:type="character" w:customStyle="1" w:styleId="SuperItal">
    <w:name w:val="SuperItal"/>
    <w:rsid w:val="00423789"/>
    <w:rPr>
      <w:i/>
      <w:vertAlign w:val="superscript"/>
    </w:rPr>
  </w:style>
  <w:style w:type="character" w:customStyle="1" w:styleId="SymItal">
    <w:name w:val="SymItal"/>
    <w:rsid w:val="00423789"/>
    <w:rPr>
      <w:rFonts w:ascii="Symbol" w:hAnsi="Symbol"/>
      <w:i/>
    </w:rPr>
  </w:style>
  <w:style w:type="character" w:styleId="Hyperlink">
    <w:name w:val="Hyperlink"/>
    <w:basedOn w:val="DefaultParagraphFont"/>
    <w:rsid w:val="00030174"/>
    <w:rPr>
      <w:color w:val="FF0080"/>
      <w:u w:val="single"/>
    </w:rPr>
  </w:style>
  <w:style w:type="character" w:styleId="FollowedHyperlink">
    <w:name w:val="FollowedHyperlink"/>
    <w:basedOn w:val="DefaultParagraphFont"/>
    <w:rsid w:val="00FB3A86"/>
    <w:rPr>
      <w:color w:val="800080"/>
      <w:u w:val="single"/>
    </w:rPr>
  </w:style>
  <w:style w:type="table" w:styleId="TableGrid">
    <w:name w:val="Table Grid"/>
    <w:basedOn w:val="TableNormal"/>
    <w:uiPriority w:val="59"/>
    <w:rsid w:val="00296529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2">
    <w:name w:val="Body Text 2"/>
    <w:basedOn w:val="Normal"/>
    <w:link w:val="BodyText2Char"/>
    <w:rsid w:val="00EF7FD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EF7FD8"/>
    <w:rPr>
      <w:rFonts w:ascii="Helvetica" w:hAnsi="Helvetica"/>
    </w:rPr>
  </w:style>
  <w:style w:type="character" w:styleId="CommentReference">
    <w:name w:val="annotation reference"/>
    <w:basedOn w:val="DefaultParagraphFont"/>
    <w:uiPriority w:val="99"/>
    <w:unhideWhenUsed/>
    <w:rsid w:val="00746E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6E59"/>
    <w:rPr>
      <w:rFonts w:ascii="Times New Roman" w:hAnsi="Times New Roman"/>
      <w:lang w:val="nb-NO" w:eastAsia="nb-NO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6E59"/>
    <w:rPr>
      <w:lang w:val="nb-NO" w:eastAsia="nb-NO"/>
    </w:rPr>
  </w:style>
  <w:style w:type="paragraph" w:styleId="BalloonText">
    <w:name w:val="Balloon Text"/>
    <w:basedOn w:val="Normal"/>
    <w:link w:val="BalloonTextChar"/>
    <w:rsid w:val="00746E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6E59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rsid w:val="0023192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31920"/>
    <w:rPr>
      <w:rFonts w:ascii="Helvetica" w:hAnsi="Helvetica"/>
      <w:sz w:val="16"/>
      <w:szCs w:val="16"/>
    </w:rPr>
  </w:style>
  <w:style w:type="character" w:styleId="LineNumber">
    <w:name w:val="line number"/>
    <w:basedOn w:val="DefaultParagraphFont"/>
    <w:rsid w:val="00412475"/>
  </w:style>
  <w:style w:type="character" w:styleId="Emphasis">
    <w:name w:val="Emphasis"/>
    <w:basedOn w:val="DefaultParagraphFont"/>
    <w:uiPriority w:val="20"/>
    <w:qFormat/>
    <w:rsid w:val="0024282C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287E68"/>
    <w:rPr>
      <w:color w:val="605E5C"/>
      <w:shd w:val="clear" w:color="auto" w:fill="E1DFDD"/>
    </w:rPr>
  </w:style>
  <w:style w:type="paragraph" w:customStyle="1" w:styleId="p1">
    <w:name w:val="p1"/>
    <w:basedOn w:val="Normal"/>
    <w:rsid w:val="003E56B6"/>
    <w:rPr>
      <w:rFonts w:ascii="Times New Roman" w:eastAsiaTheme="minorEastAsia" w:hAnsi="Times New Roman"/>
      <w:color w:val="000000"/>
      <w:sz w:val="18"/>
      <w:szCs w:val="18"/>
      <w:lang w:val="en-IN" w:eastAsia="en-GB"/>
    </w:rPr>
  </w:style>
  <w:style w:type="character" w:customStyle="1" w:styleId="s1">
    <w:name w:val="s1"/>
    <w:basedOn w:val="DefaultParagraphFont"/>
    <w:rsid w:val="003E56B6"/>
    <w:rPr>
      <w:rFonts w:ascii="TimesNewRomanPS-BoldMT" w:hAnsi="TimesNewRomanPS-BoldMT" w:hint="default"/>
      <w:b/>
      <w:bCs/>
      <w:i w:val="0"/>
      <w:iCs w:val="0"/>
      <w:sz w:val="18"/>
      <w:szCs w:val="18"/>
    </w:rPr>
  </w:style>
  <w:style w:type="character" w:customStyle="1" w:styleId="s2">
    <w:name w:val="s2"/>
    <w:basedOn w:val="DefaultParagraphFont"/>
    <w:rsid w:val="00456E0E"/>
    <w:rPr>
      <w:rFonts w:ascii="Times New Roman" w:hAnsi="Times New Roman" w:cs="Times New Roman" w:hint="default"/>
      <w:b w:val="0"/>
      <w:bCs w:val="0"/>
      <w:i w:val="0"/>
      <w:iCs w:val="0"/>
      <w:sz w:val="18"/>
      <w:szCs w:val="18"/>
    </w:rPr>
  </w:style>
  <w:style w:type="character" w:customStyle="1" w:styleId="s3">
    <w:name w:val="s3"/>
    <w:basedOn w:val="DefaultParagraphFont"/>
    <w:rsid w:val="00456E0E"/>
    <w:rPr>
      <w:rFonts w:ascii="Times New Roman" w:hAnsi="Times New Roman" w:cs="Times New Roman" w:hint="default"/>
      <w:b w:val="0"/>
      <w:bCs w:val="0"/>
      <w:i w:val="0"/>
      <w:iCs w:val="0"/>
      <w:sz w:val="12"/>
      <w:szCs w:val="12"/>
    </w:rPr>
  </w:style>
  <w:style w:type="character" w:customStyle="1" w:styleId="s4">
    <w:name w:val="s4"/>
    <w:basedOn w:val="DefaultParagraphFont"/>
    <w:rsid w:val="002C1C4E"/>
    <w:rPr>
      <w:rFonts w:ascii="Times New Roman" w:hAnsi="Times New Roman" w:cs="Times New Roman" w:hint="default"/>
      <w:b w:val="0"/>
      <w:bCs w:val="0"/>
      <w:i w:val="0"/>
      <w:iCs w:val="0"/>
      <w:sz w:val="12"/>
      <w:szCs w:val="12"/>
    </w:rPr>
  </w:style>
  <w:style w:type="character" w:customStyle="1" w:styleId="s5">
    <w:name w:val="s5"/>
    <w:basedOn w:val="DefaultParagraphFont"/>
    <w:rsid w:val="002C1C4E"/>
    <w:rPr>
      <w:rFonts w:ascii="Times New Roman" w:hAnsi="Times New Roman" w:cs="Times New Roman" w:hint="default"/>
      <w:b w:val="0"/>
      <w:bCs w:val="0"/>
      <w:i w:val="0"/>
      <w:iCs w:val="0"/>
      <w:sz w:val="18"/>
      <w:szCs w:val="18"/>
    </w:rPr>
  </w:style>
  <w:style w:type="character" w:customStyle="1" w:styleId="Heading3Char">
    <w:name w:val="Heading 3 Char"/>
    <w:basedOn w:val="DefaultParagraphFont"/>
    <w:link w:val="Heading3"/>
    <w:semiHidden/>
    <w:rsid w:val="00C40C8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semiHidden/>
    <w:unhideWhenUsed/>
    <w:rsid w:val="00D02690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ogan\Local%20Settings\Temporary%20Internet%20Files\OLK35\2007%20paper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269CD-3CD0-4A4A-BC12-876D77F2F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2007 paper template</Template>
  <TotalTime>16</TotalTime>
  <Pages>5</Pages>
  <Words>1941</Words>
  <Characters>11066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Template</vt:lpstr>
    </vt:vector>
  </TitlesOfParts>
  <Company>aaaa</Company>
  <LinksUpToDate>false</LinksUpToDate>
  <CharactersWithSpaces>12982</CharactersWithSpaces>
  <SharedDoc>false</SharedDoc>
  <HLinks>
    <vt:vector size="30" baseType="variant">
      <vt:variant>
        <vt:i4>6160404</vt:i4>
      </vt:variant>
      <vt:variant>
        <vt:i4>15</vt:i4>
      </vt:variant>
      <vt:variant>
        <vt:i4>0</vt:i4>
      </vt:variant>
      <vt:variant>
        <vt:i4>5</vt:i4>
      </vt:variant>
      <vt:variant>
        <vt:lpwstr>http://www.globalizationandhealth.com/content/1/1/14</vt:lpwstr>
      </vt:variant>
      <vt:variant>
        <vt:lpwstr/>
      </vt:variant>
      <vt:variant>
        <vt:i4>6160404</vt:i4>
      </vt:variant>
      <vt:variant>
        <vt:i4>12</vt:i4>
      </vt:variant>
      <vt:variant>
        <vt:i4>0</vt:i4>
      </vt:variant>
      <vt:variant>
        <vt:i4>5</vt:i4>
      </vt:variant>
      <vt:variant>
        <vt:lpwstr>http://www.globalizationandhealth.com/content/1/1/14</vt:lpwstr>
      </vt:variant>
      <vt:variant>
        <vt:lpwstr/>
      </vt:variant>
      <vt:variant>
        <vt:i4>131166</vt:i4>
      </vt:variant>
      <vt:variant>
        <vt:i4>9</vt:i4>
      </vt:variant>
      <vt:variant>
        <vt:i4>0</vt:i4>
      </vt:variant>
      <vt:variant>
        <vt:i4>5</vt:i4>
      </vt:variant>
      <vt:variant>
        <vt:lpwstr>http://www.prisma-statement.org/</vt:lpwstr>
      </vt:variant>
      <vt:variant>
        <vt:lpwstr/>
      </vt:variant>
      <vt:variant>
        <vt:i4>1376320</vt:i4>
      </vt:variant>
      <vt:variant>
        <vt:i4>6</vt:i4>
      </vt:variant>
      <vt:variant>
        <vt:i4>0</vt:i4>
      </vt:variant>
      <vt:variant>
        <vt:i4>5</vt:i4>
      </vt:variant>
      <vt:variant>
        <vt:lpwstr>http://www.strobe-statement.org/</vt:lpwstr>
      </vt:variant>
      <vt:variant>
        <vt:lpwstr/>
      </vt:variant>
      <vt:variant>
        <vt:i4>5439564</vt:i4>
      </vt:variant>
      <vt:variant>
        <vt:i4>3</vt:i4>
      </vt:variant>
      <vt:variant>
        <vt:i4>0</vt:i4>
      </vt:variant>
      <vt:variant>
        <vt:i4>5</vt:i4>
      </vt:variant>
      <vt:variant>
        <vt:lpwstr>http://www.consort-statement.org/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creator>SDI</dc:creator>
  <cp:lastModifiedBy>SDI 1084</cp:lastModifiedBy>
  <cp:revision>8</cp:revision>
  <cp:lastPrinted>1999-07-06T11:00:00Z</cp:lastPrinted>
  <dcterms:created xsi:type="dcterms:W3CDTF">2026-03-28T08:09:00Z</dcterms:created>
  <dcterms:modified xsi:type="dcterms:W3CDTF">2026-03-28T11:31:00Z</dcterms:modified>
</cp:coreProperties>
</file>