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F5DC77" w14:textId="03D951D1" w:rsidR="008F292B" w:rsidRDefault="008F292B" w:rsidP="008F292B">
      <w:pPr>
        <w:outlineLvl w:val="0"/>
        <w:rPr>
          <w:rFonts w:ascii="Arial" w:hAnsi="Arial" w:cs="Arial"/>
          <w:b/>
          <w:bCs/>
          <w:kern w:val="36"/>
          <w:sz w:val="36"/>
          <w:szCs w:val="36"/>
          <w:u w:val="single"/>
          <w:lang w:val="en-IN" w:eastAsia="en-IN"/>
        </w:rPr>
      </w:pPr>
      <w:r w:rsidRPr="008F292B">
        <w:rPr>
          <w:rFonts w:ascii="Arial" w:hAnsi="Arial" w:cs="Arial"/>
          <w:b/>
          <w:bCs/>
          <w:kern w:val="36"/>
          <w:sz w:val="36"/>
          <w:szCs w:val="36"/>
          <w:u w:val="single"/>
          <w:lang w:val="en-IN" w:eastAsia="en-IN"/>
        </w:rPr>
        <w:t>Review Article</w:t>
      </w:r>
    </w:p>
    <w:p w14:paraId="6B214D6C" w14:textId="77777777" w:rsidR="008F292B" w:rsidRPr="008F292B" w:rsidRDefault="008F292B" w:rsidP="008F292B">
      <w:pPr>
        <w:outlineLvl w:val="0"/>
        <w:rPr>
          <w:rFonts w:ascii="Arial" w:hAnsi="Arial" w:cs="Arial"/>
          <w:b/>
          <w:bCs/>
          <w:kern w:val="36"/>
          <w:sz w:val="36"/>
          <w:szCs w:val="36"/>
          <w:u w:val="single"/>
          <w:lang w:val="en-IN" w:eastAsia="en-IN"/>
        </w:rPr>
      </w:pPr>
    </w:p>
    <w:p w14:paraId="4BACB55E" w14:textId="195F881F" w:rsidR="00CB3FC3" w:rsidRPr="001778B3" w:rsidRDefault="00CB3FC3" w:rsidP="001778B3">
      <w:pPr>
        <w:jc w:val="right"/>
        <w:outlineLvl w:val="0"/>
        <w:rPr>
          <w:rFonts w:ascii="Arial" w:hAnsi="Arial" w:cs="Arial"/>
          <w:b/>
          <w:bCs/>
          <w:kern w:val="36"/>
          <w:sz w:val="36"/>
          <w:szCs w:val="36"/>
          <w:lang w:val="en-IN" w:eastAsia="en-IN"/>
        </w:rPr>
      </w:pPr>
      <w:r w:rsidRPr="001778B3">
        <w:rPr>
          <w:rFonts w:ascii="Arial" w:hAnsi="Arial" w:cs="Arial"/>
          <w:b/>
          <w:bCs/>
          <w:kern w:val="36"/>
          <w:sz w:val="36"/>
          <w:szCs w:val="36"/>
          <w:lang w:val="en-IN" w:eastAsia="en-IN"/>
        </w:rPr>
        <w:t>Advances in Propagation of Teak (</w:t>
      </w:r>
      <w:r w:rsidRPr="001778B3">
        <w:rPr>
          <w:rFonts w:ascii="Arial" w:hAnsi="Arial" w:cs="Arial"/>
          <w:b/>
          <w:bCs/>
          <w:i/>
          <w:kern w:val="36"/>
          <w:sz w:val="36"/>
          <w:szCs w:val="36"/>
          <w:lang w:val="en-IN" w:eastAsia="en-IN"/>
        </w:rPr>
        <w:t>Tectona grandis</w:t>
      </w:r>
      <w:r w:rsidRPr="001778B3">
        <w:rPr>
          <w:rFonts w:ascii="Arial" w:hAnsi="Arial" w:cs="Arial"/>
          <w:b/>
          <w:bCs/>
          <w:kern w:val="36"/>
          <w:sz w:val="36"/>
          <w:szCs w:val="36"/>
          <w:lang w:val="en-IN" w:eastAsia="en-IN"/>
        </w:rPr>
        <w:t>): Global Trends, Emerging Technologies and Future Prospects</w:t>
      </w:r>
    </w:p>
    <w:p w14:paraId="3BB6A958" w14:textId="77777777" w:rsidR="00CB3FC3" w:rsidRPr="007979A7" w:rsidRDefault="00CB3FC3" w:rsidP="001778B3">
      <w:pPr>
        <w:jc w:val="right"/>
        <w:outlineLvl w:val="0"/>
        <w:rPr>
          <w:rFonts w:ascii="Arial" w:hAnsi="Arial" w:cs="Arial"/>
          <w:b/>
          <w:bCs/>
          <w:kern w:val="36"/>
          <w:lang w:val="en-IN" w:eastAsia="en-IN"/>
        </w:rPr>
      </w:pPr>
    </w:p>
    <w:p w14:paraId="3BCBDF14" w14:textId="4B2900A3" w:rsidR="008F292B" w:rsidRPr="008F292B" w:rsidRDefault="008F292B" w:rsidP="008F292B">
      <w:pPr>
        <w:spacing w:line="276" w:lineRule="auto"/>
        <w:jc w:val="right"/>
        <w:rPr>
          <w:rStyle w:val="Hyperlink"/>
          <w:rFonts w:ascii="Arial" w:hAnsi="Arial" w:cs="Arial"/>
          <w:sz w:val="22"/>
          <w:szCs w:val="22"/>
        </w:rPr>
      </w:pPr>
    </w:p>
    <w:p w14:paraId="31F6D32B" w14:textId="77777777" w:rsidR="00B01FCD" w:rsidRPr="007979A7" w:rsidRDefault="001358D7" w:rsidP="00441B6F">
      <w:pPr>
        <w:pStyle w:val="Copyright"/>
        <w:spacing w:after="0" w:line="240" w:lineRule="auto"/>
        <w:jc w:val="both"/>
        <w:rPr>
          <w:rFonts w:ascii="Arial" w:hAnsi="Arial" w:cs="Arial"/>
        </w:rPr>
        <w:sectPr w:rsidR="00B01FCD" w:rsidRPr="007979A7" w:rsidSect="00E41B4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71A46CD3">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7979A7">
        <w:rPr>
          <w:rFonts w:ascii="Arial" w:hAnsi="Arial" w:cs="Arial"/>
        </w:rPr>
        <w:t>.</w:t>
      </w:r>
    </w:p>
    <w:p w14:paraId="1739DC1C" w14:textId="77777777" w:rsidR="00790ADA" w:rsidRPr="007979A7" w:rsidRDefault="00B01FCD" w:rsidP="00441B6F">
      <w:pPr>
        <w:pStyle w:val="AbstHead"/>
        <w:spacing w:after="0"/>
        <w:jc w:val="both"/>
        <w:rPr>
          <w:rFonts w:ascii="Arial" w:hAnsi="Arial" w:cs="Arial"/>
        </w:rPr>
      </w:pPr>
      <w:r w:rsidRPr="007979A7">
        <w:rPr>
          <w:rFonts w:ascii="Arial" w:hAnsi="Arial" w:cs="Arial"/>
        </w:rPr>
        <w:t>ABSTRACT</w:t>
      </w:r>
      <w:r w:rsidR="0066510A" w:rsidRPr="007979A7">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7979A7" w14:paraId="08E74D14" w14:textId="77777777" w:rsidTr="001E44FE">
        <w:tc>
          <w:tcPr>
            <w:tcW w:w="9576" w:type="dxa"/>
            <w:shd w:val="clear" w:color="auto" w:fill="F2F2F2"/>
          </w:tcPr>
          <w:p w14:paraId="21BDC97C" w14:textId="77777777" w:rsidR="00505F06" w:rsidRPr="007979A7" w:rsidRDefault="00CB3FC3" w:rsidP="00CB3FC3">
            <w:pPr>
              <w:pStyle w:val="NormalWeb"/>
              <w:spacing w:before="120" w:beforeAutospacing="0" w:after="0" w:afterAutospacing="0" w:line="276" w:lineRule="auto"/>
              <w:ind w:firstLine="720"/>
              <w:jc w:val="both"/>
              <w:rPr>
                <w:rFonts w:ascii="Arial" w:hAnsi="Arial" w:cs="Arial"/>
                <w:sz w:val="20"/>
                <w:szCs w:val="20"/>
              </w:rPr>
            </w:pPr>
            <w:r w:rsidRPr="007979A7">
              <w:rPr>
                <w:rStyle w:val="Emphasis"/>
                <w:rFonts w:ascii="Arial" w:hAnsi="Arial" w:cs="Arial"/>
                <w:i w:val="0"/>
                <w:sz w:val="20"/>
                <w:szCs w:val="20"/>
              </w:rPr>
              <w:t>Teak</w:t>
            </w:r>
            <w:r w:rsidRPr="007979A7">
              <w:rPr>
                <w:rStyle w:val="Emphasis"/>
                <w:rFonts w:ascii="Arial" w:hAnsi="Arial" w:cs="Arial"/>
                <w:sz w:val="20"/>
                <w:szCs w:val="20"/>
              </w:rPr>
              <w:t xml:space="preserve"> (Tectona grandis)</w:t>
            </w:r>
            <w:r w:rsidRPr="007979A7">
              <w:rPr>
                <w:rFonts w:ascii="Arial" w:hAnsi="Arial" w:cs="Arial"/>
                <w:sz w:val="20"/>
                <w:szCs w:val="20"/>
              </w:rPr>
              <w:t xml:space="preserve"> is one of the world’s most valuable tropical hardwoods, yet large-scale plantation expansion is constrained by inefficient and variable propagation systems. This review synthesizes global advances in teak propagation from 1990–2026, covering seed-based methods, vegetative propagation, clonal forestry, micropropagation, somatic embryogenesis, and emerging molecular technologies. Conventional seed propagation remains dominant in low-input systems but suffers from poor and irregular germination (10–60%), prolonged dormancy (2–8 weeks), and high stand variability (CV 30–60%), resulting in relatively low productivity of only 4–10 m³ ha</w:t>
            </w:r>
            <w:r w:rsidRPr="007979A7">
              <w:rPr>
                <w:rFonts w:ascii="Cambria Math" w:hAnsi="Cambria Math" w:cs="Cambria Math"/>
                <w:sz w:val="20"/>
                <w:szCs w:val="20"/>
              </w:rPr>
              <w:t>⁻</w:t>
            </w:r>
            <w:r w:rsidRPr="007979A7">
              <w:rPr>
                <w:rFonts w:ascii="Arial" w:hAnsi="Arial" w:cs="Arial"/>
                <w:sz w:val="20"/>
                <w:szCs w:val="20"/>
              </w:rPr>
              <w:t>¹ yr</w:t>
            </w:r>
            <w:r w:rsidRPr="007979A7">
              <w:rPr>
                <w:rFonts w:ascii="Cambria Math" w:hAnsi="Cambria Math" w:cs="Cambria Math"/>
                <w:sz w:val="20"/>
                <w:szCs w:val="20"/>
              </w:rPr>
              <w:t>⁻</w:t>
            </w:r>
            <w:r w:rsidRPr="007979A7">
              <w:rPr>
                <w:rFonts w:ascii="Arial" w:hAnsi="Arial" w:cs="Arial"/>
                <w:sz w:val="20"/>
                <w:szCs w:val="20"/>
              </w:rPr>
              <w:t>¹. Vegetative propagation through stem cuttings improves rooting success to 40–85% and increases productivity by 20–40%, though clone-dependent variability persists. Clonal forestry based on mini-cuttings represents a major technological breakthrough, achieving 70–90% rooting success, reducing stand variability to 10–20%, and increasing mean annual increment (MAI) to 10–18 m³ ha</w:t>
            </w:r>
            <w:r w:rsidRPr="007979A7">
              <w:rPr>
                <w:rFonts w:ascii="Cambria Math" w:hAnsi="Cambria Math" w:cs="Cambria Math"/>
                <w:sz w:val="20"/>
                <w:szCs w:val="20"/>
              </w:rPr>
              <w:t>⁻</w:t>
            </w:r>
            <w:r w:rsidRPr="007979A7">
              <w:rPr>
                <w:rFonts w:ascii="Arial" w:hAnsi="Arial" w:cs="Arial"/>
                <w:sz w:val="20"/>
                <w:szCs w:val="20"/>
              </w:rPr>
              <w:t>¹ yr</w:t>
            </w:r>
            <w:r w:rsidRPr="007979A7">
              <w:rPr>
                <w:rFonts w:ascii="Cambria Math" w:hAnsi="Cambria Math" w:cs="Cambria Math"/>
                <w:sz w:val="20"/>
                <w:szCs w:val="20"/>
              </w:rPr>
              <w:t>⁻</w:t>
            </w:r>
            <w:r w:rsidRPr="007979A7">
              <w:rPr>
                <w:rFonts w:ascii="Arial" w:hAnsi="Arial" w:cs="Arial"/>
                <w:sz w:val="20"/>
                <w:szCs w:val="20"/>
              </w:rPr>
              <w:t>¹, with productivity gains of 40–100% over seed-derived plantations. Micropropagation and integrated tissue culture systems offer the highest performance, producing 30–50 shoots per explant annually, achieving 70–95% acclimatization survival, and raising MAI to 14–22 m³ ha</w:t>
            </w:r>
            <w:r w:rsidRPr="007979A7">
              <w:rPr>
                <w:rFonts w:ascii="Cambria Math" w:hAnsi="Cambria Math" w:cs="Cambria Math"/>
                <w:sz w:val="20"/>
                <w:szCs w:val="20"/>
              </w:rPr>
              <w:t>⁻</w:t>
            </w:r>
            <w:r w:rsidRPr="007979A7">
              <w:rPr>
                <w:rFonts w:ascii="Arial" w:hAnsi="Arial" w:cs="Arial"/>
                <w:sz w:val="20"/>
                <w:szCs w:val="20"/>
              </w:rPr>
              <w:t>¹ yr</w:t>
            </w:r>
            <w:r w:rsidRPr="007979A7">
              <w:rPr>
                <w:rFonts w:ascii="Cambria Math" w:hAnsi="Cambria Math" w:cs="Cambria Math"/>
                <w:sz w:val="20"/>
                <w:szCs w:val="20"/>
              </w:rPr>
              <w:t>⁻</w:t>
            </w:r>
            <w:r w:rsidRPr="007979A7">
              <w:rPr>
                <w:rFonts w:ascii="Arial" w:hAnsi="Arial" w:cs="Arial"/>
                <w:sz w:val="20"/>
                <w:szCs w:val="20"/>
              </w:rPr>
              <w:t xml:space="preserve">¹, equivalent to 80–150% productivity gains. Somatic embryogenesis shows transformative future potential, with embryo induction rates of 40–70%, regeneration efficiencies of 40–80%, and theoretical multiplication exceeding 1000 plants from a single explant. Global trends reveal a decisive transition from seed-based systems toward precision clonal and biotechnology-assisted propagation, particularly in Asia and Latin America. Emerging innovations including temporary immersion bioreactors, genomic-assisted breeding, bio-inoculants, artificial intelligence, and climate-smart propagation strategies are redefining teak forestry. The review concludes that integrating advanced clonal and molecular propagation systems is essential for developing high-yield, genetically uniform, and climate-resilient teak plantations worldwide. </w:t>
            </w:r>
          </w:p>
        </w:tc>
      </w:tr>
    </w:tbl>
    <w:p w14:paraId="2C84A021" w14:textId="77777777" w:rsidR="00CB3FC3" w:rsidRPr="00F460CA" w:rsidRDefault="00A24E7E" w:rsidP="00CB3FC3">
      <w:pPr>
        <w:pStyle w:val="NormalWeb"/>
        <w:spacing w:line="276" w:lineRule="auto"/>
        <w:jc w:val="both"/>
        <w:rPr>
          <w:rFonts w:ascii="Arial" w:hAnsi="Arial" w:cs="Arial"/>
          <w:b/>
          <w:sz w:val="20"/>
          <w:szCs w:val="20"/>
        </w:rPr>
      </w:pPr>
      <w:r w:rsidRPr="00F460CA">
        <w:rPr>
          <w:rFonts w:ascii="Arial" w:hAnsi="Arial" w:cs="Arial"/>
          <w:i/>
          <w:sz w:val="20"/>
          <w:szCs w:val="20"/>
        </w:rPr>
        <w:t xml:space="preserve">Keywords: </w:t>
      </w:r>
      <w:r w:rsidR="00CB3FC3" w:rsidRPr="00F460CA">
        <w:rPr>
          <w:rStyle w:val="Emphasis"/>
          <w:rFonts w:ascii="Arial" w:hAnsi="Arial" w:cs="Arial"/>
          <w:sz w:val="20"/>
          <w:szCs w:val="20"/>
        </w:rPr>
        <w:t>Tectona grandis</w:t>
      </w:r>
      <w:r w:rsidR="00CB3FC3" w:rsidRPr="00F460CA">
        <w:rPr>
          <w:rFonts w:ascii="Arial" w:hAnsi="Arial" w:cs="Arial"/>
          <w:sz w:val="20"/>
          <w:szCs w:val="20"/>
        </w:rPr>
        <w:t xml:space="preserve">; teak propagation; clonal forestry; micropropagation; somatic embryogenesis; mini-cuttings; elite clone multiplication; productivity improvement. </w:t>
      </w:r>
    </w:p>
    <w:p w14:paraId="76FFDDBD" w14:textId="77777777" w:rsidR="00F622D8" w:rsidRPr="007979A7" w:rsidRDefault="00902823" w:rsidP="00F622D8">
      <w:pPr>
        <w:pStyle w:val="NormalWeb"/>
        <w:spacing w:before="0" w:beforeAutospacing="0" w:after="0" w:afterAutospacing="0" w:line="276" w:lineRule="auto"/>
        <w:jc w:val="both"/>
        <w:rPr>
          <w:rFonts w:ascii="Arial" w:hAnsi="Arial" w:cs="Arial"/>
        </w:rPr>
      </w:pPr>
      <w:r w:rsidRPr="007979A7">
        <w:rPr>
          <w:rFonts w:ascii="Arial" w:hAnsi="Arial" w:cs="Arial"/>
        </w:rPr>
        <w:t xml:space="preserve">1. </w:t>
      </w:r>
      <w:r w:rsidR="00B01FCD" w:rsidRPr="007979A7">
        <w:rPr>
          <w:rFonts w:ascii="Arial" w:hAnsi="Arial" w:cs="Arial"/>
          <w:b/>
        </w:rPr>
        <w:t>INTRODUCTION</w:t>
      </w:r>
      <w:r w:rsidR="007F7B32" w:rsidRPr="007979A7">
        <w:rPr>
          <w:rFonts w:ascii="Arial" w:hAnsi="Arial" w:cs="Arial"/>
          <w:b/>
        </w:rPr>
        <w:t xml:space="preserve"> </w:t>
      </w:r>
    </w:p>
    <w:p w14:paraId="50EA8E00" w14:textId="77777777" w:rsidR="00CB3FC3" w:rsidRPr="007979A7" w:rsidRDefault="00CB3FC3" w:rsidP="00F622D8">
      <w:pPr>
        <w:pStyle w:val="NormalWeb"/>
        <w:spacing w:before="120" w:beforeAutospacing="0" w:after="0" w:afterAutospacing="0" w:line="276" w:lineRule="auto"/>
        <w:rPr>
          <w:rFonts w:ascii="Arial" w:hAnsi="Arial" w:cs="Arial"/>
          <w:sz w:val="20"/>
          <w:szCs w:val="20"/>
        </w:rPr>
      </w:pPr>
      <w:r w:rsidRPr="007979A7">
        <w:rPr>
          <w:rStyle w:val="whitespace-normal"/>
          <w:rFonts w:ascii="Arial" w:hAnsi="Arial" w:cs="Arial"/>
          <w:i/>
          <w:sz w:val="20"/>
          <w:szCs w:val="20"/>
        </w:rPr>
        <w:t>Tectona grandis</w:t>
      </w:r>
      <w:r w:rsidRPr="007979A7">
        <w:rPr>
          <w:rFonts w:ascii="Arial" w:hAnsi="Arial" w:cs="Arial"/>
          <w:sz w:val="20"/>
          <w:szCs w:val="20"/>
        </w:rPr>
        <w:t xml:space="preserve"> (teak) is one of the most valuable tropical hardwood species, globally recognized for its superior wood quality, durability, and high economic returns, making it a cornerstone of plantation forestry in tropical and subtropical regions (</w:t>
      </w:r>
      <w:proofErr w:type="spellStart"/>
      <w:r w:rsidRPr="007979A7">
        <w:rPr>
          <w:rFonts w:ascii="Arial" w:hAnsi="Arial" w:cs="Arial"/>
          <w:sz w:val="20"/>
          <w:szCs w:val="20"/>
        </w:rPr>
        <w:t>Kollert</w:t>
      </w:r>
      <w:proofErr w:type="spellEnd"/>
      <w:r w:rsidRPr="007979A7">
        <w:rPr>
          <w:rFonts w:ascii="Arial" w:hAnsi="Arial" w:cs="Arial"/>
          <w:sz w:val="20"/>
          <w:szCs w:val="20"/>
        </w:rPr>
        <w:t xml:space="preserve"> and </w:t>
      </w:r>
      <w:proofErr w:type="spellStart"/>
      <w:r w:rsidRPr="007979A7">
        <w:rPr>
          <w:rFonts w:ascii="Arial" w:hAnsi="Arial" w:cs="Arial"/>
          <w:sz w:val="20"/>
          <w:szCs w:val="20"/>
        </w:rPr>
        <w:t>Kleine</w:t>
      </w:r>
      <w:proofErr w:type="spellEnd"/>
      <w:r w:rsidRPr="007979A7">
        <w:rPr>
          <w:rFonts w:ascii="Arial" w:hAnsi="Arial" w:cs="Arial"/>
          <w:sz w:val="20"/>
          <w:szCs w:val="20"/>
        </w:rPr>
        <w:t xml:space="preserve">, 2017; Midgley et al., 2017; Evans and Turnbull, 2004; </w:t>
      </w:r>
      <w:proofErr w:type="spellStart"/>
      <w:r w:rsidRPr="007979A7">
        <w:rPr>
          <w:rFonts w:ascii="Arial" w:hAnsi="Arial" w:cs="Arial"/>
          <w:sz w:val="20"/>
          <w:szCs w:val="20"/>
        </w:rPr>
        <w:t>Bhol</w:t>
      </w:r>
      <w:proofErr w:type="spellEnd"/>
      <w:r w:rsidRPr="007979A7">
        <w:rPr>
          <w:rFonts w:ascii="Arial" w:hAnsi="Arial" w:cs="Arial"/>
          <w:sz w:val="20"/>
          <w:szCs w:val="20"/>
        </w:rPr>
        <w:t xml:space="preserve"> and </w:t>
      </w:r>
      <w:proofErr w:type="spellStart"/>
      <w:r w:rsidRPr="007979A7">
        <w:rPr>
          <w:rFonts w:ascii="Arial" w:hAnsi="Arial" w:cs="Arial"/>
          <w:sz w:val="20"/>
          <w:szCs w:val="20"/>
        </w:rPr>
        <w:t>Parida</w:t>
      </w:r>
      <w:proofErr w:type="spellEnd"/>
      <w:r w:rsidRPr="007979A7">
        <w:rPr>
          <w:rFonts w:ascii="Arial" w:hAnsi="Arial" w:cs="Arial"/>
          <w:sz w:val="20"/>
          <w:szCs w:val="20"/>
        </w:rPr>
        <w:t xml:space="preserve">, 2024). Native to </w:t>
      </w:r>
      <w:r w:rsidRPr="007979A7">
        <w:rPr>
          <w:rFonts w:ascii="Arial" w:hAnsi="Arial" w:cs="Arial"/>
          <w:sz w:val="20"/>
          <w:szCs w:val="20"/>
        </w:rPr>
        <w:lastRenderedPageBreak/>
        <w:t xml:space="preserve">South and Southeast Asia, teak has been widely introduced across Africa and Latin America and is now cultivated in more than 60 countries under diverse ecological conditions (FAO, 2020; FAO, 2022). Increasing global demand for premium timber, coupled with restrictions on harvesting from natural forests, has intensified reliance on plantation forestry as a sustainable source of teak wood (Lamb, 2011; </w:t>
      </w:r>
      <w:proofErr w:type="spellStart"/>
      <w:r w:rsidRPr="007979A7">
        <w:rPr>
          <w:rFonts w:ascii="Arial" w:hAnsi="Arial" w:cs="Arial"/>
          <w:sz w:val="20"/>
          <w:szCs w:val="20"/>
        </w:rPr>
        <w:t>Kollert</w:t>
      </w:r>
      <w:proofErr w:type="spellEnd"/>
      <w:r w:rsidRPr="007979A7">
        <w:rPr>
          <w:rFonts w:ascii="Arial" w:hAnsi="Arial" w:cs="Arial"/>
          <w:sz w:val="20"/>
          <w:szCs w:val="20"/>
        </w:rPr>
        <w:t xml:space="preserve"> and </w:t>
      </w:r>
      <w:proofErr w:type="spellStart"/>
      <w:r w:rsidRPr="007979A7">
        <w:rPr>
          <w:rFonts w:ascii="Arial" w:hAnsi="Arial" w:cs="Arial"/>
          <w:sz w:val="20"/>
          <w:szCs w:val="20"/>
        </w:rPr>
        <w:t>Kleine</w:t>
      </w:r>
      <w:proofErr w:type="spellEnd"/>
      <w:r w:rsidRPr="007979A7">
        <w:rPr>
          <w:rFonts w:ascii="Arial" w:hAnsi="Arial" w:cs="Arial"/>
          <w:sz w:val="20"/>
          <w:szCs w:val="20"/>
        </w:rPr>
        <w:t>, 2017).</w:t>
      </w:r>
    </w:p>
    <w:p w14:paraId="51567708" w14:textId="77777777" w:rsidR="00CB3FC3" w:rsidRPr="007979A7" w:rsidRDefault="00CB3FC3" w:rsidP="00F622D8">
      <w:pPr>
        <w:pStyle w:val="NormalWeb"/>
        <w:spacing w:before="120" w:beforeAutospacing="0" w:after="0" w:afterAutospacing="0" w:line="276" w:lineRule="auto"/>
        <w:rPr>
          <w:rFonts w:ascii="Arial" w:hAnsi="Arial" w:cs="Arial"/>
          <w:sz w:val="20"/>
          <w:szCs w:val="20"/>
        </w:rPr>
      </w:pPr>
      <w:r w:rsidRPr="007979A7">
        <w:rPr>
          <w:rFonts w:ascii="Arial" w:hAnsi="Arial" w:cs="Arial"/>
          <w:sz w:val="20"/>
          <w:szCs w:val="20"/>
        </w:rPr>
        <w:t xml:space="preserve">Despite its importance, teak propagation remains a major bottleneck in plantation development. Conventional seed-based propagation is characterized by </w:t>
      </w:r>
      <w:r w:rsidRPr="007979A7">
        <w:rPr>
          <w:rStyle w:val="Strong"/>
          <w:rFonts w:ascii="Arial" w:hAnsi="Arial" w:cs="Arial"/>
          <w:b w:val="0"/>
          <w:sz w:val="20"/>
          <w:szCs w:val="20"/>
        </w:rPr>
        <w:t>low and irregular germination (10–60%)</w:t>
      </w:r>
      <w:r w:rsidRPr="007979A7">
        <w:rPr>
          <w:rFonts w:ascii="Arial" w:hAnsi="Arial" w:cs="Arial"/>
          <w:sz w:val="20"/>
          <w:szCs w:val="20"/>
        </w:rPr>
        <w:t xml:space="preserve">, mainly due to a hard pericarp and complex dormancy mechanisms (Kjaer and Foster, 1996; Baskin and Baskin, 2014; </w:t>
      </w:r>
      <w:proofErr w:type="spellStart"/>
      <w:r w:rsidRPr="007979A7">
        <w:rPr>
          <w:rFonts w:ascii="Arial" w:hAnsi="Arial" w:cs="Arial"/>
          <w:sz w:val="20"/>
          <w:szCs w:val="20"/>
        </w:rPr>
        <w:t>Bhol</w:t>
      </w:r>
      <w:proofErr w:type="spellEnd"/>
      <w:r w:rsidRPr="007979A7">
        <w:rPr>
          <w:rFonts w:ascii="Arial" w:hAnsi="Arial" w:cs="Arial"/>
          <w:sz w:val="20"/>
          <w:szCs w:val="20"/>
        </w:rPr>
        <w:t xml:space="preserve"> et al., 2024; Behera et al., 2015). Germination variability, influenced by seed source and environmental factors, leads to inconsistent nursery performance and heterogeneous plantation stands (White et al., 2007; </w:t>
      </w:r>
      <w:proofErr w:type="spellStart"/>
      <w:r w:rsidRPr="007979A7">
        <w:rPr>
          <w:rFonts w:ascii="Arial" w:hAnsi="Arial" w:cs="Arial"/>
          <w:sz w:val="20"/>
          <w:szCs w:val="20"/>
        </w:rPr>
        <w:t>Monteuuis</w:t>
      </w:r>
      <w:proofErr w:type="spellEnd"/>
      <w:r w:rsidRPr="007979A7">
        <w:rPr>
          <w:rFonts w:ascii="Arial" w:hAnsi="Arial" w:cs="Arial"/>
          <w:sz w:val="20"/>
          <w:szCs w:val="20"/>
        </w:rPr>
        <w:t xml:space="preserve"> et al, 2011; </w:t>
      </w:r>
      <w:proofErr w:type="spellStart"/>
      <w:r w:rsidRPr="007979A7">
        <w:rPr>
          <w:rFonts w:ascii="Arial" w:hAnsi="Arial" w:cs="Arial"/>
          <w:sz w:val="20"/>
          <w:szCs w:val="20"/>
        </w:rPr>
        <w:t>Monteuuis</w:t>
      </w:r>
      <w:proofErr w:type="spellEnd"/>
      <w:r w:rsidRPr="007979A7">
        <w:rPr>
          <w:rFonts w:ascii="Arial" w:hAnsi="Arial" w:cs="Arial"/>
          <w:sz w:val="20"/>
          <w:szCs w:val="20"/>
        </w:rPr>
        <w:t xml:space="preserve">, 2021; Behera et al., 2016; Parida et al., 2022). This variability results in uneven growth, poor stem form, and reduced wood quality, ultimately limiting productivity and economic returns (Zobel and Talbert, 1984; Midgley et al., 2017; Behera and </w:t>
      </w:r>
      <w:proofErr w:type="spellStart"/>
      <w:r w:rsidRPr="007979A7">
        <w:rPr>
          <w:rFonts w:ascii="Arial" w:hAnsi="Arial" w:cs="Arial"/>
          <w:sz w:val="20"/>
          <w:szCs w:val="20"/>
        </w:rPr>
        <w:t>Bhol</w:t>
      </w:r>
      <w:proofErr w:type="spellEnd"/>
      <w:r w:rsidRPr="007979A7">
        <w:rPr>
          <w:rFonts w:ascii="Arial" w:hAnsi="Arial" w:cs="Arial"/>
          <w:sz w:val="20"/>
          <w:szCs w:val="20"/>
        </w:rPr>
        <w:t>, 2016; Pradhan et al., 2017; Pradhan et al., 2020,).</w:t>
      </w:r>
    </w:p>
    <w:p w14:paraId="7D21505C" w14:textId="77777777" w:rsidR="00CB3FC3" w:rsidRPr="007979A7" w:rsidRDefault="00CB3FC3" w:rsidP="00F622D8">
      <w:pPr>
        <w:pStyle w:val="NormalWeb"/>
        <w:spacing w:before="120" w:beforeAutospacing="0" w:after="0" w:afterAutospacing="0" w:line="276" w:lineRule="auto"/>
        <w:rPr>
          <w:rFonts w:ascii="Arial" w:hAnsi="Arial" w:cs="Arial"/>
          <w:sz w:val="20"/>
          <w:szCs w:val="20"/>
        </w:rPr>
      </w:pPr>
      <w:r w:rsidRPr="007979A7">
        <w:rPr>
          <w:rFonts w:ascii="Arial" w:hAnsi="Arial" w:cs="Arial"/>
          <w:sz w:val="20"/>
          <w:szCs w:val="20"/>
        </w:rPr>
        <w:t xml:space="preserve">Vegetative propagation techniques, including stem cuttings and coppice shoot management, have been developed to multiply superior genotypes. However, teak is difficult to propagate vegetatively, particularly from mature tissues, due to physiological aging and reduced endogenous auxin levels (Husen and Pal, 2006; </w:t>
      </w:r>
      <w:proofErr w:type="spellStart"/>
      <w:r w:rsidRPr="007979A7">
        <w:rPr>
          <w:rFonts w:ascii="Arial" w:hAnsi="Arial" w:cs="Arial"/>
          <w:sz w:val="20"/>
          <w:szCs w:val="20"/>
        </w:rPr>
        <w:t>Husen</w:t>
      </w:r>
      <w:proofErr w:type="spellEnd"/>
      <w:r w:rsidRPr="007979A7">
        <w:rPr>
          <w:rFonts w:ascii="Arial" w:hAnsi="Arial" w:cs="Arial"/>
          <w:sz w:val="20"/>
          <w:szCs w:val="20"/>
        </w:rPr>
        <w:t xml:space="preserve">, 2012; </w:t>
      </w:r>
      <w:proofErr w:type="spellStart"/>
      <w:r w:rsidRPr="007979A7">
        <w:rPr>
          <w:rFonts w:ascii="Arial" w:hAnsi="Arial" w:cs="Arial"/>
          <w:sz w:val="20"/>
          <w:szCs w:val="20"/>
        </w:rPr>
        <w:t>Monteuuis</w:t>
      </w:r>
      <w:proofErr w:type="spellEnd"/>
      <w:r w:rsidRPr="007979A7">
        <w:rPr>
          <w:rFonts w:ascii="Arial" w:hAnsi="Arial" w:cs="Arial"/>
          <w:sz w:val="20"/>
          <w:szCs w:val="20"/>
        </w:rPr>
        <w:t>, 2021). Rooting success varies widely (</w:t>
      </w:r>
      <w:r w:rsidRPr="007979A7">
        <w:rPr>
          <w:rStyle w:val="Strong"/>
          <w:rFonts w:ascii="Arial" w:hAnsi="Arial" w:cs="Arial"/>
          <w:b w:val="0"/>
          <w:sz w:val="20"/>
          <w:szCs w:val="20"/>
        </w:rPr>
        <w:t>40–85%</w:t>
      </w:r>
      <w:r w:rsidRPr="007979A7">
        <w:rPr>
          <w:rFonts w:ascii="Arial" w:hAnsi="Arial" w:cs="Arial"/>
          <w:sz w:val="20"/>
          <w:szCs w:val="20"/>
        </w:rPr>
        <w:t xml:space="preserve">) depending on genotype, environment, and hormonal treatments such as indole-3-butyric acid (IBA) (Tiwari et al., 2002; </w:t>
      </w:r>
      <w:proofErr w:type="spellStart"/>
      <w:r w:rsidRPr="007979A7">
        <w:rPr>
          <w:rFonts w:ascii="Arial" w:hAnsi="Arial" w:cs="Arial"/>
          <w:sz w:val="20"/>
          <w:szCs w:val="20"/>
        </w:rPr>
        <w:t>Monteuuis</w:t>
      </w:r>
      <w:proofErr w:type="spellEnd"/>
      <w:r w:rsidRPr="007979A7">
        <w:rPr>
          <w:rFonts w:ascii="Arial" w:hAnsi="Arial" w:cs="Arial"/>
          <w:sz w:val="20"/>
          <w:szCs w:val="20"/>
        </w:rPr>
        <w:t xml:space="preserve"> and Goh, 2015). Nonetheless, advances in clonal forestry especially mini-cutting and clonal hedge systems have significantly improved propagation efficiency and enabled large-scale deployment of elite planting material (Chaix et al., 2011; </w:t>
      </w:r>
      <w:proofErr w:type="spellStart"/>
      <w:r w:rsidRPr="007979A7">
        <w:rPr>
          <w:rFonts w:ascii="Arial" w:hAnsi="Arial" w:cs="Arial"/>
          <w:sz w:val="20"/>
          <w:szCs w:val="20"/>
        </w:rPr>
        <w:t>Monteuuis</w:t>
      </w:r>
      <w:proofErr w:type="spellEnd"/>
      <w:r w:rsidRPr="007979A7">
        <w:rPr>
          <w:rFonts w:ascii="Arial" w:hAnsi="Arial" w:cs="Arial"/>
          <w:sz w:val="20"/>
          <w:szCs w:val="20"/>
        </w:rPr>
        <w:t xml:space="preserve"> and Goh, 2015; Singh. 2023).</w:t>
      </w:r>
    </w:p>
    <w:p w14:paraId="0214CD31" w14:textId="77777777" w:rsidR="00CB3FC3" w:rsidRPr="007979A7" w:rsidRDefault="00CB3FC3" w:rsidP="00F622D8">
      <w:pPr>
        <w:pStyle w:val="NormalWeb"/>
        <w:spacing w:before="120" w:beforeAutospacing="0" w:after="0" w:afterAutospacing="0" w:line="276" w:lineRule="auto"/>
        <w:rPr>
          <w:rFonts w:ascii="Arial" w:hAnsi="Arial" w:cs="Arial"/>
          <w:sz w:val="20"/>
          <w:szCs w:val="20"/>
        </w:rPr>
      </w:pPr>
      <w:r w:rsidRPr="007979A7">
        <w:rPr>
          <w:rFonts w:ascii="Arial" w:hAnsi="Arial" w:cs="Arial"/>
          <w:sz w:val="20"/>
          <w:szCs w:val="20"/>
        </w:rPr>
        <w:t>Biotechnological approaches have further accelerated teak propagation. Micropropagation using nodal explants allows rapid multiplication of elite genotypes, while temporary immersion bioreactors enhance shoot proliferation and reduce physiological disorders (Akram and Aftab, 2009; Aguilar et al., 2019). Improved in vitro rooting and acclimatization have also increased survival and field establishment (Mendoza de Gyves et al., 2007; Tiwari et al., 2002).</w:t>
      </w:r>
    </w:p>
    <w:p w14:paraId="73107656" w14:textId="77777777" w:rsidR="00CB3FC3" w:rsidRPr="007979A7" w:rsidRDefault="00CB3FC3" w:rsidP="00F622D8">
      <w:pPr>
        <w:pStyle w:val="NormalWeb"/>
        <w:spacing w:before="120" w:beforeAutospacing="0" w:after="0" w:afterAutospacing="0" w:line="276" w:lineRule="auto"/>
        <w:rPr>
          <w:rFonts w:ascii="Arial" w:hAnsi="Arial" w:cs="Arial"/>
          <w:sz w:val="20"/>
          <w:szCs w:val="20"/>
        </w:rPr>
      </w:pPr>
      <w:r w:rsidRPr="007979A7">
        <w:rPr>
          <w:rFonts w:ascii="Arial" w:hAnsi="Arial" w:cs="Arial"/>
          <w:sz w:val="20"/>
          <w:szCs w:val="20"/>
        </w:rPr>
        <w:t xml:space="preserve">Recent studies have provided deeper insights into molecular and physiological mechanisms of propagation. Advances in somatic embryogenesis highlight the role of auxin–cytokinin </w:t>
      </w:r>
      <w:proofErr w:type="spellStart"/>
      <w:r w:rsidRPr="007979A7">
        <w:rPr>
          <w:rFonts w:ascii="Arial" w:hAnsi="Arial" w:cs="Arial"/>
          <w:sz w:val="20"/>
          <w:szCs w:val="20"/>
        </w:rPr>
        <w:t>signaling</w:t>
      </w:r>
      <w:proofErr w:type="spellEnd"/>
      <w:r w:rsidRPr="007979A7">
        <w:rPr>
          <w:rFonts w:ascii="Arial" w:hAnsi="Arial" w:cs="Arial"/>
          <w:sz w:val="20"/>
          <w:szCs w:val="20"/>
        </w:rPr>
        <w:t xml:space="preserve"> pathways in plant regeneration (Deo et al., 2010; Ramakrishnan et al., 2023; Zhou et al., 2024). Emerging protocols using zygotic embryos and in vitro-derived explants have improved regeneration efficiency (Meenakshi et al., 2025), while cost-effective micropropagation techniques are enhancing commercial feasibility. These developments mark a transition from experimental to operational-scale biotechnology.</w:t>
      </w:r>
    </w:p>
    <w:p w14:paraId="5998C185" w14:textId="77777777" w:rsidR="00CB3FC3" w:rsidRPr="007979A7" w:rsidRDefault="00CB3FC3" w:rsidP="00F622D8">
      <w:pPr>
        <w:pStyle w:val="NormalWeb"/>
        <w:spacing w:before="120" w:beforeAutospacing="0" w:after="0" w:afterAutospacing="0" w:line="276" w:lineRule="auto"/>
        <w:rPr>
          <w:rFonts w:ascii="Arial" w:hAnsi="Arial" w:cs="Arial"/>
          <w:sz w:val="20"/>
          <w:szCs w:val="20"/>
        </w:rPr>
      </w:pPr>
      <w:r w:rsidRPr="007979A7">
        <w:rPr>
          <w:rFonts w:ascii="Arial" w:hAnsi="Arial" w:cs="Arial"/>
          <w:sz w:val="20"/>
          <w:szCs w:val="20"/>
        </w:rPr>
        <w:t xml:space="preserve">Propagation methods are closely linked to plantation productivity and sustainability. Clonal and biotechnology-assisted systems significantly improve growth, uniformity, and wood quality, resulting in higher mean annual increment (MAI) compared to seed-based plantations (Midgley et al., 2017; Goh and </w:t>
      </w:r>
      <w:proofErr w:type="spellStart"/>
      <w:r w:rsidRPr="007979A7">
        <w:rPr>
          <w:rFonts w:ascii="Arial" w:hAnsi="Arial" w:cs="Arial"/>
          <w:sz w:val="20"/>
          <w:szCs w:val="20"/>
        </w:rPr>
        <w:t>Monteuuis</w:t>
      </w:r>
      <w:proofErr w:type="spellEnd"/>
      <w:r w:rsidRPr="007979A7">
        <w:rPr>
          <w:rFonts w:ascii="Arial" w:hAnsi="Arial" w:cs="Arial"/>
          <w:sz w:val="20"/>
          <w:szCs w:val="20"/>
        </w:rPr>
        <w:t xml:space="preserve">, 2016). The integration of bio-inoculants such as PGPR and AMF further enhances seedling </w:t>
      </w:r>
      <w:proofErr w:type="spellStart"/>
      <w:r w:rsidRPr="007979A7">
        <w:rPr>
          <w:rFonts w:ascii="Arial" w:hAnsi="Arial" w:cs="Arial"/>
          <w:sz w:val="20"/>
          <w:szCs w:val="20"/>
        </w:rPr>
        <w:t>vigor</w:t>
      </w:r>
      <w:proofErr w:type="spellEnd"/>
      <w:r w:rsidRPr="007979A7">
        <w:rPr>
          <w:rFonts w:ascii="Arial" w:hAnsi="Arial" w:cs="Arial"/>
          <w:sz w:val="20"/>
          <w:szCs w:val="20"/>
        </w:rPr>
        <w:t xml:space="preserve"> and field establishment.</w:t>
      </w:r>
    </w:p>
    <w:p w14:paraId="5444FB09" w14:textId="77777777" w:rsidR="00CB3FC3" w:rsidRPr="007979A7" w:rsidRDefault="00CB3FC3" w:rsidP="00F622D8">
      <w:pPr>
        <w:pStyle w:val="NormalWeb"/>
        <w:spacing w:before="120" w:beforeAutospacing="0" w:after="0" w:afterAutospacing="0" w:line="276" w:lineRule="auto"/>
        <w:rPr>
          <w:rFonts w:ascii="Arial" w:hAnsi="Arial" w:cs="Arial"/>
          <w:sz w:val="20"/>
          <w:szCs w:val="20"/>
        </w:rPr>
      </w:pPr>
      <w:r w:rsidRPr="007979A7">
        <w:rPr>
          <w:rFonts w:ascii="Arial" w:hAnsi="Arial" w:cs="Arial"/>
          <w:sz w:val="20"/>
          <w:szCs w:val="20"/>
        </w:rPr>
        <w:lastRenderedPageBreak/>
        <w:t xml:space="preserve">These advances are particularly important under changing climatic conditions. Climate-resilient plantation systems increasingly depend on improved propagation technologies to ensure productivity and carbon sequestration (IPCC, 2019; IPCC, 2023; Griscom et al., 2017). Globally, forestry is shifting toward </w:t>
      </w:r>
      <w:r w:rsidRPr="007979A7">
        <w:rPr>
          <w:rStyle w:val="Strong"/>
          <w:rFonts w:ascii="Arial" w:hAnsi="Arial" w:cs="Arial"/>
          <w:b w:val="0"/>
          <w:sz w:val="20"/>
          <w:szCs w:val="20"/>
        </w:rPr>
        <w:t>precision-based, high-productivity systems</w:t>
      </w:r>
      <w:r w:rsidRPr="007979A7">
        <w:rPr>
          <w:rFonts w:ascii="Arial" w:hAnsi="Arial" w:cs="Arial"/>
          <w:b/>
          <w:sz w:val="20"/>
          <w:szCs w:val="20"/>
        </w:rPr>
        <w:t>,</w:t>
      </w:r>
      <w:r w:rsidRPr="007979A7">
        <w:rPr>
          <w:rFonts w:ascii="Arial" w:hAnsi="Arial" w:cs="Arial"/>
          <w:sz w:val="20"/>
          <w:szCs w:val="20"/>
        </w:rPr>
        <w:t xml:space="preserve"> where improved propagation can increase productivity by </w:t>
      </w:r>
      <w:r w:rsidRPr="007979A7">
        <w:rPr>
          <w:rStyle w:val="Strong"/>
          <w:rFonts w:ascii="Arial" w:hAnsi="Arial" w:cs="Arial"/>
          <w:b w:val="0"/>
          <w:sz w:val="20"/>
          <w:szCs w:val="20"/>
        </w:rPr>
        <w:t>40–150%</w:t>
      </w:r>
      <w:r w:rsidRPr="007979A7">
        <w:rPr>
          <w:rFonts w:ascii="Arial" w:hAnsi="Arial" w:cs="Arial"/>
          <w:sz w:val="20"/>
          <w:szCs w:val="20"/>
        </w:rPr>
        <w:t xml:space="preserve"> and reduce rotation periods (Goh et al., 2013, </w:t>
      </w:r>
      <w:proofErr w:type="spellStart"/>
      <w:r w:rsidRPr="007979A7">
        <w:rPr>
          <w:rFonts w:ascii="Arial" w:hAnsi="Arial" w:cs="Arial"/>
          <w:sz w:val="20"/>
          <w:szCs w:val="20"/>
        </w:rPr>
        <w:t>Monteuuis</w:t>
      </w:r>
      <w:proofErr w:type="spellEnd"/>
      <w:r w:rsidRPr="007979A7">
        <w:rPr>
          <w:rFonts w:ascii="Arial" w:hAnsi="Arial" w:cs="Arial"/>
          <w:sz w:val="20"/>
          <w:szCs w:val="20"/>
        </w:rPr>
        <w:t xml:space="preserve"> and Goh, 2014; Midgley et al., 2015).</w:t>
      </w:r>
    </w:p>
    <w:p w14:paraId="755F5B70" w14:textId="77777777" w:rsidR="00CB3FC3" w:rsidRDefault="00CB3FC3" w:rsidP="00F622D8">
      <w:pPr>
        <w:pStyle w:val="NormalWeb"/>
        <w:spacing w:before="120" w:beforeAutospacing="0" w:after="0" w:afterAutospacing="0" w:line="276" w:lineRule="auto"/>
        <w:rPr>
          <w:rFonts w:ascii="Arial" w:hAnsi="Arial" w:cs="Arial"/>
          <w:sz w:val="20"/>
          <w:szCs w:val="20"/>
        </w:rPr>
      </w:pPr>
      <w:r w:rsidRPr="007979A7">
        <w:rPr>
          <w:rFonts w:ascii="Arial" w:hAnsi="Arial" w:cs="Arial"/>
          <w:sz w:val="20"/>
          <w:szCs w:val="20"/>
        </w:rPr>
        <w:t>Given these advancements, a comprehensive synthesis of propagation techniques is essential. This review aims to (</w:t>
      </w:r>
      <w:proofErr w:type="spellStart"/>
      <w:r w:rsidRPr="007979A7">
        <w:rPr>
          <w:rFonts w:ascii="Arial" w:hAnsi="Arial" w:cs="Arial"/>
          <w:sz w:val="20"/>
          <w:szCs w:val="20"/>
        </w:rPr>
        <w:t>i</w:t>
      </w:r>
      <w:proofErr w:type="spellEnd"/>
      <w:r w:rsidRPr="007979A7">
        <w:rPr>
          <w:rFonts w:ascii="Arial" w:hAnsi="Arial" w:cs="Arial"/>
          <w:sz w:val="20"/>
          <w:szCs w:val="20"/>
        </w:rPr>
        <w:t xml:space="preserve">) evaluate global trends in propagation of </w:t>
      </w:r>
      <w:r w:rsidRPr="007979A7">
        <w:rPr>
          <w:rStyle w:val="whitespace-normal"/>
          <w:rFonts w:ascii="Arial" w:hAnsi="Arial" w:cs="Arial"/>
          <w:i/>
          <w:sz w:val="20"/>
          <w:szCs w:val="20"/>
        </w:rPr>
        <w:t>Tectona grandis</w:t>
      </w:r>
      <w:r w:rsidRPr="007979A7">
        <w:rPr>
          <w:rFonts w:ascii="Arial" w:hAnsi="Arial" w:cs="Arial"/>
          <w:sz w:val="20"/>
          <w:szCs w:val="20"/>
        </w:rPr>
        <w:t xml:space="preserve">, (ii) assess emerging technologies including clonal forestry and biotechnology, and (iii) identify future prospects for developing efficient, scalable, and climate-resilient propagation systems. </w:t>
      </w:r>
    </w:p>
    <w:p w14:paraId="58E8C7AC" w14:textId="77777777" w:rsidR="00F94C49" w:rsidRPr="007979A7" w:rsidRDefault="00F94C49" w:rsidP="00F622D8">
      <w:pPr>
        <w:pStyle w:val="NormalWeb"/>
        <w:spacing w:before="120" w:beforeAutospacing="0" w:after="0" w:afterAutospacing="0" w:line="276" w:lineRule="auto"/>
        <w:rPr>
          <w:rFonts w:ascii="Arial" w:hAnsi="Arial" w:cs="Arial"/>
          <w:sz w:val="20"/>
          <w:szCs w:val="20"/>
        </w:rPr>
      </w:pPr>
    </w:p>
    <w:p w14:paraId="6643C95A" w14:textId="77777777" w:rsidR="007F7B32" w:rsidRPr="007979A7" w:rsidRDefault="00902823" w:rsidP="00441B6F">
      <w:pPr>
        <w:pStyle w:val="AbstHead"/>
        <w:spacing w:after="0"/>
        <w:jc w:val="both"/>
        <w:rPr>
          <w:rFonts w:ascii="Arial" w:hAnsi="Arial" w:cs="Arial"/>
        </w:rPr>
      </w:pPr>
      <w:r w:rsidRPr="007979A7">
        <w:rPr>
          <w:rFonts w:ascii="Arial" w:hAnsi="Arial" w:cs="Arial"/>
        </w:rPr>
        <w:t>2. material and method</w:t>
      </w:r>
      <w:r w:rsidR="00000F8F" w:rsidRPr="007979A7">
        <w:rPr>
          <w:rFonts w:ascii="Arial" w:hAnsi="Arial" w:cs="Arial"/>
        </w:rPr>
        <w:t xml:space="preserve">s </w:t>
      </w:r>
    </w:p>
    <w:p w14:paraId="519070AA" w14:textId="77777777" w:rsidR="00F622D8" w:rsidRPr="007979A7" w:rsidRDefault="00F622D8" w:rsidP="00F622D8">
      <w:pPr>
        <w:spacing w:line="276" w:lineRule="auto"/>
        <w:jc w:val="both"/>
        <w:rPr>
          <w:rFonts w:ascii="Arial" w:hAnsi="Arial" w:cs="Arial"/>
          <w:lang w:val="en-IN" w:eastAsia="en-IN"/>
        </w:rPr>
      </w:pPr>
      <w:r w:rsidRPr="007979A7">
        <w:rPr>
          <w:rFonts w:ascii="Arial" w:hAnsi="Arial" w:cs="Arial"/>
          <w:lang w:val="en-IN" w:eastAsia="en-IN"/>
        </w:rPr>
        <w:t xml:space="preserve">The present study adopted a </w:t>
      </w:r>
      <w:r w:rsidRPr="007979A7">
        <w:rPr>
          <w:rFonts w:ascii="Arial" w:hAnsi="Arial" w:cs="Arial"/>
          <w:bCs/>
          <w:lang w:val="en-IN" w:eastAsia="en-IN"/>
        </w:rPr>
        <w:t>systematic review methodology</w:t>
      </w:r>
      <w:r w:rsidRPr="007979A7">
        <w:rPr>
          <w:rFonts w:ascii="Arial" w:hAnsi="Arial" w:cs="Arial"/>
          <w:lang w:val="en-IN" w:eastAsia="en-IN"/>
        </w:rPr>
        <w:t xml:space="preserve"> to synthesize global advances in the propagation of Teak (</w:t>
      </w:r>
      <w:r w:rsidRPr="007979A7">
        <w:rPr>
          <w:rFonts w:ascii="Arial" w:hAnsi="Arial" w:cs="Arial"/>
          <w:i/>
          <w:lang w:val="en-IN" w:eastAsia="en-IN"/>
        </w:rPr>
        <w:t>Tectona grandis</w:t>
      </w:r>
      <w:r w:rsidRPr="007979A7">
        <w:rPr>
          <w:rFonts w:ascii="Arial" w:hAnsi="Arial" w:cs="Arial"/>
          <w:lang w:val="en-IN" w:eastAsia="en-IN"/>
        </w:rPr>
        <w:t xml:space="preserve">). </w:t>
      </w:r>
    </w:p>
    <w:p w14:paraId="2D3F03F9"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t>2.1 Literature Search Strategy</w:t>
      </w:r>
    </w:p>
    <w:p w14:paraId="6588359B"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A comprehensive literature search was conducted across major international scientific databases, including Web of Science, Scopus, Google Scholar, Science Direct, and Springer Link. The search covered publications from </w:t>
      </w:r>
      <w:r w:rsidRPr="007979A7">
        <w:rPr>
          <w:rFonts w:ascii="Arial" w:hAnsi="Arial" w:cs="Arial"/>
          <w:bCs/>
          <w:lang w:val="en-IN" w:eastAsia="en-IN"/>
        </w:rPr>
        <w:t>1990 to 2026</w:t>
      </w:r>
      <w:r w:rsidRPr="007979A7">
        <w:rPr>
          <w:rFonts w:ascii="Arial" w:hAnsi="Arial" w:cs="Arial"/>
          <w:lang w:val="en-IN" w:eastAsia="en-IN"/>
        </w:rPr>
        <w:t>, encompassing both foundational and recent advances in teak propagation. A structured keyword-based search strategy using was applied using words such as:</w:t>
      </w:r>
      <w:r w:rsidRPr="007979A7">
        <w:rPr>
          <w:rFonts w:ascii="Arial" w:hAnsi="Arial" w:cs="Arial"/>
          <w:i/>
          <w:iCs/>
          <w:lang w:val="en-IN" w:eastAsia="en-IN"/>
        </w:rPr>
        <w:t xml:space="preserve"> Tectona grandis</w:t>
      </w:r>
      <w:r w:rsidRPr="007979A7">
        <w:rPr>
          <w:rFonts w:ascii="Arial" w:hAnsi="Arial" w:cs="Arial"/>
          <w:iCs/>
          <w:lang w:val="en-IN" w:eastAsia="en-IN"/>
        </w:rPr>
        <w:t xml:space="preserve"> and propagation/ germination/ vegetative propagation/ clonal forestry/ micropropagation/ tissue culture/ somatic embryogenesis, nursery techniques, etc. </w:t>
      </w:r>
      <w:r w:rsidRPr="007979A7">
        <w:rPr>
          <w:rFonts w:ascii="Arial" w:hAnsi="Arial" w:cs="Arial"/>
          <w:lang w:val="en-IN" w:eastAsia="en-IN"/>
        </w:rPr>
        <w:t xml:space="preserve">Additional keywords such as </w:t>
      </w:r>
      <w:r w:rsidRPr="007979A7">
        <w:rPr>
          <w:rFonts w:ascii="Arial" w:hAnsi="Arial" w:cs="Arial"/>
          <w:iCs/>
          <w:lang w:val="en-IN" w:eastAsia="en-IN"/>
        </w:rPr>
        <w:t>teak seed dormancy, mini-cuttings, temporary immersion systems,</w:t>
      </w:r>
      <w:r w:rsidRPr="007979A7">
        <w:rPr>
          <w:rFonts w:ascii="Arial" w:hAnsi="Arial" w:cs="Arial"/>
          <w:lang w:val="en-IN" w:eastAsia="en-IN"/>
        </w:rPr>
        <w:t xml:space="preserve"> and </w:t>
      </w:r>
      <w:r w:rsidRPr="007979A7">
        <w:rPr>
          <w:rFonts w:ascii="Arial" w:hAnsi="Arial" w:cs="Arial"/>
          <w:iCs/>
          <w:lang w:val="en-IN" w:eastAsia="en-IN"/>
        </w:rPr>
        <w:t>bio-inoculants in forestry, etc</w:t>
      </w:r>
      <w:r w:rsidRPr="007979A7">
        <w:rPr>
          <w:rFonts w:ascii="Arial" w:hAnsi="Arial" w:cs="Arial"/>
          <w:lang w:val="en-IN" w:eastAsia="en-IN"/>
        </w:rPr>
        <w:t xml:space="preserve"> were included to broaden the scope. Backward and forward citation tracking (snowballing) was also employed to identify additional relevant studies (</w:t>
      </w:r>
      <w:proofErr w:type="spellStart"/>
      <w:r w:rsidRPr="007979A7">
        <w:rPr>
          <w:rFonts w:ascii="Arial" w:hAnsi="Arial" w:cs="Arial"/>
          <w:lang w:val="en-IN" w:eastAsia="en-IN"/>
        </w:rPr>
        <w:t>Kollert</w:t>
      </w:r>
      <w:proofErr w:type="spellEnd"/>
      <w:r w:rsidRPr="007979A7">
        <w:rPr>
          <w:rFonts w:ascii="Arial" w:hAnsi="Arial" w:cs="Arial"/>
          <w:lang w:val="en-IN" w:eastAsia="en-IN"/>
        </w:rPr>
        <w:t xml:space="preserve"> and </w:t>
      </w:r>
      <w:proofErr w:type="spellStart"/>
      <w:r w:rsidRPr="007979A7">
        <w:rPr>
          <w:rFonts w:ascii="Arial" w:hAnsi="Arial" w:cs="Arial"/>
          <w:lang w:val="en-IN" w:eastAsia="en-IN"/>
        </w:rPr>
        <w:t>Kleine</w:t>
      </w:r>
      <w:proofErr w:type="spellEnd"/>
      <w:r w:rsidRPr="007979A7">
        <w:rPr>
          <w:rFonts w:ascii="Arial" w:hAnsi="Arial" w:cs="Arial"/>
          <w:lang w:val="en-IN" w:eastAsia="en-IN"/>
        </w:rPr>
        <w:t>, 2017; Midgley et al., 2015).</w:t>
      </w:r>
    </w:p>
    <w:p w14:paraId="357D6675"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t>2.2 Data Extraction</w:t>
      </w:r>
    </w:p>
    <w:p w14:paraId="26D0669B" w14:textId="77777777" w:rsidR="00F622D8" w:rsidRPr="007979A7" w:rsidRDefault="00F622D8" w:rsidP="00F622D8">
      <w:pPr>
        <w:spacing w:line="276" w:lineRule="auto"/>
        <w:jc w:val="both"/>
        <w:rPr>
          <w:rFonts w:ascii="Arial" w:hAnsi="Arial" w:cs="Arial"/>
          <w:lang w:val="en-IN" w:eastAsia="en-IN"/>
        </w:rPr>
      </w:pPr>
      <w:r w:rsidRPr="007979A7">
        <w:rPr>
          <w:rFonts w:ascii="Arial" w:hAnsi="Arial" w:cs="Arial"/>
          <w:lang w:val="en-IN" w:eastAsia="en-IN"/>
        </w:rPr>
        <w:t>Relevant data from selected studies were systematically extracted and compiled into structured datasets. The following variables were recorded:</w:t>
      </w:r>
    </w:p>
    <w:p w14:paraId="23FD0274" w14:textId="77777777" w:rsidR="00F622D8" w:rsidRPr="007979A7" w:rsidRDefault="00F622D8" w:rsidP="00F622D8">
      <w:pPr>
        <w:numPr>
          <w:ilvl w:val="0"/>
          <w:numId w:val="31"/>
        </w:numPr>
        <w:spacing w:line="276" w:lineRule="auto"/>
        <w:jc w:val="both"/>
        <w:rPr>
          <w:rFonts w:ascii="Arial" w:hAnsi="Arial" w:cs="Arial"/>
          <w:lang w:val="en-IN" w:eastAsia="en-IN"/>
        </w:rPr>
      </w:pPr>
      <w:r w:rsidRPr="007979A7">
        <w:rPr>
          <w:rFonts w:ascii="Arial" w:hAnsi="Arial" w:cs="Arial"/>
          <w:lang w:val="en-IN" w:eastAsia="en-IN"/>
        </w:rPr>
        <w:t xml:space="preserve">Propagation method (seed, cuttings, mini-cuttings, micropropagation, somatic embryogenesis) </w:t>
      </w:r>
    </w:p>
    <w:p w14:paraId="3C53F42F" w14:textId="77777777" w:rsidR="00F622D8" w:rsidRPr="007979A7" w:rsidRDefault="00F622D8" w:rsidP="00F622D8">
      <w:pPr>
        <w:numPr>
          <w:ilvl w:val="0"/>
          <w:numId w:val="31"/>
        </w:numPr>
        <w:spacing w:line="276" w:lineRule="auto"/>
        <w:jc w:val="both"/>
        <w:rPr>
          <w:rFonts w:ascii="Arial" w:hAnsi="Arial" w:cs="Arial"/>
          <w:lang w:val="en-IN" w:eastAsia="en-IN"/>
        </w:rPr>
      </w:pPr>
      <w:r w:rsidRPr="007979A7">
        <w:rPr>
          <w:rFonts w:ascii="Arial" w:hAnsi="Arial" w:cs="Arial"/>
          <w:lang w:val="en-IN" w:eastAsia="en-IN"/>
        </w:rPr>
        <w:t xml:space="preserve">Germination percentage and dormancy characteristics </w:t>
      </w:r>
    </w:p>
    <w:p w14:paraId="7BCB72F5" w14:textId="77777777" w:rsidR="00F622D8" w:rsidRPr="007979A7" w:rsidRDefault="00F622D8" w:rsidP="00F622D8">
      <w:pPr>
        <w:numPr>
          <w:ilvl w:val="0"/>
          <w:numId w:val="31"/>
        </w:numPr>
        <w:spacing w:line="276" w:lineRule="auto"/>
        <w:jc w:val="both"/>
        <w:rPr>
          <w:rFonts w:ascii="Arial" w:hAnsi="Arial" w:cs="Arial"/>
          <w:lang w:val="en-IN" w:eastAsia="en-IN"/>
        </w:rPr>
      </w:pPr>
      <w:r w:rsidRPr="007979A7">
        <w:rPr>
          <w:rFonts w:ascii="Arial" w:hAnsi="Arial" w:cs="Arial"/>
          <w:lang w:val="en-IN" w:eastAsia="en-IN"/>
        </w:rPr>
        <w:t xml:space="preserve">Rooting percentage and survival rates </w:t>
      </w:r>
    </w:p>
    <w:p w14:paraId="47061092" w14:textId="77777777" w:rsidR="00F622D8" w:rsidRPr="007979A7" w:rsidRDefault="00F622D8" w:rsidP="00F622D8">
      <w:pPr>
        <w:numPr>
          <w:ilvl w:val="0"/>
          <w:numId w:val="31"/>
        </w:numPr>
        <w:spacing w:line="276" w:lineRule="auto"/>
        <w:jc w:val="both"/>
        <w:rPr>
          <w:rFonts w:ascii="Arial" w:hAnsi="Arial" w:cs="Arial"/>
          <w:lang w:val="en-IN" w:eastAsia="en-IN"/>
        </w:rPr>
      </w:pPr>
      <w:r w:rsidRPr="007979A7">
        <w:rPr>
          <w:rFonts w:ascii="Arial" w:hAnsi="Arial" w:cs="Arial"/>
          <w:lang w:val="en-IN" w:eastAsia="en-IN"/>
        </w:rPr>
        <w:t xml:space="preserve">Multiplication rate (propagules per cycle) </w:t>
      </w:r>
    </w:p>
    <w:p w14:paraId="4EB69CB6" w14:textId="77777777" w:rsidR="00F622D8" w:rsidRPr="007979A7" w:rsidRDefault="00F622D8" w:rsidP="00F622D8">
      <w:pPr>
        <w:numPr>
          <w:ilvl w:val="0"/>
          <w:numId w:val="31"/>
        </w:numPr>
        <w:spacing w:line="276" w:lineRule="auto"/>
        <w:jc w:val="both"/>
        <w:rPr>
          <w:rFonts w:ascii="Arial" w:hAnsi="Arial" w:cs="Arial"/>
          <w:lang w:val="en-IN" w:eastAsia="en-IN"/>
        </w:rPr>
      </w:pPr>
      <w:r w:rsidRPr="007979A7">
        <w:rPr>
          <w:rFonts w:ascii="Arial" w:hAnsi="Arial" w:cs="Arial"/>
          <w:lang w:val="en-IN" w:eastAsia="en-IN"/>
        </w:rPr>
        <w:t xml:space="preserve">Time required for </w:t>
      </w:r>
      <w:proofErr w:type="spellStart"/>
      <w:r w:rsidRPr="007979A7">
        <w:rPr>
          <w:rFonts w:ascii="Arial" w:hAnsi="Arial" w:cs="Arial"/>
          <w:lang w:val="en-IN" w:eastAsia="en-IN"/>
        </w:rPr>
        <w:t>plantable</w:t>
      </w:r>
      <w:proofErr w:type="spellEnd"/>
      <w:r w:rsidRPr="007979A7">
        <w:rPr>
          <w:rFonts w:ascii="Arial" w:hAnsi="Arial" w:cs="Arial"/>
          <w:lang w:val="en-IN" w:eastAsia="en-IN"/>
        </w:rPr>
        <w:t xml:space="preserve"> stock </w:t>
      </w:r>
    </w:p>
    <w:p w14:paraId="4EA6CCA1" w14:textId="77777777" w:rsidR="00F622D8" w:rsidRPr="007979A7" w:rsidRDefault="00F622D8" w:rsidP="00F622D8">
      <w:pPr>
        <w:numPr>
          <w:ilvl w:val="0"/>
          <w:numId w:val="31"/>
        </w:numPr>
        <w:spacing w:line="276" w:lineRule="auto"/>
        <w:jc w:val="both"/>
        <w:rPr>
          <w:rFonts w:ascii="Arial" w:hAnsi="Arial" w:cs="Arial"/>
          <w:lang w:val="en-IN" w:eastAsia="en-IN"/>
        </w:rPr>
      </w:pPr>
      <w:r w:rsidRPr="007979A7">
        <w:rPr>
          <w:rFonts w:ascii="Arial" w:hAnsi="Arial" w:cs="Arial"/>
          <w:lang w:val="en-IN" w:eastAsia="en-IN"/>
        </w:rPr>
        <w:t xml:space="preserve">Environmental conditions (temperature, humidity, substrate) </w:t>
      </w:r>
    </w:p>
    <w:p w14:paraId="70052682" w14:textId="77777777" w:rsidR="00F622D8" w:rsidRPr="007979A7" w:rsidRDefault="00F622D8" w:rsidP="00F622D8">
      <w:pPr>
        <w:numPr>
          <w:ilvl w:val="0"/>
          <w:numId w:val="31"/>
        </w:numPr>
        <w:spacing w:line="276" w:lineRule="auto"/>
        <w:jc w:val="both"/>
        <w:rPr>
          <w:rFonts w:ascii="Arial" w:hAnsi="Arial" w:cs="Arial"/>
          <w:lang w:val="en-IN" w:eastAsia="en-IN"/>
        </w:rPr>
      </w:pPr>
      <w:r w:rsidRPr="007979A7">
        <w:rPr>
          <w:rFonts w:ascii="Arial" w:hAnsi="Arial" w:cs="Arial"/>
          <w:lang w:val="en-IN" w:eastAsia="en-IN"/>
        </w:rPr>
        <w:t xml:space="preserve">Hormonal treatments (e.g., IBA, NAA, </w:t>
      </w:r>
      <w:proofErr w:type="spellStart"/>
      <w:r w:rsidRPr="007979A7">
        <w:rPr>
          <w:rFonts w:ascii="Arial" w:hAnsi="Arial" w:cs="Arial"/>
          <w:lang w:val="en-IN" w:eastAsia="en-IN"/>
        </w:rPr>
        <w:t>cytokinins</w:t>
      </w:r>
      <w:proofErr w:type="spellEnd"/>
      <w:r w:rsidRPr="007979A7">
        <w:rPr>
          <w:rFonts w:ascii="Arial" w:hAnsi="Arial" w:cs="Arial"/>
          <w:lang w:val="en-IN" w:eastAsia="en-IN"/>
        </w:rPr>
        <w:t xml:space="preserve">) </w:t>
      </w:r>
    </w:p>
    <w:p w14:paraId="10A34A42" w14:textId="77777777" w:rsidR="00F622D8" w:rsidRPr="007979A7" w:rsidRDefault="00F622D8" w:rsidP="00F622D8">
      <w:pPr>
        <w:spacing w:line="276" w:lineRule="auto"/>
        <w:ind w:left="360"/>
        <w:jc w:val="both"/>
        <w:rPr>
          <w:rFonts w:ascii="Arial" w:hAnsi="Arial" w:cs="Arial"/>
          <w:lang w:val="en-IN" w:eastAsia="en-IN"/>
        </w:rPr>
      </w:pPr>
      <w:r w:rsidRPr="007979A7">
        <w:rPr>
          <w:rFonts w:ascii="Arial" w:hAnsi="Arial" w:cs="Arial"/>
          <w:lang w:val="en-IN" w:eastAsia="en-IN"/>
        </w:rPr>
        <w:t xml:space="preserve">(viii)Field performance indicators (survival %, growth rate, MAI) </w:t>
      </w:r>
    </w:p>
    <w:p w14:paraId="6364715C" w14:textId="77777777" w:rsidR="00F622D8" w:rsidRPr="007979A7" w:rsidRDefault="00F622D8" w:rsidP="00F622D8">
      <w:pPr>
        <w:numPr>
          <w:ilvl w:val="0"/>
          <w:numId w:val="32"/>
        </w:numPr>
        <w:spacing w:line="276" w:lineRule="auto"/>
        <w:jc w:val="both"/>
        <w:rPr>
          <w:rFonts w:ascii="Arial" w:hAnsi="Arial" w:cs="Arial"/>
          <w:lang w:val="en-IN" w:eastAsia="en-IN"/>
        </w:rPr>
      </w:pPr>
      <w:r w:rsidRPr="007979A7">
        <w:rPr>
          <w:rFonts w:ascii="Arial" w:hAnsi="Arial" w:cs="Arial"/>
          <w:lang w:val="en-IN" w:eastAsia="en-IN"/>
        </w:rPr>
        <w:t xml:space="preserve">Geographic and ecological context </w:t>
      </w:r>
    </w:p>
    <w:p w14:paraId="1F5DB6C8" w14:textId="77777777" w:rsidR="00F622D8" w:rsidRPr="007979A7" w:rsidRDefault="00F622D8" w:rsidP="00F622D8">
      <w:pPr>
        <w:spacing w:line="276" w:lineRule="auto"/>
        <w:jc w:val="both"/>
        <w:rPr>
          <w:rFonts w:ascii="Arial" w:hAnsi="Arial" w:cs="Arial"/>
          <w:lang w:val="en-IN" w:eastAsia="en-IN"/>
        </w:rPr>
      </w:pPr>
      <w:r w:rsidRPr="007979A7">
        <w:rPr>
          <w:rFonts w:ascii="Arial" w:hAnsi="Arial" w:cs="Arial"/>
          <w:lang w:val="en-IN" w:eastAsia="en-IN"/>
        </w:rPr>
        <w:t xml:space="preserve">The selection of variables was guided by standard forestry and propagation studies to ensure comparability across different propagation systems (Goh and </w:t>
      </w:r>
      <w:proofErr w:type="spellStart"/>
      <w:r w:rsidRPr="007979A7">
        <w:rPr>
          <w:rFonts w:ascii="Arial" w:hAnsi="Arial" w:cs="Arial"/>
          <w:lang w:val="en-IN" w:eastAsia="en-IN"/>
        </w:rPr>
        <w:t>Monteuuis</w:t>
      </w:r>
      <w:proofErr w:type="spellEnd"/>
      <w:r w:rsidRPr="007979A7">
        <w:rPr>
          <w:rFonts w:ascii="Arial" w:hAnsi="Arial" w:cs="Arial"/>
          <w:lang w:val="en-IN" w:eastAsia="en-IN"/>
        </w:rPr>
        <w:t>, 2016; Midgley et al., 2014).</w:t>
      </w:r>
    </w:p>
    <w:p w14:paraId="6939E0C2"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t>2.3 Classification of Propagation Techniques</w:t>
      </w:r>
    </w:p>
    <w:p w14:paraId="6C7064F7"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lastRenderedPageBreak/>
        <w:t>For analytical clarity, propagation techniques were categorized into four major groups:</w:t>
      </w:r>
    </w:p>
    <w:p w14:paraId="2EDE468D" w14:textId="77777777" w:rsidR="00F622D8" w:rsidRPr="007979A7" w:rsidRDefault="00F622D8" w:rsidP="00F622D8">
      <w:pPr>
        <w:spacing w:line="276" w:lineRule="auto"/>
        <w:ind w:left="360"/>
        <w:jc w:val="both"/>
        <w:rPr>
          <w:rFonts w:ascii="Arial" w:hAnsi="Arial" w:cs="Arial"/>
          <w:lang w:val="en-IN" w:eastAsia="en-IN"/>
        </w:rPr>
      </w:pPr>
      <w:r w:rsidRPr="007979A7">
        <w:rPr>
          <w:rFonts w:ascii="Arial" w:hAnsi="Arial" w:cs="Arial"/>
          <w:lang w:val="en-IN" w:eastAsia="en-IN"/>
        </w:rPr>
        <w:t>(</w:t>
      </w:r>
      <w:proofErr w:type="spellStart"/>
      <w:r w:rsidRPr="007979A7">
        <w:rPr>
          <w:rFonts w:ascii="Arial" w:hAnsi="Arial" w:cs="Arial"/>
          <w:lang w:val="en-IN" w:eastAsia="en-IN"/>
        </w:rPr>
        <w:t>i</w:t>
      </w:r>
      <w:proofErr w:type="spellEnd"/>
      <w:r w:rsidRPr="007979A7">
        <w:rPr>
          <w:rFonts w:ascii="Arial" w:hAnsi="Arial" w:cs="Arial"/>
          <w:lang w:val="en-IN" w:eastAsia="en-IN"/>
        </w:rPr>
        <w:t>)</w:t>
      </w:r>
      <w:r w:rsidRPr="007979A7">
        <w:rPr>
          <w:rFonts w:ascii="Arial" w:hAnsi="Arial" w:cs="Arial"/>
          <w:lang w:val="en-IN" w:eastAsia="en-IN"/>
        </w:rPr>
        <w:tab/>
        <w:t xml:space="preserve">Seed-based propagation (dormancy and germination studies) </w:t>
      </w:r>
    </w:p>
    <w:p w14:paraId="20455B94" w14:textId="77777777" w:rsidR="00F622D8" w:rsidRPr="007979A7" w:rsidRDefault="00F622D8" w:rsidP="00F622D8">
      <w:pPr>
        <w:numPr>
          <w:ilvl w:val="0"/>
          <w:numId w:val="33"/>
        </w:numPr>
        <w:spacing w:line="276" w:lineRule="auto"/>
        <w:jc w:val="both"/>
        <w:rPr>
          <w:rFonts w:ascii="Arial" w:hAnsi="Arial" w:cs="Arial"/>
          <w:lang w:val="en-IN" w:eastAsia="en-IN"/>
        </w:rPr>
      </w:pPr>
      <w:r w:rsidRPr="007979A7">
        <w:rPr>
          <w:rFonts w:ascii="Arial" w:hAnsi="Arial" w:cs="Arial"/>
          <w:lang w:val="en-IN" w:eastAsia="en-IN"/>
        </w:rPr>
        <w:t xml:space="preserve">Vegetative propagation (cuttings, coppice shoots) </w:t>
      </w:r>
    </w:p>
    <w:p w14:paraId="1FD6F3C4" w14:textId="77777777" w:rsidR="00F622D8" w:rsidRPr="007979A7" w:rsidRDefault="00F622D8" w:rsidP="00F622D8">
      <w:pPr>
        <w:numPr>
          <w:ilvl w:val="0"/>
          <w:numId w:val="33"/>
        </w:numPr>
        <w:spacing w:line="276" w:lineRule="auto"/>
        <w:jc w:val="both"/>
        <w:rPr>
          <w:rFonts w:ascii="Arial" w:hAnsi="Arial" w:cs="Arial"/>
          <w:lang w:val="en-IN" w:eastAsia="en-IN"/>
        </w:rPr>
      </w:pPr>
      <w:r w:rsidRPr="007979A7">
        <w:rPr>
          <w:rFonts w:ascii="Arial" w:hAnsi="Arial" w:cs="Arial"/>
          <w:lang w:val="en-IN" w:eastAsia="en-IN"/>
        </w:rPr>
        <w:t xml:space="preserve">Clonal forestry systems (mini-cuttings, clonal hedges) </w:t>
      </w:r>
    </w:p>
    <w:p w14:paraId="1452661F" w14:textId="77777777" w:rsidR="00F622D8" w:rsidRPr="007979A7" w:rsidRDefault="00F622D8" w:rsidP="00F622D8">
      <w:pPr>
        <w:numPr>
          <w:ilvl w:val="0"/>
          <w:numId w:val="33"/>
        </w:numPr>
        <w:spacing w:line="276" w:lineRule="auto"/>
        <w:jc w:val="both"/>
        <w:rPr>
          <w:rFonts w:ascii="Arial" w:hAnsi="Arial" w:cs="Arial"/>
          <w:lang w:val="en-IN" w:eastAsia="en-IN"/>
        </w:rPr>
      </w:pPr>
      <w:r w:rsidRPr="007979A7">
        <w:rPr>
          <w:rFonts w:ascii="Arial" w:hAnsi="Arial" w:cs="Arial"/>
          <w:lang w:val="en-IN" w:eastAsia="en-IN"/>
        </w:rPr>
        <w:t xml:space="preserve">Biotechnological approaches (micropropagation, somatic embryogenesis) </w:t>
      </w:r>
    </w:p>
    <w:p w14:paraId="3824646A" w14:textId="77777777" w:rsidR="00F622D8" w:rsidRPr="007979A7" w:rsidRDefault="00F622D8" w:rsidP="00F622D8">
      <w:pPr>
        <w:spacing w:line="276" w:lineRule="auto"/>
        <w:jc w:val="both"/>
        <w:rPr>
          <w:rFonts w:ascii="Arial" w:hAnsi="Arial" w:cs="Arial"/>
          <w:lang w:val="en-IN" w:eastAsia="en-IN"/>
        </w:rPr>
      </w:pPr>
      <w:r w:rsidRPr="007979A7">
        <w:rPr>
          <w:rFonts w:ascii="Arial" w:hAnsi="Arial" w:cs="Arial"/>
          <w:lang w:val="en-IN" w:eastAsia="en-IN"/>
        </w:rPr>
        <w:t>This classification framework aligns with contemporary approaches in clonal forestry and tree improvement studies (</w:t>
      </w:r>
      <w:proofErr w:type="spellStart"/>
      <w:r w:rsidRPr="007979A7">
        <w:rPr>
          <w:rFonts w:ascii="Arial" w:hAnsi="Arial" w:cs="Arial"/>
          <w:lang w:val="en-IN" w:eastAsia="en-IN"/>
        </w:rPr>
        <w:t>Monteuuis</w:t>
      </w:r>
      <w:proofErr w:type="spellEnd"/>
      <w:r w:rsidRPr="007979A7">
        <w:rPr>
          <w:rFonts w:ascii="Arial" w:hAnsi="Arial" w:cs="Arial"/>
          <w:lang w:val="en-IN" w:eastAsia="en-IN"/>
        </w:rPr>
        <w:t xml:space="preserve"> and Goh, 2014; Chaix et al., 2011).</w:t>
      </w:r>
    </w:p>
    <w:p w14:paraId="672D1657" w14:textId="77777777" w:rsidR="00F622D8" w:rsidRPr="007979A7" w:rsidRDefault="00F622D8" w:rsidP="00441B6F">
      <w:pPr>
        <w:pStyle w:val="Head1"/>
        <w:spacing w:after="0"/>
        <w:jc w:val="both"/>
        <w:rPr>
          <w:rFonts w:ascii="Arial" w:hAnsi="Arial" w:cs="Arial"/>
        </w:rPr>
      </w:pPr>
    </w:p>
    <w:p w14:paraId="47BEEDA8" w14:textId="77777777" w:rsidR="00902823" w:rsidRPr="007979A7" w:rsidRDefault="00000F8F" w:rsidP="00441B6F">
      <w:pPr>
        <w:pStyle w:val="Head1"/>
        <w:spacing w:after="0"/>
        <w:jc w:val="both"/>
        <w:rPr>
          <w:rFonts w:ascii="Arial" w:hAnsi="Arial" w:cs="Arial"/>
        </w:rPr>
      </w:pPr>
      <w:r w:rsidRPr="007979A7">
        <w:rPr>
          <w:rFonts w:ascii="Arial" w:hAnsi="Arial" w:cs="Arial"/>
        </w:rPr>
        <w:t>3</w:t>
      </w:r>
      <w:r w:rsidR="00902823" w:rsidRPr="007979A7">
        <w:rPr>
          <w:rFonts w:ascii="Arial" w:hAnsi="Arial" w:cs="Arial"/>
        </w:rPr>
        <w:t xml:space="preserve">. </w:t>
      </w:r>
      <w:r w:rsidRPr="007979A7">
        <w:rPr>
          <w:rFonts w:ascii="Arial" w:hAnsi="Arial" w:cs="Arial"/>
        </w:rPr>
        <w:t>results and discussion</w:t>
      </w:r>
    </w:p>
    <w:p w14:paraId="02B02F03" w14:textId="77777777" w:rsidR="00F622D8" w:rsidRPr="007979A7" w:rsidRDefault="00F622D8" w:rsidP="00F622D8">
      <w:pPr>
        <w:spacing w:before="120"/>
        <w:jc w:val="both"/>
        <w:outlineLvl w:val="2"/>
        <w:rPr>
          <w:rFonts w:ascii="Arial" w:hAnsi="Arial" w:cs="Arial"/>
          <w:b/>
          <w:bCs/>
          <w:lang w:val="en-IN" w:eastAsia="en-IN"/>
        </w:rPr>
      </w:pPr>
      <w:r w:rsidRPr="007979A7">
        <w:rPr>
          <w:rFonts w:ascii="Arial" w:hAnsi="Arial" w:cs="Arial"/>
          <w:b/>
          <w:bCs/>
          <w:lang w:val="en-IN" w:eastAsia="en-IN"/>
        </w:rPr>
        <w:t xml:space="preserve">3.1 Advances in Propagation Methods of </w:t>
      </w:r>
      <w:r w:rsidRPr="007979A7">
        <w:rPr>
          <w:rFonts w:ascii="Arial" w:hAnsi="Arial" w:cs="Arial"/>
          <w:b/>
          <w:bCs/>
          <w:i/>
          <w:lang w:val="en-IN" w:eastAsia="en-IN"/>
        </w:rPr>
        <w:t>Tectona grandis</w:t>
      </w:r>
    </w:p>
    <w:p w14:paraId="3C08258F"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The synthesis of global literature reveals a clear progression in teak propagation methods, ranging from conventional seed-based systems to advanced clonal and biotechnological approaches. Each method exhibits distinct advantages and limitations in terms of efficiency, scalability, and plantation productivity. Among these, seed-based propagation remains the most traditional and widely practiced approach, particularly in low-input forestry systems, although it is constrained by biological and genetic limitations.</w:t>
      </w:r>
    </w:p>
    <w:p w14:paraId="1F95C3E2" w14:textId="77777777" w:rsidR="00F622D8" w:rsidRPr="007979A7" w:rsidRDefault="00F622D8" w:rsidP="00F622D8">
      <w:pPr>
        <w:spacing w:before="120"/>
        <w:jc w:val="both"/>
        <w:outlineLvl w:val="2"/>
        <w:rPr>
          <w:rFonts w:ascii="Arial" w:hAnsi="Arial" w:cs="Arial"/>
          <w:b/>
          <w:bCs/>
          <w:lang w:val="en-IN" w:eastAsia="en-IN"/>
        </w:rPr>
      </w:pPr>
      <w:r w:rsidRPr="007979A7">
        <w:rPr>
          <w:rFonts w:ascii="Arial" w:hAnsi="Arial" w:cs="Arial"/>
          <w:b/>
          <w:bCs/>
          <w:lang w:val="en-IN" w:eastAsia="en-IN"/>
        </w:rPr>
        <w:t xml:space="preserve">3.1.1 </w:t>
      </w:r>
      <w:r w:rsidRPr="007979A7">
        <w:rPr>
          <w:rFonts w:ascii="Arial" w:hAnsi="Arial" w:cs="Arial"/>
          <w:b/>
          <w:bCs/>
          <w:lang w:val="en-IN" w:eastAsia="en-IN"/>
        </w:rPr>
        <w:tab/>
        <w:t>Seed-Based Propagation: Dormancy Constraints and Incremental Improvements</w:t>
      </w:r>
    </w:p>
    <w:p w14:paraId="4F8872EB" w14:textId="77777777" w:rsidR="00F622D8" w:rsidRPr="007979A7" w:rsidRDefault="00F622D8" w:rsidP="00F622D8">
      <w:pPr>
        <w:spacing w:before="120" w:line="276" w:lineRule="auto"/>
        <w:jc w:val="both"/>
        <w:rPr>
          <w:rFonts w:ascii="Arial" w:hAnsi="Arial" w:cs="Arial"/>
        </w:rPr>
      </w:pPr>
      <w:r w:rsidRPr="007979A7">
        <w:rPr>
          <w:rFonts w:ascii="Arial" w:hAnsi="Arial" w:cs="Arial"/>
        </w:rPr>
        <w:t xml:space="preserve">Seed-based propagation of </w:t>
      </w:r>
      <w:r w:rsidRPr="007979A7">
        <w:rPr>
          <w:rStyle w:val="whitespace-normal"/>
          <w:rFonts w:ascii="Arial" w:hAnsi="Arial" w:cs="Arial"/>
          <w:i/>
        </w:rPr>
        <w:t>Tectona grandis</w:t>
      </w:r>
      <w:r w:rsidRPr="007979A7">
        <w:rPr>
          <w:rFonts w:ascii="Arial" w:hAnsi="Arial" w:cs="Arial"/>
        </w:rPr>
        <w:t xml:space="preserve"> remains the most widely practiced conventional method of teak multiplication, yet it is fundamentally constrained by low, irregular, and asynchronous germination. Germination percentages generally range from </w:t>
      </w:r>
      <w:r w:rsidRPr="007979A7">
        <w:rPr>
          <w:rStyle w:val="Strong"/>
          <w:rFonts w:ascii="Arial" w:hAnsi="Arial" w:cs="Arial"/>
          <w:b w:val="0"/>
        </w:rPr>
        <w:t>10–60%</w:t>
      </w:r>
      <w:r w:rsidRPr="007979A7">
        <w:rPr>
          <w:rFonts w:ascii="Arial" w:hAnsi="Arial" w:cs="Arial"/>
          <w:b/>
        </w:rPr>
        <w:t>,</w:t>
      </w:r>
      <w:r w:rsidRPr="007979A7">
        <w:rPr>
          <w:rFonts w:ascii="Arial" w:hAnsi="Arial" w:cs="Arial"/>
        </w:rPr>
        <w:t xml:space="preserve"> mainly due to the combined effects of mechanical and physiological dormancy, where the hard lignified endocarp restricts water uptake and internal hormonal controls delay embryo activation (Kjaer and Foster, 1996; Baskin and Baskin, 2014; </w:t>
      </w:r>
      <w:proofErr w:type="spellStart"/>
      <w:r w:rsidRPr="007979A7">
        <w:rPr>
          <w:rFonts w:ascii="Arial" w:hAnsi="Arial" w:cs="Arial"/>
        </w:rPr>
        <w:t>Palupi</w:t>
      </w:r>
      <w:proofErr w:type="spellEnd"/>
      <w:r w:rsidRPr="007979A7">
        <w:rPr>
          <w:rFonts w:ascii="Arial" w:hAnsi="Arial" w:cs="Arial"/>
        </w:rPr>
        <w:t xml:space="preserve"> et al., 2010). This dormancy-induced delay may extend germination by </w:t>
      </w:r>
      <w:r w:rsidRPr="007979A7">
        <w:rPr>
          <w:rStyle w:val="Strong"/>
          <w:rFonts w:ascii="Arial" w:hAnsi="Arial" w:cs="Arial"/>
          <w:b w:val="0"/>
        </w:rPr>
        <w:t>2–8 weeks</w:t>
      </w:r>
      <w:r w:rsidRPr="007979A7">
        <w:rPr>
          <w:rFonts w:ascii="Arial" w:hAnsi="Arial" w:cs="Arial"/>
          <w:b/>
        </w:rPr>
        <w:t>,</w:t>
      </w:r>
      <w:r w:rsidRPr="007979A7">
        <w:rPr>
          <w:rFonts w:ascii="Arial" w:hAnsi="Arial" w:cs="Arial"/>
        </w:rPr>
        <w:t xml:space="preserve"> causing uneven seedling emergence and poor nursery uniformity.</w:t>
      </w:r>
    </w:p>
    <w:p w14:paraId="40AD7597" w14:textId="77777777" w:rsidR="00F622D8" w:rsidRPr="007979A7" w:rsidRDefault="00F622D8" w:rsidP="00F622D8">
      <w:pPr>
        <w:spacing w:before="120" w:line="276" w:lineRule="auto"/>
        <w:jc w:val="both"/>
        <w:rPr>
          <w:rFonts w:ascii="Arial" w:hAnsi="Arial" w:cs="Arial"/>
        </w:rPr>
      </w:pPr>
      <w:r w:rsidRPr="007979A7">
        <w:rPr>
          <w:rFonts w:ascii="Arial" w:hAnsi="Arial" w:cs="Arial"/>
        </w:rPr>
        <w:t xml:space="preserve">As summarized in </w:t>
      </w:r>
      <w:r w:rsidRPr="007979A7">
        <w:rPr>
          <w:rStyle w:val="Strong"/>
          <w:rFonts w:ascii="Arial" w:hAnsi="Arial" w:cs="Arial"/>
          <w:b w:val="0"/>
        </w:rPr>
        <w:t>Table 1</w:t>
      </w:r>
      <w:r w:rsidRPr="007979A7">
        <w:rPr>
          <w:rFonts w:ascii="Arial" w:hAnsi="Arial" w:cs="Arial"/>
          <w:b/>
        </w:rPr>
        <w:t>,</w:t>
      </w:r>
      <w:r w:rsidRPr="007979A7">
        <w:rPr>
          <w:rFonts w:ascii="Arial" w:hAnsi="Arial" w:cs="Arial"/>
        </w:rPr>
        <w:t xml:space="preserve"> several pre-sowing treatments have been developed to overcome these dormancy barriers. Mechanical scarification improves imbibition by weakening the hard seed coat and increases germination by </w:t>
      </w:r>
      <w:r w:rsidRPr="007979A7">
        <w:rPr>
          <w:rStyle w:val="Strong"/>
          <w:rFonts w:ascii="Arial" w:hAnsi="Arial" w:cs="Arial"/>
          <w:b w:val="0"/>
        </w:rPr>
        <w:t>10–25%</w:t>
      </w:r>
      <w:r w:rsidRPr="007979A7">
        <w:rPr>
          <w:rFonts w:ascii="Arial" w:hAnsi="Arial" w:cs="Arial"/>
          <w:b/>
        </w:rPr>
        <w:t>,</w:t>
      </w:r>
      <w:r w:rsidRPr="007979A7">
        <w:rPr>
          <w:rFonts w:ascii="Arial" w:hAnsi="Arial" w:cs="Arial"/>
        </w:rPr>
        <w:t xml:space="preserve"> although it remains labor-intensive and difficult to scale in commercial nurseries (Baskin and Baskin, 2014). Chemical treatments such as sulfuric acid (H</w:t>
      </w:r>
      <w:r w:rsidRPr="007979A7">
        <w:rPr>
          <w:rFonts w:ascii="Cambria Math" w:hAnsi="Cambria Math" w:cs="Cambria Math"/>
        </w:rPr>
        <w:t>₂</w:t>
      </w:r>
      <w:r w:rsidRPr="007979A7">
        <w:rPr>
          <w:rFonts w:ascii="Arial" w:hAnsi="Arial" w:cs="Arial"/>
        </w:rPr>
        <w:t>SO</w:t>
      </w:r>
      <w:r w:rsidRPr="007979A7">
        <w:rPr>
          <w:rFonts w:ascii="Cambria Math" w:hAnsi="Cambria Math" w:cs="Cambria Math"/>
        </w:rPr>
        <w:t>₄</w:t>
      </w:r>
      <w:r w:rsidRPr="007979A7">
        <w:rPr>
          <w:rFonts w:ascii="Arial" w:hAnsi="Arial" w:cs="Arial"/>
        </w:rPr>
        <w:t>) and potassium nitrate (KNO</w:t>
      </w:r>
      <w:r w:rsidRPr="007979A7">
        <w:rPr>
          <w:rFonts w:ascii="Cambria Math" w:hAnsi="Cambria Math" w:cs="Cambria Math"/>
        </w:rPr>
        <w:t>₃</w:t>
      </w:r>
      <w:r w:rsidRPr="007979A7">
        <w:rPr>
          <w:rFonts w:ascii="Arial" w:hAnsi="Arial" w:cs="Arial"/>
        </w:rPr>
        <w:t xml:space="preserve">) have shown stronger effects, improving germination by </w:t>
      </w:r>
      <w:r w:rsidRPr="007979A7">
        <w:rPr>
          <w:rStyle w:val="Strong"/>
          <w:rFonts w:ascii="Arial" w:hAnsi="Arial" w:cs="Arial"/>
          <w:b w:val="0"/>
        </w:rPr>
        <w:t>28–37%</w:t>
      </w:r>
      <w:r w:rsidRPr="007979A7">
        <w:rPr>
          <w:rFonts w:ascii="Arial" w:hAnsi="Arial" w:cs="Arial"/>
          <w:b/>
        </w:rPr>
        <w:t>,</w:t>
      </w:r>
      <w:r w:rsidRPr="007979A7">
        <w:rPr>
          <w:rFonts w:ascii="Arial" w:hAnsi="Arial" w:cs="Arial"/>
        </w:rPr>
        <w:t xml:space="preserve"> particularly under controlled nursery conditions (Velusamy and Vanangamudi, 2003; Salve et al., 2026). Similarly, alternate wetting–drying cycles are widely adopted as a low-cost pretreatment to enhance seed permeability and improve germination consistency (</w:t>
      </w:r>
      <w:proofErr w:type="spellStart"/>
      <w:r w:rsidRPr="007979A7">
        <w:rPr>
          <w:rFonts w:ascii="Arial" w:hAnsi="Arial" w:cs="Arial"/>
        </w:rPr>
        <w:t>Palupi</w:t>
      </w:r>
      <w:proofErr w:type="spellEnd"/>
      <w:r w:rsidRPr="007979A7">
        <w:rPr>
          <w:rFonts w:ascii="Arial" w:hAnsi="Arial" w:cs="Arial"/>
        </w:rPr>
        <w:t xml:space="preserve"> et al., 2018; Midgley et al., 2015).</w:t>
      </w:r>
    </w:p>
    <w:p w14:paraId="598501FD" w14:textId="77777777" w:rsidR="00F622D8" w:rsidRPr="007979A7" w:rsidRDefault="00F622D8" w:rsidP="00F622D8">
      <w:pPr>
        <w:spacing w:line="276" w:lineRule="auto"/>
        <w:jc w:val="both"/>
        <w:rPr>
          <w:rFonts w:ascii="Arial" w:hAnsi="Arial" w:cs="Arial"/>
          <w:lang w:val="en-IN" w:eastAsia="en-IN"/>
        </w:rPr>
      </w:pPr>
      <w:r w:rsidRPr="007979A7">
        <w:rPr>
          <w:rFonts w:ascii="Arial" w:hAnsi="Arial" w:cs="Arial"/>
        </w:rPr>
        <w:t xml:space="preserve">Table 1. Advances in Seed-Based Propagation of </w:t>
      </w:r>
      <w:r w:rsidRPr="007979A7">
        <w:rPr>
          <w:rStyle w:val="whitespace-normal"/>
          <w:rFonts w:ascii="Arial" w:hAnsi="Arial" w:cs="Arial"/>
          <w:i/>
        </w:rPr>
        <w:t>Tectona grandis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2017"/>
        <w:gridCol w:w="1372"/>
        <w:gridCol w:w="1792"/>
        <w:gridCol w:w="1635"/>
      </w:tblGrid>
      <w:tr w:rsidR="00F622D8" w:rsidRPr="007979A7" w14:paraId="7499499A" w14:textId="77777777" w:rsidTr="001E4206">
        <w:tc>
          <w:tcPr>
            <w:tcW w:w="1543" w:type="dxa"/>
            <w:hideMark/>
          </w:tcPr>
          <w:p w14:paraId="5EAA2279" w14:textId="77777777" w:rsidR="00F622D8" w:rsidRPr="007979A7" w:rsidRDefault="00F622D8" w:rsidP="001E4206">
            <w:pPr>
              <w:rPr>
                <w:rFonts w:ascii="Arial" w:hAnsi="Arial" w:cs="Arial"/>
                <w:b/>
                <w:bCs/>
                <w:lang w:val="en-IN" w:eastAsia="en-IN"/>
              </w:rPr>
            </w:pPr>
            <w:r w:rsidRPr="007979A7">
              <w:rPr>
                <w:rFonts w:ascii="Arial" w:hAnsi="Arial" w:cs="Arial"/>
                <w:b/>
                <w:bCs/>
              </w:rPr>
              <w:t>Aspect</w:t>
            </w:r>
          </w:p>
        </w:tc>
        <w:tc>
          <w:tcPr>
            <w:tcW w:w="0" w:type="auto"/>
            <w:hideMark/>
          </w:tcPr>
          <w:p w14:paraId="3FF95473" w14:textId="77777777" w:rsidR="00F622D8" w:rsidRPr="007979A7" w:rsidRDefault="00F622D8" w:rsidP="001E4206">
            <w:pPr>
              <w:rPr>
                <w:rFonts w:ascii="Arial" w:hAnsi="Arial" w:cs="Arial"/>
                <w:b/>
                <w:bCs/>
              </w:rPr>
            </w:pPr>
            <w:r w:rsidRPr="007979A7">
              <w:rPr>
                <w:rFonts w:ascii="Arial" w:hAnsi="Arial" w:cs="Arial"/>
                <w:b/>
                <w:bCs/>
              </w:rPr>
              <w:t>Observations/ Findings</w:t>
            </w:r>
          </w:p>
        </w:tc>
        <w:tc>
          <w:tcPr>
            <w:tcW w:w="0" w:type="auto"/>
            <w:hideMark/>
          </w:tcPr>
          <w:p w14:paraId="5B29871C" w14:textId="77777777" w:rsidR="00F622D8" w:rsidRPr="007979A7" w:rsidRDefault="00F622D8" w:rsidP="001E4206">
            <w:pPr>
              <w:rPr>
                <w:rFonts w:ascii="Arial" w:hAnsi="Arial" w:cs="Arial"/>
                <w:b/>
                <w:bCs/>
              </w:rPr>
            </w:pPr>
            <w:r w:rsidRPr="007979A7">
              <w:rPr>
                <w:rFonts w:ascii="Arial" w:hAnsi="Arial" w:cs="Arial"/>
                <w:b/>
                <w:bCs/>
              </w:rPr>
              <w:t>Quantitative Range / Effect</w:t>
            </w:r>
          </w:p>
        </w:tc>
        <w:tc>
          <w:tcPr>
            <w:tcW w:w="1915" w:type="dxa"/>
            <w:hideMark/>
          </w:tcPr>
          <w:p w14:paraId="63311403" w14:textId="77777777" w:rsidR="00F622D8" w:rsidRPr="007979A7" w:rsidRDefault="00F622D8" w:rsidP="001E4206">
            <w:pPr>
              <w:rPr>
                <w:rFonts w:ascii="Arial" w:hAnsi="Arial" w:cs="Arial"/>
                <w:b/>
                <w:bCs/>
              </w:rPr>
            </w:pPr>
            <w:r w:rsidRPr="007979A7">
              <w:rPr>
                <w:rFonts w:ascii="Arial" w:hAnsi="Arial" w:cs="Arial"/>
                <w:b/>
                <w:bCs/>
              </w:rPr>
              <w:t>Practical Implication</w:t>
            </w:r>
          </w:p>
        </w:tc>
        <w:tc>
          <w:tcPr>
            <w:tcW w:w="1701" w:type="dxa"/>
            <w:hideMark/>
          </w:tcPr>
          <w:p w14:paraId="6CD9A4EF" w14:textId="77777777" w:rsidR="00F622D8" w:rsidRPr="007979A7" w:rsidRDefault="00F622D8" w:rsidP="001E4206">
            <w:pPr>
              <w:rPr>
                <w:rFonts w:ascii="Arial" w:hAnsi="Arial" w:cs="Arial"/>
                <w:b/>
                <w:bCs/>
              </w:rPr>
            </w:pPr>
            <w:r w:rsidRPr="007979A7">
              <w:rPr>
                <w:rFonts w:ascii="Arial" w:hAnsi="Arial" w:cs="Arial"/>
                <w:b/>
                <w:bCs/>
              </w:rPr>
              <w:t>Key References</w:t>
            </w:r>
          </w:p>
        </w:tc>
      </w:tr>
      <w:tr w:rsidR="00F622D8" w:rsidRPr="007979A7" w14:paraId="18E2F7AD" w14:textId="77777777" w:rsidTr="001E4206">
        <w:tc>
          <w:tcPr>
            <w:tcW w:w="1543" w:type="dxa"/>
            <w:hideMark/>
          </w:tcPr>
          <w:p w14:paraId="37A97EA0" w14:textId="77777777" w:rsidR="00F622D8" w:rsidRPr="007979A7" w:rsidRDefault="00F622D8" w:rsidP="001E4206">
            <w:pPr>
              <w:rPr>
                <w:rFonts w:ascii="Arial" w:hAnsi="Arial" w:cs="Arial"/>
                <w:b/>
              </w:rPr>
            </w:pPr>
            <w:r w:rsidRPr="007979A7">
              <w:rPr>
                <w:rStyle w:val="Strong"/>
                <w:rFonts w:ascii="Arial" w:hAnsi="Arial" w:cs="Arial"/>
                <w:b w:val="0"/>
              </w:rPr>
              <w:t>Seed Structure &amp; Dormancy</w:t>
            </w:r>
          </w:p>
        </w:tc>
        <w:tc>
          <w:tcPr>
            <w:tcW w:w="0" w:type="auto"/>
            <w:hideMark/>
          </w:tcPr>
          <w:p w14:paraId="7C6B8654" w14:textId="77777777" w:rsidR="00F622D8" w:rsidRPr="007979A7" w:rsidRDefault="00F622D8" w:rsidP="001E4206">
            <w:pPr>
              <w:rPr>
                <w:rFonts w:ascii="Arial" w:hAnsi="Arial" w:cs="Arial"/>
              </w:rPr>
            </w:pPr>
            <w:r w:rsidRPr="007979A7">
              <w:rPr>
                <w:rFonts w:ascii="Arial" w:hAnsi="Arial" w:cs="Arial"/>
              </w:rPr>
              <w:t>Hard stony endocarp restricts water uptake; physiological dormancy present</w:t>
            </w:r>
          </w:p>
        </w:tc>
        <w:tc>
          <w:tcPr>
            <w:tcW w:w="0" w:type="auto"/>
            <w:hideMark/>
          </w:tcPr>
          <w:p w14:paraId="440D4C49" w14:textId="77777777" w:rsidR="00F622D8" w:rsidRPr="007979A7" w:rsidRDefault="00F622D8" w:rsidP="001E4206">
            <w:pPr>
              <w:rPr>
                <w:rFonts w:ascii="Arial" w:hAnsi="Arial" w:cs="Arial"/>
              </w:rPr>
            </w:pPr>
            <w:r w:rsidRPr="007979A7">
              <w:rPr>
                <w:rFonts w:ascii="Arial" w:hAnsi="Arial" w:cs="Arial"/>
              </w:rPr>
              <w:t xml:space="preserve">Germination: </w:t>
            </w:r>
            <w:r w:rsidRPr="007979A7">
              <w:rPr>
                <w:rStyle w:val="Strong"/>
                <w:rFonts w:ascii="Arial" w:hAnsi="Arial" w:cs="Arial"/>
                <w:b w:val="0"/>
              </w:rPr>
              <w:t>10–60%</w:t>
            </w:r>
          </w:p>
        </w:tc>
        <w:tc>
          <w:tcPr>
            <w:tcW w:w="1915" w:type="dxa"/>
            <w:hideMark/>
          </w:tcPr>
          <w:p w14:paraId="4D346B74" w14:textId="77777777" w:rsidR="00F622D8" w:rsidRPr="007979A7" w:rsidRDefault="00F622D8" w:rsidP="001E4206">
            <w:pPr>
              <w:rPr>
                <w:rFonts w:ascii="Arial" w:hAnsi="Arial" w:cs="Arial"/>
              </w:rPr>
            </w:pPr>
            <w:r w:rsidRPr="007979A7">
              <w:rPr>
                <w:rFonts w:ascii="Arial" w:hAnsi="Arial" w:cs="Arial"/>
              </w:rPr>
              <w:t>Major limitation in nursery establishment</w:t>
            </w:r>
          </w:p>
        </w:tc>
        <w:tc>
          <w:tcPr>
            <w:tcW w:w="1701" w:type="dxa"/>
            <w:hideMark/>
          </w:tcPr>
          <w:p w14:paraId="6F0B204C" w14:textId="77777777" w:rsidR="00F622D8" w:rsidRPr="007979A7" w:rsidRDefault="00F622D8" w:rsidP="001E4206">
            <w:pPr>
              <w:rPr>
                <w:rFonts w:ascii="Arial" w:hAnsi="Arial" w:cs="Arial"/>
              </w:rPr>
            </w:pPr>
            <w:r w:rsidRPr="007979A7">
              <w:rPr>
                <w:rFonts w:ascii="Arial" w:hAnsi="Arial" w:cs="Arial"/>
              </w:rPr>
              <w:t xml:space="preserve">Kjaer and Foster (1996); Baskin and Baskin (2014); </w:t>
            </w:r>
            <w:proofErr w:type="spellStart"/>
            <w:r w:rsidRPr="007979A7">
              <w:rPr>
                <w:rFonts w:ascii="Arial" w:hAnsi="Arial" w:cs="Arial"/>
              </w:rPr>
              <w:t>Palupi</w:t>
            </w:r>
            <w:proofErr w:type="spellEnd"/>
            <w:r w:rsidRPr="007979A7">
              <w:rPr>
                <w:rFonts w:ascii="Arial" w:hAnsi="Arial" w:cs="Arial"/>
              </w:rPr>
              <w:t xml:space="preserve"> et al. (2010)</w:t>
            </w:r>
          </w:p>
        </w:tc>
      </w:tr>
      <w:tr w:rsidR="00F622D8" w:rsidRPr="007979A7" w14:paraId="2D6C1185" w14:textId="77777777" w:rsidTr="001E4206">
        <w:tc>
          <w:tcPr>
            <w:tcW w:w="1543" w:type="dxa"/>
            <w:hideMark/>
          </w:tcPr>
          <w:p w14:paraId="56446942" w14:textId="77777777" w:rsidR="00F622D8" w:rsidRPr="007979A7" w:rsidRDefault="00F622D8" w:rsidP="001E4206">
            <w:pPr>
              <w:rPr>
                <w:rFonts w:ascii="Arial" w:hAnsi="Arial" w:cs="Arial"/>
                <w:b/>
              </w:rPr>
            </w:pPr>
            <w:r w:rsidRPr="007979A7">
              <w:rPr>
                <w:rStyle w:val="Strong"/>
                <w:rFonts w:ascii="Arial" w:hAnsi="Arial" w:cs="Arial"/>
                <w:b w:val="0"/>
              </w:rPr>
              <w:lastRenderedPageBreak/>
              <w:t>Mechanical Dormancy</w:t>
            </w:r>
          </w:p>
        </w:tc>
        <w:tc>
          <w:tcPr>
            <w:tcW w:w="0" w:type="auto"/>
            <w:hideMark/>
          </w:tcPr>
          <w:p w14:paraId="1986F8C6" w14:textId="77777777" w:rsidR="00F622D8" w:rsidRPr="007979A7" w:rsidRDefault="00F622D8" w:rsidP="001E4206">
            <w:pPr>
              <w:rPr>
                <w:rFonts w:ascii="Arial" w:hAnsi="Arial" w:cs="Arial"/>
              </w:rPr>
            </w:pPr>
            <w:r w:rsidRPr="007979A7">
              <w:rPr>
                <w:rFonts w:ascii="Arial" w:hAnsi="Arial" w:cs="Arial"/>
              </w:rPr>
              <w:t>Physical barrier due to lignified pericarp delays germination</w:t>
            </w:r>
          </w:p>
        </w:tc>
        <w:tc>
          <w:tcPr>
            <w:tcW w:w="0" w:type="auto"/>
            <w:hideMark/>
          </w:tcPr>
          <w:p w14:paraId="6A0277B4" w14:textId="77777777" w:rsidR="00F622D8" w:rsidRPr="007979A7" w:rsidRDefault="00F622D8" w:rsidP="001E4206">
            <w:pPr>
              <w:rPr>
                <w:rFonts w:ascii="Arial" w:hAnsi="Arial" w:cs="Arial"/>
              </w:rPr>
            </w:pPr>
            <w:r w:rsidRPr="007979A7">
              <w:rPr>
                <w:rFonts w:ascii="Arial" w:hAnsi="Arial" w:cs="Arial"/>
              </w:rPr>
              <w:t>Delay: 2–8 weeks (variable)</w:t>
            </w:r>
          </w:p>
        </w:tc>
        <w:tc>
          <w:tcPr>
            <w:tcW w:w="1915" w:type="dxa"/>
            <w:hideMark/>
          </w:tcPr>
          <w:p w14:paraId="7BB721EF" w14:textId="77777777" w:rsidR="00F622D8" w:rsidRPr="007979A7" w:rsidRDefault="00F622D8" w:rsidP="001E4206">
            <w:pPr>
              <w:rPr>
                <w:rFonts w:ascii="Arial" w:hAnsi="Arial" w:cs="Arial"/>
              </w:rPr>
            </w:pPr>
            <w:r w:rsidRPr="007979A7">
              <w:rPr>
                <w:rFonts w:ascii="Arial" w:hAnsi="Arial" w:cs="Arial"/>
              </w:rPr>
              <w:t>Requires pretreatment for uniform germination</w:t>
            </w:r>
          </w:p>
        </w:tc>
        <w:tc>
          <w:tcPr>
            <w:tcW w:w="1701" w:type="dxa"/>
            <w:hideMark/>
          </w:tcPr>
          <w:p w14:paraId="3B9DBD18" w14:textId="77777777" w:rsidR="00F622D8" w:rsidRPr="007979A7" w:rsidRDefault="00F622D8" w:rsidP="001E4206">
            <w:pPr>
              <w:rPr>
                <w:rFonts w:ascii="Arial" w:hAnsi="Arial" w:cs="Arial"/>
              </w:rPr>
            </w:pPr>
            <w:r w:rsidRPr="007979A7">
              <w:rPr>
                <w:rFonts w:ascii="Arial" w:hAnsi="Arial" w:cs="Arial"/>
              </w:rPr>
              <w:t xml:space="preserve">Baskin and Baskin (2014); </w:t>
            </w:r>
            <w:proofErr w:type="spellStart"/>
            <w:r w:rsidRPr="007979A7">
              <w:rPr>
                <w:rFonts w:ascii="Arial" w:hAnsi="Arial" w:cs="Arial"/>
              </w:rPr>
              <w:t>Palupi</w:t>
            </w:r>
            <w:proofErr w:type="spellEnd"/>
            <w:r w:rsidRPr="007979A7">
              <w:rPr>
                <w:rFonts w:ascii="Arial" w:hAnsi="Arial" w:cs="Arial"/>
              </w:rPr>
              <w:t xml:space="preserve"> et al. (2010)</w:t>
            </w:r>
          </w:p>
        </w:tc>
      </w:tr>
      <w:tr w:rsidR="00F622D8" w:rsidRPr="007979A7" w14:paraId="26C1284C" w14:textId="77777777" w:rsidTr="001E4206">
        <w:tc>
          <w:tcPr>
            <w:tcW w:w="1543" w:type="dxa"/>
            <w:hideMark/>
          </w:tcPr>
          <w:p w14:paraId="25E8DFF4" w14:textId="77777777" w:rsidR="00F622D8" w:rsidRPr="007979A7" w:rsidRDefault="00F622D8" w:rsidP="001E4206">
            <w:pPr>
              <w:rPr>
                <w:rFonts w:ascii="Arial" w:hAnsi="Arial" w:cs="Arial"/>
                <w:b/>
              </w:rPr>
            </w:pPr>
            <w:r w:rsidRPr="007979A7">
              <w:rPr>
                <w:rStyle w:val="Strong"/>
                <w:rFonts w:ascii="Arial" w:hAnsi="Arial" w:cs="Arial"/>
                <w:b w:val="0"/>
              </w:rPr>
              <w:t>Mechanical Scarification</w:t>
            </w:r>
          </w:p>
        </w:tc>
        <w:tc>
          <w:tcPr>
            <w:tcW w:w="0" w:type="auto"/>
            <w:hideMark/>
          </w:tcPr>
          <w:p w14:paraId="71E455CD" w14:textId="77777777" w:rsidR="00F622D8" w:rsidRPr="007979A7" w:rsidRDefault="00F622D8" w:rsidP="001E4206">
            <w:pPr>
              <w:rPr>
                <w:rFonts w:ascii="Arial" w:hAnsi="Arial" w:cs="Arial"/>
              </w:rPr>
            </w:pPr>
            <w:r w:rsidRPr="007979A7">
              <w:rPr>
                <w:rFonts w:ascii="Arial" w:hAnsi="Arial" w:cs="Arial"/>
              </w:rPr>
              <w:t>Removal/weakening of seed coat improves imbibition</w:t>
            </w:r>
          </w:p>
        </w:tc>
        <w:tc>
          <w:tcPr>
            <w:tcW w:w="0" w:type="auto"/>
            <w:hideMark/>
          </w:tcPr>
          <w:p w14:paraId="5FBC8239" w14:textId="77777777" w:rsidR="00F622D8" w:rsidRPr="007979A7" w:rsidRDefault="00F622D8" w:rsidP="001E4206">
            <w:pPr>
              <w:rPr>
                <w:rFonts w:ascii="Arial" w:hAnsi="Arial" w:cs="Arial"/>
              </w:rPr>
            </w:pPr>
            <w:r w:rsidRPr="007979A7">
              <w:rPr>
                <w:rFonts w:ascii="Arial" w:hAnsi="Arial" w:cs="Arial"/>
              </w:rPr>
              <w:t xml:space="preserve">Germination increase: </w:t>
            </w:r>
            <w:r w:rsidRPr="007979A7">
              <w:rPr>
                <w:rStyle w:val="Strong"/>
                <w:rFonts w:ascii="Arial" w:hAnsi="Arial" w:cs="Arial"/>
                <w:b w:val="0"/>
              </w:rPr>
              <w:t>+10–25%</w:t>
            </w:r>
          </w:p>
        </w:tc>
        <w:tc>
          <w:tcPr>
            <w:tcW w:w="1915" w:type="dxa"/>
            <w:hideMark/>
          </w:tcPr>
          <w:p w14:paraId="5DDC9C26" w14:textId="77777777" w:rsidR="00F622D8" w:rsidRPr="007979A7" w:rsidRDefault="00F622D8" w:rsidP="001E4206">
            <w:pPr>
              <w:rPr>
                <w:rFonts w:ascii="Arial" w:hAnsi="Arial" w:cs="Arial"/>
              </w:rPr>
            </w:pPr>
            <w:r w:rsidRPr="007979A7">
              <w:rPr>
                <w:rFonts w:ascii="Arial" w:hAnsi="Arial" w:cs="Arial"/>
              </w:rPr>
              <w:t>Effective but labor-intensive</w:t>
            </w:r>
          </w:p>
        </w:tc>
        <w:tc>
          <w:tcPr>
            <w:tcW w:w="1701" w:type="dxa"/>
            <w:hideMark/>
          </w:tcPr>
          <w:p w14:paraId="735F36AB" w14:textId="77777777" w:rsidR="00F622D8" w:rsidRPr="007979A7" w:rsidRDefault="00F622D8" w:rsidP="001E4206">
            <w:pPr>
              <w:rPr>
                <w:rFonts w:ascii="Arial" w:hAnsi="Arial" w:cs="Arial"/>
              </w:rPr>
            </w:pPr>
            <w:r w:rsidRPr="007979A7">
              <w:rPr>
                <w:rFonts w:ascii="Arial" w:hAnsi="Arial" w:cs="Arial"/>
              </w:rPr>
              <w:t>Baskin and Baskin (2014)</w:t>
            </w:r>
          </w:p>
        </w:tc>
      </w:tr>
      <w:tr w:rsidR="00F622D8" w:rsidRPr="007979A7" w14:paraId="4226E3E8" w14:textId="77777777" w:rsidTr="001E4206">
        <w:tc>
          <w:tcPr>
            <w:tcW w:w="1543" w:type="dxa"/>
            <w:hideMark/>
          </w:tcPr>
          <w:p w14:paraId="5B33ADEB" w14:textId="77777777" w:rsidR="00F622D8" w:rsidRPr="007979A7" w:rsidRDefault="00F622D8" w:rsidP="001E4206">
            <w:pPr>
              <w:rPr>
                <w:rFonts w:ascii="Arial" w:hAnsi="Arial" w:cs="Arial"/>
                <w:b/>
              </w:rPr>
            </w:pPr>
            <w:r w:rsidRPr="007979A7">
              <w:rPr>
                <w:rStyle w:val="Strong"/>
                <w:rFonts w:ascii="Arial" w:hAnsi="Arial" w:cs="Arial"/>
                <w:b w:val="0"/>
              </w:rPr>
              <w:t>Chemical Treatments (H</w:t>
            </w:r>
            <w:r w:rsidRPr="007979A7">
              <w:rPr>
                <w:rStyle w:val="Strong"/>
                <w:rFonts w:ascii="Arial" w:hAnsi="Arial" w:cs="Arial"/>
                <w:b w:val="0"/>
                <w:vertAlign w:val="subscript"/>
              </w:rPr>
              <w:t>2</w:t>
            </w:r>
            <w:r w:rsidRPr="007979A7">
              <w:rPr>
                <w:rStyle w:val="Strong"/>
                <w:rFonts w:ascii="Arial" w:hAnsi="Arial" w:cs="Arial"/>
                <w:b w:val="0"/>
              </w:rPr>
              <w:t>SO</w:t>
            </w:r>
            <w:r w:rsidRPr="007979A7">
              <w:rPr>
                <w:rStyle w:val="Strong"/>
                <w:rFonts w:ascii="Arial" w:hAnsi="Arial" w:cs="Arial"/>
                <w:b w:val="0"/>
                <w:vertAlign w:val="subscript"/>
              </w:rPr>
              <w:t>4</w:t>
            </w:r>
            <w:r w:rsidRPr="007979A7">
              <w:rPr>
                <w:rStyle w:val="Strong"/>
                <w:rFonts w:ascii="Arial" w:hAnsi="Arial" w:cs="Arial"/>
                <w:b w:val="0"/>
              </w:rPr>
              <w:t>, KNO</w:t>
            </w:r>
            <w:r w:rsidRPr="007979A7">
              <w:rPr>
                <w:rStyle w:val="Strong"/>
                <w:rFonts w:ascii="Cambria Math" w:hAnsi="Cambria Math" w:cs="Cambria Math"/>
                <w:b w:val="0"/>
              </w:rPr>
              <w:t>₃</w:t>
            </w:r>
            <w:r w:rsidRPr="007979A7">
              <w:rPr>
                <w:rStyle w:val="Strong"/>
                <w:rFonts w:ascii="Arial" w:hAnsi="Arial" w:cs="Arial"/>
                <w:b w:val="0"/>
              </w:rPr>
              <w:t>)</w:t>
            </w:r>
          </w:p>
        </w:tc>
        <w:tc>
          <w:tcPr>
            <w:tcW w:w="0" w:type="auto"/>
            <w:hideMark/>
          </w:tcPr>
          <w:p w14:paraId="68A4070E" w14:textId="77777777" w:rsidR="00F622D8" w:rsidRPr="007979A7" w:rsidRDefault="00F622D8" w:rsidP="001E4206">
            <w:pPr>
              <w:rPr>
                <w:rFonts w:ascii="Arial" w:hAnsi="Arial" w:cs="Arial"/>
              </w:rPr>
            </w:pPr>
            <w:r w:rsidRPr="007979A7">
              <w:rPr>
                <w:rFonts w:ascii="Arial" w:hAnsi="Arial" w:cs="Arial"/>
              </w:rPr>
              <w:t>Chemical stimulation improves germination</w:t>
            </w:r>
          </w:p>
        </w:tc>
        <w:tc>
          <w:tcPr>
            <w:tcW w:w="0" w:type="auto"/>
            <w:hideMark/>
          </w:tcPr>
          <w:p w14:paraId="77AF997F" w14:textId="77777777" w:rsidR="00F622D8" w:rsidRPr="007979A7" w:rsidRDefault="00F622D8" w:rsidP="001E4206">
            <w:pPr>
              <w:rPr>
                <w:rFonts w:ascii="Arial" w:hAnsi="Arial" w:cs="Arial"/>
              </w:rPr>
            </w:pPr>
            <w:r w:rsidRPr="007979A7">
              <w:rPr>
                <w:rFonts w:ascii="Arial" w:hAnsi="Arial" w:cs="Arial"/>
              </w:rPr>
              <w:t xml:space="preserve">Germination increase: </w:t>
            </w:r>
            <w:r w:rsidRPr="007979A7">
              <w:rPr>
                <w:rStyle w:val="Strong"/>
                <w:rFonts w:ascii="Arial" w:hAnsi="Arial" w:cs="Arial"/>
                <w:b w:val="0"/>
              </w:rPr>
              <w:t>+28–37%</w:t>
            </w:r>
          </w:p>
        </w:tc>
        <w:tc>
          <w:tcPr>
            <w:tcW w:w="1915" w:type="dxa"/>
            <w:hideMark/>
          </w:tcPr>
          <w:p w14:paraId="26A08F2E" w14:textId="77777777" w:rsidR="00F622D8" w:rsidRPr="007979A7" w:rsidRDefault="00F622D8" w:rsidP="001E4206">
            <w:pPr>
              <w:rPr>
                <w:rFonts w:ascii="Arial" w:hAnsi="Arial" w:cs="Arial"/>
              </w:rPr>
            </w:pPr>
            <w:r w:rsidRPr="007979A7">
              <w:rPr>
                <w:rFonts w:ascii="Arial" w:hAnsi="Arial" w:cs="Arial"/>
              </w:rPr>
              <w:t>Useful in controlled nursery conditions</w:t>
            </w:r>
          </w:p>
        </w:tc>
        <w:tc>
          <w:tcPr>
            <w:tcW w:w="1701" w:type="dxa"/>
            <w:hideMark/>
          </w:tcPr>
          <w:p w14:paraId="78A19CDE" w14:textId="77777777" w:rsidR="00F622D8" w:rsidRPr="007979A7" w:rsidRDefault="001358D7" w:rsidP="001E4206">
            <w:pPr>
              <w:shd w:val="clear" w:color="auto" w:fill="FFFFFF"/>
              <w:rPr>
                <w:rFonts w:ascii="Arial" w:hAnsi="Arial" w:cs="Arial"/>
                <w:lang w:val="en-IN" w:eastAsia="en-IN"/>
              </w:rPr>
            </w:pPr>
            <w:hyperlink r:id="rId14" w:history="1">
              <w:r w:rsidR="00F622D8" w:rsidRPr="007979A7">
                <w:rPr>
                  <w:rFonts w:ascii="Arial" w:hAnsi="Arial" w:cs="Arial"/>
                  <w:u w:val="single"/>
                  <w:bdr w:val="none" w:sz="0" w:space="0" w:color="auto" w:frame="1"/>
                  <w:lang w:val="en-IN" w:eastAsia="en-IN"/>
                </w:rPr>
                <w:t>Velusamy</w:t>
              </w:r>
            </w:hyperlink>
            <w:r w:rsidR="00F622D8" w:rsidRPr="007979A7">
              <w:rPr>
                <w:rFonts w:ascii="Arial" w:hAnsi="Arial" w:cs="Arial"/>
                <w:lang w:val="en-IN" w:eastAsia="en-IN"/>
              </w:rPr>
              <w:t xml:space="preserve"> and </w:t>
            </w:r>
          </w:p>
          <w:p w14:paraId="6B0BE396" w14:textId="77777777" w:rsidR="00F622D8" w:rsidRPr="007979A7" w:rsidRDefault="001358D7" w:rsidP="001E4206">
            <w:pPr>
              <w:shd w:val="clear" w:color="auto" w:fill="FFFFFF"/>
              <w:rPr>
                <w:rFonts w:ascii="Arial" w:hAnsi="Arial" w:cs="Arial"/>
                <w:lang w:val="en-IN" w:eastAsia="en-IN"/>
              </w:rPr>
            </w:pPr>
            <w:hyperlink r:id="rId15" w:history="1">
              <w:r w:rsidR="00F622D8" w:rsidRPr="007979A7">
                <w:rPr>
                  <w:rFonts w:ascii="Arial" w:hAnsi="Arial" w:cs="Arial"/>
                  <w:u w:val="single"/>
                  <w:bdr w:val="none" w:sz="0" w:space="0" w:color="auto" w:frame="1"/>
                  <w:lang w:val="en-IN" w:eastAsia="en-IN"/>
                </w:rPr>
                <w:t>Vanangamudi</w:t>
              </w:r>
            </w:hyperlink>
            <w:r w:rsidR="00F622D8" w:rsidRPr="007979A7">
              <w:rPr>
                <w:rFonts w:ascii="Arial" w:hAnsi="Arial" w:cs="Arial"/>
                <w:lang w:val="en-IN" w:eastAsia="en-IN"/>
              </w:rPr>
              <w:t xml:space="preserve"> (2003); Salve et al. (2026)</w:t>
            </w:r>
          </w:p>
        </w:tc>
      </w:tr>
      <w:tr w:rsidR="00F622D8" w:rsidRPr="007979A7" w14:paraId="00F7691E" w14:textId="77777777" w:rsidTr="001E4206">
        <w:tc>
          <w:tcPr>
            <w:tcW w:w="1543" w:type="dxa"/>
            <w:hideMark/>
          </w:tcPr>
          <w:p w14:paraId="69022334" w14:textId="77777777" w:rsidR="00F622D8" w:rsidRPr="007979A7" w:rsidRDefault="00F622D8" w:rsidP="001E4206">
            <w:pPr>
              <w:rPr>
                <w:rFonts w:ascii="Arial" w:hAnsi="Arial" w:cs="Arial"/>
                <w:b/>
              </w:rPr>
            </w:pPr>
            <w:r w:rsidRPr="007979A7">
              <w:rPr>
                <w:rStyle w:val="Strong"/>
                <w:rFonts w:ascii="Arial" w:hAnsi="Arial" w:cs="Arial"/>
                <w:b w:val="0"/>
              </w:rPr>
              <w:t>Provenance Variation</w:t>
            </w:r>
          </w:p>
        </w:tc>
        <w:tc>
          <w:tcPr>
            <w:tcW w:w="0" w:type="auto"/>
            <w:hideMark/>
          </w:tcPr>
          <w:p w14:paraId="120D7FA0" w14:textId="77777777" w:rsidR="00F622D8" w:rsidRPr="007979A7" w:rsidRDefault="00F622D8" w:rsidP="001E4206">
            <w:pPr>
              <w:rPr>
                <w:rFonts w:ascii="Arial" w:hAnsi="Arial" w:cs="Arial"/>
              </w:rPr>
            </w:pPr>
            <w:r w:rsidRPr="007979A7">
              <w:rPr>
                <w:rFonts w:ascii="Arial" w:hAnsi="Arial" w:cs="Arial"/>
              </w:rPr>
              <w:t>Significant variation in germination and vigor among seed sources</w:t>
            </w:r>
          </w:p>
        </w:tc>
        <w:tc>
          <w:tcPr>
            <w:tcW w:w="0" w:type="auto"/>
            <w:hideMark/>
          </w:tcPr>
          <w:p w14:paraId="2AE5C8A9" w14:textId="77777777" w:rsidR="00F622D8" w:rsidRPr="007979A7" w:rsidRDefault="00F622D8" w:rsidP="001E4206">
            <w:pPr>
              <w:rPr>
                <w:rFonts w:ascii="Arial" w:hAnsi="Arial" w:cs="Arial"/>
              </w:rPr>
            </w:pPr>
            <w:r w:rsidRPr="007979A7">
              <w:rPr>
                <w:rFonts w:ascii="Arial" w:hAnsi="Arial" w:cs="Arial"/>
              </w:rPr>
              <w:t xml:space="preserve">Variation: up to </w:t>
            </w:r>
            <w:r w:rsidRPr="007979A7">
              <w:rPr>
                <w:rStyle w:val="Strong"/>
                <w:rFonts w:ascii="Arial" w:hAnsi="Arial" w:cs="Arial"/>
                <w:b w:val="0"/>
              </w:rPr>
              <w:t>2–</w:t>
            </w:r>
            <w:proofErr w:type="gramStart"/>
            <w:r w:rsidRPr="007979A7">
              <w:rPr>
                <w:rStyle w:val="Strong"/>
                <w:rFonts w:ascii="Arial" w:hAnsi="Arial" w:cs="Arial"/>
                <w:b w:val="0"/>
              </w:rPr>
              <w:t>3 fold</w:t>
            </w:r>
            <w:proofErr w:type="gramEnd"/>
            <w:r w:rsidRPr="007979A7">
              <w:rPr>
                <w:rStyle w:val="Strong"/>
                <w:rFonts w:ascii="Arial" w:hAnsi="Arial" w:cs="Arial"/>
                <w:b w:val="0"/>
              </w:rPr>
              <w:t xml:space="preserve"> difference</w:t>
            </w:r>
          </w:p>
        </w:tc>
        <w:tc>
          <w:tcPr>
            <w:tcW w:w="1915" w:type="dxa"/>
            <w:hideMark/>
          </w:tcPr>
          <w:p w14:paraId="4C4FC353" w14:textId="77777777" w:rsidR="00F622D8" w:rsidRPr="007979A7" w:rsidRDefault="00F622D8" w:rsidP="001E4206">
            <w:pPr>
              <w:rPr>
                <w:rFonts w:ascii="Arial" w:hAnsi="Arial" w:cs="Arial"/>
              </w:rPr>
            </w:pPr>
            <w:r w:rsidRPr="007979A7">
              <w:rPr>
                <w:rFonts w:ascii="Arial" w:hAnsi="Arial" w:cs="Arial"/>
              </w:rPr>
              <w:t>Selection of superior seed sources critical</w:t>
            </w:r>
          </w:p>
        </w:tc>
        <w:tc>
          <w:tcPr>
            <w:tcW w:w="1701" w:type="dxa"/>
            <w:hideMark/>
          </w:tcPr>
          <w:p w14:paraId="2B052F61" w14:textId="77777777" w:rsidR="00F622D8" w:rsidRPr="007979A7" w:rsidRDefault="00F622D8" w:rsidP="001E4206">
            <w:pPr>
              <w:rPr>
                <w:rFonts w:ascii="Arial" w:hAnsi="Arial" w:cs="Arial"/>
              </w:rPr>
            </w:pPr>
            <w:r w:rsidRPr="007979A7">
              <w:rPr>
                <w:rFonts w:ascii="Arial" w:hAnsi="Arial" w:cs="Arial"/>
              </w:rPr>
              <w:t>Kjaer and Foster (1996); Midgley et al. (2015)</w:t>
            </w:r>
          </w:p>
        </w:tc>
      </w:tr>
      <w:tr w:rsidR="00F622D8" w:rsidRPr="007979A7" w14:paraId="60B1418C" w14:textId="77777777" w:rsidTr="001E4206">
        <w:tc>
          <w:tcPr>
            <w:tcW w:w="1543" w:type="dxa"/>
            <w:hideMark/>
          </w:tcPr>
          <w:p w14:paraId="2E886550" w14:textId="77777777" w:rsidR="00F622D8" w:rsidRPr="007979A7" w:rsidRDefault="00F622D8" w:rsidP="001E4206">
            <w:pPr>
              <w:rPr>
                <w:rFonts w:ascii="Arial" w:hAnsi="Arial" w:cs="Arial"/>
                <w:b/>
              </w:rPr>
            </w:pPr>
            <w:r w:rsidRPr="007979A7">
              <w:rPr>
                <w:rStyle w:val="Strong"/>
                <w:rFonts w:ascii="Arial" w:hAnsi="Arial" w:cs="Arial"/>
                <w:b w:val="0"/>
              </w:rPr>
              <w:t>Seedling Uniformity</w:t>
            </w:r>
          </w:p>
        </w:tc>
        <w:tc>
          <w:tcPr>
            <w:tcW w:w="0" w:type="auto"/>
            <w:hideMark/>
          </w:tcPr>
          <w:p w14:paraId="41A3777E" w14:textId="77777777" w:rsidR="00F622D8" w:rsidRPr="007979A7" w:rsidRDefault="00F622D8" w:rsidP="001E4206">
            <w:pPr>
              <w:rPr>
                <w:rFonts w:ascii="Arial" w:hAnsi="Arial" w:cs="Arial"/>
              </w:rPr>
            </w:pPr>
            <w:r w:rsidRPr="007979A7">
              <w:rPr>
                <w:rFonts w:ascii="Arial" w:hAnsi="Arial" w:cs="Arial"/>
              </w:rPr>
              <w:t>High variability in growth and morphology</w:t>
            </w:r>
          </w:p>
        </w:tc>
        <w:tc>
          <w:tcPr>
            <w:tcW w:w="0" w:type="auto"/>
            <w:hideMark/>
          </w:tcPr>
          <w:p w14:paraId="372C026A" w14:textId="77777777" w:rsidR="00F622D8" w:rsidRPr="007979A7" w:rsidRDefault="00F622D8" w:rsidP="001E4206">
            <w:pPr>
              <w:rPr>
                <w:rFonts w:ascii="Arial" w:hAnsi="Arial" w:cs="Arial"/>
              </w:rPr>
            </w:pPr>
            <w:r w:rsidRPr="007979A7">
              <w:rPr>
                <w:rFonts w:ascii="Arial" w:hAnsi="Arial" w:cs="Arial"/>
              </w:rPr>
              <w:t xml:space="preserve">CV: </w:t>
            </w:r>
            <w:r w:rsidRPr="007979A7">
              <w:rPr>
                <w:rStyle w:val="Strong"/>
                <w:rFonts w:ascii="Arial" w:hAnsi="Arial" w:cs="Arial"/>
                <w:b w:val="0"/>
              </w:rPr>
              <w:t>30–60%</w:t>
            </w:r>
          </w:p>
        </w:tc>
        <w:tc>
          <w:tcPr>
            <w:tcW w:w="1915" w:type="dxa"/>
            <w:hideMark/>
          </w:tcPr>
          <w:p w14:paraId="2E657261" w14:textId="77777777" w:rsidR="00F622D8" w:rsidRPr="007979A7" w:rsidRDefault="00F622D8" w:rsidP="001E4206">
            <w:pPr>
              <w:rPr>
                <w:rFonts w:ascii="Arial" w:hAnsi="Arial" w:cs="Arial"/>
              </w:rPr>
            </w:pPr>
            <w:r w:rsidRPr="007979A7">
              <w:rPr>
                <w:rFonts w:ascii="Arial" w:hAnsi="Arial" w:cs="Arial"/>
              </w:rPr>
              <w:t>Poor stand uniformity</w:t>
            </w:r>
          </w:p>
        </w:tc>
        <w:tc>
          <w:tcPr>
            <w:tcW w:w="1701" w:type="dxa"/>
            <w:hideMark/>
          </w:tcPr>
          <w:p w14:paraId="04E1ACDD" w14:textId="77777777" w:rsidR="00F622D8" w:rsidRPr="007979A7" w:rsidRDefault="00F622D8" w:rsidP="001E4206">
            <w:pPr>
              <w:rPr>
                <w:rFonts w:ascii="Arial" w:hAnsi="Arial" w:cs="Arial"/>
              </w:rPr>
            </w:pPr>
            <w:r w:rsidRPr="007979A7">
              <w:rPr>
                <w:rFonts w:ascii="Arial" w:hAnsi="Arial" w:cs="Arial"/>
              </w:rPr>
              <w:t>White et al. (2007)</w:t>
            </w:r>
          </w:p>
        </w:tc>
      </w:tr>
      <w:tr w:rsidR="00F622D8" w:rsidRPr="007979A7" w14:paraId="186AB71D" w14:textId="77777777" w:rsidTr="001E4206">
        <w:tc>
          <w:tcPr>
            <w:tcW w:w="1543" w:type="dxa"/>
            <w:hideMark/>
          </w:tcPr>
          <w:p w14:paraId="0B2C7898" w14:textId="77777777" w:rsidR="00F622D8" w:rsidRPr="007979A7" w:rsidRDefault="00F622D8" w:rsidP="001E4206">
            <w:pPr>
              <w:rPr>
                <w:rFonts w:ascii="Arial" w:hAnsi="Arial" w:cs="Arial"/>
                <w:b/>
              </w:rPr>
            </w:pPr>
            <w:r w:rsidRPr="007979A7">
              <w:rPr>
                <w:rStyle w:val="Strong"/>
                <w:rFonts w:ascii="Arial" w:hAnsi="Arial" w:cs="Arial"/>
                <w:b w:val="0"/>
              </w:rPr>
              <w:t>Adoption in Forestry Systems</w:t>
            </w:r>
          </w:p>
        </w:tc>
        <w:tc>
          <w:tcPr>
            <w:tcW w:w="0" w:type="auto"/>
            <w:hideMark/>
          </w:tcPr>
          <w:p w14:paraId="441B25CD" w14:textId="77777777" w:rsidR="00F622D8" w:rsidRPr="007979A7" w:rsidRDefault="00F622D8" w:rsidP="001E4206">
            <w:pPr>
              <w:rPr>
                <w:rFonts w:ascii="Arial" w:hAnsi="Arial" w:cs="Arial"/>
              </w:rPr>
            </w:pPr>
            <w:r w:rsidRPr="007979A7">
              <w:rPr>
                <w:rFonts w:ascii="Arial" w:hAnsi="Arial" w:cs="Arial"/>
              </w:rPr>
              <w:t>Widely used in low-input and smallholder systems</w:t>
            </w:r>
          </w:p>
        </w:tc>
        <w:tc>
          <w:tcPr>
            <w:tcW w:w="0" w:type="auto"/>
            <w:hideMark/>
          </w:tcPr>
          <w:p w14:paraId="6086075B" w14:textId="77777777" w:rsidR="00F622D8" w:rsidRPr="007979A7" w:rsidRDefault="00F622D8" w:rsidP="001E4206">
            <w:pPr>
              <w:rPr>
                <w:rFonts w:ascii="Arial" w:hAnsi="Arial" w:cs="Arial"/>
              </w:rPr>
            </w:pPr>
            <w:r w:rsidRPr="007979A7">
              <w:rPr>
                <w:rFonts w:ascii="Arial" w:hAnsi="Arial" w:cs="Arial"/>
              </w:rPr>
              <w:t>Dominant method in Africa &amp; rural Asia</w:t>
            </w:r>
          </w:p>
        </w:tc>
        <w:tc>
          <w:tcPr>
            <w:tcW w:w="1915" w:type="dxa"/>
            <w:hideMark/>
          </w:tcPr>
          <w:p w14:paraId="10D51EC1" w14:textId="77777777" w:rsidR="00F622D8" w:rsidRPr="007979A7" w:rsidRDefault="00F622D8" w:rsidP="001E4206">
            <w:pPr>
              <w:rPr>
                <w:rFonts w:ascii="Arial" w:hAnsi="Arial" w:cs="Arial"/>
              </w:rPr>
            </w:pPr>
            <w:r w:rsidRPr="007979A7">
              <w:rPr>
                <w:rFonts w:ascii="Arial" w:hAnsi="Arial" w:cs="Arial"/>
              </w:rPr>
              <w:t>Cost-effective and simple</w:t>
            </w:r>
          </w:p>
        </w:tc>
        <w:tc>
          <w:tcPr>
            <w:tcW w:w="1701" w:type="dxa"/>
            <w:hideMark/>
          </w:tcPr>
          <w:p w14:paraId="5B098CC8" w14:textId="77777777" w:rsidR="00F622D8" w:rsidRPr="007979A7" w:rsidRDefault="00F622D8" w:rsidP="001E4206">
            <w:pPr>
              <w:rPr>
                <w:rFonts w:ascii="Arial" w:hAnsi="Arial" w:cs="Arial"/>
              </w:rPr>
            </w:pPr>
            <w:proofErr w:type="spellStart"/>
            <w:r w:rsidRPr="007979A7">
              <w:rPr>
                <w:rFonts w:ascii="Arial" w:hAnsi="Arial" w:cs="Arial"/>
              </w:rPr>
              <w:t>Kollert</w:t>
            </w:r>
            <w:proofErr w:type="spellEnd"/>
            <w:r w:rsidRPr="007979A7">
              <w:rPr>
                <w:rFonts w:ascii="Arial" w:hAnsi="Arial" w:cs="Arial"/>
              </w:rPr>
              <w:t xml:space="preserve"> and </w:t>
            </w:r>
            <w:proofErr w:type="spellStart"/>
            <w:r w:rsidRPr="007979A7">
              <w:rPr>
                <w:rFonts w:ascii="Arial" w:hAnsi="Arial" w:cs="Arial"/>
              </w:rPr>
              <w:t>Kleine</w:t>
            </w:r>
            <w:proofErr w:type="spellEnd"/>
            <w:r w:rsidRPr="007979A7">
              <w:rPr>
                <w:rFonts w:ascii="Arial" w:hAnsi="Arial" w:cs="Arial"/>
              </w:rPr>
              <w:t xml:space="preserve"> (2017)</w:t>
            </w:r>
          </w:p>
        </w:tc>
      </w:tr>
      <w:tr w:rsidR="00F622D8" w:rsidRPr="007979A7" w14:paraId="5098FE73" w14:textId="77777777" w:rsidTr="001E4206">
        <w:tc>
          <w:tcPr>
            <w:tcW w:w="1543" w:type="dxa"/>
            <w:hideMark/>
          </w:tcPr>
          <w:p w14:paraId="50FFA0EF" w14:textId="77777777" w:rsidR="00F622D8" w:rsidRPr="007979A7" w:rsidRDefault="00F622D8" w:rsidP="001E4206">
            <w:pPr>
              <w:rPr>
                <w:rFonts w:ascii="Arial" w:hAnsi="Arial" w:cs="Arial"/>
                <w:b/>
              </w:rPr>
            </w:pPr>
            <w:r w:rsidRPr="007979A7">
              <w:rPr>
                <w:rStyle w:val="Strong"/>
                <w:rFonts w:ascii="Arial" w:hAnsi="Arial" w:cs="Arial"/>
                <w:b w:val="0"/>
              </w:rPr>
              <w:t>Productivity Implication</w:t>
            </w:r>
          </w:p>
        </w:tc>
        <w:tc>
          <w:tcPr>
            <w:tcW w:w="0" w:type="auto"/>
            <w:hideMark/>
          </w:tcPr>
          <w:p w14:paraId="79CDE303" w14:textId="77777777" w:rsidR="00F622D8" w:rsidRPr="007979A7" w:rsidRDefault="00F622D8" w:rsidP="001E4206">
            <w:pPr>
              <w:rPr>
                <w:rFonts w:ascii="Arial" w:hAnsi="Arial" w:cs="Arial"/>
              </w:rPr>
            </w:pPr>
            <w:r w:rsidRPr="007979A7">
              <w:rPr>
                <w:rFonts w:ascii="Arial" w:hAnsi="Arial" w:cs="Arial"/>
              </w:rPr>
              <w:t>Variable growth and wood quality in plantations</w:t>
            </w:r>
          </w:p>
        </w:tc>
        <w:tc>
          <w:tcPr>
            <w:tcW w:w="0" w:type="auto"/>
            <w:hideMark/>
          </w:tcPr>
          <w:p w14:paraId="6A8AE365" w14:textId="77777777" w:rsidR="00F622D8" w:rsidRPr="007979A7" w:rsidRDefault="00F622D8" w:rsidP="001E4206">
            <w:pPr>
              <w:rPr>
                <w:rFonts w:ascii="Arial" w:hAnsi="Arial" w:cs="Arial"/>
              </w:rPr>
            </w:pPr>
            <w:r w:rsidRPr="007979A7">
              <w:rPr>
                <w:rFonts w:ascii="Arial" w:hAnsi="Arial" w:cs="Arial"/>
              </w:rPr>
              <w:t xml:space="preserve">MAI: </w:t>
            </w:r>
            <w:r w:rsidRPr="007979A7">
              <w:rPr>
                <w:rStyle w:val="Strong"/>
                <w:rFonts w:ascii="Arial" w:hAnsi="Arial" w:cs="Arial"/>
                <w:b w:val="0"/>
              </w:rPr>
              <w:t>4–10 m³ ha</w:t>
            </w:r>
            <w:r w:rsidRPr="007979A7">
              <w:rPr>
                <w:rStyle w:val="Strong"/>
                <w:rFonts w:ascii="Cambria Math" w:hAnsi="Cambria Math" w:cs="Cambria Math"/>
                <w:b w:val="0"/>
              </w:rPr>
              <w:t>⁻</w:t>
            </w:r>
            <w:r w:rsidRPr="007979A7">
              <w:rPr>
                <w:rStyle w:val="Strong"/>
                <w:rFonts w:ascii="Arial" w:hAnsi="Arial" w:cs="Arial"/>
                <w:b w:val="0"/>
              </w:rPr>
              <w:t>¹ yr</w:t>
            </w:r>
            <w:r w:rsidRPr="007979A7">
              <w:rPr>
                <w:rStyle w:val="Strong"/>
                <w:rFonts w:ascii="Cambria Math" w:hAnsi="Cambria Math" w:cs="Cambria Math"/>
                <w:b w:val="0"/>
              </w:rPr>
              <w:t>⁻</w:t>
            </w:r>
            <w:r w:rsidRPr="007979A7">
              <w:rPr>
                <w:rStyle w:val="Strong"/>
                <w:rFonts w:ascii="Arial" w:hAnsi="Arial" w:cs="Arial"/>
                <w:b w:val="0"/>
              </w:rPr>
              <w:t>¹</w:t>
            </w:r>
          </w:p>
        </w:tc>
        <w:tc>
          <w:tcPr>
            <w:tcW w:w="1915" w:type="dxa"/>
            <w:hideMark/>
          </w:tcPr>
          <w:p w14:paraId="6D429CE3" w14:textId="77777777" w:rsidR="00F622D8" w:rsidRPr="007979A7" w:rsidRDefault="00F622D8" w:rsidP="001E4206">
            <w:pPr>
              <w:rPr>
                <w:rFonts w:ascii="Arial" w:hAnsi="Arial" w:cs="Arial"/>
              </w:rPr>
            </w:pPr>
            <w:r w:rsidRPr="007979A7">
              <w:rPr>
                <w:rFonts w:ascii="Arial" w:hAnsi="Arial" w:cs="Arial"/>
              </w:rPr>
              <w:t>Limits industrial plantation performance</w:t>
            </w:r>
          </w:p>
        </w:tc>
        <w:tc>
          <w:tcPr>
            <w:tcW w:w="1701" w:type="dxa"/>
            <w:hideMark/>
          </w:tcPr>
          <w:p w14:paraId="2F89B2B1" w14:textId="77777777" w:rsidR="00F622D8" w:rsidRPr="007979A7" w:rsidRDefault="00F622D8" w:rsidP="001E4206">
            <w:pPr>
              <w:rPr>
                <w:rFonts w:ascii="Arial" w:hAnsi="Arial" w:cs="Arial"/>
              </w:rPr>
            </w:pPr>
            <w:r w:rsidRPr="007979A7">
              <w:rPr>
                <w:rFonts w:ascii="Arial" w:hAnsi="Arial" w:cs="Arial"/>
              </w:rPr>
              <w:t>Midgley et al. (2014)</w:t>
            </w:r>
          </w:p>
        </w:tc>
      </w:tr>
      <w:tr w:rsidR="00F622D8" w:rsidRPr="007979A7" w14:paraId="571144AB" w14:textId="77777777" w:rsidTr="001E4206">
        <w:tc>
          <w:tcPr>
            <w:tcW w:w="1543" w:type="dxa"/>
            <w:hideMark/>
          </w:tcPr>
          <w:p w14:paraId="18666CED" w14:textId="77777777" w:rsidR="00F622D8" w:rsidRPr="007979A7" w:rsidRDefault="00F622D8" w:rsidP="001E4206">
            <w:pPr>
              <w:rPr>
                <w:rFonts w:ascii="Arial" w:hAnsi="Arial" w:cs="Arial"/>
                <w:b/>
              </w:rPr>
            </w:pPr>
            <w:r w:rsidRPr="007979A7">
              <w:rPr>
                <w:rStyle w:val="Strong"/>
                <w:rFonts w:ascii="Arial" w:hAnsi="Arial" w:cs="Arial"/>
                <w:b w:val="0"/>
              </w:rPr>
              <w:t>Scope for Improvement</w:t>
            </w:r>
          </w:p>
        </w:tc>
        <w:tc>
          <w:tcPr>
            <w:tcW w:w="0" w:type="auto"/>
            <w:hideMark/>
          </w:tcPr>
          <w:p w14:paraId="2C6D9033" w14:textId="77777777" w:rsidR="00F622D8" w:rsidRPr="007979A7" w:rsidRDefault="00F622D8" w:rsidP="001E4206">
            <w:pPr>
              <w:rPr>
                <w:rFonts w:ascii="Arial" w:hAnsi="Arial" w:cs="Arial"/>
              </w:rPr>
            </w:pPr>
            <w:r w:rsidRPr="007979A7">
              <w:rPr>
                <w:rFonts w:ascii="Arial" w:hAnsi="Arial" w:cs="Arial"/>
              </w:rPr>
              <w:t>Seed orchard development and provenance selection needed</w:t>
            </w:r>
          </w:p>
        </w:tc>
        <w:tc>
          <w:tcPr>
            <w:tcW w:w="0" w:type="auto"/>
            <w:hideMark/>
          </w:tcPr>
          <w:p w14:paraId="0241AEAD" w14:textId="77777777" w:rsidR="00F622D8" w:rsidRPr="007979A7" w:rsidRDefault="00F622D8" w:rsidP="001E4206">
            <w:pPr>
              <w:rPr>
                <w:rFonts w:ascii="Arial" w:hAnsi="Arial" w:cs="Arial"/>
              </w:rPr>
            </w:pPr>
            <w:r w:rsidRPr="007979A7">
              <w:rPr>
                <w:rFonts w:ascii="Arial" w:hAnsi="Arial" w:cs="Arial"/>
              </w:rPr>
              <w:t xml:space="preserve">Potential gain: </w:t>
            </w:r>
            <w:r w:rsidRPr="007979A7">
              <w:rPr>
                <w:rStyle w:val="Strong"/>
                <w:rFonts w:ascii="Arial" w:hAnsi="Arial" w:cs="Arial"/>
                <w:b w:val="0"/>
              </w:rPr>
              <w:t>+20–40% productivity</w:t>
            </w:r>
          </w:p>
        </w:tc>
        <w:tc>
          <w:tcPr>
            <w:tcW w:w="1915" w:type="dxa"/>
            <w:hideMark/>
          </w:tcPr>
          <w:p w14:paraId="2CD6D487" w14:textId="77777777" w:rsidR="00F622D8" w:rsidRPr="007979A7" w:rsidRDefault="00F622D8" w:rsidP="001E4206">
            <w:pPr>
              <w:rPr>
                <w:rFonts w:ascii="Arial" w:hAnsi="Arial" w:cs="Arial"/>
              </w:rPr>
            </w:pPr>
            <w:r w:rsidRPr="007979A7">
              <w:rPr>
                <w:rFonts w:ascii="Arial" w:hAnsi="Arial" w:cs="Arial"/>
              </w:rPr>
              <w:t>Critical for future seed-based systems</w:t>
            </w:r>
          </w:p>
        </w:tc>
        <w:tc>
          <w:tcPr>
            <w:tcW w:w="1701" w:type="dxa"/>
            <w:hideMark/>
          </w:tcPr>
          <w:p w14:paraId="48A402EE" w14:textId="77777777" w:rsidR="00F622D8" w:rsidRPr="007979A7" w:rsidRDefault="00F622D8" w:rsidP="001E4206">
            <w:pPr>
              <w:rPr>
                <w:rFonts w:ascii="Arial" w:hAnsi="Arial" w:cs="Arial"/>
              </w:rPr>
            </w:pPr>
            <w:proofErr w:type="spellStart"/>
            <w:r w:rsidRPr="007979A7">
              <w:rPr>
                <w:rFonts w:ascii="Arial" w:hAnsi="Arial" w:cs="Arial"/>
              </w:rPr>
              <w:t>Kollert</w:t>
            </w:r>
            <w:proofErr w:type="spellEnd"/>
            <w:r w:rsidRPr="007979A7">
              <w:rPr>
                <w:rFonts w:ascii="Arial" w:hAnsi="Arial" w:cs="Arial"/>
              </w:rPr>
              <w:t xml:space="preserve"> and </w:t>
            </w:r>
            <w:proofErr w:type="spellStart"/>
            <w:r w:rsidRPr="007979A7">
              <w:rPr>
                <w:rFonts w:ascii="Arial" w:hAnsi="Arial" w:cs="Arial"/>
              </w:rPr>
              <w:t>Kleine</w:t>
            </w:r>
            <w:proofErr w:type="spellEnd"/>
            <w:r w:rsidRPr="007979A7">
              <w:rPr>
                <w:rFonts w:ascii="Arial" w:hAnsi="Arial" w:cs="Arial"/>
              </w:rPr>
              <w:t xml:space="preserve"> (2017); White et al. (2007)</w:t>
            </w:r>
          </w:p>
        </w:tc>
      </w:tr>
    </w:tbl>
    <w:p w14:paraId="4C8436A7" w14:textId="77777777" w:rsidR="00F622D8" w:rsidRPr="007979A7" w:rsidRDefault="00F622D8" w:rsidP="00F622D8">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rPr>
        <w:t xml:space="preserve">A major challenge in seed propagation is the strong </w:t>
      </w:r>
      <w:r w:rsidRPr="007979A7">
        <w:rPr>
          <w:rStyle w:val="Strong"/>
          <w:rFonts w:ascii="Arial" w:hAnsi="Arial" w:cs="Arial"/>
          <w:b w:val="0"/>
          <w:sz w:val="20"/>
          <w:szCs w:val="20"/>
        </w:rPr>
        <w:t>provenance-dependent variation</w:t>
      </w:r>
      <w:r w:rsidRPr="007979A7">
        <w:rPr>
          <w:rFonts w:ascii="Arial" w:hAnsi="Arial" w:cs="Arial"/>
          <w:sz w:val="20"/>
          <w:szCs w:val="20"/>
        </w:rPr>
        <w:t xml:space="preserve"> in seed performance. Germination capacity and seedling </w:t>
      </w:r>
      <w:proofErr w:type="spellStart"/>
      <w:r w:rsidRPr="007979A7">
        <w:rPr>
          <w:rFonts w:ascii="Arial" w:hAnsi="Arial" w:cs="Arial"/>
          <w:sz w:val="20"/>
          <w:szCs w:val="20"/>
        </w:rPr>
        <w:t>vigor</w:t>
      </w:r>
      <w:proofErr w:type="spellEnd"/>
      <w:r w:rsidRPr="007979A7">
        <w:rPr>
          <w:rFonts w:ascii="Arial" w:hAnsi="Arial" w:cs="Arial"/>
          <w:sz w:val="20"/>
          <w:szCs w:val="20"/>
        </w:rPr>
        <w:t xml:space="preserve"> may vary by as much as </w:t>
      </w:r>
      <w:r w:rsidRPr="007979A7">
        <w:rPr>
          <w:rStyle w:val="Strong"/>
          <w:rFonts w:ascii="Arial" w:hAnsi="Arial" w:cs="Arial"/>
          <w:b w:val="0"/>
          <w:sz w:val="20"/>
          <w:szCs w:val="20"/>
        </w:rPr>
        <w:t>2–3 fold among seed sources</w:t>
      </w:r>
      <w:r w:rsidRPr="007979A7">
        <w:rPr>
          <w:rFonts w:ascii="Arial" w:hAnsi="Arial" w:cs="Arial"/>
          <w:sz w:val="20"/>
          <w:szCs w:val="20"/>
        </w:rPr>
        <w:t xml:space="preserve">, indicating that genotype and origin significantly influence propagation success (Kjaer and Foster, 1996; Midgley et al., 2015). This variation translates directly into high heterogeneity in seedling growth, reflected in coefficients of variation (CV) of </w:t>
      </w:r>
      <w:r w:rsidRPr="007979A7">
        <w:rPr>
          <w:rStyle w:val="Strong"/>
          <w:rFonts w:ascii="Arial" w:hAnsi="Arial" w:cs="Arial"/>
          <w:b w:val="0"/>
          <w:sz w:val="20"/>
          <w:szCs w:val="20"/>
        </w:rPr>
        <w:t>30–60%</w:t>
      </w:r>
      <w:r w:rsidRPr="007979A7">
        <w:rPr>
          <w:rFonts w:ascii="Arial" w:hAnsi="Arial" w:cs="Arial"/>
          <w:b/>
          <w:sz w:val="20"/>
          <w:szCs w:val="20"/>
        </w:rPr>
        <w:t>,</w:t>
      </w:r>
      <w:r w:rsidRPr="007979A7">
        <w:rPr>
          <w:rFonts w:ascii="Arial" w:hAnsi="Arial" w:cs="Arial"/>
          <w:sz w:val="20"/>
          <w:szCs w:val="20"/>
        </w:rPr>
        <w:t xml:space="preserve"> resulting in plantations with uneven stem form, variable height growth, and inconsistent wood quality (White et al., 2007; </w:t>
      </w:r>
      <w:proofErr w:type="spellStart"/>
      <w:r w:rsidRPr="007979A7">
        <w:rPr>
          <w:rFonts w:ascii="Arial" w:hAnsi="Arial" w:cs="Arial"/>
          <w:sz w:val="20"/>
          <w:szCs w:val="20"/>
        </w:rPr>
        <w:t>Monteuuis</w:t>
      </w:r>
      <w:proofErr w:type="spellEnd"/>
      <w:r w:rsidRPr="007979A7">
        <w:rPr>
          <w:rFonts w:ascii="Arial" w:hAnsi="Arial" w:cs="Arial"/>
          <w:sz w:val="20"/>
          <w:szCs w:val="20"/>
        </w:rPr>
        <w:t>, 2016). Such heterogeneity reduces silvicultural efficiency and complicates stand management.</w:t>
      </w:r>
    </w:p>
    <w:p w14:paraId="0731790B" w14:textId="77777777" w:rsidR="00F622D8" w:rsidRPr="007979A7" w:rsidRDefault="00F622D8" w:rsidP="00F622D8">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rPr>
        <w:t xml:space="preserve">The productivity implications are substantial. Seed-origin plantations typically achieve a mean annual increment (MAI) of only </w:t>
      </w:r>
      <w:r w:rsidRPr="007979A7">
        <w:rPr>
          <w:rStyle w:val="Strong"/>
          <w:rFonts w:ascii="Arial" w:hAnsi="Arial" w:cs="Arial"/>
          <w:b w:val="0"/>
          <w:sz w:val="20"/>
          <w:szCs w:val="20"/>
        </w:rPr>
        <w:t>4–10 m³ ha</w:t>
      </w:r>
      <w:r w:rsidRPr="007979A7">
        <w:rPr>
          <w:rStyle w:val="Strong"/>
          <w:rFonts w:ascii="Cambria Math" w:hAnsi="Cambria Math" w:cs="Cambria Math"/>
          <w:b w:val="0"/>
          <w:sz w:val="20"/>
          <w:szCs w:val="20"/>
        </w:rPr>
        <w:t>⁻</w:t>
      </w:r>
      <w:r w:rsidRPr="007979A7">
        <w:rPr>
          <w:rStyle w:val="Strong"/>
          <w:rFonts w:ascii="Arial" w:hAnsi="Arial" w:cs="Arial"/>
          <w:b w:val="0"/>
          <w:sz w:val="20"/>
          <w:szCs w:val="20"/>
        </w:rPr>
        <w:t>¹ yr</w:t>
      </w:r>
      <w:r w:rsidRPr="007979A7">
        <w:rPr>
          <w:rStyle w:val="Strong"/>
          <w:rFonts w:ascii="Cambria Math" w:hAnsi="Cambria Math" w:cs="Cambria Math"/>
          <w:b w:val="0"/>
          <w:sz w:val="20"/>
          <w:szCs w:val="20"/>
        </w:rPr>
        <w:t>⁻</w:t>
      </w:r>
      <w:r w:rsidRPr="007979A7">
        <w:rPr>
          <w:rStyle w:val="Strong"/>
          <w:rFonts w:ascii="Arial" w:hAnsi="Arial" w:cs="Arial"/>
          <w:b w:val="0"/>
          <w:sz w:val="20"/>
          <w:szCs w:val="20"/>
        </w:rPr>
        <w:t>¹</w:t>
      </w:r>
      <w:r w:rsidRPr="007979A7">
        <w:rPr>
          <w:rFonts w:ascii="Arial" w:hAnsi="Arial" w:cs="Arial"/>
          <w:b/>
          <w:sz w:val="20"/>
          <w:szCs w:val="20"/>
        </w:rPr>
        <w:t>,</w:t>
      </w:r>
      <w:r w:rsidRPr="007979A7">
        <w:rPr>
          <w:rFonts w:ascii="Arial" w:hAnsi="Arial" w:cs="Arial"/>
          <w:sz w:val="20"/>
          <w:szCs w:val="20"/>
        </w:rPr>
        <w:t xml:space="preserve"> which is considerably lower than the productivity levels reported for clonal plantations (Midgley et al., 2015; </w:t>
      </w:r>
      <w:proofErr w:type="spellStart"/>
      <w:r w:rsidRPr="007979A7">
        <w:rPr>
          <w:rFonts w:ascii="Arial" w:hAnsi="Arial" w:cs="Arial"/>
          <w:sz w:val="20"/>
          <w:szCs w:val="20"/>
        </w:rPr>
        <w:t>Monteuuis</w:t>
      </w:r>
      <w:proofErr w:type="spellEnd"/>
      <w:r w:rsidRPr="007979A7">
        <w:rPr>
          <w:rFonts w:ascii="Arial" w:hAnsi="Arial" w:cs="Arial"/>
          <w:sz w:val="20"/>
          <w:szCs w:val="20"/>
        </w:rPr>
        <w:t>, 2016). Lower productivity reflects both genetic variability and uneven stand development, making seed propagation less suitable for industrial forestry systems where uniformity and predictable yields are critical.</w:t>
      </w:r>
    </w:p>
    <w:p w14:paraId="0FFD3C58" w14:textId="77777777" w:rsidR="00F622D8" w:rsidRPr="007979A7" w:rsidRDefault="00F622D8" w:rsidP="00F622D8">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rPr>
        <w:t xml:space="preserve">Despite these drawbacks, seed-based propagation remains indispensable in </w:t>
      </w:r>
      <w:r w:rsidRPr="007979A7">
        <w:rPr>
          <w:rStyle w:val="Strong"/>
          <w:rFonts w:ascii="Arial" w:hAnsi="Arial" w:cs="Arial"/>
          <w:b w:val="0"/>
          <w:sz w:val="20"/>
          <w:szCs w:val="20"/>
        </w:rPr>
        <w:t>low-input forestry systems</w:t>
      </w:r>
      <w:r w:rsidRPr="007979A7">
        <w:rPr>
          <w:rFonts w:ascii="Arial" w:hAnsi="Arial" w:cs="Arial"/>
          <w:b/>
          <w:sz w:val="20"/>
          <w:szCs w:val="20"/>
        </w:rPr>
        <w:t>,</w:t>
      </w:r>
      <w:r w:rsidRPr="007979A7">
        <w:rPr>
          <w:rFonts w:ascii="Arial" w:hAnsi="Arial" w:cs="Arial"/>
          <w:sz w:val="20"/>
          <w:szCs w:val="20"/>
        </w:rPr>
        <w:t xml:space="preserve"> especially in Africa and rural Asia, where low cost, operational simplicity, and minimal infrastructure requirements make it the preferred option (</w:t>
      </w:r>
      <w:proofErr w:type="spellStart"/>
      <w:r w:rsidRPr="007979A7">
        <w:rPr>
          <w:rFonts w:ascii="Arial" w:hAnsi="Arial" w:cs="Arial"/>
          <w:sz w:val="20"/>
          <w:szCs w:val="20"/>
        </w:rPr>
        <w:t>Kollert</w:t>
      </w:r>
      <w:proofErr w:type="spellEnd"/>
      <w:r w:rsidRPr="007979A7">
        <w:rPr>
          <w:rFonts w:ascii="Arial" w:hAnsi="Arial" w:cs="Arial"/>
          <w:sz w:val="20"/>
          <w:szCs w:val="20"/>
        </w:rPr>
        <w:t xml:space="preserve"> and </w:t>
      </w:r>
      <w:proofErr w:type="spellStart"/>
      <w:r w:rsidRPr="007979A7">
        <w:rPr>
          <w:rFonts w:ascii="Arial" w:hAnsi="Arial" w:cs="Arial"/>
          <w:sz w:val="20"/>
          <w:szCs w:val="20"/>
        </w:rPr>
        <w:t>Kleine</w:t>
      </w:r>
      <w:proofErr w:type="spellEnd"/>
      <w:r w:rsidRPr="007979A7">
        <w:rPr>
          <w:rFonts w:ascii="Arial" w:hAnsi="Arial" w:cs="Arial"/>
          <w:sz w:val="20"/>
          <w:szCs w:val="20"/>
        </w:rPr>
        <w:t>, 2017). It also plays an important role in afforestation programs, restoration forestry, and conservation of genetic diversity.</w:t>
      </w:r>
    </w:p>
    <w:p w14:paraId="0100A8EE"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lastRenderedPageBreak/>
        <w:t>3.1.2 Vegetative Propagation: Influence of Juvenility and Hormonal Regulation</w:t>
      </w:r>
    </w:p>
    <w:p w14:paraId="115D6557" w14:textId="77777777" w:rsidR="00F622D8" w:rsidRPr="007979A7" w:rsidRDefault="00F622D8" w:rsidP="00F622D8">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rPr>
        <w:t xml:space="preserve">Vegetative propagation of </w:t>
      </w:r>
      <w:r w:rsidRPr="007979A7">
        <w:rPr>
          <w:rStyle w:val="whitespace-normal"/>
          <w:rFonts w:ascii="Arial" w:hAnsi="Arial" w:cs="Arial"/>
          <w:i/>
          <w:sz w:val="20"/>
          <w:szCs w:val="20"/>
        </w:rPr>
        <w:t>Tectona grandis</w:t>
      </w:r>
      <w:r w:rsidRPr="007979A7">
        <w:rPr>
          <w:rFonts w:ascii="Arial" w:hAnsi="Arial" w:cs="Arial"/>
          <w:sz w:val="20"/>
          <w:szCs w:val="20"/>
        </w:rPr>
        <w:t xml:space="preserve"> has emerged as an important improvement over seed-based systems because it enables multiplication of selected elite genotypes while reducing genetic variability in plantations. The data presented in </w:t>
      </w:r>
      <w:r w:rsidRPr="007979A7">
        <w:rPr>
          <w:rStyle w:val="Strong"/>
          <w:rFonts w:ascii="Arial" w:hAnsi="Arial" w:cs="Arial"/>
          <w:b w:val="0"/>
          <w:sz w:val="20"/>
          <w:szCs w:val="20"/>
        </w:rPr>
        <w:t>Table 2</w:t>
      </w:r>
      <w:r w:rsidRPr="007979A7">
        <w:rPr>
          <w:rFonts w:ascii="Arial" w:hAnsi="Arial" w:cs="Arial"/>
          <w:sz w:val="20"/>
          <w:szCs w:val="20"/>
        </w:rPr>
        <w:t xml:space="preserve"> show that stem cuttings, coppice shoots, and hedge-derived cuttings are the principal vegetative propagules used in teak, with overall rooting success ranging from </w:t>
      </w:r>
      <w:r w:rsidRPr="007979A7">
        <w:rPr>
          <w:rStyle w:val="Strong"/>
          <w:rFonts w:ascii="Arial" w:hAnsi="Arial" w:cs="Arial"/>
          <w:b w:val="0"/>
          <w:sz w:val="20"/>
          <w:szCs w:val="20"/>
        </w:rPr>
        <w:t>40–85%</w:t>
      </w:r>
      <w:r w:rsidRPr="007979A7">
        <w:rPr>
          <w:rFonts w:ascii="Arial" w:hAnsi="Arial" w:cs="Arial"/>
          <w:b/>
          <w:sz w:val="20"/>
          <w:szCs w:val="20"/>
        </w:rPr>
        <w:t>,</w:t>
      </w:r>
      <w:r w:rsidRPr="007979A7">
        <w:rPr>
          <w:rFonts w:ascii="Arial" w:hAnsi="Arial" w:cs="Arial"/>
          <w:sz w:val="20"/>
          <w:szCs w:val="20"/>
        </w:rPr>
        <w:t xml:space="preserve"> depending on propagule type, physiological age, genotype, and nursery environment (Husen and Pal, 2006; </w:t>
      </w:r>
      <w:proofErr w:type="spellStart"/>
      <w:r w:rsidRPr="007979A7">
        <w:rPr>
          <w:rFonts w:ascii="Arial" w:hAnsi="Arial" w:cs="Arial"/>
          <w:sz w:val="20"/>
          <w:szCs w:val="20"/>
        </w:rPr>
        <w:t>Monteuuis</w:t>
      </w:r>
      <w:proofErr w:type="spellEnd"/>
      <w:r w:rsidRPr="007979A7">
        <w:rPr>
          <w:rFonts w:ascii="Arial" w:hAnsi="Arial" w:cs="Arial"/>
          <w:sz w:val="20"/>
          <w:szCs w:val="20"/>
        </w:rPr>
        <w:t xml:space="preserve"> and Goh, 2014). This indicates that vegetative propagation is biologically feasible but highly sensitive to internal and external factors.</w:t>
      </w:r>
    </w:p>
    <w:p w14:paraId="47057AE5"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rPr>
        <w:t xml:space="preserve">Table 2. Advances in Vegetative Propagation of </w:t>
      </w:r>
      <w:r w:rsidRPr="007979A7">
        <w:rPr>
          <w:rStyle w:val="whitespace-normal"/>
          <w:rFonts w:ascii="Arial" w:hAnsi="Arial" w:cs="Arial"/>
          <w:i/>
        </w:rPr>
        <w:t>Tectona grandis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1916"/>
        <w:gridCol w:w="1689"/>
        <w:gridCol w:w="1577"/>
        <w:gridCol w:w="1588"/>
      </w:tblGrid>
      <w:tr w:rsidR="00F622D8" w:rsidRPr="007979A7" w14:paraId="1532D38A" w14:textId="77777777" w:rsidTr="001E4206">
        <w:tc>
          <w:tcPr>
            <w:tcW w:w="1546" w:type="dxa"/>
            <w:hideMark/>
          </w:tcPr>
          <w:p w14:paraId="384882B0" w14:textId="77777777" w:rsidR="00F622D8" w:rsidRPr="007979A7" w:rsidRDefault="00F622D8" w:rsidP="001E4206">
            <w:pPr>
              <w:rPr>
                <w:rFonts w:ascii="Arial" w:hAnsi="Arial" w:cs="Arial"/>
                <w:b/>
                <w:bCs/>
                <w:lang w:val="en-IN" w:eastAsia="en-IN"/>
              </w:rPr>
            </w:pPr>
            <w:r w:rsidRPr="007979A7">
              <w:rPr>
                <w:rFonts w:ascii="Arial" w:hAnsi="Arial" w:cs="Arial"/>
                <w:b/>
                <w:bCs/>
              </w:rPr>
              <w:t>Aspect</w:t>
            </w:r>
          </w:p>
        </w:tc>
        <w:tc>
          <w:tcPr>
            <w:tcW w:w="0" w:type="auto"/>
            <w:hideMark/>
          </w:tcPr>
          <w:p w14:paraId="50CA73DA" w14:textId="77777777" w:rsidR="00F622D8" w:rsidRPr="007979A7" w:rsidRDefault="00F622D8" w:rsidP="001E4206">
            <w:pPr>
              <w:rPr>
                <w:rFonts w:ascii="Arial" w:hAnsi="Arial" w:cs="Arial"/>
                <w:b/>
                <w:bCs/>
              </w:rPr>
            </w:pPr>
            <w:r w:rsidRPr="007979A7">
              <w:rPr>
                <w:rFonts w:ascii="Arial" w:hAnsi="Arial" w:cs="Arial"/>
                <w:b/>
                <w:bCs/>
              </w:rPr>
              <w:t>Observations / Findings</w:t>
            </w:r>
          </w:p>
        </w:tc>
        <w:tc>
          <w:tcPr>
            <w:tcW w:w="0" w:type="auto"/>
            <w:hideMark/>
          </w:tcPr>
          <w:p w14:paraId="01CB4AD7" w14:textId="77777777" w:rsidR="00F622D8" w:rsidRPr="007979A7" w:rsidRDefault="00F622D8" w:rsidP="001E4206">
            <w:pPr>
              <w:rPr>
                <w:rFonts w:ascii="Arial" w:hAnsi="Arial" w:cs="Arial"/>
                <w:b/>
                <w:bCs/>
              </w:rPr>
            </w:pPr>
            <w:r w:rsidRPr="007979A7">
              <w:rPr>
                <w:rFonts w:ascii="Arial" w:hAnsi="Arial" w:cs="Arial"/>
                <w:b/>
                <w:bCs/>
              </w:rPr>
              <w:t>Quantitative Range / Effect</w:t>
            </w:r>
          </w:p>
        </w:tc>
        <w:tc>
          <w:tcPr>
            <w:tcW w:w="0" w:type="auto"/>
            <w:hideMark/>
          </w:tcPr>
          <w:p w14:paraId="6F02C902" w14:textId="77777777" w:rsidR="00F622D8" w:rsidRPr="007979A7" w:rsidRDefault="00F622D8" w:rsidP="001E4206">
            <w:pPr>
              <w:rPr>
                <w:rFonts w:ascii="Arial" w:hAnsi="Arial" w:cs="Arial"/>
                <w:b/>
                <w:bCs/>
              </w:rPr>
            </w:pPr>
            <w:r w:rsidRPr="007979A7">
              <w:rPr>
                <w:rFonts w:ascii="Arial" w:hAnsi="Arial" w:cs="Arial"/>
                <w:b/>
                <w:bCs/>
              </w:rPr>
              <w:t>Practical Implication</w:t>
            </w:r>
          </w:p>
        </w:tc>
        <w:tc>
          <w:tcPr>
            <w:tcW w:w="0" w:type="auto"/>
            <w:hideMark/>
          </w:tcPr>
          <w:p w14:paraId="58E646B1" w14:textId="77777777" w:rsidR="00F622D8" w:rsidRPr="007979A7" w:rsidRDefault="00F622D8" w:rsidP="001E4206">
            <w:pPr>
              <w:rPr>
                <w:rFonts w:ascii="Arial" w:hAnsi="Arial" w:cs="Arial"/>
                <w:b/>
                <w:bCs/>
              </w:rPr>
            </w:pPr>
            <w:r w:rsidRPr="007979A7">
              <w:rPr>
                <w:rFonts w:ascii="Arial" w:hAnsi="Arial" w:cs="Arial"/>
                <w:b/>
                <w:bCs/>
              </w:rPr>
              <w:t>Key References</w:t>
            </w:r>
          </w:p>
        </w:tc>
      </w:tr>
      <w:tr w:rsidR="00F622D8" w:rsidRPr="007979A7" w14:paraId="6D8E00E9" w14:textId="77777777" w:rsidTr="001E4206">
        <w:tc>
          <w:tcPr>
            <w:tcW w:w="1546" w:type="dxa"/>
            <w:hideMark/>
          </w:tcPr>
          <w:p w14:paraId="59EA0370" w14:textId="77777777" w:rsidR="00F622D8" w:rsidRPr="007979A7" w:rsidRDefault="00F622D8" w:rsidP="001E4206">
            <w:pPr>
              <w:rPr>
                <w:rFonts w:ascii="Arial" w:hAnsi="Arial" w:cs="Arial"/>
                <w:b/>
              </w:rPr>
            </w:pPr>
            <w:r w:rsidRPr="007979A7">
              <w:rPr>
                <w:rStyle w:val="Strong"/>
                <w:rFonts w:ascii="Arial" w:hAnsi="Arial" w:cs="Arial"/>
                <w:b w:val="0"/>
              </w:rPr>
              <w:t>Propagation Method</w:t>
            </w:r>
          </w:p>
        </w:tc>
        <w:tc>
          <w:tcPr>
            <w:tcW w:w="0" w:type="auto"/>
            <w:hideMark/>
          </w:tcPr>
          <w:p w14:paraId="0192C345" w14:textId="77777777" w:rsidR="00F622D8" w:rsidRPr="007979A7" w:rsidRDefault="00F622D8" w:rsidP="001E4206">
            <w:pPr>
              <w:rPr>
                <w:rFonts w:ascii="Arial" w:hAnsi="Arial" w:cs="Arial"/>
              </w:rPr>
            </w:pPr>
            <w:r w:rsidRPr="007979A7">
              <w:rPr>
                <w:rFonts w:ascii="Arial" w:hAnsi="Arial" w:cs="Arial"/>
              </w:rPr>
              <w:t>Stem cuttings, coppice shoots, hedge-derived cuttings</w:t>
            </w:r>
          </w:p>
        </w:tc>
        <w:tc>
          <w:tcPr>
            <w:tcW w:w="0" w:type="auto"/>
            <w:hideMark/>
          </w:tcPr>
          <w:p w14:paraId="7659F0E6" w14:textId="77777777" w:rsidR="00F622D8" w:rsidRPr="007979A7" w:rsidRDefault="00F622D8" w:rsidP="001E4206">
            <w:pPr>
              <w:rPr>
                <w:rFonts w:ascii="Arial" w:hAnsi="Arial" w:cs="Arial"/>
              </w:rPr>
            </w:pPr>
            <w:r w:rsidRPr="007979A7">
              <w:rPr>
                <w:rFonts w:ascii="Arial" w:hAnsi="Arial" w:cs="Arial"/>
              </w:rPr>
              <w:t>Moderate success under nursery conditions</w:t>
            </w:r>
          </w:p>
        </w:tc>
        <w:tc>
          <w:tcPr>
            <w:tcW w:w="0" w:type="auto"/>
            <w:hideMark/>
          </w:tcPr>
          <w:p w14:paraId="737BA8A8" w14:textId="77777777" w:rsidR="00F622D8" w:rsidRPr="007979A7" w:rsidRDefault="00F622D8" w:rsidP="001E4206">
            <w:pPr>
              <w:rPr>
                <w:rFonts w:ascii="Arial" w:hAnsi="Arial" w:cs="Arial"/>
              </w:rPr>
            </w:pPr>
            <w:r w:rsidRPr="007979A7">
              <w:rPr>
                <w:rFonts w:ascii="Arial" w:hAnsi="Arial" w:cs="Arial"/>
              </w:rPr>
              <w:t>Widely used intermediate technique</w:t>
            </w:r>
          </w:p>
        </w:tc>
        <w:tc>
          <w:tcPr>
            <w:tcW w:w="0" w:type="auto"/>
            <w:hideMark/>
          </w:tcPr>
          <w:p w14:paraId="6A021935" w14:textId="77777777" w:rsidR="00F622D8" w:rsidRPr="007979A7" w:rsidRDefault="00F622D8" w:rsidP="001E4206">
            <w:pPr>
              <w:rPr>
                <w:rFonts w:ascii="Arial" w:hAnsi="Arial" w:cs="Arial"/>
              </w:rPr>
            </w:pPr>
            <w:r w:rsidRPr="007979A7">
              <w:rPr>
                <w:rFonts w:ascii="Arial" w:hAnsi="Arial" w:cs="Arial"/>
              </w:rPr>
              <w:t xml:space="preserve">Husen and Pal (2006); Goh and </w:t>
            </w:r>
            <w:proofErr w:type="spellStart"/>
            <w:r w:rsidRPr="007979A7">
              <w:rPr>
                <w:rFonts w:ascii="Arial" w:hAnsi="Arial" w:cs="Arial"/>
              </w:rPr>
              <w:t>Monteuuis</w:t>
            </w:r>
            <w:proofErr w:type="spellEnd"/>
            <w:r w:rsidRPr="007979A7">
              <w:rPr>
                <w:rFonts w:ascii="Arial" w:hAnsi="Arial" w:cs="Arial"/>
              </w:rPr>
              <w:t xml:space="preserve"> (2016)</w:t>
            </w:r>
          </w:p>
        </w:tc>
      </w:tr>
      <w:tr w:rsidR="00F622D8" w:rsidRPr="007979A7" w14:paraId="384CE856" w14:textId="77777777" w:rsidTr="001E4206">
        <w:tc>
          <w:tcPr>
            <w:tcW w:w="1546" w:type="dxa"/>
            <w:hideMark/>
          </w:tcPr>
          <w:p w14:paraId="7BC5D1BE" w14:textId="77777777" w:rsidR="00F622D8" w:rsidRPr="007979A7" w:rsidRDefault="00F622D8" w:rsidP="001E4206">
            <w:pPr>
              <w:rPr>
                <w:rFonts w:ascii="Arial" w:hAnsi="Arial" w:cs="Arial"/>
                <w:b/>
              </w:rPr>
            </w:pPr>
            <w:r w:rsidRPr="007979A7">
              <w:rPr>
                <w:rStyle w:val="Strong"/>
                <w:rFonts w:ascii="Arial" w:hAnsi="Arial" w:cs="Arial"/>
                <w:b w:val="0"/>
              </w:rPr>
              <w:t>Rooting Success</w:t>
            </w:r>
          </w:p>
        </w:tc>
        <w:tc>
          <w:tcPr>
            <w:tcW w:w="0" w:type="auto"/>
            <w:hideMark/>
          </w:tcPr>
          <w:p w14:paraId="6F0C63D3" w14:textId="77777777" w:rsidR="00F622D8" w:rsidRPr="007979A7" w:rsidRDefault="00F622D8" w:rsidP="001E4206">
            <w:pPr>
              <w:rPr>
                <w:rFonts w:ascii="Arial" w:hAnsi="Arial" w:cs="Arial"/>
              </w:rPr>
            </w:pPr>
            <w:r w:rsidRPr="007979A7">
              <w:rPr>
                <w:rFonts w:ascii="Arial" w:hAnsi="Arial" w:cs="Arial"/>
              </w:rPr>
              <w:t>Strongly influenced by physiological age and environment</w:t>
            </w:r>
          </w:p>
        </w:tc>
        <w:tc>
          <w:tcPr>
            <w:tcW w:w="0" w:type="auto"/>
            <w:hideMark/>
          </w:tcPr>
          <w:p w14:paraId="495E94F5" w14:textId="77777777" w:rsidR="00F622D8" w:rsidRPr="007979A7" w:rsidRDefault="00F622D8" w:rsidP="001E4206">
            <w:pPr>
              <w:rPr>
                <w:rFonts w:ascii="Arial" w:hAnsi="Arial" w:cs="Arial"/>
                <w:b/>
              </w:rPr>
            </w:pPr>
            <w:r w:rsidRPr="007979A7">
              <w:rPr>
                <w:rStyle w:val="Strong"/>
                <w:rFonts w:ascii="Arial" w:hAnsi="Arial" w:cs="Arial"/>
                <w:b w:val="0"/>
              </w:rPr>
              <w:t>40–85% rooting</w:t>
            </w:r>
          </w:p>
        </w:tc>
        <w:tc>
          <w:tcPr>
            <w:tcW w:w="0" w:type="auto"/>
            <w:hideMark/>
          </w:tcPr>
          <w:p w14:paraId="4C8545DB" w14:textId="77777777" w:rsidR="00F622D8" w:rsidRPr="007979A7" w:rsidRDefault="00F622D8" w:rsidP="001E4206">
            <w:pPr>
              <w:rPr>
                <w:rFonts w:ascii="Arial" w:hAnsi="Arial" w:cs="Arial"/>
              </w:rPr>
            </w:pPr>
            <w:r w:rsidRPr="007979A7">
              <w:rPr>
                <w:rFonts w:ascii="Arial" w:hAnsi="Arial" w:cs="Arial"/>
              </w:rPr>
              <w:t>Variable reliability across conditions</w:t>
            </w:r>
          </w:p>
        </w:tc>
        <w:tc>
          <w:tcPr>
            <w:tcW w:w="0" w:type="auto"/>
            <w:hideMark/>
          </w:tcPr>
          <w:p w14:paraId="2FD5CE02" w14:textId="77777777" w:rsidR="00F622D8" w:rsidRPr="007979A7" w:rsidRDefault="00F622D8" w:rsidP="001E4206">
            <w:pPr>
              <w:rPr>
                <w:rFonts w:ascii="Arial" w:hAnsi="Arial" w:cs="Arial"/>
              </w:rPr>
            </w:pPr>
            <w:r w:rsidRPr="007979A7">
              <w:rPr>
                <w:rFonts w:ascii="Arial" w:hAnsi="Arial" w:cs="Arial"/>
              </w:rPr>
              <w:t xml:space="preserve">Husen and Pal (2006); Goh and </w:t>
            </w:r>
            <w:proofErr w:type="spellStart"/>
            <w:r w:rsidRPr="007979A7">
              <w:rPr>
                <w:rFonts w:ascii="Arial" w:hAnsi="Arial" w:cs="Arial"/>
              </w:rPr>
              <w:t>Monteuuis</w:t>
            </w:r>
            <w:proofErr w:type="spellEnd"/>
            <w:r w:rsidRPr="007979A7">
              <w:rPr>
                <w:rFonts w:ascii="Arial" w:hAnsi="Arial" w:cs="Arial"/>
              </w:rPr>
              <w:t xml:space="preserve"> (2016)</w:t>
            </w:r>
          </w:p>
        </w:tc>
      </w:tr>
      <w:tr w:rsidR="00F622D8" w:rsidRPr="007979A7" w14:paraId="2F4C28E8" w14:textId="77777777" w:rsidTr="001E4206">
        <w:tc>
          <w:tcPr>
            <w:tcW w:w="1546" w:type="dxa"/>
            <w:hideMark/>
          </w:tcPr>
          <w:p w14:paraId="7979FB43" w14:textId="77777777" w:rsidR="00F622D8" w:rsidRPr="007979A7" w:rsidRDefault="00F622D8" w:rsidP="001E4206">
            <w:pPr>
              <w:rPr>
                <w:rFonts w:ascii="Arial" w:hAnsi="Arial" w:cs="Arial"/>
                <w:b/>
              </w:rPr>
            </w:pPr>
            <w:r w:rsidRPr="007979A7">
              <w:rPr>
                <w:rStyle w:val="Strong"/>
                <w:rFonts w:ascii="Arial" w:hAnsi="Arial" w:cs="Arial"/>
                <w:b w:val="0"/>
              </w:rPr>
              <w:t>Juvenility Effect</w:t>
            </w:r>
          </w:p>
        </w:tc>
        <w:tc>
          <w:tcPr>
            <w:tcW w:w="0" w:type="auto"/>
            <w:hideMark/>
          </w:tcPr>
          <w:p w14:paraId="57A9393E" w14:textId="77777777" w:rsidR="00F622D8" w:rsidRPr="007979A7" w:rsidRDefault="00F622D8" w:rsidP="001E4206">
            <w:pPr>
              <w:rPr>
                <w:rFonts w:ascii="Arial" w:hAnsi="Arial" w:cs="Arial"/>
              </w:rPr>
            </w:pPr>
            <w:r w:rsidRPr="007979A7">
              <w:rPr>
                <w:rFonts w:ascii="Arial" w:hAnsi="Arial" w:cs="Arial"/>
              </w:rPr>
              <w:t>Juvenile and coppice shoots show higher rooting than mature tissues</w:t>
            </w:r>
          </w:p>
        </w:tc>
        <w:tc>
          <w:tcPr>
            <w:tcW w:w="0" w:type="auto"/>
            <w:hideMark/>
          </w:tcPr>
          <w:p w14:paraId="1205DBC3" w14:textId="77777777" w:rsidR="00F622D8" w:rsidRPr="007979A7" w:rsidRDefault="00F622D8" w:rsidP="001E4206">
            <w:pPr>
              <w:rPr>
                <w:rFonts w:ascii="Arial" w:hAnsi="Arial" w:cs="Arial"/>
              </w:rPr>
            </w:pPr>
            <w:r w:rsidRPr="007979A7">
              <w:rPr>
                <w:rFonts w:ascii="Arial" w:hAnsi="Arial" w:cs="Arial"/>
              </w:rPr>
              <w:t xml:space="preserve">Rooting increase: </w:t>
            </w:r>
            <w:r w:rsidRPr="007979A7">
              <w:rPr>
                <w:rStyle w:val="Strong"/>
                <w:rFonts w:ascii="Arial" w:hAnsi="Arial" w:cs="Arial"/>
                <w:b w:val="0"/>
              </w:rPr>
              <w:t>+25–50%</w:t>
            </w:r>
          </w:p>
        </w:tc>
        <w:tc>
          <w:tcPr>
            <w:tcW w:w="0" w:type="auto"/>
            <w:hideMark/>
          </w:tcPr>
          <w:p w14:paraId="05CC9253" w14:textId="77777777" w:rsidR="00F622D8" w:rsidRPr="007979A7" w:rsidRDefault="00F622D8" w:rsidP="001E4206">
            <w:pPr>
              <w:rPr>
                <w:rFonts w:ascii="Arial" w:hAnsi="Arial" w:cs="Arial"/>
              </w:rPr>
            </w:pPr>
            <w:r w:rsidRPr="007979A7">
              <w:rPr>
                <w:rFonts w:ascii="Arial" w:hAnsi="Arial" w:cs="Arial"/>
              </w:rPr>
              <w:t>Juvenility critical for propagation success</w:t>
            </w:r>
          </w:p>
        </w:tc>
        <w:tc>
          <w:tcPr>
            <w:tcW w:w="0" w:type="auto"/>
            <w:hideMark/>
          </w:tcPr>
          <w:p w14:paraId="14161C66" w14:textId="77777777" w:rsidR="00F622D8" w:rsidRPr="007979A7" w:rsidRDefault="00F622D8" w:rsidP="001E4206">
            <w:pPr>
              <w:rPr>
                <w:rFonts w:ascii="Arial" w:hAnsi="Arial" w:cs="Arial"/>
              </w:rPr>
            </w:pPr>
            <w:proofErr w:type="spellStart"/>
            <w:r w:rsidRPr="007979A7">
              <w:rPr>
                <w:rFonts w:ascii="Arial" w:hAnsi="Arial" w:cs="Arial"/>
              </w:rPr>
              <w:t>Monteuuis</w:t>
            </w:r>
            <w:proofErr w:type="spellEnd"/>
            <w:r w:rsidRPr="007979A7">
              <w:rPr>
                <w:rFonts w:ascii="Arial" w:hAnsi="Arial" w:cs="Arial"/>
              </w:rPr>
              <w:t xml:space="preserve"> and Goh (2014)</w:t>
            </w:r>
          </w:p>
        </w:tc>
      </w:tr>
      <w:tr w:rsidR="00F622D8" w:rsidRPr="007979A7" w14:paraId="01413E4E" w14:textId="77777777" w:rsidTr="001E4206">
        <w:tc>
          <w:tcPr>
            <w:tcW w:w="1546" w:type="dxa"/>
            <w:hideMark/>
          </w:tcPr>
          <w:p w14:paraId="17CA1A6F" w14:textId="77777777" w:rsidR="00F622D8" w:rsidRPr="007979A7" w:rsidRDefault="00F622D8" w:rsidP="001E4206">
            <w:pPr>
              <w:rPr>
                <w:rFonts w:ascii="Arial" w:hAnsi="Arial" w:cs="Arial"/>
                <w:b/>
              </w:rPr>
            </w:pPr>
            <w:r w:rsidRPr="007979A7">
              <w:rPr>
                <w:rStyle w:val="Strong"/>
                <w:rFonts w:ascii="Arial" w:hAnsi="Arial" w:cs="Arial"/>
                <w:b w:val="0"/>
              </w:rPr>
              <w:t>Source of Cuttings</w:t>
            </w:r>
          </w:p>
        </w:tc>
        <w:tc>
          <w:tcPr>
            <w:tcW w:w="0" w:type="auto"/>
            <w:hideMark/>
          </w:tcPr>
          <w:p w14:paraId="3F64D91C" w14:textId="77777777" w:rsidR="00F622D8" w:rsidRPr="007979A7" w:rsidRDefault="00F622D8" w:rsidP="001E4206">
            <w:pPr>
              <w:rPr>
                <w:rFonts w:ascii="Arial" w:hAnsi="Arial" w:cs="Arial"/>
              </w:rPr>
            </w:pPr>
            <w:r w:rsidRPr="007979A7">
              <w:rPr>
                <w:rFonts w:ascii="Arial" w:hAnsi="Arial" w:cs="Arial"/>
              </w:rPr>
              <w:t>Coppice shoots &gt; hedge shoots &gt; mature crown shoots</w:t>
            </w:r>
          </w:p>
        </w:tc>
        <w:tc>
          <w:tcPr>
            <w:tcW w:w="0" w:type="auto"/>
            <w:hideMark/>
          </w:tcPr>
          <w:p w14:paraId="1AE9D746" w14:textId="77777777" w:rsidR="00F622D8" w:rsidRPr="007979A7" w:rsidRDefault="00F622D8" w:rsidP="001E4206">
            <w:pPr>
              <w:rPr>
                <w:rFonts w:ascii="Arial" w:hAnsi="Arial" w:cs="Arial"/>
              </w:rPr>
            </w:pPr>
            <w:r w:rsidRPr="007979A7">
              <w:rPr>
                <w:rFonts w:ascii="Arial" w:hAnsi="Arial" w:cs="Arial"/>
              </w:rPr>
              <w:t>Significant variation in rooting efficiency</w:t>
            </w:r>
          </w:p>
        </w:tc>
        <w:tc>
          <w:tcPr>
            <w:tcW w:w="0" w:type="auto"/>
            <w:hideMark/>
          </w:tcPr>
          <w:p w14:paraId="17F45294" w14:textId="77777777" w:rsidR="00F622D8" w:rsidRPr="007979A7" w:rsidRDefault="00F622D8" w:rsidP="001E4206">
            <w:pPr>
              <w:rPr>
                <w:rFonts w:ascii="Arial" w:hAnsi="Arial" w:cs="Arial"/>
              </w:rPr>
            </w:pPr>
            <w:r w:rsidRPr="007979A7">
              <w:rPr>
                <w:rFonts w:ascii="Arial" w:hAnsi="Arial" w:cs="Arial"/>
              </w:rPr>
              <w:t>Selection of planting material essential</w:t>
            </w:r>
          </w:p>
        </w:tc>
        <w:tc>
          <w:tcPr>
            <w:tcW w:w="0" w:type="auto"/>
            <w:hideMark/>
          </w:tcPr>
          <w:p w14:paraId="1310A972" w14:textId="77777777" w:rsidR="00F622D8" w:rsidRPr="007979A7" w:rsidRDefault="00F622D8" w:rsidP="001E4206">
            <w:pPr>
              <w:rPr>
                <w:rFonts w:ascii="Arial" w:hAnsi="Arial" w:cs="Arial"/>
              </w:rPr>
            </w:pPr>
            <w:r w:rsidRPr="007979A7">
              <w:rPr>
                <w:rFonts w:ascii="Arial" w:hAnsi="Arial" w:cs="Arial"/>
              </w:rPr>
              <w:t xml:space="preserve">Goh and </w:t>
            </w:r>
            <w:proofErr w:type="spellStart"/>
            <w:r w:rsidRPr="007979A7">
              <w:rPr>
                <w:rFonts w:ascii="Arial" w:hAnsi="Arial" w:cs="Arial"/>
              </w:rPr>
              <w:t>Monteuuis</w:t>
            </w:r>
            <w:proofErr w:type="spellEnd"/>
            <w:r w:rsidRPr="007979A7">
              <w:rPr>
                <w:rFonts w:ascii="Arial" w:hAnsi="Arial" w:cs="Arial"/>
              </w:rPr>
              <w:t xml:space="preserve"> (2016); </w:t>
            </w:r>
            <w:proofErr w:type="spellStart"/>
            <w:r w:rsidRPr="007979A7">
              <w:rPr>
                <w:rFonts w:ascii="Arial" w:hAnsi="Arial" w:cs="Arial"/>
              </w:rPr>
              <w:t>Husen</w:t>
            </w:r>
            <w:proofErr w:type="spellEnd"/>
            <w:r w:rsidRPr="007979A7">
              <w:rPr>
                <w:rFonts w:ascii="Arial" w:hAnsi="Arial" w:cs="Arial"/>
              </w:rPr>
              <w:t xml:space="preserve"> and Pal (2006)</w:t>
            </w:r>
          </w:p>
        </w:tc>
      </w:tr>
      <w:tr w:rsidR="00F622D8" w:rsidRPr="007979A7" w14:paraId="0B4A145D" w14:textId="77777777" w:rsidTr="001E4206">
        <w:tc>
          <w:tcPr>
            <w:tcW w:w="1546" w:type="dxa"/>
            <w:hideMark/>
          </w:tcPr>
          <w:p w14:paraId="3EFFD92E" w14:textId="77777777" w:rsidR="00F622D8" w:rsidRPr="007979A7" w:rsidRDefault="00F622D8" w:rsidP="001E4206">
            <w:pPr>
              <w:rPr>
                <w:rFonts w:ascii="Arial" w:hAnsi="Arial" w:cs="Arial"/>
                <w:b/>
              </w:rPr>
            </w:pPr>
            <w:r w:rsidRPr="007979A7">
              <w:rPr>
                <w:rStyle w:val="Strong"/>
                <w:rFonts w:ascii="Arial" w:hAnsi="Arial" w:cs="Arial"/>
                <w:b w:val="0"/>
              </w:rPr>
              <w:t>Hormonal Regulation (IBA)</w:t>
            </w:r>
          </w:p>
        </w:tc>
        <w:tc>
          <w:tcPr>
            <w:tcW w:w="0" w:type="auto"/>
            <w:hideMark/>
          </w:tcPr>
          <w:p w14:paraId="783B7EF1" w14:textId="77777777" w:rsidR="00F622D8" w:rsidRPr="007979A7" w:rsidRDefault="00F622D8" w:rsidP="001E4206">
            <w:pPr>
              <w:rPr>
                <w:rFonts w:ascii="Arial" w:hAnsi="Arial" w:cs="Arial"/>
              </w:rPr>
            </w:pPr>
            <w:r w:rsidRPr="007979A7">
              <w:rPr>
                <w:rFonts w:ascii="Arial" w:hAnsi="Arial" w:cs="Arial"/>
              </w:rPr>
              <w:t>Indole-3-butyric acid enhances root initiation</w:t>
            </w:r>
          </w:p>
        </w:tc>
        <w:tc>
          <w:tcPr>
            <w:tcW w:w="0" w:type="auto"/>
            <w:hideMark/>
          </w:tcPr>
          <w:p w14:paraId="1D81E8ED" w14:textId="77777777" w:rsidR="00F622D8" w:rsidRPr="007979A7" w:rsidRDefault="00F622D8" w:rsidP="001E4206">
            <w:pPr>
              <w:rPr>
                <w:rFonts w:ascii="Arial" w:hAnsi="Arial" w:cs="Arial"/>
              </w:rPr>
            </w:pPr>
            <w:r w:rsidRPr="007979A7">
              <w:rPr>
                <w:rFonts w:ascii="Arial" w:hAnsi="Arial" w:cs="Arial"/>
              </w:rPr>
              <w:t xml:space="preserve">Rooting increase: </w:t>
            </w:r>
            <w:r w:rsidRPr="007979A7">
              <w:rPr>
                <w:rStyle w:val="Strong"/>
                <w:rFonts w:ascii="Arial" w:hAnsi="Arial" w:cs="Arial"/>
                <w:b w:val="0"/>
              </w:rPr>
              <w:t>+20–40%</w:t>
            </w:r>
            <w:r w:rsidRPr="007979A7">
              <w:rPr>
                <w:rFonts w:ascii="Arial" w:hAnsi="Arial" w:cs="Arial"/>
              </w:rPr>
              <w:t xml:space="preserve"> (optimal 1000–3000 ppm)</w:t>
            </w:r>
          </w:p>
        </w:tc>
        <w:tc>
          <w:tcPr>
            <w:tcW w:w="0" w:type="auto"/>
            <w:hideMark/>
          </w:tcPr>
          <w:p w14:paraId="1BD18BDD" w14:textId="77777777" w:rsidR="00F622D8" w:rsidRPr="007979A7" w:rsidRDefault="00F622D8" w:rsidP="001E4206">
            <w:pPr>
              <w:rPr>
                <w:rFonts w:ascii="Arial" w:hAnsi="Arial" w:cs="Arial"/>
              </w:rPr>
            </w:pPr>
            <w:r w:rsidRPr="007979A7">
              <w:rPr>
                <w:rFonts w:ascii="Arial" w:hAnsi="Arial" w:cs="Arial"/>
              </w:rPr>
              <w:t>Standard practice in nurseries</w:t>
            </w:r>
          </w:p>
        </w:tc>
        <w:tc>
          <w:tcPr>
            <w:tcW w:w="0" w:type="auto"/>
            <w:hideMark/>
          </w:tcPr>
          <w:p w14:paraId="50EF66DD" w14:textId="77777777" w:rsidR="00F622D8" w:rsidRPr="007979A7" w:rsidRDefault="00F622D8" w:rsidP="001E4206">
            <w:pPr>
              <w:rPr>
                <w:rFonts w:ascii="Arial" w:hAnsi="Arial" w:cs="Arial"/>
              </w:rPr>
            </w:pPr>
            <w:r w:rsidRPr="007979A7">
              <w:rPr>
                <w:rFonts w:ascii="Arial" w:hAnsi="Arial" w:cs="Arial"/>
              </w:rPr>
              <w:t>Tiwari et al. (2002); Husen and Pal (2006)</w:t>
            </w:r>
          </w:p>
        </w:tc>
      </w:tr>
      <w:tr w:rsidR="00F622D8" w:rsidRPr="007979A7" w14:paraId="730E3EB7" w14:textId="77777777" w:rsidTr="001E4206">
        <w:tc>
          <w:tcPr>
            <w:tcW w:w="1546" w:type="dxa"/>
            <w:hideMark/>
          </w:tcPr>
          <w:p w14:paraId="33FBF2BA" w14:textId="77777777" w:rsidR="00F622D8" w:rsidRPr="007979A7" w:rsidRDefault="00F622D8" w:rsidP="001E4206">
            <w:pPr>
              <w:rPr>
                <w:rFonts w:ascii="Arial" w:hAnsi="Arial" w:cs="Arial"/>
                <w:b/>
              </w:rPr>
            </w:pPr>
            <w:r w:rsidRPr="007979A7">
              <w:rPr>
                <w:rStyle w:val="Strong"/>
                <w:rFonts w:ascii="Arial" w:hAnsi="Arial" w:cs="Arial"/>
                <w:b w:val="0"/>
              </w:rPr>
              <w:t>Substrate Influence</w:t>
            </w:r>
          </w:p>
        </w:tc>
        <w:tc>
          <w:tcPr>
            <w:tcW w:w="0" w:type="auto"/>
            <w:hideMark/>
          </w:tcPr>
          <w:p w14:paraId="639B9339" w14:textId="77777777" w:rsidR="00F622D8" w:rsidRPr="007979A7" w:rsidRDefault="00F622D8" w:rsidP="001E4206">
            <w:pPr>
              <w:rPr>
                <w:rFonts w:ascii="Arial" w:hAnsi="Arial" w:cs="Arial"/>
              </w:rPr>
            </w:pPr>
            <w:r w:rsidRPr="007979A7">
              <w:rPr>
                <w:rFonts w:ascii="Arial" w:hAnsi="Arial" w:cs="Arial"/>
              </w:rPr>
              <w:t>Well-drained media (sand, vermiculite, cocopeat) improves rooting</w:t>
            </w:r>
          </w:p>
        </w:tc>
        <w:tc>
          <w:tcPr>
            <w:tcW w:w="0" w:type="auto"/>
            <w:hideMark/>
          </w:tcPr>
          <w:p w14:paraId="626BE0C0" w14:textId="77777777" w:rsidR="00F622D8" w:rsidRPr="007979A7" w:rsidRDefault="00F622D8" w:rsidP="001E4206">
            <w:pPr>
              <w:rPr>
                <w:rFonts w:ascii="Arial" w:hAnsi="Arial" w:cs="Arial"/>
              </w:rPr>
            </w:pPr>
            <w:r w:rsidRPr="007979A7">
              <w:rPr>
                <w:rFonts w:ascii="Arial" w:hAnsi="Arial" w:cs="Arial"/>
              </w:rPr>
              <w:t xml:space="preserve">Rooting increase: </w:t>
            </w:r>
            <w:r w:rsidRPr="007979A7">
              <w:rPr>
                <w:rStyle w:val="Strong"/>
                <w:rFonts w:ascii="Arial" w:hAnsi="Arial" w:cs="Arial"/>
                <w:b w:val="0"/>
              </w:rPr>
              <w:t>+10–20%</w:t>
            </w:r>
          </w:p>
        </w:tc>
        <w:tc>
          <w:tcPr>
            <w:tcW w:w="0" w:type="auto"/>
            <w:hideMark/>
          </w:tcPr>
          <w:p w14:paraId="5F9A06EE" w14:textId="77777777" w:rsidR="00F622D8" w:rsidRPr="007979A7" w:rsidRDefault="00F622D8" w:rsidP="001E4206">
            <w:pPr>
              <w:rPr>
                <w:rFonts w:ascii="Arial" w:hAnsi="Arial" w:cs="Arial"/>
              </w:rPr>
            </w:pPr>
            <w:r w:rsidRPr="007979A7">
              <w:rPr>
                <w:rFonts w:ascii="Arial" w:hAnsi="Arial" w:cs="Arial"/>
              </w:rPr>
              <w:t>Nursery media optimization needed</w:t>
            </w:r>
          </w:p>
        </w:tc>
        <w:tc>
          <w:tcPr>
            <w:tcW w:w="0" w:type="auto"/>
            <w:hideMark/>
          </w:tcPr>
          <w:p w14:paraId="3308C8DB" w14:textId="77777777" w:rsidR="00F622D8" w:rsidRPr="007979A7" w:rsidRDefault="00F622D8" w:rsidP="001E4206">
            <w:pPr>
              <w:rPr>
                <w:rFonts w:ascii="Arial" w:hAnsi="Arial" w:cs="Arial"/>
              </w:rPr>
            </w:pPr>
            <w:r w:rsidRPr="007979A7">
              <w:rPr>
                <w:rFonts w:ascii="Arial" w:hAnsi="Arial" w:cs="Arial"/>
              </w:rPr>
              <w:t>Husen and Pal (2006)</w:t>
            </w:r>
          </w:p>
        </w:tc>
      </w:tr>
      <w:tr w:rsidR="00F622D8" w:rsidRPr="007979A7" w14:paraId="02DC9152" w14:textId="77777777" w:rsidTr="001E4206">
        <w:tc>
          <w:tcPr>
            <w:tcW w:w="1546" w:type="dxa"/>
            <w:hideMark/>
          </w:tcPr>
          <w:p w14:paraId="0488E56D" w14:textId="77777777" w:rsidR="00F622D8" w:rsidRPr="007979A7" w:rsidRDefault="00F622D8" w:rsidP="001E4206">
            <w:pPr>
              <w:rPr>
                <w:rFonts w:ascii="Arial" w:hAnsi="Arial" w:cs="Arial"/>
                <w:b/>
              </w:rPr>
            </w:pPr>
            <w:r w:rsidRPr="007979A7">
              <w:rPr>
                <w:rStyle w:val="Strong"/>
                <w:rFonts w:ascii="Arial" w:hAnsi="Arial" w:cs="Arial"/>
                <w:b w:val="0"/>
              </w:rPr>
              <w:t>Seasonal Effect</w:t>
            </w:r>
          </w:p>
        </w:tc>
        <w:tc>
          <w:tcPr>
            <w:tcW w:w="0" w:type="auto"/>
            <w:hideMark/>
          </w:tcPr>
          <w:p w14:paraId="12D62C4A" w14:textId="77777777" w:rsidR="00F622D8" w:rsidRPr="007979A7" w:rsidRDefault="00F622D8" w:rsidP="001E4206">
            <w:pPr>
              <w:rPr>
                <w:rFonts w:ascii="Arial" w:hAnsi="Arial" w:cs="Arial"/>
              </w:rPr>
            </w:pPr>
            <w:r w:rsidRPr="007979A7">
              <w:rPr>
                <w:rFonts w:ascii="Arial" w:hAnsi="Arial" w:cs="Arial"/>
              </w:rPr>
              <w:t>Higher rooting during active growth periods</w:t>
            </w:r>
          </w:p>
        </w:tc>
        <w:tc>
          <w:tcPr>
            <w:tcW w:w="0" w:type="auto"/>
            <w:hideMark/>
          </w:tcPr>
          <w:p w14:paraId="3D6DD45F" w14:textId="77777777" w:rsidR="00F622D8" w:rsidRPr="007979A7" w:rsidRDefault="00F622D8" w:rsidP="001E4206">
            <w:pPr>
              <w:rPr>
                <w:rFonts w:ascii="Arial" w:hAnsi="Arial" w:cs="Arial"/>
              </w:rPr>
            </w:pPr>
            <w:r w:rsidRPr="007979A7">
              <w:rPr>
                <w:rFonts w:ascii="Arial" w:hAnsi="Arial" w:cs="Arial"/>
              </w:rPr>
              <w:t xml:space="preserve">Variation: </w:t>
            </w:r>
            <w:r w:rsidRPr="007979A7">
              <w:rPr>
                <w:rStyle w:val="Strong"/>
                <w:rFonts w:ascii="Arial" w:hAnsi="Arial" w:cs="Arial"/>
                <w:b w:val="0"/>
              </w:rPr>
              <w:t>+15–30%</w:t>
            </w:r>
          </w:p>
        </w:tc>
        <w:tc>
          <w:tcPr>
            <w:tcW w:w="0" w:type="auto"/>
            <w:hideMark/>
          </w:tcPr>
          <w:p w14:paraId="397910E9" w14:textId="77777777" w:rsidR="00F622D8" w:rsidRPr="007979A7" w:rsidRDefault="00F622D8" w:rsidP="001E4206">
            <w:pPr>
              <w:rPr>
                <w:rFonts w:ascii="Arial" w:hAnsi="Arial" w:cs="Arial"/>
              </w:rPr>
            </w:pPr>
            <w:r w:rsidRPr="007979A7">
              <w:rPr>
                <w:rFonts w:ascii="Arial" w:hAnsi="Arial" w:cs="Arial"/>
              </w:rPr>
              <w:t>Timing of propagation critical</w:t>
            </w:r>
          </w:p>
        </w:tc>
        <w:tc>
          <w:tcPr>
            <w:tcW w:w="0" w:type="auto"/>
            <w:hideMark/>
          </w:tcPr>
          <w:p w14:paraId="748A90A9" w14:textId="77777777" w:rsidR="00F622D8" w:rsidRPr="007979A7" w:rsidRDefault="00F622D8" w:rsidP="001E4206">
            <w:pPr>
              <w:rPr>
                <w:rFonts w:ascii="Arial" w:hAnsi="Arial" w:cs="Arial"/>
              </w:rPr>
            </w:pPr>
            <w:proofErr w:type="spellStart"/>
            <w:r w:rsidRPr="007979A7">
              <w:rPr>
                <w:rFonts w:ascii="Arial" w:hAnsi="Arial" w:cs="Arial"/>
              </w:rPr>
              <w:t>Monteuuis</w:t>
            </w:r>
            <w:proofErr w:type="spellEnd"/>
            <w:r w:rsidRPr="007979A7">
              <w:rPr>
                <w:rFonts w:ascii="Arial" w:hAnsi="Arial" w:cs="Arial"/>
              </w:rPr>
              <w:t xml:space="preserve"> and Goh (2014)</w:t>
            </w:r>
          </w:p>
        </w:tc>
      </w:tr>
      <w:tr w:rsidR="00F622D8" w:rsidRPr="007979A7" w14:paraId="0FEB9DA9" w14:textId="77777777" w:rsidTr="001E4206">
        <w:tc>
          <w:tcPr>
            <w:tcW w:w="1546" w:type="dxa"/>
            <w:hideMark/>
          </w:tcPr>
          <w:p w14:paraId="62BF95E2" w14:textId="77777777" w:rsidR="00F622D8" w:rsidRPr="007979A7" w:rsidRDefault="00F622D8" w:rsidP="001E4206">
            <w:pPr>
              <w:rPr>
                <w:rFonts w:ascii="Arial" w:hAnsi="Arial" w:cs="Arial"/>
                <w:b/>
              </w:rPr>
            </w:pPr>
            <w:r w:rsidRPr="007979A7">
              <w:rPr>
                <w:rStyle w:val="Strong"/>
                <w:rFonts w:ascii="Arial" w:hAnsi="Arial" w:cs="Arial"/>
                <w:b w:val="0"/>
              </w:rPr>
              <w:t>Field Establishment</w:t>
            </w:r>
          </w:p>
        </w:tc>
        <w:tc>
          <w:tcPr>
            <w:tcW w:w="0" w:type="auto"/>
            <w:hideMark/>
          </w:tcPr>
          <w:p w14:paraId="6AE5E78D" w14:textId="77777777" w:rsidR="00F622D8" w:rsidRPr="007979A7" w:rsidRDefault="00F622D8" w:rsidP="001E4206">
            <w:pPr>
              <w:rPr>
                <w:rFonts w:ascii="Arial" w:hAnsi="Arial" w:cs="Arial"/>
              </w:rPr>
            </w:pPr>
            <w:r w:rsidRPr="007979A7">
              <w:rPr>
                <w:rFonts w:ascii="Arial" w:hAnsi="Arial" w:cs="Arial"/>
              </w:rPr>
              <w:t>Moderate survival compared to clonal systems</w:t>
            </w:r>
          </w:p>
        </w:tc>
        <w:tc>
          <w:tcPr>
            <w:tcW w:w="0" w:type="auto"/>
            <w:hideMark/>
          </w:tcPr>
          <w:p w14:paraId="10F10503" w14:textId="77777777" w:rsidR="00F622D8" w:rsidRPr="007979A7" w:rsidRDefault="00F622D8" w:rsidP="001E4206">
            <w:pPr>
              <w:rPr>
                <w:rFonts w:ascii="Arial" w:hAnsi="Arial" w:cs="Arial"/>
              </w:rPr>
            </w:pPr>
            <w:r w:rsidRPr="007979A7">
              <w:rPr>
                <w:rFonts w:ascii="Arial" w:hAnsi="Arial" w:cs="Arial"/>
              </w:rPr>
              <w:t xml:space="preserve">Survival: </w:t>
            </w:r>
            <w:r w:rsidRPr="007979A7">
              <w:rPr>
                <w:rStyle w:val="Strong"/>
                <w:rFonts w:ascii="Arial" w:hAnsi="Arial" w:cs="Arial"/>
                <w:b w:val="0"/>
              </w:rPr>
              <w:t>60–80%</w:t>
            </w:r>
          </w:p>
        </w:tc>
        <w:tc>
          <w:tcPr>
            <w:tcW w:w="0" w:type="auto"/>
            <w:hideMark/>
          </w:tcPr>
          <w:p w14:paraId="0959F014" w14:textId="77777777" w:rsidR="00F622D8" w:rsidRPr="007979A7" w:rsidRDefault="00F622D8" w:rsidP="001E4206">
            <w:pPr>
              <w:rPr>
                <w:rFonts w:ascii="Arial" w:hAnsi="Arial" w:cs="Arial"/>
              </w:rPr>
            </w:pPr>
            <w:r w:rsidRPr="007979A7">
              <w:rPr>
                <w:rFonts w:ascii="Arial" w:hAnsi="Arial" w:cs="Arial"/>
              </w:rPr>
              <w:t>Suitable for small to medium-scale plantations</w:t>
            </w:r>
          </w:p>
        </w:tc>
        <w:tc>
          <w:tcPr>
            <w:tcW w:w="0" w:type="auto"/>
            <w:hideMark/>
          </w:tcPr>
          <w:p w14:paraId="5A5BD447" w14:textId="77777777" w:rsidR="00F622D8" w:rsidRPr="007979A7" w:rsidRDefault="00F622D8" w:rsidP="001E4206">
            <w:pPr>
              <w:rPr>
                <w:rFonts w:ascii="Arial" w:hAnsi="Arial" w:cs="Arial"/>
              </w:rPr>
            </w:pPr>
            <w:r w:rsidRPr="007979A7">
              <w:rPr>
                <w:rFonts w:ascii="Arial" w:hAnsi="Arial" w:cs="Arial"/>
              </w:rPr>
              <w:t>Midgley et al. (2015)</w:t>
            </w:r>
          </w:p>
        </w:tc>
      </w:tr>
      <w:tr w:rsidR="00F622D8" w:rsidRPr="007979A7" w14:paraId="54A10AD5" w14:textId="77777777" w:rsidTr="001E4206">
        <w:tc>
          <w:tcPr>
            <w:tcW w:w="1546" w:type="dxa"/>
            <w:hideMark/>
          </w:tcPr>
          <w:p w14:paraId="5D0C0527" w14:textId="77777777" w:rsidR="00F622D8" w:rsidRPr="007979A7" w:rsidRDefault="00F622D8" w:rsidP="001E4206">
            <w:pPr>
              <w:rPr>
                <w:rFonts w:ascii="Arial" w:hAnsi="Arial" w:cs="Arial"/>
                <w:b/>
              </w:rPr>
            </w:pPr>
            <w:r w:rsidRPr="007979A7">
              <w:rPr>
                <w:rStyle w:val="Strong"/>
                <w:rFonts w:ascii="Arial" w:hAnsi="Arial" w:cs="Arial"/>
                <w:b w:val="0"/>
              </w:rPr>
              <w:t>Operational Limitation</w:t>
            </w:r>
          </w:p>
        </w:tc>
        <w:tc>
          <w:tcPr>
            <w:tcW w:w="0" w:type="auto"/>
            <w:hideMark/>
          </w:tcPr>
          <w:p w14:paraId="312EA22E" w14:textId="77777777" w:rsidR="00F622D8" w:rsidRPr="007979A7" w:rsidRDefault="00F622D8" w:rsidP="001E4206">
            <w:pPr>
              <w:rPr>
                <w:rFonts w:ascii="Arial" w:hAnsi="Arial" w:cs="Arial"/>
              </w:rPr>
            </w:pPr>
            <w:r w:rsidRPr="007979A7">
              <w:rPr>
                <w:rFonts w:ascii="Arial" w:hAnsi="Arial" w:cs="Arial"/>
              </w:rPr>
              <w:t>High variability and lower scalability</w:t>
            </w:r>
          </w:p>
        </w:tc>
        <w:tc>
          <w:tcPr>
            <w:tcW w:w="0" w:type="auto"/>
            <w:hideMark/>
          </w:tcPr>
          <w:p w14:paraId="65107F99" w14:textId="77777777" w:rsidR="00F622D8" w:rsidRPr="007979A7" w:rsidRDefault="00F622D8" w:rsidP="001E4206">
            <w:pPr>
              <w:rPr>
                <w:rFonts w:ascii="Arial" w:hAnsi="Arial" w:cs="Arial"/>
              </w:rPr>
            </w:pPr>
            <w:r w:rsidRPr="007979A7">
              <w:rPr>
                <w:rFonts w:ascii="Arial" w:hAnsi="Arial" w:cs="Arial"/>
              </w:rPr>
              <w:t>Not ideal for industrial scale</w:t>
            </w:r>
          </w:p>
        </w:tc>
        <w:tc>
          <w:tcPr>
            <w:tcW w:w="0" w:type="auto"/>
            <w:hideMark/>
          </w:tcPr>
          <w:p w14:paraId="44FBF5F6" w14:textId="77777777" w:rsidR="00F622D8" w:rsidRPr="007979A7" w:rsidRDefault="00F622D8" w:rsidP="001E4206">
            <w:pPr>
              <w:rPr>
                <w:rFonts w:ascii="Arial" w:hAnsi="Arial" w:cs="Arial"/>
              </w:rPr>
            </w:pPr>
            <w:r w:rsidRPr="007979A7">
              <w:rPr>
                <w:rFonts w:ascii="Arial" w:hAnsi="Arial" w:cs="Arial"/>
              </w:rPr>
              <w:t>Transitional method toward clonal forestry</w:t>
            </w:r>
          </w:p>
        </w:tc>
        <w:tc>
          <w:tcPr>
            <w:tcW w:w="0" w:type="auto"/>
            <w:hideMark/>
          </w:tcPr>
          <w:p w14:paraId="1117AEFE" w14:textId="77777777" w:rsidR="00F622D8" w:rsidRPr="007979A7" w:rsidRDefault="00F622D8" w:rsidP="001E4206">
            <w:pPr>
              <w:rPr>
                <w:rFonts w:ascii="Arial" w:hAnsi="Arial" w:cs="Arial"/>
              </w:rPr>
            </w:pPr>
            <w:proofErr w:type="spellStart"/>
            <w:r w:rsidRPr="007979A7">
              <w:rPr>
                <w:rFonts w:ascii="Arial" w:hAnsi="Arial" w:cs="Arial"/>
              </w:rPr>
              <w:t>Monteuuis</w:t>
            </w:r>
            <w:proofErr w:type="spellEnd"/>
            <w:r w:rsidRPr="007979A7">
              <w:rPr>
                <w:rFonts w:ascii="Arial" w:hAnsi="Arial" w:cs="Arial"/>
              </w:rPr>
              <w:t xml:space="preserve"> and Goh (2014)</w:t>
            </w:r>
          </w:p>
        </w:tc>
      </w:tr>
    </w:tbl>
    <w:p w14:paraId="41296EF0" w14:textId="77777777" w:rsidR="00F622D8" w:rsidRPr="007979A7" w:rsidRDefault="00F622D8" w:rsidP="00F622D8">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rPr>
        <w:lastRenderedPageBreak/>
        <w:t xml:space="preserve">A major finding from Table 2 is the strong influence of </w:t>
      </w:r>
      <w:r w:rsidRPr="007979A7">
        <w:rPr>
          <w:rStyle w:val="Strong"/>
          <w:rFonts w:ascii="Arial" w:hAnsi="Arial" w:cs="Arial"/>
          <w:b w:val="0"/>
          <w:sz w:val="20"/>
          <w:szCs w:val="20"/>
        </w:rPr>
        <w:t>juvenility on rooting performance</w:t>
      </w:r>
      <w:r w:rsidRPr="007979A7">
        <w:rPr>
          <w:rFonts w:ascii="Arial" w:hAnsi="Arial" w:cs="Arial"/>
          <w:sz w:val="20"/>
          <w:szCs w:val="20"/>
        </w:rPr>
        <w:t xml:space="preserve">. Juvenile and coppice-derived shoots consistently root better than mature crown tissues, with rooting enhancement of </w:t>
      </w:r>
      <w:r w:rsidRPr="007979A7">
        <w:rPr>
          <w:rStyle w:val="Strong"/>
          <w:rFonts w:ascii="Arial" w:hAnsi="Arial" w:cs="Arial"/>
          <w:b w:val="0"/>
          <w:sz w:val="20"/>
          <w:szCs w:val="20"/>
        </w:rPr>
        <w:t>25–50%</w:t>
      </w:r>
      <w:r w:rsidRPr="007979A7">
        <w:rPr>
          <w:rFonts w:ascii="Arial" w:hAnsi="Arial" w:cs="Arial"/>
          <w:b/>
          <w:sz w:val="20"/>
          <w:szCs w:val="20"/>
        </w:rPr>
        <w:t>,</w:t>
      </w:r>
      <w:r w:rsidRPr="007979A7">
        <w:rPr>
          <w:rFonts w:ascii="Arial" w:hAnsi="Arial" w:cs="Arial"/>
          <w:sz w:val="20"/>
          <w:szCs w:val="20"/>
        </w:rPr>
        <w:t xml:space="preserve"> demonstrating that physiological age is the most critical determinant of rooting success (</w:t>
      </w:r>
      <w:proofErr w:type="spellStart"/>
      <w:r w:rsidRPr="007979A7">
        <w:rPr>
          <w:rFonts w:ascii="Arial" w:hAnsi="Arial" w:cs="Arial"/>
          <w:sz w:val="20"/>
          <w:szCs w:val="20"/>
        </w:rPr>
        <w:t>Monteuuis</w:t>
      </w:r>
      <w:proofErr w:type="spellEnd"/>
      <w:r w:rsidRPr="007979A7">
        <w:rPr>
          <w:rFonts w:ascii="Arial" w:hAnsi="Arial" w:cs="Arial"/>
          <w:sz w:val="20"/>
          <w:szCs w:val="20"/>
        </w:rPr>
        <w:t xml:space="preserve"> and Goh, 2014). The ranking of cutting sources </w:t>
      </w:r>
      <w:r w:rsidRPr="007979A7">
        <w:rPr>
          <w:rStyle w:val="Strong"/>
          <w:rFonts w:ascii="Arial" w:hAnsi="Arial" w:cs="Arial"/>
          <w:b w:val="0"/>
          <w:sz w:val="20"/>
          <w:szCs w:val="20"/>
        </w:rPr>
        <w:t>coppice shoots &gt; hedge shoots &gt; mature crown shoots</w:t>
      </w:r>
      <w:r w:rsidRPr="007979A7">
        <w:rPr>
          <w:rFonts w:ascii="Arial" w:hAnsi="Arial" w:cs="Arial"/>
          <w:sz w:val="20"/>
          <w:szCs w:val="20"/>
        </w:rPr>
        <w:t xml:space="preserve"> clearly indicates that rejuvenated propagules possess superior physiological competence for adventitious root formation. This reflects higher endogenous auxin levels, reduced lignification, and stronger meristematic activity in juvenile tissues, making coppicing and hedge management essential for maintaining propagation efficiency.</w:t>
      </w:r>
    </w:p>
    <w:p w14:paraId="6D91B3B1" w14:textId="77777777" w:rsidR="00F622D8" w:rsidRPr="007979A7" w:rsidRDefault="00F622D8" w:rsidP="00F622D8">
      <w:pPr>
        <w:spacing w:line="276" w:lineRule="auto"/>
        <w:jc w:val="both"/>
        <w:rPr>
          <w:rFonts w:ascii="Arial" w:hAnsi="Arial" w:cs="Arial"/>
          <w:bCs/>
        </w:rPr>
      </w:pPr>
      <w:r w:rsidRPr="007979A7">
        <w:rPr>
          <w:rFonts w:ascii="Arial" w:hAnsi="Arial" w:cs="Arial"/>
        </w:rPr>
        <w:t xml:space="preserve">Hormonal regulation plays an equally important role in root induction. As shown in Table 2, application of </w:t>
      </w:r>
      <w:r w:rsidRPr="007979A7">
        <w:rPr>
          <w:rStyle w:val="Strong"/>
          <w:rFonts w:ascii="Arial" w:hAnsi="Arial" w:cs="Arial"/>
          <w:b w:val="0"/>
        </w:rPr>
        <w:t>indole-3-butyric acid (IBA)</w:t>
      </w:r>
      <w:r w:rsidRPr="007979A7">
        <w:rPr>
          <w:rFonts w:ascii="Arial" w:hAnsi="Arial" w:cs="Arial"/>
        </w:rPr>
        <w:t xml:space="preserve"> at optimal concentrations of </w:t>
      </w:r>
      <w:r w:rsidRPr="007979A7">
        <w:rPr>
          <w:rStyle w:val="Strong"/>
          <w:rFonts w:ascii="Arial" w:hAnsi="Arial" w:cs="Arial"/>
          <w:b w:val="0"/>
        </w:rPr>
        <w:t>1000–3000 ppm</w:t>
      </w:r>
      <w:r w:rsidRPr="007979A7">
        <w:rPr>
          <w:rFonts w:ascii="Arial" w:hAnsi="Arial" w:cs="Arial"/>
        </w:rPr>
        <w:t xml:space="preserve"> increases rooting success by </w:t>
      </w:r>
      <w:r w:rsidRPr="007979A7">
        <w:rPr>
          <w:rStyle w:val="Strong"/>
          <w:rFonts w:ascii="Arial" w:hAnsi="Arial" w:cs="Arial"/>
          <w:b w:val="0"/>
        </w:rPr>
        <w:t>20–40%</w:t>
      </w:r>
      <w:r w:rsidRPr="007979A7">
        <w:rPr>
          <w:rFonts w:ascii="Arial" w:hAnsi="Arial" w:cs="Arial"/>
          <w:b/>
        </w:rPr>
        <w:t>,</w:t>
      </w:r>
      <w:r w:rsidRPr="007979A7">
        <w:rPr>
          <w:rFonts w:ascii="Arial" w:hAnsi="Arial" w:cs="Arial"/>
        </w:rPr>
        <w:t xml:space="preserve"> confirming its central role in stimulating adventitious root initiation (Tiwari et al., 2002; Husen and Pal, 2006). The detailed phytohormonal data in </w:t>
      </w:r>
      <w:r w:rsidRPr="007979A7">
        <w:rPr>
          <w:rStyle w:val="Strong"/>
          <w:rFonts w:ascii="Arial" w:hAnsi="Arial" w:cs="Arial"/>
          <w:b w:val="0"/>
        </w:rPr>
        <w:t>Table 3</w:t>
      </w:r>
      <w:r w:rsidRPr="007979A7">
        <w:rPr>
          <w:rFonts w:ascii="Arial" w:hAnsi="Arial" w:cs="Arial"/>
        </w:rPr>
        <w:t xml:space="preserve"> further demonstrate that different combinations of auxins and additives significantly influence rooting response. For example, Anantha and Vijayalakshmi (1994) obtained </w:t>
      </w:r>
      <w:r w:rsidRPr="007979A7">
        <w:rPr>
          <w:rStyle w:val="Strong"/>
          <w:rFonts w:ascii="Arial" w:hAnsi="Arial" w:cs="Arial"/>
          <w:b w:val="0"/>
        </w:rPr>
        <w:t>60–80% rooting</w:t>
      </w:r>
      <w:r w:rsidRPr="007979A7">
        <w:rPr>
          <w:rFonts w:ascii="Arial" w:hAnsi="Arial" w:cs="Arial"/>
        </w:rPr>
        <w:t xml:space="preserve"> using IBA + NAA + sucrose treatment, while Ansari et al. (2002) reported </w:t>
      </w:r>
      <w:r w:rsidRPr="007979A7">
        <w:rPr>
          <w:rStyle w:val="Strong"/>
          <w:rFonts w:ascii="Arial" w:hAnsi="Arial" w:cs="Arial"/>
          <w:b w:val="0"/>
        </w:rPr>
        <w:t>50.83% rooting</w:t>
      </w:r>
      <w:r w:rsidRPr="007979A7">
        <w:rPr>
          <w:rFonts w:ascii="Arial" w:hAnsi="Arial" w:cs="Arial"/>
        </w:rPr>
        <w:t xml:space="preserve"> using high-dose IBA (1000 ppm) combined with thiamine. These findings indicate that both hormone concentration and exposure duration are critical for optimizing </w:t>
      </w:r>
      <w:proofErr w:type="spellStart"/>
      <w:r w:rsidRPr="007979A7">
        <w:rPr>
          <w:rFonts w:ascii="Arial" w:hAnsi="Arial" w:cs="Arial"/>
        </w:rPr>
        <w:t>rooting</w:t>
      </w:r>
      <w:proofErr w:type="spellEnd"/>
      <w:r w:rsidRPr="007979A7">
        <w:rPr>
          <w:rFonts w:ascii="Arial" w:hAnsi="Arial" w:cs="Arial"/>
        </w:rPr>
        <w:t xml:space="preserve"> protocols.</w:t>
      </w:r>
    </w:p>
    <w:p w14:paraId="09A78A96" w14:textId="77777777" w:rsidR="00F622D8" w:rsidRPr="007979A7" w:rsidRDefault="00F622D8" w:rsidP="00F622D8">
      <w:pPr>
        <w:spacing w:before="120" w:line="276" w:lineRule="auto"/>
        <w:jc w:val="both"/>
        <w:rPr>
          <w:rFonts w:ascii="Arial" w:hAnsi="Arial" w:cs="Arial"/>
          <w:bCs/>
        </w:rPr>
      </w:pPr>
      <w:r w:rsidRPr="007979A7">
        <w:rPr>
          <w:rFonts w:ascii="Arial" w:hAnsi="Arial" w:cs="Arial"/>
          <w:bCs/>
        </w:rPr>
        <w:t>Table 3. Phytohormones used for vegetative propagation of teak by different researchers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2"/>
        <w:gridCol w:w="1370"/>
        <w:gridCol w:w="1484"/>
        <w:gridCol w:w="2650"/>
      </w:tblGrid>
      <w:tr w:rsidR="00F622D8" w:rsidRPr="007979A7" w14:paraId="1D0B53DD" w14:textId="77777777" w:rsidTr="001E4206">
        <w:tc>
          <w:tcPr>
            <w:tcW w:w="3060" w:type="dxa"/>
          </w:tcPr>
          <w:p w14:paraId="7B7C4493" w14:textId="77777777" w:rsidR="00F622D8" w:rsidRPr="007979A7" w:rsidRDefault="00F622D8" w:rsidP="001E4206">
            <w:pPr>
              <w:pStyle w:val="NoSpacing"/>
              <w:rPr>
                <w:rFonts w:ascii="Arial" w:hAnsi="Arial" w:cs="Arial"/>
                <w:b/>
                <w:sz w:val="20"/>
                <w:szCs w:val="20"/>
              </w:rPr>
            </w:pPr>
            <w:r w:rsidRPr="007979A7">
              <w:rPr>
                <w:rFonts w:ascii="Arial" w:hAnsi="Arial" w:cs="Arial"/>
                <w:b/>
                <w:sz w:val="20"/>
                <w:szCs w:val="20"/>
              </w:rPr>
              <w:t>Phytohormone</w:t>
            </w:r>
          </w:p>
        </w:tc>
        <w:tc>
          <w:tcPr>
            <w:tcW w:w="1440" w:type="dxa"/>
          </w:tcPr>
          <w:p w14:paraId="695FC26C" w14:textId="77777777" w:rsidR="00F622D8" w:rsidRPr="007979A7" w:rsidRDefault="00F622D8" w:rsidP="001E4206">
            <w:pPr>
              <w:pStyle w:val="NoSpacing"/>
              <w:rPr>
                <w:rFonts w:ascii="Arial" w:hAnsi="Arial" w:cs="Arial"/>
                <w:b/>
                <w:sz w:val="20"/>
                <w:szCs w:val="20"/>
              </w:rPr>
            </w:pPr>
            <w:r w:rsidRPr="007979A7">
              <w:rPr>
                <w:rFonts w:ascii="Arial" w:hAnsi="Arial" w:cs="Arial"/>
                <w:b/>
                <w:sz w:val="20"/>
                <w:szCs w:val="20"/>
              </w:rPr>
              <w:t>Duration</w:t>
            </w:r>
          </w:p>
        </w:tc>
        <w:tc>
          <w:tcPr>
            <w:tcW w:w="1596" w:type="dxa"/>
          </w:tcPr>
          <w:p w14:paraId="19B28F5D" w14:textId="77777777" w:rsidR="00F622D8" w:rsidRPr="007979A7" w:rsidRDefault="00F622D8" w:rsidP="001E4206">
            <w:pPr>
              <w:pStyle w:val="NoSpacing"/>
              <w:rPr>
                <w:rFonts w:ascii="Arial" w:hAnsi="Arial" w:cs="Arial"/>
                <w:b/>
                <w:sz w:val="20"/>
                <w:szCs w:val="20"/>
              </w:rPr>
            </w:pPr>
            <w:r w:rsidRPr="007979A7">
              <w:rPr>
                <w:rFonts w:ascii="Arial" w:hAnsi="Arial" w:cs="Arial"/>
                <w:b/>
                <w:sz w:val="20"/>
                <w:szCs w:val="20"/>
              </w:rPr>
              <w:t>Percent of rooting</w:t>
            </w:r>
          </w:p>
        </w:tc>
        <w:tc>
          <w:tcPr>
            <w:tcW w:w="2904" w:type="dxa"/>
          </w:tcPr>
          <w:p w14:paraId="7232AC5D" w14:textId="77777777" w:rsidR="00F622D8" w:rsidRPr="007979A7" w:rsidRDefault="00F622D8" w:rsidP="001E4206">
            <w:pPr>
              <w:pStyle w:val="NoSpacing"/>
              <w:rPr>
                <w:rFonts w:ascii="Arial" w:hAnsi="Arial" w:cs="Arial"/>
                <w:b/>
                <w:sz w:val="20"/>
                <w:szCs w:val="20"/>
              </w:rPr>
            </w:pPr>
            <w:r w:rsidRPr="007979A7">
              <w:rPr>
                <w:rFonts w:ascii="Arial" w:hAnsi="Arial" w:cs="Arial"/>
                <w:b/>
                <w:sz w:val="20"/>
                <w:szCs w:val="20"/>
              </w:rPr>
              <w:t>References</w:t>
            </w:r>
          </w:p>
        </w:tc>
      </w:tr>
      <w:tr w:rsidR="00F622D8" w:rsidRPr="007979A7" w14:paraId="787174DD" w14:textId="77777777" w:rsidTr="001E4206">
        <w:tc>
          <w:tcPr>
            <w:tcW w:w="3060" w:type="dxa"/>
          </w:tcPr>
          <w:p w14:paraId="569D044C" w14:textId="77777777" w:rsidR="00F622D8" w:rsidRPr="007979A7" w:rsidRDefault="00F622D8" w:rsidP="001E4206">
            <w:pPr>
              <w:pStyle w:val="NoSpacing"/>
              <w:rPr>
                <w:rFonts w:ascii="Arial" w:hAnsi="Arial" w:cs="Arial"/>
                <w:kern w:val="0"/>
                <w:sz w:val="20"/>
                <w:szCs w:val="20"/>
              </w:rPr>
            </w:pPr>
            <w:r w:rsidRPr="007979A7">
              <w:rPr>
                <w:rFonts w:ascii="Arial" w:hAnsi="Arial" w:cs="Arial"/>
                <w:kern w:val="0"/>
                <w:sz w:val="20"/>
                <w:szCs w:val="20"/>
              </w:rPr>
              <w:t>NAA 100 /</w:t>
            </w:r>
          </w:p>
          <w:p w14:paraId="60BACE98" w14:textId="77777777" w:rsidR="00F622D8" w:rsidRPr="007979A7" w:rsidRDefault="00F622D8" w:rsidP="001E4206">
            <w:pPr>
              <w:pStyle w:val="NoSpacing"/>
              <w:rPr>
                <w:rFonts w:ascii="Arial" w:hAnsi="Arial" w:cs="Arial"/>
                <w:kern w:val="0"/>
                <w:sz w:val="20"/>
                <w:szCs w:val="20"/>
              </w:rPr>
            </w:pPr>
            <w:r w:rsidRPr="007979A7">
              <w:rPr>
                <w:rFonts w:ascii="Arial" w:hAnsi="Arial" w:cs="Arial"/>
                <w:kern w:val="0"/>
                <w:sz w:val="20"/>
                <w:szCs w:val="20"/>
              </w:rPr>
              <w:t>IBA+NAA 200 ppm</w:t>
            </w:r>
          </w:p>
        </w:tc>
        <w:tc>
          <w:tcPr>
            <w:tcW w:w="1440" w:type="dxa"/>
          </w:tcPr>
          <w:p w14:paraId="79948823" w14:textId="77777777" w:rsidR="00F622D8" w:rsidRPr="007979A7" w:rsidRDefault="00F622D8" w:rsidP="001E4206">
            <w:pPr>
              <w:pStyle w:val="NoSpacing"/>
              <w:rPr>
                <w:rFonts w:ascii="Arial" w:hAnsi="Arial" w:cs="Arial"/>
                <w:kern w:val="0"/>
                <w:sz w:val="20"/>
                <w:szCs w:val="20"/>
              </w:rPr>
            </w:pPr>
            <w:r w:rsidRPr="007979A7">
              <w:rPr>
                <w:rFonts w:ascii="Arial" w:hAnsi="Arial" w:cs="Arial"/>
                <w:kern w:val="0"/>
                <w:sz w:val="20"/>
                <w:szCs w:val="20"/>
              </w:rPr>
              <w:t>24 hours</w:t>
            </w:r>
          </w:p>
        </w:tc>
        <w:tc>
          <w:tcPr>
            <w:tcW w:w="1596" w:type="dxa"/>
          </w:tcPr>
          <w:p w14:paraId="5237AEA2" w14:textId="77777777" w:rsidR="00F622D8" w:rsidRPr="007979A7" w:rsidRDefault="00F622D8" w:rsidP="001E4206">
            <w:pPr>
              <w:pStyle w:val="NoSpacing"/>
              <w:rPr>
                <w:rFonts w:ascii="Arial" w:hAnsi="Arial" w:cs="Arial"/>
                <w:kern w:val="0"/>
                <w:sz w:val="20"/>
                <w:szCs w:val="20"/>
              </w:rPr>
            </w:pPr>
            <w:r w:rsidRPr="007979A7">
              <w:rPr>
                <w:rFonts w:ascii="Arial" w:hAnsi="Arial" w:cs="Arial"/>
                <w:kern w:val="0"/>
                <w:sz w:val="20"/>
                <w:szCs w:val="20"/>
              </w:rPr>
              <w:t>60 %</w:t>
            </w:r>
          </w:p>
        </w:tc>
        <w:tc>
          <w:tcPr>
            <w:tcW w:w="2904" w:type="dxa"/>
          </w:tcPr>
          <w:p w14:paraId="3D3369DF" w14:textId="77777777" w:rsidR="00F622D8" w:rsidRPr="007979A7" w:rsidRDefault="00F622D8" w:rsidP="001E4206">
            <w:pPr>
              <w:pStyle w:val="NoSpacing"/>
              <w:rPr>
                <w:rFonts w:ascii="Arial" w:hAnsi="Arial" w:cs="Arial"/>
                <w:kern w:val="0"/>
                <w:sz w:val="20"/>
                <w:szCs w:val="20"/>
              </w:rPr>
            </w:pPr>
            <w:r w:rsidRPr="007979A7">
              <w:rPr>
                <w:rFonts w:ascii="Arial" w:hAnsi="Arial" w:cs="Arial"/>
                <w:kern w:val="0"/>
                <w:sz w:val="20"/>
                <w:szCs w:val="20"/>
              </w:rPr>
              <w:t>Nautiyal et al</w:t>
            </w:r>
            <w:r w:rsidRPr="007979A7">
              <w:rPr>
                <w:rFonts w:ascii="Arial" w:hAnsi="Arial" w:cs="Arial"/>
                <w:i/>
                <w:kern w:val="0"/>
                <w:sz w:val="20"/>
                <w:szCs w:val="20"/>
              </w:rPr>
              <w:t>.</w:t>
            </w:r>
            <w:r w:rsidRPr="007979A7">
              <w:rPr>
                <w:rFonts w:ascii="Arial" w:hAnsi="Arial" w:cs="Arial"/>
                <w:kern w:val="0"/>
                <w:sz w:val="20"/>
                <w:szCs w:val="20"/>
              </w:rPr>
              <w:t xml:space="preserve"> (1991)</w:t>
            </w:r>
          </w:p>
        </w:tc>
      </w:tr>
      <w:tr w:rsidR="00F622D8" w:rsidRPr="007979A7" w14:paraId="7EB4ACC1" w14:textId="77777777" w:rsidTr="001E4206">
        <w:tc>
          <w:tcPr>
            <w:tcW w:w="3060" w:type="dxa"/>
          </w:tcPr>
          <w:p w14:paraId="339D2EDB" w14:textId="77777777" w:rsidR="00F622D8" w:rsidRPr="007979A7" w:rsidRDefault="00F622D8" w:rsidP="001E4206">
            <w:pPr>
              <w:pStyle w:val="NoSpacing"/>
              <w:rPr>
                <w:rFonts w:ascii="Arial" w:hAnsi="Arial" w:cs="Arial"/>
                <w:kern w:val="0"/>
                <w:sz w:val="20"/>
                <w:szCs w:val="20"/>
              </w:rPr>
            </w:pPr>
            <w:r w:rsidRPr="007979A7">
              <w:rPr>
                <w:rFonts w:ascii="Arial" w:hAnsi="Arial" w:cs="Arial"/>
                <w:kern w:val="0"/>
                <w:sz w:val="20"/>
                <w:szCs w:val="20"/>
              </w:rPr>
              <w:t>IBA 100/200 ppm</w:t>
            </w:r>
          </w:p>
          <w:p w14:paraId="301B690B" w14:textId="77777777" w:rsidR="00F622D8" w:rsidRPr="007979A7" w:rsidRDefault="00F622D8" w:rsidP="001E4206">
            <w:pPr>
              <w:pStyle w:val="NoSpacing"/>
              <w:rPr>
                <w:rFonts w:ascii="Arial" w:hAnsi="Arial" w:cs="Arial"/>
                <w:kern w:val="0"/>
                <w:sz w:val="20"/>
                <w:szCs w:val="20"/>
              </w:rPr>
            </w:pPr>
            <w:r w:rsidRPr="007979A7">
              <w:rPr>
                <w:rFonts w:ascii="Arial" w:hAnsi="Arial" w:cs="Arial"/>
                <w:kern w:val="0"/>
                <w:sz w:val="20"/>
                <w:szCs w:val="20"/>
              </w:rPr>
              <w:t>NAA 100 ppm</w:t>
            </w:r>
          </w:p>
        </w:tc>
        <w:tc>
          <w:tcPr>
            <w:tcW w:w="1440" w:type="dxa"/>
          </w:tcPr>
          <w:p w14:paraId="26998A8A" w14:textId="77777777" w:rsidR="00F622D8" w:rsidRPr="007979A7" w:rsidRDefault="00F622D8" w:rsidP="001E4206">
            <w:pPr>
              <w:pStyle w:val="NoSpacing"/>
              <w:rPr>
                <w:rFonts w:ascii="Arial" w:hAnsi="Arial" w:cs="Arial"/>
                <w:kern w:val="0"/>
                <w:sz w:val="20"/>
                <w:szCs w:val="20"/>
              </w:rPr>
            </w:pPr>
            <w:r w:rsidRPr="007979A7">
              <w:rPr>
                <w:rFonts w:ascii="Arial" w:hAnsi="Arial" w:cs="Arial"/>
                <w:kern w:val="0"/>
                <w:sz w:val="20"/>
                <w:szCs w:val="20"/>
              </w:rPr>
              <w:t>24 hours</w:t>
            </w:r>
          </w:p>
        </w:tc>
        <w:tc>
          <w:tcPr>
            <w:tcW w:w="1596" w:type="dxa"/>
          </w:tcPr>
          <w:p w14:paraId="6B6484CE" w14:textId="77777777" w:rsidR="00F622D8" w:rsidRPr="007979A7" w:rsidRDefault="00F622D8" w:rsidP="001E4206">
            <w:pPr>
              <w:pStyle w:val="NoSpacing"/>
              <w:rPr>
                <w:rFonts w:ascii="Arial" w:hAnsi="Arial" w:cs="Arial"/>
                <w:kern w:val="0"/>
                <w:sz w:val="20"/>
                <w:szCs w:val="20"/>
              </w:rPr>
            </w:pPr>
            <w:r w:rsidRPr="007979A7">
              <w:rPr>
                <w:rFonts w:ascii="Arial" w:hAnsi="Arial" w:cs="Arial"/>
                <w:kern w:val="0"/>
                <w:sz w:val="20"/>
                <w:szCs w:val="20"/>
              </w:rPr>
              <w:t>40%</w:t>
            </w:r>
          </w:p>
        </w:tc>
        <w:tc>
          <w:tcPr>
            <w:tcW w:w="2904" w:type="dxa"/>
          </w:tcPr>
          <w:p w14:paraId="0A47C747" w14:textId="77777777" w:rsidR="00F622D8" w:rsidRPr="007979A7" w:rsidRDefault="00F622D8" w:rsidP="001E4206">
            <w:pPr>
              <w:pStyle w:val="NoSpacing"/>
              <w:rPr>
                <w:rFonts w:ascii="Arial" w:hAnsi="Arial" w:cs="Arial"/>
                <w:kern w:val="0"/>
                <w:sz w:val="20"/>
                <w:szCs w:val="20"/>
              </w:rPr>
            </w:pPr>
            <w:r w:rsidRPr="007979A7">
              <w:rPr>
                <w:rFonts w:ascii="Arial" w:hAnsi="Arial" w:cs="Arial"/>
                <w:kern w:val="0"/>
                <w:sz w:val="20"/>
                <w:szCs w:val="20"/>
              </w:rPr>
              <w:t>Nautiyal et al</w:t>
            </w:r>
            <w:r w:rsidRPr="007979A7">
              <w:rPr>
                <w:rFonts w:ascii="Arial" w:hAnsi="Arial" w:cs="Arial"/>
                <w:i/>
                <w:kern w:val="0"/>
                <w:sz w:val="20"/>
                <w:szCs w:val="20"/>
              </w:rPr>
              <w:t xml:space="preserve">. </w:t>
            </w:r>
            <w:r w:rsidRPr="007979A7">
              <w:rPr>
                <w:rFonts w:ascii="Arial" w:hAnsi="Arial" w:cs="Arial"/>
                <w:kern w:val="0"/>
                <w:sz w:val="20"/>
                <w:szCs w:val="20"/>
              </w:rPr>
              <w:t>(1992)</w:t>
            </w:r>
          </w:p>
        </w:tc>
      </w:tr>
      <w:tr w:rsidR="00F622D8" w:rsidRPr="007979A7" w14:paraId="790F058C" w14:textId="77777777" w:rsidTr="001E4206">
        <w:tc>
          <w:tcPr>
            <w:tcW w:w="3060" w:type="dxa"/>
          </w:tcPr>
          <w:p w14:paraId="745470A1" w14:textId="77777777" w:rsidR="00F622D8" w:rsidRPr="007979A7" w:rsidRDefault="00F622D8" w:rsidP="001E4206">
            <w:pPr>
              <w:pStyle w:val="NoSpacing"/>
              <w:rPr>
                <w:rFonts w:ascii="Arial" w:hAnsi="Arial" w:cs="Arial"/>
                <w:kern w:val="0"/>
                <w:sz w:val="20"/>
                <w:szCs w:val="20"/>
              </w:rPr>
            </w:pPr>
            <w:r w:rsidRPr="007979A7">
              <w:rPr>
                <w:rFonts w:ascii="Arial" w:hAnsi="Arial" w:cs="Arial"/>
                <w:kern w:val="0"/>
                <w:sz w:val="20"/>
                <w:szCs w:val="20"/>
              </w:rPr>
              <w:t xml:space="preserve">IBA 100 + NAA </w:t>
            </w:r>
          </w:p>
          <w:p w14:paraId="6671CEE4" w14:textId="77777777" w:rsidR="00F622D8" w:rsidRPr="007979A7" w:rsidRDefault="00F622D8" w:rsidP="001E4206">
            <w:pPr>
              <w:pStyle w:val="NoSpacing"/>
              <w:rPr>
                <w:rFonts w:ascii="Arial" w:hAnsi="Arial" w:cs="Arial"/>
                <w:kern w:val="0"/>
                <w:sz w:val="20"/>
                <w:szCs w:val="20"/>
              </w:rPr>
            </w:pPr>
            <w:r w:rsidRPr="007979A7">
              <w:rPr>
                <w:rFonts w:ascii="Arial" w:hAnsi="Arial" w:cs="Arial"/>
                <w:kern w:val="0"/>
                <w:sz w:val="20"/>
                <w:szCs w:val="20"/>
              </w:rPr>
              <w:t>100 +Sucrose 100 ppm</w:t>
            </w:r>
          </w:p>
        </w:tc>
        <w:tc>
          <w:tcPr>
            <w:tcW w:w="1440" w:type="dxa"/>
          </w:tcPr>
          <w:p w14:paraId="371AEB27" w14:textId="77777777" w:rsidR="00F622D8" w:rsidRPr="007979A7" w:rsidRDefault="00F622D8" w:rsidP="001E4206">
            <w:pPr>
              <w:pStyle w:val="NoSpacing"/>
              <w:rPr>
                <w:rFonts w:ascii="Arial" w:hAnsi="Arial" w:cs="Arial"/>
                <w:kern w:val="0"/>
                <w:sz w:val="20"/>
                <w:szCs w:val="20"/>
              </w:rPr>
            </w:pPr>
            <w:r w:rsidRPr="007979A7">
              <w:rPr>
                <w:rFonts w:ascii="Arial" w:hAnsi="Arial" w:cs="Arial"/>
                <w:kern w:val="0"/>
                <w:sz w:val="20"/>
                <w:szCs w:val="20"/>
              </w:rPr>
              <w:t>2-3 hours</w:t>
            </w:r>
          </w:p>
        </w:tc>
        <w:tc>
          <w:tcPr>
            <w:tcW w:w="1596" w:type="dxa"/>
          </w:tcPr>
          <w:p w14:paraId="1EBC0758" w14:textId="77777777" w:rsidR="00F622D8" w:rsidRPr="007979A7" w:rsidRDefault="00F622D8" w:rsidP="001E4206">
            <w:pPr>
              <w:pStyle w:val="NoSpacing"/>
              <w:rPr>
                <w:rFonts w:ascii="Arial" w:hAnsi="Arial" w:cs="Arial"/>
                <w:kern w:val="0"/>
                <w:sz w:val="20"/>
                <w:szCs w:val="20"/>
              </w:rPr>
            </w:pPr>
            <w:r w:rsidRPr="007979A7">
              <w:rPr>
                <w:rFonts w:ascii="Arial" w:hAnsi="Arial" w:cs="Arial"/>
                <w:kern w:val="0"/>
                <w:sz w:val="20"/>
                <w:szCs w:val="20"/>
              </w:rPr>
              <w:t>60-80%</w:t>
            </w:r>
          </w:p>
        </w:tc>
        <w:tc>
          <w:tcPr>
            <w:tcW w:w="2904" w:type="dxa"/>
          </w:tcPr>
          <w:p w14:paraId="2E727C15" w14:textId="77777777" w:rsidR="00F622D8" w:rsidRPr="007979A7" w:rsidRDefault="00F622D8" w:rsidP="001E4206">
            <w:pPr>
              <w:pStyle w:val="NoSpacing"/>
              <w:rPr>
                <w:rFonts w:ascii="Arial" w:hAnsi="Arial" w:cs="Arial"/>
                <w:kern w:val="0"/>
                <w:sz w:val="20"/>
                <w:szCs w:val="20"/>
              </w:rPr>
            </w:pPr>
            <w:r w:rsidRPr="007979A7">
              <w:rPr>
                <w:rFonts w:ascii="Arial" w:hAnsi="Arial" w:cs="Arial"/>
                <w:kern w:val="0"/>
                <w:sz w:val="20"/>
                <w:szCs w:val="20"/>
              </w:rPr>
              <w:t>Anantha and Vijayalakshmi (1994)</w:t>
            </w:r>
          </w:p>
        </w:tc>
      </w:tr>
      <w:tr w:rsidR="00F622D8" w:rsidRPr="007979A7" w14:paraId="6C035DB1" w14:textId="77777777" w:rsidTr="001E4206">
        <w:tc>
          <w:tcPr>
            <w:tcW w:w="3060" w:type="dxa"/>
          </w:tcPr>
          <w:p w14:paraId="5054B67B" w14:textId="77777777" w:rsidR="00F622D8" w:rsidRPr="007979A7" w:rsidRDefault="00F622D8" w:rsidP="001E4206">
            <w:pPr>
              <w:pStyle w:val="NoSpacing"/>
              <w:rPr>
                <w:rFonts w:ascii="Arial" w:hAnsi="Arial" w:cs="Arial"/>
                <w:kern w:val="0"/>
                <w:sz w:val="20"/>
                <w:szCs w:val="20"/>
              </w:rPr>
            </w:pPr>
            <w:r w:rsidRPr="007979A7">
              <w:rPr>
                <w:rFonts w:ascii="Arial" w:hAnsi="Arial" w:cs="Arial"/>
                <w:kern w:val="0"/>
                <w:sz w:val="20"/>
                <w:szCs w:val="20"/>
              </w:rPr>
              <w:t>lM-200 +Thiamine 200 ppm</w:t>
            </w:r>
          </w:p>
        </w:tc>
        <w:tc>
          <w:tcPr>
            <w:tcW w:w="1440" w:type="dxa"/>
          </w:tcPr>
          <w:p w14:paraId="5CE978CE" w14:textId="77777777" w:rsidR="00F622D8" w:rsidRPr="007979A7" w:rsidRDefault="00F622D8" w:rsidP="001E4206">
            <w:pPr>
              <w:pStyle w:val="NoSpacing"/>
              <w:rPr>
                <w:rFonts w:ascii="Arial" w:hAnsi="Arial" w:cs="Arial"/>
                <w:kern w:val="0"/>
                <w:sz w:val="20"/>
                <w:szCs w:val="20"/>
              </w:rPr>
            </w:pPr>
            <w:r w:rsidRPr="007979A7">
              <w:rPr>
                <w:rFonts w:ascii="Arial" w:hAnsi="Arial" w:cs="Arial"/>
                <w:kern w:val="0"/>
                <w:sz w:val="20"/>
                <w:szCs w:val="20"/>
              </w:rPr>
              <w:t>18 hours</w:t>
            </w:r>
          </w:p>
        </w:tc>
        <w:tc>
          <w:tcPr>
            <w:tcW w:w="1596" w:type="dxa"/>
          </w:tcPr>
          <w:p w14:paraId="03CC54CD" w14:textId="77777777" w:rsidR="00F622D8" w:rsidRPr="007979A7" w:rsidRDefault="00F622D8" w:rsidP="001E4206">
            <w:pPr>
              <w:pStyle w:val="NoSpacing"/>
              <w:rPr>
                <w:rFonts w:ascii="Arial" w:hAnsi="Arial" w:cs="Arial"/>
                <w:kern w:val="0"/>
                <w:sz w:val="20"/>
                <w:szCs w:val="20"/>
              </w:rPr>
            </w:pPr>
            <w:r w:rsidRPr="007979A7">
              <w:rPr>
                <w:rFonts w:ascii="Arial" w:hAnsi="Arial" w:cs="Arial"/>
                <w:kern w:val="0"/>
                <w:sz w:val="20"/>
                <w:szCs w:val="20"/>
              </w:rPr>
              <w:t>50%</w:t>
            </w:r>
          </w:p>
        </w:tc>
        <w:tc>
          <w:tcPr>
            <w:tcW w:w="2904" w:type="dxa"/>
          </w:tcPr>
          <w:p w14:paraId="50DDE768" w14:textId="77777777" w:rsidR="00F622D8" w:rsidRPr="007979A7" w:rsidRDefault="00F622D8" w:rsidP="001E4206">
            <w:pPr>
              <w:pStyle w:val="NoSpacing"/>
              <w:rPr>
                <w:rFonts w:ascii="Arial" w:hAnsi="Arial" w:cs="Arial"/>
                <w:kern w:val="0"/>
                <w:sz w:val="20"/>
                <w:szCs w:val="20"/>
              </w:rPr>
            </w:pPr>
            <w:r w:rsidRPr="007979A7">
              <w:rPr>
                <w:rFonts w:ascii="Arial" w:hAnsi="Arial" w:cs="Arial"/>
                <w:kern w:val="0"/>
                <w:sz w:val="20"/>
                <w:szCs w:val="20"/>
              </w:rPr>
              <w:t>Palanisamy et al. (1995)</w:t>
            </w:r>
          </w:p>
        </w:tc>
      </w:tr>
      <w:tr w:rsidR="00F622D8" w:rsidRPr="007979A7" w14:paraId="65C8654F" w14:textId="77777777" w:rsidTr="001E4206">
        <w:tc>
          <w:tcPr>
            <w:tcW w:w="3060" w:type="dxa"/>
          </w:tcPr>
          <w:p w14:paraId="582E3221" w14:textId="77777777" w:rsidR="00F622D8" w:rsidRPr="007979A7" w:rsidRDefault="00F622D8" w:rsidP="001E4206">
            <w:pPr>
              <w:pStyle w:val="NoSpacing"/>
              <w:rPr>
                <w:rFonts w:ascii="Arial" w:hAnsi="Arial" w:cs="Arial"/>
                <w:kern w:val="0"/>
                <w:sz w:val="20"/>
                <w:szCs w:val="20"/>
              </w:rPr>
            </w:pPr>
            <w:r w:rsidRPr="007979A7">
              <w:rPr>
                <w:rFonts w:ascii="Arial" w:hAnsi="Arial" w:cs="Arial"/>
                <w:kern w:val="0"/>
                <w:sz w:val="20"/>
                <w:szCs w:val="20"/>
              </w:rPr>
              <w:t>IBA  1000 ppm</w:t>
            </w:r>
          </w:p>
        </w:tc>
        <w:tc>
          <w:tcPr>
            <w:tcW w:w="1440" w:type="dxa"/>
          </w:tcPr>
          <w:p w14:paraId="7F460C4D" w14:textId="77777777" w:rsidR="00F622D8" w:rsidRPr="007979A7" w:rsidRDefault="00F622D8" w:rsidP="001E4206">
            <w:pPr>
              <w:pStyle w:val="NoSpacing"/>
              <w:rPr>
                <w:rFonts w:ascii="Arial" w:hAnsi="Arial" w:cs="Arial"/>
                <w:kern w:val="0"/>
                <w:sz w:val="20"/>
                <w:szCs w:val="20"/>
              </w:rPr>
            </w:pPr>
            <w:r w:rsidRPr="007979A7">
              <w:rPr>
                <w:rFonts w:ascii="Arial" w:hAnsi="Arial" w:cs="Arial"/>
                <w:kern w:val="0"/>
                <w:sz w:val="20"/>
                <w:szCs w:val="20"/>
              </w:rPr>
              <w:t>30 minutes</w:t>
            </w:r>
          </w:p>
        </w:tc>
        <w:tc>
          <w:tcPr>
            <w:tcW w:w="1596" w:type="dxa"/>
          </w:tcPr>
          <w:p w14:paraId="3D52F0E4" w14:textId="77777777" w:rsidR="00F622D8" w:rsidRPr="007979A7" w:rsidRDefault="00F622D8" w:rsidP="001E4206">
            <w:pPr>
              <w:pStyle w:val="NoSpacing"/>
              <w:rPr>
                <w:rFonts w:ascii="Arial" w:hAnsi="Arial" w:cs="Arial"/>
                <w:kern w:val="0"/>
                <w:sz w:val="20"/>
                <w:szCs w:val="20"/>
              </w:rPr>
            </w:pPr>
            <w:r w:rsidRPr="007979A7">
              <w:rPr>
                <w:rFonts w:ascii="Arial" w:hAnsi="Arial" w:cs="Arial"/>
                <w:kern w:val="0"/>
                <w:sz w:val="20"/>
                <w:szCs w:val="20"/>
              </w:rPr>
              <w:t>-</w:t>
            </w:r>
          </w:p>
        </w:tc>
        <w:tc>
          <w:tcPr>
            <w:tcW w:w="2904" w:type="dxa"/>
          </w:tcPr>
          <w:p w14:paraId="31F02BAD" w14:textId="77777777" w:rsidR="00F622D8" w:rsidRPr="007979A7" w:rsidRDefault="00F622D8" w:rsidP="001E4206">
            <w:pPr>
              <w:pStyle w:val="NoSpacing"/>
              <w:rPr>
                <w:rFonts w:ascii="Arial" w:hAnsi="Arial" w:cs="Arial"/>
                <w:kern w:val="0"/>
                <w:sz w:val="20"/>
                <w:szCs w:val="20"/>
              </w:rPr>
            </w:pPr>
            <w:r w:rsidRPr="007979A7">
              <w:rPr>
                <w:rFonts w:ascii="Arial" w:hAnsi="Arial" w:cs="Arial"/>
                <w:kern w:val="0"/>
                <w:sz w:val="20"/>
                <w:szCs w:val="20"/>
              </w:rPr>
              <w:t>Mundt (1997)</w:t>
            </w:r>
          </w:p>
        </w:tc>
      </w:tr>
      <w:tr w:rsidR="00F622D8" w:rsidRPr="007979A7" w14:paraId="26300A69" w14:textId="77777777" w:rsidTr="001E4206">
        <w:trPr>
          <w:trHeight w:val="476"/>
        </w:trPr>
        <w:tc>
          <w:tcPr>
            <w:tcW w:w="3060" w:type="dxa"/>
          </w:tcPr>
          <w:p w14:paraId="53E38341" w14:textId="77777777" w:rsidR="00F622D8" w:rsidRPr="007979A7" w:rsidRDefault="00F622D8" w:rsidP="001E4206">
            <w:pPr>
              <w:pStyle w:val="NoSpacing"/>
              <w:rPr>
                <w:rFonts w:ascii="Arial" w:hAnsi="Arial" w:cs="Arial"/>
                <w:kern w:val="0"/>
                <w:sz w:val="20"/>
                <w:szCs w:val="20"/>
              </w:rPr>
            </w:pPr>
            <w:r w:rsidRPr="007979A7">
              <w:rPr>
                <w:rFonts w:ascii="Arial" w:hAnsi="Arial" w:cs="Arial"/>
                <w:kern w:val="0"/>
                <w:sz w:val="20"/>
                <w:szCs w:val="20"/>
              </w:rPr>
              <w:t xml:space="preserve">IBA 1000 </w:t>
            </w:r>
            <w:proofErr w:type="spellStart"/>
            <w:r w:rsidRPr="007979A7">
              <w:rPr>
                <w:rFonts w:ascii="Arial" w:hAnsi="Arial" w:cs="Arial"/>
                <w:kern w:val="0"/>
                <w:sz w:val="20"/>
                <w:szCs w:val="20"/>
              </w:rPr>
              <w:t>ppp</w:t>
            </w:r>
            <w:proofErr w:type="spellEnd"/>
            <w:r w:rsidRPr="007979A7">
              <w:rPr>
                <w:rFonts w:ascii="Arial" w:hAnsi="Arial" w:cs="Arial"/>
                <w:kern w:val="0"/>
                <w:sz w:val="20"/>
                <w:szCs w:val="20"/>
              </w:rPr>
              <w:t xml:space="preserve"> + Thiamine 800 ppm</w:t>
            </w:r>
          </w:p>
        </w:tc>
        <w:tc>
          <w:tcPr>
            <w:tcW w:w="1440" w:type="dxa"/>
          </w:tcPr>
          <w:p w14:paraId="5A2F429B" w14:textId="77777777" w:rsidR="00F622D8" w:rsidRPr="007979A7" w:rsidRDefault="00F622D8" w:rsidP="001E4206">
            <w:pPr>
              <w:pStyle w:val="NoSpacing"/>
              <w:rPr>
                <w:rFonts w:ascii="Arial" w:hAnsi="Arial" w:cs="Arial"/>
                <w:kern w:val="0"/>
                <w:sz w:val="20"/>
                <w:szCs w:val="20"/>
              </w:rPr>
            </w:pPr>
            <w:r w:rsidRPr="007979A7">
              <w:rPr>
                <w:rFonts w:ascii="Arial" w:hAnsi="Arial" w:cs="Arial"/>
                <w:kern w:val="0"/>
                <w:sz w:val="20"/>
                <w:szCs w:val="20"/>
              </w:rPr>
              <w:t>18 hours</w:t>
            </w:r>
          </w:p>
        </w:tc>
        <w:tc>
          <w:tcPr>
            <w:tcW w:w="1596" w:type="dxa"/>
          </w:tcPr>
          <w:p w14:paraId="621B2706" w14:textId="77777777" w:rsidR="00F622D8" w:rsidRPr="007979A7" w:rsidRDefault="00F622D8" w:rsidP="001E4206">
            <w:pPr>
              <w:pStyle w:val="NoSpacing"/>
              <w:rPr>
                <w:rFonts w:ascii="Arial" w:hAnsi="Arial" w:cs="Arial"/>
                <w:kern w:val="0"/>
                <w:sz w:val="20"/>
                <w:szCs w:val="20"/>
              </w:rPr>
            </w:pPr>
            <w:r w:rsidRPr="007979A7">
              <w:rPr>
                <w:rFonts w:ascii="Arial" w:hAnsi="Arial" w:cs="Arial"/>
                <w:kern w:val="0"/>
                <w:sz w:val="20"/>
                <w:szCs w:val="20"/>
              </w:rPr>
              <w:t>50.83 %</w:t>
            </w:r>
          </w:p>
        </w:tc>
        <w:tc>
          <w:tcPr>
            <w:tcW w:w="2904" w:type="dxa"/>
          </w:tcPr>
          <w:p w14:paraId="46B4EE8A" w14:textId="77777777" w:rsidR="00F622D8" w:rsidRPr="007979A7" w:rsidRDefault="00F622D8" w:rsidP="001E4206">
            <w:pPr>
              <w:pStyle w:val="NoSpacing"/>
              <w:rPr>
                <w:rFonts w:ascii="Arial" w:hAnsi="Arial" w:cs="Arial"/>
                <w:kern w:val="0"/>
                <w:sz w:val="20"/>
                <w:szCs w:val="20"/>
              </w:rPr>
            </w:pPr>
            <w:r w:rsidRPr="007979A7">
              <w:rPr>
                <w:rFonts w:ascii="Arial" w:hAnsi="Arial" w:cs="Arial"/>
                <w:kern w:val="0"/>
                <w:sz w:val="20"/>
                <w:szCs w:val="20"/>
              </w:rPr>
              <w:t>Ansari et al.</w:t>
            </w:r>
            <w:r w:rsidRPr="007979A7">
              <w:rPr>
                <w:rFonts w:ascii="Arial" w:hAnsi="Arial" w:cs="Arial"/>
                <w:i/>
                <w:kern w:val="0"/>
                <w:sz w:val="20"/>
                <w:szCs w:val="20"/>
              </w:rPr>
              <w:t xml:space="preserve"> </w:t>
            </w:r>
            <w:r w:rsidRPr="007979A7">
              <w:rPr>
                <w:rFonts w:ascii="Arial" w:hAnsi="Arial" w:cs="Arial"/>
                <w:kern w:val="0"/>
                <w:sz w:val="20"/>
                <w:szCs w:val="20"/>
              </w:rPr>
              <w:t>(2002)</w:t>
            </w:r>
          </w:p>
        </w:tc>
      </w:tr>
      <w:tr w:rsidR="00F622D8" w:rsidRPr="007979A7" w14:paraId="12AEBF34" w14:textId="77777777" w:rsidTr="001E4206">
        <w:trPr>
          <w:trHeight w:val="404"/>
        </w:trPr>
        <w:tc>
          <w:tcPr>
            <w:tcW w:w="3060" w:type="dxa"/>
          </w:tcPr>
          <w:p w14:paraId="1C0C35AA" w14:textId="77777777" w:rsidR="00F622D8" w:rsidRPr="007979A7" w:rsidRDefault="00F622D8" w:rsidP="001E4206">
            <w:pPr>
              <w:autoSpaceDE w:val="0"/>
              <w:autoSpaceDN w:val="0"/>
              <w:adjustRightInd w:val="0"/>
              <w:rPr>
                <w:rFonts w:ascii="Arial" w:hAnsi="Arial" w:cs="Arial"/>
              </w:rPr>
            </w:pPr>
            <w:r w:rsidRPr="007979A7">
              <w:rPr>
                <w:rFonts w:ascii="Arial" w:hAnsi="Arial" w:cs="Arial"/>
              </w:rPr>
              <w:t>Thiamine - 800/1200 ppm</w:t>
            </w:r>
          </w:p>
          <w:p w14:paraId="1B73743B" w14:textId="77777777" w:rsidR="00F622D8" w:rsidRPr="007979A7" w:rsidRDefault="00F622D8" w:rsidP="001E4206">
            <w:pPr>
              <w:autoSpaceDE w:val="0"/>
              <w:autoSpaceDN w:val="0"/>
              <w:adjustRightInd w:val="0"/>
              <w:rPr>
                <w:rFonts w:ascii="Arial" w:hAnsi="Arial" w:cs="Arial"/>
              </w:rPr>
            </w:pPr>
            <w:r w:rsidRPr="007979A7">
              <w:rPr>
                <w:rFonts w:ascii="Arial" w:hAnsi="Arial" w:cs="Arial"/>
              </w:rPr>
              <w:t xml:space="preserve">+  IBA 250 ppm + IAA 125 ppm + NAA 125 ppm </w:t>
            </w:r>
          </w:p>
        </w:tc>
        <w:tc>
          <w:tcPr>
            <w:tcW w:w="1440" w:type="dxa"/>
          </w:tcPr>
          <w:p w14:paraId="373EBB20" w14:textId="77777777" w:rsidR="00F622D8" w:rsidRPr="007979A7" w:rsidRDefault="00F622D8" w:rsidP="001E4206">
            <w:pPr>
              <w:pStyle w:val="NoSpacing"/>
              <w:rPr>
                <w:rFonts w:ascii="Arial" w:hAnsi="Arial" w:cs="Arial"/>
                <w:kern w:val="0"/>
                <w:sz w:val="20"/>
                <w:szCs w:val="20"/>
              </w:rPr>
            </w:pPr>
            <w:r w:rsidRPr="007979A7">
              <w:rPr>
                <w:rFonts w:ascii="Arial" w:hAnsi="Arial" w:cs="Arial"/>
                <w:kern w:val="0"/>
                <w:sz w:val="20"/>
                <w:szCs w:val="20"/>
              </w:rPr>
              <w:t>24 hours</w:t>
            </w:r>
          </w:p>
        </w:tc>
        <w:tc>
          <w:tcPr>
            <w:tcW w:w="1596" w:type="dxa"/>
          </w:tcPr>
          <w:p w14:paraId="7C9D7D3C" w14:textId="77777777" w:rsidR="00F622D8" w:rsidRPr="007979A7" w:rsidRDefault="00F622D8" w:rsidP="001E4206">
            <w:pPr>
              <w:pStyle w:val="NoSpacing"/>
              <w:rPr>
                <w:rFonts w:ascii="Arial" w:hAnsi="Arial" w:cs="Arial"/>
                <w:kern w:val="0"/>
                <w:sz w:val="20"/>
                <w:szCs w:val="20"/>
              </w:rPr>
            </w:pPr>
            <w:r w:rsidRPr="007979A7">
              <w:rPr>
                <w:rFonts w:ascii="Arial" w:hAnsi="Arial" w:cs="Arial"/>
                <w:kern w:val="0"/>
                <w:sz w:val="20"/>
                <w:szCs w:val="20"/>
              </w:rPr>
              <w:t>47.0 - 47.5 %</w:t>
            </w:r>
          </w:p>
        </w:tc>
        <w:tc>
          <w:tcPr>
            <w:tcW w:w="2904" w:type="dxa"/>
          </w:tcPr>
          <w:p w14:paraId="40DA52FE" w14:textId="77777777" w:rsidR="00F622D8" w:rsidRPr="007979A7" w:rsidRDefault="00F622D8" w:rsidP="001E4206">
            <w:pPr>
              <w:pStyle w:val="NoSpacing"/>
              <w:rPr>
                <w:rFonts w:ascii="Arial" w:hAnsi="Arial" w:cs="Arial"/>
                <w:kern w:val="0"/>
                <w:sz w:val="20"/>
                <w:szCs w:val="20"/>
              </w:rPr>
            </w:pPr>
            <w:r w:rsidRPr="007979A7">
              <w:rPr>
                <w:rFonts w:ascii="Arial" w:hAnsi="Arial" w:cs="Arial"/>
                <w:kern w:val="0"/>
                <w:sz w:val="20"/>
                <w:szCs w:val="20"/>
              </w:rPr>
              <w:t>Singh et al. (2005)</w:t>
            </w:r>
          </w:p>
        </w:tc>
      </w:tr>
      <w:tr w:rsidR="00F622D8" w:rsidRPr="007979A7" w14:paraId="1932AE02" w14:textId="77777777" w:rsidTr="001E4206">
        <w:tc>
          <w:tcPr>
            <w:tcW w:w="3060" w:type="dxa"/>
          </w:tcPr>
          <w:p w14:paraId="54E9FB11" w14:textId="77777777" w:rsidR="00F622D8" w:rsidRPr="007979A7" w:rsidRDefault="00F622D8" w:rsidP="001E4206">
            <w:pPr>
              <w:pStyle w:val="NoSpacing"/>
              <w:rPr>
                <w:rFonts w:ascii="Arial" w:hAnsi="Arial" w:cs="Arial"/>
                <w:sz w:val="20"/>
                <w:szCs w:val="20"/>
              </w:rPr>
            </w:pPr>
            <w:r w:rsidRPr="007979A7">
              <w:rPr>
                <w:rFonts w:ascii="Arial" w:hAnsi="Arial" w:cs="Arial"/>
                <w:sz w:val="20"/>
                <w:szCs w:val="20"/>
              </w:rPr>
              <w:t>IBA 150 ppm</w:t>
            </w:r>
          </w:p>
        </w:tc>
        <w:tc>
          <w:tcPr>
            <w:tcW w:w="1440" w:type="dxa"/>
          </w:tcPr>
          <w:p w14:paraId="2F519876" w14:textId="77777777" w:rsidR="00F622D8" w:rsidRPr="007979A7" w:rsidRDefault="00F622D8" w:rsidP="001E4206">
            <w:pPr>
              <w:pStyle w:val="NoSpacing"/>
              <w:rPr>
                <w:rFonts w:ascii="Arial" w:hAnsi="Arial" w:cs="Arial"/>
                <w:kern w:val="0"/>
                <w:sz w:val="20"/>
                <w:szCs w:val="20"/>
              </w:rPr>
            </w:pPr>
            <w:r w:rsidRPr="007979A7">
              <w:rPr>
                <w:rFonts w:ascii="Arial" w:hAnsi="Arial" w:cs="Arial"/>
                <w:kern w:val="0"/>
                <w:sz w:val="20"/>
                <w:szCs w:val="20"/>
              </w:rPr>
              <w:t>-</w:t>
            </w:r>
          </w:p>
        </w:tc>
        <w:tc>
          <w:tcPr>
            <w:tcW w:w="1596" w:type="dxa"/>
          </w:tcPr>
          <w:p w14:paraId="6852C62D" w14:textId="77777777" w:rsidR="00F622D8" w:rsidRPr="007979A7" w:rsidRDefault="00F622D8" w:rsidP="001E4206">
            <w:pPr>
              <w:pStyle w:val="NoSpacing"/>
              <w:rPr>
                <w:rFonts w:ascii="Arial" w:hAnsi="Arial" w:cs="Arial"/>
                <w:kern w:val="0"/>
                <w:sz w:val="20"/>
                <w:szCs w:val="20"/>
              </w:rPr>
            </w:pPr>
            <w:r w:rsidRPr="007979A7">
              <w:rPr>
                <w:rFonts w:ascii="Arial" w:hAnsi="Arial" w:cs="Arial"/>
                <w:kern w:val="0"/>
                <w:sz w:val="20"/>
                <w:szCs w:val="20"/>
              </w:rPr>
              <w:t>53.18%</w:t>
            </w:r>
          </w:p>
        </w:tc>
        <w:tc>
          <w:tcPr>
            <w:tcW w:w="2904" w:type="dxa"/>
          </w:tcPr>
          <w:p w14:paraId="4A8987FC" w14:textId="77777777" w:rsidR="00F622D8" w:rsidRPr="007979A7" w:rsidRDefault="00F622D8" w:rsidP="001E4206">
            <w:pPr>
              <w:pStyle w:val="NoSpacing"/>
              <w:rPr>
                <w:rFonts w:ascii="Arial" w:hAnsi="Arial" w:cs="Arial"/>
                <w:kern w:val="0"/>
                <w:sz w:val="20"/>
                <w:szCs w:val="20"/>
              </w:rPr>
            </w:pPr>
            <w:proofErr w:type="spellStart"/>
            <w:r w:rsidRPr="007979A7">
              <w:rPr>
                <w:rFonts w:ascii="Arial" w:hAnsi="Arial" w:cs="Arial"/>
                <w:bCs/>
                <w:kern w:val="0"/>
                <w:sz w:val="20"/>
                <w:szCs w:val="20"/>
              </w:rPr>
              <w:t>Sawitri</w:t>
            </w:r>
            <w:proofErr w:type="spellEnd"/>
            <w:r w:rsidRPr="007979A7">
              <w:rPr>
                <w:rFonts w:ascii="Arial" w:hAnsi="Arial" w:cs="Arial"/>
                <w:bCs/>
                <w:kern w:val="0"/>
                <w:sz w:val="20"/>
                <w:szCs w:val="20"/>
              </w:rPr>
              <w:t xml:space="preserve"> et al</w:t>
            </w:r>
            <w:r w:rsidRPr="007979A7">
              <w:rPr>
                <w:rFonts w:ascii="Arial" w:hAnsi="Arial" w:cs="Arial"/>
                <w:bCs/>
                <w:i/>
                <w:kern w:val="0"/>
                <w:sz w:val="20"/>
                <w:szCs w:val="20"/>
              </w:rPr>
              <w:t>.</w:t>
            </w:r>
            <w:r w:rsidRPr="007979A7">
              <w:rPr>
                <w:rFonts w:ascii="Arial" w:hAnsi="Arial" w:cs="Arial"/>
                <w:bCs/>
                <w:kern w:val="0"/>
                <w:sz w:val="20"/>
                <w:szCs w:val="20"/>
              </w:rPr>
              <w:t xml:space="preserve"> (2020)</w:t>
            </w:r>
          </w:p>
        </w:tc>
      </w:tr>
    </w:tbl>
    <w:p w14:paraId="484A45F0" w14:textId="77777777" w:rsidR="00F622D8" w:rsidRPr="007979A7" w:rsidRDefault="00F622D8" w:rsidP="00F622D8">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rPr>
        <w:t xml:space="preserve">A clear trend observed in Table 3 is that </w:t>
      </w:r>
      <w:r w:rsidRPr="007979A7">
        <w:rPr>
          <w:rStyle w:val="Strong"/>
          <w:rFonts w:ascii="Arial" w:hAnsi="Arial" w:cs="Arial"/>
          <w:b w:val="0"/>
          <w:sz w:val="20"/>
          <w:szCs w:val="20"/>
        </w:rPr>
        <w:t>lower hormone concentrations are generally applied for longer durations (18–24 hours), whereas higher concentrations are used for shorter exposure periods</w:t>
      </w:r>
      <w:r w:rsidRPr="007979A7">
        <w:rPr>
          <w:rFonts w:ascii="Arial" w:hAnsi="Arial" w:cs="Arial"/>
          <w:sz w:val="20"/>
          <w:szCs w:val="20"/>
        </w:rPr>
        <w:t>, such as 30 minutes in the case of IBA 1000 ppm (Mundt, 1997). This suggests that rooting response depends not only on hormone dosage but also on absorption kinetics and physiological status of the cutting material. Such variation highlights the need for genotype-specific hormone standardization in teak nurseries.</w:t>
      </w:r>
    </w:p>
    <w:p w14:paraId="6469DF67" w14:textId="77777777" w:rsidR="00F622D8" w:rsidRPr="007979A7" w:rsidRDefault="00F622D8" w:rsidP="00F622D8">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rPr>
        <w:t xml:space="preserve">Environmental conditions significantly influence rooting success as well. Well-drained media such as sand, vermiculite, and cocopeat improve rooting by </w:t>
      </w:r>
      <w:r w:rsidRPr="007979A7">
        <w:rPr>
          <w:rStyle w:val="Strong"/>
          <w:rFonts w:ascii="Arial" w:hAnsi="Arial" w:cs="Arial"/>
          <w:b w:val="0"/>
          <w:sz w:val="20"/>
          <w:szCs w:val="20"/>
        </w:rPr>
        <w:t>10–20%</w:t>
      </w:r>
      <w:r w:rsidRPr="007979A7">
        <w:rPr>
          <w:rFonts w:ascii="Arial" w:hAnsi="Arial" w:cs="Arial"/>
          <w:sz w:val="20"/>
          <w:szCs w:val="20"/>
        </w:rPr>
        <w:t xml:space="preserve">, mainly by providing better aeration and moisture balance around the cutting base (Husen and Pal, 2006). Seasonal timing also has a strong effect, with rooting increasing by </w:t>
      </w:r>
      <w:r w:rsidRPr="007979A7">
        <w:rPr>
          <w:rStyle w:val="Strong"/>
          <w:rFonts w:ascii="Arial" w:hAnsi="Arial" w:cs="Arial"/>
          <w:b w:val="0"/>
          <w:sz w:val="20"/>
          <w:szCs w:val="20"/>
        </w:rPr>
        <w:t>15–30% during active vegetative growth periods</w:t>
      </w:r>
      <w:r w:rsidRPr="007979A7">
        <w:rPr>
          <w:rFonts w:ascii="Arial" w:hAnsi="Arial" w:cs="Arial"/>
          <w:sz w:val="20"/>
          <w:szCs w:val="20"/>
        </w:rPr>
        <w:t xml:space="preserve">, when carbohydrate reserves and endogenous hormonal activity </w:t>
      </w:r>
      <w:r w:rsidRPr="007979A7">
        <w:rPr>
          <w:rFonts w:ascii="Arial" w:hAnsi="Arial" w:cs="Arial"/>
          <w:sz w:val="20"/>
          <w:szCs w:val="20"/>
        </w:rPr>
        <w:lastRenderedPageBreak/>
        <w:t>are highest (</w:t>
      </w:r>
      <w:proofErr w:type="spellStart"/>
      <w:r w:rsidRPr="007979A7">
        <w:rPr>
          <w:rFonts w:ascii="Arial" w:hAnsi="Arial" w:cs="Arial"/>
          <w:sz w:val="20"/>
          <w:szCs w:val="20"/>
        </w:rPr>
        <w:t>Monteuuis</w:t>
      </w:r>
      <w:proofErr w:type="spellEnd"/>
      <w:r w:rsidRPr="007979A7">
        <w:rPr>
          <w:rFonts w:ascii="Arial" w:hAnsi="Arial" w:cs="Arial"/>
          <w:sz w:val="20"/>
          <w:szCs w:val="20"/>
        </w:rPr>
        <w:t xml:space="preserve"> and Goh, 2014). These findings emphasize that nursery environment must be carefully optimized to maximize propagation efficiency.</w:t>
      </w:r>
    </w:p>
    <w:p w14:paraId="4CAC5CBE" w14:textId="77777777" w:rsidR="00F622D8" w:rsidRPr="007979A7" w:rsidRDefault="00F622D8" w:rsidP="00F622D8">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rPr>
        <w:t xml:space="preserve">Field establishment of rooted cuttings remains moderate, with survival rates ranging between </w:t>
      </w:r>
      <w:r w:rsidRPr="007979A7">
        <w:rPr>
          <w:rStyle w:val="Strong"/>
          <w:rFonts w:ascii="Arial" w:hAnsi="Arial" w:cs="Arial"/>
          <w:b w:val="0"/>
          <w:sz w:val="20"/>
          <w:szCs w:val="20"/>
        </w:rPr>
        <w:t>60–80%</w:t>
      </w:r>
      <w:r w:rsidRPr="007979A7">
        <w:rPr>
          <w:rFonts w:ascii="Arial" w:hAnsi="Arial" w:cs="Arial"/>
          <w:b/>
          <w:sz w:val="20"/>
          <w:szCs w:val="20"/>
        </w:rPr>
        <w:t>,</w:t>
      </w:r>
      <w:r w:rsidRPr="007979A7">
        <w:rPr>
          <w:rFonts w:ascii="Arial" w:hAnsi="Arial" w:cs="Arial"/>
          <w:sz w:val="20"/>
          <w:szCs w:val="20"/>
        </w:rPr>
        <w:t xml:space="preserve"> which is lower than survival typically achieved in advanced clonal mini-cutting systems (Midgley et al., 2015). Although adequate for small- and medium-scale plantation development, this survival range limits the economic efficiency of vegetative propagation under industrial plantation forestry.</w:t>
      </w:r>
    </w:p>
    <w:p w14:paraId="0B6EB533" w14:textId="77777777" w:rsidR="00F622D8" w:rsidRPr="007979A7" w:rsidRDefault="00F622D8" w:rsidP="00F622D8">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rPr>
        <w:t xml:space="preserve">Despite its advantages, vegetative propagation remains constrained by several operational limitations. High genotype-dependent variability, environmental sensitivity, and relatively low scalability reduce its suitability for large industrial deployment. As indicated in Table 2, these constraints position vegetative propagation as a </w:t>
      </w:r>
      <w:r w:rsidRPr="007979A7">
        <w:rPr>
          <w:rStyle w:val="Strong"/>
          <w:rFonts w:ascii="Arial" w:hAnsi="Arial" w:cs="Arial"/>
          <w:b w:val="0"/>
          <w:sz w:val="20"/>
          <w:szCs w:val="20"/>
        </w:rPr>
        <w:t>transitional propagation technology</w:t>
      </w:r>
      <w:r w:rsidRPr="007979A7">
        <w:rPr>
          <w:rFonts w:ascii="Arial" w:hAnsi="Arial" w:cs="Arial"/>
          <w:sz w:val="20"/>
          <w:szCs w:val="20"/>
        </w:rPr>
        <w:t>, bridging conventional seed systems and advanced clonal forestry approaches rather than serving as a final industrial solution.</w:t>
      </w:r>
    </w:p>
    <w:p w14:paraId="312A26A4"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t xml:space="preserve">3.1.3 </w:t>
      </w:r>
      <w:r w:rsidRPr="007979A7">
        <w:rPr>
          <w:rFonts w:ascii="Arial" w:hAnsi="Arial" w:cs="Arial"/>
          <w:b/>
          <w:bCs/>
          <w:lang w:val="en-IN" w:eastAsia="en-IN"/>
        </w:rPr>
        <w:tab/>
        <w:t>Clonal Forestry: A Paradigm Shift in Teak Propagation</w:t>
      </w:r>
    </w:p>
    <w:p w14:paraId="39193580" w14:textId="77777777" w:rsidR="00F622D8" w:rsidRPr="007979A7" w:rsidRDefault="00F622D8" w:rsidP="00F622D8">
      <w:pPr>
        <w:spacing w:line="276" w:lineRule="auto"/>
        <w:jc w:val="both"/>
        <w:rPr>
          <w:rFonts w:ascii="Arial" w:hAnsi="Arial" w:cs="Arial"/>
        </w:rPr>
      </w:pPr>
      <w:r w:rsidRPr="007979A7">
        <w:rPr>
          <w:rFonts w:ascii="Arial" w:hAnsi="Arial" w:cs="Arial"/>
        </w:rPr>
        <w:t xml:space="preserve">Clonal propagation has emerged as the most advanced and commercially effective propagation system for teak, overcoming many of the biological and operational limitations associated with seed-based and conventional vegetative methods. The data summarized in </w:t>
      </w:r>
      <w:r w:rsidRPr="007979A7">
        <w:rPr>
          <w:rStyle w:val="Strong"/>
          <w:rFonts w:ascii="Arial" w:hAnsi="Arial" w:cs="Arial"/>
          <w:b w:val="0"/>
        </w:rPr>
        <w:t>Table 4</w:t>
      </w:r>
      <w:r w:rsidRPr="007979A7">
        <w:rPr>
          <w:rFonts w:ascii="Arial" w:hAnsi="Arial" w:cs="Arial"/>
        </w:rPr>
        <w:t xml:space="preserve"> indicate that mini-cutting systems derived from clonal hedges now constitute the dominant clonal propagation technique, enabling multiplication rates of </w:t>
      </w:r>
      <w:r w:rsidRPr="007979A7">
        <w:rPr>
          <w:rStyle w:val="Strong"/>
          <w:rFonts w:ascii="Arial" w:hAnsi="Arial" w:cs="Arial"/>
          <w:b w:val="0"/>
        </w:rPr>
        <w:t>15–25 propagules per cycle</w:t>
      </w:r>
      <w:r w:rsidRPr="007979A7">
        <w:rPr>
          <w:rFonts w:ascii="Arial" w:hAnsi="Arial" w:cs="Arial"/>
        </w:rPr>
        <w:t>, thereby greatly enhancing propagation efficiency (</w:t>
      </w:r>
      <w:proofErr w:type="spellStart"/>
      <w:r w:rsidRPr="007979A7">
        <w:rPr>
          <w:rFonts w:ascii="Arial" w:hAnsi="Arial" w:cs="Arial"/>
        </w:rPr>
        <w:t>Monteuuis</w:t>
      </w:r>
      <w:proofErr w:type="spellEnd"/>
      <w:r w:rsidRPr="007979A7">
        <w:rPr>
          <w:rFonts w:ascii="Arial" w:hAnsi="Arial" w:cs="Arial"/>
        </w:rPr>
        <w:t xml:space="preserve"> and Goh, 2014; Tiwari et al., 2002). This high multiplication potential reflects the effectiveness of hedge-based rejuvenation systems in maintaining juvenile physiological status and sustained rooting competence.</w:t>
      </w:r>
    </w:p>
    <w:p w14:paraId="172633C3" w14:textId="77777777" w:rsidR="00F622D8" w:rsidRPr="007979A7" w:rsidRDefault="00F622D8" w:rsidP="00F622D8">
      <w:pPr>
        <w:spacing w:line="276" w:lineRule="auto"/>
        <w:jc w:val="both"/>
        <w:rPr>
          <w:rFonts w:ascii="Arial" w:hAnsi="Arial" w:cs="Arial"/>
          <w:lang w:val="en-IN" w:eastAsia="en-IN"/>
        </w:rPr>
      </w:pPr>
      <w:r w:rsidRPr="007979A7">
        <w:rPr>
          <w:rFonts w:ascii="Arial" w:hAnsi="Arial" w:cs="Arial"/>
        </w:rPr>
        <w:t xml:space="preserve">Table 4. Advances in Clonal propagation of </w:t>
      </w:r>
      <w:r w:rsidRPr="007979A7">
        <w:rPr>
          <w:rFonts w:ascii="Arial" w:hAnsi="Arial" w:cs="Arial"/>
          <w:i/>
        </w:rPr>
        <w:t>Tectona grandis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694"/>
        <w:gridCol w:w="1843"/>
        <w:gridCol w:w="1588"/>
        <w:gridCol w:w="1665"/>
      </w:tblGrid>
      <w:tr w:rsidR="00F622D8" w:rsidRPr="007979A7" w14:paraId="0101B569" w14:textId="77777777" w:rsidTr="001E4206">
        <w:tc>
          <w:tcPr>
            <w:tcW w:w="1526" w:type="dxa"/>
            <w:hideMark/>
          </w:tcPr>
          <w:p w14:paraId="2F9C8586" w14:textId="77777777" w:rsidR="00F622D8" w:rsidRPr="007979A7" w:rsidRDefault="00F622D8" w:rsidP="001E4206">
            <w:pPr>
              <w:rPr>
                <w:rFonts w:ascii="Arial" w:hAnsi="Arial" w:cs="Arial"/>
                <w:b/>
                <w:bCs/>
                <w:lang w:val="en-IN" w:eastAsia="en-IN"/>
              </w:rPr>
            </w:pPr>
            <w:r w:rsidRPr="007979A7">
              <w:rPr>
                <w:rFonts w:ascii="Arial" w:hAnsi="Arial" w:cs="Arial"/>
                <w:b/>
                <w:bCs/>
              </w:rPr>
              <w:t>Aspect</w:t>
            </w:r>
          </w:p>
        </w:tc>
        <w:tc>
          <w:tcPr>
            <w:tcW w:w="0" w:type="auto"/>
            <w:hideMark/>
          </w:tcPr>
          <w:p w14:paraId="22BB3CAC" w14:textId="77777777" w:rsidR="00F622D8" w:rsidRPr="007979A7" w:rsidRDefault="00F622D8" w:rsidP="001E4206">
            <w:pPr>
              <w:rPr>
                <w:rFonts w:ascii="Arial" w:hAnsi="Arial" w:cs="Arial"/>
                <w:b/>
                <w:bCs/>
              </w:rPr>
            </w:pPr>
            <w:r w:rsidRPr="007979A7">
              <w:rPr>
                <w:rFonts w:ascii="Arial" w:hAnsi="Arial" w:cs="Arial"/>
                <w:b/>
                <w:bCs/>
              </w:rPr>
              <w:t>Observations / Findings</w:t>
            </w:r>
          </w:p>
        </w:tc>
        <w:tc>
          <w:tcPr>
            <w:tcW w:w="0" w:type="auto"/>
            <w:hideMark/>
          </w:tcPr>
          <w:p w14:paraId="041367E8" w14:textId="77777777" w:rsidR="00F622D8" w:rsidRPr="007979A7" w:rsidRDefault="00F622D8" w:rsidP="001E4206">
            <w:pPr>
              <w:rPr>
                <w:rFonts w:ascii="Arial" w:hAnsi="Arial" w:cs="Arial"/>
                <w:b/>
                <w:bCs/>
              </w:rPr>
            </w:pPr>
            <w:r w:rsidRPr="007979A7">
              <w:rPr>
                <w:rFonts w:ascii="Arial" w:hAnsi="Arial" w:cs="Arial"/>
                <w:b/>
                <w:bCs/>
              </w:rPr>
              <w:t>Quantitative Range / Effect</w:t>
            </w:r>
          </w:p>
        </w:tc>
        <w:tc>
          <w:tcPr>
            <w:tcW w:w="0" w:type="auto"/>
            <w:hideMark/>
          </w:tcPr>
          <w:p w14:paraId="7785E574" w14:textId="77777777" w:rsidR="00F622D8" w:rsidRPr="007979A7" w:rsidRDefault="00F622D8" w:rsidP="001E4206">
            <w:pPr>
              <w:rPr>
                <w:rFonts w:ascii="Arial" w:hAnsi="Arial" w:cs="Arial"/>
                <w:b/>
                <w:bCs/>
              </w:rPr>
            </w:pPr>
            <w:r w:rsidRPr="007979A7">
              <w:rPr>
                <w:rFonts w:ascii="Arial" w:hAnsi="Arial" w:cs="Arial"/>
                <w:b/>
                <w:bCs/>
              </w:rPr>
              <w:t>Practical Implication</w:t>
            </w:r>
          </w:p>
        </w:tc>
        <w:tc>
          <w:tcPr>
            <w:tcW w:w="1665" w:type="dxa"/>
            <w:hideMark/>
          </w:tcPr>
          <w:p w14:paraId="66C0797E" w14:textId="77777777" w:rsidR="00F622D8" w:rsidRPr="007979A7" w:rsidRDefault="00F622D8" w:rsidP="001E4206">
            <w:pPr>
              <w:rPr>
                <w:rFonts w:ascii="Arial" w:hAnsi="Arial" w:cs="Arial"/>
                <w:b/>
                <w:bCs/>
              </w:rPr>
            </w:pPr>
            <w:r w:rsidRPr="007979A7">
              <w:rPr>
                <w:rFonts w:ascii="Arial" w:hAnsi="Arial" w:cs="Arial"/>
                <w:b/>
                <w:bCs/>
              </w:rPr>
              <w:t>Key References</w:t>
            </w:r>
          </w:p>
        </w:tc>
      </w:tr>
      <w:tr w:rsidR="00F622D8" w:rsidRPr="007979A7" w14:paraId="3FD9D07D" w14:textId="77777777" w:rsidTr="001E4206">
        <w:tc>
          <w:tcPr>
            <w:tcW w:w="1526" w:type="dxa"/>
            <w:hideMark/>
          </w:tcPr>
          <w:p w14:paraId="3999406E" w14:textId="77777777" w:rsidR="00F622D8" w:rsidRPr="007979A7" w:rsidRDefault="00F622D8" w:rsidP="001E4206">
            <w:pPr>
              <w:rPr>
                <w:rFonts w:ascii="Arial" w:hAnsi="Arial" w:cs="Arial"/>
                <w:b/>
              </w:rPr>
            </w:pPr>
            <w:r w:rsidRPr="007979A7">
              <w:rPr>
                <w:rStyle w:val="Strong"/>
                <w:rFonts w:ascii="Arial" w:hAnsi="Arial" w:cs="Arial"/>
                <w:b w:val="0"/>
              </w:rPr>
              <w:t>Propagation Technique</w:t>
            </w:r>
          </w:p>
        </w:tc>
        <w:tc>
          <w:tcPr>
            <w:tcW w:w="0" w:type="auto"/>
            <w:hideMark/>
          </w:tcPr>
          <w:p w14:paraId="47499A26" w14:textId="77777777" w:rsidR="00F622D8" w:rsidRPr="007979A7" w:rsidRDefault="00F622D8" w:rsidP="001E4206">
            <w:pPr>
              <w:rPr>
                <w:rFonts w:ascii="Arial" w:hAnsi="Arial" w:cs="Arial"/>
              </w:rPr>
            </w:pPr>
            <w:r w:rsidRPr="007979A7">
              <w:rPr>
                <w:rFonts w:ascii="Arial" w:hAnsi="Arial" w:cs="Arial"/>
              </w:rPr>
              <w:t>Mini-cuttings derived from clonal hedges</w:t>
            </w:r>
          </w:p>
        </w:tc>
        <w:tc>
          <w:tcPr>
            <w:tcW w:w="0" w:type="auto"/>
            <w:hideMark/>
          </w:tcPr>
          <w:p w14:paraId="6DAB6F1B" w14:textId="77777777" w:rsidR="00F622D8" w:rsidRPr="007979A7" w:rsidRDefault="00F622D8" w:rsidP="001E4206">
            <w:pPr>
              <w:rPr>
                <w:rFonts w:ascii="Arial" w:hAnsi="Arial" w:cs="Arial"/>
              </w:rPr>
            </w:pPr>
            <w:r w:rsidRPr="007979A7">
              <w:rPr>
                <w:rFonts w:ascii="Arial" w:hAnsi="Arial" w:cs="Arial"/>
              </w:rPr>
              <w:t xml:space="preserve">Multiplication: </w:t>
            </w:r>
            <w:r w:rsidRPr="007979A7">
              <w:rPr>
                <w:rStyle w:val="Strong"/>
                <w:rFonts w:ascii="Arial" w:hAnsi="Arial" w:cs="Arial"/>
                <w:b w:val="0"/>
              </w:rPr>
              <w:t>15–25 propagules/cycle</w:t>
            </w:r>
          </w:p>
        </w:tc>
        <w:tc>
          <w:tcPr>
            <w:tcW w:w="0" w:type="auto"/>
            <w:hideMark/>
          </w:tcPr>
          <w:p w14:paraId="64D24DB3" w14:textId="77777777" w:rsidR="00F622D8" w:rsidRPr="007979A7" w:rsidRDefault="00F622D8" w:rsidP="001E4206">
            <w:pPr>
              <w:rPr>
                <w:rFonts w:ascii="Arial" w:hAnsi="Arial" w:cs="Arial"/>
              </w:rPr>
            </w:pPr>
            <w:r w:rsidRPr="007979A7">
              <w:rPr>
                <w:rFonts w:ascii="Arial" w:hAnsi="Arial" w:cs="Arial"/>
              </w:rPr>
              <w:t>Rapid mass propagation of elite clones</w:t>
            </w:r>
          </w:p>
        </w:tc>
        <w:tc>
          <w:tcPr>
            <w:tcW w:w="1665" w:type="dxa"/>
            <w:hideMark/>
          </w:tcPr>
          <w:p w14:paraId="72FBC5A2" w14:textId="77777777" w:rsidR="00F622D8" w:rsidRPr="007979A7" w:rsidRDefault="00F622D8" w:rsidP="001E4206">
            <w:pPr>
              <w:rPr>
                <w:rFonts w:ascii="Arial" w:hAnsi="Arial" w:cs="Arial"/>
              </w:rPr>
            </w:pPr>
            <w:proofErr w:type="spellStart"/>
            <w:r w:rsidRPr="007979A7">
              <w:rPr>
                <w:rFonts w:ascii="Arial" w:hAnsi="Arial" w:cs="Arial"/>
              </w:rPr>
              <w:t>Monteuuis</w:t>
            </w:r>
            <w:proofErr w:type="spellEnd"/>
            <w:r w:rsidRPr="007979A7">
              <w:rPr>
                <w:rFonts w:ascii="Arial" w:hAnsi="Arial" w:cs="Arial"/>
              </w:rPr>
              <w:t xml:space="preserve"> and Goh (2014); Tiwari et al. (2002)</w:t>
            </w:r>
          </w:p>
        </w:tc>
      </w:tr>
      <w:tr w:rsidR="00F622D8" w:rsidRPr="007979A7" w14:paraId="508737D3" w14:textId="77777777" w:rsidTr="001E4206">
        <w:tc>
          <w:tcPr>
            <w:tcW w:w="1526" w:type="dxa"/>
            <w:hideMark/>
          </w:tcPr>
          <w:p w14:paraId="22200FF9" w14:textId="77777777" w:rsidR="00F622D8" w:rsidRPr="007979A7" w:rsidRDefault="00F622D8" w:rsidP="001E4206">
            <w:pPr>
              <w:rPr>
                <w:rFonts w:ascii="Arial" w:hAnsi="Arial" w:cs="Arial"/>
                <w:b/>
              </w:rPr>
            </w:pPr>
            <w:r w:rsidRPr="007979A7">
              <w:rPr>
                <w:rStyle w:val="Strong"/>
                <w:rFonts w:ascii="Arial" w:hAnsi="Arial" w:cs="Arial"/>
                <w:b w:val="0"/>
              </w:rPr>
              <w:t>Rooting Success</w:t>
            </w:r>
          </w:p>
        </w:tc>
        <w:tc>
          <w:tcPr>
            <w:tcW w:w="0" w:type="auto"/>
            <w:hideMark/>
          </w:tcPr>
          <w:p w14:paraId="43117EA7" w14:textId="77777777" w:rsidR="00F622D8" w:rsidRPr="007979A7" w:rsidRDefault="00F622D8" w:rsidP="001E4206">
            <w:pPr>
              <w:rPr>
                <w:rFonts w:ascii="Arial" w:hAnsi="Arial" w:cs="Arial"/>
              </w:rPr>
            </w:pPr>
            <w:r w:rsidRPr="007979A7">
              <w:rPr>
                <w:rFonts w:ascii="Arial" w:hAnsi="Arial" w:cs="Arial"/>
              </w:rPr>
              <w:t>High rooting under controlled nursery conditions</w:t>
            </w:r>
          </w:p>
        </w:tc>
        <w:tc>
          <w:tcPr>
            <w:tcW w:w="0" w:type="auto"/>
            <w:hideMark/>
          </w:tcPr>
          <w:p w14:paraId="1134932E" w14:textId="77777777" w:rsidR="00F622D8" w:rsidRPr="007979A7" w:rsidRDefault="00F622D8" w:rsidP="001E4206">
            <w:pPr>
              <w:rPr>
                <w:rFonts w:ascii="Arial" w:hAnsi="Arial" w:cs="Arial"/>
                <w:b/>
              </w:rPr>
            </w:pPr>
            <w:r w:rsidRPr="007979A7">
              <w:rPr>
                <w:rStyle w:val="Strong"/>
                <w:rFonts w:ascii="Arial" w:hAnsi="Arial" w:cs="Arial"/>
                <w:b w:val="0"/>
              </w:rPr>
              <w:t>70–90% rooting</w:t>
            </w:r>
          </w:p>
        </w:tc>
        <w:tc>
          <w:tcPr>
            <w:tcW w:w="0" w:type="auto"/>
            <w:hideMark/>
          </w:tcPr>
          <w:p w14:paraId="28FEFC44" w14:textId="77777777" w:rsidR="00F622D8" w:rsidRPr="007979A7" w:rsidRDefault="00F622D8" w:rsidP="001E4206">
            <w:pPr>
              <w:rPr>
                <w:rFonts w:ascii="Arial" w:hAnsi="Arial" w:cs="Arial"/>
              </w:rPr>
            </w:pPr>
            <w:r w:rsidRPr="007979A7">
              <w:rPr>
                <w:rFonts w:ascii="Arial" w:hAnsi="Arial" w:cs="Arial"/>
              </w:rPr>
              <w:t>Reliable and scalable propagation method</w:t>
            </w:r>
          </w:p>
        </w:tc>
        <w:tc>
          <w:tcPr>
            <w:tcW w:w="1665" w:type="dxa"/>
            <w:hideMark/>
          </w:tcPr>
          <w:p w14:paraId="59208B27" w14:textId="77777777" w:rsidR="00F622D8" w:rsidRPr="007979A7" w:rsidRDefault="00F622D8" w:rsidP="001E4206">
            <w:pPr>
              <w:rPr>
                <w:rFonts w:ascii="Arial" w:hAnsi="Arial" w:cs="Arial"/>
              </w:rPr>
            </w:pPr>
            <w:proofErr w:type="spellStart"/>
            <w:r w:rsidRPr="007979A7">
              <w:rPr>
                <w:rFonts w:ascii="Arial" w:hAnsi="Arial" w:cs="Arial"/>
              </w:rPr>
              <w:t>Monteuuis</w:t>
            </w:r>
            <w:proofErr w:type="spellEnd"/>
            <w:r w:rsidRPr="007979A7">
              <w:rPr>
                <w:rFonts w:ascii="Arial" w:hAnsi="Arial" w:cs="Arial"/>
              </w:rPr>
              <w:t xml:space="preserve"> and Goh (2014); Chaix et al. (2011)</w:t>
            </w:r>
          </w:p>
        </w:tc>
      </w:tr>
      <w:tr w:rsidR="00F622D8" w:rsidRPr="007979A7" w14:paraId="2F42BF93" w14:textId="77777777" w:rsidTr="001E4206">
        <w:tc>
          <w:tcPr>
            <w:tcW w:w="1526" w:type="dxa"/>
            <w:hideMark/>
          </w:tcPr>
          <w:p w14:paraId="6E757FA1" w14:textId="77777777" w:rsidR="00F622D8" w:rsidRPr="007979A7" w:rsidRDefault="00F622D8" w:rsidP="001E4206">
            <w:pPr>
              <w:rPr>
                <w:rFonts w:ascii="Arial" w:hAnsi="Arial" w:cs="Arial"/>
                <w:b/>
              </w:rPr>
            </w:pPr>
            <w:r w:rsidRPr="007979A7">
              <w:rPr>
                <w:rStyle w:val="Strong"/>
                <w:rFonts w:ascii="Arial" w:hAnsi="Arial" w:cs="Arial"/>
                <w:b w:val="0"/>
              </w:rPr>
              <w:t>Uniformity of Planting Stock</w:t>
            </w:r>
          </w:p>
        </w:tc>
        <w:tc>
          <w:tcPr>
            <w:tcW w:w="0" w:type="auto"/>
            <w:hideMark/>
          </w:tcPr>
          <w:p w14:paraId="2CAE257F" w14:textId="77777777" w:rsidR="00F622D8" w:rsidRPr="007979A7" w:rsidRDefault="00F622D8" w:rsidP="001E4206">
            <w:pPr>
              <w:rPr>
                <w:rFonts w:ascii="Arial" w:hAnsi="Arial" w:cs="Arial"/>
              </w:rPr>
            </w:pPr>
            <w:r w:rsidRPr="007979A7">
              <w:rPr>
                <w:rFonts w:ascii="Arial" w:hAnsi="Arial" w:cs="Arial"/>
              </w:rPr>
              <w:t>Clonal plants show reduced variability</w:t>
            </w:r>
          </w:p>
        </w:tc>
        <w:tc>
          <w:tcPr>
            <w:tcW w:w="0" w:type="auto"/>
            <w:hideMark/>
          </w:tcPr>
          <w:p w14:paraId="2FE14318" w14:textId="77777777" w:rsidR="00F622D8" w:rsidRPr="007979A7" w:rsidRDefault="00F622D8" w:rsidP="001E4206">
            <w:pPr>
              <w:rPr>
                <w:rFonts w:ascii="Arial" w:hAnsi="Arial" w:cs="Arial"/>
              </w:rPr>
            </w:pPr>
            <w:r w:rsidRPr="007979A7">
              <w:rPr>
                <w:rFonts w:ascii="Arial" w:hAnsi="Arial" w:cs="Arial"/>
              </w:rPr>
              <w:t xml:space="preserve">CV reduced to </w:t>
            </w:r>
            <w:r w:rsidRPr="007979A7">
              <w:rPr>
                <w:rStyle w:val="Strong"/>
                <w:rFonts w:ascii="Arial" w:hAnsi="Arial" w:cs="Arial"/>
                <w:b w:val="0"/>
              </w:rPr>
              <w:t>10–20%</w:t>
            </w:r>
          </w:p>
        </w:tc>
        <w:tc>
          <w:tcPr>
            <w:tcW w:w="0" w:type="auto"/>
            <w:hideMark/>
          </w:tcPr>
          <w:p w14:paraId="6FD7ADE8" w14:textId="77777777" w:rsidR="00F622D8" w:rsidRPr="007979A7" w:rsidRDefault="00F622D8" w:rsidP="001E4206">
            <w:pPr>
              <w:rPr>
                <w:rFonts w:ascii="Arial" w:hAnsi="Arial" w:cs="Arial"/>
              </w:rPr>
            </w:pPr>
            <w:r w:rsidRPr="007979A7">
              <w:rPr>
                <w:rFonts w:ascii="Arial" w:hAnsi="Arial" w:cs="Arial"/>
              </w:rPr>
              <w:t>Uniform plantations and improved management</w:t>
            </w:r>
          </w:p>
        </w:tc>
        <w:tc>
          <w:tcPr>
            <w:tcW w:w="1665" w:type="dxa"/>
            <w:hideMark/>
          </w:tcPr>
          <w:p w14:paraId="40379458" w14:textId="77777777" w:rsidR="00F622D8" w:rsidRPr="007979A7" w:rsidRDefault="00F622D8" w:rsidP="001E4206">
            <w:pPr>
              <w:rPr>
                <w:rFonts w:ascii="Arial" w:hAnsi="Arial" w:cs="Arial"/>
              </w:rPr>
            </w:pPr>
            <w:r w:rsidRPr="007979A7">
              <w:rPr>
                <w:rFonts w:ascii="Arial" w:hAnsi="Arial" w:cs="Arial"/>
              </w:rPr>
              <w:t>White et al. (2007); Chaix et al. (2011)</w:t>
            </w:r>
          </w:p>
        </w:tc>
      </w:tr>
      <w:tr w:rsidR="00F622D8" w:rsidRPr="007979A7" w14:paraId="17B5B41E" w14:textId="77777777" w:rsidTr="001E4206">
        <w:tc>
          <w:tcPr>
            <w:tcW w:w="1526" w:type="dxa"/>
            <w:hideMark/>
          </w:tcPr>
          <w:p w14:paraId="2EBC2872" w14:textId="77777777" w:rsidR="00F622D8" w:rsidRPr="007979A7" w:rsidRDefault="00F622D8" w:rsidP="001E4206">
            <w:pPr>
              <w:rPr>
                <w:rFonts w:ascii="Arial" w:hAnsi="Arial" w:cs="Arial"/>
                <w:b/>
              </w:rPr>
            </w:pPr>
            <w:r w:rsidRPr="007979A7">
              <w:rPr>
                <w:rStyle w:val="Strong"/>
                <w:rFonts w:ascii="Arial" w:hAnsi="Arial" w:cs="Arial"/>
                <w:b w:val="0"/>
              </w:rPr>
              <w:t>Rotation Period</w:t>
            </w:r>
          </w:p>
        </w:tc>
        <w:tc>
          <w:tcPr>
            <w:tcW w:w="0" w:type="auto"/>
            <w:hideMark/>
          </w:tcPr>
          <w:p w14:paraId="0368602E" w14:textId="77777777" w:rsidR="00F622D8" w:rsidRPr="007979A7" w:rsidRDefault="00F622D8" w:rsidP="001E4206">
            <w:pPr>
              <w:rPr>
                <w:rFonts w:ascii="Arial" w:hAnsi="Arial" w:cs="Arial"/>
              </w:rPr>
            </w:pPr>
            <w:r w:rsidRPr="007979A7">
              <w:rPr>
                <w:rFonts w:ascii="Arial" w:hAnsi="Arial" w:cs="Arial"/>
              </w:rPr>
              <w:t>Reduced due to faster growth</w:t>
            </w:r>
          </w:p>
        </w:tc>
        <w:tc>
          <w:tcPr>
            <w:tcW w:w="0" w:type="auto"/>
            <w:hideMark/>
          </w:tcPr>
          <w:p w14:paraId="563E721E" w14:textId="77777777" w:rsidR="00F622D8" w:rsidRPr="007979A7" w:rsidRDefault="00F622D8" w:rsidP="001E4206">
            <w:pPr>
              <w:rPr>
                <w:rFonts w:ascii="Arial" w:hAnsi="Arial" w:cs="Arial"/>
              </w:rPr>
            </w:pPr>
            <w:r w:rsidRPr="007979A7">
              <w:rPr>
                <w:rFonts w:ascii="Arial" w:hAnsi="Arial" w:cs="Arial"/>
              </w:rPr>
              <w:t xml:space="preserve">Reduction: </w:t>
            </w:r>
            <w:r w:rsidRPr="007979A7">
              <w:rPr>
                <w:rStyle w:val="Strong"/>
                <w:rFonts w:ascii="Arial" w:hAnsi="Arial" w:cs="Arial"/>
                <w:b w:val="0"/>
              </w:rPr>
              <w:t>20–40%</w:t>
            </w:r>
          </w:p>
        </w:tc>
        <w:tc>
          <w:tcPr>
            <w:tcW w:w="0" w:type="auto"/>
            <w:hideMark/>
          </w:tcPr>
          <w:p w14:paraId="34ACC596" w14:textId="77777777" w:rsidR="00F622D8" w:rsidRPr="007979A7" w:rsidRDefault="00F622D8" w:rsidP="001E4206">
            <w:pPr>
              <w:rPr>
                <w:rFonts w:ascii="Arial" w:hAnsi="Arial" w:cs="Arial"/>
              </w:rPr>
            </w:pPr>
            <w:r w:rsidRPr="007979A7">
              <w:rPr>
                <w:rFonts w:ascii="Arial" w:hAnsi="Arial" w:cs="Arial"/>
              </w:rPr>
              <w:t>Faster timber production cycles</w:t>
            </w:r>
          </w:p>
        </w:tc>
        <w:tc>
          <w:tcPr>
            <w:tcW w:w="1665" w:type="dxa"/>
            <w:hideMark/>
          </w:tcPr>
          <w:p w14:paraId="6324D96A" w14:textId="77777777" w:rsidR="00F622D8" w:rsidRPr="007979A7" w:rsidRDefault="00F622D8" w:rsidP="001E4206">
            <w:pPr>
              <w:rPr>
                <w:rFonts w:ascii="Arial" w:hAnsi="Arial" w:cs="Arial"/>
              </w:rPr>
            </w:pPr>
            <w:r w:rsidRPr="007979A7">
              <w:rPr>
                <w:rFonts w:ascii="Arial" w:hAnsi="Arial" w:cs="Arial"/>
              </w:rPr>
              <w:t>Midgley et al. (2015)</w:t>
            </w:r>
          </w:p>
        </w:tc>
      </w:tr>
      <w:tr w:rsidR="00F622D8" w:rsidRPr="007979A7" w14:paraId="077FD19C" w14:textId="77777777" w:rsidTr="001E4206">
        <w:tc>
          <w:tcPr>
            <w:tcW w:w="1526" w:type="dxa"/>
            <w:hideMark/>
          </w:tcPr>
          <w:p w14:paraId="30CB98FF" w14:textId="77777777" w:rsidR="00F622D8" w:rsidRPr="007979A7" w:rsidRDefault="00F622D8" w:rsidP="001E4206">
            <w:pPr>
              <w:rPr>
                <w:rFonts w:ascii="Arial" w:hAnsi="Arial" w:cs="Arial"/>
                <w:b/>
              </w:rPr>
            </w:pPr>
            <w:r w:rsidRPr="007979A7">
              <w:rPr>
                <w:rStyle w:val="Strong"/>
                <w:rFonts w:ascii="Arial" w:hAnsi="Arial" w:cs="Arial"/>
                <w:b w:val="0"/>
              </w:rPr>
              <w:t>Infrastructure Requirement</w:t>
            </w:r>
          </w:p>
        </w:tc>
        <w:tc>
          <w:tcPr>
            <w:tcW w:w="0" w:type="auto"/>
            <w:hideMark/>
          </w:tcPr>
          <w:p w14:paraId="0DB94E06" w14:textId="77777777" w:rsidR="00F622D8" w:rsidRPr="007979A7" w:rsidRDefault="00F622D8" w:rsidP="001E4206">
            <w:pPr>
              <w:rPr>
                <w:rFonts w:ascii="Arial" w:hAnsi="Arial" w:cs="Arial"/>
              </w:rPr>
            </w:pPr>
            <w:r w:rsidRPr="007979A7">
              <w:rPr>
                <w:rFonts w:ascii="Arial" w:hAnsi="Arial" w:cs="Arial"/>
              </w:rPr>
              <w:t>Requires mist chambers, hedge gardens</w:t>
            </w:r>
          </w:p>
        </w:tc>
        <w:tc>
          <w:tcPr>
            <w:tcW w:w="0" w:type="auto"/>
            <w:hideMark/>
          </w:tcPr>
          <w:p w14:paraId="18F2F86D" w14:textId="77777777" w:rsidR="00F622D8" w:rsidRPr="007979A7" w:rsidRDefault="00F622D8" w:rsidP="001E4206">
            <w:pPr>
              <w:rPr>
                <w:rFonts w:ascii="Arial" w:hAnsi="Arial" w:cs="Arial"/>
              </w:rPr>
            </w:pPr>
            <w:r w:rsidRPr="007979A7">
              <w:rPr>
                <w:rFonts w:ascii="Arial" w:hAnsi="Arial" w:cs="Arial"/>
              </w:rPr>
              <w:t>Moderate–high investment</w:t>
            </w:r>
          </w:p>
        </w:tc>
        <w:tc>
          <w:tcPr>
            <w:tcW w:w="0" w:type="auto"/>
            <w:hideMark/>
          </w:tcPr>
          <w:p w14:paraId="3C312293" w14:textId="77777777" w:rsidR="00F622D8" w:rsidRPr="007979A7" w:rsidRDefault="00F622D8" w:rsidP="001E4206">
            <w:pPr>
              <w:rPr>
                <w:rFonts w:ascii="Arial" w:hAnsi="Arial" w:cs="Arial"/>
              </w:rPr>
            </w:pPr>
            <w:r w:rsidRPr="007979A7">
              <w:rPr>
                <w:rFonts w:ascii="Arial" w:hAnsi="Arial" w:cs="Arial"/>
              </w:rPr>
              <w:t>Suitable for organized plantations</w:t>
            </w:r>
          </w:p>
        </w:tc>
        <w:tc>
          <w:tcPr>
            <w:tcW w:w="1665" w:type="dxa"/>
            <w:hideMark/>
          </w:tcPr>
          <w:p w14:paraId="440824FD" w14:textId="77777777" w:rsidR="00F622D8" w:rsidRPr="007979A7" w:rsidRDefault="00F622D8" w:rsidP="001E4206">
            <w:pPr>
              <w:rPr>
                <w:rFonts w:ascii="Arial" w:hAnsi="Arial" w:cs="Arial"/>
              </w:rPr>
            </w:pPr>
            <w:r w:rsidRPr="007979A7">
              <w:rPr>
                <w:rFonts w:ascii="Arial" w:hAnsi="Arial" w:cs="Arial"/>
              </w:rPr>
              <w:t xml:space="preserve">Goh and </w:t>
            </w:r>
            <w:proofErr w:type="spellStart"/>
            <w:r w:rsidRPr="007979A7">
              <w:rPr>
                <w:rFonts w:ascii="Arial" w:hAnsi="Arial" w:cs="Arial"/>
              </w:rPr>
              <w:t>Monteuuis</w:t>
            </w:r>
            <w:proofErr w:type="spellEnd"/>
            <w:r w:rsidRPr="007979A7">
              <w:rPr>
                <w:rFonts w:ascii="Arial" w:hAnsi="Arial" w:cs="Arial"/>
              </w:rPr>
              <w:t xml:space="preserve"> (2016)</w:t>
            </w:r>
          </w:p>
        </w:tc>
      </w:tr>
      <w:tr w:rsidR="00F622D8" w:rsidRPr="007979A7" w14:paraId="726EC970" w14:textId="77777777" w:rsidTr="001E4206">
        <w:tc>
          <w:tcPr>
            <w:tcW w:w="1526" w:type="dxa"/>
            <w:hideMark/>
          </w:tcPr>
          <w:p w14:paraId="4D98FD07" w14:textId="77777777" w:rsidR="00F622D8" w:rsidRPr="007979A7" w:rsidRDefault="00F622D8" w:rsidP="001E4206">
            <w:pPr>
              <w:rPr>
                <w:rFonts w:ascii="Arial" w:hAnsi="Arial" w:cs="Arial"/>
                <w:b/>
              </w:rPr>
            </w:pPr>
            <w:r w:rsidRPr="007979A7">
              <w:rPr>
                <w:rStyle w:val="Strong"/>
                <w:rFonts w:ascii="Arial" w:hAnsi="Arial" w:cs="Arial"/>
                <w:b w:val="0"/>
              </w:rPr>
              <w:t>Global Adoption</w:t>
            </w:r>
          </w:p>
        </w:tc>
        <w:tc>
          <w:tcPr>
            <w:tcW w:w="0" w:type="auto"/>
            <w:hideMark/>
          </w:tcPr>
          <w:p w14:paraId="012FC798" w14:textId="77777777" w:rsidR="00F622D8" w:rsidRPr="007979A7" w:rsidRDefault="00F622D8" w:rsidP="001E4206">
            <w:pPr>
              <w:rPr>
                <w:rFonts w:ascii="Arial" w:hAnsi="Arial" w:cs="Arial"/>
              </w:rPr>
            </w:pPr>
            <w:r w:rsidRPr="007979A7">
              <w:rPr>
                <w:rFonts w:ascii="Arial" w:hAnsi="Arial" w:cs="Arial"/>
              </w:rPr>
              <w:t>Widely adopted in Asia and Latin America</w:t>
            </w:r>
          </w:p>
        </w:tc>
        <w:tc>
          <w:tcPr>
            <w:tcW w:w="0" w:type="auto"/>
            <w:hideMark/>
          </w:tcPr>
          <w:p w14:paraId="2108C1BA" w14:textId="77777777" w:rsidR="00F622D8" w:rsidRPr="007979A7" w:rsidRDefault="00F622D8" w:rsidP="001E4206">
            <w:pPr>
              <w:rPr>
                <w:rFonts w:ascii="Arial" w:hAnsi="Arial" w:cs="Arial"/>
              </w:rPr>
            </w:pPr>
            <w:r w:rsidRPr="007979A7">
              <w:rPr>
                <w:rFonts w:ascii="Arial" w:hAnsi="Arial" w:cs="Arial"/>
              </w:rPr>
              <w:t>Expanding globally</w:t>
            </w:r>
          </w:p>
        </w:tc>
        <w:tc>
          <w:tcPr>
            <w:tcW w:w="0" w:type="auto"/>
            <w:hideMark/>
          </w:tcPr>
          <w:p w14:paraId="67FCB630" w14:textId="77777777" w:rsidR="00F622D8" w:rsidRPr="007979A7" w:rsidRDefault="00F622D8" w:rsidP="001E4206">
            <w:pPr>
              <w:rPr>
                <w:rFonts w:ascii="Arial" w:hAnsi="Arial" w:cs="Arial"/>
              </w:rPr>
            </w:pPr>
            <w:r w:rsidRPr="007979A7">
              <w:rPr>
                <w:rFonts w:ascii="Arial" w:hAnsi="Arial" w:cs="Arial"/>
              </w:rPr>
              <w:t>Industrial plantation standard</w:t>
            </w:r>
          </w:p>
        </w:tc>
        <w:tc>
          <w:tcPr>
            <w:tcW w:w="1665" w:type="dxa"/>
            <w:hideMark/>
          </w:tcPr>
          <w:p w14:paraId="64E64EED" w14:textId="77777777" w:rsidR="00F622D8" w:rsidRPr="007979A7" w:rsidRDefault="00F622D8" w:rsidP="001E4206">
            <w:pPr>
              <w:rPr>
                <w:rFonts w:ascii="Arial" w:hAnsi="Arial" w:cs="Arial"/>
              </w:rPr>
            </w:pPr>
            <w:proofErr w:type="spellStart"/>
            <w:r w:rsidRPr="007979A7">
              <w:rPr>
                <w:rFonts w:ascii="Arial" w:hAnsi="Arial" w:cs="Arial"/>
              </w:rPr>
              <w:t>Kollert</w:t>
            </w:r>
            <w:proofErr w:type="spellEnd"/>
            <w:r w:rsidRPr="007979A7">
              <w:rPr>
                <w:rFonts w:ascii="Arial" w:hAnsi="Arial" w:cs="Arial"/>
              </w:rPr>
              <w:t xml:space="preserve"> and </w:t>
            </w:r>
            <w:proofErr w:type="spellStart"/>
            <w:r w:rsidRPr="007979A7">
              <w:rPr>
                <w:rFonts w:ascii="Arial" w:hAnsi="Arial" w:cs="Arial"/>
              </w:rPr>
              <w:t>Kleine</w:t>
            </w:r>
            <w:proofErr w:type="spellEnd"/>
            <w:r w:rsidRPr="007979A7">
              <w:rPr>
                <w:rFonts w:ascii="Arial" w:hAnsi="Arial" w:cs="Arial"/>
              </w:rPr>
              <w:t xml:space="preserve"> (2017)</w:t>
            </w:r>
          </w:p>
        </w:tc>
      </w:tr>
    </w:tbl>
    <w:p w14:paraId="1F32CABF" w14:textId="77777777" w:rsidR="00F622D8" w:rsidRPr="007979A7" w:rsidRDefault="00F622D8" w:rsidP="00F622D8">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rPr>
        <w:lastRenderedPageBreak/>
        <w:t xml:space="preserve">A major advantage of clonal forestry is its consistently high rooting performance. Rooting success under controlled nursery environments ranged from </w:t>
      </w:r>
      <w:r w:rsidRPr="007979A7">
        <w:rPr>
          <w:rStyle w:val="Strong"/>
          <w:rFonts w:ascii="Arial" w:hAnsi="Arial" w:cs="Arial"/>
          <w:b w:val="0"/>
          <w:sz w:val="20"/>
          <w:szCs w:val="20"/>
        </w:rPr>
        <w:t>70–90%</w:t>
      </w:r>
      <w:r w:rsidRPr="007979A7">
        <w:rPr>
          <w:rFonts w:ascii="Arial" w:hAnsi="Arial" w:cs="Arial"/>
          <w:sz w:val="20"/>
          <w:szCs w:val="20"/>
        </w:rPr>
        <w:t xml:space="preserve">, substantially exceeding that observed in conventional vegetative propagation systems. Such high rooting reliability is attributable to the combined effects of juvenile propagule selection, controlled microclimatic nursery conditions, and optimized </w:t>
      </w:r>
      <w:proofErr w:type="spellStart"/>
      <w:r w:rsidRPr="007979A7">
        <w:rPr>
          <w:rFonts w:ascii="Arial" w:hAnsi="Arial" w:cs="Arial"/>
          <w:sz w:val="20"/>
          <w:szCs w:val="20"/>
        </w:rPr>
        <w:t>rooting</w:t>
      </w:r>
      <w:proofErr w:type="spellEnd"/>
      <w:r w:rsidRPr="007979A7">
        <w:rPr>
          <w:rFonts w:ascii="Arial" w:hAnsi="Arial" w:cs="Arial"/>
          <w:sz w:val="20"/>
          <w:szCs w:val="20"/>
        </w:rPr>
        <w:t xml:space="preserve"> protocols (</w:t>
      </w:r>
      <w:proofErr w:type="spellStart"/>
      <w:r w:rsidRPr="007979A7">
        <w:rPr>
          <w:rFonts w:ascii="Arial" w:hAnsi="Arial" w:cs="Arial"/>
          <w:sz w:val="20"/>
          <w:szCs w:val="20"/>
        </w:rPr>
        <w:t>Monteuuis</w:t>
      </w:r>
      <w:proofErr w:type="spellEnd"/>
      <w:r w:rsidRPr="007979A7">
        <w:rPr>
          <w:rFonts w:ascii="Arial" w:hAnsi="Arial" w:cs="Arial"/>
          <w:sz w:val="20"/>
          <w:szCs w:val="20"/>
        </w:rPr>
        <w:t xml:space="preserve"> and Goh, 2014; Chaix et al., 2011). These findings confirm that clonal mini-cutting systems provide a biologically stable and operationally scalable propagation platform suitable for mass multiplication of elite teak genotypes.</w:t>
      </w:r>
    </w:p>
    <w:p w14:paraId="7A98BB01" w14:textId="77777777" w:rsidR="00F622D8" w:rsidRPr="007979A7" w:rsidRDefault="00F622D8" w:rsidP="00F622D8">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rPr>
        <w:t xml:space="preserve">The most significant silvicultural benefit observed in clonal systems is the marked reduction in planting stock variability. As shown in Table 4, coefficient of variation (CV) in clonal plantations is reduced to </w:t>
      </w:r>
      <w:r w:rsidRPr="007979A7">
        <w:rPr>
          <w:rStyle w:val="Strong"/>
          <w:rFonts w:ascii="Arial" w:hAnsi="Arial" w:cs="Arial"/>
          <w:b w:val="0"/>
          <w:sz w:val="20"/>
          <w:szCs w:val="20"/>
        </w:rPr>
        <w:t>10–20%</w:t>
      </w:r>
      <w:r w:rsidRPr="007979A7">
        <w:rPr>
          <w:rFonts w:ascii="Arial" w:hAnsi="Arial" w:cs="Arial"/>
          <w:sz w:val="20"/>
          <w:szCs w:val="20"/>
        </w:rPr>
        <w:t>, compared with substantially higher variability in seed-origin plantations (White et al., 2007; Chaix et al., 2011). This reduction in phenotypic heterogeneity results in more uniform stem form, synchronized growth rates, and predictable stand structure, all of which are essential for efficient plantation management and timber quality optimization. Improved uniformity also facilitates silvicultural interventions such as thinning, pruning, and harvesting.</w:t>
      </w:r>
    </w:p>
    <w:p w14:paraId="504B095A" w14:textId="77777777" w:rsidR="00F622D8" w:rsidRPr="007979A7" w:rsidRDefault="00F622D8" w:rsidP="00F622D8">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rPr>
        <w:t xml:space="preserve">Another important outcome of clonal propagation is the shortening of plantation rotation periods. Elite clonal plantations demonstrate faster growth rates, leading to rotation reductions of </w:t>
      </w:r>
      <w:r w:rsidRPr="007979A7">
        <w:rPr>
          <w:rStyle w:val="Strong"/>
          <w:rFonts w:ascii="Arial" w:hAnsi="Arial" w:cs="Arial"/>
          <w:b w:val="0"/>
          <w:sz w:val="20"/>
          <w:szCs w:val="20"/>
        </w:rPr>
        <w:t>20–40%</w:t>
      </w:r>
      <w:r w:rsidRPr="007979A7">
        <w:rPr>
          <w:rFonts w:ascii="Arial" w:hAnsi="Arial" w:cs="Arial"/>
          <w:sz w:val="20"/>
          <w:szCs w:val="20"/>
        </w:rPr>
        <w:t xml:space="preserve"> relative to conventional plantations (Midgley et al., 2015). This accelerated growth cycle directly improves economic returns by reducing time to harvest and increasing annualized productivity. The shorter rotation period is particularly valuable in industrial plantation forestry, where rapid capital turnover is a major economic objective.</w:t>
      </w:r>
    </w:p>
    <w:p w14:paraId="69B2A26D" w14:textId="77777777" w:rsidR="00F622D8" w:rsidRPr="007979A7" w:rsidRDefault="00F622D8" w:rsidP="00F622D8">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rPr>
        <w:t xml:space="preserve">Despite these advantages, clonal propagation requires more sophisticated infrastructure than traditional propagation systems. Successful implementation depends on specialized nursery facilities including mist chambers, clonal hedge gardens, controlled rooting environments, and trained technical personnel. As indicated in Table 4, these requirements involve moderate to high investment costs, which may limit adoption in low-resource forestry systems (Goh and </w:t>
      </w:r>
      <w:proofErr w:type="spellStart"/>
      <w:r w:rsidRPr="007979A7">
        <w:rPr>
          <w:rFonts w:ascii="Arial" w:hAnsi="Arial" w:cs="Arial"/>
          <w:sz w:val="20"/>
          <w:szCs w:val="20"/>
        </w:rPr>
        <w:t>Monteuuis</w:t>
      </w:r>
      <w:proofErr w:type="spellEnd"/>
      <w:r w:rsidRPr="007979A7">
        <w:rPr>
          <w:rFonts w:ascii="Arial" w:hAnsi="Arial" w:cs="Arial"/>
          <w:sz w:val="20"/>
          <w:szCs w:val="20"/>
        </w:rPr>
        <w:t>, 2016). Consequently, clonal forestry is currently most feasible in organized plantation enterprises with access to technical and financial resources.</w:t>
      </w:r>
    </w:p>
    <w:p w14:paraId="050E1C8C" w14:textId="77777777" w:rsidR="00F622D8" w:rsidRPr="007979A7" w:rsidRDefault="00F622D8" w:rsidP="00F622D8">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rPr>
        <w:t>The global adoption pattern further reflects the growing industrial importance of clonal forestry. Clonal teak propagation is now widely practiced in Asia and Latin America, where commercial plantation systems have integrated elite clone deployment into large-scale production models (</w:t>
      </w:r>
      <w:proofErr w:type="spellStart"/>
      <w:r w:rsidRPr="007979A7">
        <w:rPr>
          <w:rFonts w:ascii="Arial" w:hAnsi="Arial" w:cs="Arial"/>
          <w:sz w:val="20"/>
          <w:szCs w:val="20"/>
        </w:rPr>
        <w:t>Kollert</w:t>
      </w:r>
      <w:proofErr w:type="spellEnd"/>
      <w:r w:rsidRPr="007979A7">
        <w:rPr>
          <w:rFonts w:ascii="Arial" w:hAnsi="Arial" w:cs="Arial"/>
          <w:sz w:val="20"/>
          <w:szCs w:val="20"/>
        </w:rPr>
        <w:t xml:space="preserve"> and </w:t>
      </w:r>
      <w:proofErr w:type="spellStart"/>
      <w:r w:rsidRPr="007979A7">
        <w:rPr>
          <w:rFonts w:ascii="Arial" w:hAnsi="Arial" w:cs="Arial"/>
          <w:sz w:val="20"/>
          <w:szCs w:val="20"/>
        </w:rPr>
        <w:t>Kleine</w:t>
      </w:r>
      <w:proofErr w:type="spellEnd"/>
      <w:r w:rsidRPr="007979A7">
        <w:rPr>
          <w:rFonts w:ascii="Arial" w:hAnsi="Arial" w:cs="Arial"/>
          <w:sz w:val="20"/>
          <w:szCs w:val="20"/>
        </w:rPr>
        <w:t>, 2017). Countries such as India, Indonesia, Brazil, and Costa Rica have demonstrated substantial gains in plantation productivity and wood quality through clonal forestry, establishing it as the industrial standard for teak plantation development.</w:t>
      </w:r>
    </w:p>
    <w:p w14:paraId="0969DE63"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t xml:space="preserve">3.1.4 </w:t>
      </w:r>
      <w:r w:rsidRPr="007979A7">
        <w:rPr>
          <w:rFonts w:ascii="Arial" w:hAnsi="Arial" w:cs="Arial"/>
          <w:b/>
          <w:bCs/>
          <w:lang w:val="en-IN" w:eastAsia="en-IN"/>
        </w:rPr>
        <w:tab/>
        <w:t>Micropropagation and Tissue Culture: Towards Mass Multiplication</w:t>
      </w:r>
    </w:p>
    <w:p w14:paraId="3D851FEE" w14:textId="77777777" w:rsidR="00F622D8" w:rsidRPr="007979A7" w:rsidRDefault="00F622D8" w:rsidP="00F622D8">
      <w:pPr>
        <w:spacing w:before="120" w:line="276" w:lineRule="auto"/>
        <w:jc w:val="both"/>
        <w:rPr>
          <w:rFonts w:ascii="Arial" w:hAnsi="Arial" w:cs="Arial"/>
        </w:rPr>
      </w:pPr>
      <w:r w:rsidRPr="007979A7">
        <w:rPr>
          <w:rFonts w:ascii="Arial" w:hAnsi="Arial" w:cs="Arial"/>
        </w:rPr>
        <w:t xml:space="preserve">Micropropagation has emerged as a highly promising biotechnological approach for large-scale multiplication of elite genotypes of </w:t>
      </w:r>
      <w:r w:rsidRPr="007979A7">
        <w:rPr>
          <w:rStyle w:val="whitespace-normal"/>
          <w:rFonts w:ascii="Arial" w:hAnsi="Arial" w:cs="Arial"/>
          <w:i/>
        </w:rPr>
        <w:t>Tectona grandis</w:t>
      </w:r>
      <w:r w:rsidRPr="007979A7">
        <w:rPr>
          <w:rFonts w:ascii="Arial" w:hAnsi="Arial" w:cs="Arial"/>
        </w:rPr>
        <w:t xml:space="preserve">, offering a level of precision and multiplication efficiency beyond conventional clonal propagation systems. The data presented in </w:t>
      </w:r>
      <w:r w:rsidRPr="007979A7">
        <w:rPr>
          <w:rStyle w:val="Strong"/>
          <w:rFonts w:ascii="Arial" w:hAnsi="Arial" w:cs="Arial"/>
          <w:b w:val="0"/>
        </w:rPr>
        <w:t>Table 5</w:t>
      </w:r>
      <w:r w:rsidRPr="007979A7">
        <w:rPr>
          <w:rFonts w:ascii="Arial" w:hAnsi="Arial" w:cs="Arial"/>
        </w:rPr>
        <w:t xml:space="preserve"> indicate that tissue culture-based propagation has significantly advanced teak multiplication by enabling rapid shoot proliferation, high genetic fidelity, and large-scale production of uniform planting stock.</w:t>
      </w:r>
    </w:p>
    <w:p w14:paraId="3726CE7E"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lastRenderedPageBreak/>
        <w:t xml:space="preserve">One of the major strengths of teak micropropagation lies in the versatility of explant sources. Nodal segments, shoot tips, and zygotic embryos have all shown high regeneration potential under in vitro conditions, allowing reliable initiation of cultures from diverse genetic materials (Akram and Aftab, 2009). Among these, nodal explants are particularly advantageous because they retain pre-existing meristems, reducing </w:t>
      </w:r>
      <w:proofErr w:type="spellStart"/>
      <w:r w:rsidRPr="007979A7">
        <w:rPr>
          <w:rFonts w:ascii="Arial" w:hAnsi="Arial" w:cs="Arial"/>
          <w:lang w:val="en-IN" w:eastAsia="en-IN"/>
        </w:rPr>
        <w:t>somaclonal</w:t>
      </w:r>
      <w:proofErr w:type="spellEnd"/>
      <w:r w:rsidRPr="007979A7">
        <w:rPr>
          <w:rFonts w:ascii="Arial" w:hAnsi="Arial" w:cs="Arial"/>
          <w:lang w:val="en-IN" w:eastAsia="en-IN"/>
        </w:rPr>
        <w:t xml:space="preserve"> variation and enhancing regeneration consistency. The ability to utilize multiple explant sources broadens the applicability of micropropagation across breeding programs and elite clone multiplication systems.</w:t>
      </w:r>
    </w:p>
    <w:p w14:paraId="66CC9A3A" w14:textId="77777777" w:rsidR="00F622D8" w:rsidRPr="007979A7" w:rsidRDefault="00F622D8" w:rsidP="00F622D8">
      <w:pPr>
        <w:spacing w:line="276" w:lineRule="auto"/>
        <w:jc w:val="both"/>
        <w:rPr>
          <w:rFonts w:ascii="Arial" w:hAnsi="Arial" w:cs="Arial"/>
          <w:lang w:val="en-IN" w:eastAsia="en-IN"/>
        </w:rPr>
      </w:pPr>
      <w:r w:rsidRPr="007979A7">
        <w:rPr>
          <w:rFonts w:ascii="Arial" w:hAnsi="Arial" w:cs="Arial"/>
        </w:rPr>
        <w:t xml:space="preserve">Table 5. Advances in Micropropagation of </w:t>
      </w:r>
      <w:r w:rsidRPr="007979A7">
        <w:rPr>
          <w:rFonts w:ascii="Arial" w:hAnsi="Arial" w:cs="Arial"/>
          <w:i/>
        </w:rPr>
        <w:t>Tectona grandis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1495"/>
        <w:gridCol w:w="2020"/>
        <w:gridCol w:w="1544"/>
        <w:gridCol w:w="1815"/>
      </w:tblGrid>
      <w:tr w:rsidR="00F622D8" w:rsidRPr="007979A7" w14:paraId="79002256" w14:textId="77777777" w:rsidTr="001E4206">
        <w:tc>
          <w:tcPr>
            <w:tcW w:w="0" w:type="auto"/>
            <w:hideMark/>
          </w:tcPr>
          <w:p w14:paraId="524596D5" w14:textId="77777777" w:rsidR="00F622D8" w:rsidRPr="007979A7" w:rsidRDefault="00F622D8" w:rsidP="001E4206">
            <w:pPr>
              <w:rPr>
                <w:rFonts w:ascii="Arial" w:hAnsi="Arial" w:cs="Arial"/>
                <w:b/>
                <w:bCs/>
                <w:lang w:val="en-IN" w:eastAsia="en-IN"/>
              </w:rPr>
            </w:pPr>
            <w:r w:rsidRPr="007979A7">
              <w:rPr>
                <w:rFonts w:ascii="Arial" w:hAnsi="Arial" w:cs="Arial"/>
                <w:b/>
                <w:bCs/>
              </w:rPr>
              <w:t>Aspect</w:t>
            </w:r>
          </w:p>
        </w:tc>
        <w:tc>
          <w:tcPr>
            <w:tcW w:w="0" w:type="auto"/>
            <w:hideMark/>
          </w:tcPr>
          <w:p w14:paraId="52B85B92" w14:textId="77777777" w:rsidR="00F622D8" w:rsidRPr="007979A7" w:rsidRDefault="00F622D8" w:rsidP="001E4206">
            <w:pPr>
              <w:rPr>
                <w:rFonts w:ascii="Arial" w:hAnsi="Arial" w:cs="Arial"/>
                <w:b/>
                <w:bCs/>
              </w:rPr>
            </w:pPr>
            <w:r w:rsidRPr="007979A7">
              <w:rPr>
                <w:rFonts w:ascii="Arial" w:hAnsi="Arial" w:cs="Arial"/>
                <w:b/>
                <w:bCs/>
              </w:rPr>
              <w:t>Observations / Findings</w:t>
            </w:r>
          </w:p>
        </w:tc>
        <w:tc>
          <w:tcPr>
            <w:tcW w:w="2032" w:type="dxa"/>
            <w:hideMark/>
          </w:tcPr>
          <w:p w14:paraId="059DC2FD" w14:textId="77777777" w:rsidR="00F622D8" w:rsidRPr="007979A7" w:rsidRDefault="00F622D8" w:rsidP="001E4206">
            <w:pPr>
              <w:rPr>
                <w:rFonts w:ascii="Arial" w:hAnsi="Arial" w:cs="Arial"/>
                <w:b/>
                <w:bCs/>
              </w:rPr>
            </w:pPr>
            <w:r w:rsidRPr="007979A7">
              <w:rPr>
                <w:rFonts w:ascii="Arial" w:hAnsi="Arial" w:cs="Arial"/>
                <w:b/>
                <w:bCs/>
              </w:rPr>
              <w:t>Quantitative Range / Effect</w:t>
            </w:r>
          </w:p>
        </w:tc>
        <w:tc>
          <w:tcPr>
            <w:tcW w:w="1560" w:type="dxa"/>
            <w:hideMark/>
          </w:tcPr>
          <w:p w14:paraId="104E1A50" w14:textId="77777777" w:rsidR="00F622D8" w:rsidRPr="007979A7" w:rsidRDefault="00F622D8" w:rsidP="001E4206">
            <w:pPr>
              <w:rPr>
                <w:rFonts w:ascii="Arial" w:hAnsi="Arial" w:cs="Arial"/>
                <w:b/>
                <w:bCs/>
              </w:rPr>
            </w:pPr>
            <w:r w:rsidRPr="007979A7">
              <w:rPr>
                <w:rFonts w:ascii="Arial" w:hAnsi="Arial" w:cs="Arial"/>
                <w:b/>
                <w:bCs/>
              </w:rPr>
              <w:t>Practical Implication</w:t>
            </w:r>
          </w:p>
        </w:tc>
        <w:tc>
          <w:tcPr>
            <w:tcW w:w="1905" w:type="dxa"/>
            <w:hideMark/>
          </w:tcPr>
          <w:p w14:paraId="1F541D98" w14:textId="77777777" w:rsidR="00F622D8" w:rsidRPr="007979A7" w:rsidRDefault="00F622D8" w:rsidP="001E4206">
            <w:pPr>
              <w:rPr>
                <w:rFonts w:ascii="Arial" w:hAnsi="Arial" w:cs="Arial"/>
                <w:b/>
                <w:bCs/>
              </w:rPr>
            </w:pPr>
            <w:r w:rsidRPr="007979A7">
              <w:rPr>
                <w:rFonts w:ascii="Arial" w:hAnsi="Arial" w:cs="Arial"/>
                <w:b/>
                <w:bCs/>
              </w:rPr>
              <w:t>Key References</w:t>
            </w:r>
          </w:p>
        </w:tc>
      </w:tr>
      <w:tr w:rsidR="00F622D8" w:rsidRPr="007979A7" w14:paraId="6E15DB2B" w14:textId="77777777" w:rsidTr="001E4206">
        <w:tc>
          <w:tcPr>
            <w:tcW w:w="0" w:type="auto"/>
            <w:hideMark/>
          </w:tcPr>
          <w:p w14:paraId="15324072" w14:textId="77777777" w:rsidR="00F622D8" w:rsidRPr="007979A7" w:rsidRDefault="00F622D8" w:rsidP="001E4206">
            <w:pPr>
              <w:rPr>
                <w:rFonts w:ascii="Arial" w:hAnsi="Arial" w:cs="Arial"/>
                <w:b/>
              </w:rPr>
            </w:pPr>
            <w:r w:rsidRPr="007979A7">
              <w:rPr>
                <w:rStyle w:val="Strong"/>
                <w:rFonts w:ascii="Arial" w:hAnsi="Arial" w:cs="Arial"/>
                <w:b w:val="0"/>
              </w:rPr>
              <w:t>Explant Source</w:t>
            </w:r>
          </w:p>
        </w:tc>
        <w:tc>
          <w:tcPr>
            <w:tcW w:w="0" w:type="auto"/>
            <w:hideMark/>
          </w:tcPr>
          <w:p w14:paraId="43DF0AFD" w14:textId="77777777" w:rsidR="00F622D8" w:rsidRPr="007979A7" w:rsidRDefault="00F622D8" w:rsidP="001E4206">
            <w:pPr>
              <w:rPr>
                <w:rFonts w:ascii="Arial" w:hAnsi="Arial" w:cs="Arial"/>
              </w:rPr>
            </w:pPr>
            <w:r w:rsidRPr="007979A7">
              <w:rPr>
                <w:rFonts w:ascii="Arial" w:hAnsi="Arial" w:cs="Arial"/>
              </w:rPr>
              <w:t>Nodal segments, shoot tips, zygotic embryos</w:t>
            </w:r>
          </w:p>
        </w:tc>
        <w:tc>
          <w:tcPr>
            <w:tcW w:w="2032" w:type="dxa"/>
            <w:hideMark/>
          </w:tcPr>
          <w:p w14:paraId="5EB560E1" w14:textId="77777777" w:rsidR="00F622D8" w:rsidRPr="007979A7" w:rsidRDefault="00F622D8" w:rsidP="001E4206">
            <w:pPr>
              <w:rPr>
                <w:rFonts w:ascii="Arial" w:hAnsi="Arial" w:cs="Arial"/>
              </w:rPr>
            </w:pPr>
            <w:r w:rsidRPr="007979A7">
              <w:rPr>
                <w:rFonts w:ascii="Arial" w:hAnsi="Arial" w:cs="Arial"/>
              </w:rPr>
              <w:t>High regeneration potential</w:t>
            </w:r>
          </w:p>
        </w:tc>
        <w:tc>
          <w:tcPr>
            <w:tcW w:w="1560" w:type="dxa"/>
            <w:hideMark/>
          </w:tcPr>
          <w:p w14:paraId="6F5270D3" w14:textId="77777777" w:rsidR="00F622D8" w:rsidRPr="007979A7" w:rsidRDefault="00F622D8" w:rsidP="001E4206">
            <w:pPr>
              <w:rPr>
                <w:rFonts w:ascii="Arial" w:hAnsi="Arial" w:cs="Arial"/>
              </w:rPr>
            </w:pPr>
            <w:r w:rsidRPr="007979A7">
              <w:rPr>
                <w:rFonts w:ascii="Arial" w:hAnsi="Arial" w:cs="Arial"/>
              </w:rPr>
              <w:t>Consistent multiplication</w:t>
            </w:r>
          </w:p>
        </w:tc>
        <w:tc>
          <w:tcPr>
            <w:tcW w:w="1905" w:type="dxa"/>
            <w:hideMark/>
          </w:tcPr>
          <w:p w14:paraId="48BF4DBB" w14:textId="77777777" w:rsidR="00F622D8" w:rsidRPr="007979A7" w:rsidRDefault="00F622D8" w:rsidP="001E4206">
            <w:pPr>
              <w:rPr>
                <w:rFonts w:ascii="Arial" w:hAnsi="Arial" w:cs="Arial"/>
              </w:rPr>
            </w:pPr>
            <w:r w:rsidRPr="007979A7">
              <w:rPr>
                <w:rFonts w:ascii="Arial" w:hAnsi="Arial" w:cs="Arial"/>
              </w:rPr>
              <w:t>Akram and Aftab (2009)</w:t>
            </w:r>
          </w:p>
        </w:tc>
      </w:tr>
      <w:tr w:rsidR="00F622D8" w:rsidRPr="007979A7" w14:paraId="02CDC744" w14:textId="77777777" w:rsidTr="001E4206">
        <w:tc>
          <w:tcPr>
            <w:tcW w:w="0" w:type="auto"/>
            <w:hideMark/>
          </w:tcPr>
          <w:p w14:paraId="5785F176" w14:textId="77777777" w:rsidR="00F622D8" w:rsidRPr="007979A7" w:rsidRDefault="00F622D8" w:rsidP="001E4206">
            <w:pPr>
              <w:rPr>
                <w:rFonts w:ascii="Arial" w:hAnsi="Arial" w:cs="Arial"/>
                <w:b/>
              </w:rPr>
            </w:pPr>
            <w:r w:rsidRPr="007979A7">
              <w:rPr>
                <w:rStyle w:val="Strong"/>
                <w:rFonts w:ascii="Arial" w:hAnsi="Arial" w:cs="Arial"/>
                <w:b w:val="0"/>
              </w:rPr>
              <w:t>Multiplication Rate</w:t>
            </w:r>
          </w:p>
        </w:tc>
        <w:tc>
          <w:tcPr>
            <w:tcW w:w="0" w:type="auto"/>
            <w:hideMark/>
          </w:tcPr>
          <w:p w14:paraId="488D2AFC" w14:textId="77777777" w:rsidR="00F622D8" w:rsidRPr="007979A7" w:rsidRDefault="00F622D8" w:rsidP="001E4206">
            <w:pPr>
              <w:rPr>
                <w:rFonts w:ascii="Arial" w:hAnsi="Arial" w:cs="Arial"/>
              </w:rPr>
            </w:pPr>
            <w:r w:rsidRPr="007979A7">
              <w:rPr>
                <w:rFonts w:ascii="Arial" w:hAnsi="Arial" w:cs="Arial"/>
              </w:rPr>
              <w:t>Rapid shoot proliferation under controlled media</w:t>
            </w:r>
          </w:p>
        </w:tc>
        <w:tc>
          <w:tcPr>
            <w:tcW w:w="2032" w:type="dxa"/>
            <w:hideMark/>
          </w:tcPr>
          <w:p w14:paraId="6AB6EDB2" w14:textId="77777777" w:rsidR="00F622D8" w:rsidRPr="007979A7" w:rsidRDefault="00F622D8" w:rsidP="001E4206">
            <w:pPr>
              <w:rPr>
                <w:rFonts w:ascii="Arial" w:hAnsi="Arial" w:cs="Arial"/>
                <w:b/>
              </w:rPr>
            </w:pPr>
            <w:r w:rsidRPr="007979A7">
              <w:rPr>
                <w:rStyle w:val="Strong"/>
                <w:rFonts w:ascii="Arial" w:hAnsi="Arial" w:cs="Arial"/>
                <w:b w:val="0"/>
              </w:rPr>
              <w:t>30–50 shoots/explant/year</w:t>
            </w:r>
          </w:p>
        </w:tc>
        <w:tc>
          <w:tcPr>
            <w:tcW w:w="1560" w:type="dxa"/>
            <w:hideMark/>
          </w:tcPr>
          <w:p w14:paraId="06C9B1F0" w14:textId="77777777" w:rsidR="00F622D8" w:rsidRPr="007979A7" w:rsidRDefault="00F622D8" w:rsidP="001E4206">
            <w:pPr>
              <w:rPr>
                <w:rFonts w:ascii="Arial" w:hAnsi="Arial" w:cs="Arial"/>
              </w:rPr>
            </w:pPr>
            <w:r w:rsidRPr="007979A7">
              <w:rPr>
                <w:rFonts w:ascii="Arial" w:hAnsi="Arial" w:cs="Arial"/>
              </w:rPr>
              <w:t>High-output propagation system</w:t>
            </w:r>
          </w:p>
        </w:tc>
        <w:tc>
          <w:tcPr>
            <w:tcW w:w="1905" w:type="dxa"/>
            <w:hideMark/>
          </w:tcPr>
          <w:p w14:paraId="02BC09BA" w14:textId="77777777" w:rsidR="00F622D8" w:rsidRPr="007979A7" w:rsidRDefault="00F622D8" w:rsidP="001E4206">
            <w:pPr>
              <w:rPr>
                <w:rFonts w:ascii="Arial" w:hAnsi="Arial" w:cs="Arial"/>
              </w:rPr>
            </w:pPr>
            <w:r w:rsidRPr="007979A7">
              <w:rPr>
                <w:rFonts w:ascii="Arial" w:hAnsi="Arial" w:cs="Arial"/>
              </w:rPr>
              <w:t>Akram and Aftab (2009)</w:t>
            </w:r>
          </w:p>
        </w:tc>
      </w:tr>
      <w:tr w:rsidR="00F622D8" w:rsidRPr="007979A7" w14:paraId="45ADF25D" w14:textId="77777777" w:rsidTr="001E4206">
        <w:tc>
          <w:tcPr>
            <w:tcW w:w="0" w:type="auto"/>
            <w:hideMark/>
          </w:tcPr>
          <w:p w14:paraId="2B623301" w14:textId="77777777" w:rsidR="00F622D8" w:rsidRPr="007979A7" w:rsidRDefault="00F622D8" w:rsidP="001E4206">
            <w:pPr>
              <w:rPr>
                <w:rFonts w:ascii="Arial" w:hAnsi="Arial" w:cs="Arial"/>
                <w:b/>
              </w:rPr>
            </w:pPr>
            <w:r w:rsidRPr="007979A7">
              <w:rPr>
                <w:rStyle w:val="Strong"/>
                <w:rFonts w:ascii="Arial" w:hAnsi="Arial" w:cs="Arial"/>
                <w:b w:val="0"/>
              </w:rPr>
              <w:t>Rooting and Acclimatization</w:t>
            </w:r>
          </w:p>
        </w:tc>
        <w:tc>
          <w:tcPr>
            <w:tcW w:w="0" w:type="auto"/>
            <w:hideMark/>
          </w:tcPr>
          <w:p w14:paraId="714B79C8" w14:textId="77777777" w:rsidR="00F622D8" w:rsidRPr="007979A7" w:rsidRDefault="00F622D8" w:rsidP="001E4206">
            <w:pPr>
              <w:rPr>
                <w:rFonts w:ascii="Arial" w:hAnsi="Arial" w:cs="Arial"/>
              </w:rPr>
            </w:pPr>
            <w:r w:rsidRPr="007979A7">
              <w:rPr>
                <w:rFonts w:ascii="Arial" w:hAnsi="Arial" w:cs="Arial"/>
              </w:rPr>
              <w:t>Improved survival through ex vitro rooting</w:t>
            </w:r>
          </w:p>
        </w:tc>
        <w:tc>
          <w:tcPr>
            <w:tcW w:w="2032" w:type="dxa"/>
            <w:hideMark/>
          </w:tcPr>
          <w:p w14:paraId="778BF0B4" w14:textId="77777777" w:rsidR="00F622D8" w:rsidRPr="007979A7" w:rsidRDefault="00F622D8" w:rsidP="001E4206">
            <w:pPr>
              <w:rPr>
                <w:rFonts w:ascii="Arial" w:hAnsi="Arial" w:cs="Arial"/>
                <w:b/>
              </w:rPr>
            </w:pPr>
            <w:r w:rsidRPr="007979A7">
              <w:rPr>
                <w:rStyle w:val="Strong"/>
                <w:rFonts w:ascii="Arial" w:hAnsi="Arial" w:cs="Arial"/>
                <w:b w:val="0"/>
              </w:rPr>
              <w:t>70–95% survival</w:t>
            </w:r>
          </w:p>
        </w:tc>
        <w:tc>
          <w:tcPr>
            <w:tcW w:w="1560" w:type="dxa"/>
            <w:hideMark/>
          </w:tcPr>
          <w:p w14:paraId="4E9E1DC1" w14:textId="77777777" w:rsidR="00F622D8" w:rsidRPr="007979A7" w:rsidRDefault="00F622D8" w:rsidP="001E4206">
            <w:pPr>
              <w:rPr>
                <w:rFonts w:ascii="Arial" w:hAnsi="Arial" w:cs="Arial"/>
              </w:rPr>
            </w:pPr>
            <w:r w:rsidRPr="007979A7">
              <w:rPr>
                <w:rFonts w:ascii="Arial" w:hAnsi="Arial" w:cs="Arial"/>
              </w:rPr>
              <w:t>Efficient plant establishment</w:t>
            </w:r>
          </w:p>
        </w:tc>
        <w:tc>
          <w:tcPr>
            <w:tcW w:w="1905" w:type="dxa"/>
            <w:hideMark/>
          </w:tcPr>
          <w:p w14:paraId="22E85267" w14:textId="77777777" w:rsidR="00F622D8" w:rsidRPr="007979A7" w:rsidRDefault="00F622D8" w:rsidP="001E4206">
            <w:pPr>
              <w:rPr>
                <w:rFonts w:ascii="Arial" w:hAnsi="Arial" w:cs="Arial"/>
              </w:rPr>
            </w:pPr>
            <w:r w:rsidRPr="007979A7">
              <w:rPr>
                <w:rFonts w:ascii="Arial" w:hAnsi="Arial" w:cs="Arial"/>
              </w:rPr>
              <w:t>Mendoza de Gyves et al. (2007)</w:t>
            </w:r>
          </w:p>
        </w:tc>
      </w:tr>
      <w:tr w:rsidR="00F622D8" w:rsidRPr="007979A7" w14:paraId="722D1158" w14:textId="77777777" w:rsidTr="001E4206">
        <w:tc>
          <w:tcPr>
            <w:tcW w:w="0" w:type="auto"/>
            <w:hideMark/>
          </w:tcPr>
          <w:p w14:paraId="3D37B56C" w14:textId="77777777" w:rsidR="00F622D8" w:rsidRPr="007979A7" w:rsidRDefault="00F622D8" w:rsidP="001E4206">
            <w:pPr>
              <w:rPr>
                <w:rFonts w:ascii="Arial" w:hAnsi="Arial" w:cs="Arial"/>
                <w:b/>
              </w:rPr>
            </w:pPr>
            <w:r w:rsidRPr="007979A7">
              <w:rPr>
                <w:rStyle w:val="Strong"/>
                <w:rFonts w:ascii="Arial" w:hAnsi="Arial" w:cs="Arial"/>
                <w:b w:val="0"/>
              </w:rPr>
              <w:t>Temporary Immersion Systems (TIBs)</w:t>
            </w:r>
          </w:p>
        </w:tc>
        <w:tc>
          <w:tcPr>
            <w:tcW w:w="0" w:type="auto"/>
            <w:hideMark/>
          </w:tcPr>
          <w:p w14:paraId="1D37CFB2" w14:textId="77777777" w:rsidR="00F622D8" w:rsidRPr="007979A7" w:rsidRDefault="00F622D8" w:rsidP="001E4206">
            <w:pPr>
              <w:rPr>
                <w:rFonts w:ascii="Arial" w:hAnsi="Arial" w:cs="Arial"/>
              </w:rPr>
            </w:pPr>
            <w:r w:rsidRPr="007979A7">
              <w:rPr>
                <w:rFonts w:ascii="Arial" w:hAnsi="Arial" w:cs="Arial"/>
              </w:rPr>
              <w:t>Enhanced nutrient uptake and shoot growth</w:t>
            </w:r>
          </w:p>
        </w:tc>
        <w:tc>
          <w:tcPr>
            <w:tcW w:w="2032" w:type="dxa"/>
            <w:hideMark/>
          </w:tcPr>
          <w:p w14:paraId="0127A2E1" w14:textId="77777777" w:rsidR="00F622D8" w:rsidRPr="007979A7" w:rsidRDefault="00F622D8" w:rsidP="001E4206">
            <w:pPr>
              <w:rPr>
                <w:rFonts w:ascii="Arial" w:hAnsi="Arial" w:cs="Arial"/>
              </w:rPr>
            </w:pPr>
            <w:r w:rsidRPr="007979A7">
              <w:rPr>
                <w:rFonts w:ascii="Arial" w:hAnsi="Arial" w:cs="Arial"/>
              </w:rPr>
              <w:t xml:space="preserve">Multiplication increase: </w:t>
            </w:r>
            <w:r w:rsidRPr="007979A7">
              <w:rPr>
                <w:rStyle w:val="Strong"/>
                <w:rFonts w:ascii="Arial" w:hAnsi="Arial" w:cs="Arial"/>
                <w:b w:val="0"/>
              </w:rPr>
              <w:t>+30–50%</w:t>
            </w:r>
          </w:p>
        </w:tc>
        <w:tc>
          <w:tcPr>
            <w:tcW w:w="1560" w:type="dxa"/>
            <w:hideMark/>
          </w:tcPr>
          <w:p w14:paraId="68A04297" w14:textId="77777777" w:rsidR="00F622D8" w:rsidRPr="007979A7" w:rsidRDefault="00F622D8" w:rsidP="001E4206">
            <w:pPr>
              <w:rPr>
                <w:rFonts w:ascii="Arial" w:hAnsi="Arial" w:cs="Arial"/>
              </w:rPr>
            </w:pPr>
            <w:r w:rsidRPr="007979A7">
              <w:rPr>
                <w:rFonts w:ascii="Arial" w:hAnsi="Arial" w:cs="Arial"/>
              </w:rPr>
              <w:t>Cost-effective scaling</w:t>
            </w:r>
          </w:p>
        </w:tc>
        <w:tc>
          <w:tcPr>
            <w:tcW w:w="1905" w:type="dxa"/>
            <w:hideMark/>
          </w:tcPr>
          <w:p w14:paraId="6727852E" w14:textId="77777777" w:rsidR="00F622D8" w:rsidRPr="007979A7" w:rsidRDefault="00F622D8" w:rsidP="001E4206">
            <w:pPr>
              <w:rPr>
                <w:rFonts w:ascii="Arial" w:hAnsi="Arial" w:cs="Arial"/>
              </w:rPr>
            </w:pPr>
            <w:r w:rsidRPr="007979A7">
              <w:rPr>
                <w:rFonts w:ascii="Arial" w:hAnsi="Arial" w:cs="Arial"/>
              </w:rPr>
              <w:t>Aguilar et al. (2019)</w:t>
            </w:r>
          </w:p>
        </w:tc>
      </w:tr>
      <w:tr w:rsidR="00F622D8" w:rsidRPr="007979A7" w14:paraId="52DDAEB4" w14:textId="77777777" w:rsidTr="001E4206">
        <w:tc>
          <w:tcPr>
            <w:tcW w:w="0" w:type="auto"/>
            <w:hideMark/>
          </w:tcPr>
          <w:p w14:paraId="45FF62CA" w14:textId="77777777" w:rsidR="00F622D8" w:rsidRPr="007979A7" w:rsidRDefault="00F622D8" w:rsidP="001E4206">
            <w:pPr>
              <w:rPr>
                <w:rFonts w:ascii="Arial" w:hAnsi="Arial" w:cs="Arial"/>
                <w:b/>
              </w:rPr>
            </w:pPr>
            <w:r w:rsidRPr="007979A7">
              <w:rPr>
                <w:rStyle w:val="Strong"/>
                <w:rFonts w:ascii="Arial" w:hAnsi="Arial" w:cs="Arial"/>
                <w:b w:val="0"/>
              </w:rPr>
              <w:t>Genetic Fidelity</w:t>
            </w:r>
          </w:p>
        </w:tc>
        <w:tc>
          <w:tcPr>
            <w:tcW w:w="0" w:type="auto"/>
            <w:hideMark/>
          </w:tcPr>
          <w:p w14:paraId="717DC91B" w14:textId="77777777" w:rsidR="00F622D8" w:rsidRPr="007979A7" w:rsidRDefault="00F622D8" w:rsidP="001E4206">
            <w:pPr>
              <w:rPr>
                <w:rFonts w:ascii="Arial" w:hAnsi="Arial" w:cs="Arial"/>
              </w:rPr>
            </w:pPr>
            <w:r w:rsidRPr="007979A7">
              <w:rPr>
                <w:rFonts w:ascii="Arial" w:hAnsi="Arial" w:cs="Arial"/>
              </w:rPr>
              <w:t>High clonal uniformity maintained</w:t>
            </w:r>
          </w:p>
        </w:tc>
        <w:tc>
          <w:tcPr>
            <w:tcW w:w="2032" w:type="dxa"/>
            <w:hideMark/>
          </w:tcPr>
          <w:p w14:paraId="0198F5F7" w14:textId="77777777" w:rsidR="00F622D8" w:rsidRPr="007979A7" w:rsidRDefault="00F622D8" w:rsidP="001E4206">
            <w:pPr>
              <w:rPr>
                <w:rFonts w:ascii="Arial" w:hAnsi="Arial" w:cs="Arial"/>
              </w:rPr>
            </w:pPr>
            <w:r w:rsidRPr="007979A7">
              <w:rPr>
                <w:rFonts w:ascii="Arial" w:hAnsi="Arial" w:cs="Arial"/>
              </w:rPr>
              <w:t>&gt;95% true-to-type plants</w:t>
            </w:r>
          </w:p>
        </w:tc>
        <w:tc>
          <w:tcPr>
            <w:tcW w:w="1560" w:type="dxa"/>
            <w:hideMark/>
          </w:tcPr>
          <w:p w14:paraId="6420C099" w14:textId="77777777" w:rsidR="00F622D8" w:rsidRPr="007979A7" w:rsidRDefault="00F622D8" w:rsidP="001E4206">
            <w:pPr>
              <w:rPr>
                <w:rFonts w:ascii="Arial" w:hAnsi="Arial" w:cs="Arial"/>
              </w:rPr>
            </w:pPr>
            <w:r w:rsidRPr="007979A7">
              <w:rPr>
                <w:rFonts w:ascii="Arial" w:hAnsi="Arial" w:cs="Arial"/>
              </w:rPr>
              <w:t>Reliable elite clone multiplication</w:t>
            </w:r>
          </w:p>
        </w:tc>
        <w:tc>
          <w:tcPr>
            <w:tcW w:w="1905" w:type="dxa"/>
            <w:hideMark/>
          </w:tcPr>
          <w:p w14:paraId="57898C71" w14:textId="77777777" w:rsidR="00F622D8" w:rsidRPr="007979A7" w:rsidRDefault="00F622D8" w:rsidP="001E4206">
            <w:pPr>
              <w:rPr>
                <w:rFonts w:ascii="Arial" w:hAnsi="Arial" w:cs="Arial"/>
              </w:rPr>
            </w:pPr>
            <w:r w:rsidRPr="007979A7">
              <w:rPr>
                <w:rFonts w:ascii="Arial" w:hAnsi="Arial" w:cs="Arial"/>
              </w:rPr>
              <w:t>Goh et al. (2013)</w:t>
            </w:r>
          </w:p>
        </w:tc>
      </w:tr>
      <w:tr w:rsidR="00F622D8" w:rsidRPr="007979A7" w14:paraId="1DCA20A3" w14:textId="77777777" w:rsidTr="001E4206">
        <w:tc>
          <w:tcPr>
            <w:tcW w:w="0" w:type="auto"/>
            <w:hideMark/>
          </w:tcPr>
          <w:p w14:paraId="1D841F90" w14:textId="77777777" w:rsidR="00F622D8" w:rsidRPr="007979A7" w:rsidRDefault="00F622D8" w:rsidP="001E4206">
            <w:pPr>
              <w:rPr>
                <w:rFonts w:ascii="Arial" w:hAnsi="Arial" w:cs="Arial"/>
                <w:b/>
              </w:rPr>
            </w:pPr>
            <w:r w:rsidRPr="007979A7">
              <w:rPr>
                <w:rStyle w:val="Strong"/>
                <w:rFonts w:ascii="Arial" w:hAnsi="Arial" w:cs="Arial"/>
                <w:b w:val="0"/>
              </w:rPr>
              <w:t>Cost Consideration</w:t>
            </w:r>
          </w:p>
        </w:tc>
        <w:tc>
          <w:tcPr>
            <w:tcW w:w="0" w:type="auto"/>
            <w:hideMark/>
          </w:tcPr>
          <w:p w14:paraId="70BB8790" w14:textId="77777777" w:rsidR="00F622D8" w:rsidRPr="007979A7" w:rsidRDefault="00F622D8" w:rsidP="001E4206">
            <w:pPr>
              <w:rPr>
                <w:rFonts w:ascii="Arial" w:hAnsi="Arial" w:cs="Arial"/>
              </w:rPr>
            </w:pPr>
            <w:r w:rsidRPr="007979A7">
              <w:rPr>
                <w:rFonts w:ascii="Arial" w:hAnsi="Arial" w:cs="Arial"/>
              </w:rPr>
              <w:t>High initial and operational cost</w:t>
            </w:r>
          </w:p>
        </w:tc>
        <w:tc>
          <w:tcPr>
            <w:tcW w:w="2032" w:type="dxa"/>
            <w:hideMark/>
          </w:tcPr>
          <w:p w14:paraId="654C9E9D" w14:textId="77777777" w:rsidR="00F622D8" w:rsidRPr="007979A7" w:rsidRDefault="00F622D8" w:rsidP="001E4206">
            <w:pPr>
              <w:rPr>
                <w:rFonts w:ascii="Arial" w:hAnsi="Arial" w:cs="Arial"/>
              </w:rPr>
            </w:pPr>
            <w:r w:rsidRPr="007979A7">
              <w:rPr>
                <w:rFonts w:ascii="Arial" w:hAnsi="Arial" w:cs="Arial"/>
              </w:rPr>
              <w:t>Cost 2–3× higher than cuttings</w:t>
            </w:r>
          </w:p>
        </w:tc>
        <w:tc>
          <w:tcPr>
            <w:tcW w:w="1560" w:type="dxa"/>
            <w:hideMark/>
          </w:tcPr>
          <w:p w14:paraId="476DDE40" w14:textId="77777777" w:rsidR="00F622D8" w:rsidRPr="007979A7" w:rsidRDefault="00F622D8" w:rsidP="001E4206">
            <w:pPr>
              <w:rPr>
                <w:rFonts w:ascii="Arial" w:hAnsi="Arial" w:cs="Arial"/>
              </w:rPr>
            </w:pPr>
            <w:r w:rsidRPr="007979A7">
              <w:rPr>
                <w:rFonts w:ascii="Arial" w:hAnsi="Arial" w:cs="Arial"/>
              </w:rPr>
              <w:t>Suitable for high-value plantations</w:t>
            </w:r>
          </w:p>
        </w:tc>
        <w:tc>
          <w:tcPr>
            <w:tcW w:w="1905" w:type="dxa"/>
            <w:hideMark/>
          </w:tcPr>
          <w:p w14:paraId="5CF428B2" w14:textId="77777777" w:rsidR="00F622D8" w:rsidRPr="007979A7" w:rsidRDefault="00F622D8" w:rsidP="001E4206">
            <w:pPr>
              <w:rPr>
                <w:rFonts w:ascii="Arial" w:hAnsi="Arial" w:cs="Arial"/>
              </w:rPr>
            </w:pPr>
            <w:r w:rsidRPr="007979A7">
              <w:rPr>
                <w:rFonts w:ascii="Arial" w:hAnsi="Arial" w:cs="Arial"/>
              </w:rPr>
              <w:t xml:space="preserve">Goh and </w:t>
            </w:r>
            <w:proofErr w:type="spellStart"/>
            <w:r w:rsidRPr="007979A7">
              <w:rPr>
                <w:rFonts w:ascii="Arial" w:hAnsi="Arial" w:cs="Arial"/>
              </w:rPr>
              <w:t>Monteuuis</w:t>
            </w:r>
            <w:proofErr w:type="spellEnd"/>
            <w:r w:rsidRPr="007979A7">
              <w:rPr>
                <w:rFonts w:ascii="Arial" w:hAnsi="Arial" w:cs="Arial"/>
              </w:rPr>
              <w:t xml:space="preserve"> (2016)</w:t>
            </w:r>
          </w:p>
        </w:tc>
      </w:tr>
    </w:tbl>
    <w:p w14:paraId="6E52DD3C"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A notable outcome highlighted in Table 5 is the high multiplication efficiency achieved under optimized culture conditions. Shoot proliferation rates of </w:t>
      </w:r>
      <w:r w:rsidRPr="007979A7">
        <w:rPr>
          <w:rFonts w:ascii="Arial" w:hAnsi="Arial" w:cs="Arial"/>
          <w:bCs/>
          <w:lang w:val="en-IN" w:eastAsia="en-IN"/>
        </w:rPr>
        <w:t>30–50 shoots per explant per year</w:t>
      </w:r>
      <w:r w:rsidRPr="007979A7">
        <w:rPr>
          <w:rFonts w:ascii="Arial" w:hAnsi="Arial" w:cs="Arial"/>
          <w:lang w:val="en-IN" w:eastAsia="en-IN"/>
        </w:rPr>
        <w:t xml:space="preserve"> demonstrate the exceptional multiplication capacity of micropropagation compared with conventional vegetative methods (Akram and Aftab, 2009). This rapid multiplication potential makes tissue culture especially valuable where elite clones are scarce and rapid stock expansion is required. Such multiplication rates enable year-round propagation independent of seasonal constraints, which is a major advantage over nursery-based systems.</w:t>
      </w:r>
    </w:p>
    <w:p w14:paraId="7BFE46B2"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Rooting and acclimatization remain critical stages in successful micropropagation. The development of ex vitro rooting techniques has significantly improved plant establishment, with survival rates ranging from </w:t>
      </w:r>
      <w:r w:rsidRPr="007979A7">
        <w:rPr>
          <w:rFonts w:ascii="Arial" w:hAnsi="Arial" w:cs="Arial"/>
          <w:bCs/>
          <w:lang w:val="en-IN" w:eastAsia="en-IN"/>
        </w:rPr>
        <w:t>70–95%</w:t>
      </w:r>
      <w:r w:rsidRPr="007979A7">
        <w:rPr>
          <w:rFonts w:ascii="Arial" w:hAnsi="Arial" w:cs="Arial"/>
          <w:lang w:val="en-IN" w:eastAsia="en-IN"/>
        </w:rPr>
        <w:t xml:space="preserve">, as reported in Table 5 (Mendoza de Gyves et al., 2007). Ex vitro rooting reduces handling time, lowers contamination risk, and simplifies transition from laboratory to nursery conditions. High acclimatization success indicates that </w:t>
      </w:r>
      <w:r w:rsidRPr="007979A7">
        <w:rPr>
          <w:rFonts w:ascii="Arial" w:hAnsi="Arial" w:cs="Arial"/>
          <w:lang w:val="en-IN" w:eastAsia="en-IN"/>
        </w:rPr>
        <w:lastRenderedPageBreak/>
        <w:t>tissue-cultured teak plantlets can be effectively hardened and established under nursery conditions, improving commercial viability.</w:t>
      </w:r>
    </w:p>
    <w:p w14:paraId="64EB1D43"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A major technological breakthrough in recent years is the introduction of </w:t>
      </w:r>
      <w:r w:rsidRPr="007979A7">
        <w:rPr>
          <w:rFonts w:ascii="Arial" w:hAnsi="Arial" w:cs="Arial"/>
          <w:bCs/>
          <w:lang w:val="en-IN" w:eastAsia="en-IN"/>
        </w:rPr>
        <w:t>temporary immersion bioreactor systems (TIBs)</w:t>
      </w:r>
      <w:r w:rsidRPr="007979A7">
        <w:rPr>
          <w:rFonts w:ascii="Arial" w:hAnsi="Arial" w:cs="Arial"/>
          <w:lang w:val="en-IN" w:eastAsia="en-IN"/>
        </w:rPr>
        <w:t xml:space="preserve">, which have substantially enhanced multiplication efficiency. As shown in Table 5, TIBs increase multiplication rates by </w:t>
      </w:r>
      <w:r w:rsidRPr="007979A7">
        <w:rPr>
          <w:rFonts w:ascii="Arial" w:hAnsi="Arial" w:cs="Arial"/>
          <w:bCs/>
          <w:lang w:val="en-IN" w:eastAsia="en-IN"/>
        </w:rPr>
        <w:t>30–50%</w:t>
      </w:r>
      <w:r w:rsidRPr="007979A7">
        <w:rPr>
          <w:rFonts w:ascii="Arial" w:hAnsi="Arial" w:cs="Arial"/>
          <w:lang w:val="en-IN" w:eastAsia="en-IN"/>
        </w:rPr>
        <w:t xml:space="preserve"> by improving nutrient uptake, reducing </w:t>
      </w:r>
      <w:proofErr w:type="spellStart"/>
      <w:r w:rsidRPr="007979A7">
        <w:rPr>
          <w:rFonts w:ascii="Arial" w:hAnsi="Arial" w:cs="Arial"/>
          <w:lang w:val="en-IN" w:eastAsia="en-IN"/>
        </w:rPr>
        <w:t>hyperhydricity</w:t>
      </w:r>
      <w:proofErr w:type="spellEnd"/>
      <w:r w:rsidRPr="007979A7">
        <w:rPr>
          <w:rFonts w:ascii="Arial" w:hAnsi="Arial" w:cs="Arial"/>
          <w:lang w:val="en-IN" w:eastAsia="en-IN"/>
        </w:rPr>
        <w:t>, and promoting healthier shoot growth (Aguilar et al., 2019). These systems represent a significant advance toward automation and cost-effective scaling of teak micropropagation, making industrial-scale tissue culture increasingly feasible.</w:t>
      </w:r>
    </w:p>
    <w:p w14:paraId="2ACE8442"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Another important advantage of micropropagation is the maintenance of high genetic fidelity. More than </w:t>
      </w:r>
      <w:r w:rsidRPr="007979A7">
        <w:rPr>
          <w:rFonts w:ascii="Arial" w:hAnsi="Arial" w:cs="Arial"/>
          <w:bCs/>
          <w:lang w:val="en-IN" w:eastAsia="en-IN"/>
        </w:rPr>
        <w:t>95% of regenerated plantlets remain true-to-type</w:t>
      </w:r>
      <w:r w:rsidRPr="007979A7">
        <w:rPr>
          <w:rFonts w:ascii="Arial" w:hAnsi="Arial" w:cs="Arial"/>
          <w:lang w:val="en-IN" w:eastAsia="en-IN"/>
        </w:rPr>
        <w:t>, ensuring clonal uniformity and preserving the desirable traits of elite genotypes (Goh et al., 2013). This high level of genetic stability is particularly important in teak, where plantation uniformity directly influences timber quality, growth predictability, and management efficiency. The preservation of genetic integrity makes micropropagation one of the most reliable systems for elite clone deployment.</w:t>
      </w:r>
    </w:p>
    <w:p w14:paraId="4FB4A78D"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Despite these substantial advantages, cost remains a major limitation. As indicated in Table 5, the production cost of tissue-cultured plants is approximately </w:t>
      </w:r>
      <w:r w:rsidRPr="007979A7">
        <w:rPr>
          <w:rFonts w:ascii="Arial" w:hAnsi="Arial" w:cs="Arial"/>
          <w:bCs/>
          <w:lang w:val="en-IN" w:eastAsia="en-IN"/>
        </w:rPr>
        <w:t>2–3 times higher than conventional cutting-based propagation</w:t>
      </w:r>
      <w:r w:rsidRPr="007979A7">
        <w:rPr>
          <w:rFonts w:ascii="Arial" w:hAnsi="Arial" w:cs="Arial"/>
          <w:lang w:val="en-IN" w:eastAsia="en-IN"/>
        </w:rPr>
        <w:t xml:space="preserve">, due to expenses associated with sterile laboratory facilities, skilled </w:t>
      </w:r>
      <w:proofErr w:type="spellStart"/>
      <w:r w:rsidRPr="007979A7">
        <w:rPr>
          <w:rFonts w:ascii="Arial" w:hAnsi="Arial" w:cs="Arial"/>
          <w:lang w:val="en-IN" w:eastAsia="en-IN"/>
        </w:rPr>
        <w:t>labor</w:t>
      </w:r>
      <w:proofErr w:type="spellEnd"/>
      <w:r w:rsidRPr="007979A7">
        <w:rPr>
          <w:rFonts w:ascii="Arial" w:hAnsi="Arial" w:cs="Arial"/>
          <w:lang w:val="en-IN" w:eastAsia="en-IN"/>
        </w:rPr>
        <w:t xml:space="preserve">, media preparation, and infrastructure maintenance (Goh and </w:t>
      </w:r>
      <w:proofErr w:type="spellStart"/>
      <w:r w:rsidRPr="007979A7">
        <w:rPr>
          <w:rFonts w:ascii="Arial" w:hAnsi="Arial" w:cs="Arial"/>
          <w:lang w:val="en-IN" w:eastAsia="en-IN"/>
        </w:rPr>
        <w:t>Monteuuis</w:t>
      </w:r>
      <w:proofErr w:type="spellEnd"/>
      <w:r w:rsidRPr="007979A7">
        <w:rPr>
          <w:rFonts w:ascii="Arial" w:hAnsi="Arial" w:cs="Arial"/>
          <w:lang w:val="en-IN" w:eastAsia="en-IN"/>
        </w:rPr>
        <w:t>, 2016). These costs currently restrict large-scale adoption mainly to high-value plantation systems and breeding programs where superior genetic gains justify higher investment.</w:t>
      </w:r>
    </w:p>
    <w:p w14:paraId="608CA250"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t xml:space="preserve">3.1.5 </w:t>
      </w:r>
      <w:r w:rsidRPr="007979A7">
        <w:rPr>
          <w:rFonts w:ascii="Arial" w:hAnsi="Arial" w:cs="Arial"/>
          <w:b/>
          <w:bCs/>
          <w:lang w:val="en-IN" w:eastAsia="en-IN"/>
        </w:rPr>
        <w:tab/>
        <w:t>Somatic Embryogenesis and Molecular Advances</w:t>
      </w:r>
    </w:p>
    <w:p w14:paraId="0E3BCBF4" w14:textId="77777777" w:rsidR="00F622D8" w:rsidRPr="007979A7" w:rsidRDefault="00F622D8" w:rsidP="00F622D8">
      <w:pPr>
        <w:spacing w:line="276" w:lineRule="auto"/>
        <w:jc w:val="both"/>
        <w:rPr>
          <w:rFonts w:ascii="Arial" w:hAnsi="Arial" w:cs="Arial"/>
        </w:rPr>
      </w:pPr>
      <w:r w:rsidRPr="007979A7">
        <w:rPr>
          <w:rFonts w:ascii="Arial" w:hAnsi="Arial" w:cs="Arial"/>
        </w:rPr>
        <w:t xml:space="preserve">Somatic embryogenesis represents one of the most advanced frontiers in teak biotechnology, offering a highly scalable pathway for clonal multiplication, elite genotype fixation, and integration with next-generation molecular breeding tools. The data summarized in </w:t>
      </w:r>
      <w:r w:rsidRPr="007979A7">
        <w:rPr>
          <w:rStyle w:val="Strong"/>
          <w:rFonts w:ascii="Arial" w:hAnsi="Arial" w:cs="Arial"/>
          <w:b w:val="0"/>
        </w:rPr>
        <w:t>Table 6</w:t>
      </w:r>
      <w:r w:rsidRPr="007979A7">
        <w:rPr>
          <w:rFonts w:ascii="Arial" w:hAnsi="Arial" w:cs="Arial"/>
        </w:rPr>
        <w:t xml:space="preserve"> indicate that although somatic embryogenesis in teak is still largely experimental, it has demonstrated substantial potential to transform propagation systems from conventional clonal multiplication into precision forestry platforms.</w:t>
      </w:r>
    </w:p>
    <w:p w14:paraId="270C10E8" w14:textId="77777777" w:rsidR="00F622D8" w:rsidRPr="007979A7" w:rsidRDefault="00F622D8" w:rsidP="00F622D8">
      <w:pPr>
        <w:spacing w:line="276" w:lineRule="auto"/>
        <w:jc w:val="both"/>
        <w:rPr>
          <w:rFonts w:ascii="Arial" w:hAnsi="Arial" w:cs="Arial"/>
          <w:lang w:val="en-IN" w:eastAsia="en-IN"/>
        </w:rPr>
      </w:pPr>
      <w:r w:rsidRPr="007979A7">
        <w:rPr>
          <w:rFonts w:ascii="Arial" w:hAnsi="Arial" w:cs="Arial"/>
        </w:rPr>
        <w:t xml:space="preserve">Table 6. Advances in Somatic Embryogenesis in </w:t>
      </w:r>
      <w:r w:rsidRPr="007979A7">
        <w:rPr>
          <w:rFonts w:ascii="Arial" w:hAnsi="Arial" w:cs="Arial"/>
          <w:i/>
        </w:rPr>
        <w:t>Tectona grandis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689"/>
        <w:gridCol w:w="1531"/>
        <w:gridCol w:w="1631"/>
        <w:gridCol w:w="1859"/>
      </w:tblGrid>
      <w:tr w:rsidR="00F622D8" w:rsidRPr="007979A7" w14:paraId="3C07D299" w14:textId="77777777" w:rsidTr="001E4206">
        <w:tc>
          <w:tcPr>
            <w:tcW w:w="1606" w:type="dxa"/>
            <w:hideMark/>
          </w:tcPr>
          <w:p w14:paraId="14F14FC7" w14:textId="77777777" w:rsidR="00F622D8" w:rsidRPr="007979A7" w:rsidRDefault="00F622D8" w:rsidP="001E4206">
            <w:pPr>
              <w:rPr>
                <w:rFonts w:ascii="Arial" w:hAnsi="Arial" w:cs="Arial"/>
                <w:b/>
                <w:bCs/>
                <w:lang w:val="en-IN" w:eastAsia="en-IN"/>
              </w:rPr>
            </w:pPr>
            <w:r w:rsidRPr="007979A7">
              <w:rPr>
                <w:rFonts w:ascii="Arial" w:hAnsi="Arial" w:cs="Arial"/>
                <w:b/>
                <w:bCs/>
              </w:rPr>
              <w:t>Aspect</w:t>
            </w:r>
          </w:p>
        </w:tc>
        <w:tc>
          <w:tcPr>
            <w:tcW w:w="0" w:type="auto"/>
            <w:hideMark/>
          </w:tcPr>
          <w:p w14:paraId="088E4150" w14:textId="77777777" w:rsidR="00F622D8" w:rsidRPr="007979A7" w:rsidRDefault="00F622D8" w:rsidP="001E4206">
            <w:pPr>
              <w:rPr>
                <w:rFonts w:ascii="Arial" w:hAnsi="Arial" w:cs="Arial"/>
                <w:b/>
                <w:bCs/>
              </w:rPr>
            </w:pPr>
            <w:r w:rsidRPr="007979A7">
              <w:rPr>
                <w:rFonts w:ascii="Arial" w:hAnsi="Arial" w:cs="Arial"/>
                <w:b/>
                <w:bCs/>
              </w:rPr>
              <w:t>Observations / Findings</w:t>
            </w:r>
          </w:p>
        </w:tc>
        <w:tc>
          <w:tcPr>
            <w:tcW w:w="0" w:type="auto"/>
            <w:hideMark/>
          </w:tcPr>
          <w:p w14:paraId="546C607F" w14:textId="77777777" w:rsidR="00F622D8" w:rsidRPr="007979A7" w:rsidRDefault="00F622D8" w:rsidP="001E4206">
            <w:pPr>
              <w:rPr>
                <w:rFonts w:ascii="Arial" w:hAnsi="Arial" w:cs="Arial"/>
                <w:b/>
                <w:bCs/>
              </w:rPr>
            </w:pPr>
            <w:r w:rsidRPr="007979A7">
              <w:rPr>
                <w:rFonts w:ascii="Arial" w:hAnsi="Arial" w:cs="Arial"/>
                <w:b/>
                <w:bCs/>
              </w:rPr>
              <w:t>Quantitative Range / Effect</w:t>
            </w:r>
          </w:p>
        </w:tc>
        <w:tc>
          <w:tcPr>
            <w:tcW w:w="0" w:type="auto"/>
            <w:hideMark/>
          </w:tcPr>
          <w:p w14:paraId="5CBEB815" w14:textId="77777777" w:rsidR="00F622D8" w:rsidRPr="007979A7" w:rsidRDefault="00F622D8" w:rsidP="001E4206">
            <w:pPr>
              <w:rPr>
                <w:rFonts w:ascii="Arial" w:hAnsi="Arial" w:cs="Arial"/>
                <w:b/>
                <w:bCs/>
              </w:rPr>
            </w:pPr>
            <w:r w:rsidRPr="007979A7">
              <w:rPr>
                <w:rFonts w:ascii="Arial" w:hAnsi="Arial" w:cs="Arial"/>
                <w:b/>
                <w:bCs/>
              </w:rPr>
              <w:t>Practical Implication</w:t>
            </w:r>
          </w:p>
        </w:tc>
        <w:tc>
          <w:tcPr>
            <w:tcW w:w="1859" w:type="dxa"/>
            <w:hideMark/>
          </w:tcPr>
          <w:p w14:paraId="1BA8F691" w14:textId="77777777" w:rsidR="00F622D8" w:rsidRPr="007979A7" w:rsidRDefault="00F622D8" w:rsidP="001E4206">
            <w:pPr>
              <w:rPr>
                <w:rFonts w:ascii="Arial" w:hAnsi="Arial" w:cs="Arial"/>
                <w:b/>
                <w:bCs/>
              </w:rPr>
            </w:pPr>
            <w:r w:rsidRPr="007979A7">
              <w:rPr>
                <w:rFonts w:ascii="Arial" w:hAnsi="Arial" w:cs="Arial"/>
                <w:b/>
                <w:bCs/>
              </w:rPr>
              <w:t>Key References</w:t>
            </w:r>
          </w:p>
        </w:tc>
      </w:tr>
      <w:tr w:rsidR="00F622D8" w:rsidRPr="007979A7" w14:paraId="5BB13556" w14:textId="77777777" w:rsidTr="001E4206">
        <w:tc>
          <w:tcPr>
            <w:tcW w:w="1606" w:type="dxa"/>
            <w:hideMark/>
          </w:tcPr>
          <w:p w14:paraId="1326FAB9" w14:textId="77777777" w:rsidR="00F622D8" w:rsidRPr="007979A7" w:rsidRDefault="00F622D8" w:rsidP="001E4206">
            <w:pPr>
              <w:rPr>
                <w:rFonts w:ascii="Arial" w:hAnsi="Arial" w:cs="Arial"/>
                <w:b/>
              </w:rPr>
            </w:pPr>
            <w:r w:rsidRPr="007979A7">
              <w:rPr>
                <w:rStyle w:val="Strong"/>
                <w:rFonts w:ascii="Arial" w:hAnsi="Arial" w:cs="Arial"/>
                <w:b w:val="0"/>
              </w:rPr>
              <w:t>Embryo Induction</w:t>
            </w:r>
          </w:p>
        </w:tc>
        <w:tc>
          <w:tcPr>
            <w:tcW w:w="0" w:type="auto"/>
            <w:hideMark/>
          </w:tcPr>
          <w:p w14:paraId="596D3517" w14:textId="77777777" w:rsidR="00F622D8" w:rsidRPr="007979A7" w:rsidRDefault="00F622D8" w:rsidP="001E4206">
            <w:pPr>
              <w:rPr>
                <w:rFonts w:ascii="Arial" w:hAnsi="Arial" w:cs="Arial"/>
              </w:rPr>
            </w:pPr>
            <w:r w:rsidRPr="007979A7">
              <w:rPr>
                <w:rFonts w:ascii="Arial" w:hAnsi="Arial" w:cs="Arial"/>
              </w:rPr>
              <w:t>Derived from juvenile tissues and callus cultures</w:t>
            </w:r>
          </w:p>
        </w:tc>
        <w:tc>
          <w:tcPr>
            <w:tcW w:w="0" w:type="auto"/>
            <w:hideMark/>
          </w:tcPr>
          <w:p w14:paraId="4D9AA1CD" w14:textId="77777777" w:rsidR="00F622D8" w:rsidRPr="007979A7" w:rsidRDefault="00F622D8" w:rsidP="001E4206">
            <w:pPr>
              <w:rPr>
                <w:rFonts w:ascii="Arial" w:hAnsi="Arial" w:cs="Arial"/>
              </w:rPr>
            </w:pPr>
            <w:r w:rsidRPr="007979A7">
              <w:rPr>
                <w:rFonts w:ascii="Arial" w:hAnsi="Arial" w:cs="Arial"/>
              </w:rPr>
              <w:t xml:space="preserve">Induction success: </w:t>
            </w:r>
            <w:r w:rsidRPr="007979A7">
              <w:rPr>
                <w:rStyle w:val="Strong"/>
                <w:rFonts w:ascii="Arial" w:hAnsi="Arial" w:cs="Arial"/>
                <w:b w:val="0"/>
              </w:rPr>
              <w:t>40–70%</w:t>
            </w:r>
          </w:p>
        </w:tc>
        <w:tc>
          <w:tcPr>
            <w:tcW w:w="0" w:type="auto"/>
            <w:hideMark/>
          </w:tcPr>
          <w:p w14:paraId="403E0546" w14:textId="77777777" w:rsidR="00F622D8" w:rsidRPr="007979A7" w:rsidRDefault="00F622D8" w:rsidP="001E4206">
            <w:pPr>
              <w:rPr>
                <w:rFonts w:ascii="Arial" w:hAnsi="Arial" w:cs="Arial"/>
              </w:rPr>
            </w:pPr>
            <w:r w:rsidRPr="007979A7">
              <w:rPr>
                <w:rFonts w:ascii="Arial" w:hAnsi="Arial" w:cs="Arial"/>
              </w:rPr>
              <w:t>Potential for large-scale cloning</w:t>
            </w:r>
          </w:p>
        </w:tc>
        <w:tc>
          <w:tcPr>
            <w:tcW w:w="1859" w:type="dxa"/>
            <w:hideMark/>
          </w:tcPr>
          <w:p w14:paraId="265D1311" w14:textId="77777777" w:rsidR="00F622D8" w:rsidRPr="007979A7" w:rsidRDefault="00F622D8" w:rsidP="001E4206">
            <w:pPr>
              <w:rPr>
                <w:rFonts w:ascii="Arial" w:hAnsi="Arial" w:cs="Arial"/>
              </w:rPr>
            </w:pPr>
            <w:r w:rsidRPr="007979A7">
              <w:rPr>
                <w:rFonts w:ascii="Arial" w:hAnsi="Arial" w:cs="Arial"/>
              </w:rPr>
              <w:t>Deo et al. (2010)</w:t>
            </w:r>
          </w:p>
        </w:tc>
      </w:tr>
      <w:tr w:rsidR="00F622D8" w:rsidRPr="007979A7" w14:paraId="742D9CD3" w14:textId="77777777" w:rsidTr="001E4206">
        <w:tc>
          <w:tcPr>
            <w:tcW w:w="1606" w:type="dxa"/>
            <w:hideMark/>
          </w:tcPr>
          <w:p w14:paraId="38580CFE" w14:textId="77777777" w:rsidR="00F622D8" w:rsidRPr="007979A7" w:rsidRDefault="00F622D8" w:rsidP="001E4206">
            <w:pPr>
              <w:rPr>
                <w:rFonts w:ascii="Arial" w:hAnsi="Arial" w:cs="Arial"/>
                <w:b/>
              </w:rPr>
            </w:pPr>
            <w:r w:rsidRPr="007979A7">
              <w:rPr>
                <w:rStyle w:val="Strong"/>
                <w:rFonts w:ascii="Arial" w:hAnsi="Arial" w:cs="Arial"/>
                <w:b w:val="0"/>
              </w:rPr>
              <w:t>Regeneration Efficiency</w:t>
            </w:r>
          </w:p>
        </w:tc>
        <w:tc>
          <w:tcPr>
            <w:tcW w:w="0" w:type="auto"/>
            <w:hideMark/>
          </w:tcPr>
          <w:p w14:paraId="24F74391" w14:textId="77777777" w:rsidR="00F622D8" w:rsidRPr="007979A7" w:rsidRDefault="00F622D8" w:rsidP="001E4206">
            <w:pPr>
              <w:rPr>
                <w:rFonts w:ascii="Arial" w:hAnsi="Arial" w:cs="Arial"/>
              </w:rPr>
            </w:pPr>
            <w:r w:rsidRPr="007979A7">
              <w:rPr>
                <w:rFonts w:ascii="Arial" w:hAnsi="Arial" w:cs="Arial"/>
              </w:rPr>
              <w:t>Conversion of embryos into plantlets</w:t>
            </w:r>
          </w:p>
        </w:tc>
        <w:tc>
          <w:tcPr>
            <w:tcW w:w="0" w:type="auto"/>
            <w:hideMark/>
          </w:tcPr>
          <w:p w14:paraId="3CE7DC9B" w14:textId="77777777" w:rsidR="00F622D8" w:rsidRPr="007979A7" w:rsidRDefault="00F622D8" w:rsidP="001E4206">
            <w:pPr>
              <w:rPr>
                <w:rFonts w:ascii="Arial" w:hAnsi="Arial" w:cs="Arial"/>
                <w:b/>
              </w:rPr>
            </w:pPr>
            <w:r w:rsidRPr="007979A7">
              <w:rPr>
                <w:rStyle w:val="Strong"/>
                <w:rFonts w:ascii="Arial" w:hAnsi="Arial" w:cs="Arial"/>
                <w:b w:val="0"/>
              </w:rPr>
              <w:t>40–80% regeneration</w:t>
            </w:r>
          </w:p>
        </w:tc>
        <w:tc>
          <w:tcPr>
            <w:tcW w:w="0" w:type="auto"/>
            <w:hideMark/>
          </w:tcPr>
          <w:p w14:paraId="2606F25D" w14:textId="77777777" w:rsidR="00F622D8" w:rsidRPr="007979A7" w:rsidRDefault="00F622D8" w:rsidP="001E4206">
            <w:pPr>
              <w:rPr>
                <w:rFonts w:ascii="Arial" w:hAnsi="Arial" w:cs="Arial"/>
              </w:rPr>
            </w:pPr>
            <w:r w:rsidRPr="007979A7">
              <w:rPr>
                <w:rFonts w:ascii="Arial" w:hAnsi="Arial" w:cs="Arial"/>
              </w:rPr>
              <w:t>Promising but variable</w:t>
            </w:r>
          </w:p>
        </w:tc>
        <w:tc>
          <w:tcPr>
            <w:tcW w:w="1859" w:type="dxa"/>
            <w:hideMark/>
          </w:tcPr>
          <w:p w14:paraId="738C9B45" w14:textId="77777777" w:rsidR="00F622D8" w:rsidRPr="007979A7" w:rsidRDefault="00F622D8" w:rsidP="001E4206">
            <w:pPr>
              <w:rPr>
                <w:rFonts w:ascii="Arial" w:hAnsi="Arial" w:cs="Arial"/>
              </w:rPr>
            </w:pPr>
            <w:r w:rsidRPr="007979A7">
              <w:rPr>
                <w:rFonts w:ascii="Arial" w:hAnsi="Arial" w:cs="Arial"/>
              </w:rPr>
              <w:t>Goh et al. (2013)</w:t>
            </w:r>
          </w:p>
        </w:tc>
      </w:tr>
      <w:tr w:rsidR="00F622D8" w:rsidRPr="007979A7" w14:paraId="3409DBCC" w14:textId="77777777" w:rsidTr="001E4206">
        <w:tc>
          <w:tcPr>
            <w:tcW w:w="1606" w:type="dxa"/>
            <w:hideMark/>
          </w:tcPr>
          <w:p w14:paraId="14E6471C" w14:textId="77777777" w:rsidR="00F622D8" w:rsidRPr="007979A7" w:rsidRDefault="00F622D8" w:rsidP="001E4206">
            <w:pPr>
              <w:rPr>
                <w:rFonts w:ascii="Arial" w:hAnsi="Arial" w:cs="Arial"/>
                <w:b/>
              </w:rPr>
            </w:pPr>
            <w:r w:rsidRPr="007979A7">
              <w:rPr>
                <w:rStyle w:val="Strong"/>
                <w:rFonts w:ascii="Arial" w:hAnsi="Arial" w:cs="Arial"/>
                <w:b w:val="0"/>
              </w:rPr>
              <w:t>Molecular Regulation</w:t>
            </w:r>
          </w:p>
        </w:tc>
        <w:tc>
          <w:tcPr>
            <w:tcW w:w="0" w:type="auto"/>
            <w:hideMark/>
          </w:tcPr>
          <w:p w14:paraId="6142CBC5" w14:textId="77777777" w:rsidR="00F622D8" w:rsidRPr="007979A7" w:rsidRDefault="00F622D8" w:rsidP="001E4206">
            <w:pPr>
              <w:rPr>
                <w:rFonts w:ascii="Arial" w:hAnsi="Arial" w:cs="Arial"/>
              </w:rPr>
            </w:pPr>
            <w:r w:rsidRPr="007979A7">
              <w:rPr>
                <w:rFonts w:ascii="Arial" w:hAnsi="Arial" w:cs="Arial"/>
              </w:rPr>
              <w:t>Controlled by auxin–cytokinin signaling pathways</w:t>
            </w:r>
          </w:p>
        </w:tc>
        <w:tc>
          <w:tcPr>
            <w:tcW w:w="0" w:type="auto"/>
            <w:hideMark/>
          </w:tcPr>
          <w:p w14:paraId="5A903329" w14:textId="77777777" w:rsidR="00F622D8" w:rsidRPr="007979A7" w:rsidRDefault="00F622D8" w:rsidP="001E4206">
            <w:pPr>
              <w:rPr>
                <w:rFonts w:ascii="Arial" w:hAnsi="Arial" w:cs="Arial"/>
              </w:rPr>
            </w:pPr>
            <w:r w:rsidRPr="007979A7">
              <w:rPr>
                <w:rFonts w:ascii="Arial" w:hAnsi="Arial" w:cs="Arial"/>
              </w:rPr>
              <w:t>Gene expression changes significant</w:t>
            </w:r>
          </w:p>
        </w:tc>
        <w:tc>
          <w:tcPr>
            <w:tcW w:w="0" w:type="auto"/>
            <w:hideMark/>
          </w:tcPr>
          <w:p w14:paraId="690789A1" w14:textId="77777777" w:rsidR="00F622D8" w:rsidRPr="007979A7" w:rsidRDefault="00F622D8" w:rsidP="001E4206">
            <w:pPr>
              <w:rPr>
                <w:rFonts w:ascii="Arial" w:hAnsi="Arial" w:cs="Arial"/>
              </w:rPr>
            </w:pPr>
            <w:r w:rsidRPr="007979A7">
              <w:rPr>
                <w:rFonts w:ascii="Arial" w:hAnsi="Arial" w:cs="Arial"/>
              </w:rPr>
              <w:t>Understanding regeneration biology</w:t>
            </w:r>
          </w:p>
        </w:tc>
        <w:tc>
          <w:tcPr>
            <w:tcW w:w="1859" w:type="dxa"/>
            <w:hideMark/>
          </w:tcPr>
          <w:p w14:paraId="6137C83E" w14:textId="77777777" w:rsidR="00F622D8" w:rsidRPr="007979A7" w:rsidRDefault="00F622D8" w:rsidP="001E4206">
            <w:pPr>
              <w:rPr>
                <w:rFonts w:ascii="Arial" w:hAnsi="Arial" w:cs="Arial"/>
              </w:rPr>
            </w:pPr>
            <w:r w:rsidRPr="007979A7">
              <w:rPr>
                <w:rFonts w:ascii="Arial" w:hAnsi="Arial" w:cs="Arial"/>
              </w:rPr>
              <w:t>Ramakrishnan et al. (2023); Zhou et al. (2024)</w:t>
            </w:r>
          </w:p>
        </w:tc>
      </w:tr>
      <w:tr w:rsidR="00F622D8" w:rsidRPr="007979A7" w14:paraId="7B6CC71B" w14:textId="77777777" w:rsidTr="001E4206">
        <w:tc>
          <w:tcPr>
            <w:tcW w:w="1606" w:type="dxa"/>
            <w:hideMark/>
          </w:tcPr>
          <w:p w14:paraId="794202D0" w14:textId="77777777" w:rsidR="00F622D8" w:rsidRPr="007979A7" w:rsidRDefault="00F622D8" w:rsidP="001E4206">
            <w:pPr>
              <w:rPr>
                <w:rFonts w:ascii="Arial" w:hAnsi="Arial" w:cs="Arial"/>
                <w:b/>
              </w:rPr>
            </w:pPr>
            <w:r w:rsidRPr="007979A7">
              <w:rPr>
                <w:rStyle w:val="Strong"/>
                <w:rFonts w:ascii="Arial" w:hAnsi="Arial" w:cs="Arial"/>
                <w:b w:val="0"/>
              </w:rPr>
              <w:t>Multiplication Potential</w:t>
            </w:r>
          </w:p>
        </w:tc>
        <w:tc>
          <w:tcPr>
            <w:tcW w:w="0" w:type="auto"/>
            <w:hideMark/>
          </w:tcPr>
          <w:p w14:paraId="7472E05E" w14:textId="77777777" w:rsidR="00F622D8" w:rsidRPr="007979A7" w:rsidRDefault="00F622D8" w:rsidP="001E4206">
            <w:pPr>
              <w:rPr>
                <w:rFonts w:ascii="Arial" w:hAnsi="Arial" w:cs="Arial"/>
              </w:rPr>
            </w:pPr>
            <w:r w:rsidRPr="007979A7">
              <w:rPr>
                <w:rFonts w:ascii="Arial" w:hAnsi="Arial" w:cs="Arial"/>
              </w:rPr>
              <w:t xml:space="preserve">Very high theoretical multiplication </w:t>
            </w:r>
            <w:r w:rsidRPr="007979A7">
              <w:rPr>
                <w:rFonts w:ascii="Arial" w:hAnsi="Arial" w:cs="Arial"/>
              </w:rPr>
              <w:lastRenderedPageBreak/>
              <w:t>capacity</w:t>
            </w:r>
          </w:p>
        </w:tc>
        <w:tc>
          <w:tcPr>
            <w:tcW w:w="0" w:type="auto"/>
            <w:hideMark/>
          </w:tcPr>
          <w:p w14:paraId="76166B42" w14:textId="77777777" w:rsidR="00F622D8" w:rsidRPr="007979A7" w:rsidRDefault="00F622D8" w:rsidP="001E4206">
            <w:pPr>
              <w:rPr>
                <w:rFonts w:ascii="Arial" w:hAnsi="Arial" w:cs="Arial"/>
              </w:rPr>
            </w:pPr>
            <w:r w:rsidRPr="007979A7">
              <w:rPr>
                <w:rFonts w:ascii="Arial" w:hAnsi="Arial" w:cs="Arial"/>
              </w:rPr>
              <w:lastRenderedPageBreak/>
              <w:t xml:space="preserve">&gt;1000 plants from single explant </w:t>
            </w:r>
            <w:r w:rsidRPr="007979A7">
              <w:rPr>
                <w:rFonts w:ascii="Arial" w:hAnsi="Arial" w:cs="Arial"/>
              </w:rPr>
              <w:lastRenderedPageBreak/>
              <w:t>(potential)</w:t>
            </w:r>
          </w:p>
        </w:tc>
        <w:tc>
          <w:tcPr>
            <w:tcW w:w="0" w:type="auto"/>
            <w:hideMark/>
          </w:tcPr>
          <w:p w14:paraId="551DBF95" w14:textId="77777777" w:rsidR="00F622D8" w:rsidRPr="007979A7" w:rsidRDefault="00F622D8" w:rsidP="001E4206">
            <w:pPr>
              <w:rPr>
                <w:rFonts w:ascii="Arial" w:hAnsi="Arial" w:cs="Arial"/>
              </w:rPr>
            </w:pPr>
            <w:r w:rsidRPr="007979A7">
              <w:rPr>
                <w:rFonts w:ascii="Arial" w:hAnsi="Arial" w:cs="Arial"/>
              </w:rPr>
              <w:lastRenderedPageBreak/>
              <w:t>Mass cloning capability</w:t>
            </w:r>
          </w:p>
        </w:tc>
        <w:tc>
          <w:tcPr>
            <w:tcW w:w="1859" w:type="dxa"/>
            <w:hideMark/>
          </w:tcPr>
          <w:p w14:paraId="714B93AA" w14:textId="77777777" w:rsidR="00F622D8" w:rsidRPr="007979A7" w:rsidRDefault="00F622D8" w:rsidP="001E4206">
            <w:pPr>
              <w:rPr>
                <w:rFonts w:ascii="Arial" w:hAnsi="Arial" w:cs="Arial"/>
              </w:rPr>
            </w:pPr>
            <w:r w:rsidRPr="007979A7">
              <w:rPr>
                <w:rFonts w:ascii="Arial" w:hAnsi="Arial" w:cs="Arial"/>
              </w:rPr>
              <w:t>Deo et al. (2010)</w:t>
            </w:r>
          </w:p>
        </w:tc>
      </w:tr>
      <w:tr w:rsidR="00F622D8" w:rsidRPr="007979A7" w14:paraId="5081482A" w14:textId="77777777" w:rsidTr="001E4206">
        <w:tc>
          <w:tcPr>
            <w:tcW w:w="1606" w:type="dxa"/>
            <w:hideMark/>
          </w:tcPr>
          <w:p w14:paraId="171F5BCF" w14:textId="77777777" w:rsidR="00F622D8" w:rsidRPr="007979A7" w:rsidRDefault="00F622D8" w:rsidP="001E4206">
            <w:pPr>
              <w:rPr>
                <w:rFonts w:ascii="Arial" w:hAnsi="Arial" w:cs="Arial"/>
                <w:b/>
              </w:rPr>
            </w:pPr>
            <w:r w:rsidRPr="007979A7">
              <w:rPr>
                <w:rStyle w:val="Strong"/>
                <w:rFonts w:ascii="Arial" w:hAnsi="Arial" w:cs="Arial"/>
                <w:b w:val="0"/>
              </w:rPr>
              <w:t>Genetic Improvement</w:t>
            </w:r>
          </w:p>
        </w:tc>
        <w:tc>
          <w:tcPr>
            <w:tcW w:w="0" w:type="auto"/>
            <w:hideMark/>
          </w:tcPr>
          <w:p w14:paraId="2911D790" w14:textId="77777777" w:rsidR="00F622D8" w:rsidRPr="007979A7" w:rsidRDefault="00F622D8" w:rsidP="001E4206">
            <w:pPr>
              <w:rPr>
                <w:rFonts w:ascii="Arial" w:hAnsi="Arial" w:cs="Arial"/>
              </w:rPr>
            </w:pPr>
            <w:r w:rsidRPr="007979A7">
              <w:rPr>
                <w:rFonts w:ascii="Arial" w:hAnsi="Arial" w:cs="Arial"/>
              </w:rPr>
              <w:t>Suitable for integration with genomics and breeding</w:t>
            </w:r>
          </w:p>
        </w:tc>
        <w:tc>
          <w:tcPr>
            <w:tcW w:w="0" w:type="auto"/>
            <w:hideMark/>
          </w:tcPr>
          <w:p w14:paraId="2C876E1B" w14:textId="77777777" w:rsidR="00F622D8" w:rsidRPr="007979A7" w:rsidRDefault="00F622D8" w:rsidP="001E4206">
            <w:pPr>
              <w:rPr>
                <w:rFonts w:ascii="Arial" w:hAnsi="Arial" w:cs="Arial"/>
              </w:rPr>
            </w:pPr>
            <w:r w:rsidRPr="007979A7">
              <w:rPr>
                <w:rFonts w:ascii="Arial" w:hAnsi="Arial" w:cs="Arial"/>
              </w:rPr>
              <w:t>Enables elite genotype fixation</w:t>
            </w:r>
          </w:p>
        </w:tc>
        <w:tc>
          <w:tcPr>
            <w:tcW w:w="0" w:type="auto"/>
            <w:hideMark/>
          </w:tcPr>
          <w:p w14:paraId="6297BD86" w14:textId="77777777" w:rsidR="00F622D8" w:rsidRPr="007979A7" w:rsidRDefault="00F622D8" w:rsidP="001E4206">
            <w:pPr>
              <w:rPr>
                <w:rFonts w:ascii="Arial" w:hAnsi="Arial" w:cs="Arial"/>
              </w:rPr>
            </w:pPr>
            <w:r w:rsidRPr="007979A7">
              <w:rPr>
                <w:rFonts w:ascii="Arial" w:hAnsi="Arial" w:cs="Arial"/>
              </w:rPr>
              <w:t>Precision forestry tool</w:t>
            </w:r>
          </w:p>
        </w:tc>
        <w:tc>
          <w:tcPr>
            <w:tcW w:w="1859" w:type="dxa"/>
            <w:hideMark/>
          </w:tcPr>
          <w:p w14:paraId="724EB4F6" w14:textId="77777777" w:rsidR="00F622D8" w:rsidRPr="007979A7" w:rsidRDefault="00F622D8" w:rsidP="001E4206">
            <w:pPr>
              <w:rPr>
                <w:rFonts w:ascii="Arial" w:hAnsi="Arial" w:cs="Arial"/>
              </w:rPr>
            </w:pPr>
            <w:r w:rsidRPr="007979A7">
              <w:rPr>
                <w:rFonts w:ascii="Arial" w:hAnsi="Arial" w:cs="Arial"/>
              </w:rPr>
              <w:t>Goh et al. (2013)</w:t>
            </w:r>
          </w:p>
        </w:tc>
      </w:tr>
      <w:tr w:rsidR="00F622D8" w:rsidRPr="007979A7" w14:paraId="0E1B6001" w14:textId="77777777" w:rsidTr="001E4206">
        <w:tc>
          <w:tcPr>
            <w:tcW w:w="1606" w:type="dxa"/>
            <w:hideMark/>
          </w:tcPr>
          <w:p w14:paraId="0ABA4469" w14:textId="77777777" w:rsidR="00F622D8" w:rsidRPr="007979A7" w:rsidRDefault="00F622D8" w:rsidP="001E4206">
            <w:pPr>
              <w:rPr>
                <w:rFonts w:ascii="Arial" w:hAnsi="Arial" w:cs="Arial"/>
                <w:b/>
              </w:rPr>
            </w:pPr>
            <w:r w:rsidRPr="007979A7">
              <w:rPr>
                <w:rStyle w:val="Strong"/>
                <w:rFonts w:ascii="Arial" w:hAnsi="Arial" w:cs="Arial"/>
                <w:b w:val="0"/>
              </w:rPr>
              <w:t>Commercial Status</w:t>
            </w:r>
          </w:p>
        </w:tc>
        <w:tc>
          <w:tcPr>
            <w:tcW w:w="0" w:type="auto"/>
            <w:hideMark/>
          </w:tcPr>
          <w:p w14:paraId="26DF18C2" w14:textId="77777777" w:rsidR="00F622D8" w:rsidRPr="007979A7" w:rsidRDefault="00F622D8" w:rsidP="001E4206">
            <w:pPr>
              <w:rPr>
                <w:rFonts w:ascii="Arial" w:hAnsi="Arial" w:cs="Arial"/>
              </w:rPr>
            </w:pPr>
            <w:r w:rsidRPr="007979A7">
              <w:rPr>
                <w:rFonts w:ascii="Arial" w:hAnsi="Arial" w:cs="Arial"/>
              </w:rPr>
              <w:t>Mostly experimental stage</w:t>
            </w:r>
          </w:p>
        </w:tc>
        <w:tc>
          <w:tcPr>
            <w:tcW w:w="0" w:type="auto"/>
            <w:hideMark/>
          </w:tcPr>
          <w:p w14:paraId="57C58F2F" w14:textId="77777777" w:rsidR="00F622D8" w:rsidRPr="007979A7" w:rsidRDefault="00F622D8" w:rsidP="001E4206">
            <w:pPr>
              <w:rPr>
                <w:rFonts w:ascii="Arial" w:hAnsi="Arial" w:cs="Arial"/>
              </w:rPr>
            </w:pPr>
            <w:r w:rsidRPr="007979A7">
              <w:rPr>
                <w:rFonts w:ascii="Arial" w:hAnsi="Arial" w:cs="Arial"/>
              </w:rPr>
              <w:t>Limited field deployment</w:t>
            </w:r>
          </w:p>
        </w:tc>
        <w:tc>
          <w:tcPr>
            <w:tcW w:w="0" w:type="auto"/>
            <w:hideMark/>
          </w:tcPr>
          <w:p w14:paraId="5112ED91" w14:textId="77777777" w:rsidR="00F622D8" w:rsidRPr="007979A7" w:rsidRDefault="00F622D8" w:rsidP="001E4206">
            <w:pPr>
              <w:rPr>
                <w:rFonts w:ascii="Arial" w:hAnsi="Arial" w:cs="Arial"/>
              </w:rPr>
            </w:pPr>
            <w:r w:rsidRPr="007979A7">
              <w:rPr>
                <w:rFonts w:ascii="Arial" w:hAnsi="Arial" w:cs="Arial"/>
              </w:rPr>
              <w:t>Future technology</w:t>
            </w:r>
          </w:p>
        </w:tc>
        <w:tc>
          <w:tcPr>
            <w:tcW w:w="1859" w:type="dxa"/>
            <w:hideMark/>
          </w:tcPr>
          <w:p w14:paraId="5E30B84E" w14:textId="77777777" w:rsidR="00F622D8" w:rsidRPr="007979A7" w:rsidRDefault="00F622D8" w:rsidP="001E4206">
            <w:pPr>
              <w:rPr>
                <w:rFonts w:ascii="Arial" w:hAnsi="Arial" w:cs="Arial"/>
              </w:rPr>
            </w:pPr>
            <w:r w:rsidRPr="007979A7">
              <w:rPr>
                <w:rFonts w:ascii="Arial" w:hAnsi="Arial" w:cs="Arial"/>
              </w:rPr>
              <w:t>Ramakrishnan et al. (2023)</w:t>
            </w:r>
          </w:p>
        </w:tc>
      </w:tr>
      <w:tr w:rsidR="00F622D8" w:rsidRPr="007979A7" w14:paraId="384B6A3D" w14:textId="77777777" w:rsidTr="001E4206">
        <w:tc>
          <w:tcPr>
            <w:tcW w:w="1606" w:type="dxa"/>
            <w:hideMark/>
          </w:tcPr>
          <w:p w14:paraId="4B3ECDC5" w14:textId="77777777" w:rsidR="00F622D8" w:rsidRPr="007979A7" w:rsidRDefault="00F622D8" w:rsidP="001E4206">
            <w:pPr>
              <w:rPr>
                <w:rFonts w:ascii="Arial" w:hAnsi="Arial" w:cs="Arial"/>
                <w:b/>
              </w:rPr>
            </w:pPr>
            <w:r w:rsidRPr="007979A7">
              <w:rPr>
                <w:rStyle w:val="Strong"/>
                <w:rFonts w:ascii="Arial" w:hAnsi="Arial" w:cs="Arial"/>
                <w:b w:val="0"/>
              </w:rPr>
              <w:t>Future Potential</w:t>
            </w:r>
          </w:p>
        </w:tc>
        <w:tc>
          <w:tcPr>
            <w:tcW w:w="0" w:type="auto"/>
            <w:hideMark/>
          </w:tcPr>
          <w:p w14:paraId="4368DC60" w14:textId="77777777" w:rsidR="00F622D8" w:rsidRPr="007979A7" w:rsidRDefault="00F622D8" w:rsidP="001E4206">
            <w:pPr>
              <w:rPr>
                <w:rFonts w:ascii="Arial" w:hAnsi="Arial" w:cs="Arial"/>
              </w:rPr>
            </w:pPr>
            <w:r w:rsidRPr="007979A7">
              <w:rPr>
                <w:rFonts w:ascii="Arial" w:hAnsi="Arial" w:cs="Arial"/>
              </w:rPr>
              <w:t>Integration with gene editing and AI</w:t>
            </w:r>
          </w:p>
        </w:tc>
        <w:tc>
          <w:tcPr>
            <w:tcW w:w="0" w:type="auto"/>
            <w:hideMark/>
          </w:tcPr>
          <w:p w14:paraId="28DB389A" w14:textId="77777777" w:rsidR="00F622D8" w:rsidRPr="007979A7" w:rsidRDefault="00F622D8" w:rsidP="001E4206">
            <w:pPr>
              <w:rPr>
                <w:rFonts w:ascii="Arial" w:hAnsi="Arial" w:cs="Arial"/>
              </w:rPr>
            </w:pPr>
            <w:r w:rsidRPr="007979A7">
              <w:rPr>
                <w:rFonts w:ascii="Arial" w:hAnsi="Arial" w:cs="Arial"/>
              </w:rPr>
              <w:t>High innovation scope</w:t>
            </w:r>
          </w:p>
        </w:tc>
        <w:tc>
          <w:tcPr>
            <w:tcW w:w="0" w:type="auto"/>
            <w:hideMark/>
          </w:tcPr>
          <w:p w14:paraId="7D172ABB" w14:textId="77777777" w:rsidR="00F622D8" w:rsidRPr="007979A7" w:rsidRDefault="00F622D8" w:rsidP="001E4206">
            <w:pPr>
              <w:rPr>
                <w:rFonts w:ascii="Arial" w:hAnsi="Arial" w:cs="Arial"/>
              </w:rPr>
            </w:pPr>
            <w:r w:rsidRPr="007979A7">
              <w:rPr>
                <w:rFonts w:ascii="Arial" w:hAnsi="Arial" w:cs="Arial"/>
              </w:rPr>
              <w:t>Next-generation propagation system</w:t>
            </w:r>
          </w:p>
        </w:tc>
        <w:tc>
          <w:tcPr>
            <w:tcW w:w="1859" w:type="dxa"/>
            <w:hideMark/>
          </w:tcPr>
          <w:p w14:paraId="7CCF5060" w14:textId="77777777" w:rsidR="00F622D8" w:rsidRPr="007979A7" w:rsidRDefault="00F622D8" w:rsidP="001E4206">
            <w:pPr>
              <w:rPr>
                <w:rFonts w:ascii="Arial" w:hAnsi="Arial" w:cs="Arial"/>
              </w:rPr>
            </w:pPr>
            <w:r w:rsidRPr="007979A7">
              <w:rPr>
                <w:rFonts w:ascii="Arial" w:hAnsi="Arial" w:cs="Arial"/>
              </w:rPr>
              <w:t>Zhou et al. (2024)</w:t>
            </w:r>
          </w:p>
        </w:tc>
      </w:tr>
    </w:tbl>
    <w:p w14:paraId="40376746" w14:textId="77777777" w:rsidR="00F622D8" w:rsidRPr="007979A7" w:rsidRDefault="00F622D8" w:rsidP="00F622D8">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rPr>
        <w:t xml:space="preserve">A major breakthrough in teak somatic embryogenesis is the successful induction of embryos from juvenile tissues and callus cultures. Embryo induction rates range from </w:t>
      </w:r>
      <w:r w:rsidRPr="007979A7">
        <w:rPr>
          <w:rStyle w:val="Strong"/>
          <w:rFonts w:ascii="Arial" w:hAnsi="Arial" w:cs="Arial"/>
          <w:b w:val="0"/>
          <w:sz w:val="20"/>
          <w:szCs w:val="20"/>
        </w:rPr>
        <w:t>40–70%</w:t>
      </w:r>
      <w:r w:rsidRPr="007979A7">
        <w:rPr>
          <w:rFonts w:ascii="Arial" w:hAnsi="Arial" w:cs="Arial"/>
          <w:sz w:val="20"/>
          <w:szCs w:val="20"/>
        </w:rPr>
        <w:t>, indicating that teak possesses considerable embryogenic competence under optimized in vitro conditions (Deo et al., 2010). Juvenile tissues are particularly responsive because of their higher cellular plasticity and greater dedifferentiation capacity. This induction efficiency is significant because it establishes the biological feasibility of large-scale embryogenic culture systems for teak mass propagation.</w:t>
      </w:r>
    </w:p>
    <w:p w14:paraId="2881BC5A" w14:textId="77777777" w:rsidR="00F622D8" w:rsidRPr="007979A7" w:rsidRDefault="00F622D8" w:rsidP="00F622D8">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rPr>
        <w:t xml:space="preserve">Following embryo induction, regeneration of somatic embryos into viable plantlets remains a critical determinant of system efficiency. Regeneration rates reported in Table 6 vary between </w:t>
      </w:r>
      <w:r w:rsidRPr="007979A7">
        <w:rPr>
          <w:rStyle w:val="Strong"/>
          <w:rFonts w:ascii="Arial" w:hAnsi="Arial" w:cs="Arial"/>
          <w:b w:val="0"/>
          <w:sz w:val="20"/>
          <w:szCs w:val="20"/>
        </w:rPr>
        <w:t>40–80%</w:t>
      </w:r>
      <w:r w:rsidRPr="007979A7">
        <w:rPr>
          <w:rFonts w:ascii="Arial" w:hAnsi="Arial" w:cs="Arial"/>
          <w:sz w:val="20"/>
          <w:szCs w:val="20"/>
        </w:rPr>
        <w:t>, suggesting that conversion of embryos into plantlets is promising but still inconsistent across genotypes and culture conditions (Goh et al., 2013). Such variability reflects the complex interaction between genotype, culture medium composition, hormone balance, and developmental stage of embryos. Although regeneration efficiency remains lower than desirable for commercial mass production, current outcomes confirm the technical viability of embryo-to-plantlet conversion in teak.</w:t>
      </w:r>
    </w:p>
    <w:p w14:paraId="14238CF5" w14:textId="77777777" w:rsidR="00F622D8" w:rsidRPr="007979A7" w:rsidRDefault="00F622D8" w:rsidP="00F622D8">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rPr>
        <w:t xml:space="preserve">One of the most important recent advances lies in the understanding of </w:t>
      </w:r>
      <w:r w:rsidRPr="007979A7">
        <w:rPr>
          <w:rStyle w:val="Strong"/>
          <w:rFonts w:ascii="Arial" w:hAnsi="Arial" w:cs="Arial"/>
          <w:b w:val="0"/>
          <w:sz w:val="20"/>
          <w:szCs w:val="20"/>
        </w:rPr>
        <w:t>molecular regulation mechanisms governing embryogenesis</w:t>
      </w:r>
      <w:r w:rsidRPr="007979A7">
        <w:rPr>
          <w:rFonts w:ascii="Arial" w:hAnsi="Arial" w:cs="Arial"/>
          <w:sz w:val="20"/>
          <w:szCs w:val="20"/>
        </w:rPr>
        <w:t xml:space="preserve">. Contemporary studies have demonstrated that somatic embryogenesis in teak is strongly regulated by auxin–cytokinin </w:t>
      </w:r>
      <w:proofErr w:type="spellStart"/>
      <w:r w:rsidRPr="007979A7">
        <w:rPr>
          <w:rFonts w:ascii="Arial" w:hAnsi="Arial" w:cs="Arial"/>
          <w:sz w:val="20"/>
          <w:szCs w:val="20"/>
        </w:rPr>
        <w:t>signaling</w:t>
      </w:r>
      <w:proofErr w:type="spellEnd"/>
      <w:r w:rsidRPr="007979A7">
        <w:rPr>
          <w:rFonts w:ascii="Arial" w:hAnsi="Arial" w:cs="Arial"/>
          <w:sz w:val="20"/>
          <w:szCs w:val="20"/>
        </w:rPr>
        <w:t xml:space="preserve"> pathways involving genes such as AUX/IAA, ARF, SAUR, and ARR, which control embryogenic competence, polarity establishment, and embryo maturation (Ramakrishnan et al., 2023; Zhou et al., 2024). These molecular insights represent a major scientific milestone because they provide a mechanistic basis for improving regeneration efficiency through targeted manipulation of developmental pathways.</w:t>
      </w:r>
    </w:p>
    <w:p w14:paraId="32E358B0" w14:textId="77777777" w:rsidR="00F622D8" w:rsidRPr="007979A7" w:rsidRDefault="00F622D8" w:rsidP="00F622D8">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rPr>
        <w:t xml:space="preserve">A remarkable advantage of somatic embryogenesis is its extremely high multiplication potential. Unlike cutting- or shoot-based systems, embryogenic cultures theoretically allow production of </w:t>
      </w:r>
      <w:r w:rsidRPr="007979A7">
        <w:rPr>
          <w:rStyle w:val="Strong"/>
          <w:rFonts w:ascii="Arial" w:hAnsi="Arial" w:cs="Arial"/>
          <w:b w:val="0"/>
          <w:sz w:val="20"/>
          <w:szCs w:val="20"/>
        </w:rPr>
        <w:t>more than 1000 plants from a single explant</w:t>
      </w:r>
      <w:r w:rsidRPr="007979A7">
        <w:rPr>
          <w:rFonts w:ascii="Arial" w:hAnsi="Arial" w:cs="Arial"/>
          <w:sz w:val="20"/>
          <w:szCs w:val="20"/>
        </w:rPr>
        <w:t>, making this approach one of the most powerful mass cloning technologies available (Deo et al., 2010). This multiplication capacity far exceeds conventional clonal hedge systems and offers enormous promise for rapid expansion of elite planting stock once protocols become fully optimized.</w:t>
      </w:r>
    </w:p>
    <w:p w14:paraId="56CE2EEE" w14:textId="77777777" w:rsidR="00F622D8" w:rsidRPr="007979A7" w:rsidRDefault="00F622D8" w:rsidP="00F622D8">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rPr>
        <w:t xml:space="preserve">Somatic embryogenesis also holds exceptional value for </w:t>
      </w:r>
      <w:r w:rsidRPr="007979A7">
        <w:rPr>
          <w:rStyle w:val="Strong"/>
          <w:rFonts w:ascii="Arial" w:hAnsi="Arial" w:cs="Arial"/>
          <w:b w:val="0"/>
          <w:sz w:val="20"/>
          <w:szCs w:val="20"/>
        </w:rPr>
        <w:t>genetic improvement and precision breeding</w:t>
      </w:r>
      <w:r w:rsidRPr="007979A7">
        <w:rPr>
          <w:rFonts w:ascii="Arial" w:hAnsi="Arial" w:cs="Arial"/>
          <w:b/>
          <w:sz w:val="20"/>
          <w:szCs w:val="20"/>
        </w:rPr>
        <w:t>.</w:t>
      </w:r>
      <w:r w:rsidRPr="007979A7">
        <w:rPr>
          <w:rFonts w:ascii="Arial" w:hAnsi="Arial" w:cs="Arial"/>
          <w:sz w:val="20"/>
          <w:szCs w:val="20"/>
        </w:rPr>
        <w:t xml:space="preserve"> Because embryogenic cultures can be synchronized with genomic selection, molecular markers, and transformation systems, they enable fixation and rapid multiplication of elite genotypes with superior growth, wood quality, and stress tolerance traits (Goh et al., </w:t>
      </w:r>
      <w:r w:rsidRPr="007979A7">
        <w:rPr>
          <w:rFonts w:ascii="Arial" w:hAnsi="Arial" w:cs="Arial"/>
          <w:sz w:val="20"/>
          <w:szCs w:val="20"/>
        </w:rPr>
        <w:lastRenderedPageBreak/>
        <w:t>2013). This makes somatic embryogenesis a key enabling technology for integrating propagation with modern genomics-assisted breeding programs.</w:t>
      </w:r>
    </w:p>
    <w:p w14:paraId="3EEB35E1" w14:textId="77777777" w:rsidR="00F622D8" w:rsidRPr="007979A7" w:rsidRDefault="00F622D8" w:rsidP="00F622D8">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rPr>
        <w:t>Despite these major advantages, commercial deployment remains limited. As shown in Table 6, somatic embryogenesis in teak is still largely confined to research laboratories, with very limited field-scale application (Ramakrishnan et al., 2023). Major barriers include: Strong genotype dependency, Inconsistent regeneration reproducibility, High laboratory costs and Complex protocol standardization. These limitations currently prevent widespread commercial adoption, despite the technology’s high theoretical potential.</w:t>
      </w:r>
    </w:p>
    <w:p w14:paraId="607ED546" w14:textId="77777777" w:rsidR="00F622D8" w:rsidRPr="007979A7" w:rsidRDefault="00F622D8" w:rsidP="00F622D8">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rPr>
        <w:t xml:space="preserve">The future significance of somatic embryogenesis lies in its compatibility with emerging technologies such as </w:t>
      </w:r>
      <w:r w:rsidRPr="007979A7">
        <w:rPr>
          <w:rStyle w:val="Strong"/>
          <w:rFonts w:ascii="Arial" w:hAnsi="Arial" w:cs="Arial"/>
          <w:b w:val="0"/>
          <w:sz w:val="20"/>
          <w:szCs w:val="20"/>
        </w:rPr>
        <w:t>gene editing, artificial intelligence, and automated bioreactor systems</w:t>
      </w:r>
      <w:r w:rsidRPr="007979A7">
        <w:rPr>
          <w:rFonts w:ascii="Arial" w:hAnsi="Arial" w:cs="Arial"/>
          <w:sz w:val="20"/>
          <w:szCs w:val="20"/>
        </w:rPr>
        <w:t>. Integration with CRISPR-based genome editing could allow precise trait improvement at embryogenic stages, while AI-assisted culture optimization may enhance regeneration efficiency through predictive media formulation and growth monitoring (Zhou et al., 2024). These innovations position somatic embryogenesis as a cornerstone technology for next-generation teak propagation.</w:t>
      </w:r>
    </w:p>
    <w:p w14:paraId="7CC8C4C7"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t>3.1.6 Comparative Performance and Productivity Implications</w:t>
      </w:r>
    </w:p>
    <w:p w14:paraId="3D320B24" w14:textId="77777777" w:rsidR="00F622D8" w:rsidRPr="007979A7" w:rsidRDefault="00F622D8" w:rsidP="00F622D8">
      <w:pPr>
        <w:spacing w:line="276" w:lineRule="auto"/>
        <w:jc w:val="both"/>
        <w:rPr>
          <w:rFonts w:ascii="Arial" w:hAnsi="Arial" w:cs="Arial"/>
        </w:rPr>
      </w:pPr>
      <w:r w:rsidRPr="007979A7">
        <w:rPr>
          <w:rFonts w:ascii="Arial" w:hAnsi="Arial" w:cs="Arial"/>
        </w:rPr>
        <w:t xml:space="preserve">The comparative evaluation of propagation methods in </w:t>
      </w:r>
      <w:r w:rsidRPr="007979A7">
        <w:rPr>
          <w:rStyle w:val="Emphasis"/>
          <w:rFonts w:ascii="Arial" w:hAnsi="Arial" w:cs="Arial"/>
        </w:rPr>
        <w:t>Tectona grandis</w:t>
      </w:r>
      <w:r w:rsidRPr="007979A7">
        <w:rPr>
          <w:rFonts w:ascii="Arial" w:hAnsi="Arial" w:cs="Arial"/>
        </w:rPr>
        <w:t xml:space="preserve"> revealed marked differences in productivity, stand uniformity, wood quality, and scalability across propagation systems (Table 7 and Fig 1). Seed propagation recorded the lowest mean annual increment (MAI), ranging from 4–10 m³ ha</w:t>
      </w:r>
      <w:r w:rsidRPr="007979A7">
        <w:rPr>
          <w:rFonts w:ascii="Cambria Math" w:hAnsi="Cambria Math" w:cs="Cambria Math"/>
        </w:rPr>
        <w:t>⁻</w:t>
      </w:r>
      <w:r w:rsidRPr="007979A7">
        <w:rPr>
          <w:rFonts w:ascii="Arial" w:hAnsi="Arial" w:cs="Arial"/>
        </w:rPr>
        <w:t>¹ yr</w:t>
      </w:r>
      <w:r w:rsidRPr="007979A7">
        <w:rPr>
          <w:rFonts w:ascii="Cambria Math" w:hAnsi="Cambria Math" w:cs="Cambria Math"/>
        </w:rPr>
        <w:t>⁻</w:t>
      </w:r>
      <w:r w:rsidRPr="007979A7">
        <w:rPr>
          <w:rFonts w:ascii="Arial" w:hAnsi="Arial" w:cs="Arial"/>
        </w:rPr>
        <w:t>¹, and exhibited the highest stand variability with coefficient of variation (CV) values between 30–60%. This wide variability reflects the heterogeneous genetic nature of seed-derived populations, resulting in inconsistent growth performance and variable wood characteristics. Although seed propagation remains suitable for low-input forestry and smallholder plantations because of its simplicity and low cost, its limited predictability restricts its suitability for industrial plantation forestry. Similar observations were reported by Midgley et al. (2015), who noted that seed-raised teak plantations often suffer from uneven stand development and reduced uniformity.</w:t>
      </w:r>
    </w:p>
    <w:p w14:paraId="43E23FDE" w14:textId="77777777" w:rsidR="00F622D8" w:rsidRPr="007979A7" w:rsidRDefault="00F622D8" w:rsidP="00F622D8">
      <w:pPr>
        <w:jc w:val="both"/>
        <w:rPr>
          <w:rFonts w:ascii="Arial" w:hAnsi="Arial" w:cs="Arial"/>
          <w:lang w:val="en-IN" w:eastAsia="en-IN"/>
        </w:rPr>
      </w:pPr>
      <w:r w:rsidRPr="007979A7">
        <w:rPr>
          <w:rFonts w:ascii="Arial" w:hAnsi="Arial" w:cs="Arial"/>
        </w:rPr>
        <w:t xml:space="preserve">Table 7. Comparative Performance and Productivity Implications of Propagation Methods in </w:t>
      </w:r>
      <w:r w:rsidRPr="007979A7">
        <w:rPr>
          <w:rStyle w:val="whitespace-normal"/>
          <w:rFonts w:ascii="Arial" w:hAnsi="Arial" w:cs="Arial"/>
          <w:i/>
        </w:rPr>
        <w:t>Tectona grandis</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992"/>
        <w:gridCol w:w="1134"/>
        <w:gridCol w:w="993"/>
        <w:gridCol w:w="992"/>
        <w:gridCol w:w="992"/>
        <w:gridCol w:w="1559"/>
        <w:gridCol w:w="1276"/>
      </w:tblGrid>
      <w:tr w:rsidR="00F622D8" w:rsidRPr="007979A7" w14:paraId="274C46D3" w14:textId="77777777" w:rsidTr="001E4206">
        <w:tc>
          <w:tcPr>
            <w:tcW w:w="1276" w:type="dxa"/>
            <w:hideMark/>
          </w:tcPr>
          <w:p w14:paraId="59B8EEAE" w14:textId="77777777" w:rsidR="00F622D8" w:rsidRPr="007979A7" w:rsidRDefault="00F622D8" w:rsidP="001E4206">
            <w:pPr>
              <w:rPr>
                <w:rFonts w:ascii="Arial" w:hAnsi="Arial" w:cs="Arial"/>
                <w:b/>
                <w:bCs/>
                <w:lang w:val="en-IN" w:eastAsia="en-IN"/>
              </w:rPr>
            </w:pPr>
            <w:r w:rsidRPr="007979A7">
              <w:rPr>
                <w:rFonts w:ascii="Arial" w:hAnsi="Arial" w:cs="Arial"/>
                <w:b/>
                <w:bCs/>
              </w:rPr>
              <w:t>Propagation Method</w:t>
            </w:r>
          </w:p>
        </w:tc>
        <w:tc>
          <w:tcPr>
            <w:tcW w:w="992" w:type="dxa"/>
            <w:hideMark/>
          </w:tcPr>
          <w:p w14:paraId="26A96A8B" w14:textId="77777777" w:rsidR="00F622D8" w:rsidRPr="007979A7" w:rsidRDefault="00F622D8" w:rsidP="001E4206">
            <w:pPr>
              <w:rPr>
                <w:rFonts w:ascii="Arial" w:hAnsi="Arial" w:cs="Arial"/>
                <w:b/>
                <w:bCs/>
              </w:rPr>
            </w:pPr>
            <w:r w:rsidRPr="007979A7">
              <w:rPr>
                <w:rFonts w:ascii="Arial" w:hAnsi="Arial" w:cs="Arial"/>
                <w:b/>
                <w:bCs/>
              </w:rPr>
              <w:t>MAI (m³ ha</w:t>
            </w:r>
            <w:r w:rsidRPr="007979A7">
              <w:rPr>
                <w:rFonts w:ascii="Cambria Math" w:hAnsi="Cambria Math" w:cs="Cambria Math"/>
                <w:b/>
                <w:bCs/>
              </w:rPr>
              <w:t>⁻</w:t>
            </w:r>
            <w:r w:rsidRPr="007979A7">
              <w:rPr>
                <w:rFonts w:ascii="Arial" w:hAnsi="Arial" w:cs="Arial"/>
                <w:b/>
                <w:bCs/>
              </w:rPr>
              <w:t>¹ yr</w:t>
            </w:r>
            <w:r w:rsidRPr="007979A7">
              <w:rPr>
                <w:rFonts w:ascii="Cambria Math" w:hAnsi="Cambria Math" w:cs="Cambria Math"/>
                <w:b/>
                <w:bCs/>
              </w:rPr>
              <w:t>⁻</w:t>
            </w:r>
            <w:r w:rsidRPr="007979A7">
              <w:rPr>
                <w:rFonts w:ascii="Arial" w:hAnsi="Arial" w:cs="Arial"/>
                <w:b/>
                <w:bCs/>
              </w:rPr>
              <w:t>¹)</w:t>
            </w:r>
          </w:p>
        </w:tc>
        <w:tc>
          <w:tcPr>
            <w:tcW w:w="1134" w:type="dxa"/>
            <w:hideMark/>
          </w:tcPr>
          <w:p w14:paraId="4C692E76" w14:textId="77777777" w:rsidR="00F622D8" w:rsidRPr="007979A7" w:rsidRDefault="00F622D8" w:rsidP="001E4206">
            <w:pPr>
              <w:rPr>
                <w:rFonts w:ascii="Arial" w:hAnsi="Arial" w:cs="Arial"/>
                <w:b/>
                <w:bCs/>
              </w:rPr>
            </w:pPr>
            <w:r w:rsidRPr="007979A7">
              <w:rPr>
                <w:rFonts w:ascii="Arial" w:hAnsi="Arial" w:cs="Arial"/>
                <w:b/>
                <w:bCs/>
              </w:rPr>
              <w:t>Productivity Gain over Seed (%)</w:t>
            </w:r>
          </w:p>
        </w:tc>
        <w:tc>
          <w:tcPr>
            <w:tcW w:w="993" w:type="dxa"/>
            <w:hideMark/>
          </w:tcPr>
          <w:p w14:paraId="7A284825" w14:textId="77777777" w:rsidR="00F622D8" w:rsidRPr="007979A7" w:rsidRDefault="00F622D8" w:rsidP="001E4206">
            <w:pPr>
              <w:rPr>
                <w:rFonts w:ascii="Arial" w:hAnsi="Arial" w:cs="Arial"/>
                <w:b/>
                <w:bCs/>
              </w:rPr>
            </w:pPr>
            <w:r w:rsidRPr="007979A7">
              <w:rPr>
                <w:rFonts w:ascii="Arial" w:hAnsi="Arial" w:cs="Arial"/>
                <w:b/>
                <w:bCs/>
              </w:rPr>
              <w:t>Stand Uniformity (CV %)</w:t>
            </w:r>
          </w:p>
        </w:tc>
        <w:tc>
          <w:tcPr>
            <w:tcW w:w="992" w:type="dxa"/>
            <w:hideMark/>
          </w:tcPr>
          <w:p w14:paraId="7664A721" w14:textId="77777777" w:rsidR="00F622D8" w:rsidRPr="007979A7" w:rsidRDefault="00F622D8" w:rsidP="001E4206">
            <w:pPr>
              <w:rPr>
                <w:rFonts w:ascii="Arial" w:hAnsi="Arial" w:cs="Arial"/>
                <w:b/>
                <w:bCs/>
              </w:rPr>
            </w:pPr>
            <w:r w:rsidRPr="007979A7">
              <w:rPr>
                <w:rFonts w:ascii="Arial" w:hAnsi="Arial" w:cs="Arial"/>
                <w:b/>
                <w:bCs/>
              </w:rPr>
              <w:t>Wood Quality</w:t>
            </w:r>
          </w:p>
        </w:tc>
        <w:tc>
          <w:tcPr>
            <w:tcW w:w="992" w:type="dxa"/>
            <w:hideMark/>
          </w:tcPr>
          <w:p w14:paraId="0E6C8837" w14:textId="77777777" w:rsidR="00F622D8" w:rsidRPr="007979A7" w:rsidRDefault="00F622D8" w:rsidP="001E4206">
            <w:pPr>
              <w:rPr>
                <w:rFonts w:ascii="Arial" w:hAnsi="Arial" w:cs="Arial"/>
                <w:b/>
                <w:bCs/>
              </w:rPr>
            </w:pPr>
            <w:r w:rsidRPr="007979A7">
              <w:rPr>
                <w:rFonts w:ascii="Arial" w:hAnsi="Arial" w:cs="Arial"/>
                <w:b/>
                <w:bCs/>
              </w:rPr>
              <w:t>Scalability</w:t>
            </w:r>
          </w:p>
        </w:tc>
        <w:tc>
          <w:tcPr>
            <w:tcW w:w="1559" w:type="dxa"/>
            <w:hideMark/>
          </w:tcPr>
          <w:p w14:paraId="74B256C2" w14:textId="77777777" w:rsidR="00F622D8" w:rsidRPr="007979A7" w:rsidRDefault="00F622D8" w:rsidP="001E4206">
            <w:pPr>
              <w:rPr>
                <w:rFonts w:ascii="Arial" w:hAnsi="Arial" w:cs="Arial"/>
                <w:b/>
                <w:bCs/>
              </w:rPr>
            </w:pPr>
            <w:r w:rsidRPr="007979A7">
              <w:rPr>
                <w:rFonts w:ascii="Arial" w:hAnsi="Arial" w:cs="Arial"/>
                <w:b/>
                <w:bCs/>
              </w:rPr>
              <w:t>Key Implication</w:t>
            </w:r>
          </w:p>
        </w:tc>
        <w:tc>
          <w:tcPr>
            <w:tcW w:w="1276" w:type="dxa"/>
            <w:hideMark/>
          </w:tcPr>
          <w:p w14:paraId="78B733D4" w14:textId="77777777" w:rsidR="00F622D8" w:rsidRPr="007979A7" w:rsidRDefault="00F622D8" w:rsidP="001E4206">
            <w:pPr>
              <w:rPr>
                <w:rFonts w:ascii="Arial" w:hAnsi="Arial" w:cs="Arial"/>
                <w:b/>
                <w:bCs/>
              </w:rPr>
            </w:pPr>
            <w:r w:rsidRPr="007979A7">
              <w:rPr>
                <w:rFonts w:ascii="Arial" w:hAnsi="Arial" w:cs="Arial"/>
                <w:b/>
                <w:bCs/>
              </w:rPr>
              <w:t>Key References</w:t>
            </w:r>
          </w:p>
        </w:tc>
      </w:tr>
      <w:tr w:rsidR="00F622D8" w:rsidRPr="007979A7" w14:paraId="4D40DC62" w14:textId="77777777" w:rsidTr="001E4206">
        <w:tc>
          <w:tcPr>
            <w:tcW w:w="1276" w:type="dxa"/>
            <w:hideMark/>
          </w:tcPr>
          <w:p w14:paraId="3445DB67" w14:textId="77777777" w:rsidR="00F622D8" w:rsidRPr="007979A7" w:rsidRDefault="00F622D8" w:rsidP="001E4206">
            <w:pPr>
              <w:rPr>
                <w:rFonts w:ascii="Arial" w:hAnsi="Arial" w:cs="Arial"/>
                <w:b/>
              </w:rPr>
            </w:pPr>
            <w:r w:rsidRPr="007979A7">
              <w:rPr>
                <w:rStyle w:val="Strong"/>
                <w:rFonts w:ascii="Arial" w:hAnsi="Arial" w:cs="Arial"/>
                <w:b w:val="0"/>
              </w:rPr>
              <w:t>Seed Propagation</w:t>
            </w:r>
          </w:p>
        </w:tc>
        <w:tc>
          <w:tcPr>
            <w:tcW w:w="992" w:type="dxa"/>
            <w:hideMark/>
          </w:tcPr>
          <w:p w14:paraId="76FED495" w14:textId="77777777" w:rsidR="00F622D8" w:rsidRPr="007979A7" w:rsidRDefault="00F622D8" w:rsidP="001E4206">
            <w:pPr>
              <w:rPr>
                <w:rFonts w:ascii="Arial" w:hAnsi="Arial" w:cs="Arial"/>
              </w:rPr>
            </w:pPr>
            <w:r w:rsidRPr="007979A7">
              <w:rPr>
                <w:rFonts w:ascii="Arial" w:hAnsi="Arial" w:cs="Arial"/>
              </w:rPr>
              <w:t>4–10</w:t>
            </w:r>
          </w:p>
        </w:tc>
        <w:tc>
          <w:tcPr>
            <w:tcW w:w="1134" w:type="dxa"/>
            <w:hideMark/>
          </w:tcPr>
          <w:p w14:paraId="292E53FD" w14:textId="77777777" w:rsidR="00F622D8" w:rsidRPr="007979A7" w:rsidRDefault="00F622D8" w:rsidP="001E4206">
            <w:pPr>
              <w:rPr>
                <w:rFonts w:ascii="Arial" w:hAnsi="Arial" w:cs="Arial"/>
              </w:rPr>
            </w:pPr>
            <w:r w:rsidRPr="007979A7">
              <w:rPr>
                <w:rFonts w:ascii="Arial" w:hAnsi="Arial" w:cs="Arial"/>
              </w:rPr>
              <w:t>Baseline</w:t>
            </w:r>
          </w:p>
        </w:tc>
        <w:tc>
          <w:tcPr>
            <w:tcW w:w="993" w:type="dxa"/>
            <w:hideMark/>
          </w:tcPr>
          <w:p w14:paraId="7158CE20" w14:textId="77777777" w:rsidR="00F622D8" w:rsidRPr="007979A7" w:rsidRDefault="00F622D8" w:rsidP="001E4206">
            <w:pPr>
              <w:rPr>
                <w:rFonts w:ascii="Arial" w:hAnsi="Arial" w:cs="Arial"/>
              </w:rPr>
            </w:pPr>
            <w:r w:rsidRPr="007979A7">
              <w:rPr>
                <w:rFonts w:ascii="Arial" w:hAnsi="Arial" w:cs="Arial"/>
              </w:rPr>
              <w:t>30–60</w:t>
            </w:r>
          </w:p>
        </w:tc>
        <w:tc>
          <w:tcPr>
            <w:tcW w:w="992" w:type="dxa"/>
            <w:hideMark/>
          </w:tcPr>
          <w:p w14:paraId="76E88AD2" w14:textId="77777777" w:rsidR="00F622D8" w:rsidRPr="007979A7" w:rsidRDefault="00F622D8" w:rsidP="001E4206">
            <w:pPr>
              <w:rPr>
                <w:rFonts w:ascii="Arial" w:hAnsi="Arial" w:cs="Arial"/>
              </w:rPr>
            </w:pPr>
            <w:r w:rsidRPr="007979A7">
              <w:rPr>
                <w:rFonts w:ascii="Arial" w:hAnsi="Arial" w:cs="Arial"/>
              </w:rPr>
              <w:t>Variable</w:t>
            </w:r>
          </w:p>
        </w:tc>
        <w:tc>
          <w:tcPr>
            <w:tcW w:w="992" w:type="dxa"/>
            <w:hideMark/>
          </w:tcPr>
          <w:p w14:paraId="52229B64" w14:textId="77777777" w:rsidR="00F622D8" w:rsidRPr="007979A7" w:rsidRDefault="00F622D8" w:rsidP="001E4206">
            <w:pPr>
              <w:rPr>
                <w:rFonts w:ascii="Arial" w:hAnsi="Arial" w:cs="Arial"/>
              </w:rPr>
            </w:pPr>
            <w:r w:rsidRPr="007979A7">
              <w:rPr>
                <w:rFonts w:ascii="Arial" w:hAnsi="Arial" w:cs="Arial"/>
              </w:rPr>
              <w:t>High (low-input systems)</w:t>
            </w:r>
          </w:p>
        </w:tc>
        <w:tc>
          <w:tcPr>
            <w:tcW w:w="1559" w:type="dxa"/>
            <w:hideMark/>
          </w:tcPr>
          <w:p w14:paraId="14B023F9" w14:textId="77777777" w:rsidR="00F622D8" w:rsidRPr="007979A7" w:rsidRDefault="00F622D8" w:rsidP="001E4206">
            <w:pPr>
              <w:rPr>
                <w:rFonts w:ascii="Arial" w:hAnsi="Arial" w:cs="Arial"/>
              </w:rPr>
            </w:pPr>
            <w:r w:rsidRPr="007979A7">
              <w:rPr>
                <w:rFonts w:ascii="Arial" w:hAnsi="Arial" w:cs="Arial"/>
              </w:rPr>
              <w:t>Suitable for smallholders; high variability limits industrial use</w:t>
            </w:r>
          </w:p>
        </w:tc>
        <w:tc>
          <w:tcPr>
            <w:tcW w:w="1276" w:type="dxa"/>
            <w:hideMark/>
          </w:tcPr>
          <w:p w14:paraId="4460B65D" w14:textId="77777777" w:rsidR="00F622D8" w:rsidRPr="007979A7" w:rsidRDefault="00F622D8" w:rsidP="001E4206">
            <w:pPr>
              <w:rPr>
                <w:rFonts w:ascii="Arial" w:hAnsi="Arial" w:cs="Arial"/>
              </w:rPr>
            </w:pPr>
            <w:r w:rsidRPr="007979A7">
              <w:rPr>
                <w:rFonts w:ascii="Arial" w:hAnsi="Arial" w:cs="Arial"/>
              </w:rPr>
              <w:t xml:space="preserve">Midgley et al. (2015); Goh and </w:t>
            </w:r>
            <w:proofErr w:type="spellStart"/>
            <w:r w:rsidRPr="007979A7">
              <w:rPr>
                <w:rFonts w:ascii="Arial" w:hAnsi="Arial" w:cs="Arial"/>
              </w:rPr>
              <w:t>Monteuuis</w:t>
            </w:r>
            <w:proofErr w:type="spellEnd"/>
            <w:r w:rsidRPr="007979A7">
              <w:rPr>
                <w:rFonts w:ascii="Arial" w:hAnsi="Arial" w:cs="Arial"/>
              </w:rPr>
              <w:t xml:space="preserve"> (2016)</w:t>
            </w:r>
          </w:p>
        </w:tc>
      </w:tr>
      <w:tr w:rsidR="00F622D8" w:rsidRPr="007979A7" w14:paraId="396C9E7D" w14:textId="77777777" w:rsidTr="001E4206">
        <w:tc>
          <w:tcPr>
            <w:tcW w:w="1276" w:type="dxa"/>
            <w:hideMark/>
          </w:tcPr>
          <w:p w14:paraId="4C538A32" w14:textId="77777777" w:rsidR="00F622D8" w:rsidRPr="007979A7" w:rsidRDefault="00F622D8" w:rsidP="001E4206">
            <w:pPr>
              <w:rPr>
                <w:rFonts w:ascii="Arial" w:hAnsi="Arial" w:cs="Arial"/>
                <w:b/>
              </w:rPr>
            </w:pPr>
            <w:r w:rsidRPr="007979A7">
              <w:rPr>
                <w:rStyle w:val="Strong"/>
                <w:rFonts w:ascii="Arial" w:hAnsi="Arial" w:cs="Arial"/>
                <w:b w:val="0"/>
              </w:rPr>
              <w:t>Vegetative Propagation (Cuttings)</w:t>
            </w:r>
          </w:p>
        </w:tc>
        <w:tc>
          <w:tcPr>
            <w:tcW w:w="992" w:type="dxa"/>
            <w:hideMark/>
          </w:tcPr>
          <w:p w14:paraId="3BE97DE6" w14:textId="77777777" w:rsidR="00F622D8" w:rsidRPr="007979A7" w:rsidRDefault="00F622D8" w:rsidP="001E4206">
            <w:pPr>
              <w:rPr>
                <w:rFonts w:ascii="Arial" w:hAnsi="Arial" w:cs="Arial"/>
              </w:rPr>
            </w:pPr>
            <w:r w:rsidRPr="007979A7">
              <w:rPr>
                <w:rFonts w:ascii="Arial" w:hAnsi="Arial" w:cs="Arial"/>
              </w:rPr>
              <w:t>6–12</w:t>
            </w:r>
          </w:p>
        </w:tc>
        <w:tc>
          <w:tcPr>
            <w:tcW w:w="1134" w:type="dxa"/>
            <w:hideMark/>
          </w:tcPr>
          <w:p w14:paraId="078FC350" w14:textId="77777777" w:rsidR="00F622D8" w:rsidRPr="007979A7" w:rsidRDefault="00F622D8" w:rsidP="001E4206">
            <w:pPr>
              <w:rPr>
                <w:rFonts w:ascii="Arial" w:hAnsi="Arial" w:cs="Arial"/>
              </w:rPr>
            </w:pPr>
            <w:r w:rsidRPr="007979A7">
              <w:rPr>
                <w:rFonts w:ascii="Arial" w:hAnsi="Arial" w:cs="Arial"/>
              </w:rPr>
              <w:t>+20–40%</w:t>
            </w:r>
          </w:p>
        </w:tc>
        <w:tc>
          <w:tcPr>
            <w:tcW w:w="993" w:type="dxa"/>
            <w:hideMark/>
          </w:tcPr>
          <w:p w14:paraId="314496FA" w14:textId="77777777" w:rsidR="00F622D8" w:rsidRPr="007979A7" w:rsidRDefault="00F622D8" w:rsidP="001E4206">
            <w:pPr>
              <w:rPr>
                <w:rFonts w:ascii="Arial" w:hAnsi="Arial" w:cs="Arial"/>
              </w:rPr>
            </w:pPr>
            <w:r w:rsidRPr="007979A7">
              <w:rPr>
                <w:rFonts w:ascii="Arial" w:hAnsi="Arial" w:cs="Arial"/>
              </w:rPr>
              <w:t>20–35</w:t>
            </w:r>
          </w:p>
        </w:tc>
        <w:tc>
          <w:tcPr>
            <w:tcW w:w="992" w:type="dxa"/>
            <w:hideMark/>
          </w:tcPr>
          <w:p w14:paraId="2F60B02A" w14:textId="77777777" w:rsidR="00F622D8" w:rsidRPr="007979A7" w:rsidRDefault="00F622D8" w:rsidP="001E4206">
            <w:pPr>
              <w:rPr>
                <w:rFonts w:ascii="Arial" w:hAnsi="Arial" w:cs="Arial"/>
              </w:rPr>
            </w:pPr>
            <w:r w:rsidRPr="007979A7">
              <w:rPr>
                <w:rFonts w:ascii="Arial" w:hAnsi="Arial" w:cs="Arial"/>
              </w:rPr>
              <w:t>Moderate–Good</w:t>
            </w:r>
          </w:p>
        </w:tc>
        <w:tc>
          <w:tcPr>
            <w:tcW w:w="992" w:type="dxa"/>
            <w:hideMark/>
          </w:tcPr>
          <w:p w14:paraId="2B530FB4" w14:textId="77777777" w:rsidR="00F622D8" w:rsidRPr="007979A7" w:rsidRDefault="00F622D8" w:rsidP="001E4206">
            <w:pPr>
              <w:rPr>
                <w:rFonts w:ascii="Arial" w:hAnsi="Arial" w:cs="Arial"/>
              </w:rPr>
            </w:pPr>
            <w:r w:rsidRPr="007979A7">
              <w:rPr>
                <w:rFonts w:ascii="Arial" w:hAnsi="Arial" w:cs="Arial"/>
              </w:rPr>
              <w:t>Moderate</w:t>
            </w:r>
          </w:p>
        </w:tc>
        <w:tc>
          <w:tcPr>
            <w:tcW w:w="1559" w:type="dxa"/>
            <w:hideMark/>
          </w:tcPr>
          <w:p w14:paraId="2C8E3B11" w14:textId="77777777" w:rsidR="00F622D8" w:rsidRPr="007979A7" w:rsidRDefault="00F622D8" w:rsidP="001E4206">
            <w:pPr>
              <w:rPr>
                <w:rFonts w:ascii="Arial" w:hAnsi="Arial" w:cs="Arial"/>
              </w:rPr>
            </w:pPr>
            <w:r w:rsidRPr="007979A7">
              <w:rPr>
                <w:rFonts w:ascii="Arial" w:hAnsi="Arial" w:cs="Arial"/>
              </w:rPr>
              <w:t>Improved performance but still variable</w:t>
            </w:r>
          </w:p>
        </w:tc>
        <w:tc>
          <w:tcPr>
            <w:tcW w:w="1276" w:type="dxa"/>
            <w:hideMark/>
          </w:tcPr>
          <w:p w14:paraId="677CCA5F" w14:textId="77777777" w:rsidR="00F622D8" w:rsidRPr="007979A7" w:rsidRDefault="00F622D8" w:rsidP="001E4206">
            <w:pPr>
              <w:rPr>
                <w:rFonts w:ascii="Arial" w:hAnsi="Arial" w:cs="Arial"/>
              </w:rPr>
            </w:pPr>
            <w:r w:rsidRPr="007979A7">
              <w:rPr>
                <w:rFonts w:ascii="Arial" w:hAnsi="Arial" w:cs="Arial"/>
              </w:rPr>
              <w:t xml:space="preserve">Goh and </w:t>
            </w:r>
            <w:proofErr w:type="spellStart"/>
            <w:r w:rsidRPr="007979A7">
              <w:rPr>
                <w:rFonts w:ascii="Arial" w:hAnsi="Arial" w:cs="Arial"/>
              </w:rPr>
              <w:t>Monteuuis</w:t>
            </w:r>
            <w:proofErr w:type="spellEnd"/>
            <w:r w:rsidRPr="007979A7">
              <w:rPr>
                <w:rFonts w:ascii="Arial" w:hAnsi="Arial" w:cs="Arial"/>
              </w:rPr>
              <w:t xml:space="preserve"> (2016); </w:t>
            </w:r>
            <w:proofErr w:type="spellStart"/>
            <w:r w:rsidRPr="007979A7">
              <w:rPr>
                <w:rFonts w:ascii="Arial" w:hAnsi="Arial" w:cs="Arial"/>
              </w:rPr>
              <w:t>Husen</w:t>
            </w:r>
            <w:proofErr w:type="spellEnd"/>
            <w:r w:rsidRPr="007979A7">
              <w:rPr>
                <w:rFonts w:ascii="Arial" w:hAnsi="Arial" w:cs="Arial"/>
              </w:rPr>
              <w:t xml:space="preserve"> and Pal (2006)</w:t>
            </w:r>
          </w:p>
        </w:tc>
      </w:tr>
      <w:tr w:rsidR="00F622D8" w:rsidRPr="007979A7" w14:paraId="683A66CE" w14:textId="77777777" w:rsidTr="001E4206">
        <w:tc>
          <w:tcPr>
            <w:tcW w:w="1276" w:type="dxa"/>
            <w:hideMark/>
          </w:tcPr>
          <w:p w14:paraId="1709048B" w14:textId="77777777" w:rsidR="00F622D8" w:rsidRPr="007979A7" w:rsidRDefault="00F622D8" w:rsidP="001E4206">
            <w:pPr>
              <w:rPr>
                <w:rFonts w:ascii="Arial" w:hAnsi="Arial" w:cs="Arial"/>
                <w:b/>
              </w:rPr>
            </w:pPr>
            <w:r w:rsidRPr="007979A7">
              <w:rPr>
                <w:rStyle w:val="Strong"/>
                <w:rFonts w:ascii="Arial" w:hAnsi="Arial" w:cs="Arial"/>
                <w:b w:val="0"/>
              </w:rPr>
              <w:t>Clonal Forestry (Mini-cuttings)</w:t>
            </w:r>
          </w:p>
        </w:tc>
        <w:tc>
          <w:tcPr>
            <w:tcW w:w="992" w:type="dxa"/>
            <w:hideMark/>
          </w:tcPr>
          <w:p w14:paraId="500007E3" w14:textId="77777777" w:rsidR="00F622D8" w:rsidRPr="007979A7" w:rsidRDefault="00F622D8" w:rsidP="001E4206">
            <w:pPr>
              <w:rPr>
                <w:rFonts w:ascii="Arial" w:hAnsi="Arial" w:cs="Arial"/>
              </w:rPr>
            </w:pPr>
            <w:r w:rsidRPr="007979A7">
              <w:rPr>
                <w:rFonts w:ascii="Arial" w:hAnsi="Arial" w:cs="Arial"/>
              </w:rPr>
              <w:t>10–18</w:t>
            </w:r>
          </w:p>
        </w:tc>
        <w:tc>
          <w:tcPr>
            <w:tcW w:w="1134" w:type="dxa"/>
            <w:hideMark/>
          </w:tcPr>
          <w:p w14:paraId="2C3B5C91" w14:textId="77777777" w:rsidR="00F622D8" w:rsidRPr="007979A7" w:rsidRDefault="00F622D8" w:rsidP="001E4206">
            <w:pPr>
              <w:rPr>
                <w:rFonts w:ascii="Arial" w:hAnsi="Arial" w:cs="Arial"/>
              </w:rPr>
            </w:pPr>
            <w:r w:rsidRPr="007979A7">
              <w:rPr>
                <w:rFonts w:ascii="Arial" w:hAnsi="Arial" w:cs="Arial"/>
              </w:rPr>
              <w:t>+40–100%</w:t>
            </w:r>
          </w:p>
        </w:tc>
        <w:tc>
          <w:tcPr>
            <w:tcW w:w="993" w:type="dxa"/>
            <w:hideMark/>
          </w:tcPr>
          <w:p w14:paraId="7C5AFCFD" w14:textId="77777777" w:rsidR="00F622D8" w:rsidRPr="007979A7" w:rsidRDefault="00F622D8" w:rsidP="001E4206">
            <w:pPr>
              <w:rPr>
                <w:rFonts w:ascii="Arial" w:hAnsi="Arial" w:cs="Arial"/>
              </w:rPr>
            </w:pPr>
            <w:r w:rsidRPr="007979A7">
              <w:rPr>
                <w:rFonts w:ascii="Arial" w:hAnsi="Arial" w:cs="Arial"/>
              </w:rPr>
              <w:t>10–20</w:t>
            </w:r>
          </w:p>
        </w:tc>
        <w:tc>
          <w:tcPr>
            <w:tcW w:w="992" w:type="dxa"/>
            <w:hideMark/>
          </w:tcPr>
          <w:p w14:paraId="49A87FB4" w14:textId="77777777" w:rsidR="00F622D8" w:rsidRPr="007979A7" w:rsidRDefault="00F622D8" w:rsidP="001E4206">
            <w:pPr>
              <w:rPr>
                <w:rFonts w:ascii="Arial" w:hAnsi="Arial" w:cs="Arial"/>
              </w:rPr>
            </w:pPr>
            <w:r w:rsidRPr="007979A7">
              <w:rPr>
                <w:rFonts w:ascii="Arial" w:hAnsi="Arial" w:cs="Arial"/>
              </w:rPr>
              <w:t>High</w:t>
            </w:r>
          </w:p>
        </w:tc>
        <w:tc>
          <w:tcPr>
            <w:tcW w:w="992" w:type="dxa"/>
            <w:hideMark/>
          </w:tcPr>
          <w:p w14:paraId="6037F7BA" w14:textId="77777777" w:rsidR="00F622D8" w:rsidRPr="007979A7" w:rsidRDefault="00F622D8" w:rsidP="001E4206">
            <w:pPr>
              <w:rPr>
                <w:rFonts w:ascii="Arial" w:hAnsi="Arial" w:cs="Arial"/>
              </w:rPr>
            </w:pPr>
            <w:r w:rsidRPr="007979A7">
              <w:rPr>
                <w:rFonts w:ascii="Arial" w:hAnsi="Arial" w:cs="Arial"/>
              </w:rPr>
              <w:t>High (organized plantatio</w:t>
            </w:r>
            <w:r w:rsidRPr="007979A7">
              <w:rPr>
                <w:rFonts w:ascii="Arial" w:hAnsi="Arial" w:cs="Arial"/>
              </w:rPr>
              <w:lastRenderedPageBreak/>
              <w:t>ns)</w:t>
            </w:r>
          </w:p>
        </w:tc>
        <w:tc>
          <w:tcPr>
            <w:tcW w:w="1559" w:type="dxa"/>
            <w:hideMark/>
          </w:tcPr>
          <w:p w14:paraId="5E278484" w14:textId="77777777" w:rsidR="00F622D8" w:rsidRPr="007979A7" w:rsidRDefault="00F622D8" w:rsidP="001E4206">
            <w:pPr>
              <w:rPr>
                <w:rFonts w:ascii="Arial" w:hAnsi="Arial" w:cs="Arial"/>
              </w:rPr>
            </w:pPr>
            <w:r w:rsidRPr="007979A7">
              <w:rPr>
                <w:rFonts w:ascii="Arial" w:hAnsi="Arial" w:cs="Arial"/>
              </w:rPr>
              <w:lastRenderedPageBreak/>
              <w:t>Major improvement in productivity and uniformity</w:t>
            </w:r>
          </w:p>
        </w:tc>
        <w:tc>
          <w:tcPr>
            <w:tcW w:w="1276" w:type="dxa"/>
            <w:hideMark/>
          </w:tcPr>
          <w:p w14:paraId="2D13B603" w14:textId="77777777" w:rsidR="00F622D8" w:rsidRPr="007979A7" w:rsidRDefault="00F622D8" w:rsidP="001E4206">
            <w:pPr>
              <w:rPr>
                <w:rFonts w:ascii="Arial" w:hAnsi="Arial" w:cs="Arial"/>
              </w:rPr>
            </w:pPr>
            <w:r w:rsidRPr="007979A7">
              <w:rPr>
                <w:rFonts w:ascii="Arial" w:hAnsi="Arial" w:cs="Arial"/>
              </w:rPr>
              <w:t>Midgley et al. (2015)</w:t>
            </w:r>
          </w:p>
        </w:tc>
      </w:tr>
      <w:tr w:rsidR="00F622D8" w:rsidRPr="007979A7" w14:paraId="59EF3CF1" w14:textId="77777777" w:rsidTr="001E4206">
        <w:tc>
          <w:tcPr>
            <w:tcW w:w="1276" w:type="dxa"/>
            <w:hideMark/>
          </w:tcPr>
          <w:p w14:paraId="2386E53F" w14:textId="77777777" w:rsidR="00F622D8" w:rsidRPr="007979A7" w:rsidRDefault="00F622D8" w:rsidP="001E4206">
            <w:pPr>
              <w:rPr>
                <w:rFonts w:ascii="Arial" w:hAnsi="Arial" w:cs="Arial"/>
                <w:b/>
              </w:rPr>
            </w:pPr>
            <w:r w:rsidRPr="007979A7">
              <w:rPr>
                <w:rStyle w:val="Strong"/>
                <w:rFonts w:ascii="Arial" w:hAnsi="Arial" w:cs="Arial"/>
                <w:b w:val="0"/>
              </w:rPr>
              <w:t>Micropropagation / Integrated Systems</w:t>
            </w:r>
          </w:p>
        </w:tc>
        <w:tc>
          <w:tcPr>
            <w:tcW w:w="992" w:type="dxa"/>
            <w:hideMark/>
          </w:tcPr>
          <w:p w14:paraId="091577C2" w14:textId="77777777" w:rsidR="00F622D8" w:rsidRPr="007979A7" w:rsidRDefault="00F622D8" w:rsidP="001E4206">
            <w:pPr>
              <w:rPr>
                <w:rFonts w:ascii="Arial" w:hAnsi="Arial" w:cs="Arial"/>
              </w:rPr>
            </w:pPr>
            <w:r w:rsidRPr="007979A7">
              <w:rPr>
                <w:rFonts w:ascii="Arial" w:hAnsi="Arial" w:cs="Arial"/>
              </w:rPr>
              <w:t>14–22</w:t>
            </w:r>
          </w:p>
        </w:tc>
        <w:tc>
          <w:tcPr>
            <w:tcW w:w="1134" w:type="dxa"/>
            <w:hideMark/>
          </w:tcPr>
          <w:p w14:paraId="17A00719" w14:textId="77777777" w:rsidR="00F622D8" w:rsidRPr="007979A7" w:rsidRDefault="00F622D8" w:rsidP="001E4206">
            <w:pPr>
              <w:rPr>
                <w:rFonts w:ascii="Arial" w:hAnsi="Arial" w:cs="Arial"/>
              </w:rPr>
            </w:pPr>
            <w:r w:rsidRPr="007979A7">
              <w:rPr>
                <w:rFonts w:ascii="Arial" w:hAnsi="Arial" w:cs="Arial"/>
              </w:rPr>
              <w:t>+80–150%</w:t>
            </w:r>
          </w:p>
        </w:tc>
        <w:tc>
          <w:tcPr>
            <w:tcW w:w="993" w:type="dxa"/>
            <w:hideMark/>
          </w:tcPr>
          <w:p w14:paraId="713D17B4" w14:textId="77777777" w:rsidR="00F622D8" w:rsidRPr="007979A7" w:rsidRDefault="00F622D8" w:rsidP="001E4206">
            <w:pPr>
              <w:rPr>
                <w:rFonts w:ascii="Arial" w:hAnsi="Arial" w:cs="Arial"/>
              </w:rPr>
            </w:pPr>
            <w:r w:rsidRPr="007979A7">
              <w:rPr>
                <w:rFonts w:ascii="Arial" w:hAnsi="Arial" w:cs="Arial"/>
              </w:rPr>
              <w:t>5–15</w:t>
            </w:r>
          </w:p>
        </w:tc>
        <w:tc>
          <w:tcPr>
            <w:tcW w:w="992" w:type="dxa"/>
            <w:hideMark/>
          </w:tcPr>
          <w:p w14:paraId="4FC35B7C" w14:textId="77777777" w:rsidR="00F622D8" w:rsidRPr="007979A7" w:rsidRDefault="00F622D8" w:rsidP="001E4206">
            <w:pPr>
              <w:rPr>
                <w:rFonts w:ascii="Arial" w:hAnsi="Arial" w:cs="Arial"/>
              </w:rPr>
            </w:pPr>
            <w:r w:rsidRPr="007979A7">
              <w:rPr>
                <w:rFonts w:ascii="Arial" w:hAnsi="Arial" w:cs="Arial"/>
              </w:rPr>
              <w:t>Very High</w:t>
            </w:r>
          </w:p>
        </w:tc>
        <w:tc>
          <w:tcPr>
            <w:tcW w:w="992" w:type="dxa"/>
            <w:hideMark/>
          </w:tcPr>
          <w:p w14:paraId="14999112" w14:textId="77777777" w:rsidR="00F622D8" w:rsidRPr="007979A7" w:rsidRDefault="00F622D8" w:rsidP="001E4206">
            <w:pPr>
              <w:rPr>
                <w:rFonts w:ascii="Arial" w:hAnsi="Arial" w:cs="Arial"/>
              </w:rPr>
            </w:pPr>
            <w:r w:rsidRPr="007979A7">
              <w:rPr>
                <w:rFonts w:ascii="Arial" w:hAnsi="Arial" w:cs="Arial"/>
              </w:rPr>
              <w:t>Moderate–High (high-tech systems)</w:t>
            </w:r>
          </w:p>
        </w:tc>
        <w:tc>
          <w:tcPr>
            <w:tcW w:w="1559" w:type="dxa"/>
            <w:hideMark/>
          </w:tcPr>
          <w:p w14:paraId="625F1E07" w14:textId="77777777" w:rsidR="00F622D8" w:rsidRPr="007979A7" w:rsidRDefault="00F622D8" w:rsidP="001E4206">
            <w:pPr>
              <w:rPr>
                <w:rFonts w:ascii="Arial" w:hAnsi="Arial" w:cs="Arial"/>
              </w:rPr>
            </w:pPr>
            <w:r w:rsidRPr="007979A7">
              <w:rPr>
                <w:rFonts w:ascii="Arial" w:hAnsi="Arial" w:cs="Arial"/>
              </w:rPr>
              <w:t>Highest productivity and precision forestry</w:t>
            </w:r>
          </w:p>
        </w:tc>
        <w:tc>
          <w:tcPr>
            <w:tcW w:w="1276" w:type="dxa"/>
            <w:hideMark/>
          </w:tcPr>
          <w:p w14:paraId="760FDF1C" w14:textId="77777777" w:rsidR="00F622D8" w:rsidRPr="007979A7" w:rsidRDefault="00F622D8" w:rsidP="001E4206">
            <w:pPr>
              <w:rPr>
                <w:rFonts w:ascii="Arial" w:hAnsi="Arial" w:cs="Arial"/>
              </w:rPr>
            </w:pPr>
            <w:r w:rsidRPr="007979A7">
              <w:rPr>
                <w:rFonts w:ascii="Arial" w:hAnsi="Arial" w:cs="Arial"/>
              </w:rPr>
              <w:t xml:space="preserve">Goh and </w:t>
            </w:r>
            <w:proofErr w:type="spellStart"/>
            <w:r w:rsidRPr="007979A7">
              <w:rPr>
                <w:rFonts w:ascii="Arial" w:hAnsi="Arial" w:cs="Arial"/>
              </w:rPr>
              <w:t>Monteuuis</w:t>
            </w:r>
            <w:proofErr w:type="spellEnd"/>
            <w:r w:rsidRPr="007979A7">
              <w:rPr>
                <w:rFonts w:ascii="Arial" w:hAnsi="Arial" w:cs="Arial"/>
              </w:rPr>
              <w:t xml:space="preserve"> (2016)</w:t>
            </w:r>
          </w:p>
        </w:tc>
      </w:tr>
    </w:tbl>
    <w:p w14:paraId="4A01C87C" w14:textId="77777777" w:rsidR="00F622D8" w:rsidRPr="007979A7" w:rsidRDefault="00F622D8" w:rsidP="00F622D8">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rPr>
        <w:t>Vegetative propagation through stem cuttings showed moderate improvement over seed propagation, with MAI increasing to 6–12 m³ ha</w:t>
      </w:r>
      <w:r w:rsidRPr="007979A7">
        <w:rPr>
          <w:rFonts w:ascii="Cambria Math" w:hAnsi="Cambria Math" w:cs="Cambria Math"/>
          <w:sz w:val="20"/>
          <w:szCs w:val="20"/>
        </w:rPr>
        <w:t>⁻</w:t>
      </w:r>
      <w:r w:rsidRPr="007979A7">
        <w:rPr>
          <w:rFonts w:ascii="Arial" w:hAnsi="Arial" w:cs="Arial"/>
          <w:sz w:val="20"/>
          <w:szCs w:val="20"/>
        </w:rPr>
        <w:t>¹ yr</w:t>
      </w:r>
      <w:r w:rsidRPr="007979A7">
        <w:rPr>
          <w:rFonts w:ascii="Cambria Math" w:hAnsi="Cambria Math" w:cs="Cambria Math"/>
          <w:sz w:val="20"/>
          <w:szCs w:val="20"/>
        </w:rPr>
        <w:t>⁻</w:t>
      </w:r>
      <w:r w:rsidRPr="007979A7">
        <w:rPr>
          <w:rFonts w:ascii="Arial" w:hAnsi="Arial" w:cs="Arial"/>
          <w:sz w:val="20"/>
          <w:szCs w:val="20"/>
        </w:rPr>
        <w:t>¹ and productivity gains of 20–40%. Stand uniformity also improved, with CV values declining to 20–35%, indicating better genetic consistency among propagated plants. This method enables partial capture of elite genetic traits and has been recognized as a practical improvement over conventional seed systems, especially in regions where advanced clonal infrastructure is unavailable. However, variability among rooting success and clone responsiveness still limits complete uniformity, as observed by Husen and Pal (2006), who reported genotype-dependent differences in rooting efficiency in teak cuttings.</w:t>
      </w:r>
    </w:p>
    <w:p w14:paraId="41751C35" w14:textId="77777777" w:rsidR="00F622D8" w:rsidRPr="007979A7" w:rsidRDefault="00F622D8" w:rsidP="00F622D8">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rPr>
        <w:t>Clonal forestry based on mini-cuttings demonstrated substantial gains in plantation performance, with MAI ranging from 10–18 m³ ha</w:t>
      </w:r>
      <w:r w:rsidRPr="007979A7">
        <w:rPr>
          <w:rFonts w:ascii="Cambria Math" w:hAnsi="Cambria Math" w:cs="Cambria Math"/>
          <w:sz w:val="20"/>
          <w:szCs w:val="20"/>
        </w:rPr>
        <w:t>⁻</w:t>
      </w:r>
      <w:r w:rsidRPr="007979A7">
        <w:rPr>
          <w:rFonts w:ascii="Arial" w:hAnsi="Arial" w:cs="Arial"/>
          <w:sz w:val="20"/>
          <w:szCs w:val="20"/>
        </w:rPr>
        <w:t>¹ yr</w:t>
      </w:r>
      <w:r w:rsidRPr="007979A7">
        <w:rPr>
          <w:rFonts w:ascii="Cambria Math" w:hAnsi="Cambria Math" w:cs="Cambria Math"/>
          <w:sz w:val="20"/>
          <w:szCs w:val="20"/>
        </w:rPr>
        <w:t>⁻</w:t>
      </w:r>
      <w:r w:rsidRPr="007979A7">
        <w:rPr>
          <w:rFonts w:ascii="Arial" w:hAnsi="Arial" w:cs="Arial"/>
          <w:sz w:val="20"/>
          <w:szCs w:val="20"/>
        </w:rPr>
        <w:t>¹ and productivity increases of 40–100% over seed propagation (Fig 2). The reduction in CV to 10–20% indicates a much more uniform plantation structure, which directly contributes to predictable stand growth and standardized wood properties. The higher productivity in clonal plantations is primarily attributable to the multiplication of genetically superior, tested clones selected for rapid growth, stem form, and wood quality. Midgley et al. (2015) emphasized that clonal teak forestry has transformed plantation productivity in tropical regions by enabling precision matching of genotype to site conditions.</w:t>
      </w:r>
    </w:p>
    <w:tbl>
      <w:tblPr>
        <w:tblW w:w="0" w:type="auto"/>
        <w:jc w:val="center"/>
        <w:tblLook w:val="04A0" w:firstRow="1" w:lastRow="0" w:firstColumn="1" w:lastColumn="0" w:noHBand="0" w:noVBand="1"/>
      </w:tblPr>
      <w:tblGrid>
        <w:gridCol w:w="8188"/>
      </w:tblGrid>
      <w:tr w:rsidR="00F622D8" w:rsidRPr="007979A7" w14:paraId="029B446F" w14:textId="77777777" w:rsidTr="001E4206">
        <w:trPr>
          <w:jc w:val="center"/>
        </w:trPr>
        <w:tc>
          <w:tcPr>
            <w:tcW w:w="8188" w:type="dxa"/>
          </w:tcPr>
          <w:p w14:paraId="44C7EAF4" w14:textId="77777777" w:rsidR="00F622D8" w:rsidRPr="007979A7" w:rsidRDefault="00F622D8" w:rsidP="001E4206">
            <w:pPr>
              <w:pStyle w:val="NormalWeb"/>
              <w:spacing w:before="120" w:beforeAutospacing="0" w:after="0" w:afterAutospacing="0"/>
              <w:jc w:val="both"/>
              <w:rPr>
                <w:rFonts w:ascii="Arial" w:hAnsi="Arial" w:cs="Arial"/>
                <w:noProof/>
                <w:sz w:val="20"/>
                <w:szCs w:val="20"/>
              </w:rPr>
            </w:pPr>
            <w:r w:rsidRPr="007979A7">
              <w:rPr>
                <w:rFonts w:ascii="Arial" w:hAnsi="Arial" w:cs="Arial"/>
                <w:noProof/>
                <w:sz w:val="20"/>
                <w:szCs w:val="20"/>
              </w:rPr>
              <w:drawing>
                <wp:inline distT="0" distB="0" distL="0" distR="0" wp14:anchorId="4BEFD190" wp14:editId="4A476557">
                  <wp:extent cx="4800600" cy="2724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r="-266" b="4529"/>
                          <a:stretch>
                            <a:fillRect/>
                          </a:stretch>
                        </pic:blipFill>
                        <pic:spPr bwMode="auto">
                          <a:xfrm>
                            <a:off x="0" y="0"/>
                            <a:ext cx="4800600" cy="2724150"/>
                          </a:xfrm>
                          <a:prstGeom prst="rect">
                            <a:avLst/>
                          </a:prstGeom>
                          <a:noFill/>
                          <a:ln>
                            <a:noFill/>
                          </a:ln>
                        </pic:spPr>
                      </pic:pic>
                    </a:graphicData>
                  </a:graphic>
                </wp:inline>
              </w:drawing>
            </w:r>
          </w:p>
          <w:p w14:paraId="448D7A57" w14:textId="77777777" w:rsidR="00F622D8" w:rsidRPr="007979A7" w:rsidRDefault="00F622D8" w:rsidP="001E4206">
            <w:pPr>
              <w:pStyle w:val="NormalWeb"/>
              <w:spacing w:before="0" w:beforeAutospacing="0" w:after="0" w:afterAutospacing="0"/>
              <w:jc w:val="center"/>
              <w:rPr>
                <w:rFonts w:ascii="Arial" w:hAnsi="Arial" w:cs="Arial"/>
                <w:sz w:val="20"/>
                <w:szCs w:val="20"/>
              </w:rPr>
            </w:pPr>
            <w:r w:rsidRPr="007979A7">
              <w:rPr>
                <w:rFonts w:ascii="Arial" w:hAnsi="Arial" w:cs="Arial"/>
                <w:noProof/>
                <w:sz w:val="20"/>
                <w:szCs w:val="20"/>
              </w:rPr>
              <w:t>Fig 1. Pictorial depiction of comparative productivity of propagation methods of Teak</w:t>
            </w:r>
          </w:p>
        </w:tc>
      </w:tr>
    </w:tbl>
    <w:p w14:paraId="199D0E39" w14:textId="77777777" w:rsidR="00F622D8" w:rsidRPr="007979A7" w:rsidRDefault="00F622D8" w:rsidP="00F622D8">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rPr>
        <w:t>Micropropagation and integrated propagation systems recorded the highest productivity among all methods, with MAI values of 14–22 m³ ha</w:t>
      </w:r>
      <w:r w:rsidRPr="007979A7">
        <w:rPr>
          <w:rFonts w:ascii="Cambria Math" w:hAnsi="Cambria Math" w:cs="Cambria Math"/>
          <w:sz w:val="20"/>
          <w:szCs w:val="20"/>
        </w:rPr>
        <w:t>⁻</w:t>
      </w:r>
      <w:r w:rsidRPr="007979A7">
        <w:rPr>
          <w:rFonts w:ascii="Arial" w:hAnsi="Arial" w:cs="Arial"/>
          <w:sz w:val="20"/>
          <w:szCs w:val="20"/>
        </w:rPr>
        <w:t>¹ yr</w:t>
      </w:r>
      <w:r w:rsidRPr="007979A7">
        <w:rPr>
          <w:rFonts w:ascii="Cambria Math" w:hAnsi="Cambria Math" w:cs="Cambria Math"/>
          <w:sz w:val="20"/>
          <w:szCs w:val="20"/>
        </w:rPr>
        <w:t>⁻</w:t>
      </w:r>
      <w:r w:rsidRPr="007979A7">
        <w:rPr>
          <w:rFonts w:ascii="Arial" w:hAnsi="Arial" w:cs="Arial"/>
          <w:sz w:val="20"/>
          <w:szCs w:val="20"/>
        </w:rPr>
        <w:t xml:space="preserve">¹ and productivity gains reaching 80–150% above seed-derived plantations. These systems also achieved the greatest stand </w:t>
      </w:r>
      <w:r w:rsidRPr="007979A7">
        <w:rPr>
          <w:rFonts w:ascii="Arial" w:hAnsi="Arial" w:cs="Arial"/>
          <w:sz w:val="20"/>
          <w:szCs w:val="20"/>
        </w:rPr>
        <w:lastRenderedPageBreak/>
        <w:t xml:space="preserve">uniformity, with CV reduced to only 5–15%, reflecting near-genetic homogeneity and precise multiplication of elite genotypes. Wood quality under these systems was rated very high, owing to strict clonal fidelity and superior genotype selection. Goh and </w:t>
      </w:r>
      <w:proofErr w:type="spellStart"/>
      <w:r w:rsidRPr="007979A7">
        <w:rPr>
          <w:rFonts w:ascii="Arial" w:hAnsi="Arial" w:cs="Arial"/>
          <w:sz w:val="20"/>
          <w:szCs w:val="20"/>
        </w:rPr>
        <w:t>Monteuuis</w:t>
      </w:r>
      <w:proofErr w:type="spellEnd"/>
      <w:r w:rsidRPr="007979A7">
        <w:rPr>
          <w:rFonts w:ascii="Arial" w:hAnsi="Arial" w:cs="Arial"/>
          <w:sz w:val="20"/>
          <w:szCs w:val="20"/>
        </w:rPr>
        <w:t xml:space="preserve"> (2016) highlighted that micropropagation offers a powerful platform for mass multiplication of elite teak clones while preserving genetic integrity, making it central to future high-value plantation forestry. Nevertheless, the requirement for sophisticated laboratory facilities, skilled manpower, and higher establishment costs may limit widespread adoption in developing forestry sectors.</w:t>
      </w:r>
    </w:p>
    <w:p w14:paraId="39376784" w14:textId="77777777" w:rsidR="00F622D8" w:rsidRPr="007979A7" w:rsidRDefault="00F622D8" w:rsidP="00F622D8">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rPr>
        <w:t>The advances in Teak propagation methods from seed to biotechnological methods are pictorially summarised in Fig 2.  The evolutionary trend of propagation is consistently improving the</w:t>
      </w:r>
    </w:p>
    <w:tbl>
      <w:tblPr>
        <w:tblW w:w="0" w:type="auto"/>
        <w:tblLook w:val="04A0" w:firstRow="1" w:lastRow="0" w:firstColumn="1" w:lastColumn="0" w:noHBand="0" w:noVBand="1"/>
      </w:tblPr>
      <w:tblGrid>
        <w:gridCol w:w="7986"/>
      </w:tblGrid>
      <w:tr w:rsidR="00F622D8" w:rsidRPr="007979A7" w14:paraId="561D6944" w14:textId="77777777" w:rsidTr="00F622D8">
        <w:tc>
          <w:tcPr>
            <w:tcW w:w="7981" w:type="dxa"/>
          </w:tcPr>
          <w:p w14:paraId="1D8B1663" w14:textId="77777777" w:rsidR="00F622D8" w:rsidRPr="007979A7" w:rsidRDefault="00F622D8" w:rsidP="00F622D8">
            <w:pPr>
              <w:spacing w:before="120" w:line="276" w:lineRule="auto"/>
              <w:jc w:val="both"/>
              <w:rPr>
                <w:rFonts w:ascii="Arial" w:hAnsi="Arial" w:cs="Arial"/>
                <w:noProof/>
                <w:lang w:val="en-IN" w:eastAsia="en-IN"/>
              </w:rPr>
            </w:pPr>
            <w:r w:rsidRPr="007979A7">
              <w:rPr>
                <w:rFonts w:ascii="Arial" w:hAnsi="Arial" w:cs="Arial"/>
                <w:b/>
                <w:noProof/>
                <w:lang w:val="en-IN" w:eastAsia="en-IN"/>
              </w:rPr>
              <w:drawing>
                <wp:inline distT="0" distB="0" distL="0" distR="0" wp14:anchorId="7797F809" wp14:editId="1C13712D">
                  <wp:extent cx="4933950" cy="2809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925" r="-534" b="8897"/>
                          <a:stretch>
                            <a:fillRect/>
                          </a:stretch>
                        </pic:blipFill>
                        <pic:spPr bwMode="auto">
                          <a:xfrm>
                            <a:off x="0" y="0"/>
                            <a:ext cx="4933950" cy="2809875"/>
                          </a:xfrm>
                          <a:prstGeom prst="rect">
                            <a:avLst/>
                          </a:prstGeom>
                          <a:noFill/>
                          <a:ln>
                            <a:noFill/>
                          </a:ln>
                        </pic:spPr>
                      </pic:pic>
                    </a:graphicData>
                  </a:graphic>
                </wp:inline>
              </w:drawing>
            </w:r>
          </w:p>
          <w:p w14:paraId="7BE688DC" w14:textId="77777777" w:rsidR="00F622D8" w:rsidRPr="007979A7" w:rsidRDefault="00F622D8" w:rsidP="001E4206">
            <w:pPr>
              <w:spacing w:line="276" w:lineRule="auto"/>
              <w:jc w:val="center"/>
              <w:rPr>
                <w:rFonts w:ascii="Arial" w:hAnsi="Arial" w:cs="Arial"/>
                <w:lang w:val="en-IN" w:eastAsia="en-IN"/>
              </w:rPr>
            </w:pPr>
            <w:r w:rsidRPr="007979A7">
              <w:rPr>
                <w:rFonts w:ascii="Arial" w:hAnsi="Arial" w:cs="Arial"/>
                <w:noProof/>
                <w:lang w:val="en-IN" w:eastAsia="en-IN"/>
              </w:rPr>
              <w:t>Fig 2. Evolution of Teak propagation technologies</w:t>
            </w:r>
          </w:p>
        </w:tc>
      </w:tr>
    </w:tbl>
    <w:p w14:paraId="415C2D98" w14:textId="77777777" w:rsidR="00F622D8" w:rsidRPr="007979A7" w:rsidRDefault="00F622D8" w:rsidP="00F622D8">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rPr>
        <w:t>quantitative, qualitative and environment aspects of plantation forestry of Teak.</w:t>
      </w:r>
    </w:p>
    <w:p w14:paraId="084DFC89" w14:textId="77777777" w:rsidR="00F622D8" w:rsidRPr="007979A7" w:rsidRDefault="00F622D8" w:rsidP="00F622D8">
      <w:pPr>
        <w:spacing w:before="120" w:line="276" w:lineRule="auto"/>
        <w:jc w:val="both"/>
        <w:outlineLvl w:val="1"/>
        <w:rPr>
          <w:rFonts w:ascii="Arial" w:hAnsi="Arial" w:cs="Arial"/>
          <w:b/>
          <w:bCs/>
          <w:sz w:val="22"/>
          <w:szCs w:val="22"/>
          <w:lang w:val="en-IN" w:eastAsia="en-IN"/>
        </w:rPr>
      </w:pPr>
      <w:r w:rsidRPr="007979A7">
        <w:rPr>
          <w:rFonts w:ascii="Arial" w:hAnsi="Arial" w:cs="Arial"/>
          <w:b/>
          <w:bCs/>
          <w:sz w:val="22"/>
          <w:szCs w:val="22"/>
          <w:lang w:val="en-IN" w:eastAsia="en-IN"/>
        </w:rPr>
        <w:t xml:space="preserve">3.2 </w:t>
      </w:r>
      <w:r w:rsidRPr="007979A7">
        <w:rPr>
          <w:rFonts w:ascii="Arial" w:hAnsi="Arial" w:cs="Arial"/>
          <w:b/>
          <w:bCs/>
          <w:sz w:val="22"/>
          <w:szCs w:val="22"/>
          <w:lang w:val="en-IN" w:eastAsia="en-IN"/>
        </w:rPr>
        <w:tab/>
        <w:t>Global Trends in Advances in Propagation of Teak</w:t>
      </w:r>
    </w:p>
    <w:p w14:paraId="32DDBEDB"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The global propagation landscape of </w:t>
      </w:r>
      <w:r w:rsidRPr="007979A7">
        <w:rPr>
          <w:rFonts w:ascii="Arial" w:hAnsi="Arial" w:cs="Arial"/>
          <w:i/>
          <w:iCs/>
          <w:lang w:val="en-IN" w:eastAsia="en-IN"/>
        </w:rPr>
        <w:t>Tectona grandis</w:t>
      </w:r>
      <w:r w:rsidRPr="007979A7">
        <w:rPr>
          <w:rFonts w:ascii="Arial" w:hAnsi="Arial" w:cs="Arial"/>
          <w:lang w:val="en-IN" w:eastAsia="en-IN"/>
        </w:rPr>
        <w:t xml:space="preserve"> has undergone a marked transition over the past three decades, shifting from </w:t>
      </w:r>
      <w:r w:rsidRPr="007979A7">
        <w:rPr>
          <w:rFonts w:ascii="Arial" w:hAnsi="Arial" w:cs="Arial"/>
          <w:bCs/>
          <w:lang w:val="en-IN" w:eastAsia="en-IN"/>
        </w:rPr>
        <w:t>conventional seed-based systems to technologically advanced, clonal and biotechnological approaches</w:t>
      </w:r>
      <w:r w:rsidRPr="007979A7">
        <w:rPr>
          <w:rFonts w:ascii="Arial" w:hAnsi="Arial" w:cs="Arial"/>
          <w:lang w:val="en-IN" w:eastAsia="en-IN"/>
        </w:rPr>
        <w:t>. This transformation has been driven by the increasing demand for high-quality timber, the need for uniform plantations, and the imperative to enhance productivity under changing climatic conditions (</w:t>
      </w:r>
      <w:proofErr w:type="spellStart"/>
      <w:r w:rsidRPr="007979A7">
        <w:rPr>
          <w:rFonts w:ascii="Arial" w:hAnsi="Arial" w:cs="Arial"/>
          <w:lang w:val="en-IN" w:eastAsia="en-IN"/>
        </w:rPr>
        <w:t>Kollert</w:t>
      </w:r>
      <w:proofErr w:type="spellEnd"/>
      <w:r w:rsidRPr="007979A7">
        <w:rPr>
          <w:rFonts w:ascii="Arial" w:hAnsi="Arial" w:cs="Arial"/>
          <w:lang w:val="en-IN" w:eastAsia="en-IN"/>
        </w:rPr>
        <w:t xml:space="preserve"> and </w:t>
      </w:r>
      <w:proofErr w:type="spellStart"/>
      <w:r w:rsidRPr="007979A7">
        <w:rPr>
          <w:rFonts w:ascii="Arial" w:hAnsi="Arial" w:cs="Arial"/>
          <w:lang w:val="en-IN" w:eastAsia="en-IN"/>
        </w:rPr>
        <w:t>Kleine</w:t>
      </w:r>
      <w:proofErr w:type="spellEnd"/>
      <w:r w:rsidRPr="007979A7">
        <w:rPr>
          <w:rFonts w:ascii="Arial" w:hAnsi="Arial" w:cs="Arial"/>
          <w:lang w:val="en-IN" w:eastAsia="en-IN"/>
        </w:rPr>
        <w:t xml:space="preserve">, 2017; Midgley et al., 2015; FAO, 2022 and Fig 3). </w:t>
      </w:r>
    </w:p>
    <w:tbl>
      <w:tblPr>
        <w:tblW w:w="0" w:type="auto"/>
        <w:tblLook w:val="04A0" w:firstRow="1" w:lastRow="0" w:firstColumn="1" w:lastColumn="0" w:noHBand="0" w:noVBand="1"/>
      </w:tblPr>
      <w:tblGrid>
        <w:gridCol w:w="8301"/>
      </w:tblGrid>
      <w:tr w:rsidR="00F622D8" w:rsidRPr="007979A7" w14:paraId="53B54132" w14:textId="77777777" w:rsidTr="00F622D8">
        <w:tc>
          <w:tcPr>
            <w:tcW w:w="7938" w:type="dxa"/>
          </w:tcPr>
          <w:p w14:paraId="7FEF9C0A" w14:textId="77777777" w:rsidR="00F622D8" w:rsidRPr="007979A7" w:rsidRDefault="00F622D8" w:rsidP="001E4206">
            <w:pPr>
              <w:spacing w:before="120" w:line="276" w:lineRule="auto"/>
              <w:jc w:val="both"/>
              <w:rPr>
                <w:rFonts w:ascii="Arial" w:hAnsi="Arial" w:cs="Arial"/>
                <w:b/>
                <w:noProof/>
                <w:lang w:val="en-IN" w:eastAsia="en-IN"/>
              </w:rPr>
            </w:pPr>
            <w:r w:rsidRPr="007979A7">
              <w:rPr>
                <w:rFonts w:ascii="Arial" w:hAnsi="Arial" w:cs="Arial"/>
                <w:b/>
                <w:noProof/>
                <w:lang w:val="en-IN" w:eastAsia="en-IN"/>
              </w:rPr>
              <w:lastRenderedPageBreak/>
              <w:drawing>
                <wp:inline distT="0" distB="0" distL="0" distR="0" wp14:anchorId="3007A741" wp14:editId="30A82AA0">
                  <wp:extent cx="5133975" cy="3419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33975" cy="3419475"/>
                          </a:xfrm>
                          <a:prstGeom prst="rect">
                            <a:avLst/>
                          </a:prstGeom>
                          <a:noFill/>
                          <a:ln>
                            <a:noFill/>
                          </a:ln>
                        </pic:spPr>
                      </pic:pic>
                    </a:graphicData>
                  </a:graphic>
                </wp:inline>
              </w:drawing>
            </w:r>
          </w:p>
          <w:p w14:paraId="26422C96" w14:textId="77777777" w:rsidR="00F622D8" w:rsidRPr="007979A7" w:rsidRDefault="00F622D8" w:rsidP="001E4206">
            <w:pPr>
              <w:spacing w:line="276" w:lineRule="auto"/>
              <w:jc w:val="center"/>
              <w:rPr>
                <w:rFonts w:ascii="Arial" w:hAnsi="Arial" w:cs="Arial"/>
                <w:lang w:val="en-IN" w:eastAsia="en-IN"/>
              </w:rPr>
            </w:pPr>
            <w:r w:rsidRPr="007979A7">
              <w:rPr>
                <w:rFonts w:ascii="Arial" w:hAnsi="Arial" w:cs="Arial"/>
                <w:noProof/>
                <w:lang w:val="en-IN" w:eastAsia="en-IN"/>
              </w:rPr>
              <w:t>Fig 3. Factors driving Teak propagation, improvement, and precision forestry innovations</w:t>
            </w:r>
          </w:p>
        </w:tc>
      </w:tr>
    </w:tbl>
    <w:p w14:paraId="6B92F8AC" w14:textId="77777777" w:rsidR="00F622D8" w:rsidRPr="007979A7" w:rsidRDefault="00F622D8" w:rsidP="00F622D8">
      <w:pPr>
        <w:spacing w:before="120" w:line="276" w:lineRule="auto"/>
        <w:jc w:val="both"/>
        <w:rPr>
          <w:rFonts w:ascii="Arial" w:hAnsi="Arial" w:cs="Arial"/>
          <w:b/>
          <w:bCs/>
          <w:lang w:val="en-IN" w:eastAsia="en-IN"/>
        </w:rPr>
      </w:pPr>
      <w:r w:rsidRPr="007979A7">
        <w:rPr>
          <w:rFonts w:ascii="Arial" w:hAnsi="Arial" w:cs="Arial"/>
          <w:b/>
          <w:bCs/>
          <w:lang w:val="en-IN" w:eastAsia="en-IN"/>
        </w:rPr>
        <w:t xml:space="preserve">3.2.1 </w:t>
      </w:r>
      <w:r w:rsidRPr="007979A7">
        <w:rPr>
          <w:rFonts w:ascii="Arial" w:hAnsi="Arial" w:cs="Arial"/>
          <w:b/>
          <w:bCs/>
          <w:lang w:val="en-IN" w:eastAsia="en-IN"/>
        </w:rPr>
        <w:tab/>
        <w:t>Transition from Seed-Based to Clonal Systems</w:t>
      </w:r>
    </w:p>
    <w:p w14:paraId="005AD2B4"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Historically, teak plantations relied predominantly on seed-based propagation due to its simplicity and low cost. However, widespread challenges such as poor germination, high genetic variability, and inconsistent growth performance have led to a gradual shift toward </w:t>
      </w:r>
      <w:r w:rsidRPr="007979A7">
        <w:rPr>
          <w:rFonts w:ascii="Arial" w:hAnsi="Arial" w:cs="Arial"/>
          <w:bCs/>
          <w:lang w:val="en-IN" w:eastAsia="en-IN"/>
        </w:rPr>
        <w:t>clonal forestry systems</w:t>
      </w:r>
      <w:r w:rsidRPr="007979A7">
        <w:rPr>
          <w:rFonts w:ascii="Arial" w:hAnsi="Arial" w:cs="Arial"/>
          <w:lang w:val="en-IN" w:eastAsia="en-IN"/>
        </w:rPr>
        <w:t xml:space="preserve"> (Kjaer and Foster, 1996; Goh and </w:t>
      </w:r>
      <w:proofErr w:type="spellStart"/>
      <w:r w:rsidRPr="007979A7">
        <w:rPr>
          <w:rFonts w:ascii="Arial" w:hAnsi="Arial" w:cs="Arial"/>
          <w:lang w:val="en-IN" w:eastAsia="en-IN"/>
        </w:rPr>
        <w:t>Monteuuis</w:t>
      </w:r>
      <w:proofErr w:type="spellEnd"/>
      <w:r w:rsidRPr="007979A7">
        <w:rPr>
          <w:rFonts w:ascii="Arial" w:hAnsi="Arial" w:cs="Arial"/>
          <w:lang w:val="en-IN" w:eastAsia="en-IN"/>
        </w:rPr>
        <w:t>, 2016).</w:t>
      </w:r>
    </w:p>
    <w:p w14:paraId="3751EC61"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Globally, clonal propagation particularly through mini-cutting and hedge-based systems has become the </w:t>
      </w:r>
      <w:r w:rsidRPr="007979A7">
        <w:rPr>
          <w:rFonts w:ascii="Arial" w:hAnsi="Arial" w:cs="Arial"/>
          <w:bCs/>
          <w:lang w:val="en-IN" w:eastAsia="en-IN"/>
        </w:rPr>
        <w:t>dominant method in industrial plantations</w:t>
      </w:r>
      <w:r w:rsidRPr="007979A7">
        <w:rPr>
          <w:rFonts w:ascii="Arial" w:hAnsi="Arial" w:cs="Arial"/>
          <w:lang w:val="en-IN" w:eastAsia="en-IN"/>
        </w:rPr>
        <w:t>, enabling the deployment of genetically superior planting material with improved uniformity and productivity (</w:t>
      </w:r>
      <w:proofErr w:type="spellStart"/>
      <w:r w:rsidRPr="007979A7">
        <w:rPr>
          <w:rFonts w:ascii="Arial" w:hAnsi="Arial" w:cs="Arial"/>
          <w:lang w:val="en-IN" w:eastAsia="en-IN"/>
        </w:rPr>
        <w:t>Monteuuis</w:t>
      </w:r>
      <w:proofErr w:type="spellEnd"/>
      <w:r w:rsidRPr="007979A7">
        <w:rPr>
          <w:rFonts w:ascii="Arial" w:hAnsi="Arial" w:cs="Arial"/>
          <w:lang w:val="en-IN" w:eastAsia="en-IN"/>
        </w:rPr>
        <w:t xml:space="preserve"> and Goh, 2014; Tiwari et al., 2002). This transition is most evident in Southeast Asia and Latin America, where large-scale commercial plantations have adopted clonal technologies to achieve higher returns and shorter rotation cycles (Midgley et al., 2015).</w:t>
      </w:r>
    </w:p>
    <w:p w14:paraId="5CE6066D"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t xml:space="preserve">3.2.2 </w:t>
      </w:r>
      <w:r w:rsidRPr="007979A7">
        <w:rPr>
          <w:rFonts w:ascii="Arial" w:hAnsi="Arial" w:cs="Arial"/>
          <w:b/>
          <w:bCs/>
          <w:lang w:val="en-IN" w:eastAsia="en-IN"/>
        </w:rPr>
        <w:tab/>
        <w:t>Regional Patterns in Propagation Practices</w:t>
      </w:r>
    </w:p>
    <w:p w14:paraId="7F916CDE" w14:textId="77777777" w:rsidR="00F622D8" w:rsidRPr="007979A7" w:rsidRDefault="00F622D8" w:rsidP="00F622D8">
      <w:pPr>
        <w:spacing w:before="120" w:line="276" w:lineRule="auto"/>
        <w:jc w:val="both"/>
        <w:outlineLvl w:val="3"/>
        <w:rPr>
          <w:rFonts w:ascii="Arial" w:hAnsi="Arial" w:cs="Arial"/>
          <w:b/>
          <w:bCs/>
          <w:lang w:val="en-IN" w:eastAsia="en-IN"/>
        </w:rPr>
      </w:pPr>
      <w:r w:rsidRPr="007979A7">
        <w:rPr>
          <w:rFonts w:ascii="Arial" w:hAnsi="Arial" w:cs="Arial"/>
          <w:b/>
          <w:bCs/>
          <w:lang w:val="en-IN" w:eastAsia="en-IN"/>
        </w:rPr>
        <w:t>(</w:t>
      </w:r>
      <w:proofErr w:type="spellStart"/>
      <w:r w:rsidRPr="007979A7">
        <w:rPr>
          <w:rFonts w:ascii="Arial" w:hAnsi="Arial" w:cs="Arial"/>
          <w:b/>
          <w:bCs/>
          <w:lang w:val="en-IN" w:eastAsia="en-IN"/>
        </w:rPr>
        <w:t>i</w:t>
      </w:r>
      <w:proofErr w:type="spellEnd"/>
      <w:r w:rsidRPr="007979A7">
        <w:rPr>
          <w:rFonts w:ascii="Arial" w:hAnsi="Arial" w:cs="Arial"/>
          <w:b/>
          <w:bCs/>
          <w:lang w:val="en-IN" w:eastAsia="en-IN"/>
        </w:rPr>
        <w:t>) Asia (India, Indonesia, Thailand)</w:t>
      </w:r>
    </w:p>
    <w:p w14:paraId="090A88B9"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Asia remains the traditional centre of teak cultivation and innovation in propagation techniques. Countries such as India and Indonesia have advanced </w:t>
      </w:r>
      <w:r w:rsidRPr="007979A7">
        <w:rPr>
          <w:rFonts w:ascii="Arial" w:hAnsi="Arial" w:cs="Arial"/>
          <w:bCs/>
          <w:lang w:val="en-IN" w:eastAsia="en-IN"/>
        </w:rPr>
        <w:t>clonal forestry programs</w:t>
      </w:r>
      <w:r w:rsidRPr="007979A7">
        <w:rPr>
          <w:rFonts w:ascii="Arial" w:hAnsi="Arial" w:cs="Arial"/>
          <w:lang w:val="en-IN" w:eastAsia="en-IN"/>
        </w:rPr>
        <w:t>, supported by research institutions and plantation industries (</w:t>
      </w:r>
      <w:proofErr w:type="spellStart"/>
      <w:r w:rsidRPr="007979A7">
        <w:rPr>
          <w:rFonts w:ascii="Arial" w:hAnsi="Arial" w:cs="Arial"/>
          <w:lang w:val="en-IN" w:eastAsia="en-IN"/>
        </w:rPr>
        <w:t>Kollert</w:t>
      </w:r>
      <w:proofErr w:type="spellEnd"/>
      <w:r w:rsidRPr="007979A7">
        <w:rPr>
          <w:rFonts w:ascii="Arial" w:hAnsi="Arial" w:cs="Arial"/>
          <w:lang w:val="en-IN" w:eastAsia="en-IN"/>
        </w:rPr>
        <w:t xml:space="preserve"> and </w:t>
      </w:r>
      <w:proofErr w:type="spellStart"/>
      <w:r w:rsidRPr="007979A7">
        <w:rPr>
          <w:rFonts w:ascii="Arial" w:hAnsi="Arial" w:cs="Arial"/>
          <w:lang w:val="en-IN" w:eastAsia="en-IN"/>
        </w:rPr>
        <w:t>Kleine</w:t>
      </w:r>
      <w:proofErr w:type="spellEnd"/>
      <w:r w:rsidRPr="007979A7">
        <w:rPr>
          <w:rFonts w:ascii="Arial" w:hAnsi="Arial" w:cs="Arial"/>
          <w:lang w:val="en-IN" w:eastAsia="en-IN"/>
        </w:rPr>
        <w:t>, 2017). In India, both public and private sectors are increasingly adopting mini-cutting techniques and improved nursery practices, while Indonesia has integrated clonal propagation into large-scale plantation systems. The regional scenario has been depicted in Fig 4.</w:t>
      </w:r>
    </w:p>
    <w:tbl>
      <w:tblPr>
        <w:tblW w:w="0" w:type="auto"/>
        <w:tblLayout w:type="fixed"/>
        <w:tblLook w:val="04A0" w:firstRow="1" w:lastRow="0" w:firstColumn="1" w:lastColumn="0" w:noHBand="0" w:noVBand="1"/>
      </w:tblPr>
      <w:tblGrid>
        <w:gridCol w:w="8041"/>
      </w:tblGrid>
      <w:tr w:rsidR="00F622D8" w:rsidRPr="007979A7" w14:paraId="7E06F54B" w14:textId="77777777" w:rsidTr="00F622D8">
        <w:tc>
          <w:tcPr>
            <w:tcW w:w="8041" w:type="dxa"/>
          </w:tcPr>
          <w:p w14:paraId="742BCF49" w14:textId="77777777" w:rsidR="00F622D8" w:rsidRPr="007979A7" w:rsidRDefault="00F622D8" w:rsidP="001E4206">
            <w:pPr>
              <w:spacing w:line="276" w:lineRule="auto"/>
              <w:jc w:val="center"/>
              <w:rPr>
                <w:rFonts w:ascii="Arial" w:hAnsi="Arial" w:cs="Arial"/>
                <w:b/>
                <w:bCs/>
                <w:lang w:val="en-IN" w:eastAsia="en-IN"/>
              </w:rPr>
            </w:pPr>
            <w:r w:rsidRPr="007979A7">
              <w:rPr>
                <w:rFonts w:ascii="Arial" w:hAnsi="Arial" w:cs="Arial"/>
                <w:b/>
                <w:noProof/>
                <w:lang w:val="en-IN" w:eastAsia="en-IN"/>
              </w:rPr>
              <w:lastRenderedPageBreak/>
              <w:drawing>
                <wp:inline distT="0" distB="0" distL="0" distR="0" wp14:anchorId="3E7816F0" wp14:editId="2014D4B9">
                  <wp:extent cx="4781550" cy="2924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81550" cy="2924175"/>
                          </a:xfrm>
                          <a:prstGeom prst="rect">
                            <a:avLst/>
                          </a:prstGeom>
                          <a:noFill/>
                          <a:ln>
                            <a:noFill/>
                          </a:ln>
                        </pic:spPr>
                      </pic:pic>
                    </a:graphicData>
                  </a:graphic>
                </wp:inline>
              </w:drawing>
            </w:r>
          </w:p>
          <w:p w14:paraId="4FBC188F" w14:textId="77777777" w:rsidR="00F622D8" w:rsidRPr="007979A7" w:rsidRDefault="00F622D8" w:rsidP="001E4206">
            <w:pPr>
              <w:spacing w:line="276" w:lineRule="auto"/>
              <w:jc w:val="center"/>
              <w:rPr>
                <w:rFonts w:ascii="Arial" w:hAnsi="Arial" w:cs="Arial"/>
                <w:lang w:val="en-IN" w:eastAsia="en-IN"/>
              </w:rPr>
            </w:pPr>
            <w:r w:rsidRPr="007979A7">
              <w:rPr>
                <w:rFonts w:ascii="Arial" w:hAnsi="Arial" w:cs="Arial"/>
                <w:bCs/>
                <w:lang w:val="en-IN" w:eastAsia="en-IN"/>
              </w:rPr>
              <w:t xml:space="preserve">Fig 4. Global Regional Adoption Map of Teak Propagation Systems </w:t>
            </w:r>
          </w:p>
        </w:tc>
      </w:tr>
    </w:tbl>
    <w:p w14:paraId="6BFD4C28" w14:textId="77777777" w:rsidR="00F622D8" w:rsidRPr="007979A7" w:rsidRDefault="00F622D8" w:rsidP="00F622D8">
      <w:pPr>
        <w:spacing w:before="120" w:line="276" w:lineRule="auto"/>
        <w:jc w:val="both"/>
        <w:outlineLvl w:val="3"/>
        <w:rPr>
          <w:rFonts w:ascii="Arial" w:hAnsi="Arial" w:cs="Arial"/>
          <w:b/>
          <w:bCs/>
          <w:lang w:val="en-IN" w:eastAsia="en-IN"/>
        </w:rPr>
      </w:pPr>
      <w:r w:rsidRPr="007979A7">
        <w:rPr>
          <w:rFonts w:ascii="Arial" w:hAnsi="Arial" w:cs="Arial"/>
          <w:b/>
          <w:bCs/>
          <w:lang w:val="en-IN" w:eastAsia="en-IN"/>
        </w:rPr>
        <w:t>(ii)  Latin America (Brazil, Costa Rica, Panama)</w:t>
      </w:r>
    </w:p>
    <w:p w14:paraId="6F5F9BEE"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Latin America has emerged as a </w:t>
      </w:r>
      <w:r w:rsidRPr="007979A7">
        <w:rPr>
          <w:rFonts w:ascii="Arial" w:hAnsi="Arial" w:cs="Arial"/>
          <w:bCs/>
          <w:lang w:val="en-IN" w:eastAsia="en-IN"/>
        </w:rPr>
        <w:t>global leader in high-productivity teak plantations</w:t>
      </w:r>
      <w:r w:rsidRPr="007979A7">
        <w:rPr>
          <w:rFonts w:ascii="Arial" w:hAnsi="Arial" w:cs="Arial"/>
          <w:lang w:val="en-IN" w:eastAsia="en-IN"/>
        </w:rPr>
        <w:t>, largely due to the adoption of clonal propagation and improved management practices. Brazil, in particular, has demonstrated significant gains in mean annual increment (MAI) through the use of elite clones and optimized silviculture. The region’s success highlights the importance of integrating propagation technologies with site-specific management.</w:t>
      </w:r>
    </w:p>
    <w:p w14:paraId="41EDEDFA" w14:textId="77777777" w:rsidR="00F622D8" w:rsidRPr="007979A7" w:rsidRDefault="00F622D8" w:rsidP="00F622D8">
      <w:pPr>
        <w:spacing w:before="120" w:line="276" w:lineRule="auto"/>
        <w:jc w:val="both"/>
        <w:outlineLvl w:val="3"/>
        <w:rPr>
          <w:rFonts w:ascii="Arial" w:hAnsi="Arial" w:cs="Arial"/>
          <w:b/>
          <w:bCs/>
          <w:lang w:val="en-IN" w:eastAsia="en-IN"/>
        </w:rPr>
      </w:pPr>
      <w:r w:rsidRPr="007979A7">
        <w:rPr>
          <w:rFonts w:ascii="Arial" w:hAnsi="Arial" w:cs="Arial"/>
          <w:b/>
          <w:bCs/>
          <w:lang w:val="en-IN" w:eastAsia="en-IN"/>
        </w:rPr>
        <w:t>(iii) Africa (Ghana, Nigeria, Tanzania)</w:t>
      </w:r>
    </w:p>
    <w:p w14:paraId="5FCF54AE" w14:textId="77777777" w:rsidR="00F622D8" w:rsidRPr="007979A7" w:rsidRDefault="00F622D8" w:rsidP="00F622D8">
      <w:pPr>
        <w:spacing w:before="120" w:line="276" w:lineRule="auto"/>
        <w:ind w:firstLine="720"/>
        <w:jc w:val="both"/>
        <w:rPr>
          <w:rFonts w:ascii="Arial" w:hAnsi="Arial" w:cs="Arial"/>
          <w:lang w:val="en-IN" w:eastAsia="en-IN"/>
        </w:rPr>
      </w:pPr>
      <w:r w:rsidRPr="007979A7">
        <w:rPr>
          <w:rFonts w:ascii="Arial" w:hAnsi="Arial" w:cs="Arial"/>
          <w:lang w:val="en-IN" w:eastAsia="en-IN"/>
        </w:rPr>
        <w:t xml:space="preserve">In Africa, teak propagation remains largely </w:t>
      </w:r>
      <w:r w:rsidRPr="007979A7">
        <w:rPr>
          <w:rFonts w:ascii="Arial" w:hAnsi="Arial" w:cs="Arial"/>
          <w:bCs/>
          <w:lang w:val="en-IN" w:eastAsia="en-IN"/>
        </w:rPr>
        <w:t>seed-based</w:t>
      </w:r>
      <w:r w:rsidRPr="007979A7">
        <w:rPr>
          <w:rFonts w:ascii="Arial" w:hAnsi="Arial" w:cs="Arial"/>
          <w:lang w:val="en-IN" w:eastAsia="en-IN"/>
        </w:rPr>
        <w:t>, especially in smallholder and low-input systems. However, there is a growing interest in clonal forestry and improved nursery techniques, supported by international development programs (</w:t>
      </w:r>
      <w:proofErr w:type="spellStart"/>
      <w:r w:rsidRPr="007979A7">
        <w:rPr>
          <w:rFonts w:ascii="Arial" w:hAnsi="Arial" w:cs="Arial"/>
          <w:lang w:val="en-IN" w:eastAsia="en-IN"/>
        </w:rPr>
        <w:t>Kollert</w:t>
      </w:r>
      <w:proofErr w:type="spellEnd"/>
      <w:r w:rsidRPr="007979A7">
        <w:rPr>
          <w:rFonts w:ascii="Arial" w:hAnsi="Arial" w:cs="Arial"/>
          <w:lang w:val="en-IN" w:eastAsia="en-IN"/>
        </w:rPr>
        <w:t xml:space="preserve"> and </w:t>
      </w:r>
      <w:proofErr w:type="spellStart"/>
      <w:r w:rsidRPr="007979A7">
        <w:rPr>
          <w:rFonts w:ascii="Arial" w:hAnsi="Arial" w:cs="Arial"/>
          <w:lang w:val="en-IN" w:eastAsia="en-IN"/>
        </w:rPr>
        <w:t>Kleine</w:t>
      </w:r>
      <w:proofErr w:type="spellEnd"/>
      <w:r w:rsidRPr="007979A7">
        <w:rPr>
          <w:rFonts w:ascii="Arial" w:hAnsi="Arial" w:cs="Arial"/>
          <w:lang w:val="en-IN" w:eastAsia="en-IN"/>
        </w:rPr>
        <w:t>, 2017). Limited infrastructure and technical capacity currently constrain widespread adoption of advanced propagation methods.</w:t>
      </w:r>
    </w:p>
    <w:p w14:paraId="2FF06E47"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t xml:space="preserve">3.2.3 </w:t>
      </w:r>
      <w:r w:rsidRPr="007979A7">
        <w:rPr>
          <w:rFonts w:ascii="Arial" w:hAnsi="Arial" w:cs="Arial"/>
          <w:b/>
          <w:bCs/>
          <w:lang w:val="en-IN" w:eastAsia="en-IN"/>
        </w:rPr>
        <w:tab/>
        <w:t>Emergence of Biotechnological Approaches</w:t>
      </w:r>
    </w:p>
    <w:p w14:paraId="35C3762E"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In recent years, </w:t>
      </w:r>
      <w:r w:rsidRPr="007979A7">
        <w:rPr>
          <w:rFonts w:ascii="Arial" w:hAnsi="Arial" w:cs="Arial"/>
          <w:bCs/>
          <w:lang w:val="en-IN" w:eastAsia="en-IN"/>
        </w:rPr>
        <w:t>micropropagation and tissue culture technologies</w:t>
      </w:r>
      <w:r w:rsidRPr="007979A7">
        <w:rPr>
          <w:rFonts w:ascii="Arial" w:hAnsi="Arial" w:cs="Arial"/>
          <w:lang w:val="en-IN" w:eastAsia="en-IN"/>
        </w:rPr>
        <w:t xml:space="preserve"> have gained prominence as tools for mass multiplication of elite genotypes. Advances in in vitro propagation, including temporary immersion systems and ex vitro rooting, have improved multiplication efficiency and plantlet survival (Akram and Aftab, 2009).</w:t>
      </w:r>
    </w:p>
    <w:p w14:paraId="26999B21"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More recently, </w:t>
      </w:r>
      <w:r w:rsidRPr="007979A7">
        <w:rPr>
          <w:rFonts w:ascii="Arial" w:hAnsi="Arial" w:cs="Arial"/>
          <w:bCs/>
          <w:lang w:val="en-IN" w:eastAsia="en-IN"/>
        </w:rPr>
        <w:t>somatic embryogenesis and molecular biology approaches</w:t>
      </w:r>
      <w:r w:rsidRPr="007979A7">
        <w:rPr>
          <w:rFonts w:ascii="Arial" w:hAnsi="Arial" w:cs="Arial"/>
          <w:lang w:val="en-IN" w:eastAsia="en-IN"/>
        </w:rPr>
        <w:t xml:space="preserve"> have provided new insights into regeneration processes, enabling more precise control over propagation (Deo et al., 2010; Zhou et al., 2024). Although still at an experimental or semi-commercial stage, these technologies represent the next frontier in teak propagation, particularly for integrating genetic improvement with large-scale deployment.</w:t>
      </w:r>
    </w:p>
    <w:p w14:paraId="6DE10159"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t xml:space="preserve">3.2.4 </w:t>
      </w:r>
      <w:r w:rsidRPr="007979A7">
        <w:rPr>
          <w:rFonts w:ascii="Arial" w:hAnsi="Arial" w:cs="Arial"/>
          <w:b/>
          <w:bCs/>
          <w:lang w:val="en-IN" w:eastAsia="en-IN"/>
        </w:rPr>
        <w:tab/>
        <w:t>Integration of Nursery Innovations and Biological Inputs</w:t>
      </w:r>
    </w:p>
    <w:p w14:paraId="6BFDB4A8"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lastRenderedPageBreak/>
        <w:t xml:space="preserve">A notable global trend is the integration of </w:t>
      </w:r>
      <w:r w:rsidRPr="007979A7">
        <w:rPr>
          <w:rFonts w:ascii="Arial" w:hAnsi="Arial" w:cs="Arial"/>
          <w:bCs/>
          <w:lang w:val="en-IN" w:eastAsia="en-IN"/>
        </w:rPr>
        <w:t>bio-inoculants such as plant growth-promoting rhizobacteria (PGPR) and arbuscular mycorrhizal fungi (AMF)</w:t>
      </w:r>
      <w:r w:rsidRPr="007979A7">
        <w:rPr>
          <w:rFonts w:ascii="Arial" w:hAnsi="Arial" w:cs="Arial"/>
          <w:lang w:val="en-IN" w:eastAsia="en-IN"/>
        </w:rPr>
        <w:t xml:space="preserve"> into nursery practices. These biological inputs have been shown to enhance seedling vigour, nutrient uptake, and field establishment, particularly under stress conditions.</w:t>
      </w:r>
    </w:p>
    <w:p w14:paraId="7F087EA6"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This trend reflects a broader movement toward </w:t>
      </w:r>
      <w:r w:rsidRPr="007979A7">
        <w:rPr>
          <w:rFonts w:ascii="Arial" w:hAnsi="Arial" w:cs="Arial"/>
          <w:bCs/>
          <w:lang w:val="en-IN" w:eastAsia="en-IN"/>
        </w:rPr>
        <w:t>sustainable and eco-friendly propagation systems</w:t>
      </w:r>
      <w:r w:rsidRPr="007979A7">
        <w:rPr>
          <w:rFonts w:ascii="Arial" w:hAnsi="Arial" w:cs="Arial"/>
          <w:lang w:val="en-IN" w:eastAsia="en-IN"/>
        </w:rPr>
        <w:t>, reducing dependency on chemical inputs and improving long-term soil health.</w:t>
      </w:r>
    </w:p>
    <w:p w14:paraId="03EF9C9F"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t xml:space="preserve">3.3.5 </w:t>
      </w:r>
      <w:r w:rsidRPr="007979A7">
        <w:rPr>
          <w:rFonts w:ascii="Arial" w:hAnsi="Arial" w:cs="Arial"/>
          <w:b/>
          <w:bCs/>
          <w:lang w:val="en-IN" w:eastAsia="en-IN"/>
        </w:rPr>
        <w:tab/>
        <w:t>Digitalization and Precision Forestry</w:t>
      </w:r>
    </w:p>
    <w:p w14:paraId="1A582C0C"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Emerging trends in global forestry include the adoption of </w:t>
      </w:r>
      <w:r w:rsidRPr="007979A7">
        <w:rPr>
          <w:rFonts w:ascii="Arial" w:hAnsi="Arial" w:cs="Arial"/>
          <w:bCs/>
          <w:lang w:val="en-IN" w:eastAsia="en-IN"/>
        </w:rPr>
        <w:t>digital tools, automation, and precision nursery management systems</w:t>
      </w:r>
      <w:r w:rsidRPr="007979A7">
        <w:rPr>
          <w:rFonts w:ascii="Arial" w:hAnsi="Arial" w:cs="Arial"/>
          <w:lang w:val="en-IN" w:eastAsia="en-IN"/>
        </w:rPr>
        <w:t>. Technologies such as automated misting systems, sensor-based environmental control, and data-driven decision support are increasingly being integrated into propagation and nursery operations.</w:t>
      </w:r>
    </w:p>
    <w:p w14:paraId="439E893F"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Although still in early stages for teak, these innovations are expected to enhance propagation efficiency, reduce </w:t>
      </w:r>
      <w:proofErr w:type="spellStart"/>
      <w:r w:rsidRPr="007979A7">
        <w:rPr>
          <w:rFonts w:ascii="Arial" w:hAnsi="Arial" w:cs="Arial"/>
          <w:lang w:val="en-IN" w:eastAsia="en-IN"/>
        </w:rPr>
        <w:t>labor</w:t>
      </w:r>
      <w:proofErr w:type="spellEnd"/>
      <w:r w:rsidRPr="007979A7">
        <w:rPr>
          <w:rFonts w:ascii="Arial" w:hAnsi="Arial" w:cs="Arial"/>
          <w:lang w:val="en-IN" w:eastAsia="en-IN"/>
        </w:rPr>
        <w:t xml:space="preserve"> costs, and improve consistency in planting material quality.</w:t>
      </w:r>
    </w:p>
    <w:p w14:paraId="34041B44"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t xml:space="preserve">3.2.6 </w:t>
      </w:r>
      <w:r w:rsidRPr="007979A7">
        <w:rPr>
          <w:rFonts w:ascii="Arial" w:hAnsi="Arial" w:cs="Arial"/>
          <w:b/>
          <w:bCs/>
          <w:lang w:val="en-IN" w:eastAsia="en-IN"/>
        </w:rPr>
        <w:tab/>
        <w:t>Climate-Resilient Propagation Strategies</w:t>
      </w:r>
    </w:p>
    <w:p w14:paraId="1C96D054"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Climate change has introduced new challenges for teak cultivation, including variability in rainfall, temperature extremes, and increased pest and disease pressures. As a result, there is growing emphasis on developing </w:t>
      </w:r>
      <w:r w:rsidRPr="007979A7">
        <w:rPr>
          <w:rFonts w:ascii="Arial" w:hAnsi="Arial" w:cs="Arial"/>
          <w:bCs/>
          <w:lang w:val="en-IN" w:eastAsia="en-IN"/>
        </w:rPr>
        <w:t>climate-resilient propagation systems</w:t>
      </w:r>
      <w:r w:rsidRPr="007979A7">
        <w:rPr>
          <w:rFonts w:ascii="Arial" w:hAnsi="Arial" w:cs="Arial"/>
          <w:lang w:val="en-IN" w:eastAsia="en-IN"/>
        </w:rPr>
        <w:t>, including the selection of drought-tolerant clones and improved nursery practices (IPCC, 2019; IPCC, 2023).</w:t>
      </w:r>
    </w:p>
    <w:p w14:paraId="60C2EB13"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Propagation technologies are increasingly being aligned with site-specific climatic conditions, ensuring that planting material is adapted to future environmental scenarios.</w:t>
      </w:r>
    </w:p>
    <w:p w14:paraId="30C11976"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This transition reflects a broader paradigm shift toward </w:t>
      </w:r>
      <w:r w:rsidRPr="007979A7">
        <w:rPr>
          <w:rFonts w:ascii="Arial" w:hAnsi="Arial" w:cs="Arial"/>
          <w:bCs/>
          <w:lang w:val="en-IN" w:eastAsia="en-IN"/>
        </w:rPr>
        <w:t>genetically improved, high-yield, and climate-smart plantation systems</w:t>
      </w:r>
      <w:r w:rsidRPr="007979A7">
        <w:rPr>
          <w:rFonts w:ascii="Arial" w:hAnsi="Arial" w:cs="Arial"/>
          <w:lang w:val="en-IN" w:eastAsia="en-IN"/>
        </w:rPr>
        <w:t xml:space="preserve">, where propagation technologies play a central role in determining productivity and sustainability outcomes (Midgley et al., 2015; Goh and </w:t>
      </w:r>
      <w:proofErr w:type="spellStart"/>
      <w:r w:rsidRPr="007979A7">
        <w:rPr>
          <w:rFonts w:ascii="Arial" w:hAnsi="Arial" w:cs="Arial"/>
          <w:lang w:val="en-IN" w:eastAsia="en-IN"/>
        </w:rPr>
        <w:t>Monteuuis</w:t>
      </w:r>
      <w:proofErr w:type="spellEnd"/>
      <w:r w:rsidRPr="007979A7">
        <w:rPr>
          <w:rFonts w:ascii="Arial" w:hAnsi="Arial" w:cs="Arial"/>
          <w:lang w:val="en-IN" w:eastAsia="en-IN"/>
        </w:rPr>
        <w:t>, 2016).</w:t>
      </w:r>
    </w:p>
    <w:p w14:paraId="7AFA8A5F" w14:textId="77777777" w:rsidR="00F622D8" w:rsidRPr="007979A7" w:rsidRDefault="00F622D8" w:rsidP="00F622D8">
      <w:pPr>
        <w:pStyle w:val="Heading2"/>
        <w:spacing w:before="120" w:after="0" w:line="276" w:lineRule="auto"/>
        <w:jc w:val="both"/>
        <w:rPr>
          <w:rFonts w:ascii="Arial" w:hAnsi="Arial" w:cs="Arial"/>
          <w:i w:val="0"/>
          <w:iCs w:val="0"/>
          <w:sz w:val="20"/>
          <w:szCs w:val="20"/>
          <w:lang w:val="en-IN" w:eastAsia="en-IN"/>
        </w:rPr>
      </w:pPr>
      <w:r w:rsidRPr="007979A7">
        <w:rPr>
          <w:rFonts w:ascii="Arial" w:hAnsi="Arial" w:cs="Arial"/>
          <w:i w:val="0"/>
          <w:iCs w:val="0"/>
          <w:sz w:val="20"/>
          <w:szCs w:val="20"/>
          <w:lang w:val="en-IN" w:eastAsia="en-IN"/>
        </w:rPr>
        <w:t>3.3 Emerging Technologies in Propagation of Teak</w:t>
      </w:r>
    </w:p>
    <w:p w14:paraId="789B5BCA"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Recent decades have witnessed a paradigm shift in teak propagation, with the emergence of advanced biotechnological and precision-based approaches that aim to overcome the limitations of conventional methods. These emerging technologies are increasingly enabling </w:t>
      </w:r>
      <w:r w:rsidRPr="007979A7">
        <w:rPr>
          <w:rFonts w:ascii="Arial" w:hAnsi="Arial" w:cs="Arial"/>
          <w:bCs/>
          <w:lang w:val="en-IN" w:eastAsia="en-IN"/>
        </w:rPr>
        <w:t>rapid multiplication, genetic fidelity, scalability, and climate resilience</w:t>
      </w:r>
      <w:r w:rsidRPr="007979A7">
        <w:rPr>
          <w:rFonts w:ascii="Arial" w:hAnsi="Arial" w:cs="Arial"/>
          <w:lang w:val="en-IN" w:eastAsia="en-IN"/>
        </w:rPr>
        <w:t xml:space="preserve">, thereby redefining modern teak forestry systems (Goh and </w:t>
      </w:r>
      <w:proofErr w:type="spellStart"/>
      <w:r w:rsidRPr="007979A7">
        <w:rPr>
          <w:rFonts w:ascii="Arial" w:hAnsi="Arial" w:cs="Arial"/>
          <w:lang w:val="en-IN" w:eastAsia="en-IN"/>
        </w:rPr>
        <w:t>Monteuuis</w:t>
      </w:r>
      <w:proofErr w:type="spellEnd"/>
      <w:r w:rsidRPr="007979A7">
        <w:rPr>
          <w:rFonts w:ascii="Arial" w:hAnsi="Arial" w:cs="Arial"/>
          <w:lang w:val="en-IN" w:eastAsia="en-IN"/>
        </w:rPr>
        <w:t>, 2016).</w:t>
      </w:r>
    </w:p>
    <w:p w14:paraId="7B1D4931"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t>3.3.1 Somatic Embryogenesis and Cellular Totipotency</w:t>
      </w:r>
    </w:p>
    <w:p w14:paraId="2D8DE3E6"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Somatic embryogenesis (SE) has emerged as one of the most promising technologies for large-scale clonal propagation of teak, exploiting cellular totipotency to regenerate plants from somatic tissues (Deo et al., 2010). Embryogenic cultures can be induced from juvenile tissues using optimized combinations of plant growth regulators such as 2,4-D, BA, and TDZ, achieving moderate to high induction efficiency (Deo et al., 2010; Goh et al., 2013).</w:t>
      </w:r>
    </w:p>
    <w:p w14:paraId="376CB537"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At the molecular level, SE is regulated by complex hormonal </w:t>
      </w:r>
      <w:proofErr w:type="spellStart"/>
      <w:r w:rsidRPr="007979A7">
        <w:rPr>
          <w:rFonts w:ascii="Arial" w:hAnsi="Arial" w:cs="Arial"/>
          <w:lang w:val="en-IN" w:eastAsia="en-IN"/>
        </w:rPr>
        <w:t>signaling</w:t>
      </w:r>
      <w:proofErr w:type="spellEnd"/>
      <w:r w:rsidRPr="007979A7">
        <w:rPr>
          <w:rFonts w:ascii="Arial" w:hAnsi="Arial" w:cs="Arial"/>
          <w:lang w:val="en-IN" w:eastAsia="en-IN"/>
        </w:rPr>
        <w:t xml:space="preserve"> pathways involving auxin, cytokinin, and abscisic acid. Recent transcriptomic studies have identified key regulatory genes such as AUX/IAA, ARF, and SERK that control embryogenic competence </w:t>
      </w:r>
      <w:r w:rsidRPr="007979A7">
        <w:rPr>
          <w:rFonts w:ascii="Arial" w:hAnsi="Arial" w:cs="Arial"/>
          <w:lang w:val="en-IN" w:eastAsia="en-IN"/>
        </w:rPr>
        <w:lastRenderedPageBreak/>
        <w:t>and development (Ramakrishnan et al., 2023; Zhou et al., 2024). These findings provide a mechanistic basis for improving regeneration efficiency and reproducibility.</w:t>
      </w:r>
    </w:p>
    <w:p w14:paraId="6070BD78"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However, genotype dependency and variability in embryo conversion remain significant challenges, limiting large-scale operational deployment (Goh and </w:t>
      </w:r>
      <w:proofErr w:type="spellStart"/>
      <w:r w:rsidRPr="007979A7">
        <w:rPr>
          <w:rFonts w:ascii="Arial" w:hAnsi="Arial" w:cs="Arial"/>
          <w:lang w:val="en-IN" w:eastAsia="en-IN"/>
        </w:rPr>
        <w:t>Monteuuis</w:t>
      </w:r>
      <w:proofErr w:type="spellEnd"/>
      <w:r w:rsidRPr="007979A7">
        <w:rPr>
          <w:rFonts w:ascii="Arial" w:hAnsi="Arial" w:cs="Arial"/>
          <w:lang w:val="en-IN" w:eastAsia="en-IN"/>
        </w:rPr>
        <w:t>, 2016).</w:t>
      </w:r>
    </w:p>
    <w:p w14:paraId="6021912A"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t xml:space="preserve">3.3.2 </w:t>
      </w:r>
      <w:r w:rsidRPr="007979A7">
        <w:rPr>
          <w:rFonts w:ascii="Arial" w:hAnsi="Arial" w:cs="Arial"/>
          <w:b/>
          <w:bCs/>
          <w:lang w:val="en-IN" w:eastAsia="en-IN"/>
        </w:rPr>
        <w:tab/>
        <w:t>Advanced Micropropagation Systems and Bioreactor Technology</w:t>
      </w:r>
    </w:p>
    <w:p w14:paraId="02CAD9AB"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Micropropagation has evolved into a robust system for </w:t>
      </w:r>
      <w:r w:rsidRPr="007979A7">
        <w:rPr>
          <w:rFonts w:ascii="Arial" w:hAnsi="Arial" w:cs="Arial"/>
          <w:bCs/>
          <w:lang w:val="en-IN" w:eastAsia="en-IN"/>
        </w:rPr>
        <w:t>rapid multiplication of elite genotypes</w:t>
      </w:r>
      <w:r w:rsidRPr="007979A7">
        <w:rPr>
          <w:rFonts w:ascii="Arial" w:hAnsi="Arial" w:cs="Arial"/>
          <w:lang w:val="en-IN" w:eastAsia="en-IN"/>
        </w:rPr>
        <w:t xml:space="preserve">, with multiplication rates reaching 30–50 shoots per explant annually (Akram and Aftab, 2009). The adoption of </w:t>
      </w:r>
      <w:r w:rsidRPr="007979A7">
        <w:rPr>
          <w:rFonts w:ascii="Arial" w:hAnsi="Arial" w:cs="Arial"/>
          <w:bCs/>
          <w:lang w:val="en-IN" w:eastAsia="en-IN"/>
        </w:rPr>
        <w:t>temporary immersion bioreactors (TIBs)</w:t>
      </w:r>
      <w:r w:rsidRPr="007979A7">
        <w:rPr>
          <w:rFonts w:ascii="Arial" w:hAnsi="Arial" w:cs="Arial"/>
          <w:lang w:val="en-IN" w:eastAsia="en-IN"/>
        </w:rPr>
        <w:t xml:space="preserve"> has further enhanced propagation efficiency by improving nutrient uptake, reducing </w:t>
      </w:r>
      <w:proofErr w:type="spellStart"/>
      <w:r w:rsidRPr="007979A7">
        <w:rPr>
          <w:rFonts w:ascii="Arial" w:hAnsi="Arial" w:cs="Arial"/>
          <w:lang w:val="en-IN" w:eastAsia="en-IN"/>
        </w:rPr>
        <w:t>hyperhydricity</w:t>
      </w:r>
      <w:proofErr w:type="spellEnd"/>
      <w:r w:rsidRPr="007979A7">
        <w:rPr>
          <w:rFonts w:ascii="Arial" w:hAnsi="Arial" w:cs="Arial"/>
          <w:lang w:val="en-IN" w:eastAsia="en-IN"/>
        </w:rPr>
        <w:t>, and increasing shoot proliferation (Aguilar et al., 2019; Hussein et al., 2019).</w:t>
      </w:r>
    </w:p>
    <w:p w14:paraId="3B0D2DB1"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Ex vitro rooting and acclimatization techniques have significantly improved plantlet survival (70–95%), making micropropagation more commercially viable (Hussein et al., 2019; Mendoza de Gyves et al., 2007). Additionally, tissue culture enables the production of </w:t>
      </w:r>
      <w:r w:rsidRPr="007979A7">
        <w:rPr>
          <w:rFonts w:ascii="Arial" w:hAnsi="Arial" w:cs="Arial"/>
          <w:bCs/>
          <w:lang w:val="en-IN" w:eastAsia="en-IN"/>
        </w:rPr>
        <w:t>disease-free and genetically uniform planting material</w:t>
      </w:r>
      <w:r w:rsidRPr="007979A7">
        <w:rPr>
          <w:rFonts w:ascii="Arial" w:hAnsi="Arial" w:cs="Arial"/>
          <w:lang w:val="en-IN" w:eastAsia="en-IN"/>
        </w:rPr>
        <w:t>, which is essential for maintaining plantation health and productivity (Goh et al., 2013).</w:t>
      </w:r>
    </w:p>
    <w:p w14:paraId="039EBE77"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Despite these advantages, high operational costs and genotype-specific responses remain key constraints (Goh and </w:t>
      </w:r>
      <w:proofErr w:type="spellStart"/>
      <w:r w:rsidRPr="007979A7">
        <w:rPr>
          <w:rFonts w:ascii="Arial" w:hAnsi="Arial" w:cs="Arial"/>
          <w:lang w:val="en-IN" w:eastAsia="en-IN"/>
        </w:rPr>
        <w:t>Monteuuis</w:t>
      </w:r>
      <w:proofErr w:type="spellEnd"/>
      <w:r w:rsidRPr="007979A7">
        <w:rPr>
          <w:rFonts w:ascii="Arial" w:hAnsi="Arial" w:cs="Arial"/>
          <w:lang w:val="en-IN" w:eastAsia="en-IN"/>
        </w:rPr>
        <w:t>, 2016).</w:t>
      </w:r>
    </w:p>
    <w:p w14:paraId="7BFD9991"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t xml:space="preserve">3.3.3 </w:t>
      </w:r>
      <w:r w:rsidRPr="007979A7">
        <w:rPr>
          <w:rFonts w:ascii="Arial" w:hAnsi="Arial" w:cs="Arial"/>
          <w:b/>
          <w:bCs/>
          <w:lang w:val="en-IN" w:eastAsia="en-IN"/>
        </w:rPr>
        <w:tab/>
        <w:t>Synthetic Seeds and Encapsulation Technology</w:t>
      </w:r>
    </w:p>
    <w:p w14:paraId="4AF954AC"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Synthetic seed technology, involving encapsulation of somatic embryos in protective matrices, represents an emerging approach for germplasm conservation and propagation. Although still in early stages for teak, this technology has demonstrated potential for </w:t>
      </w:r>
      <w:r w:rsidRPr="007979A7">
        <w:rPr>
          <w:rFonts w:ascii="Arial" w:hAnsi="Arial" w:cs="Arial"/>
          <w:bCs/>
          <w:lang w:val="en-IN" w:eastAsia="en-IN"/>
        </w:rPr>
        <w:t>easy storage, transport, and mechanized sowing</w:t>
      </w:r>
      <w:r w:rsidRPr="007979A7">
        <w:rPr>
          <w:rFonts w:ascii="Arial" w:hAnsi="Arial" w:cs="Arial"/>
          <w:lang w:val="en-IN" w:eastAsia="en-IN"/>
        </w:rPr>
        <w:t xml:space="preserve">, as reported in other forestry species (Goh et al., 2013; Goh and </w:t>
      </w:r>
      <w:proofErr w:type="spellStart"/>
      <w:r w:rsidRPr="007979A7">
        <w:rPr>
          <w:rFonts w:ascii="Arial" w:hAnsi="Arial" w:cs="Arial"/>
          <w:lang w:val="en-IN" w:eastAsia="en-IN"/>
        </w:rPr>
        <w:t>Monteuuis</w:t>
      </w:r>
      <w:proofErr w:type="spellEnd"/>
      <w:r w:rsidRPr="007979A7">
        <w:rPr>
          <w:rFonts w:ascii="Arial" w:hAnsi="Arial" w:cs="Arial"/>
          <w:lang w:val="en-IN" w:eastAsia="en-IN"/>
        </w:rPr>
        <w:t>, 2016).</w:t>
      </w:r>
    </w:p>
    <w:p w14:paraId="5A323435"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Its future application in teak propagation is expected to enhance scalability and reduce dependence on conventional nursery systems.</w:t>
      </w:r>
    </w:p>
    <w:p w14:paraId="5309BA68"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t xml:space="preserve">3.3.4 </w:t>
      </w:r>
      <w:r w:rsidRPr="007979A7">
        <w:rPr>
          <w:rFonts w:ascii="Arial" w:hAnsi="Arial" w:cs="Arial"/>
          <w:b/>
          <w:bCs/>
          <w:lang w:val="en-IN" w:eastAsia="en-IN"/>
        </w:rPr>
        <w:tab/>
        <w:t>Molecular Breeding and Genomic-Assisted Propagation</w:t>
      </w:r>
    </w:p>
    <w:p w14:paraId="374109DD"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Advances in molecular biology are facilitating the integration of </w:t>
      </w:r>
      <w:r w:rsidRPr="007979A7">
        <w:rPr>
          <w:rFonts w:ascii="Arial" w:hAnsi="Arial" w:cs="Arial"/>
          <w:bCs/>
          <w:lang w:val="en-IN" w:eastAsia="en-IN"/>
        </w:rPr>
        <w:t>genomics with propagation technologies</w:t>
      </w:r>
      <w:r w:rsidRPr="007979A7">
        <w:rPr>
          <w:rFonts w:ascii="Arial" w:hAnsi="Arial" w:cs="Arial"/>
          <w:lang w:val="en-IN" w:eastAsia="en-IN"/>
        </w:rPr>
        <w:t xml:space="preserve">, enabling more efficient selection and multiplication of elite genotypes. Molecular markers and gene expression studies are increasingly being used to identify traits associated with rooting ability, growth performance, and stress tolerance (White et al., 2007; Ramakrishnan et al., 2023). The identification of key genes regulating somatic embryogenesis and hormone </w:t>
      </w:r>
      <w:proofErr w:type="spellStart"/>
      <w:r w:rsidRPr="007979A7">
        <w:rPr>
          <w:rFonts w:ascii="Arial" w:hAnsi="Arial" w:cs="Arial"/>
          <w:lang w:val="en-IN" w:eastAsia="en-IN"/>
        </w:rPr>
        <w:t>signaling</w:t>
      </w:r>
      <w:proofErr w:type="spellEnd"/>
      <w:r w:rsidRPr="007979A7">
        <w:rPr>
          <w:rFonts w:ascii="Arial" w:hAnsi="Arial" w:cs="Arial"/>
          <w:lang w:val="en-IN" w:eastAsia="en-IN"/>
        </w:rPr>
        <w:t xml:space="preserve"> pathways provides opportunities for </w:t>
      </w:r>
      <w:r w:rsidRPr="007979A7">
        <w:rPr>
          <w:rFonts w:ascii="Arial" w:hAnsi="Arial" w:cs="Arial"/>
          <w:bCs/>
          <w:lang w:val="en-IN" w:eastAsia="en-IN"/>
        </w:rPr>
        <w:t>genetic improvement and precision propagation</w:t>
      </w:r>
      <w:r w:rsidRPr="007979A7">
        <w:rPr>
          <w:rFonts w:ascii="Arial" w:hAnsi="Arial" w:cs="Arial"/>
          <w:lang w:val="en-IN" w:eastAsia="en-IN"/>
        </w:rPr>
        <w:t xml:space="preserve"> (Zhou et al., 2024). These approaches are expected to accelerate breeding programs and improve propagation success rates.</w:t>
      </w:r>
    </w:p>
    <w:p w14:paraId="55243435"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t xml:space="preserve">3.3.5 </w:t>
      </w:r>
      <w:r w:rsidRPr="007979A7">
        <w:rPr>
          <w:rFonts w:ascii="Arial" w:hAnsi="Arial" w:cs="Arial"/>
          <w:b/>
          <w:bCs/>
          <w:lang w:val="en-IN" w:eastAsia="en-IN"/>
        </w:rPr>
        <w:tab/>
        <w:t>Integration of Bio-inoculants with Biotechnology</w:t>
      </w:r>
    </w:p>
    <w:p w14:paraId="68F3B5AF"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A novel advancement in teak propagation is the integration of </w:t>
      </w:r>
      <w:r w:rsidRPr="007979A7">
        <w:rPr>
          <w:rFonts w:ascii="Arial" w:hAnsi="Arial" w:cs="Arial"/>
          <w:bCs/>
          <w:lang w:val="en-IN" w:eastAsia="en-IN"/>
        </w:rPr>
        <w:t>bio-inoculants such as plant growth-promoting rhizobacteria (PGPR) and arbuscular mycorrhizal fungi (AMF)</w:t>
      </w:r>
      <w:r w:rsidRPr="007979A7">
        <w:rPr>
          <w:rFonts w:ascii="Arial" w:hAnsi="Arial" w:cs="Arial"/>
          <w:lang w:val="en-IN" w:eastAsia="en-IN"/>
        </w:rPr>
        <w:t xml:space="preserve"> with tissue culture and nursery systems. Studies have demonstrated that inoculated plantlets exhibit improved growth, nutrient uptake, and stress tolerance. This integrated approach enhances survival during acclimatization and field establishment, effectively bridging the gap between laboratory propagation and field performance.</w:t>
      </w:r>
    </w:p>
    <w:p w14:paraId="688DF202"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lastRenderedPageBreak/>
        <w:t xml:space="preserve">3.3.6 </w:t>
      </w:r>
      <w:r w:rsidRPr="007979A7">
        <w:rPr>
          <w:rFonts w:ascii="Arial" w:hAnsi="Arial" w:cs="Arial"/>
          <w:b/>
          <w:bCs/>
          <w:lang w:val="en-IN" w:eastAsia="en-IN"/>
        </w:rPr>
        <w:tab/>
        <w:t>Automation, Artificial Intelligence, and Precision Nursery Systems</w:t>
      </w:r>
    </w:p>
    <w:p w14:paraId="288A2519"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Emerging trends in propagation include the adoption of </w:t>
      </w:r>
      <w:r w:rsidRPr="007979A7">
        <w:rPr>
          <w:rFonts w:ascii="Arial" w:hAnsi="Arial" w:cs="Arial"/>
          <w:bCs/>
          <w:lang w:val="en-IN" w:eastAsia="en-IN"/>
        </w:rPr>
        <w:t>automation and precision nursery technologies</w:t>
      </w:r>
      <w:r w:rsidRPr="007979A7">
        <w:rPr>
          <w:rFonts w:ascii="Arial" w:hAnsi="Arial" w:cs="Arial"/>
          <w:lang w:val="en-IN" w:eastAsia="en-IN"/>
        </w:rPr>
        <w:t xml:space="preserve">, such as sensor-based environmental control, automated irrigation systems, and data-driven decision support tools. Although still in early stages for teak, these technologies are expected to improve propagation efficiency, reduce </w:t>
      </w:r>
      <w:proofErr w:type="spellStart"/>
      <w:r w:rsidRPr="007979A7">
        <w:rPr>
          <w:rFonts w:ascii="Arial" w:hAnsi="Arial" w:cs="Arial"/>
          <w:lang w:val="en-IN" w:eastAsia="en-IN"/>
        </w:rPr>
        <w:t>labor</w:t>
      </w:r>
      <w:proofErr w:type="spellEnd"/>
      <w:r w:rsidRPr="007979A7">
        <w:rPr>
          <w:rFonts w:ascii="Arial" w:hAnsi="Arial" w:cs="Arial"/>
          <w:lang w:val="en-IN" w:eastAsia="en-IN"/>
        </w:rPr>
        <w:t xml:space="preserve"> costs, and enhance consistency in plant quality (Midgley et al., 2015). Such advancements align with the broader shift toward </w:t>
      </w:r>
      <w:r w:rsidRPr="007979A7">
        <w:rPr>
          <w:rFonts w:ascii="Arial" w:hAnsi="Arial" w:cs="Arial"/>
          <w:bCs/>
          <w:lang w:val="en-IN" w:eastAsia="en-IN"/>
        </w:rPr>
        <w:t>precision forestry</w:t>
      </w:r>
      <w:r w:rsidRPr="007979A7">
        <w:rPr>
          <w:rFonts w:ascii="Arial" w:hAnsi="Arial" w:cs="Arial"/>
          <w:lang w:val="en-IN" w:eastAsia="en-IN"/>
        </w:rPr>
        <w:t>, where propagation and management practices are optimized using technological tools.</w:t>
      </w:r>
    </w:p>
    <w:p w14:paraId="56BDF8E9"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t xml:space="preserve">3.3.7 </w:t>
      </w:r>
      <w:r w:rsidRPr="007979A7">
        <w:rPr>
          <w:rFonts w:ascii="Arial" w:hAnsi="Arial" w:cs="Arial"/>
          <w:b/>
          <w:bCs/>
          <w:lang w:val="en-IN" w:eastAsia="en-IN"/>
        </w:rPr>
        <w:tab/>
        <w:t>Climate-Smart Propagation Technologies</w:t>
      </w:r>
    </w:p>
    <w:p w14:paraId="5102F1C3"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Propagation technologies are increasingly being aligned with the need for </w:t>
      </w:r>
      <w:r w:rsidRPr="007979A7">
        <w:rPr>
          <w:rFonts w:ascii="Arial" w:hAnsi="Arial" w:cs="Arial"/>
          <w:bCs/>
          <w:lang w:val="en-IN" w:eastAsia="en-IN"/>
        </w:rPr>
        <w:t>climate-resilient forestry systems</w:t>
      </w:r>
      <w:r w:rsidRPr="007979A7">
        <w:rPr>
          <w:rFonts w:ascii="Arial" w:hAnsi="Arial" w:cs="Arial"/>
          <w:lang w:val="en-IN" w:eastAsia="en-IN"/>
        </w:rPr>
        <w:t xml:space="preserve">. This includes the development of drought- and heat-tolerant clones, as well as the use of biotechnology to enhance stress tolerance (IPCC, 2019; IPCC, 2023). The integration of propagation techniques with climate </w:t>
      </w:r>
      <w:proofErr w:type="spellStart"/>
      <w:r w:rsidRPr="007979A7">
        <w:rPr>
          <w:rFonts w:ascii="Arial" w:hAnsi="Arial" w:cs="Arial"/>
          <w:lang w:val="en-IN" w:eastAsia="en-IN"/>
        </w:rPr>
        <w:t>modeling</w:t>
      </w:r>
      <w:proofErr w:type="spellEnd"/>
      <w:r w:rsidRPr="007979A7">
        <w:rPr>
          <w:rFonts w:ascii="Arial" w:hAnsi="Arial" w:cs="Arial"/>
          <w:lang w:val="en-IN" w:eastAsia="en-IN"/>
        </w:rPr>
        <w:t xml:space="preserve"> and site-specific management strategies ensures that planting material is better adapted to future environmental conditions (Griscom et al., 2017).</w:t>
      </w:r>
    </w:p>
    <w:p w14:paraId="7901ADFD" w14:textId="77777777" w:rsidR="00F622D8" w:rsidRPr="007979A7" w:rsidRDefault="00F622D8" w:rsidP="00F622D8">
      <w:pPr>
        <w:spacing w:before="120" w:line="276" w:lineRule="auto"/>
        <w:jc w:val="both"/>
        <w:outlineLvl w:val="1"/>
        <w:rPr>
          <w:rFonts w:ascii="Arial" w:hAnsi="Arial" w:cs="Arial"/>
          <w:b/>
          <w:bCs/>
          <w:sz w:val="22"/>
          <w:szCs w:val="22"/>
          <w:lang w:val="en-IN" w:eastAsia="en-IN"/>
        </w:rPr>
      </w:pPr>
      <w:r w:rsidRPr="007979A7">
        <w:rPr>
          <w:rFonts w:ascii="Arial" w:hAnsi="Arial" w:cs="Arial"/>
          <w:b/>
          <w:bCs/>
          <w:sz w:val="22"/>
          <w:szCs w:val="22"/>
          <w:lang w:val="en-IN" w:eastAsia="en-IN"/>
        </w:rPr>
        <w:t>3.4</w:t>
      </w:r>
      <w:r w:rsidRPr="007979A7">
        <w:rPr>
          <w:rFonts w:ascii="Arial" w:hAnsi="Arial" w:cs="Arial"/>
          <w:b/>
          <w:bCs/>
          <w:sz w:val="22"/>
          <w:szCs w:val="22"/>
          <w:lang w:val="en-IN" w:eastAsia="en-IN"/>
        </w:rPr>
        <w:tab/>
        <w:t>Future Prospects in Propagation of Teak</w:t>
      </w:r>
    </w:p>
    <w:p w14:paraId="507CAF2E"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The next decade will likely redefine teak propagation through the convergence of </w:t>
      </w:r>
      <w:r w:rsidRPr="007979A7">
        <w:rPr>
          <w:rFonts w:ascii="Arial" w:hAnsi="Arial" w:cs="Arial"/>
          <w:bCs/>
          <w:lang w:val="en-IN" w:eastAsia="en-IN"/>
        </w:rPr>
        <w:t>genetics, biotechnology, digitalization, and sustainability science</w:t>
      </w:r>
      <w:r w:rsidRPr="007979A7">
        <w:rPr>
          <w:rFonts w:ascii="Arial" w:hAnsi="Arial" w:cs="Arial"/>
          <w:lang w:val="en-IN" w:eastAsia="en-IN"/>
        </w:rPr>
        <w:t xml:space="preserve">. Building on the transition from seed-based systems to clonal and in vitro approaches, future pathways are expected to focus on </w:t>
      </w:r>
      <w:r w:rsidRPr="007979A7">
        <w:rPr>
          <w:rFonts w:ascii="Arial" w:hAnsi="Arial" w:cs="Arial"/>
          <w:bCs/>
          <w:lang w:val="en-IN" w:eastAsia="en-IN"/>
        </w:rPr>
        <w:t>precision propagation</w:t>
      </w:r>
      <w:r w:rsidRPr="007979A7">
        <w:rPr>
          <w:rFonts w:ascii="Arial" w:hAnsi="Arial" w:cs="Arial"/>
          <w:lang w:val="en-IN" w:eastAsia="en-IN"/>
        </w:rPr>
        <w:t xml:space="preserve">, </w:t>
      </w:r>
      <w:r w:rsidRPr="007979A7">
        <w:rPr>
          <w:rFonts w:ascii="Arial" w:hAnsi="Arial" w:cs="Arial"/>
          <w:bCs/>
          <w:lang w:val="en-IN" w:eastAsia="en-IN"/>
        </w:rPr>
        <w:t>cost-effective scaling</w:t>
      </w:r>
      <w:r w:rsidRPr="007979A7">
        <w:rPr>
          <w:rFonts w:ascii="Arial" w:hAnsi="Arial" w:cs="Arial"/>
          <w:lang w:val="en-IN" w:eastAsia="en-IN"/>
        </w:rPr>
        <w:t xml:space="preserve">, and </w:t>
      </w:r>
      <w:r w:rsidRPr="007979A7">
        <w:rPr>
          <w:rFonts w:ascii="Arial" w:hAnsi="Arial" w:cs="Arial"/>
          <w:bCs/>
          <w:lang w:val="en-IN" w:eastAsia="en-IN"/>
        </w:rPr>
        <w:t>climate resilience</w:t>
      </w:r>
      <w:r w:rsidRPr="007979A7">
        <w:rPr>
          <w:rFonts w:ascii="Arial" w:hAnsi="Arial" w:cs="Arial"/>
          <w:lang w:val="en-IN" w:eastAsia="en-IN"/>
        </w:rPr>
        <w:t>, enabling consistent, high-yield plantations under variable environments.</w:t>
      </w:r>
    </w:p>
    <w:p w14:paraId="5A5963AE"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t xml:space="preserve">3.4.1 </w:t>
      </w:r>
      <w:r w:rsidRPr="007979A7">
        <w:rPr>
          <w:rFonts w:ascii="Arial" w:hAnsi="Arial" w:cs="Arial"/>
          <w:b/>
          <w:bCs/>
          <w:lang w:val="en-IN" w:eastAsia="en-IN"/>
        </w:rPr>
        <w:tab/>
        <w:t>Genomics-Enabled Propagation and Precision Breeding</w:t>
      </w:r>
    </w:p>
    <w:p w14:paraId="32520099"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A major frontier lies in integrating </w:t>
      </w:r>
      <w:r w:rsidRPr="007979A7">
        <w:rPr>
          <w:rFonts w:ascii="Arial" w:hAnsi="Arial" w:cs="Arial"/>
          <w:bCs/>
          <w:lang w:val="en-IN" w:eastAsia="en-IN"/>
        </w:rPr>
        <w:t>genomics with propagation systems</w:t>
      </w:r>
      <w:r w:rsidRPr="007979A7">
        <w:rPr>
          <w:rFonts w:ascii="Arial" w:hAnsi="Arial" w:cs="Arial"/>
          <w:lang w:val="en-IN" w:eastAsia="en-IN"/>
        </w:rPr>
        <w:t xml:space="preserve">. High-throughput genotyping, genome-wide association studies (GWAS), and transcriptomics can accelerate the identification of </w:t>
      </w:r>
      <w:r w:rsidRPr="007979A7">
        <w:rPr>
          <w:rFonts w:ascii="Arial" w:hAnsi="Arial" w:cs="Arial"/>
          <w:bCs/>
          <w:lang w:val="en-IN" w:eastAsia="en-IN"/>
        </w:rPr>
        <w:t>elite, stress-tolerant, and fast-growing genotypes</w:t>
      </w:r>
      <w:r w:rsidRPr="007979A7">
        <w:rPr>
          <w:rFonts w:ascii="Arial" w:hAnsi="Arial" w:cs="Arial"/>
          <w:lang w:val="en-IN" w:eastAsia="en-IN"/>
        </w:rPr>
        <w:t xml:space="preserve">. Coupling these tools with clonal propagation and somatic embryogenesis will enable </w:t>
      </w:r>
      <w:r w:rsidRPr="007979A7">
        <w:rPr>
          <w:rFonts w:ascii="Arial" w:hAnsi="Arial" w:cs="Arial"/>
          <w:bCs/>
          <w:lang w:val="en-IN" w:eastAsia="en-IN"/>
        </w:rPr>
        <w:t>rapid deployment of superior clones with predictable performance</w:t>
      </w:r>
      <w:r w:rsidRPr="007979A7">
        <w:rPr>
          <w:rFonts w:ascii="Arial" w:hAnsi="Arial" w:cs="Arial"/>
          <w:lang w:val="en-IN" w:eastAsia="en-IN"/>
        </w:rPr>
        <w:t xml:space="preserve"> (White et al., 2007; Ramakrishnan et al., 2023; Zhou et al., 2024).</w:t>
      </w:r>
    </w:p>
    <w:p w14:paraId="0EEDC720"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Emerging techniques such as </w:t>
      </w:r>
      <w:r w:rsidRPr="007979A7">
        <w:rPr>
          <w:rFonts w:ascii="Arial" w:hAnsi="Arial" w:cs="Arial"/>
          <w:bCs/>
          <w:lang w:val="en-IN" w:eastAsia="en-IN"/>
        </w:rPr>
        <w:t>genomic selection</w:t>
      </w:r>
      <w:r w:rsidRPr="007979A7">
        <w:rPr>
          <w:rFonts w:ascii="Arial" w:hAnsi="Arial" w:cs="Arial"/>
          <w:lang w:val="en-IN" w:eastAsia="en-IN"/>
        </w:rPr>
        <w:t xml:space="preserve"> and </w:t>
      </w:r>
      <w:r w:rsidRPr="007979A7">
        <w:rPr>
          <w:rFonts w:ascii="Arial" w:hAnsi="Arial" w:cs="Arial"/>
          <w:bCs/>
          <w:lang w:val="en-IN" w:eastAsia="en-IN"/>
        </w:rPr>
        <w:t>gene editing (e.g., CRISPR/Cas systems)</w:t>
      </w:r>
      <w:r w:rsidRPr="007979A7">
        <w:rPr>
          <w:rFonts w:ascii="Arial" w:hAnsi="Arial" w:cs="Arial"/>
          <w:lang w:val="en-IN" w:eastAsia="en-IN"/>
        </w:rPr>
        <w:t xml:space="preserve"> hold promise for improving traits such as rooting ability, drought tolerance, and wood quality, thereby enhancing propagation efficiency and plantation productivity.</w:t>
      </w:r>
    </w:p>
    <w:p w14:paraId="52FCCC6C"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t xml:space="preserve">3.4.2 </w:t>
      </w:r>
      <w:r w:rsidRPr="007979A7">
        <w:rPr>
          <w:rFonts w:ascii="Arial" w:hAnsi="Arial" w:cs="Arial"/>
          <w:b/>
          <w:bCs/>
          <w:lang w:val="en-IN" w:eastAsia="en-IN"/>
        </w:rPr>
        <w:tab/>
        <w:t>Scaling Up Micropropagation and Bioreactor Systems</w:t>
      </w:r>
    </w:p>
    <w:p w14:paraId="473B351C"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Despite significant advances, the large-scale adoption of micropropagation is still constrained by cost and technical complexity. Future efforts will focus on </w:t>
      </w:r>
      <w:r w:rsidRPr="007979A7">
        <w:rPr>
          <w:rFonts w:ascii="Arial" w:hAnsi="Arial" w:cs="Arial"/>
          <w:bCs/>
          <w:lang w:val="en-IN" w:eastAsia="en-IN"/>
        </w:rPr>
        <w:t>automation, low-cost media formulations, and modular bioreactor systems</w:t>
      </w:r>
      <w:r w:rsidRPr="007979A7">
        <w:rPr>
          <w:rFonts w:ascii="Arial" w:hAnsi="Arial" w:cs="Arial"/>
          <w:lang w:val="en-IN" w:eastAsia="en-IN"/>
        </w:rPr>
        <w:t xml:space="preserve">, enabling industrial-scale production of planting material. The refinement of </w:t>
      </w:r>
      <w:r w:rsidRPr="007979A7">
        <w:rPr>
          <w:rFonts w:ascii="Arial" w:hAnsi="Arial" w:cs="Arial"/>
          <w:bCs/>
          <w:lang w:val="en-IN" w:eastAsia="en-IN"/>
        </w:rPr>
        <w:t>temporary immersion systems (TIBs)</w:t>
      </w:r>
      <w:r w:rsidRPr="007979A7">
        <w:rPr>
          <w:rFonts w:ascii="Arial" w:hAnsi="Arial" w:cs="Arial"/>
          <w:lang w:val="en-IN" w:eastAsia="en-IN"/>
        </w:rPr>
        <w:t xml:space="preserve"> and continuous culture bioreactors is expected to increase multiplication rates while reducing </w:t>
      </w:r>
      <w:proofErr w:type="spellStart"/>
      <w:r w:rsidRPr="007979A7">
        <w:rPr>
          <w:rFonts w:ascii="Arial" w:hAnsi="Arial" w:cs="Arial"/>
          <w:lang w:val="en-IN" w:eastAsia="en-IN"/>
        </w:rPr>
        <w:t>labor</w:t>
      </w:r>
      <w:proofErr w:type="spellEnd"/>
      <w:r w:rsidRPr="007979A7">
        <w:rPr>
          <w:rFonts w:ascii="Arial" w:hAnsi="Arial" w:cs="Arial"/>
          <w:lang w:val="en-IN" w:eastAsia="en-IN"/>
        </w:rPr>
        <w:t xml:space="preserve"> and operational costs (Aguilar et al., 2019). Integration with ex vitro rooting and acclimatization protocols will further enhance scalability and field performance.</w:t>
      </w:r>
    </w:p>
    <w:p w14:paraId="45713FE6"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t xml:space="preserve">3.4.3 </w:t>
      </w:r>
      <w:r w:rsidRPr="007979A7">
        <w:rPr>
          <w:rFonts w:ascii="Arial" w:hAnsi="Arial" w:cs="Arial"/>
          <w:b/>
          <w:bCs/>
          <w:lang w:val="en-IN" w:eastAsia="en-IN"/>
        </w:rPr>
        <w:tab/>
        <w:t>Synthetic Seeds and Germplasm Conservation</w:t>
      </w:r>
    </w:p>
    <w:p w14:paraId="24AD3465"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lastRenderedPageBreak/>
        <w:t xml:space="preserve">The development of </w:t>
      </w:r>
      <w:r w:rsidRPr="007979A7">
        <w:rPr>
          <w:rFonts w:ascii="Arial" w:hAnsi="Arial" w:cs="Arial"/>
          <w:bCs/>
          <w:lang w:val="en-IN" w:eastAsia="en-IN"/>
        </w:rPr>
        <w:t>synthetic seed technology</w:t>
      </w:r>
      <w:r w:rsidRPr="007979A7">
        <w:rPr>
          <w:rFonts w:ascii="Arial" w:hAnsi="Arial" w:cs="Arial"/>
          <w:lang w:val="en-IN" w:eastAsia="en-IN"/>
        </w:rPr>
        <w:t xml:space="preserve"> offers a promising avenue for long-term storage, transport, and mechanized planting of elite germplasm. Future research should focus on improving </w:t>
      </w:r>
      <w:r w:rsidRPr="007979A7">
        <w:rPr>
          <w:rFonts w:ascii="Arial" w:hAnsi="Arial" w:cs="Arial"/>
          <w:bCs/>
          <w:lang w:val="en-IN" w:eastAsia="en-IN"/>
        </w:rPr>
        <w:t>encapsulation efficiency, storage longevity, and field conversion rates</w:t>
      </w:r>
      <w:r w:rsidRPr="007979A7">
        <w:rPr>
          <w:rFonts w:ascii="Arial" w:hAnsi="Arial" w:cs="Arial"/>
          <w:lang w:val="en-IN" w:eastAsia="en-IN"/>
        </w:rPr>
        <w:t>, making this technology commercially viable for teak.</w:t>
      </w:r>
    </w:p>
    <w:p w14:paraId="23BFD85E"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Such approaches will be particularly important for </w:t>
      </w:r>
      <w:r w:rsidRPr="007979A7">
        <w:rPr>
          <w:rFonts w:ascii="Arial" w:hAnsi="Arial" w:cs="Arial"/>
          <w:bCs/>
          <w:lang w:val="en-IN" w:eastAsia="en-IN"/>
        </w:rPr>
        <w:t>conservation of genetic resources and rapid dissemination of improved planting material across regions</w:t>
      </w:r>
      <w:r w:rsidRPr="007979A7">
        <w:rPr>
          <w:rFonts w:ascii="Arial" w:hAnsi="Arial" w:cs="Arial"/>
          <w:lang w:val="en-IN" w:eastAsia="en-IN"/>
        </w:rPr>
        <w:t>.</w:t>
      </w:r>
    </w:p>
    <w:p w14:paraId="11DC412E"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t xml:space="preserve">3.4.4 </w:t>
      </w:r>
      <w:r w:rsidRPr="007979A7">
        <w:rPr>
          <w:rFonts w:ascii="Arial" w:hAnsi="Arial" w:cs="Arial"/>
          <w:b/>
          <w:bCs/>
          <w:lang w:val="en-IN" w:eastAsia="en-IN"/>
        </w:rPr>
        <w:tab/>
        <w:t>Integration of Bio-inoculants and Microbiome Engineering</w:t>
      </w:r>
    </w:p>
    <w:p w14:paraId="49BD2993"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Future propagation systems will increasingly incorporate </w:t>
      </w:r>
      <w:r w:rsidRPr="007979A7">
        <w:rPr>
          <w:rFonts w:ascii="Arial" w:hAnsi="Arial" w:cs="Arial"/>
          <w:bCs/>
          <w:lang w:val="en-IN" w:eastAsia="en-IN"/>
        </w:rPr>
        <w:t>plant–microbiome interactions</w:t>
      </w:r>
      <w:r w:rsidRPr="007979A7">
        <w:rPr>
          <w:rFonts w:ascii="Arial" w:hAnsi="Arial" w:cs="Arial"/>
          <w:lang w:val="en-IN" w:eastAsia="en-IN"/>
        </w:rPr>
        <w:t xml:space="preserve">. The use of </w:t>
      </w:r>
      <w:r w:rsidRPr="007979A7">
        <w:rPr>
          <w:rFonts w:ascii="Arial" w:hAnsi="Arial" w:cs="Arial"/>
          <w:bCs/>
          <w:lang w:val="en-IN" w:eastAsia="en-IN"/>
        </w:rPr>
        <w:t>PGPR, AMF, and endophytic microbes</w:t>
      </w:r>
      <w:r w:rsidRPr="007979A7">
        <w:rPr>
          <w:rFonts w:ascii="Arial" w:hAnsi="Arial" w:cs="Arial"/>
          <w:lang w:val="en-IN" w:eastAsia="en-IN"/>
        </w:rPr>
        <w:t xml:space="preserve"> is expected to evolve into targeted microbiome engineering, where beneficial microbial consortia are tailored to enhance growth, nutrient uptake, and stress tolerance. This integration will reduce dependency on chemical inputs and contribute to </w:t>
      </w:r>
      <w:r w:rsidRPr="007979A7">
        <w:rPr>
          <w:rFonts w:ascii="Arial" w:hAnsi="Arial" w:cs="Arial"/>
          <w:bCs/>
          <w:lang w:val="en-IN" w:eastAsia="en-IN"/>
        </w:rPr>
        <w:t>sustainable, low-carbon forestry systems</w:t>
      </w:r>
      <w:r w:rsidRPr="007979A7">
        <w:rPr>
          <w:rFonts w:ascii="Arial" w:hAnsi="Arial" w:cs="Arial"/>
          <w:lang w:val="en-IN" w:eastAsia="en-IN"/>
        </w:rPr>
        <w:t>.</w:t>
      </w:r>
    </w:p>
    <w:p w14:paraId="78F0B827"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t xml:space="preserve">3.4.5 </w:t>
      </w:r>
      <w:r w:rsidRPr="007979A7">
        <w:rPr>
          <w:rFonts w:ascii="Arial" w:hAnsi="Arial" w:cs="Arial"/>
          <w:b/>
          <w:bCs/>
          <w:lang w:val="en-IN" w:eastAsia="en-IN"/>
        </w:rPr>
        <w:tab/>
        <w:t>Digitalization and Smart Nursery Systems</w:t>
      </w:r>
    </w:p>
    <w:p w14:paraId="45D5A282"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The adoption of </w:t>
      </w:r>
      <w:r w:rsidRPr="007979A7">
        <w:rPr>
          <w:rFonts w:ascii="Arial" w:hAnsi="Arial" w:cs="Arial"/>
          <w:bCs/>
          <w:lang w:val="en-IN" w:eastAsia="en-IN"/>
        </w:rPr>
        <w:t>digital tools and artificial intelligence (AI)</w:t>
      </w:r>
      <w:r w:rsidRPr="007979A7">
        <w:rPr>
          <w:rFonts w:ascii="Arial" w:hAnsi="Arial" w:cs="Arial"/>
          <w:lang w:val="en-IN" w:eastAsia="en-IN"/>
        </w:rPr>
        <w:t xml:space="preserve"> will play a transformative role in teak propagation. Smart nurseries equipped with:</w:t>
      </w:r>
    </w:p>
    <w:p w14:paraId="2FC83643" w14:textId="77777777" w:rsidR="00F622D8" w:rsidRPr="007979A7" w:rsidRDefault="00F622D8" w:rsidP="00F622D8">
      <w:pPr>
        <w:numPr>
          <w:ilvl w:val="0"/>
          <w:numId w:val="34"/>
        </w:numPr>
        <w:spacing w:line="276" w:lineRule="auto"/>
        <w:ind w:left="714" w:hanging="357"/>
        <w:jc w:val="both"/>
        <w:rPr>
          <w:rFonts w:ascii="Arial" w:hAnsi="Arial" w:cs="Arial"/>
          <w:lang w:val="en-IN" w:eastAsia="en-IN"/>
        </w:rPr>
      </w:pPr>
      <w:r w:rsidRPr="007979A7">
        <w:rPr>
          <w:rFonts w:ascii="Arial" w:hAnsi="Arial" w:cs="Arial"/>
          <w:lang w:val="en-IN" w:eastAsia="en-IN"/>
        </w:rPr>
        <w:t xml:space="preserve">Sensor-based climate control </w:t>
      </w:r>
    </w:p>
    <w:p w14:paraId="2ED6646F" w14:textId="77777777" w:rsidR="00F622D8" w:rsidRPr="007979A7" w:rsidRDefault="00F622D8" w:rsidP="00F622D8">
      <w:pPr>
        <w:numPr>
          <w:ilvl w:val="0"/>
          <w:numId w:val="34"/>
        </w:numPr>
        <w:spacing w:line="276" w:lineRule="auto"/>
        <w:ind w:left="714" w:hanging="357"/>
        <w:jc w:val="both"/>
        <w:rPr>
          <w:rFonts w:ascii="Arial" w:hAnsi="Arial" w:cs="Arial"/>
          <w:lang w:val="en-IN" w:eastAsia="en-IN"/>
        </w:rPr>
      </w:pPr>
      <w:r w:rsidRPr="007979A7">
        <w:rPr>
          <w:rFonts w:ascii="Arial" w:hAnsi="Arial" w:cs="Arial"/>
          <w:lang w:val="en-IN" w:eastAsia="en-IN"/>
        </w:rPr>
        <w:t xml:space="preserve">Automated irrigation and misting systems </w:t>
      </w:r>
    </w:p>
    <w:p w14:paraId="71D7C3B9" w14:textId="77777777" w:rsidR="00F622D8" w:rsidRPr="007979A7" w:rsidRDefault="00F622D8" w:rsidP="00F622D8">
      <w:pPr>
        <w:numPr>
          <w:ilvl w:val="0"/>
          <w:numId w:val="34"/>
        </w:numPr>
        <w:spacing w:line="276" w:lineRule="auto"/>
        <w:ind w:left="714" w:hanging="357"/>
        <w:jc w:val="both"/>
        <w:rPr>
          <w:rFonts w:ascii="Arial" w:hAnsi="Arial" w:cs="Arial"/>
          <w:lang w:val="en-IN" w:eastAsia="en-IN"/>
        </w:rPr>
      </w:pPr>
      <w:r w:rsidRPr="007979A7">
        <w:rPr>
          <w:rFonts w:ascii="Arial" w:hAnsi="Arial" w:cs="Arial"/>
          <w:lang w:val="en-IN" w:eastAsia="en-IN"/>
        </w:rPr>
        <w:t xml:space="preserve">AI-driven decision support </w:t>
      </w:r>
    </w:p>
    <w:p w14:paraId="7D7C8265"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will enable </w:t>
      </w:r>
      <w:r w:rsidRPr="007979A7">
        <w:rPr>
          <w:rFonts w:ascii="Arial" w:hAnsi="Arial" w:cs="Arial"/>
          <w:bCs/>
          <w:lang w:val="en-IN" w:eastAsia="en-IN"/>
        </w:rPr>
        <w:t>real-time optimization of propagation conditions</w:t>
      </w:r>
      <w:r w:rsidRPr="007979A7">
        <w:rPr>
          <w:rFonts w:ascii="Arial" w:hAnsi="Arial" w:cs="Arial"/>
          <w:lang w:val="en-IN" w:eastAsia="en-IN"/>
        </w:rPr>
        <w:t xml:space="preserve">, improving efficiency and reducing variability. Data-driven approaches will also facilitate </w:t>
      </w:r>
      <w:r w:rsidRPr="007979A7">
        <w:rPr>
          <w:rFonts w:ascii="Arial" w:hAnsi="Arial" w:cs="Arial"/>
          <w:bCs/>
          <w:lang w:val="en-IN" w:eastAsia="en-IN"/>
        </w:rPr>
        <w:t xml:space="preserve">predictive </w:t>
      </w:r>
      <w:proofErr w:type="spellStart"/>
      <w:r w:rsidRPr="007979A7">
        <w:rPr>
          <w:rFonts w:ascii="Arial" w:hAnsi="Arial" w:cs="Arial"/>
          <w:bCs/>
          <w:lang w:val="en-IN" w:eastAsia="en-IN"/>
        </w:rPr>
        <w:t>modeling</w:t>
      </w:r>
      <w:proofErr w:type="spellEnd"/>
      <w:r w:rsidRPr="007979A7">
        <w:rPr>
          <w:rFonts w:ascii="Arial" w:hAnsi="Arial" w:cs="Arial"/>
          <w:bCs/>
          <w:lang w:val="en-IN" w:eastAsia="en-IN"/>
        </w:rPr>
        <w:t xml:space="preserve"> of growth and survival</w:t>
      </w:r>
      <w:r w:rsidRPr="007979A7">
        <w:rPr>
          <w:rFonts w:ascii="Arial" w:hAnsi="Arial" w:cs="Arial"/>
          <w:lang w:val="en-IN" w:eastAsia="en-IN"/>
        </w:rPr>
        <w:t>, enhancing plantation planning and management (Midgley et al., 2015).</w:t>
      </w:r>
    </w:p>
    <w:p w14:paraId="2CA35600"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t xml:space="preserve">3.4.6 </w:t>
      </w:r>
      <w:r w:rsidRPr="007979A7">
        <w:rPr>
          <w:rFonts w:ascii="Arial" w:hAnsi="Arial" w:cs="Arial"/>
          <w:b/>
          <w:bCs/>
          <w:lang w:val="en-IN" w:eastAsia="en-IN"/>
        </w:rPr>
        <w:tab/>
        <w:t>Climate-Resilient and Site-Specific Propagation Strategies</w:t>
      </w:r>
    </w:p>
    <w:p w14:paraId="11271AD7"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Climate change is expected to significantly influence teak growth and distribution. Future propagation strategies will need to prioritize:</w:t>
      </w:r>
    </w:p>
    <w:p w14:paraId="243D5F9B" w14:textId="77777777" w:rsidR="00F622D8" w:rsidRPr="007979A7" w:rsidRDefault="00F622D8" w:rsidP="00F622D8">
      <w:pPr>
        <w:numPr>
          <w:ilvl w:val="0"/>
          <w:numId w:val="35"/>
        </w:numPr>
        <w:spacing w:line="276" w:lineRule="auto"/>
        <w:ind w:left="714" w:hanging="357"/>
        <w:jc w:val="both"/>
        <w:rPr>
          <w:rFonts w:ascii="Arial" w:hAnsi="Arial" w:cs="Arial"/>
          <w:lang w:val="en-IN" w:eastAsia="en-IN"/>
        </w:rPr>
      </w:pPr>
      <w:r w:rsidRPr="007979A7">
        <w:rPr>
          <w:rFonts w:ascii="Arial" w:hAnsi="Arial" w:cs="Arial"/>
          <w:lang w:val="en-IN" w:eastAsia="en-IN"/>
        </w:rPr>
        <w:t xml:space="preserve">Development of </w:t>
      </w:r>
      <w:r w:rsidRPr="007979A7">
        <w:rPr>
          <w:rFonts w:ascii="Arial" w:hAnsi="Arial" w:cs="Arial"/>
          <w:bCs/>
          <w:lang w:val="en-IN" w:eastAsia="en-IN"/>
        </w:rPr>
        <w:t>drought- and heat-tolerant clones</w:t>
      </w:r>
      <w:r w:rsidRPr="007979A7">
        <w:rPr>
          <w:rFonts w:ascii="Arial" w:hAnsi="Arial" w:cs="Arial"/>
          <w:lang w:val="en-IN" w:eastAsia="en-IN"/>
        </w:rPr>
        <w:t xml:space="preserve"> </w:t>
      </w:r>
    </w:p>
    <w:p w14:paraId="61898B4F" w14:textId="77777777" w:rsidR="00F622D8" w:rsidRPr="007979A7" w:rsidRDefault="00F622D8" w:rsidP="00F622D8">
      <w:pPr>
        <w:numPr>
          <w:ilvl w:val="0"/>
          <w:numId w:val="35"/>
        </w:numPr>
        <w:spacing w:line="276" w:lineRule="auto"/>
        <w:ind w:left="714" w:hanging="357"/>
        <w:jc w:val="both"/>
        <w:rPr>
          <w:rFonts w:ascii="Arial" w:hAnsi="Arial" w:cs="Arial"/>
          <w:lang w:val="en-IN" w:eastAsia="en-IN"/>
        </w:rPr>
      </w:pPr>
      <w:r w:rsidRPr="007979A7">
        <w:rPr>
          <w:rFonts w:ascii="Arial" w:hAnsi="Arial" w:cs="Arial"/>
          <w:lang w:val="en-IN" w:eastAsia="en-IN"/>
        </w:rPr>
        <w:t xml:space="preserve">Matching genotypes to </w:t>
      </w:r>
      <w:r w:rsidRPr="007979A7">
        <w:rPr>
          <w:rFonts w:ascii="Arial" w:hAnsi="Arial" w:cs="Arial"/>
          <w:bCs/>
          <w:lang w:val="en-IN" w:eastAsia="en-IN"/>
        </w:rPr>
        <w:t>site-specific climatic and edaphic conditions</w:t>
      </w:r>
      <w:r w:rsidRPr="007979A7">
        <w:rPr>
          <w:rFonts w:ascii="Arial" w:hAnsi="Arial" w:cs="Arial"/>
          <w:lang w:val="en-IN" w:eastAsia="en-IN"/>
        </w:rPr>
        <w:t xml:space="preserve"> </w:t>
      </w:r>
    </w:p>
    <w:p w14:paraId="74B232E8" w14:textId="77777777" w:rsidR="00F622D8" w:rsidRPr="007979A7" w:rsidRDefault="00F622D8" w:rsidP="00F622D8">
      <w:pPr>
        <w:numPr>
          <w:ilvl w:val="0"/>
          <w:numId w:val="35"/>
        </w:numPr>
        <w:spacing w:line="276" w:lineRule="auto"/>
        <w:ind w:left="714" w:hanging="357"/>
        <w:jc w:val="both"/>
        <w:rPr>
          <w:rFonts w:ascii="Arial" w:hAnsi="Arial" w:cs="Arial"/>
          <w:lang w:val="en-IN" w:eastAsia="en-IN"/>
        </w:rPr>
      </w:pPr>
      <w:r w:rsidRPr="007979A7">
        <w:rPr>
          <w:rFonts w:ascii="Arial" w:hAnsi="Arial" w:cs="Arial"/>
          <w:lang w:val="en-IN" w:eastAsia="en-IN"/>
        </w:rPr>
        <w:t xml:space="preserve">Integration of propagation with </w:t>
      </w:r>
      <w:r w:rsidRPr="007979A7">
        <w:rPr>
          <w:rFonts w:ascii="Arial" w:hAnsi="Arial" w:cs="Arial"/>
          <w:bCs/>
          <w:lang w:val="en-IN" w:eastAsia="en-IN"/>
        </w:rPr>
        <w:t xml:space="preserve">climate </w:t>
      </w:r>
      <w:proofErr w:type="spellStart"/>
      <w:r w:rsidRPr="007979A7">
        <w:rPr>
          <w:rFonts w:ascii="Arial" w:hAnsi="Arial" w:cs="Arial"/>
          <w:bCs/>
          <w:lang w:val="en-IN" w:eastAsia="en-IN"/>
        </w:rPr>
        <w:t>modeling</w:t>
      </w:r>
      <w:proofErr w:type="spellEnd"/>
      <w:r w:rsidRPr="007979A7">
        <w:rPr>
          <w:rFonts w:ascii="Arial" w:hAnsi="Arial" w:cs="Arial"/>
          <w:bCs/>
          <w:lang w:val="en-IN" w:eastAsia="en-IN"/>
        </w:rPr>
        <w:t xml:space="preserve"> and risk assessment</w:t>
      </w:r>
      <w:r w:rsidRPr="007979A7">
        <w:rPr>
          <w:rFonts w:ascii="Arial" w:hAnsi="Arial" w:cs="Arial"/>
          <w:lang w:val="en-IN" w:eastAsia="en-IN"/>
        </w:rPr>
        <w:t xml:space="preserve"> </w:t>
      </w:r>
    </w:p>
    <w:p w14:paraId="7357ECFB"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Such approaches will ensure the establishment of </w:t>
      </w:r>
      <w:r w:rsidRPr="007979A7">
        <w:rPr>
          <w:rFonts w:ascii="Arial" w:hAnsi="Arial" w:cs="Arial"/>
          <w:bCs/>
          <w:lang w:val="en-IN" w:eastAsia="en-IN"/>
        </w:rPr>
        <w:t>resilient plantations capable of sustaining productivity under changing environmental conditions</w:t>
      </w:r>
      <w:r w:rsidRPr="007979A7">
        <w:rPr>
          <w:rFonts w:ascii="Arial" w:hAnsi="Arial" w:cs="Arial"/>
          <w:lang w:val="en-IN" w:eastAsia="en-IN"/>
        </w:rPr>
        <w:t xml:space="preserve"> (IPCC, 2019; IPCC, 2023; Griscom et al., 2017).</w:t>
      </w:r>
    </w:p>
    <w:p w14:paraId="0F2B5F62" w14:textId="77777777" w:rsidR="00F622D8" w:rsidRPr="007979A7" w:rsidRDefault="00F622D8" w:rsidP="00F622D8">
      <w:pPr>
        <w:spacing w:before="120" w:line="276" w:lineRule="auto"/>
        <w:jc w:val="both"/>
        <w:outlineLvl w:val="2"/>
        <w:rPr>
          <w:rFonts w:ascii="Arial" w:hAnsi="Arial" w:cs="Arial"/>
          <w:b/>
          <w:bCs/>
          <w:lang w:val="en-IN" w:eastAsia="en-IN"/>
        </w:rPr>
      </w:pPr>
      <w:r w:rsidRPr="007979A7">
        <w:rPr>
          <w:rFonts w:ascii="Arial" w:hAnsi="Arial" w:cs="Arial"/>
          <w:b/>
          <w:bCs/>
          <w:lang w:val="en-IN" w:eastAsia="en-IN"/>
        </w:rPr>
        <w:t xml:space="preserve">3.4.7 </w:t>
      </w:r>
      <w:r w:rsidRPr="007979A7">
        <w:rPr>
          <w:rFonts w:ascii="Arial" w:hAnsi="Arial" w:cs="Arial"/>
          <w:b/>
          <w:bCs/>
          <w:lang w:val="en-IN" w:eastAsia="en-IN"/>
        </w:rPr>
        <w:tab/>
        <w:t>Towards Integrated Propagation–Productivity Frameworks</w:t>
      </w:r>
    </w:p>
    <w:p w14:paraId="0DF6F25E"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Future research should move beyond isolated propagation studies toward </w:t>
      </w:r>
      <w:r w:rsidRPr="007979A7">
        <w:rPr>
          <w:rFonts w:ascii="Arial" w:hAnsi="Arial" w:cs="Arial"/>
          <w:bCs/>
          <w:lang w:val="en-IN" w:eastAsia="en-IN"/>
        </w:rPr>
        <w:t>integrated frameworks linking propagation methods with field performance, economics, and ecosystem</w:t>
      </w:r>
      <w:r w:rsidRPr="007979A7">
        <w:rPr>
          <w:rFonts w:ascii="Arial" w:hAnsi="Arial" w:cs="Arial"/>
          <w:b/>
          <w:bCs/>
          <w:lang w:val="en-IN" w:eastAsia="en-IN"/>
        </w:rPr>
        <w:t xml:space="preserve"> </w:t>
      </w:r>
      <w:r w:rsidRPr="007979A7">
        <w:rPr>
          <w:rFonts w:ascii="Arial" w:hAnsi="Arial" w:cs="Arial"/>
          <w:bCs/>
          <w:lang w:val="en-IN" w:eastAsia="en-IN"/>
        </w:rPr>
        <w:t>services</w:t>
      </w:r>
      <w:r w:rsidRPr="007979A7">
        <w:rPr>
          <w:rFonts w:ascii="Arial" w:hAnsi="Arial" w:cs="Arial"/>
          <w:lang w:val="en-IN" w:eastAsia="en-IN"/>
        </w:rPr>
        <w:t>.</w:t>
      </w:r>
    </w:p>
    <w:p w14:paraId="55BCC9BA"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This includes:</w:t>
      </w:r>
    </w:p>
    <w:p w14:paraId="4693CCA5" w14:textId="77777777" w:rsidR="00F622D8" w:rsidRPr="007979A7" w:rsidRDefault="00F622D8" w:rsidP="00F622D8">
      <w:pPr>
        <w:numPr>
          <w:ilvl w:val="0"/>
          <w:numId w:val="36"/>
        </w:numPr>
        <w:spacing w:line="276" w:lineRule="auto"/>
        <w:ind w:left="714" w:hanging="357"/>
        <w:jc w:val="both"/>
        <w:rPr>
          <w:rFonts w:ascii="Arial" w:hAnsi="Arial" w:cs="Arial"/>
          <w:lang w:val="en-IN" w:eastAsia="en-IN"/>
        </w:rPr>
      </w:pPr>
      <w:r w:rsidRPr="007979A7">
        <w:rPr>
          <w:rFonts w:ascii="Arial" w:hAnsi="Arial" w:cs="Arial"/>
          <w:lang w:val="en-IN" w:eastAsia="en-IN"/>
        </w:rPr>
        <w:t xml:space="preserve">Long-term trials comparing propagation systems across regions </w:t>
      </w:r>
    </w:p>
    <w:p w14:paraId="2F1EBB3F" w14:textId="77777777" w:rsidR="00F622D8" w:rsidRPr="007979A7" w:rsidRDefault="00F622D8" w:rsidP="00F622D8">
      <w:pPr>
        <w:numPr>
          <w:ilvl w:val="0"/>
          <w:numId w:val="36"/>
        </w:numPr>
        <w:spacing w:line="276" w:lineRule="auto"/>
        <w:ind w:left="714" w:hanging="357"/>
        <w:jc w:val="both"/>
        <w:rPr>
          <w:rFonts w:ascii="Arial" w:hAnsi="Arial" w:cs="Arial"/>
          <w:lang w:val="en-IN" w:eastAsia="en-IN"/>
        </w:rPr>
      </w:pPr>
      <w:r w:rsidRPr="007979A7">
        <w:rPr>
          <w:rFonts w:ascii="Arial" w:hAnsi="Arial" w:cs="Arial"/>
          <w:lang w:val="en-IN" w:eastAsia="en-IN"/>
        </w:rPr>
        <w:t xml:space="preserve">Quantification of impacts on </w:t>
      </w:r>
      <w:r w:rsidRPr="007979A7">
        <w:rPr>
          <w:rFonts w:ascii="Arial" w:hAnsi="Arial" w:cs="Arial"/>
          <w:bCs/>
          <w:lang w:val="en-IN" w:eastAsia="en-IN"/>
        </w:rPr>
        <w:t>MAI, rotation length, and carbon sequestration</w:t>
      </w:r>
      <w:r w:rsidRPr="007979A7">
        <w:rPr>
          <w:rFonts w:ascii="Arial" w:hAnsi="Arial" w:cs="Arial"/>
          <w:lang w:val="en-IN" w:eastAsia="en-IN"/>
        </w:rPr>
        <w:t xml:space="preserve"> </w:t>
      </w:r>
    </w:p>
    <w:p w14:paraId="4902298A" w14:textId="77777777" w:rsidR="00F622D8" w:rsidRPr="007979A7" w:rsidRDefault="00F622D8" w:rsidP="00F622D8">
      <w:pPr>
        <w:numPr>
          <w:ilvl w:val="0"/>
          <w:numId w:val="36"/>
        </w:numPr>
        <w:spacing w:line="276" w:lineRule="auto"/>
        <w:ind w:left="714" w:hanging="357"/>
        <w:jc w:val="both"/>
        <w:rPr>
          <w:rFonts w:ascii="Arial" w:hAnsi="Arial" w:cs="Arial"/>
          <w:lang w:val="en-IN" w:eastAsia="en-IN"/>
        </w:rPr>
      </w:pPr>
      <w:r w:rsidRPr="007979A7">
        <w:rPr>
          <w:rFonts w:ascii="Arial" w:hAnsi="Arial" w:cs="Arial"/>
          <w:lang w:val="en-IN" w:eastAsia="en-IN"/>
        </w:rPr>
        <w:t xml:space="preserve">Integration with </w:t>
      </w:r>
      <w:r w:rsidRPr="007979A7">
        <w:rPr>
          <w:rFonts w:ascii="Arial" w:hAnsi="Arial" w:cs="Arial"/>
          <w:bCs/>
          <w:lang w:val="en-IN" w:eastAsia="en-IN"/>
        </w:rPr>
        <w:t>value chains and market dynamics</w:t>
      </w:r>
      <w:r w:rsidRPr="007979A7">
        <w:rPr>
          <w:rFonts w:ascii="Arial" w:hAnsi="Arial" w:cs="Arial"/>
          <w:lang w:val="en-IN" w:eastAsia="en-IN"/>
        </w:rPr>
        <w:t xml:space="preserve"> </w:t>
      </w:r>
    </w:p>
    <w:p w14:paraId="7300822C" w14:textId="77777777" w:rsidR="00F622D8" w:rsidRPr="007979A7" w:rsidRDefault="00F622D8" w:rsidP="00F622D8">
      <w:pPr>
        <w:spacing w:before="120" w:line="276" w:lineRule="auto"/>
        <w:jc w:val="both"/>
        <w:rPr>
          <w:rFonts w:ascii="Arial" w:hAnsi="Arial" w:cs="Arial"/>
          <w:lang w:val="en-IN" w:eastAsia="en-IN"/>
        </w:rPr>
      </w:pPr>
      <w:r w:rsidRPr="007979A7">
        <w:rPr>
          <w:rFonts w:ascii="Arial" w:hAnsi="Arial" w:cs="Arial"/>
          <w:lang w:val="en-IN" w:eastAsia="en-IN"/>
        </w:rPr>
        <w:t xml:space="preserve">Such holistic approaches will provide a stronger scientific basis for </w:t>
      </w:r>
      <w:r w:rsidRPr="007979A7">
        <w:rPr>
          <w:rFonts w:ascii="Arial" w:hAnsi="Arial" w:cs="Arial"/>
          <w:bCs/>
          <w:lang w:val="en-IN" w:eastAsia="en-IN"/>
        </w:rPr>
        <w:t>policy formulation and large-scale plantation development</w:t>
      </w:r>
      <w:r w:rsidRPr="007979A7">
        <w:rPr>
          <w:rFonts w:ascii="Arial" w:hAnsi="Arial" w:cs="Arial"/>
          <w:lang w:val="en-IN" w:eastAsia="en-IN"/>
        </w:rPr>
        <w:t>.</w:t>
      </w:r>
    </w:p>
    <w:p w14:paraId="758ED987" w14:textId="77777777" w:rsidR="00F622D8" w:rsidRPr="007979A7" w:rsidRDefault="00F622D8" w:rsidP="00F622D8">
      <w:pPr>
        <w:spacing w:before="120" w:line="276" w:lineRule="auto"/>
        <w:jc w:val="both"/>
        <w:outlineLvl w:val="1"/>
        <w:rPr>
          <w:rFonts w:ascii="Arial" w:hAnsi="Arial" w:cs="Arial"/>
          <w:b/>
          <w:bCs/>
          <w:lang w:val="en-IN" w:eastAsia="en-IN"/>
        </w:rPr>
      </w:pPr>
      <w:r w:rsidRPr="007979A7">
        <w:rPr>
          <w:rFonts w:ascii="Arial" w:hAnsi="Arial" w:cs="Arial"/>
          <w:b/>
          <w:bCs/>
          <w:lang w:val="en-IN" w:eastAsia="en-IN"/>
        </w:rPr>
        <w:lastRenderedPageBreak/>
        <w:t xml:space="preserve">3.4.8 </w:t>
      </w:r>
      <w:r w:rsidRPr="007979A7">
        <w:rPr>
          <w:rFonts w:ascii="Arial" w:hAnsi="Arial" w:cs="Arial"/>
          <w:b/>
          <w:bCs/>
          <w:lang w:val="en-IN" w:eastAsia="en-IN"/>
        </w:rPr>
        <w:tab/>
        <w:t>Strategic Research Priorities</w:t>
      </w:r>
    </w:p>
    <w:p w14:paraId="043C0084" w14:textId="77777777" w:rsidR="00F622D8" w:rsidRPr="007979A7" w:rsidRDefault="00F622D8" w:rsidP="00F622D8">
      <w:pPr>
        <w:spacing w:line="276" w:lineRule="auto"/>
        <w:jc w:val="both"/>
        <w:rPr>
          <w:rFonts w:ascii="Arial" w:hAnsi="Arial" w:cs="Arial"/>
          <w:lang w:val="en-IN" w:eastAsia="en-IN"/>
        </w:rPr>
      </w:pPr>
      <w:r w:rsidRPr="007979A7">
        <w:rPr>
          <w:rFonts w:ascii="Arial" w:hAnsi="Arial" w:cs="Arial"/>
          <w:lang w:val="en-IN" w:eastAsia="en-IN"/>
        </w:rPr>
        <w:t>To fully realize the potential of emerging technologies, the following priorities are critical:</w:t>
      </w:r>
    </w:p>
    <w:p w14:paraId="0CEC6DCC" w14:textId="77777777" w:rsidR="00F622D8" w:rsidRPr="007979A7" w:rsidRDefault="00F622D8" w:rsidP="00F622D8">
      <w:pPr>
        <w:numPr>
          <w:ilvl w:val="0"/>
          <w:numId w:val="37"/>
        </w:numPr>
        <w:spacing w:line="276" w:lineRule="auto"/>
        <w:jc w:val="both"/>
        <w:rPr>
          <w:rFonts w:ascii="Arial" w:hAnsi="Arial" w:cs="Arial"/>
          <w:lang w:val="en-IN" w:eastAsia="en-IN"/>
        </w:rPr>
      </w:pPr>
      <w:r w:rsidRPr="007979A7">
        <w:rPr>
          <w:rFonts w:ascii="Arial" w:hAnsi="Arial" w:cs="Arial"/>
          <w:lang w:val="en-IN" w:eastAsia="en-IN"/>
        </w:rPr>
        <w:t xml:space="preserve">Standardization of propagation protocols across genotypes and regions </w:t>
      </w:r>
    </w:p>
    <w:p w14:paraId="653CD42B" w14:textId="77777777" w:rsidR="00F622D8" w:rsidRPr="007979A7" w:rsidRDefault="00F622D8" w:rsidP="00F622D8">
      <w:pPr>
        <w:numPr>
          <w:ilvl w:val="0"/>
          <w:numId w:val="37"/>
        </w:numPr>
        <w:spacing w:line="276" w:lineRule="auto"/>
        <w:jc w:val="both"/>
        <w:rPr>
          <w:rFonts w:ascii="Arial" w:hAnsi="Arial" w:cs="Arial"/>
          <w:lang w:val="en-IN" w:eastAsia="en-IN"/>
        </w:rPr>
      </w:pPr>
      <w:r w:rsidRPr="007979A7">
        <w:rPr>
          <w:rFonts w:ascii="Arial" w:hAnsi="Arial" w:cs="Arial"/>
          <w:lang w:val="en-IN" w:eastAsia="en-IN"/>
        </w:rPr>
        <w:t xml:space="preserve">Reduction of costs in tissue culture and clonal propagation systems </w:t>
      </w:r>
    </w:p>
    <w:p w14:paraId="69A46423" w14:textId="77777777" w:rsidR="00F622D8" w:rsidRPr="007979A7" w:rsidRDefault="00F622D8" w:rsidP="00F622D8">
      <w:pPr>
        <w:numPr>
          <w:ilvl w:val="0"/>
          <w:numId w:val="37"/>
        </w:numPr>
        <w:spacing w:line="276" w:lineRule="auto"/>
        <w:jc w:val="both"/>
        <w:rPr>
          <w:rFonts w:ascii="Arial" w:hAnsi="Arial" w:cs="Arial"/>
          <w:lang w:val="en-IN" w:eastAsia="en-IN"/>
        </w:rPr>
      </w:pPr>
      <w:r w:rsidRPr="007979A7">
        <w:rPr>
          <w:rFonts w:ascii="Arial" w:hAnsi="Arial" w:cs="Arial"/>
          <w:lang w:val="en-IN" w:eastAsia="en-IN"/>
        </w:rPr>
        <w:t xml:space="preserve">Integration of biotechnology with traditional silvicultural practices </w:t>
      </w:r>
    </w:p>
    <w:p w14:paraId="62A28FD8" w14:textId="77777777" w:rsidR="00F622D8" w:rsidRPr="007979A7" w:rsidRDefault="00F622D8" w:rsidP="00F622D8">
      <w:pPr>
        <w:numPr>
          <w:ilvl w:val="0"/>
          <w:numId w:val="37"/>
        </w:numPr>
        <w:spacing w:line="276" w:lineRule="auto"/>
        <w:jc w:val="both"/>
        <w:rPr>
          <w:rFonts w:ascii="Arial" w:hAnsi="Arial" w:cs="Arial"/>
          <w:lang w:val="en-IN" w:eastAsia="en-IN"/>
        </w:rPr>
      </w:pPr>
      <w:r w:rsidRPr="007979A7">
        <w:rPr>
          <w:rFonts w:ascii="Arial" w:hAnsi="Arial" w:cs="Arial"/>
          <w:lang w:val="en-IN" w:eastAsia="en-IN"/>
        </w:rPr>
        <w:t xml:space="preserve">Capacity building and technology transfer, particularly in developing regions </w:t>
      </w:r>
    </w:p>
    <w:p w14:paraId="11753859" w14:textId="77777777" w:rsidR="00790ADA" w:rsidRPr="007979A7" w:rsidRDefault="00F622D8" w:rsidP="00441B6F">
      <w:pPr>
        <w:numPr>
          <w:ilvl w:val="0"/>
          <w:numId w:val="37"/>
        </w:numPr>
        <w:spacing w:line="276" w:lineRule="auto"/>
        <w:jc w:val="both"/>
        <w:rPr>
          <w:rFonts w:ascii="Arial" w:hAnsi="Arial" w:cs="Arial"/>
          <w:lang w:val="en-IN" w:eastAsia="en-IN"/>
        </w:rPr>
      </w:pPr>
      <w:r w:rsidRPr="007979A7">
        <w:rPr>
          <w:rFonts w:ascii="Arial" w:hAnsi="Arial" w:cs="Arial"/>
          <w:lang w:val="en-IN" w:eastAsia="en-IN"/>
        </w:rPr>
        <w:t xml:space="preserve">Strengthening collaboration between research institutions, industry, and policymakers </w:t>
      </w:r>
    </w:p>
    <w:p w14:paraId="58FF70DE" w14:textId="77777777" w:rsidR="00B01FCD" w:rsidRPr="007979A7" w:rsidRDefault="00000F8F" w:rsidP="00441B6F">
      <w:pPr>
        <w:pStyle w:val="ConcHead"/>
        <w:spacing w:after="0"/>
        <w:jc w:val="both"/>
        <w:rPr>
          <w:rFonts w:ascii="Arial" w:hAnsi="Arial" w:cs="Arial"/>
        </w:rPr>
      </w:pPr>
      <w:r w:rsidRPr="007979A7">
        <w:rPr>
          <w:rFonts w:ascii="Arial" w:hAnsi="Arial" w:cs="Arial"/>
        </w:rPr>
        <w:t xml:space="preserve">4. </w:t>
      </w:r>
      <w:r w:rsidR="00B01FCD" w:rsidRPr="007979A7">
        <w:rPr>
          <w:rFonts w:ascii="Arial" w:hAnsi="Arial" w:cs="Arial"/>
        </w:rPr>
        <w:t>Conclusion</w:t>
      </w:r>
    </w:p>
    <w:p w14:paraId="5A99D9E0" w14:textId="77777777" w:rsidR="002A7B17" w:rsidRPr="007979A7" w:rsidRDefault="002A7B17" w:rsidP="002A7B17">
      <w:pPr>
        <w:spacing w:before="120" w:line="276" w:lineRule="auto"/>
        <w:jc w:val="both"/>
        <w:rPr>
          <w:rFonts w:ascii="Arial" w:hAnsi="Arial" w:cs="Arial"/>
        </w:rPr>
      </w:pPr>
      <w:r w:rsidRPr="007979A7">
        <w:rPr>
          <w:rFonts w:ascii="Arial" w:hAnsi="Arial" w:cs="Arial"/>
        </w:rPr>
        <w:t xml:space="preserve">Propagation of </w:t>
      </w:r>
      <w:r w:rsidRPr="007979A7">
        <w:rPr>
          <w:rStyle w:val="Emphasis"/>
          <w:rFonts w:ascii="Arial" w:hAnsi="Arial" w:cs="Arial"/>
        </w:rPr>
        <w:t>Tectona grandis</w:t>
      </w:r>
      <w:r w:rsidRPr="007979A7">
        <w:rPr>
          <w:rFonts w:ascii="Arial" w:hAnsi="Arial" w:cs="Arial"/>
        </w:rPr>
        <w:t xml:space="preserve"> has evolved from traditional seed-based methods to advanced clonal and biotechnological systems, significantly improving plantation productivity and uniformity. Seed propagation remains important for low-input forestry but is limited by poor germination, high variability, and lower yields. Clonal forestry and mini-cutting systems have greatly enhanced rooting success, stand uniformity, and productivity, while micropropagation offers the highest multiplication efficiency for elite genotypes. Emerging technologies such as somatic embryogenesis and molecular breeding hold strong potential for precision teak improvement. The advantages of advanced teak propagation technologies are pictorially concluded in Fig 5. </w:t>
      </w:r>
    </w:p>
    <w:tbl>
      <w:tblPr>
        <w:tblW w:w="0" w:type="auto"/>
        <w:jc w:val="center"/>
        <w:tblLook w:val="04A0" w:firstRow="1" w:lastRow="0" w:firstColumn="1" w:lastColumn="0" w:noHBand="0" w:noVBand="1"/>
      </w:tblPr>
      <w:tblGrid>
        <w:gridCol w:w="8424"/>
      </w:tblGrid>
      <w:tr w:rsidR="002A7B17" w:rsidRPr="007979A7" w14:paraId="46D68ADD" w14:textId="77777777" w:rsidTr="001E4206">
        <w:trPr>
          <w:jc w:val="center"/>
        </w:trPr>
        <w:tc>
          <w:tcPr>
            <w:tcW w:w="8649" w:type="dxa"/>
          </w:tcPr>
          <w:p w14:paraId="5B484F6C" w14:textId="77777777" w:rsidR="002A7B17" w:rsidRPr="007979A7" w:rsidRDefault="002A7B17" w:rsidP="001E4206">
            <w:pPr>
              <w:spacing w:before="120" w:line="276" w:lineRule="auto"/>
              <w:jc w:val="both"/>
              <w:rPr>
                <w:rFonts w:ascii="Arial" w:hAnsi="Arial" w:cs="Arial"/>
                <w:b/>
                <w:noProof/>
                <w:lang w:val="en-IN" w:eastAsia="en-IN"/>
              </w:rPr>
            </w:pPr>
            <w:r w:rsidRPr="007979A7">
              <w:rPr>
                <w:rFonts w:ascii="Arial" w:hAnsi="Arial" w:cs="Arial"/>
              </w:rPr>
              <w:t xml:space="preserve"> </w:t>
            </w:r>
            <w:r w:rsidRPr="007979A7">
              <w:rPr>
                <w:rFonts w:ascii="Arial" w:hAnsi="Arial" w:cs="Arial"/>
                <w:b/>
                <w:noProof/>
                <w:lang w:val="en-IN" w:eastAsia="en-IN"/>
              </w:rPr>
              <w:drawing>
                <wp:inline distT="0" distB="0" distL="0" distR="0" wp14:anchorId="5A318763" wp14:editId="3923B410">
                  <wp:extent cx="5353050" cy="3219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r="331" b="9927"/>
                          <a:stretch>
                            <a:fillRect/>
                          </a:stretch>
                        </pic:blipFill>
                        <pic:spPr bwMode="auto">
                          <a:xfrm>
                            <a:off x="0" y="0"/>
                            <a:ext cx="5353050" cy="3219450"/>
                          </a:xfrm>
                          <a:prstGeom prst="rect">
                            <a:avLst/>
                          </a:prstGeom>
                          <a:noFill/>
                          <a:ln>
                            <a:noFill/>
                          </a:ln>
                        </pic:spPr>
                      </pic:pic>
                    </a:graphicData>
                  </a:graphic>
                </wp:inline>
              </w:drawing>
            </w:r>
          </w:p>
          <w:p w14:paraId="001BD567" w14:textId="77777777" w:rsidR="002A7B17" w:rsidRPr="007979A7" w:rsidRDefault="002A7B17" w:rsidP="001E4206">
            <w:pPr>
              <w:spacing w:before="120" w:line="276" w:lineRule="auto"/>
              <w:jc w:val="center"/>
              <w:rPr>
                <w:rFonts w:ascii="Arial" w:hAnsi="Arial" w:cs="Arial"/>
              </w:rPr>
            </w:pPr>
            <w:r w:rsidRPr="007979A7">
              <w:rPr>
                <w:rFonts w:ascii="Arial" w:hAnsi="Arial" w:cs="Arial"/>
                <w:noProof/>
                <w:lang w:val="en-IN" w:eastAsia="en-IN"/>
              </w:rPr>
              <w:t>Fig 5</w:t>
            </w:r>
            <w:r w:rsidRPr="007979A7">
              <w:rPr>
                <w:rFonts w:ascii="Arial" w:hAnsi="Arial" w:cs="Arial"/>
                <w:b/>
                <w:noProof/>
                <w:lang w:val="en-IN" w:eastAsia="en-IN"/>
              </w:rPr>
              <w:t xml:space="preserve">. </w:t>
            </w:r>
            <w:r w:rsidRPr="007979A7">
              <w:rPr>
                <w:rFonts w:ascii="Arial" w:hAnsi="Arial" w:cs="Arial"/>
              </w:rPr>
              <w:t>Advantages of advanced teak propagation technologies</w:t>
            </w:r>
          </w:p>
        </w:tc>
      </w:tr>
    </w:tbl>
    <w:p w14:paraId="2F9A0DD7" w14:textId="77777777" w:rsidR="002A7B17" w:rsidRPr="007979A7" w:rsidRDefault="002A7B17" w:rsidP="002A7B17">
      <w:pPr>
        <w:spacing w:before="120" w:line="276" w:lineRule="auto"/>
        <w:ind w:firstLine="720"/>
        <w:jc w:val="both"/>
        <w:rPr>
          <w:rFonts w:ascii="Arial" w:hAnsi="Arial" w:cs="Arial"/>
        </w:rPr>
      </w:pPr>
      <w:r w:rsidRPr="007979A7">
        <w:rPr>
          <w:rFonts w:ascii="Arial" w:hAnsi="Arial" w:cs="Arial"/>
        </w:rPr>
        <w:t>Overall, the future of teak forestry depends on integrating cost-effective, climate-resilient, and scalable propagation technologies to ensure sustainable high-yield timber production.</w:t>
      </w:r>
    </w:p>
    <w:p w14:paraId="0BD8B13E" w14:textId="77777777" w:rsidR="00315186" w:rsidRPr="007979A7" w:rsidRDefault="00315186" w:rsidP="00441B6F">
      <w:pPr>
        <w:rPr>
          <w:rFonts w:ascii="Arial" w:hAnsi="Arial" w:cs="Arial"/>
        </w:rPr>
      </w:pPr>
    </w:p>
    <w:p w14:paraId="13144ED3" w14:textId="77777777" w:rsidR="00860000" w:rsidRPr="007979A7" w:rsidRDefault="00860000" w:rsidP="00441B6F">
      <w:pPr>
        <w:pStyle w:val="ReferHead"/>
        <w:spacing w:after="0"/>
        <w:jc w:val="both"/>
        <w:rPr>
          <w:rFonts w:ascii="Arial" w:hAnsi="Arial" w:cs="Arial"/>
          <w:bCs/>
        </w:rPr>
      </w:pPr>
      <w:r w:rsidRPr="007979A7">
        <w:rPr>
          <w:rFonts w:ascii="Arial" w:hAnsi="Arial" w:cs="Arial"/>
          <w:bCs/>
        </w:rPr>
        <w:lastRenderedPageBreak/>
        <w:t>Competing interests</w:t>
      </w:r>
    </w:p>
    <w:p w14:paraId="0D20AA14" w14:textId="77777777" w:rsidR="002A7B17" w:rsidRPr="007979A7" w:rsidRDefault="002A7B17" w:rsidP="002A7B17">
      <w:pPr>
        <w:spacing w:before="120" w:line="276" w:lineRule="auto"/>
        <w:jc w:val="both"/>
        <w:rPr>
          <w:rFonts w:ascii="Arial" w:hAnsi="Arial" w:cs="Arial"/>
          <w:sz w:val="22"/>
          <w:szCs w:val="22"/>
        </w:rPr>
      </w:pPr>
      <w:r w:rsidRPr="007979A7">
        <w:rPr>
          <w:rFonts w:ascii="Arial" w:hAnsi="Arial" w:cs="Arial"/>
          <w:sz w:val="22"/>
          <w:szCs w:val="22"/>
        </w:rPr>
        <w:t>Authors have declared that no competing interests exist.</w:t>
      </w:r>
    </w:p>
    <w:p w14:paraId="57951ECC" w14:textId="77777777" w:rsidR="00E41B4A" w:rsidRDefault="00E41B4A" w:rsidP="00441B6F">
      <w:pPr>
        <w:pStyle w:val="ReferHead"/>
        <w:spacing w:after="0"/>
        <w:jc w:val="both"/>
        <w:rPr>
          <w:rFonts w:ascii="Arial" w:hAnsi="Arial" w:cs="Arial"/>
          <w:bCs/>
        </w:rPr>
      </w:pPr>
    </w:p>
    <w:p w14:paraId="101D7185" w14:textId="3C5D04FC" w:rsidR="002B685A" w:rsidRPr="007979A7" w:rsidRDefault="002B685A" w:rsidP="00441B6F">
      <w:pPr>
        <w:pStyle w:val="ReferHead"/>
        <w:spacing w:after="0"/>
        <w:jc w:val="both"/>
        <w:rPr>
          <w:rFonts w:ascii="Arial" w:hAnsi="Arial" w:cs="Arial"/>
          <w:bCs/>
        </w:rPr>
      </w:pPr>
      <w:bookmarkStart w:id="0" w:name="_GoBack"/>
      <w:bookmarkEnd w:id="0"/>
      <w:r w:rsidRPr="007979A7">
        <w:rPr>
          <w:rFonts w:ascii="Arial" w:hAnsi="Arial" w:cs="Arial"/>
          <w:bCs/>
        </w:rPr>
        <w:t>Consent (where</w:t>
      </w:r>
      <w:r w:rsidR="007369E6" w:rsidRPr="007979A7">
        <w:rPr>
          <w:rFonts w:ascii="Arial" w:hAnsi="Arial" w:cs="Arial"/>
          <w:bCs/>
        </w:rPr>
        <w:t xml:space="preserve"> </w:t>
      </w:r>
      <w:r w:rsidRPr="007979A7">
        <w:rPr>
          <w:rFonts w:ascii="Arial" w:hAnsi="Arial" w:cs="Arial"/>
          <w:bCs/>
        </w:rPr>
        <w:t>ever applicable)</w:t>
      </w:r>
    </w:p>
    <w:p w14:paraId="5498B83B" w14:textId="77777777" w:rsidR="002B685A" w:rsidRPr="007979A7" w:rsidRDefault="002B685A" w:rsidP="00441B6F">
      <w:pPr>
        <w:pStyle w:val="ReferHead"/>
        <w:spacing w:after="0"/>
        <w:jc w:val="both"/>
        <w:rPr>
          <w:rFonts w:ascii="Arial" w:hAnsi="Arial" w:cs="Arial"/>
          <w:bCs/>
        </w:rPr>
      </w:pPr>
    </w:p>
    <w:p w14:paraId="01E0A321" w14:textId="77777777" w:rsidR="001A29D8" w:rsidRPr="007979A7" w:rsidRDefault="007979A7" w:rsidP="00441B6F">
      <w:pPr>
        <w:pStyle w:val="ReferHead"/>
        <w:spacing w:after="0"/>
        <w:jc w:val="both"/>
        <w:rPr>
          <w:rFonts w:ascii="Arial" w:hAnsi="Arial" w:cs="Arial"/>
          <w:b w:val="0"/>
          <w:caps w:val="0"/>
          <w:sz w:val="20"/>
        </w:rPr>
      </w:pPr>
      <w:r w:rsidRPr="007979A7">
        <w:rPr>
          <w:rFonts w:ascii="Arial" w:hAnsi="Arial" w:cs="Arial"/>
          <w:b w:val="0"/>
          <w:caps w:val="0"/>
          <w:sz w:val="20"/>
        </w:rPr>
        <w:t>All authors have given consent for publication of the manuscript.</w:t>
      </w:r>
    </w:p>
    <w:p w14:paraId="21DEC77C" w14:textId="77777777" w:rsidR="005C784C" w:rsidRPr="007979A7" w:rsidRDefault="005C784C" w:rsidP="00441B6F">
      <w:pPr>
        <w:pStyle w:val="ReferHead"/>
        <w:spacing w:after="0"/>
        <w:jc w:val="both"/>
        <w:rPr>
          <w:rFonts w:ascii="Arial" w:hAnsi="Arial" w:cs="Arial"/>
          <w:b w:val="0"/>
          <w:caps w:val="0"/>
          <w:sz w:val="20"/>
        </w:rPr>
      </w:pPr>
    </w:p>
    <w:p w14:paraId="7A97B71D" w14:textId="77777777" w:rsidR="005C784C" w:rsidRPr="007979A7" w:rsidRDefault="005C784C" w:rsidP="00441B6F">
      <w:pPr>
        <w:pStyle w:val="ReferHead"/>
        <w:spacing w:after="0"/>
        <w:jc w:val="both"/>
        <w:rPr>
          <w:rFonts w:ascii="Arial" w:hAnsi="Arial" w:cs="Arial"/>
          <w:bCs/>
        </w:rPr>
      </w:pPr>
      <w:r w:rsidRPr="007979A7">
        <w:rPr>
          <w:rFonts w:ascii="Arial" w:hAnsi="Arial" w:cs="Arial"/>
          <w:bCs/>
        </w:rPr>
        <w:t>Ethical approval (where</w:t>
      </w:r>
      <w:r w:rsidR="007369E6" w:rsidRPr="007979A7">
        <w:rPr>
          <w:rFonts w:ascii="Arial" w:hAnsi="Arial" w:cs="Arial"/>
          <w:bCs/>
        </w:rPr>
        <w:t xml:space="preserve"> </w:t>
      </w:r>
      <w:r w:rsidRPr="007979A7">
        <w:rPr>
          <w:rFonts w:ascii="Arial" w:hAnsi="Arial" w:cs="Arial"/>
          <w:bCs/>
        </w:rPr>
        <w:t>ever applicable)</w:t>
      </w:r>
    </w:p>
    <w:p w14:paraId="2958C6ED" w14:textId="77777777" w:rsidR="005C784C" w:rsidRPr="007979A7" w:rsidRDefault="005C784C" w:rsidP="00441B6F">
      <w:pPr>
        <w:pStyle w:val="ReferHead"/>
        <w:spacing w:after="0"/>
        <w:jc w:val="both"/>
        <w:rPr>
          <w:rFonts w:ascii="Arial" w:hAnsi="Arial" w:cs="Arial"/>
          <w:bCs/>
        </w:rPr>
      </w:pPr>
    </w:p>
    <w:p w14:paraId="4DD44172" w14:textId="77777777" w:rsidR="00860000" w:rsidRDefault="00D340F5" w:rsidP="00441B6F">
      <w:pPr>
        <w:pStyle w:val="ReferHead"/>
        <w:spacing w:after="0"/>
        <w:jc w:val="both"/>
        <w:rPr>
          <w:rFonts w:ascii="Arial" w:hAnsi="Arial" w:cs="Arial"/>
          <w:b w:val="0"/>
          <w:bCs/>
          <w:caps w:val="0"/>
          <w:szCs w:val="22"/>
          <w:lang w:val="en-IN"/>
        </w:rPr>
      </w:pPr>
      <w:r>
        <w:rPr>
          <w:rFonts w:ascii="Arial" w:hAnsi="Arial" w:cs="Arial"/>
          <w:b w:val="0"/>
          <w:bCs/>
          <w:caps w:val="0"/>
          <w:szCs w:val="22"/>
          <w:lang w:val="en-IN"/>
        </w:rPr>
        <w:t>All</w:t>
      </w:r>
      <w:r w:rsidR="007979A7" w:rsidRPr="007979A7">
        <w:rPr>
          <w:rFonts w:ascii="Arial" w:hAnsi="Arial" w:cs="Arial"/>
          <w:b w:val="0"/>
          <w:bCs/>
          <w:caps w:val="0"/>
          <w:szCs w:val="22"/>
          <w:lang w:val="en-IN"/>
        </w:rPr>
        <w:t xml:space="preserve"> authors declare that there is no ethical issue.</w:t>
      </w:r>
    </w:p>
    <w:p w14:paraId="45F2FF38" w14:textId="77777777" w:rsidR="00F94C49" w:rsidRDefault="00F94C49" w:rsidP="00441B6F">
      <w:pPr>
        <w:pStyle w:val="ReferHead"/>
        <w:spacing w:after="0"/>
        <w:jc w:val="both"/>
        <w:rPr>
          <w:rFonts w:ascii="Arial" w:hAnsi="Arial" w:cs="Arial"/>
          <w:b w:val="0"/>
          <w:bCs/>
          <w:caps w:val="0"/>
          <w:szCs w:val="22"/>
          <w:lang w:val="en-IN"/>
        </w:rPr>
      </w:pPr>
    </w:p>
    <w:p w14:paraId="4E4AA6E5" w14:textId="77777777" w:rsidR="00F94C49" w:rsidRPr="00F94C49" w:rsidRDefault="00F94C49" w:rsidP="00F94C49">
      <w:pPr>
        <w:spacing w:after="200" w:line="276" w:lineRule="auto"/>
        <w:rPr>
          <w:rFonts w:ascii="Arial" w:eastAsiaTheme="minorEastAsia" w:hAnsi="Arial" w:cs="Arial"/>
          <w:b/>
          <w:bCs/>
          <w:sz w:val="22"/>
          <w:szCs w:val="22"/>
          <w:lang w:val="en-GB" w:eastAsia="en-GB"/>
        </w:rPr>
      </w:pPr>
      <w:r w:rsidRPr="00F94C49">
        <w:rPr>
          <w:rFonts w:ascii="Arial" w:eastAsiaTheme="minorEastAsia" w:hAnsi="Arial" w:cs="Arial"/>
          <w:b/>
          <w:bCs/>
          <w:sz w:val="22"/>
          <w:szCs w:val="22"/>
          <w:lang w:val="en-GB" w:eastAsia="en-GB"/>
        </w:rPr>
        <w:t>COMPETING INTERESTS DISCLAIMER:</w:t>
      </w:r>
    </w:p>
    <w:p w14:paraId="20F186F8" w14:textId="77777777" w:rsidR="00F94C49" w:rsidRPr="00F94C49" w:rsidRDefault="00F94C49" w:rsidP="00F94C49">
      <w:pPr>
        <w:spacing w:after="200" w:line="276" w:lineRule="auto"/>
        <w:rPr>
          <w:rFonts w:asciiTheme="minorHAnsi" w:eastAsiaTheme="minorEastAsia" w:hAnsiTheme="minorHAnsi" w:cstheme="minorBidi"/>
          <w:sz w:val="22"/>
          <w:szCs w:val="22"/>
          <w:lang w:val="en-GB" w:eastAsia="en-GB"/>
        </w:rPr>
      </w:pPr>
      <w:r w:rsidRPr="00F94C49">
        <w:rPr>
          <w:rFonts w:ascii="Arial" w:eastAsiaTheme="minorEastAsia" w:hAnsi="Arial" w:cs="Arial"/>
          <w:sz w:val="22"/>
          <w:szCs w:val="22"/>
          <w:lang w:val="en-GB" w:eastAsia="en-GB"/>
        </w:rPr>
        <w:t>Authors have declared that they have no known competing financial interests OR non-financial interests OR personal relationships that could have appeared to influence the work reported in this paper.</w:t>
      </w:r>
    </w:p>
    <w:p w14:paraId="49CBCF47" w14:textId="77777777" w:rsidR="00F94C49" w:rsidRPr="007979A7" w:rsidRDefault="00F94C49" w:rsidP="00441B6F">
      <w:pPr>
        <w:pStyle w:val="ReferHead"/>
        <w:spacing w:after="0"/>
        <w:jc w:val="both"/>
        <w:rPr>
          <w:rFonts w:ascii="Arial" w:hAnsi="Arial" w:cs="Arial"/>
          <w:b w:val="0"/>
          <w:bCs/>
          <w:caps w:val="0"/>
          <w:szCs w:val="22"/>
          <w:lang w:val="en-IN"/>
        </w:rPr>
      </w:pPr>
    </w:p>
    <w:p w14:paraId="62DF99F7" w14:textId="77777777" w:rsidR="007979A7" w:rsidRPr="007979A7" w:rsidRDefault="007979A7" w:rsidP="00441B6F">
      <w:pPr>
        <w:pStyle w:val="ReferHead"/>
        <w:spacing w:after="0"/>
        <w:jc w:val="both"/>
        <w:rPr>
          <w:rFonts w:ascii="Arial" w:hAnsi="Arial" w:cs="Arial"/>
          <w:b w:val="0"/>
        </w:rPr>
      </w:pPr>
    </w:p>
    <w:p w14:paraId="3722739F" w14:textId="77777777" w:rsidR="007979A7" w:rsidRPr="007979A7" w:rsidRDefault="007979A7" w:rsidP="007979A7">
      <w:pPr>
        <w:spacing w:before="240" w:line="276" w:lineRule="auto"/>
        <w:rPr>
          <w:rFonts w:ascii="Arial" w:hAnsi="Arial" w:cs="Arial"/>
          <w:b/>
          <w:sz w:val="22"/>
          <w:szCs w:val="22"/>
          <w:lang w:val="en-IN" w:eastAsia="en-IN"/>
        </w:rPr>
      </w:pPr>
      <w:r w:rsidRPr="007979A7">
        <w:rPr>
          <w:rFonts w:ascii="Arial" w:hAnsi="Arial" w:cs="Arial"/>
          <w:b/>
          <w:sz w:val="22"/>
          <w:szCs w:val="22"/>
          <w:lang w:val="en-IN" w:eastAsia="en-IN"/>
        </w:rPr>
        <w:t>5.0</w:t>
      </w:r>
      <w:r w:rsidRPr="007979A7">
        <w:rPr>
          <w:rFonts w:ascii="Arial" w:hAnsi="Arial" w:cs="Arial"/>
          <w:b/>
          <w:sz w:val="22"/>
          <w:szCs w:val="22"/>
          <w:lang w:val="en-IN" w:eastAsia="en-IN"/>
        </w:rPr>
        <w:tab/>
        <w:t>REFERENCES</w:t>
      </w:r>
    </w:p>
    <w:p w14:paraId="3FBA5AE7" w14:textId="77777777" w:rsidR="007979A7" w:rsidRPr="007979A7" w:rsidRDefault="007979A7" w:rsidP="007979A7">
      <w:pPr>
        <w:spacing w:before="120" w:line="276" w:lineRule="auto"/>
        <w:jc w:val="both"/>
        <w:rPr>
          <w:rFonts w:ascii="Arial" w:hAnsi="Arial" w:cs="Arial"/>
          <w:lang w:val="en-IN" w:eastAsia="en-IN"/>
        </w:rPr>
      </w:pPr>
      <w:r w:rsidRPr="007979A7">
        <w:rPr>
          <w:rFonts w:ascii="Arial" w:hAnsi="Arial" w:cs="Arial"/>
          <w:lang w:val="en-IN" w:eastAsia="en-IN"/>
        </w:rPr>
        <w:t>Aguilar, M., Garita, K., Kim, Y., Kim, J. &amp; Moon, H. (2019). Simple Protocol for the Micropropagation of Teak (</w:t>
      </w:r>
      <w:r w:rsidRPr="007979A7">
        <w:rPr>
          <w:rFonts w:ascii="Arial" w:hAnsi="Arial" w:cs="Arial"/>
          <w:i/>
          <w:lang w:val="en-IN" w:eastAsia="en-IN"/>
        </w:rPr>
        <w:t>Tectona grandis</w:t>
      </w:r>
      <w:r w:rsidRPr="007979A7">
        <w:rPr>
          <w:rFonts w:ascii="Arial" w:hAnsi="Arial" w:cs="Arial"/>
          <w:lang w:val="en-IN" w:eastAsia="en-IN"/>
        </w:rPr>
        <w:t xml:space="preserve"> Linn.) in Semi-Solid and Liquid Media in RITA</w:t>
      </w:r>
      <w:r w:rsidRPr="007979A7">
        <w:rPr>
          <w:rFonts w:ascii="Arial" w:hAnsi="Arial" w:cs="Arial"/>
          <w:vertAlign w:val="superscript"/>
          <w:lang w:val="en-IN" w:eastAsia="en-IN"/>
        </w:rPr>
        <w:t>® </w:t>
      </w:r>
      <w:r w:rsidRPr="007979A7">
        <w:rPr>
          <w:rFonts w:ascii="Arial" w:hAnsi="Arial" w:cs="Arial"/>
          <w:lang w:val="en-IN" w:eastAsia="en-IN"/>
        </w:rPr>
        <w:t xml:space="preserve">Bioreactors and ex Vitro Rooting. </w:t>
      </w:r>
      <w:hyperlink r:id="rId21" w:history="1">
        <w:r w:rsidRPr="007979A7">
          <w:rPr>
            <w:rFonts w:ascii="Arial" w:hAnsi="Arial" w:cs="Arial"/>
            <w:i/>
            <w:bdr w:val="none" w:sz="0" w:space="0" w:color="auto" w:frame="1"/>
            <w:lang w:val="en-IN" w:eastAsia="en-IN"/>
          </w:rPr>
          <w:t>American Journal of Plant Sciences</w:t>
        </w:r>
      </w:hyperlink>
      <w:r w:rsidRPr="007979A7">
        <w:rPr>
          <w:rFonts w:ascii="Arial" w:hAnsi="Arial" w:cs="Arial"/>
          <w:i/>
          <w:lang w:val="en-IN" w:eastAsia="en-IN"/>
        </w:rPr>
        <w:t>,</w:t>
      </w:r>
      <w:r w:rsidRPr="007979A7">
        <w:rPr>
          <w:rFonts w:ascii="Arial" w:hAnsi="Arial" w:cs="Arial"/>
          <w:lang w:val="en-IN" w:eastAsia="en-IN"/>
        </w:rPr>
        <w:t> 10(07):1121-1141. DOI: </w:t>
      </w:r>
      <w:hyperlink r:id="rId22" w:tgtFrame="_blank" w:history="1">
        <w:r w:rsidRPr="007979A7">
          <w:rPr>
            <w:rFonts w:ascii="Arial" w:hAnsi="Arial" w:cs="Arial"/>
            <w:u w:val="single"/>
            <w:bdr w:val="none" w:sz="0" w:space="0" w:color="auto" w:frame="1"/>
            <w:lang w:val="en-IN" w:eastAsia="en-IN"/>
          </w:rPr>
          <w:t>10.4236/ajps.2019.107081</w:t>
        </w:r>
      </w:hyperlink>
      <w:r w:rsidRPr="007979A7">
        <w:rPr>
          <w:rFonts w:ascii="Arial" w:hAnsi="Arial" w:cs="Arial"/>
          <w:lang w:val="en-IN" w:eastAsia="en-IN"/>
        </w:rPr>
        <w:t>.</w:t>
      </w:r>
    </w:p>
    <w:p w14:paraId="6B3E15F9" w14:textId="77777777" w:rsidR="007979A7" w:rsidRPr="007979A7" w:rsidRDefault="007979A7" w:rsidP="007979A7">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shd w:val="clear" w:color="auto" w:fill="FFFFFF"/>
        </w:rPr>
        <w:t>Akram, M. &amp; Aftab, F. (2009). An efficient method for clonal propagation and </w:t>
      </w:r>
      <w:r w:rsidRPr="007979A7">
        <w:rPr>
          <w:rFonts w:ascii="Arial" w:hAnsi="Arial" w:cs="Arial"/>
          <w:i/>
          <w:iCs/>
          <w:sz w:val="20"/>
          <w:szCs w:val="20"/>
          <w:shd w:val="clear" w:color="auto" w:fill="FFFFFF"/>
        </w:rPr>
        <w:t>in vitro</w:t>
      </w:r>
      <w:r w:rsidRPr="007979A7">
        <w:rPr>
          <w:rFonts w:ascii="Arial" w:hAnsi="Arial" w:cs="Arial"/>
          <w:sz w:val="20"/>
          <w:szCs w:val="20"/>
          <w:shd w:val="clear" w:color="auto" w:fill="FFFFFF"/>
        </w:rPr>
        <w:t> establishment of softwood shoots from epicormic buds of teak (</w:t>
      </w:r>
      <w:r w:rsidRPr="007979A7">
        <w:rPr>
          <w:rFonts w:ascii="Arial" w:hAnsi="Arial" w:cs="Arial"/>
          <w:i/>
          <w:iCs/>
          <w:sz w:val="20"/>
          <w:szCs w:val="20"/>
          <w:shd w:val="clear" w:color="auto" w:fill="FFFFFF"/>
        </w:rPr>
        <w:t>Tectona grandis</w:t>
      </w:r>
      <w:r w:rsidRPr="007979A7">
        <w:rPr>
          <w:rFonts w:ascii="Arial" w:hAnsi="Arial" w:cs="Arial"/>
          <w:sz w:val="20"/>
          <w:szCs w:val="20"/>
          <w:shd w:val="clear" w:color="auto" w:fill="FFFFFF"/>
        </w:rPr>
        <w:t> L.). </w:t>
      </w:r>
      <w:r w:rsidRPr="007979A7">
        <w:rPr>
          <w:rFonts w:ascii="Arial" w:hAnsi="Arial" w:cs="Arial"/>
          <w:i/>
          <w:iCs/>
          <w:sz w:val="20"/>
          <w:szCs w:val="20"/>
          <w:shd w:val="clear" w:color="auto" w:fill="FFFFFF"/>
        </w:rPr>
        <w:t>For. Stud. China</w:t>
      </w:r>
      <w:r w:rsidRPr="007979A7">
        <w:rPr>
          <w:rFonts w:ascii="Arial" w:hAnsi="Arial" w:cs="Arial"/>
          <w:sz w:val="20"/>
          <w:szCs w:val="20"/>
          <w:shd w:val="clear" w:color="auto" w:fill="FFFFFF"/>
        </w:rPr>
        <w:t> </w:t>
      </w:r>
      <w:r w:rsidRPr="007979A7">
        <w:rPr>
          <w:rFonts w:ascii="Arial" w:hAnsi="Arial" w:cs="Arial"/>
          <w:bCs/>
          <w:sz w:val="20"/>
          <w:szCs w:val="20"/>
          <w:shd w:val="clear" w:color="auto" w:fill="FFFFFF"/>
        </w:rPr>
        <w:t>11</w:t>
      </w:r>
      <w:r w:rsidRPr="007979A7">
        <w:rPr>
          <w:rFonts w:ascii="Arial" w:hAnsi="Arial" w:cs="Arial"/>
          <w:sz w:val="20"/>
          <w:szCs w:val="20"/>
          <w:shd w:val="clear" w:color="auto" w:fill="FFFFFF"/>
        </w:rPr>
        <w:t>, 105–110 (2009). https://doi.org/10.1007/s11632-009-0018-1.</w:t>
      </w:r>
    </w:p>
    <w:p w14:paraId="47DDEB4A" w14:textId="77777777" w:rsidR="007979A7" w:rsidRPr="007979A7" w:rsidRDefault="007979A7" w:rsidP="007979A7">
      <w:pPr>
        <w:autoSpaceDE w:val="0"/>
        <w:autoSpaceDN w:val="0"/>
        <w:adjustRightInd w:val="0"/>
        <w:spacing w:before="120" w:line="276" w:lineRule="auto"/>
        <w:jc w:val="both"/>
        <w:rPr>
          <w:rFonts w:ascii="Arial" w:hAnsi="Arial" w:cs="Arial"/>
        </w:rPr>
      </w:pPr>
      <w:r w:rsidRPr="007979A7">
        <w:rPr>
          <w:rFonts w:ascii="Arial" w:hAnsi="Arial" w:cs="Arial"/>
        </w:rPr>
        <w:t>Anantha, P.H.S. &amp; G. Vijayalakshmi. (1994). Vegetative propagation of teak through branch cuttings and sprouts. Tree Breeding and Propagation, 3: 8-9.</w:t>
      </w:r>
    </w:p>
    <w:p w14:paraId="27985D36" w14:textId="77777777" w:rsidR="007979A7" w:rsidRPr="007979A7" w:rsidRDefault="007979A7" w:rsidP="007979A7">
      <w:pPr>
        <w:autoSpaceDE w:val="0"/>
        <w:autoSpaceDN w:val="0"/>
        <w:adjustRightInd w:val="0"/>
        <w:spacing w:before="120" w:line="276" w:lineRule="auto"/>
        <w:jc w:val="both"/>
        <w:rPr>
          <w:rFonts w:ascii="Arial" w:hAnsi="Arial" w:cs="Arial"/>
        </w:rPr>
      </w:pPr>
      <w:r w:rsidRPr="007979A7">
        <w:rPr>
          <w:rFonts w:ascii="Arial" w:hAnsi="Arial" w:cs="Arial"/>
        </w:rPr>
        <w:t xml:space="preserve">Ansari, S.A., S Sharma, N.C. Pant &amp; A. K. Mandal. (2002).  Synergism between IBA and thiamine for induction and growth of adventitious roots in </w:t>
      </w:r>
      <w:r w:rsidRPr="007979A7">
        <w:rPr>
          <w:rFonts w:ascii="Arial" w:hAnsi="Arial" w:cs="Arial"/>
          <w:i/>
        </w:rPr>
        <w:t>Tectona grandis</w:t>
      </w:r>
      <w:r w:rsidRPr="007979A7">
        <w:rPr>
          <w:rFonts w:ascii="Arial" w:hAnsi="Arial" w:cs="Arial"/>
        </w:rPr>
        <w:t xml:space="preserve">.  </w:t>
      </w:r>
      <w:r w:rsidRPr="007979A7">
        <w:rPr>
          <w:rFonts w:ascii="Arial" w:hAnsi="Arial" w:cs="Arial"/>
          <w:i/>
        </w:rPr>
        <w:t>J. Sustainable For</w:t>
      </w:r>
      <w:r w:rsidRPr="007979A7">
        <w:rPr>
          <w:rFonts w:ascii="Arial" w:hAnsi="Arial" w:cs="Arial"/>
        </w:rPr>
        <w:t>., l5:99-112.</w:t>
      </w:r>
    </w:p>
    <w:p w14:paraId="1B3CA69A" w14:textId="77777777" w:rsidR="007979A7" w:rsidRPr="007979A7" w:rsidRDefault="007979A7" w:rsidP="007979A7">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rPr>
        <w:t xml:space="preserve">Baskin, C.C. &amp; Baskin, J.M. (2014). </w:t>
      </w:r>
      <w:r w:rsidRPr="007979A7">
        <w:rPr>
          <w:rStyle w:val="Emphasis"/>
          <w:rFonts w:ascii="Arial" w:hAnsi="Arial" w:cs="Arial"/>
          <w:i w:val="0"/>
          <w:sz w:val="20"/>
          <w:szCs w:val="20"/>
        </w:rPr>
        <w:t>Seeds: Ecology, Biogeography, and Evolution of Dormancy and Germination</w:t>
      </w:r>
      <w:r w:rsidRPr="007979A7">
        <w:rPr>
          <w:rFonts w:ascii="Arial" w:hAnsi="Arial" w:cs="Arial"/>
          <w:sz w:val="20"/>
          <w:szCs w:val="20"/>
        </w:rPr>
        <w:t>. Academic Press.</w:t>
      </w:r>
    </w:p>
    <w:p w14:paraId="00D02E74" w14:textId="77777777" w:rsidR="007979A7" w:rsidRPr="007979A7" w:rsidRDefault="007979A7" w:rsidP="007979A7">
      <w:pPr>
        <w:pStyle w:val="NormalWeb"/>
        <w:spacing w:before="120" w:beforeAutospacing="0" w:after="0" w:afterAutospacing="0" w:line="276" w:lineRule="auto"/>
        <w:jc w:val="both"/>
        <w:rPr>
          <w:rFonts w:ascii="Arial" w:hAnsi="Arial" w:cs="Arial"/>
          <w:sz w:val="20"/>
          <w:szCs w:val="20"/>
        </w:rPr>
      </w:pPr>
      <w:r w:rsidRPr="007979A7">
        <w:rPr>
          <w:rFonts w:ascii="Arial" w:hAnsi="Arial" w:cs="Arial"/>
          <w:sz w:val="20"/>
          <w:szCs w:val="20"/>
        </w:rPr>
        <w:t xml:space="preserve">Behera, M.K. &amp; </w:t>
      </w:r>
      <w:proofErr w:type="spellStart"/>
      <w:r w:rsidRPr="007979A7">
        <w:rPr>
          <w:rFonts w:ascii="Arial" w:hAnsi="Arial" w:cs="Arial"/>
          <w:sz w:val="20"/>
          <w:szCs w:val="20"/>
        </w:rPr>
        <w:t>Bhol</w:t>
      </w:r>
      <w:proofErr w:type="spellEnd"/>
      <w:r w:rsidRPr="007979A7">
        <w:rPr>
          <w:rFonts w:ascii="Arial" w:hAnsi="Arial" w:cs="Arial"/>
          <w:sz w:val="20"/>
          <w:szCs w:val="20"/>
        </w:rPr>
        <w:t xml:space="preserve">, N. (2016). Inter-clonal variation in teak fruit parameters. </w:t>
      </w:r>
      <w:r w:rsidRPr="007979A7">
        <w:rPr>
          <w:rStyle w:val="Emphasis"/>
          <w:rFonts w:ascii="Arial" w:hAnsi="Arial" w:cs="Arial"/>
          <w:sz w:val="20"/>
          <w:szCs w:val="20"/>
        </w:rPr>
        <w:t>Indian Forester,</w:t>
      </w:r>
      <w:r w:rsidRPr="007979A7">
        <w:rPr>
          <w:rFonts w:ascii="Arial" w:hAnsi="Arial" w:cs="Arial"/>
          <w:sz w:val="20"/>
          <w:szCs w:val="20"/>
        </w:rPr>
        <w:t xml:space="preserve"> 142(11):1061–1064.</w:t>
      </w:r>
    </w:p>
    <w:p w14:paraId="4D92B6B6" w14:textId="77777777" w:rsidR="007979A7" w:rsidRPr="007979A7" w:rsidRDefault="007979A7" w:rsidP="007979A7">
      <w:pPr>
        <w:pStyle w:val="NormalWeb"/>
        <w:spacing w:before="120" w:beforeAutospacing="0" w:after="0" w:afterAutospacing="0" w:line="276" w:lineRule="auto"/>
        <w:ind w:left="-142"/>
        <w:jc w:val="both"/>
        <w:rPr>
          <w:rFonts w:ascii="Arial" w:hAnsi="Arial" w:cs="Arial"/>
          <w:sz w:val="20"/>
          <w:szCs w:val="20"/>
        </w:rPr>
      </w:pPr>
      <w:r w:rsidRPr="007979A7">
        <w:rPr>
          <w:rFonts w:ascii="Arial" w:hAnsi="Arial" w:cs="Arial"/>
          <w:sz w:val="20"/>
          <w:szCs w:val="20"/>
        </w:rPr>
        <w:t xml:space="preserve">Behera, M.K., </w:t>
      </w:r>
      <w:proofErr w:type="spellStart"/>
      <w:r w:rsidRPr="007979A7">
        <w:rPr>
          <w:rFonts w:ascii="Arial" w:hAnsi="Arial" w:cs="Arial"/>
          <w:sz w:val="20"/>
          <w:szCs w:val="20"/>
        </w:rPr>
        <w:t>Bhol</w:t>
      </w:r>
      <w:proofErr w:type="spellEnd"/>
      <w:r w:rsidRPr="007979A7">
        <w:rPr>
          <w:rFonts w:ascii="Arial" w:hAnsi="Arial" w:cs="Arial"/>
          <w:sz w:val="20"/>
          <w:szCs w:val="20"/>
        </w:rPr>
        <w:t xml:space="preserve">, N. &amp; Lenka, D. (2015). Variation in phenology and reproductive biology in a clonal seed orchard of teak. </w:t>
      </w:r>
      <w:r w:rsidRPr="007979A7">
        <w:rPr>
          <w:rStyle w:val="Emphasis"/>
          <w:rFonts w:ascii="Arial" w:hAnsi="Arial" w:cs="Arial"/>
          <w:sz w:val="20"/>
          <w:szCs w:val="20"/>
        </w:rPr>
        <w:t>International Journal of Ecology and Environmental Sciences,</w:t>
      </w:r>
      <w:r w:rsidRPr="007979A7">
        <w:rPr>
          <w:rFonts w:ascii="Arial" w:hAnsi="Arial" w:cs="Arial"/>
          <w:sz w:val="20"/>
          <w:szCs w:val="20"/>
        </w:rPr>
        <w:t xml:space="preserve"> 41(3–4): 189–193.</w:t>
      </w:r>
    </w:p>
    <w:p w14:paraId="10784228" w14:textId="77777777" w:rsidR="007979A7" w:rsidRPr="007979A7" w:rsidRDefault="007979A7" w:rsidP="007979A7">
      <w:pPr>
        <w:pStyle w:val="NormalWeb"/>
        <w:spacing w:before="120" w:beforeAutospacing="0" w:after="0" w:afterAutospacing="0" w:line="276" w:lineRule="auto"/>
        <w:ind w:left="-142"/>
        <w:jc w:val="both"/>
        <w:rPr>
          <w:rFonts w:ascii="Arial" w:hAnsi="Arial" w:cs="Arial"/>
          <w:sz w:val="20"/>
          <w:szCs w:val="20"/>
        </w:rPr>
      </w:pPr>
      <w:r w:rsidRPr="007979A7">
        <w:rPr>
          <w:rFonts w:ascii="Arial" w:hAnsi="Arial" w:cs="Arial"/>
          <w:sz w:val="20"/>
          <w:szCs w:val="20"/>
        </w:rPr>
        <w:t xml:space="preserve">Behera, M.K., </w:t>
      </w:r>
      <w:proofErr w:type="spellStart"/>
      <w:r w:rsidRPr="007979A7">
        <w:rPr>
          <w:rFonts w:ascii="Arial" w:hAnsi="Arial" w:cs="Arial"/>
          <w:sz w:val="20"/>
          <w:szCs w:val="20"/>
        </w:rPr>
        <w:t>Bhol</w:t>
      </w:r>
      <w:proofErr w:type="spellEnd"/>
      <w:r w:rsidRPr="007979A7">
        <w:rPr>
          <w:rFonts w:ascii="Arial" w:hAnsi="Arial" w:cs="Arial"/>
          <w:sz w:val="20"/>
          <w:szCs w:val="20"/>
        </w:rPr>
        <w:t xml:space="preserve">, N., Parida, A.K. &amp; Pradhan, T.R. (2016). Genetic diversity in teak clones. </w:t>
      </w:r>
      <w:r w:rsidRPr="007979A7">
        <w:rPr>
          <w:rStyle w:val="Emphasis"/>
          <w:rFonts w:ascii="Arial" w:hAnsi="Arial" w:cs="Arial"/>
          <w:sz w:val="20"/>
          <w:szCs w:val="20"/>
        </w:rPr>
        <w:t>Journal of Applied and Natural Science,</w:t>
      </w:r>
      <w:r w:rsidRPr="007979A7">
        <w:rPr>
          <w:rFonts w:ascii="Arial" w:hAnsi="Arial" w:cs="Arial"/>
          <w:sz w:val="20"/>
          <w:szCs w:val="20"/>
        </w:rPr>
        <w:t xml:space="preserve"> 8(1): 273–278.</w:t>
      </w:r>
    </w:p>
    <w:p w14:paraId="708EB5E5" w14:textId="77777777" w:rsidR="007979A7" w:rsidRPr="007979A7" w:rsidRDefault="007979A7" w:rsidP="007979A7">
      <w:pPr>
        <w:pStyle w:val="NormalWeb"/>
        <w:spacing w:before="120" w:beforeAutospacing="0" w:after="0" w:afterAutospacing="0" w:line="276" w:lineRule="auto"/>
        <w:ind w:left="-142"/>
        <w:jc w:val="both"/>
        <w:rPr>
          <w:rFonts w:ascii="Arial" w:hAnsi="Arial" w:cs="Arial"/>
          <w:sz w:val="20"/>
          <w:szCs w:val="20"/>
        </w:rPr>
      </w:pPr>
      <w:proofErr w:type="spellStart"/>
      <w:r w:rsidRPr="007979A7">
        <w:rPr>
          <w:rFonts w:ascii="Arial" w:hAnsi="Arial" w:cs="Arial"/>
          <w:sz w:val="20"/>
          <w:szCs w:val="20"/>
        </w:rPr>
        <w:lastRenderedPageBreak/>
        <w:t>Bhol</w:t>
      </w:r>
      <w:proofErr w:type="spellEnd"/>
      <w:r w:rsidRPr="007979A7">
        <w:rPr>
          <w:rFonts w:ascii="Arial" w:hAnsi="Arial" w:cs="Arial"/>
          <w:sz w:val="20"/>
          <w:szCs w:val="20"/>
        </w:rPr>
        <w:t xml:space="preserve">, N. &amp; Parida, S. (2024). </w:t>
      </w:r>
      <w:r w:rsidRPr="007979A7">
        <w:rPr>
          <w:rStyle w:val="Emphasis"/>
          <w:rFonts w:ascii="Arial" w:hAnsi="Arial" w:cs="Arial"/>
          <w:sz w:val="20"/>
          <w:szCs w:val="20"/>
        </w:rPr>
        <w:t>Silviculture of Important Trees</w:t>
      </w:r>
      <w:r w:rsidRPr="007979A7">
        <w:rPr>
          <w:rFonts w:ascii="Arial" w:hAnsi="Arial" w:cs="Arial"/>
          <w:sz w:val="20"/>
          <w:szCs w:val="20"/>
        </w:rPr>
        <w:t>. Elite Publishing House, New Delhi, India.</w:t>
      </w:r>
    </w:p>
    <w:p w14:paraId="2DE50954" w14:textId="77777777" w:rsidR="007979A7" w:rsidRPr="007979A7" w:rsidRDefault="007979A7" w:rsidP="007979A7">
      <w:pPr>
        <w:pStyle w:val="NormalWeb"/>
        <w:spacing w:before="120" w:beforeAutospacing="0" w:after="0" w:afterAutospacing="0" w:line="276" w:lineRule="auto"/>
        <w:ind w:left="-142"/>
        <w:jc w:val="both"/>
        <w:rPr>
          <w:rFonts w:ascii="Arial" w:hAnsi="Arial" w:cs="Arial"/>
          <w:sz w:val="20"/>
          <w:szCs w:val="20"/>
        </w:rPr>
      </w:pPr>
      <w:proofErr w:type="spellStart"/>
      <w:r w:rsidRPr="007979A7">
        <w:rPr>
          <w:rFonts w:ascii="Arial" w:hAnsi="Arial" w:cs="Arial"/>
          <w:sz w:val="20"/>
          <w:szCs w:val="20"/>
        </w:rPr>
        <w:t>Bhol</w:t>
      </w:r>
      <w:proofErr w:type="spellEnd"/>
      <w:r w:rsidRPr="007979A7">
        <w:rPr>
          <w:rFonts w:ascii="Arial" w:hAnsi="Arial" w:cs="Arial"/>
          <w:sz w:val="20"/>
          <w:szCs w:val="20"/>
        </w:rPr>
        <w:t xml:space="preserve">, N., Roshan, R., Parida, S. &amp; Dash, A. (2024). Seed characteristics and seedling quality of selected teak clones in eastern India. </w:t>
      </w:r>
      <w:r w:rsidRPr="007979A7">
        <w:rPr>
          <w:rStyle w:val="Emphasis"/>
          <w:rFonts w:ascii="Arial" w:hAnsi="Arial" w:cs="Arial"/>
          <w:sz w:val="20"/>
          <w:szCs w:val="20"/>
        </w:rPr>
        <w:t>International Journal of Plant &amp; Soil Science,</w:t>
      </w:r>
      <w:r w:rsidRPr="007979A7">
        <w:rPr>
          <w:rFonts w:ascii="Arial" w:hAnsi="Arial" w:cs="Arial"/>
          <w:sz w:val="20"/>
          <w:szCs w:val="20"/>
        </w:rPr>
        <w:t xml:space="preserve"> 36(6): 720–732.</w:t>
      </w:r>
    </w:p>
    <w:p w14:paraId="46A3AE29" w14:textId="747C1495" w:rsidR="007979A7" w:rsidRPr="007979A7" w:rsidRDefault="007979A7" w:rsidP="007979A7">
      <w:pPr>
        <w:pStyle w:val="NormalWeb"/>
        <w:spacing w:before="120" w:beforeAutospacing="0" w:after="0" w:afterAutospacing="0" w:line="276" w:lineRule="auto"/>
        <w:ind w:left="-142"/>
        <w:jc w:val="both"/>
        <w:rPr>
          <w:rFonts w:ascii="Arial" w:hAnsi="Arial" w:cs="Arial"/>
          <w:sz w:val="20"/>
          <w:szCs w:val="20"/>
        </w:rPr>
      </w:pPr>
      <w:r w:rsidRPr="007979A7">
        <w:rPr>
          <w:rFonts w:ascii="Arial" w:hAnsi="Arial" w:cs="Arial"/>
          <w:sz w:val="20"/>
          <w:szCs w:val="20"/>
        </w:rPr>
        <w:t xml:space="preserve">Chaix, G., O. </w:t>
      </w:r>
      <w:proofErr w:type="spellStart"/>
      <w:r w:rsidRPr="007979A7">
        <w:rPr>
          <w:rFonts w:ascii="Arial" w:hAnsi="Arial" w:cs="Arial"/>
          <w:sz w:val="20"/>
          <w:szCs w:val="20"/>
        </w:rPr>
        <w:t>Monteuuis</w:t>
      </w:r>
      <w:proofErr w:type="spellEnd"/>
      <w:r w:rsidRPr="007979A7">
        <w:rPr>
          <w:rFonts w:ascii="Arial" w:hAnsi="Arial" w:cs="Arial"/>
          <w:sz w:val="20"/>
          <w:szCs w:val="20"/>
        </w:rPr>
        <w:t xml:space="preserve">, C. Garcia, D. Alloysius, J. Gidiman, R. </w:t>
      </w:r>
      <w:proofErr w:type="spellStart"/>
      <w:r w:rsidRPr="007979A7">
        <w:rPr>
          <w:rFonts w:ascii="Arial" w:hAnsi="Arial" w:cs="Arial"/>
          <w:sz w:val="20"/>
          <w:szCs w:val="20"/>
        </w:rPr>
        <w:t>Bacilieri</w:t>
      </w:r>
      <w:proofErr w:type="spellEnd"/>
      <w:r w:rsidRPr="007979A7">
        <w:rPr>
          <w:rFonts w:ascii="Arial" w:hAnsi="Arial" w:cs="Arial"/>
          <w:sz w:val="20"/>
          <w:szCs w:val="20"/>
        </w:rPr>
        <w:t xml:space="preserve"> &amp; D. K. S. Goh (2011): Genetic variation in major </w:t>
      </w:r>
      <w:proofErr w:type="spellStart"/>
      <w:r w:rsidRPr="007979A7">
        <w:rPr>
          <w:rFonts w:ascii="Arial" w:hAnsi="Arial" w:cs="Arial"/>
          <w:sz w:val="20"/>
          <w:szCs w:val="20"/>
        </w:rPr>
        <w:t>phenoty</w:t>
      </w:r>
      <w:proofErr w:type="spellEnd"/>
      <w:r w:rsidR="00796ADA" w:rsidRPr="00796ADA">
        <w:t xml:space="preserve"> </w:t>
      </w:r>
      <w:proofErr w:type="spellStart"/>
      <w:r w:rsidR="00796ADA" w:rsidRPr="00796ADA">
        <w:rPr>
          <w:rFonts w:ascii="Arial" w:hAnsi="Arial" w:cs="Arial"/>
          <w:sz w:val="20"/>
          <w:szCs w:val="20"/>
        </w:rPr>
        <w:t>patan</w:t>
      </w:r>
      <w:proofErr w:type="spellEnd"/>
      <w:r w:rsidRPr="007979A7">
        <w:rPr>
          <w:rFonts w:ascii="Arial" w:hAnsi="Arial" w:cs="Arial"/>
          <w:sz w:val="20"/>
          <w:szCs w:val="20"/>
        </w:rPr>
        <w:t xml:space="preserve"> traits among diverse genetic origins of teak (</w:t>
      </w:r>
      <w:proofErr w:type="spellStart"/>
      <w:r w:rsidRPr="007979A7">
        <w:rPr>
          <w:rFonts w:ascii="Arial" w:hAnsi="Arial" w:cs="Arial"/>
          <w:i/>
          <w:sz w:val="20"/>
          <w:szCs w:val="20"/>
        </w:rPr>
        <w:t>Tectona</w:t>
      </w:r>
      <w:proofErr w:type="spellEnd"/>
      <w:r w:rsidRPr="007979A7">
        <w:rPr>
          <w:rFonts w:ascii="Arial" w:hAnsi="Arial" w:cs="Arial"/>
          <w:i/>
          <w:sz w:val="20"/>
          <w:szCs w:val="20"/>
        </w:rPr>
        <w:t xml:space="preserve"> </w:t>
      </w:r>
      <w:proofErr w:type="spellStart"/>
      <w:r w:rsidRPr="007979A7">
        <w:rPr>
          <w:rFonts w:ascii="Arial" w:hAnsi="Arial" w:cs="Arial"/>
          <w:i/>
          <w:sz w:val="20"/>
          <w:szCs w:val="20"/>
        </w:rPr>
        <w:t>grandis</w:t>
      </w:r>
      <w:proofErr w:type="spellEnd"/>
      <w:r w:rsidRPr="007979A7">
        <w:rPr>
          <w:rFonts w:ascii="Arial" w:hAnsi="Arial" w:cs="Arial"/>
          <w:sz w:val="20"/>
          <w:szCs w:val="20"/>
        </w:rPr>
        <w:t xml:space="preserve"> </w:t>
      </w:r>
      <w:proofErr w:type="spellStart"/>
      <w:r w:rsidRPr="007979A7">
        <w:rPr>
          <w:rFonts w:ascii="Arial" w:hAnsi="Arial" w:cs="Arial"/>
          <w:sz w:val="20"/>
          <w:szCs w:val="20"/>
        </w:rPr>
        <w:t>L.f</w:t>
      </w:r>
      <w:proofErr w:type="spellEnd"/>
      <w:r w:rsidRPr="007979A7">
        <w:rPr>
          <w:rFonts w:ascii="Arial" w:hAnsi="Arial" w:cs="Arial"/>
          <w:sz w:val="20"/>
          <w:szCs w:val="20"/>
        </w:rPr>
        <w:t xml:space="preserve">.) planted in </w:t>
      </w:r>
      <w:proofErr w:type="spellStart"/>
      <w:r w:rsidRPr="007979A7">
        <w:rPr>
          <w:rFonts w:ascii="Arial" w:hAnsi="Arial" w:cs="Arial"/>
          <w:sz w:val="20"/>
          <w:szCs w:val="20"/>
        </w:rPr>
        <w:t>Taliwas</w:t>
      </w:r>
      <w:proofErr w:type="spellEnd"/>
      <w:r w:rsidRPr="007979A7">
        <w:rPr>
          <w:rFonts w:ascii="Arial" w:hAnsi="Arial" w:cs="Arial"/>
          <w:sz w:val="20"/>
          <w:szCs w:val="20"/>
        </w:rPr>
        <w:t xml:space="preserve">, Sabah, East Malaysia. </w:t>
      </w:r>
      <w:r w:rsidRPr="007979A7">
        <w:rPr>
          <w:rFonts w:ascii="Arial" w:hAnsi="Arial" w:cs="Arial"/>
          <w:i/>
          <w:sz w:val="20"/>
          <w:szCs w:val="20"/>
        </w:rPr>
        <w:t>Annals of Forest Science,</w:t>
      </w:r>
      <w:r w:rsidRPr="007979A7">
        <w:rPr>
          <w:rFonts w:ascii="Arial" w:hAnsi="Arial" w:cs="Arial"/>
          <w:sz w:val="20"/>
          <w:szCs w:val="20"/>
        </w:rPr>
        <w:t xml:space="preserve"> 68: 1015–1026.</w:t>
      </w:r>
    </w:p>
    <w:p w14:paraId="105D4226" w14:textId="77777777" w:rsidR="007979A7" w:rsidRPr="007979A7" w:rsidRDefault="007979A7" w:rsidP="007979A7">
      <w:pPr>
        <w:spacing w:before="120" w:line="276" w:lineRule="auto"/>
        <w:ind w:left="-142"/>
        <w:jc w:val="both"/>
        <w:rPr>
          <w:rFonts w:ascii="Arial" w:hAnsi="Arial" w:cs="Arial"/>
          <w:lang w:val="en-IN" w:eastAsia="en-IN"/>
        </w:rPr>
      </w:pPr>
      <w:r w:rsidRPr="007979A7">
        <w:rPr>
          <w:rFonts w:ascii="Arial" w:hAnsi="Arial" w:cs="Arial"/>
          <w:lang w:val="en-IN" w:eastAsia="en-IN"/>
        </w:rPr>
        <w:t xml:space="preserve">Deo, P.C., Tyagi, A.P., Taylor, M., Harding, R. &amp; Becker, D. (2010). </w:t>
      </w:r>
      <w:r w:rsidRPr="007979A7">
        <w:rPr>
          <w:rFonts w:ascii="Arial" w:hAnsi="Arial" w:cs="Arial"/>
          <w:bCs/>
          <w:shd w:val="clear" w:color="auto" w:fill="FFFFFF"/>
        </w:rPr>
        <w:t>Factors affecting somatic embryogenesis and transformation in modern plant breeding</w:t>
      </w:r>
      <w:r w:rsidRPr="007979A7">
        <w:rPr>
          <w:rFonts w:ascii="Arial" w:hAnsi="Arial" w:cs="Arial"/>
          <w:shd w:val="clear" w:color="auto" w:fill="FFFFFF"/>
        </w:rPr>
        <w:t xml:space="preserve">. </w:t>
      </w:r>
      <w:r w:rsidRPr="007979A7">
        <w:rPr>
          <w:rFonts w:ascii="Arial" w:hAnsi="Arial" w:cs="Arial"/>
          <w:i/>
          <w:shd w:val="clear" w:color="auto" w:fill="FFFFFF"/>
        </w:rPr>
        <w:t>The South Pacific Journal of Natural and Applied Sciences</w:t>
      </w:r>
      <w:r w:rsidRPr="007979A7">
        <w:rPr>
          <w:rFonts w:ascii="Arial" w:hAnsi="Arial" w:cs="Arial"/>
          <w:shd w:val="clear" w:color="auto" w:fill="FFFFFF"/>
        </w:rPr>
        <w:t>, 28: 27-40.</w:t>
      </w:r>
    </w:p>
    <w:p w14:paraId="64BF6AD1" w14:textId="77777777" w:rsidR="007979A7" w:rsidRPr="007979A7" w:rsidRDefault="007979A7" w:rsidP="007979A7">
      <w:pPr>
        <w:pStyle w:val="NormalWeb"/>
        <w:spacing w:before="120" w:beforeAutospacing="0" w:after="0" w:afterAutospacing="0" w:line="276" w:lineRule="auto"/>
        <w:ind w:left="-142"/>
        <w:jc w:val="both"/>
        <w:rPr>
          <w:rFonts w:ascii="Arial" w:hAnsi="Arial" w:cs="Arial"/>
          <w:sz w:val="20"/>
          <w:szCs w:val="20"/>
        </w:rPr>
      </w:pPr>
      <w:r w:rsidRPr="007979A7">
        <w:rPr>
          <w:rFonts w:ascii="Arial" w:hAnsi="Arial" w:cs="Arial"/>
          <w:sz w:val="20"/>
          <w:szCs w:val="20"/>
        </w:rPr>
        <w:t xml:space="preserve">Evans, J. &amp;Turnbull, J. (2004). </w:t>
      </w:r>
      <w:r w:rsidRPr="007979A7">
        <w:rPr>
          <w:rStyle w:val="Emphasis"/>
          <w:rFonts w:ascii="Arial" w:hAnsi="Arial" w:cs="Arial"/>
          <w:sz w:val="20"/>
          <w:szCs w:val="20"/>
        </w:rPr>
        <w:t>Plantation Forestry in the Tropics</w:t>
      </w:r>
      <w:r w:rsidRPr="007979A7">
        <w:rPr>
          <w:rFonts w:ascii="Arial" w:hAnsi="Arial" w:cs="Arial"/>
          <w:sz w:val="20"/>
          <w:szCs w:val="20"/>
        </w:rPr>
        <w:t>. Oxford University Press.</w:t>
      </w:r>
    </w:p>
    <w:p w14:paraId="1E71CAEA" w14:textId="77777777" w:rsidR="007979A7" w:rsidRPr="007979A7" w:rsidRDefault="007979A7" w:rsidP="007979A7">
      <w:pPr>
        <w:pStyle w:val="NormalWeb"/>
        <w:spacing w:before="120" w:beforeAutospacing="0" w:after="0" w:afterAutospacing="0" w:line="276" w:lineRule="auto"/>
        <w:ind w:left="-142"/>
        <w:jc w:val="both"/>
        <w:rPr>
          <w:rFonts w:ascii="Arial" w:hAnsi="Arial" w:cs="Arial"/>
          <w:sz w:val="20"/>
          <w:szCs w:val="20"/>
        </w:rPr>
      </w:pPr>
      <w:r w:rsidRPr="007979A7">
        <w:rPr>
          <w:rFonts w:ascii="Arial" w:hAnsi="Arial" w:cs="Arial"/>
          <w:sz w:val="20"/>
          <w:szCs w:val="20"/>
        </w:rPr>
        <w:t xml:space="preserve">FAO. (2020). </w:t>
      </w:r>
      <w:r w:rsidRPr="007979A7">
        <w:rPr>
          <w:rStyle w:val="Emphasis"/>
          <w:rFonts w:ascii="Arial" w:hAnsi="Arial" w:cs="Arial"/>
          <w:i w:val="0"/>
          <w:sz w:val="20"/>
          <w:szCs w:val="20"/>
        </w:rPr>
        <w:t>Global Forest Resources Assessment 2020</w:t>
      </w:r>
      <w:r w:rsidRPr="007979A7">
        <w:rPr>
          <w:rFonts w:ascii="Arial" w:hAnsi="Arial" w:cs="Arial"/>
          <w:i/>
          <w:sz w:val="20"/>
          <w:szCs w:val="20"/>
        </w:rPr>
        <w:t xml:space="preserve">. </w:t>
      </w:r>
      <w:r w:rsidRPr="007979A7">
        <w:rPr>
          <w:rFonts w:ascii="Arial" w:hAnsi="Arial" w:cs="Arial"/>
          <w:sz w:val="20"/>
          <w:szCs w:val="20"/>
        </w:rPr>
        <w:t>Food and Agriculture Organization of United Nations, Rome.</w:t>
      </w:r>
    </w:p>
    <w:p w14:paraId="0E823792" w14:textId="77777777" w:rsidR="007979A7" w:rsidRPr="007979A7" w:rsidRDefault="007979A7" w:rsidP="007979A7">
      <w:pPr>
        <w:spacing w:before="120" w:line="276" w:lineRule="auto"/>
        <w:ind w:left="-142"/>
        <w:jc w:val="both"/>
        <w:rPr>
          <w:rFonts w:ascii="Arial" w:hAnsi="Arial" w:cs="Arial"/>
          <w:lang w:val="en-IN" w:eastAsia="en-IN"/>
        </w:rPr>
      </w:pPr>
      <w:r w:rsidRPr="007979A7">
        <w:rPr>
          <w:rFonts w:ascii="Arial" w:hAnsi="Arial" w:cs="Arial"/>
          <w:lang w:val="en-IN" w:eastAsia="en-IN"/>
        </w:rPr>
        <w:t>FAO. (2022). Global Teak Resources and Market Assessment 2022. Food and Agriculture Organization of United Nations, Rome.</w:t>
      </w:r>
    </w:p>
    <w:p w14:paraId="349A973C" w14:textId="77777777" w:rsidR="007979A7" w:rsidRPr="007979A7" w:rsidRDefault="007979A7" w:rsidP="007979A7">
      <w:pPr>
        <w:spacing w:before="120" w:line="276" w:lineRule="auto"/>
        <w:ind w:left="-142"/>
        <w:jc w:val="both"/>
        <w:rPr>
          <w:rFonts w:ascii="Arial" w:hAnsi="Arial" w:cs="Arial"/>
          <w:lang w:val="en-IN" w:eastAsia="en-IN"/>
        </w:rPr>
      </w:pPr>
      <w:r w:rsidRPr="007979A7">
        <w:rPr>
          <w:rFonts w:ascii="Arial" w:hAnsi="Arial" w:cs="Arial"/>
          <w:shd w:val="clear" w:color="auto" w:fill="FFFFFF"/>
        </w:rPr>
        <w:t xml:space="preserve">Goh, D.K.S. &amp; </w:t>
      </w:r>
      <w:proofErr w:type="spellStart"/>
      <w:r w:rsidRPr="007979A7">
        <w:rPr>
          <w:rFonts w:ascii="Arial" w:hAnsi="Arial" w:cs="Arial"/>
          <w:shd w:val="clear" w:color="auto" w:fill="FFFFFF"/>
        </w:rPr>
        <w:t>Monteuuis</w:t>
      </w:r>
      <w:proofErr w:type="spellEnd"/>
      <w:r w:rsidRPr="007979A7">
        <w:rPr>
          <w:rFonts w:ascii="Arial" w:hAnsi="Arial" w:cs="Arial"/>
          <w:shd w:val="clear" w:color="auto" w:fill="FFFFFF"/>
        </w:rPr>
        <w:t>, O. (2016) Teak. In: Sung Park, Y., Bonga, J.M. and Moon, H.K., Eds., Vegetative Propagation of Forest Trees, National Institute of Forest Science (</w:t>
      </w:r>
      <w:proofErr w:type="spellStart"/>
      <w:r w:rsidRPr="007979A7">
        <w:rPr>
          <w:rFonts w:ascii="Arial" w:hAnsi="Arial" w:cs="Arial"/>
          <w:shd w:val="clear" w:color="auto" w:fill="FFFFFF"/>
        </w:rPr>
        <w:t>NIFoS</w:t>
      </w:r>
      <w:proofErr w:type="spellEnd"/>
      <w:r w:rsidRPr="007979A7">
        <w:rPr>
          <w:rFonts w:ascii="Arial" w:hAnsi="Arial" w:cs="Arial"/>
          <w:shd w:val="clear" w:color="auto" w:fill="FFFFFF"/>
        </w:rPr>
        <w:t>), Seoul, 425-440.</w:t>
      </w:r>
    </w:p>
    <w:p w14:paraId="29A89F4E" w14:textId="77777777" w:rsidR="007979A7" w:rsidRPr="007979A7" w:rsidRDefault="007979A7" w:rsidP="007979A7">
      <w:pPr>
        <w:pStyle w:val="NormalWeb"/>
        <w:spacing w:before="120" w:beforeAutospacing="0" w:after="0" w:afterAutospacing="0" w:line="276" w:lineRule="auto"/>
        <w:ind w:left="-142"/>
        <w:jc w:val="both"/>
        <w:rPr>
          <w:rFonts w:ascii="Arial" w:hAnsi="Arial" w:cs="Arial"/>
          <w:sz w:val="20"/>
          <w:szCs w:val="20"/>
        </w:rPr>
      </w:pPr>
      <w:r w:rsidRPr="007979A7">
        <w:rPr>
          <w:rFonts w:ascii="Arial" w:hAnsi="Arial" w:cs="Arial"/>
          <w:sz w:val="20"/>
          <w:szCs w:val="20"/>
        </w:rPr>
        <w:t xml:space="preserve">Goh, D.K.S., Y. </w:t>
      </w:r>
      <w:proofErr w:type="spellStart"/>
      <w:r w:rsidRPr="007979A7">
        <w:rPr>
          <w:rFonts w:ascii="Arial" w:hAnsi="Arial" w:cs="Arial"/>
          <w:sz w:val="20"/>
          <w:szCs w:val="20"/>
        </w:rPr>
        <w:t>Japarudin</w:t>
      </w:r>
      <w:proofErr w:type="spellEnd"/>
      <w:r w:rsidRPr="007979A7">
        <w:rPr>
          <w:rFonts w:ascii="Arial" w:hAnsi="Arial" w:cs="Arial"/>
          <w:sz w:val="20"/>
          <w:szCs w:val="20"/>
        </w:rPr>
        <w:t xml:space="preserve">, A. </w:t>
      </w:r>
      <w:proofErr w:type="spellStart"/>
      <w:r w:rsidRPr="007979A7">
        <w:rPr>
          <w:rFonts w:ascii="Arial" w:hAnsi="Arial" w:cs="Arial"/>
          <w:sz w:val="20"/>
          <w:szCs w:val="20"/>
        </w:rPr>
        <w:t>Alwi</w:t>
      </w:r>
      <w:proofErr w:type="spellEnd"/>
      <w:r w:rsidRPr="007979A7">
        <w:rPr>
          <w:rFonts w:ascii="Arial" w:hAnsi="Arial" w:cs="Arial"/>
          <w:sz w:val="20"/>
          <w:szCs w:val="20"/>
        </w:rPr>
        <w:t xml:space="preserve">, </w:t>
      </w:r>
      <w:proofErr w:type="spellStart"/>
      <w:r w:rsidRPr="007979A7">
        <w:rPr>
          <w:rFonts w:ascii="Arial" w:hAnsi="Arial" w:cs="Arial"/>
          <w:sz w:val="20"/>
          <w:szCs w:val="20"/>
        </w:rPr>
        <w:t>Lapammu</w:t>
      </w:r>
      <w:proofErr w:type="spellEnd"/>
      <w:r w:rsidRPr="007979A7">
        <w:rPr>
          <w:rFonts w:ascii="Arial" w:hAnsi="Arial" w:cs="Arial"/>
          <w:sz w:val="20"/>
          <w:szCs w:val="20"/>
        </w:rPr>
        <w:t xml:space="preserve"> M., Flori A. &amp; </w:t>
      </w:r>
      <w:proofErr w:type="spellStart"/>
      <w:r w:rsidRPr="007979A7">
        <w:rPr>
          <w:rFonts w:ascii="Arial" w:hAnsi="Arial" w:cs="Arial"/>
          <w:sz w:val="20"/>
          <w:szCs w:val="20"/>
        </w:rPr>
        <w:t>Monteuuis</w:t>
      </w:r>
      <w:proofErr w:type="spellEnd"/>
      <w:r w:rsidRPr="007979A7">
        <w:rPr>
          <w:rFonts w:ascii="Arial" w:hAnsi="Arial" w:cs="Arial"/>
          <w:sz w:val="20"/>
          <w:szCs w:val="20"/>
        </w:rPr>
        <w:t xml:space="preserve"> O. (2013). Growth differences and genetic parameter estimates of 15 teak (</w:t>
      </w:r>
      <w:proofErr w:type="spellStart"/>
      <w:r w:rsidRPr="007979A7">
        <w:rPr>
          <w:rFonts w:ascii="Arial" w:hAnsi="Arial" w:cs="Arial"/>
          <w:i/>
          <w:sz w:val="20"/>
          <w:szCs w:val="20"/>
        </w:rPr>
        <w:t>Tectona</w:t>
      </w:r>
      <w:proofErr w:type="spellEnd"/>
      <w:r w:rsidRPr="007979A7">
        <w:rPr>
          <w:rFonts w:ascii="Arial" w:hAnsi="Arial" w:cs="Arial"/>
          <w:i/>
          <w:sz w:val="20"/>
          <w:szCs w:val="20"/>
        </w:rPr>
        <w:t xml:space="preserve"> </w:t>
      </w:r>
      <w:proofErr w:type="spellStart"/>
      <w:r w:rsidRPr="007979A7">
        <w:rPr>
          <w:rFonts w:ascii="Arial" w:hAnsi="Arial" w:cs="Arial"/>
          <w:i/>
          <w:sz w:val="20"/>
          <w:szCs w:val="20"/>
        </w:rPr>
        <w:t>grandis</w:t>
      </w:r>
      <w:proofErr w:type="spellEnd"/>
      <w:r w:rsidRPr="007979A7">
        <w:rPr>
          <w:rFonts w:ascii="Arial" w:hAnsi="Arial" w:cs="Arial"/>
          <w:sz w:val="20"/>
          <w:szCs w:val="20"/>
        </w:rPr>
        <w:t xml:space="preserve"> </w:t>
      </w:r>
      <w:proofErr w:type="spellStart"/>
      <w:r w:rsidRPr="007979A7">
        <w:rPr>
          <w:rFonts w:ascii="Arial" w:hAnsi="Arial" w:cs="Arial"/>
          <w:sz w:val="20"/>
          <w:szCs w:val="20"/>
        </w:rPr>
        <w:t>L.f</w:t>
      </w:r>
      <w:proofErr w:type="spellEnd"/>
      <w:r w:rsidRPr="007979A7">
        <w:rPr>
          <w:rFonts w:ascii="Arial" w:hAnsi="Arial" w:cs="Arial"/>
          <w:sz w:val="20"/>
          <w:szCs w:val="20"/>
        </w:rPr>
        <w:t xml:space="preserve">.) genotypes of various ages clonally propagated by </w:t>
      </w:r>
      <w:proofErr w:type="spellStart"/>
      <w:r w:rsidRPr="007979A7">
        <w:rPr>
          <w:rFonts w:ascii="Arial" w:hAnsi="Arial" w:cs="Arial"/>
          <w:sz w:val="20"/>
          <w:szCs w:val="20"/>
        </w:rPr>
        <w:t>microcuttings</w:t>
      </w:r>
      <w:proofErr w:type="spellEnd"/>
      <w:r w:rsidRPr="007979A7">
        <w:rPr>
          <w:rFonts w:ascii="Arial" w:hAnsi="Arial" w:cs="Arial"/>
          <w:sz w:val="20"/>
          <w:szCs w:val="20"/>
        </w:rPr>
        <w:t xml:space="preserve"> and planted under humid tropical conditions. </w:t>
      </w:r>
      <w:proofErr w:type="spellStart"/>
      <w:r w:rsidRPr="007979A7">
        <w:rPr>
          <w:rFonts w:ascii="Arial" w:hAnsi="Arial" w:cs="Arial"/>
          <w:i/>
          <w:sz w:val="20"/>
          <w:szCs w:val="20"/>
        </w:rPr>
        <w:t>Silvae</w:t>
      </w:r>
      <w:proofErr w:type="spellEnd"/>
      <w:r w:rsidRPr="007979A7">
        <w:rPr>
          <w:rFonts w:ascii="Arial" w:hAnsi="Arial" w:cs="Arial"/>
          <w:i/>
          <w:sz w:val="20"/>
          <w:szCs w:val="20"/>
        </w:rPr>
        <w:t xml:space="preserve"> </w:t>
      </w:r>
      <w:proofErr w:type="spellStart"/>
      <w:r w:rsidRPr="007979A7">
        <w:rPr>
          <w:rFonts w:ascii="Arial" w:hAnsi="Arial" w:cs="Arial"/>
          <w:i/>
          <w:sz w:val="20"/>
          <w:szCs w:val="20"/>
        </w:rPr>
        <w:t>Genetica</w:t>
      </w:r>
      <w:proofErr w:type="spellEnd"/>
      <w:r w:rsidRPr="007979A7">
        <w:rPr>
          <w:rFonts w:ascii="Arial" w:hAnsi="Arial" w:cs="Arial"/>
          <w:sz w:val="20"/>
          <w:szCs w:val="20"/>
        </w:rPr>
        <w:t>, 62: 4–5.</w:t>
      </w:r>
    </w:p>
    <w:p w14:paraId="44F44A41" w14:textId="77777777" w:rsidR="007979A7" w:rsidRPr="007979A7" w:rsidRDefault="007979A7" w:rsidP="00F8391A">
      <w:pPr>
        <w:spacing w:before="120" w:line="276" w:lineRule="auto"/>
        <w:ind w:left="-142"/>
        <w:rPr>
          <w:rFonts w:ascii="Arial" w:hAnsi="Arial" w:cs="Arial"/>
          <w:u w:val="single"/>
          <w:lang w:val="en-IN" w:eastAsia="en-IN"/>
        </w:rPr>
      </w:pPr>
      <w:r w:rsidRPr="007979A7">
        <w:rPr>
          <w:rFonts w:ascii="Arial" w:hAnsi="Arial" w:cs="Arial"/>
          <w:lang w:val="en-IN" w:eastAsia="en-IN"/>
        </w:rPr>
        <w:t xml:space="preserve">Griscom, B.W., Adams, J., Ellis, P.W., et al. (2017). Natural climate solutions. </w:t>
      </w:r>
      <w:r w:rsidRPr="007979A7">
        <w:rPr>
          <w:rFonts w:ascii="Arial" w:hAnsi="Arial" w:cs="Arial"/>
          <w:i/>
          <w:iCs/>
          <w:lang w:val="en-IN" w:eastAsia="en-IN"/>
        </w:rPr>
        <w:t>Proceedings of the National Academy of Sciences,</w:t>
      </w:r>
      <w:r w:rsidRPr="007979A7">
        <w:rPr>
          <w:rFonts w:ascii="Arial" w:hAnsi="Arial" w:cs="Arial"/>
          <w:lang w:val="en-IN" w:eastAsia="en-IN"/>
        </w:rPr>
        <w:t xml:space="preserve"> 114: 11645–11650. </w:t>
      </w:r>
      <w:hyperlink r:id="rId23" w:history="1">
        <w:r w:rsidRPr="007979A7">
          <w:rPr>
            <w:rStyle w:val="Hyperlink"/>
            <w:rFonts w:ascii="Arial" w:hAnsi="Arial" w:cs="Arial"/>
            <w:lang w:val="en-IN" w:eastAsia="en-IN"/>
          </w:rPr>
          <w:t>https://doi.org/10.1073/pnas.1710465114</w:t>
        </w:r>
      </w:hyperlink>
      <w:r w:rsidRPr="007979A7">
        <w:rPr>
          <w:rFonts w:ascii="Arial" w:hAnsi="Arial" w:cs="Arial"/>
          <w:u w:val="single"/>
          <w:lang w:val="en-IN" w:eastAsia="en-IN"/>
        </w:rPr>
        <w:t>.</w:t>
      </w:r>
    </w:p>
    <w:p w14:paraId="6AD16E10" w14:textId="77777777" w:rsidR="007979A7" w:rsidRPr="007979A7" w:rsidRDefault="007979A7" w:rsidP="007979A7">
      <w:pPr>
        <w:shd w:val="clear" w:color="auto" w:fill="FFFFFF"/>
        <w:spacing w:before="120" w:line="276" w:lineRule="auto"/>
        <w:ind w:left="-142"/>
        <w:rPr>
          <w:rFonts w:ascii="Arial" w:hAnsi="Arial" w:cs="Arial"/>
          <w:color w:val="525254"/>
          <w:lang w:val="en-IN" w:eastAsia="en-IN"/>
        </w:rPr>
      </w:pPr>
      <w:proofErr w:type="spellStart"/>
      <w:r w:rsidRPr="007979A7">
        <w:rPr>
          <w:rFonts w:ascii="Arial" w:hAnsi="Arial" w:cs="Arial"/>
          <w:color w:val="131314"/>
          <w:lang w:val="en-IN" w:eastAsia="en-IN"/>
        </w:rPr>
        <w:t>Gyves</w:t>
      </w:r>
      <w:proofErr w:type="spellEnd"/>
      <w:r w:rsidRPr="007979A7">
        <w:rPr>
          <w:rFonts w:ascii="Arial" w:hAnsi="Arial" w:cs="Arial"/>
          <w:color w:val="131314"/>
          <w:lang w:val="en-IN" w:eastAsia="en-IN"/>
        </w:rPr>
        <w:t xml:space="preserve"> </w:t>
      </w:r>
      <w:proofErr w:type="spellStart"/>
      <w:r w:rsidRPr="007979A7">
        <w:rPr>
          <w:rFonts w:ascii="Arial" w:hAnsi="Arial" w:cs="Arial"/>
          <w:color w:val="131314"/>
          <w:lang w:val="en-IN" w:eastAsia="en-IN"/>
        </w:rPr>
        <w:t>EMDd</w:t>
      </w:r>
      <w:proofErr w:type="spellEnd"/>
      <w:r w:rsidRPr="007979A7">
        <w:rPr>
          <w:rFonts w:ascii="Arial" w:hAnsi="Arial" w:cs="Arial"/>
          <w:color w:val="131314"/>
          <w:lang w:val="en-IN" w:eastAsia="en-IN"/>
        </w:rPr>
        <w:t xml:space="preserve">, </w:t>
      </w:r>
      <w:proofErr w:type="spellStart"/>
      <w:r w:rsidRPr="007979A7">
        <w:rPr>
          <w:rFonts w:ascii="Arial" w:hAnsi="Arial" w:cs="Arial"/>
          <w:color w:val="131314"/>
          <w:lang w:val="en-IN" w:eastAsia="en-IN"/>
        </w:rPr>
        <w:t>Royani</w:t>
      </w:r>
      <w:proofErr w:type="spellEnd"/>
      <w:r w:rsidRPr="007979A7">
        <w:rPr>
          <w:rFonts w:ascii="Arial" w:hAnsi="Arial" w:cs="Arial"/>
          <w:color w:val="131314"/>
          <w:lang w:val="en-IN" w:eastAsia="en-IN"/>
        </w:rPr>
        <w:t xml:space="preserve"> JI &amp; </w:t>
      </w:r>
      <w:proofErr w:type="spellStart"/>
      <w:r w:rsidRPr="007979A7">
        <w:rPr>
          <w:rFonts w:ascii="Arial" w:hAnsi="Arial" w:cs="Arial"/>
          <w:color w:val="131314"/>
          <w:lang w:val="en-IN" w:eastAsia="en-IN"/>
        </w:rPr>
        <w:t>Rugini</w:t>
      </w:r>
      <w:proofErr w:type="spellEnd"/>
      <w:r w:rsidRPr="007979A7">
        <w:rPr>
          <w:rFonts w:ascii="Arial" w:hAnsi="Arial" w:cs="Arial"/>
          <w:color w:val="131314"/>
          <w:lang w:val="en-IN" w:eastAsia="en-IN"/>
        </w:rPr>
        <w:t xml:space="preserve"> E. (2007). Efficient method of micropropagation and in vitro rooting of teak (</w:t>
      </w:r>
      <w:r w:rsidRPr="007979A7">
        <w:rPr>
          <w:rFonts w:ascii="Arial" w:hAnsi="Arial" w:cs="Arial"/>
          <w:i/>
          <w:color w:val="131314"/>
          <w:lang w:val="en-IN" w:eastAsia="en-IN"/>
        </w:rPr>
        <w:t>Tectona grandis</w:t>
      </w:r>
      <w:r w:rsidRPr="007979A7">
        <w:rPr>
          <w:rFonts w:ascii="Arial" w:hAnsi="Arial" w:cs="Arial"/>
          <w:color w:val="131314"/>
          <w:lang w:val="en-IN" w:eastAsia="en-IN"/>
        </w:rPr>
        <w:t xml:space="preserve"> L.) focusing on large-scale industrial plantations. Annals of Forest Science, 64 (1). </w:t>
      </w:r>
      <w:r w:rsidRPr="007979A7">
        <w:rPr>
          <w:rFonts w:ascii="Arial" w:hAnsi="Arial" w:cs="Arial"/>
          <w:color w:val="525254"/>
          <w:lang w:val="en-IN" w:eastAsia="en-IN"/>
        </w:rPr>
        <w:t>DOI: </w:t>
      </w:r>
      <w:hyperlink r:id="rId24" w:tgtFrame="_blank" w:history="1">
        <w:r w:rsidRPr="007979A7">
          <w:rPr>
            <w:rFonts w:ascii="Arial" w:hAnsi="Arial" w:cs="Arial"/>
            <w:color w:val="0000FF"/>
            <w:u w:val="single"/>
            <w:bdr w:val="none" w:sz="0" w:space="0" w:color="auto" w:frame="1"/>
            <w:lang w:val="en-IN" w:eastAsia="en-IN"/>
          </w:rPr>
          <w:t>10.1051/forest:2006090</w:t>
        </w:r>
      </w:hyperlink>
      <w:r w:rsidRPr="007979A7">
        <w:rPr>
          <w:rFonts w:ascii="Arial" w:hAnsi="Arial" w:cs="Arial"/>
          <w:color w:val="525254"/>
          <w:lang w:val="en-IN" w:eastAsia="en-IN"/>
        </w:rPr>
        <w:t xml:space="preserve">. </w:t>
      </w:r>
    </w:p>
    <w:p w14:paraId="7F783C77" w14:textId="77777777" w:rsidR="007979A7" w:rsidRPr="007979A7" w:rsidRDefault="007979A7" w:rsidP="007979A7">
      <w:pPr>
        <w:shd w:val="clear" w:color="auto" w:fill="FFFFFF"/>
        <w:spacing w:before="120" w:line="276" w:lineRule="auto"/>
        <w:ind w:left="-142"/>
        <w:rPr>
          <w:rFonts w:ascii="Arial" w:hAnsi="Arial" w:cs="Arial"/>
          <w:lang w:val="en-IN" w:eastAsia="en-IN"/>
        </w:rPr>
      </w:pPr>
      <w:r w:rsidRPr="007979A7">
        <w:rPr>
          <w:rFonts w:ascii="Arial" w:hAnsi="Arial" w:cs="Arial"/>
          <w:lang w:val="en-IN" w:eastAsia="en-IN"/>
        </w:rPr>
        <w:t>Husen, A. (2012). Clonal Propagation of Teak (</w:t>
      </w:r>
      <w:r w:rsidRPr="007979A7">
        <w:rPr>
          <w:rFonts w:ascii="Arial" w:hAnsi="Arial" w:cs="Arial"/>
          <w:i/>
          <w:lang w:val="en-IN" w:eastAsia="en-IN"/>
        </w:rPr>
        <w:t>Tectona grandis</w:t>
      </w:r>
      <w:r w:rsidRPr="007979A7">
        <w:rPr>
          <w:rFonts w:ascii="Arial" w:hAnsi="Arial" w:cs="Arial"/>
          <w:lang w:val="en-IN" w:eastAsia="en-IN"/>
        </w:rPr>
        <w:t xml:space="preserve"> Linn. f.) - Adventitious Root Formation: Influence of Physiological and Chemical Factors. DOI: </w:t>
      </w:r>
      <w:hyperlink r:id="rId25" w:tgtFrame="_blank" w:history="1">
        <w:r w:rsidRPr="007979A7">
          <w:rPr>
            <w:rFonts w:ascii="Arial" w:hAnsi="Arial" w:cs="Arial"/>
            <w:u w:val="single"/>
            <w:bdr w:val="none" w:sz="0" w:space="0" w:color="auto" w:frame="1"/>
            <w:lang w:val="en-IN" w:eastAsia="en-IN"/>
          </w:rPr>
          <w:t>10.13140/RG.2.1.1564.0083</w:t>
        </w:r>
      </w:hyperlink>
      <w:r w:rsidRPr="007979A7">
        <w:rPr>
          <w:rFonts w:ascii="Arial" w:hAnsi="Arial" w:cs="Arial"/>
          <w:lang w:val="en-IN" w:eastAsia="en-IN"/>
        </w:rPr>
        <w:t>.</w:t>
      </w:r>
    </w:p>
    <w:p w14:paraId="42B4ADB9" w14:textId="77777777" w:rsidR="007979A7" w:rsidRPr="007979A7" w:rsidRDefault="007979A7" w:rsidP="007979A7">
      <w:pPr>
        <w:shd w:val="clear" w:color="auto" w:fill="FFFFFF"/>
        <w:spacing w:before="120" w:line="276" w:lineRule="auto"/>
        <w:ind w:left="-142"/>
        <w:jc w:val="both"/>
        <w:rPr>
          <w:rFonts w:ascii="Arial" w:hAnsi="Arial" w:cs="Arial"/>
          <w:lang w:val="en-IN" w:eastAsia="en-IN"/>
        </w:rPr>
      </w:pPr>
      <w:r w:rsidRPr="007979A7">
        <w:rPr>
          <w:rFonts w:ascii="Arial" w:hAnsi="Arial" w:cs="Arial"/>
        </w:rPr>
        <w:t xml:space="preserve">Husen, A. &amp; Pal, M. (2006). </w:t>
      </w:r>
      <w:r w:rsidRPr="007979A7">
        <w:rPr>
          <w:rFonts w:ascii="Arial" w:hAnsi="Arial" w:cs="Arial"/>
          <w:bCs/>
          <w:shd w:val="clear" w:color="auto" w:fill="FFFFFF"/>
        </w:rPr>
        <w:t xml:space="preserve">Variation in Shoot Anatomy and Rooting </w:t>
      </w:r>
      <w:proofErr w:type="spellStart"/>
      <w:r w:rsidRPr="007979A7">
        <w:rPr>
          <w:rFonts w:ascii="Arial" w:hAnsi="Arial" w:cs="Arial"/>
          <w:bCs/>
          <w:shd w:val="clear" w:color="auto" w:fill="FFFFFF"/>
        </w:rPr>
        <w:t>Behaviour</w:t>
      </w:r>
      <w:proofErr w:type="spellEnd"/>
      <w:r w:rsidRPr="007979A7">
        <w:rPr>
          <w:rFonts w:ascii="Arial" w:hAnsi="Arial" w:cs="Arial"/>
          <w:bCs/>
          <w:shd w:val="clear" w:color="auto" w:fill="FFFFFF"/>
        </w:rPr>
        <w:t xml:space="preserve"> of Stem Cuttings in Relation to Age of Donor Plants in Teak (</w:t>
      </w:r>
      <w:r w:rsidRPr="007979A7">
        <w:rPr>
          <w:rFonts w:ascii="Arial" w:hAnsi="Arial" w:cs="Arial"/>
          <w:bCs/>
          <w:i/>
          <w:shd w:val="clear" w:color="auto" w:fill="FFFFFF"/>
        </w:rPr>
        <w:t>Tectona grandis</w:t>
      </w:r>
      <w:r w:rsidRPr="007979A7">
        <w:rPr>
          <w:rFonts w:ascii="Arial" w:hAnsi="Arial" w:cs="Arial"/>
          <w:bCs/>
          <w:shd w:val="clear" w:color="auto" w:fill="FFFFFF"/>
        </w:rPr>
        <w:t xml:space="preserve"> Linn. f.).</w:t>
      </w:r>
      <w:r w:rsidRPr="007979A7">
        <w:rPr>
          <w:rFonts w:ascii="Arial" w:hAnsi="Arial" w:cs="Arial"/>
          <w:lang w:val="en-IN" w:eastAsia="en-IN"/>
        </w:rPr>
        <w:t xml:space="preserve"> </w:t>
      </w:r>
      <w:hyperlink r:id="rId26" w:history="1">
        <w:r w:rsidRPr="007979A7">
          <w:rPr>
            <w:rFonts w:ascii="Arial" w:hAnsi="Arial" w:cs="Arial"/>
            <w:bCs/>
            <w:i/>
            <w:bdr w:val="none" w:sz="0" w:space="0" w:color="auto" w:frame="1"/>
            <w:lang w:val="en-IN" w:eastAsia="en-IN"/>
          </w:rPr>
          <w:t>New Forests</w:t>
        </w:r>
      </w:hyperlink>
      <w:r w:rsidRPr="007979A7">
        <w:rPr>
          <w:rFonts w:ascii="Arial" w:hAnsi="Arial" w:cs="Arial"/>
          <w:i/>
          <w:lang w:val="en-IN" w:eastAsia="en-IN"/>
        </w:rPr>
        <w:t>,</w:t>
      </w:r>
      <w:r w:rsidRPr="007979A7">
        <w:rPr>
          <w:rFonts w:ascii="Arial" w:hAnsi="Arial" w:cs="Arial"/>
          <w:lang w:val="en-IN" w:eastAsia="en-IN"/>
        </w:rPr>
        <w:t> 31(1):57-73. DOI: </w:t>
      </w:r>
      <w:hyperlink r:id="rId27" w:tgtFrame="_blank" w:history="1">
        <w:r w:rsidRPr="007979A7">
          <w:rPr>
            <w:rFonts w:ascii="Arial" w:hAnsi="Arial" w:cs="Arial"/>
            <w:u w:val="single"/>
            <w:bdr w:val="none" w:sz="0" w:space="0" w:color="auto" w:frame="1"/>
            <w:lang w:val="en-IN" w:eastAsia="en-IN"/>
          </w:rPr>
          <w:t>10.1007/s11056-004-6794-5</w:t>
        </w:r>
      </w:hyperlink>
      <w:r w:rsidRPr="007979A7">
        <w:rPr>
          <w:rFonts w:ascii="Arial" w:hAnsi="Arial" w:cs="Arial"/>
          <w:lang w:val="en-IN" w:eastAsia="en-IN"/>
        </w:rPr>
        <w:t>.</w:t>
      </w:r>
    </w:p>
    <w:p w14:paraId="28795BDD" w14:textId="77777777" w:rsidR="007979A7" w:rsidRPr="007979A7" w:rsidRDefault="007979A7" w:rsidP="007979A7">
      <w:pPr>
        <w:spacing w:before="120" w:line="276" w:lineRule="auto"/>
        <w:ind w:left="-142"/>
        <w:jc w:val="both"/>
        <w:rPr>
          <w:rFonts w:ascii="Arial" w:hAnsi="Arial" w:cs="Arial"/>
          <w:lang w:val="en-IN" w:eastAsia="en-IN"/>
        </w:rPr>
      </w:pPr>
      <w:r w:rsidRPr="007979A7">
        <w:rPr>
          <w:rFonts w:ascii="Arial" w:hAnsi="Arial" w:cs="Arial"/>
          <w:lang w:val="en-IN" w:eastAsia="en-IN"/>
        </w:rPr>
        <w:t xml:space="preserve">IPCC (2019). </w:t>
      </w:r>
      <w:r w:rsidRPr="007979A7">
        <w:rPr>
          <w:rFonts w:ascii="Arial" w:hAnsi="Arial" w:cs="Arial"/>
          <w:iCs/>
          <w:lang w:val="en-IN" w:eastAsia="en-IN"/>
        </w:rPr>
        <w:t>Climate Change and Land: An IPCC Special Report on Climate Change, Desertification, Land Degradation, Sustainable Land Management, Food Security, and Greenhouse Gas Fluxes in Terrestrial Ecosystems</w:t>
      </w:r>
      <w:r w:rsidRPr="007979A7">
        <w:rPr>
          <w:rFonts w:ascii="Arial" w:hAnsi="Arial" w:cs="Arial"/>
          <w:lang w:val="en-IN" w:eastAsia="en-IN"/>
        </w:rPr>
        <w:t>. Intergovernmental Panel on Climate Change.</w:t>
      </w:r>
    </w:p>
    <w:p w14:paraId="52C5F5F7" w14:textId="77777777" w:rsidR="007979A7" w:rsidRPr="007979A7" w:rsidRDefault="007979A7" w:rsidP="007979A7">
      <w:pPr>
        <w:spacing w:before="120" w:line="276" w:lineRule="auto"/>
        <w:ind w:left="-142"/>
        <w:jc w:val="both"/>
        <w:rPr>
          <w:rFonts w:ascii="Arial" w:hAnsi="Arial" w:cs="Arial"/>
          <w:lang w:val="en-IN" w:eastAsia="en-IN"/>
        </w:rPr>
      </w:pPr>
      <w:r w:rsidRPr="007979A7">
        <w:rPr>
          <w:rFonts w:ascii="Arial" w:hAnsi="Arial" w:cs="Arial"/>
          <w:lang w:val="en-IN" w:eastAsia="en-IN"/>
        </w:rPr>
        <w:lastRenderedPageBreak/>
        <w:t xml:space="preserve">IPCC (2023). </w:t>
      </w:r>
      <w:r w:rsidRPr="007979A7">
        <w:rPr>
          <w:rFonts w:ascii="Arial" w:hAnsi="Arial" w:cs="Arial"/>
          <w:iCs/>
          <w:lang w:val="en-IN" w:eastAsia="en-IN"/>
        </w:rPr>
        <w:t>Climate Change 2023</w:t>
      </w:r>
      <w:r w:rsidRPr="007979A7">
        <w:rPr>
          <w:rFonts w:ascii="Arial" w:hAnsi="Arial" w:cs="Arial"/>
          <w:i/>
          <w:iCs/>
          <w:lang w:val="en-IN" w:eastAsia="en-IN"/>
        </w:rPr>
        <w:t xml:space="preserve">: </w:t>
      </w:r>
      <w:r w:rsidRPr="007979A7">
        <w:rPr>
          <w:rFonts w:ascii="Arial" w:hAnsi="Arial" w:cs="Arial"/>
          <w:iCs/>
          <w:lang w:val="en-IN" w:eastAsia="en-IN"/>
        </w:rPr>
        <w:t>Synthesis Report</w:t>
      </w:r>
      <w:r w:rsidRPr="007979A7">
        <w:rPr>
          <w:rFonts w:ascii="Arial" w:hAnsi="Arial" w:cs="Arial"/>
          <w:lang w:val="en-IN" w:eastAsia="en-IN"/>
        </w:rPr>
        <w:t>. Intergovernmental Panel on Climate Change.</w:t>
      </w:r>
    </w:p>
    <w:p w14:paraId="0F79E5EA" w14:textId="77777777" w:rsidR="007979A7" w:rsidRPr="007979A7" w:rsidRDefault="007979A7" w:rsidP="007979A7">
      <w:pPr>
        <w:spacing w:before="120" w:line="276" w:lineRule="auto"/>
        <w:ind w:left="-142"/>
        <w:jc w:val="both"/>
        <w:rPr>
          <w:rFonts w:ascii="Arial" w:hAnsi="Arial" w:cs="Arial"/>
          <w:lang w:val="en-IN" w:eastAsia="en-IN"/>
        </w:rPr>
      </w:pPr>
      <w:r w:rsidRPr="007979A7">
        <w:rPr>
          <w:rFonts w:ascii="Arial" w:hAnsi="Arial" w:cs="Arial"/>
        </w:rPr>
        <w:t xml:space="preserve">Kjaer, E.D. &amp; Foster, G.S. (1996). The economics of tree improvement of teak. Technical Note 43. DANIDA Forest Seed Centre, </w:t>
      </w:r>
      <w:proofErr w:type="spellStart"/>
      <w:r w:rsidRPr="007979A7">
        <w:rPr>
          <w:rFonts w:ascii="Arial" w:hAnsi="Arial" w:cs="Arial"/>
        </w:rPr>
        <w:t>Humlebaek</w:t>
      </w:r>
      <w:proofErr w:type="spellEnd"/>
      <w:r w:rsidRPr="007979A7">
        <w:rPr>
          <w:rFonts w:ascii="Arial" w:hAnsi="Arial" w:cs="Arial"/>
        </w:rPr>
        <w:t>, Denmark.</w:t>
      </w:r>
    </w:p>
    <w:p w14:paraId="52760C09" w14:textId="77777777" w:rsidR="007979A7" w:rsidRPr="007979A7" w:rsidRDefault="007979A7" w:rsidP="007979A7">
      <w:pPr>
        <w:shd w:val="clear" w:color="auto" w:fill="FFFFFF"/>
        <w:tabs>
          <w:tab w:val="num" w:pos="720"/>
        </w:tabs>
        <w:spacing w:before="120" w:line="276" w:lineRule="auto"/>
        <w:ind w:left="-142"/>
        <w:rPr>
          <w:rFonts w:ascii="Arial" w:hAnsi="Arial" w:cs="Arial"/>
          <w:lang w:val="en-IN" w:eastAsia="en-IN"/>
        </w:rPr>
      </w:pPr>
      <w:proofErr w:type="spellStart"/>
      <w:r w:rsidRPr="007979A7">
        <w:rPr>
          <w:rFonts w:ascii="Arial" w:hAnsi="Arial" w:cs="Arial"/>
          <w:lang w:val="en-IN" w:eastAsia="en-IN"/>
        </w:rPr>
        <w:t>Kollert</w:t>
      </w:r>
      <w:proofErr w:type="spellEnd"/>
      <w:r w:rsidRPr="007979A7">
        <w:rPr>
          <w:rFonts w:ascii="Arial" w:hAnsi="Arial" w:cs="Arial"/>
          <w:lang w:val="en-IN" w:eastAsia="en-IN"/>
        </w:rPr>
        <w:t xml:space="preserve"> </w:t>
      </w:r>
      <w:hyperlink r:id="rId28" w:history="1">
        <w:r w:rsidRPr="007979A7">
          <w:rPr>
            <w:rFonts w:ascii="Arial" w:hAnsi="Arial" w:cs="Arial"/>
            <w:bdr w:val="none" w:sz="0" w:space="0" w:color="auto" w:frame="1"/>
            <w:lang w:val="en-IN" w:eastAsia="en-IN"/>
          </w:rPr>
          <w:t xml:space="preserve">W. &amp; </w:t>
        </w:r>
      </w:hyperlink>
      <w:r w:rsidRPr="007979A7">
        <w:rPr>
          <w:rFonts w:ascii="Arial" w:hAnsi="Arial" w:cs="Arial"/>
          <w:lang w:val="en-IN" w:eastAsia="en-IN"/>
        </w:rPr>
        <w:t xml:space="preserve"> Kleine </w:t>
      </w:r>
      <w:hyperlink r:id="rId29" w:history="1">
        <w:r w:rsidRPr="007979A7">
          <w:rPr>
            <w:rFonts w:ascii="Arial" w:hAnsi="Arial" w:cs="Arial"/>
            <w:bdr w:val="none" w:sz="0" w:space="0" w:color="auto" w:frame="1"/>
            <w:lang w:val="en-IN" w:eastAsia="en-IN"/>
          </w:rPr>
          <w:t>M.</w:t>
        </w:r>
      </w:hyperlink>
      <w:r w:rsidRPr="007979A7">
        <w:rPr>
          <w:rFonts w:ascii="Arial" w:hAnsi="Arial" w:cs="Arial"/>
          <w:lang w:val="en-IN" w:eastAsia="en-IN"/>
        </w:rPr>
        <w:t xml:space="preserve"> 2017.The Global Teak Study Analysis, Evaluation and Future Potential of Teak </w:t>
      </w:r>
      <w:proofErr w:type="spellStart"/>
      <w:r w:rsidRPr="007979A7">
        <w:rPr>
          <w:rFonts w:ascii="Arial" w:hAnsi="Arial" w:cs="Arial"/>
          <w:lang w:val="en-IN" w:eastAsia="en-IN"/>
        </w:rPr>
        <w:t>Resources.International</w:t>
      </w:r>
      <w:proofErr w:type="spellEnd"/>
      <w:r w:rsidRPr="007979A7">
        <w:rPr>
          <w:rFonts w:ascii="Arial" w:hAnsi="Arial" w:cs="Arial"/>
          <w:lang w:val="en-IN" w:eastAsia="en-IN"/>
        </w:rPr>
        <w:t xml:space="preserve"> Union of Forest Research Organizations (IUFRO). ISBN: 978-3-902762-77-1.</w:t>
      </w:r>
    </w:p>
    <w:p w14:paraId="15B8A0CB" w14:textId="77777777" w:rsidR="007979A7" w:rsidRPr="007979A7" w:rsidRDefault="007979A7" w:rsidP="007979A7">
      <w:pPr>
        <w:spacing w:before="120" w:line="276" w:lineRule="auto"/>
        <w:ind w:left="-142"/>
        <w:jc w:val="both"/>
        <w:rPr>
          <w:rFonts w:ascii="Arial" w:hAnsi="Arial" w:cs="Arial"/>
          <w:lang w:val="en-IN" w:eastAsia="en-IN"/>
        </w:rPr>
      </w:pPr>
      <w:r w:rsidRPr="007979A7">
        <w:rPr>
          <w:rFonts w:ascii="Arial" w:hAnsi="Arial" w:cs="Arial"/>
          <w:lang w:val="en-IN" w:eastAsia="en-IN"/>
        </w:rPr>
        <w:t xml:space="preserve">Kollert, W. &amp; Kleine, M. (2017). </w:t>
      </w:r>
      <w:r w:rsidRPr="007979A7">
        <w:rPr>
          <w:rFonts w:ascii="Arial" w:hAnsi="Arial" w:cs="Arial"/>
          <w:i/>
          <w:iCs/>
          <w:lang w:val="en-IN" w:eastAsia="en-IN"/>
        </w:rPr>
        <w:t>The Global Teak Study: Analysis, Evaluation and Future Potential of Teak Resources</w:t>
      </w:r>
      <w:r w:rsidRPr="007979A7">
        <w:rPr>
          <w:rFonts w:ascii="Arial" w:hAnsi="Arial" w:cs="Arial"/>
          <w:lang w:val="en-IN" w:eastAsia="en-IN"/>
        </w:rPr>
        <w:t>. FAO, Rome.</w:t>
      </w:r>
    </w:p>
    <w:p w14:paraId="66FD5852" w14:textId="77777777" w:rsidR="007979A7" w:rsidRPr="007979A7" w:rsidRDefault="007979A7" w:rsidP="007979A7">
      <w:pPr>
        <w:pStyle w:val="NormalWeb"/>
        <w:spacing w:before="120" w:beforeAutospacing="0" w:after="0" w:afterAutospacing="0" w:line="276" w:lineRule="auto"/>
        <w:ind w:left="-142"/>
        <w:jc w:val="both"/>
        <w:rPr>
          <w:rFonts w:ascii="Arial" w:hAnsi="Arial" w:cs="Arial"/>
          <w:sz w:val="20"/>
          <w:szCs w:val="20"/>
        </w:rPr>
      </w:pPr>
      <w:r w:rsidRPr="007979A7">
        <w:rPr>
          <w:rFonts w:ascii="Arial" w:hAnsi="Arial" w:cs="Arial"/>
          <w:sz w:val="20"/>
          <w:szCs w:val="20"/>
        </w:rPr>
        <w:t xml:space="preserve">Lamb, D. (2011). </w:t>
      </w:r>
      <w:r w:rsidRPr="007979A7">
        <w:rPr>
          <w:rStyle w:val="Emphasis"/>
          <w:rFonts w:ascii="Arial" w:hAnsi="Arial" w:cs="Arial"/>
          <w:i w:val="0"/>
          <w:sz w:val="20"/>
          <w:szCs w:val="20"/>
        </w:rPr>
        <w:t>Regreening the Bare Hills</w:t>
      </w:r>
      <w:r w:rsidRPr="007979A7">
        <w:rPr>
          <w:rFonts w:ascii="Arial" w:hAnsi="Arial" w:cs="Arial"/>
          <w:i/>
          <w:sz w:val="20"/>
          <w:szCs w:val="20"/>
        </w:rPr>
        <w:t>.</w:t>
      </w:r>
      <w:r w:rsidRPr="007979A7">
        <w:rPr>
          <w:rFonts w:ascii="Arial" w:hAnsi="Arial" w:cs="Arial"/>
          <w:sz w:val="20"/>
          <w:szCs w:val="20"/>
        </w:rPr>
        <w:t xml:space="preserve"> Tropical Forest Restoration in the Asia-Pacific Region.</w:t>
      </w:r>
      <w:r w:rsidRPr="007979A7">
        <w:rPr>
          <w:rFonts w:ascii="Arial" w:hAnsi="Arial" w:cs="Arial"/>
          <w:sz w:val="20"/>
          <w:szCs w:val="20"/>
          <w:shd w:val="clear" w:color="auto" w:fill="99FFF6"/>
        </w:rPr>
        <w:t xml:space="preserve"> </w:t>
      </w:r>
      <w:r w:rsidRPr="007979A7">
        <w:rPr>
          <w:rFonts w:ascii="Arial" w:hAnsi="Arial" w:cs="Arial"/>
          <w:sz w:val="20"/>
          <w:szCs w:val="20"/>
        </w:rPr>
        <w:t>Springer.</w:t>
      </w:r>
    </w:p>
    <w:p w14:paraId="2032340F" w14:textId="77777777" w:rsidR="007979A7" w:rsidRPr="007979A7" w:rsidRDefault="007979A7" w:rsidP="007979A7">
      <w:pPr>
        <w:pStyle w:val="NormalWeb"/>
        <w:spacing w:before="120" w:beforeAutospacing="0" w:after="0" w:afterAutospacing="0" w:line="276" w:lineRule="auto"/>
        <w:ind w:left="-142"/>
        <w:rPr>
          <w:rFonts w:ascii="Arial" w:hAnsi="Arial" w:cs="Arial"/>
          <w:sz w:val="20"/>
          <w:szCs w:val="20"/>
          <w:shd w:val="clear" w:color="auto" w:fill="FFFFFF"/>
        </w:rPr>
      </w:pPr>
      <w:r w:rsidRPr="007979A7">
        <w:rPr>
          <w:rFonts w:ascii="Arial" w:hAnsi="Arial" w:cs="Arial"/>
          <w:sz w:val="20"/>
          <w:szCs w:val="20"/>
          <w:lang w:val="en-US" w:eastAsia="en-US"/>
        </w:rPr>
        <w:t xml:space="preserve">Meenakshi, R., Sivakumar, B., Balasubramanian, A., Revathi, R., Devanand, P.S., Sujatha, K.B., Sujith, P.P., Ramesh, K.R., </w:t>
      </w:r>
      <w:proofErr w:type="spellStart"/>
      <w:r w:rsidRPr="007979A7">
        <w:rPr>
          <w:rFonts w:ascii="Arial" w:hAnsi="Arial" w:cs="Arial"/>
          <w:sz w:val="20"/>
          <w:szCs w:val="20"/>
          <w:lang w:val="en-US" w:eastAsia="en-US"/>
        </w:rPr>
        <w:t>Ravikarthik</w:t>
      </w:r>
      <w:proofErr w:type="spellEnd"/>
      <w:r w:rsidRPr="007979A7">
        <w:rPr>
          <w:rFonts w:ascii="Arial" w:hAnsi="Arial" w:cs="Arial"/>
          <w:sz w:val="20"/>
          <w:szCs w:val="20"/>
          <w:lang w:val="en-US" w:eastAsia="en-US"/>
        </w:rPr>
        <w:t xml:space="preserve">, K. &amp; Eniya, A. (2025). Evaluating the effectiveness of teak tissue culture in ex situ conservation, with a focus on its practical implementation and challenges in </w:t>
      </w:r>
      <w:proofErr w:type="spellStart"/>
      <w:r w:rsidRPr="007979A7">
        <w:rPr>
          <w:rFonts w:ascii="Arial" w:hAnsi="Arial" w:cs="Arial"/>
          <w:sz w:val="20"/>
          <w:szCs w:val="20"/>
          <w:lang w:val="en-US" w:eastAsia="en-US"/>
        </w:rPr>
        <w:t>commercialforestry</w:t>
      </w:r>
      <w:proofErr w:type="spellEnd"/>
      <w:r w:rsidRPr="007979A7">
        <w:rPr>
          <w:rFonts w:ascii="Arial" w:hAnsi="Arial" w:cs="Arial"/>
          <w:sz w:val="20"/>
          <w:szCs w:val="20"/>
          <w:lang w:val="en-US" w:eastAsia="en-US"/>
        </w:rPr>
        <w:t xml:space="preserve">. </w:t>
      </w:r>
      <w:r w:rsidRPr="007979A7">
        <w:rPr>
          <w:rFonts w:ascii="Arial" w:hAnsi="Arial" w:cs="Arial"/>
          <w:i/>
          <w:sz w:val="20"/>
          <w:szCs w:val="20"/>
          <w:lang w:val="en-US" w:eastAsia="en-US"/>
        </w:rPr>
        <w:t>Plant Science Today</w:t>
      </w:r>
      <w:r w:rsidRPr="007979A7">
        <w:rPr>
          <w:rFonts w:ascii="Arial" w:hAnsi="Arial" w:cs="Arial"/>
          <w:sz w:val="20"/>
          <w:szCs w:val="20"/>
          <w:lang w:val="en-US" w:eastAsia="en-US"/>
        </w:rPr>
        <w:t>.</w:t>
      </w:r>
    </w:p>
    <w:p w14:paraId="4103D700" w14:textId="77777777" w:rsidR="007979A7" w:rsidRPr="007979A7" w:rsidRDefault="007979A7" w:rsidP="007979A7">
      <w:pPr>
        <w:pStyle w:val="NormalWeb"/>
        <w:spacing w:before="120" w:beforeAutospacing="0" w:after="0" w:afterAutospacing="0" w:line="276" w:lineRule="auto"/>
        <w:ind w:left="-142"/>
        <w:jc w:val="both"/>
        <w:rPr>
          <w:rFonts w:ascii="Arial" w:hAnsi="Arial" w:cs="Arial"/>
          <w:sz w:val="20"/>
          <w:szCs w:val="20"/>
        </w:rPr>
      </w:pPr>
      <w:r w:rsidRPr="007979A7">
        <w:rPr>
          <w:rFonts w:ascii="Arial" w:hAnsi="Arial" w:cs="Arial"/>
          <w:sz w:val="20"/>
          <w:szCs w:val="20"/>
        </w:rPr>
        <w:t>Midgley, S., Somaiya, R.T., Stevens, P.R., Brown, A., Nguyen, Duc Kien &amp; Laity, R. (2015). Planted teak: global production and markets, with reference to Solomon Islands. ACIAR Technical Reports No. 85. Australian Centre for International Agricultural Research: Canberra. 92 pp. Available at: www. http://aciar.gov.au/publication/tr85.</w:t>
      </w:r>
    </w:p>
    <w:p w14:paraId="4B5BF3A4" w14:textId="77777777" w:rsidR="007979A7" w:rsidRPr="007979A7" w:rsidRDefault="007979A7" w:rsidP="007979A7">
      <w:pPr>
        <w:shd w:val="clear" w:color="auto" w:fill="FFFFFF"/>
        <w:spacing w:before="120" w:line="276" w:lineRule="auto"/>
        <w:ind w:left="-142"/>
        <w:jc w:val="both"/>
        <w:rPr>
          <w:rFonts w:ascii="Arial" w:hAnsi="Arial" w:cs="Arial"/>
          <w:lang w:val="en-IN" w:eastAsia="en-IN"/>
        </w:rPr>
      </w:pPr>
      <w:r w:rsidRPr="007979A7">
        <w:rPr>
          <w:rFonts w:ascii="Arial" w:hAnsi="Arial" w:cs="Arial"/>
        </w:rPr>
        <w:t>Midgley, S.J., Stevens, P.R. &amp; Arnold, R.J. (2017)</w:t>
      </w:r>
      <w:r w:rsidRPr="007979A7">
        <w:rPr>
          <w:rFonts w:ascii="Arial" w:hAnsi="Arial" w:cs="Arial"/>
          <w:b/>
        </w:rPr>
        <w:t xml:space="preserve">. </w:t>
      </w:r>
      <w:r w:rsidRPr="007979A7">
        <w:rPr>
          <w:rFonts w:ascii="Arial" w:hAnsi="Arial" w:cs="Arial"/>
          <w:bCs/>
          <w:shd w:val="clear" w:color="auto" w:fill="FFFFFF"/>
        </w:rPr>
        <w:t>Hidden assets: Asia’s smallholder wood resources and their contribution to supply chains of commercial wood</w:t>
      </w:r>
      <w:r w:rsidRPr="007979A7">
        <w:rPr>
          <w:rFonts w:ascii="Arial" w:hAnsi="Arial" w:cs="Arial"/>
          <w:lang w:val="en-IN" w:eastAsia="en-IN"/>
        </w:rPr>
        <w:t>.</w:t>
      </w:r>
      <w:r w:rsidRPr="007979A7">
        <w:rPr>
          <w:rFonts w:ascii="Arial" w:hAnsi="Arial" w:cs="Arial"/>
          <w:b/>
          <w:lang w:val="en-IN" w:eastAsia="en-IN"/>
        </w:rPr>
        <w:t xml:space="preserve"> </w:t>
      </w:r>
      <w:hyperlink r:id="rId30" w:history="1">
        <w:r w:rsidRPr="007979A7">
          <w:rPr>
            <w:rFonts w:ascii="Arial" w:hAnsi="Arial" w:cs="Arial"/>
            <w:i/>
            <w:bdr w:val="none" w:sz="0" w:space="0" w:color="auto" w:frame="1"/>
            <w:lang w:val="en-IN" w:eastAsia="en-IN"/>
          </w:rPr>
          <w:t>Australian Forestry</w:t>
        </w:r>
      </w:hyperlink>
      <w:r w:rsidRPr="007979A7">
        <w:rPr>
          <w:rFonts w:ascii="Arial" w:hAnsi="Arial" w:cs="Arial"/>
          <w:lang w:val="en-IN" w:eastAsia="en-IN"/>
        </w:rPr>
        <w:t>, 80 (1):1-16.</w:t>
      </w:r>
      <w:r w:rsidRPr="007979A7">
        <w:rPr>
          <w:rFonts w:ascii="Arial" w:hAnsi="Arial" w:cs="Arial"/>
          <w:b/>
          <w:lang w:val="en-IN" w:eastAsia="en-IN"/>
        </w:rPr>
        <w:t xml:space="preserve"> </w:t>
      </w:r>
      <w:r w:rsidRPr="007979A7">
        <w:rPr>
          <w:rFonts w:ascii="Arial" w:hAnsi="Arial" w:cs="Arial"/>
          <w:lang w:val="en-IN" w:eastAsia="en-IN"/>
        </w:rPr>
        <w:t>DOI: </w:t>
      </w:r>
      <w:hyperlink r:id="rId31" w:tgtFrame="_blank" w:history="1">
        <w:r w:rsidRPr="007979A7">
          <w:rPr>
            <w:rFonts w:ascii="Arial" w:hAnsi="Arial" w:cs="Arial"/>
            <w:u w:val="single"/>
            <w:bdr w:val="none" w:sz="0" w:space="0" w:color="auto" w:frame="1"/>
            <w:lang w:val="en-IN" w:eastAsia="en-IN"/>
          </w:rPr>
          <w:t>10.1080/00049158.2017.1280750</w:t>
        </w:r>
      </w:hyperlink>
      <w:r w:rsidRPr="007979A7">
        <w:rPr>
          <w:rFonts w:ascii="Arial" w:hAnsi="Arial" w:cs="Arial"/>
          <w:lang w:val="en-IN" w:eastAsia="en-IN"/>
        </w:rPr>
        <w:t>.</w:t>
      </w:r>
    </w:p>
    <w:p w14:paraId="219EAFD9" w14:textId="77777777" w:rsidR="007979A7" w:rsidRPr="007979A7" w:rsidRDefault="007979A7" w:rsidP="007979A7">
      <w:pPr>
        <w:shd w:val="clear" w:color="auto" w:fill="FFFFFF"/>
        <w:spacing w:before="120" w:line="276" w:lineRule="auto"/>
        <w:ind w:left="-142"/>
        <w:rPr>
          <w:rFonts w:ascii="Arial" w:hAnsi="Arial" w:cs="Arial"/>
          <w:lang w:val="en-IN" w:eastAsia="en-IN"/>
        </w:rPr>
      </w:pPr>
      <w:proofErr w:type="spellStart"/>
      <w:r w:rsidRPr="007979A7">
        <w:rPr>
          <w:rFonts w:ascii="Arial" w:hAnsi="Arial" w:cs="Arial"/>
        </w:rPr>
        <w:t>Monteuuis</w:t>
      </w:r>
      <w:proofErr w:type="spellEnd"/>
      <w:r w:rsidRPr="007979A7">
        <w:rPr>
          <w:rFonts w:ascii="Arial" w:hAnsi="Arial" w:cs="Arial"/>
        </w:rPr>
        <w:t xml:space="preserve">, O. and Goh, D.K.S. (2014). </w:t>
      </w:r>
      <w:r w:rsidRPr="007979A7">
        <w:rPr>
          <w:rFonts w:ascii="Arial" w:hAnsi="Arial" w:cs="Arial"/>
          <w:lang w:val="en-IN" w:eastAsia="en-IN"/>
        </w:rPr>
        <w:t xml:space="preserve">Field growth performances of teak genotypes of different ages clonally produced by rooted cuttings, in vitro </w:t>
      </w:r>
      <w:proofErr w:type="spellStart"/>
      <w:r w:rsidRPr="007979A7">
        <w:rPr>
          <w:rFonts w:ascii="Arial" w:hAnsi="Arial" w:cs="Arial"/>
          <w:lang w:val="en-IN" w:eastAsia="en-IN"/>
        </w:rPr>
        <w:t>microcuttings</w:t>
      </w:r>
      <w:proofErr w:type="spellEnd"/>
      <w:r w:rsidRPr="007979A7">
        <w:rPr>
          <w:rFonts w:ascii="Arial" w:hAnsi="Arial" w:cs="Arial"/>
          <w:lang w:val="en-IN" w:eastAsia="en-IN"/>
        </w:rPr>
        <w:t>, and meristem culture,</w:t>
      </w:r>
      <w:r w:rsidRPr="007979A7">
        <w:rPr>
          <w:rFonts w:ascii="Arial" w:hAnsi="Arial" w:cs="Arial"/>
        </w:rPr>
        <w:t xml:space="preserve"> </w:t>
      </w:r>
      <w:r w:rsidRPr="007979A7">
        <w:rPr>
          <w:rFonts w:ascii="Arial" w:hAnsi="Arial" w:cs="Arial"/>
          <w:i/>
        </w:rPr>
        <w:t>Can J For Res.,</w:t>
      </w:r>
      <w:r w:rsidRPr="007979A7">
        <w:rPr>
          <w:rFonts w:ascii="Arial" w:hAnsi="Arial" w:cs="Arial"/>
        </w:rPr>
        <w:t xml:space="preserve"> 45:9-14.</w:t>
      </w:r>
      <w:r w:rsidRPr="007979A7">
        <w:rPr>
          <w:rFonts w:ascii="Arial" w:hAnsi="Arial" w:cs="Arial"/>
          <w:lang w:val="en-IN" w:eastAsia="en-IN"/>
        </w:rPr>
        <w:t xml:space="preserve"> DOI: </w:t>
      </w:r>
      <w:hyperlink r:id="rId32" w:tgtFrame="_blank" w:history="1">
        <w:r w:rsidRPr="007979A7">
          <w:rPr>
            <w:rFonts w:ascii="Arial" w:hAnsi="Arial" w:cs="Arial"/>
            <w:u w:val="single"/>
            <w:bdr w:val="none" w:sz="0" w:space="0" w:color="auto" w:frame="1"/>
            <w:lang w:val="en-IN" w:eastAsia="en-IN"/>
          </w:rPr>
          <w:t>10.1139/cjfr-2014-0339</w:t>
        </w:r>
      </w:hyperlink>
      <w:r w:rsidRPr="007979A7">
        <w:rPr>
          <w:rFonts w:ascii="Arial" w:hAnsi="Arial" w:cs="Arial"/>
          <w:lang w:val="en-IN" w:eastAsia="en-IN"/>
        </w:rPr>
        <w:t>.</w:t>
      </w:r>
    </w:p>
    <w:p w14:paraId="5FCCE66E" w14:textId="77777777" w:rsidR="007979A7" w:rsidRPr="007979A7" w:rsidRDefault="007979A7" w:rsidP="007979A7">
      <w:pPr>
        <w:pStyle w:val="c-article-referencestext"/>
        <w:shd w:val="clear" w:color="auto" w:fill="FFFFFF"/>
        <w:spacing w:before="120" w:beforeAutospacing="0" w:after="0" w:afterAutospacing="0" w:line="276" w:lineRule="auto"/>
        <w:ind w:left="-142"/>
        <w:rPr>
          <w:rFonts w:ascii="Arial" w:hAnsi="Arial" w:cs="Arial"/>
          <w:sz w:val="20"/>
          <w:szCs w:val="20"/>
        </w:rPr>
      </w:pPr>
      <w:proofErr w:type="spellStart"/>
      <w:r w:rsidRPr="007979A7">
        <w:rPr>
          <w:rFonts w:ascii="Arial" w:hAnsi="Arial" w:cs="Arial"/>
          <w:sz w:val="20"/>
          <w:szCs w:val="20"/>
        </w:rPr>
        <w:t>Monteuuis</w:t>
      </w:r>
      <w:proofErr w:type="spellEnd"/>
      <w:r w:rsidRPr="007979A7">
        <w:rPr>
          <w:rFonts w:ascii="Arial" w:hAnsi="Arial" w:cs="Arial"/>
          <w:sz w:val="20"/>
          <w:szCs w:val="20"/>
        </w:rPr>
        <w:t xml:space="preserve">, O., Goh DKS, Garcia C, Alloysius D, </w:t>
      </w:r>
      <w:proofErr w:type="spellStart"/>
      <w:r w:rsidRPr="007979A7">
        <w:rPr>
          <w:rFonts w:ascii="Arial" w:hAnsi="Arial" w:cs="Arial"/>
          <w:sz w:val="20"/>
          <w:szCs w:val="20"/>
        </w:rPr>
        <w:t>Gidiman</w:t>
      </w:r>
      <w:proofErr w:type="spellEnd"/>
      <w:r w:rsidRPr="007979A7">
        <w:rPr>
          <w:rFonts w:ascii="Arial" w:hAnsi="Arial" w:cs="Arial"/>
          <w:sz w:val="20"/>
          <w:szCs w:val="20"/>
        </w:rPr>
        <w:t xml:space="preserve"> J, </w:t>
      </w:r>
      <w:proofErr w:type="spellStart"/>
      <w:r w:rsidRPr="007979A7">
        <w:rPr>
          <w:rFonts w:ascii="Arial" w:hAnsi="Arial" w:cs="Arial"/>
          <w:sz w:val="20"/>
          <w:szCs w:val="20"/>
        </w:rPr>
        <w:t>Bacilieri</w:t>
      </w:r>
      <w:proofErr w:type="spellEnd"/>
      <w:r w:rsidRPr="007979A7">
        <w:rPr>
          <w:rFonts w:ascii="Arial" w:hAnsi="Arial" w:cs="Arial"/>
          <w:sz w:val="20"/>
          <w:szCs w:val="20"/>
        </w:rPr>
        <w:t xml:space="preserve"> R, Chaix G (2011) Genetic variation of growth and tree quality traits among 42 diverse genetic origins of </w:t>
      </w:r>
      <w:r w:rsidRPr="007979A7">
        <w:rPr>
          <w:rFonts w:ascii="Arial" w:hAnsi="Arial" w:cs="Arial"/>
          <w:i/>
          <w:sz w:val="20"/>
          <w:szCs w:val="20"/>
        </w:rPr>
        <w:t>Tectona grandis</w:t>
      </w:r>
      <w:r w:rsidRPr="007979A7">
        <w:rPr>
          <w:rFonts w:ascii="Arial" w:hAnsi="Arial" w:cs="Arial"/>
          <w:sz w:val="20"/>
          <w:szCs w:val="20"/>
        </w:rPr>
        <w:t xml:space="preserve"> planted under humid tropical conditions in Sabah, East Malaysia. Tree Genet Genomes 7:1263–1275.</w:t>
      </w:r>
    </w:p>
    <w:p w14:paraId="52B0F88E" w14:textId="77777777" w:rsidR="007979A7" w:rsidRPr="007979A7" w:rsidRDefault="007979A7" w:rsidP="007979A7">
      <w:pPr>
        <w:pStyle w:val="NormalWeb"/>
        <w:spacing w:before="120" w:beforeAutospacing="0" w:after="0" w:afterAutospacing="0" w:line="276" w:lineRule="auto"/>
        <w:ind w:left="-142"/>
        <w:jc w:val="both"/>
        <w:rPr>
          <w:rFonts w:ascii="Arial" w:hAnsi="Arial" w:cs="Arial"/>
          <w:sz w:val="20"/>
          <w:szCs w:val="20"/>
        </w:rPr>
      </w:pPr>
      <w:proofErr w:type="spellStart"/>
      <w:r w:rsidRPr="007979A7">
        <w:rPr>
          <w:rFonts w:ascii="Arial" w:hAnsi="Arial" w:cs="Arial"/>
          <w:sz w:val="20"/>
          <w:szCs w:val="20"/>
          <w:shd w:val="clear" w:color="auto" w:fill="FFFFFF"/>
        </w:rPr>
        <w:t>Monteuuis</w:t>
      </w:r>
      <w:proofErr w:type="spellEnd"/>
      <w:r w:rsidRPr="007979A7">
        <w:rPr>
          <w:rFonts w:ascii="Arial" w:hAnsi="Arial" w:cs="Arial"/>
          <w:sz w:val="20"/>
          <w:szCs w:val="20"/>
          <w:shd w:val="clear" w:color="auto" w:fill="FFFFFF"/>
        </w:rPr>
        <w:t>, O. (2021). Clonal Teak. In: Ramasamy, Y., Galeano, E., Win, T.T. (eds) The Teak Genome. Compendium of Plant Genomes. Springer, Cham. https://doi.org/10.1007/978-3-030-79311-1-10.</w:t>
      </w:r>
    </w:p>
    <w:p w14:paraId="6A3C3D52" w14:textId="77777777" w:rsidR="007979A7" w:rsidRPr="007979A7" w:rsidRDefault="007979A7" w:rsidP="007979A7">
      <w:pPr>
        <w:autoSpaceDE w:val="0"/>
        <w:autoSpaceDN w:val="0"/>
        <w:adjustRightInd w:val="0"/>
        <w:spacing w:before="120" w:line="276" w:lineRule="auto"/>
        <w:ind w:left="-142"/>
        <w:jc w:val="both"/>
        <w:rPr>
          <w:rFonts w:ascii="Arial" w:hAnsi="Arial" w:cs="Arial"/>
        </w:rPr>
      </w:pPr>
      <w:r w:rsidRPr="007979A7">
        <w:rPr>
          <w:rFonts w:ascii="Arial" w:hAnsi="Arial" w:cs="Arial"/>
        </w:rPr>
        <w:t>Mundt, T. 1997. Vegetative propagation of teak (</w:t>
      </w:r>
      <w:r w:rsidRPr="007979A7">
        <w:rPr>
          <w:rFonts w:ascii="Arial" w:hAnsi="Arial" w:cs="Arial"/>
          <w:i/>
        </w:rPr>
        <w:t>Tectona grandis</w:t>
      </w:r>
      <w:r w:rsidRPr="007979A7">
        <w:rPr>
          <w:rFonts w:ascii="Arial" w:hAnsi="Arial" w:cs="Arial"/>
        </w:rPr>
        <w:t xml:space="preserve">) by cutting. TEAKNET Newsletter </w:t>
      </w:r>
      <w:r w:rsidRPr="007979A7">
        <w:rPr>
          <w:rFonts w:ascii="Arial" w:hAnsi="Arial" w:cs="Arial"/>
          <w:b/>
        </w:rPr>
        <w:t>7</w:t>
      </w:r>
      <w:r w:rsidRPr="007979A7">
        <w:rPr>
          <w:rFonts w:ascii="Arial" w:hAnsi="Arial" w:cs="Arial"/>
        </w:rPr>
        <w:t>, 3-4.</w:t>
      </w:r>
    </w:p>
    <w:p w14:paraId="2409558C" w14:textId="77777777" w:rsidR="007979A7" w:rsidRPr="007979A7" w:rsidRDefault="007979A7" w:rsidP="007979A7">
      <w:pPr>
        <w:spacing w:before="120" w:line="276" w:lineRule="auto"/>
        <w:ind w:left="-142"/>
        <w:jc w:val="both"/>
        <w:rPr>
          <w:rFonts w:ascii="Arial" w:hAnsi="Arial" w:cs="Arial"/>
          <w:shd w:val="clear" w:color="auto" w:fill="FFFFFF"/>
        </w:rPr>
      </w:pPr>
      <w:r w:rsidRPr="007979A7">
        <w:rPr>
          <w:rFonts w:ascii="Arial" w:hAnsi="Arial" w:cs="Arial"/>
          <w:shd w:val="clear" w:color="auto" w:fill="FFFFFF"/>
        </w:rPr>
        <w:t>Nautiyal, S., U. Singh and K. Gurumurthi. 1992. Rooting response of branch cuttings of teak (</w:t>
      </w:r>
      <w:r w:rsidRPr="007979A7">
        <w:rPr>
          <w:rFonts w:ascii="Arial" w:hAnsi="Arial" w:cs="Arial"/>
          <w:i/>
          <w:shd w:val="clear" w:color="auto" w:fill="FFFFFF"/>
        </w:rPr>
        <w:t>Tectona grandis</w:t>
      </w:r>
      <w:r w:rsidRPr="007979A7">
        <w:rPr>
          <w:rFonts w:ascii="Arial" w:hAnsi="Arial" w:cs="Arial"/>
          <w:shd w:val="clear" w:color="auto" w:fill="FFFFFF"/>
        </w:rPr>
        <w:t xml:space="preserve">) as influenced by growth hormones and position of the cuttings on the </w:t>
      </w:r>
      <w:proofErr w:type="spellStart"/>
      <w:r w:rsidRPr="007979A7">
        <w:rPr>
          <w:rFonts w:ascii="Arial" w:hAnsi="Arial" w:cs="Arial"/>
          <w:shd w:val="clear" w:color="auto" w:fill="FFFFFF"/>
        </w:rPr>
        <w:t>crowm</w:t>
      </w:r>
      <w:proofErr w:type="spellEnd"/>
      <w:r w:rsidRPr="007979A7">
        <w:rPr>
          <w:rFonts w:ascii="Arial" w:hAnsi="Arial" w:cs="Arial"/>
          <w:shd w:val="clear" w:color="auto" w:fill="FFFFFF"/>
        </w:rPr>
        <w:t xml:space="preserve">. </w:t>
      </w:r>
      <w:r w:rsidRPr="007979A7">
        <w:rPr>
          <w:rFonts w:ascii="Arial" w:hAnsi="Arial" w:cs="Arial"/>
          <w:i/>
          <w:shd w:val="clear" w:color="auto" w:fill="FFFFFF"/>
        </w:rPr>
        <w:t>Indian Forester</w:t>
      </w:r>
      <w:r w:rsidRPr="007979A7">
        <w:rPr>
          <w:rFonts w:ascii="Arial" w:hAnsi="Arial" w:cs="Arial"/>
          <w:shd w:val="clear" w:color="auto" w:fill="FFFFFF"/>
        </w:rPr>
        <w:t>, 118 (2): 112-121 (1992).</w:t>
      </w:r>
    </w:p>
    <w:p w14:paraId="15239EC6" w14:textId="77777777" w:rsidR="007979A7" w:rsidRPr="007979A7" w:rsidRDefault="007979A7" w:rsidP="007979A7">
      <w:pPr>
        <w:autoSpaceDE w:val="0"/>
        <w:autoSpaceDN w:val="0"/>
        <w:adjustRightInd w:val="0"/>
        <w:spacing w:before="120" w:line="276" w:lineRule="auto"/>
        <w:ind w:left="-142"/>
        <w:jc w:val="both"/>
        <w:rPr>
          <w:rFonts w:ascii="Arial" w:hAnsi="Arial" w:cs="Arial"/>
        </w:rPr>
      </w:pPr>
      <w:r w:rsidRPr="007979A7">
        <w:rPr>
          <w:rFonts w:ascii="Arial" w:hAnsi="Arial" w:cs="Arial"/>
        </w:rPr>
        <w:t>Nautiyal, S., U. Singh &amp; K. Gurumurti. (1991). Rooting response of branch cuttings of teak (</w:t>
      </w:r>
      <w:r w:rsidRPr="007979A7">
        <w:rPr>
          <w:rFonts w:ascii="Arial" w:hAnsi="Arial" w:cs="Arial"/>
          <w:i/>
        </w:rPr>
        <w:t>Tectona grandis</w:t>
      </w:r>
      <w:r w:rsidRPr="007979A7">
        <w:rPr>
          <w:rFonts w:ascii="Arial" w:hAnsi="Arial" w:cs="Arial"/>
        </w:rPr>
        <w:t xml:space="preserve">) as influenced by season and growth hormones. </w:t>
      </w:r>
      <w:proofErr w:type="spellStart"/>
      <w:r w:rsidRPr="007979A7">
        <w:rPr>
          <w:rFonts w:ascii="Arial" w:hAnsi="Arial" w:cs="Arial"/>
          <w:i/>
        </w:rPr>
        <w:t>lndian</w:t>
      </w:r>
      <w:proofErr w:type="spellEnd"/>
      <w:r w:rsidRPr="007979A7">
        <w:rPr>
          <w:rFonts w:ascii="Arial" w:hAnsi="Arial" w:cs="Arial"/>
          <w:i/>
        </w:rPr>
        <w:t xml:space="preserve"> For</w:t>
      </w:r>
      <w:r w:rsidRPr="007979A7">
        <w:rPr>
          <w:rFonts w:ascii="Arial" w:hAnsi="Arial" w:cs="Arial"/>
        </w:rPr>
        <w:t xml:space="preserve">., </w:t>
      </w:r>
      <w:proofErr w:type="gramStart"/>
      <w:r w:rsidRPr="007979A7">
        <w:rPr>
          <w:rFonts w:ascii="Arial" w:hAnsi="Arial" w:cs="Arial"/>
        </w:rPr>
        <w:t>1 :</w:t>
      </w:r>
      <w:proofErr w:type="gramEnd"/>
      <w:r w:rsidRPr="007979A7">
        <w:rPr>
          <w:rFonts w:ascii="Arial" w:hAnsi="Arial" w:cs="Arial"/>
        </w:rPr>
        <w:t xml:space="preserve"> 249-255.</w:t>
      </w:r>
    </w:p>
    <w:p w14:paraId="128ECD47" w14:textId="77777777" w:rsidR="007979A7" w:rsidRPr="007979A7" w:rsidRDefault="007979A7" w:rsidP="007979A7">
      <w:pPr>
        <w:spacing w:before="120" w:line="276" w:lineRule="auto"/>
        <w:ind w:left="-142"/>
        <w:jc w:val="both"/>
        <w:rPr>
          <w:rFonts w:ascii="Arial" w:hAnsi="Arial" w:cs="Arial"/>
        </w:rPr>
      </w:pPr>
      <w:r w:rsidRPr="007979A7">
        <w:rPr>
          <w:rFonts w:ascii="Arial" w:hAnsi="Arial" w:cs="Arial"/>
        </w:rPr>
        <w:lastRenderedPageBreak/>
        <w:t>Palanisamy, K. &amp; K. Subramanian. (2001). Vegetative propagation of mature teak trees (</w:t>
      </w:r>
      <w:r w:rsidRPr="007979A7">
        <w:rPr>
          <w:rFonts w:ascii="Arial" w:hAnsi="Arial" w:cs="Arial"/>
          <w:i/>
        </w:rPr>
        <w:t>Tectona grandis</w:t>
      </w:r>
      <w:r w:rsidRPr="007979A7">
        <w:rPr>
          <w:rFonts w:ascii="Arial" w:hAnsi="Arial" w:cs="Arial"/>
        </w:rPr>
        <w:t xml:space="preserve"> L.). </w:t>
      </w:r>
      <w:proofErr w:type="spellStart"/>
      <w:r w:rsidRPr="007979A7">
        <w:rPr>
          <w:rFonts w:ascii="Arial" w:hAnsi="Arial" w:cs="Arial"/>
          <w:i/>
          <w:iCs/>
        </w:rPr>
        <w:t>Silvae</w:t>
      </w:r>
      <w:proofErr w:type="spellEnd"/>
      <w:r w:rsidRPr="007979A7">
        <w:rPr>
          <w:rFonts w:ascii="Arial" w:hAnsi="Arial" w:cs="Arial"/>
          <w:i/>
          <w:iCs/>
        </w:rPr>
        <w:t xml:space="preserve"> </w:t>
      </w:r>
      <w:proofErr w:type="spellStart"/>
      <w:r w:rsidRPr="007979A7">
        <w:rPr>
          <w:rFonts w:ascii="Arial" w:hAnsi="Arial" w:cs="Arial"/>
          <w:i/>
          <w:iCs/>
        </w:rPr>
        <w:t>Genetica</w:t>
      </w:r>
      <w:proofErr w:type="spellEnd"/>
      <w:r w:rsidRPr="007979A7">
        <w:rPr>
          <w:rFonts w:ascii="Arial" w:hAnsi="Arial" w:cs="Arial"/>
        </w:rPr>
        <w:t xml:space="preserve">, 50 (5-6): 188-191. </w:t>
      </w:r>
    </w:p>
    <w:p w14:paraId="0B65CAE1" w14:textId="77777777" w:rsidR="007979A7" w:rsidRPr="007979A7" w:rsidRDefault="007979A7" w:rsidP="007979A7">
      <w:pPr>
        <w:autoSpaceDE w:val="0"/>
        <w:autoSpaceDN w:val="0"/>
        <w:adjustRightInd w:val="0"/>
        <w:spacing w:before="120" w:line="276" w:lineRule="auto"/>
        <w:ind w:left="-142"/>
        <w:rPr>
          <w:rFonts w:ascii="Arial" w:hAnsi="Arial" w:cs="Arial"/>
        </w:rPr>
      </w:pPr>
      <w:r w:rsidRPr="007979A7">
        <w:rPr>
          <w:rFonts w:ascii="Arial" w:hAnsi="Arial" w:cs="Arial"/>
        </w:rPr>
        <w:t xml:space="preserve">Palanisamy, K., Ansari, S. A. &amp; Mandal, A. K. (1995). </w:t>
      </w:r>
      <w:proofErr w:type="spellStart"/>
      <w:r w:rsidRPr="007979A7">
        <w:rPr>
          <w:rFonts w:ascii="Arial" w:hAnsi="Arial" w:cs="Arial"/>
        </w:rPr>
        <w:t>Standardi-zation</w:t>
      </w:r>
      <w:proofErr w:type="spellEnd"/>
      <w:r w:rsidRPr="007979A7">
        <w:rPr>
          <w:rFonts w:ascii="Arial" w:hAnsi="Arial" w:cs="Arial"/>
        </w:rPr>
        <w:t xml:space="preserve"> of vegetative propagation technology of teak, sissoo, </w:t>
      </w:r>
      <w:proofErr w:type="spellStart"/>
      <w:proofErr w:type="gramStart"/>
      <w:r w:rsidRPr="007979A7">
        <w:rPr>
          <w:rFonts w:ascii="Arial" w:hAnsi="Arial" w:cs="Arial"/>
        </w:rPr>
        <w:t>neem,karanj</w:t>
      </w:r>
      <w:proofErr w:type="spellEnd"/>
      <w:proofErr w:type="gramEnd"/>
      <w:r w:rsidRPr="007979A7">
        <w:rPr>
          <w:rFonts w:ascii="Arial" w:hAnsi="Arial" w:cs="Arial"/>
        </w:rPr>
        <w:t xml:space="preserve"> and bamboos. In: Proceedings of International Workshop on Forestry Research Methods, Vani Printers, Dehra Dun, pp.18-19. </w:t>
      </w:r>
    </w:p>
    <w:p w14:paraId="5B24C20C" w14:textId="77777777" w:rsidR="007979A7" w:rsidRPr="007979A7" w:rsidRDefault="007979A7" w:rsidP="007979A7">
      <w:pPr>
        <w:autoSpaceDE w:val="0"/>
        <w:autoSpaceDN w:val="0"/>
        <w:adjustRightInd w:val="0"/>
        <w:spacing w:before="120" w:line="276" w:lineRule="auto"/>
        <w:ind w:left="-142"/>
        <w:rPr>
          <w:rFonts w:ascii="Arial" w:hAnsi="Arial" w:cs="Arial"/>
          <w:lang w:val="en-IN" w:eastAsia="en-IN"/>
        </w:rPr>
      </w:pPr>
      <w:proofErr w:type="spellStart"/>
      <w:r w:rsidRPr="007979A7">
        <w:rPr>
          <w:rFonts w:ascii="Arial" w:hAnsi="Arial" w:cs="Arial"/>
        </w:rPr>
        <w:t>Palupi</w:t>
      </w:r>
      <w:proofErr w:type="spellEnd"/>
      <w:r w:rsidRPr="007979A7">
        <w:rPr>
          <w:rFonts w:ascii="Arial" w:hAnsi="Arial" w:cs="Arial"/>
        </w:rPr>
        <w:t xml:space="preserve">, E.R., Owens, J.N., </w:t>
      </w:r>
      <w:proofErr w:type="spellStart"/>
      <w:r w:rsidRPr="007979A7">
        <w:rPr>
          <w:rFonts w:ascii="Arial" w:hAnsi="Arial" w:cs="Arial"/>
        </w:rPr>
        <w:t>Sadjad</w:t>
      </w:r>
      <w:proofErr w:type="spellEnd"/>
      <w:r w:rsidRPr="007979A7">
        <w:rPr>
          <w:rFonts w:ascii="Arial" w:hAnsi="Arial" w:cs="Arial"/>
        </w:rPr>
        <w:t xml:space="preserve">, S., </w:t>
      </w:r>
      <w:proofErr w:type="spellStart"/>
      <w:r w:rsidRPr="007979A7">
        <w:rPr>
          <w:rFonts w:ascii="Arial" w:hAnsi="Arial" w:cs="Arial"/>
        </w:rPr>
        <w:t>Sudarsono</w:t>
      </w:r>
      <w:proofErr w:type="spellEnd"/>
      <w:r w:rsidRPr="007979A7">
        <w:rPr>
          <w:rFonts w:ascii="Arial" w:hAnsi="Arial" w:cs="Arial"/>
        </w:rPr>
        <w:t xml:space="preserve"> &amp; </w:t>
      </w:r>
      <w:proofErr w:type="spellStart"/>
      <w:r w:rsidRPr="007979A7">
        <w:rPr>
          <w:rFonts w:ascii="Arial" w:hAnsi="Arial" w:cs="Arial"/>
        </w:rPr>
        <w:t>Solihin</w:t>
      </w:r>
      <w:proofErr w:type="spellEnd"/>
      <w:r w:rsidRPr="007979A7">
        <w:rPr>
          <w:rFonts w:ascii="Arial" w:hAnsi="Arial" w:cs="Arial"/>
        </w:rPr>
        <w:t xml:space="preserve"> D.D. (2010). The importance of fruit set, fruit abortion, </w:t>
      </w:r>
      <w:proofErr w:type="spellStart"/>
      <w:r w:rsidRPr="007979A7">
        <w:rPr>
          <w:rFonts w:ascii="Arial" w:hAnsi="Arial" w:cs="Arial"/>
        </w:rPr>
        <w:t>andpollination</w:t>
      </w:r>
      <w:proofErr w:type="spellEnd"/>
      <w:r w:rsidRPr="007979A7">
        <w:rPr>
          <w:rFonts w:ascii="Arial" w:hAnsi="Arial" w:cs="Arial"/>
        </w:rPr>
        <w:t xml:space="preserve"> success in fruit production of teak (</w:t>
      </w:r>
      <w:r w:rsidRPr="007979A7">
        <w:rPr>
          <w:rFonts w:ascii="Arial" w:hAnsi="Arial" w:cs="Arial"/>
          <w:i/>
        </w:rPr>
        <w:t>Tectona grandis</w:t>
      </w:r>
      <w:r w:rsidRPr="007979A7">
        <w:rPr>
          <w:rFonts w:ascii="Arial" w:hAnsi="Arial" w:cs="Arial"/>
        </w:rPr>
        <w:t>).</w:t>
      </w:r>
      <w:r w:rsidRPr="007979A7">
        <w:rPr>
          <w:rFonts w:ascii="Arial" w:hAnsi="Arial" w:cs="Arial"/>
          <w:lang w:val="en-IN" w:eastAsia="en-IN"/>
        </w:rPr>
        <w:t xml:space="preserve"> </w:t>
      </w:r>
      <w:hyperlink r:id="rId33" w:history="1">
        <w:r w:rsidRPr="007979A7">
          <w:rPr>
            <w:rFonts w:ascii="Arial" w:hAnsi="Arial" w:cs="Arial"/>
            <w:i/>
            <w:bdr w:val="none" w:sz="0" w:space="0" w:color="auto" w:frame="1"/>
            <w:lang w:val="en-IN" w:eastAsia="en-IN"/>
          </w:rPr>
          <w:t>Canadian Journal</w:t>
        </w:r>
        <w:r w:rsidRPr="007979A7">
          <w:rPr>
            <w:rFonts w:ascii="Arial" w:hAnsi="Arial" w:cs="Arial"/>
            <w:bdr w:val="none" w:sz="0" w:space="0" w:color="auto" w:frame="1"/>
            <w:lang w:val="en-IN" w:eastAsia="en-IN"/>
          </w:rPr>
          <w:t xml:space="preserve"> </w:t>
        </w:r>
        <w:r w:rsidRPr="007979A7">
          <w:rPr>
            <w:rFonts w:ascii="Arial" w:hAnsi="Arial" w:cs="Arial"/>
            <w:i/>
            <w:bdr w:val="none" w:sz="0" w:space="0" w:color="auto" w:frame="1"/>
            <w:lang w:val="en-IN" w:eastAsia="en-IN"/>
          </w:rPr>
          <w:t>of Forest Research</w:t>
        </w:r>
      </w:hyperlink>
      <w:r w:rsidRPr="007979A7">
        <w:rPr>
          <w:rFonts w:ascii="Arial" w:hAnsi="Arial" w:cs="Arial"/>
          <w:lang w:val="en-IN" w:eastAsia="en-IN"/>
        </w:rPr>
        <w:t>, 40(11):2204-2214. DOI: </w:t>
      </w:r>
      <w:hyperlink r:id="rId34" w:tgtFrame="_blank" w:history="1">
        <w:r w:rsidRPr="007979A7">
          <w:rPr>
            <w:rFonts w:ascii="Arial" w:hAnsi="Arial" w:cs="Arial"/>
            <w:u w:val="single"/>
            <w:bdr w:val="none" w:sz="0" w:space="0" w:color="auto" w:frame="1"/>
            <w:lang w:val="en-IN" w:eastAsia="en-IN"/>
          </w:rPr>
          <w:t>10.1139/X10-160</w:t>
        </w:r>
      </w:hyperlink>
      <w:r w:rsidRPr="007979A7">
        <w:rPr>
          <w:rFonts w:ascii="Arial" w:hAnsi="Arial" w:cs="Arial"/>
          <w:lang w:val="en-IN" w:eastAsia="en-IN"/>
        </w:rPr>
        <w:t>.</w:t>
      </w:r>
    </w:p>
    <w:p w14:paraId="2C353BEC" w14:textId="77777777" w:rsidR="007979A7" w:rsidRPr="007979A7" w:rsidRDefault="007979A7" w:rsidP="007979A7">
      <w:pPr>
        <w:pStyle w:val="NormalWeb"/>
        <w:spacing w:before="120" w:beforeAutospacing="0" w:after="0" w:afterAutospacing="0" w:line="276" w:lineRule="auto"/>
        <w:ind w:left="-142"/>
        <w:jc w:val="both"/>
        <w:rPr>
          <w:rFonts w:ascii="Arial" w:hAnsi="Arial" w:cs="Arial"/>
          <w:sz w:val="20"/>
          <w:szCs w:val="20"/>
        </w:rPr>
      </w:pPr>
      <w:r w:rsidRPr="007979A7">
        <w:rPr>
          <w:rFonts w:ascii="Arial" w:hAnsi="Arial" w:cs="Arial"/>
          <w:sz w:val="20"/>
          <w:szCs w:val="20"/>
        </w:rPr>
        <w:t xml:space="preserve">Parida, S., </w:t>
      </w:r>
      <w:proofErr w:type="spellStart"/>
      <w:r w:rsidRPr="007979A7">
        <w:rPr>
          <w:rFonts w:ascii="Arial" w:hAnsi="Arial" w:cs="Arial"/>
          <w:sz w:val="20"/>
          <w:szCs w:val="20"/>
        </w:rPr>
        <w:t>Kunhamu</w:t>
      </w:r>
      <w:proofErr w:type="spellEnd"/>
      <w:r w:rsidRPr="007979A7">
        <w:rPr>
          <w:rFonts w:ascii="Arial" w:hAnsi="Arial" w:cs="Arial"/>
          <w:sz w:val="20"/>
          <w:szCs w:val="20"/>
        </w:rPr>
        <w:t xml:space="preserve">, T.K., </w:t>
      </w:r>
      <w:proofErr w:type="spellStart"/>
      <w:r w:rsidRPr="007979A7">
        <w:rPr>
          <w:rFonts w:ascii="Arial" w:hAnsi="Arial" w:cs="Arial"/>
          <w:sz w:val="20"/>
          <w:szCs w:val="20"/>
        </w:rPr>
        <w:t>Bhol</w:t>
      </w:r>
      <w:proofErr w:type="spellEnd"/>
      <w:r w:rsidRPr="007979A7">
        <w:rPr>
          <w:rFonts w:ascii="Arial" w:hAnsi="Arial" w:cs="Arial"/>
          <w:sz w:val="20"/>
          <w:szCs w:val="20"/>
        </w:rPr>
        <w:t xml:space="preserve">, N. (20220. Efficacy of biodegradable containers in nursery raised teak seedlings. </w:t>
      </w:r>
      <w:r w:rsidRPr="007979A7">
        <w:rPr>
          <w:rStyle w:val="Emphasis"/>
          <w:rFonts w:ascii="Arial" w:hAnsi="Arial" w:cs="Arial"/>
          <w:sz w:val="20"/>
          <w:szCs w:val="20"/>
        </w:rPr>
        <w:t>Indian Journal of Ecology,</w:t>
      </w:r>
      <w:r w:rsidRPr="007979A7">
        <w:rPr>
          <w:rFonts w:ascii="Arial" w:hAnsi="Arial" w:cs="Arial"/>
          <w:sz w:val="20"/>
          <w:szCs w:val="20"/>
        </w:rPr>
        <w:t xml:space="preserve"> 49(5), 1896–1900.</w:t>
      </w:r>
    </w:p>
    <w:p w14:paraId="1148A65A" w14:textId="77777777" w:rsidR="007979A7" w:rsidRPr="007979A7" w:rsidRDefault="007979A7" w:rsidP="007979A7">
      <w:pPr>
        <w:pStyle w:val="NormalWeb"/>
        <w:spacing w:before="120" w:beforeAutospacing="0" w:after="0" w:afterAutospacing="0" w:line="276" w:lineRule="auto"/>
        <w:ind w:left="-142"/>
        <w:jc w:val="both"/>
        <w:rPr>
          <w:rFonts w:ascii="Arial" w:hAnsi="Arial" w:cs="Arial"/>
          <w:sz w:val="20"/>
          <w:szCs w:val="20"/>
        </w:rPr>
      </w:pPr>
      <w:r w:rsidRPr="007979A7">
        <w:rPr>
          <w:rFonts w:ascii="Arial" w:hAnsi="Arial" w:cs="Arial"/>
          <w:sz w:val="20"/>
          <w:szCs w:val="20"/>
        </w:rPr>
        <w:t xml:space="preserve">Pradhan, T.R., </w:t>
      </w:r>
      <w:proofErr w:type="spellStart"/>
      <w:r w:rsidRPr="007979A7">
        <w:rPr>
          <w:rFonts w:ascii="Arial" w:hAnsi="Arial" w:cs="Arial"/>
          <w:sz w:val="20"/>
          <w:szCs w:val="20"/>
        </w:rPr>
        <w:t>Bhol</w:t>
      </w:r>
      <w:proofErr w:type="spellEnd"/>
      <w:r w:rsidRPr="007979A7">
        <w:rPr>
          <w:rFonts w:ascii="Arial" w:hAnsi="Arial" w:cs="Arial"/>
          <w:sz w:val="20"/>
          <w:szCs w:val="20"/>
        </w:rPr>
        <w:t xml:space="preserve">, N., Lenka, D. &amp; Behera, M.K. (2017). Productivity of selected teak clones. </w:t>
      </w:r>
      <w:r w:rsidRPr="007979A7">
        <w:rPr>
          <w:rStyle w:val="Emphasis"/>
          <w:rFonts w:ascii="Arial" w:hAnsi="Arial" w:cs="Arial"/>
          <w:sz w:val="20"/>
          <w:szCs w:val="20"/>
        </w:rPr>
        <w:t>The Bioscan,</w:t>
      </w:r>
      <w:r w:rsidRPr="007979A7">
        <w:rPr>
          <w:rFonts w:ascii="Arial" w:hAnsi="Arial" w:cs="Arial"/>
          <w:sz w:val="20"/>
          <w:szCs w:val="20"/>
        </w:rPr>
        <w:t xml:space="preserve"> 12(1), 259–263.</w:t>
      </w:r>
    </w:p>
    <w:p w14:paraId="2B228777" w14:textId="77777777" w:rsidR="007979A7" w:rsidRPr="007979A7" w:rsidRDefault="007979A7" w:rsidP="007979A7">
      <w:pPr>
        <w:pStyle w:val="NormalWeb"/>
        <w:spacing w:before="120" w:beforeAutospacing="0" w:after="0" w:afterAutospacing="0" w:line="276" w:lineRule="auto"/>
        <w:ind w:left="-142"/>
        <w:jc w:val="both"/>
        <w:rPr>
          <w:rFonts w:ascii="Arial" w:hAnsi="Arial" w:cs="Arial"/>
          <w:sz w:val="20"/>
          <w:szCs w:val="20"/>
        </w:rPr>
      </w:pPr>
      <w:r w:rsidRPr="007979A7">
        <w:rPr>
          <w:rFonts w:ascii="Arial" w:hAnsi="Arial" w:cs="Arial"/>
          <w:sz w:val="20"/>
          <w:szCs w:val="20"/>
        </w:rPr>
        <w:t xml:space="preserve">Pradhan, T.R., </w:t>
      </w:r>
      <w:proofErr w:type="spellStart"/>
      <w:r w:rsidRPr="007979A7">
        <w:rPr>
          <w:rFonts w:ascii="Arial" w:hAnsi="Arial" w:cs="Arial"/>
          <w:sz w:val="20"/>
          <w:szCs w:val="20"/>
        </w:rPr>
        <w:t>Bhol</w:t>
      </w:r>
      <w:proofErr w:type="spellEnd"/>
      <w:r w:rsidRPr="007979A7">
        <w:rPr>
          <w:rFonts w:ascii="Arial" w:hAnsi="Arial" w:cs="Arial"/>
          <w:sz w:val="20"/>
          <w:szCs w:val="20"/>
        </w:rPr>
        <w:t xml:space="preserve">, N., Parida, A.K. &amp; Behera, M., (2020). Growth </w:t>
      </w:r>
      <w:proofErr w:type="spellStart"/>
      <w:r w:rsidRPr="007979A7">
        <w:rPr>
          <w:rFonts w:ascii="Arial" w:hAnsi="Arial" w:cs="Arial"/>
          <w:sz w:val="20"/>
          <w:szCs w:val="20"/>
        </w:rPr>
        <w:t>behavior</w:t>
      </w:r>
      <w:proofErr w:type="spellEnd"/>
      <w:r w:rsidRPr="007979A7">
        <w:rPr>
          <w:rFonts w:ascii="Arial" w:hAnsi="Arial" w:cs="Arial"/>
          <w:sz w:val="20"/>
          <w:szCs w:val="20"/>
        </w:rPr>
        <w:t xml:space="preserve"> and phenology of some teak clones. </w:t>
      </w:r>
      <w:r w:rsidRPr="007979A7">
        <w:rPr>
          <w:rStyle w:val="Emphasis"/>
          <w:rFonts w:ascii="Arial" w:hAnsi="Arial" w:cs="Arial"/>
          <w:sz w:val="20"/>
          <w:szCs w:val="20"/>
        </w:rPr>
        <w:t>Indian Forester,</w:t>
      </w:r>
      <w:r w:rsidRPr="007979A7">
        <w:rPr>
          <w:rFonts w:ascii="Arial" w:hAnsi="Arial" w:cs="Arial"/>
          <w:sz w:val="20"/>
          <w:szCs w:val="20"/>
        </w:rPr>
        <w:t xml:space="preserve"> 146(9), 801–805.</w:t>
      </w:r>
    </w:p>
    <w:p w14:paraId="66B39F9E" w14:textId="77777777" w:rsidR="007979A7" w:rsidRPr="007979A7" w:rsidRDefault="007979A7" w:rsidP="007979A7">
      <w:pPr>
        <w:spacing w:before="120" w:line="276" w:lineRule="auto"/>
        <w:ind w:left="-142"/>
        <w:jc w:val="both"/>
        <w:rPr>
          <w:rFonts w:ascii="Arial" w:hAnsi="Arial" w:cs="Arial"/>
          <w:shd w:val="clear" w:color="auto" w:fill="FFFFFF"/>
        </w:rPr>
      </w:pPr>
      <w:r w:rsidRPr="007979A7">
        <w:rPr>
          <w:rFonts w:ascii="Arial" w:hAnsi="Arial" w:cs="Arial"/>
          <w:shd w:val="clear" w:color="auto" w:fill="FFFFFF"/>
        </w:rPr>
        <w:t xml:space="preserve">Ramakrishnan, M., Zhou, M., Ceasar, S.A., Ali, D.J., Maharajan, T., Vinod, K.K., Sharma, A., Ahmad, Z &amp; Wei, Q. (2023). Epigenetic modifications and miRNAs determine the transition of somatic cells into somatic embryos. </w:t>
      </w:r>
      <w:r w:rsidRPr="007979A7">
        <w:rPr>
          <w:rFonts w:ascii="Arial" w:hAnsi="Arial" w:cs="Arial"/>
          <w:i/>
          <w:shd w:val="clear" w:color="auto" w:fill="FFFFFF"/>
        </w:rPr>
        <w:t>Plant Cell Rep</w:t>
      </w:r>
      <w:r w:rsidRPr="007979A7">
        <w:rPr>
          <w:rFonts w:ascii="Arial" w:hAnsi="Arial" w:cs="Arial"/>
          <w:shd w:val="clear" w:color="auto" w:fill="FFFFFF"/>
        </w:rPr>
        <w:t xml:space="preserve">., 42(12):1845-1873. </w:t>
      </w:r>
      <w:proofErr w:type="spellStart"/>
      <w:r w:rsidRPr="007979A7">
        <w:rPr>
          <w:rFonts w:ascii="Arial" w:hAnsi="Arial" w:cs="Arial"/>
          <w:shd w:val="clear" w:color="auto" w:fill="FFFFFF"/>
        </w:rPr>
        <w:t>doi</w:t>
      </w:r>
      <w:proofErr w:type="spellEnd"/>
      <w:r w:rsidRPr="007979A7">
        <w:rPr>
          <w:rFonts w:ascii="Arial" w:hAnsi="Arial" w:cs="Arial"/>
          <w:shd w:val="clear" w:color="auto" w:fill="FFFFFF"/>
        </w:rPr>
        <w:t xml:space="preserve">: 10.1007/s00299-023-03071-0. </w:t>
      </w:r>
    </w:p>
    <w:p w14:paraId="13FF63DE" w14:textId="77777777" w:rsidR="007979A7" w:rsidRPr="007979A7" w:rsidRDefault="007979A7" w:rsidP="007979A7">
      <w:pPr>
        <w:spacing w:before="120" w:line="276" w:lineRule="auto"/>
        <w:ind w:left="-142"/>
        <w:jc w:val="both"/>
        <w:rPr>
          <w:rFonts w:ascii="Arial" w:hAnsi="Arial" w:cs="Arial"/>
          <w:lang w:val="en-IN" w:eastAsia="en-IN"/>
        </w:rPr>
      </w:pPr>
      <w:r w:rsidRPr="007979A7">
        <w:rPr>
          <w:rFonts w:ascii="Arial" w:hAnsi="Arial" w:cs="Arial"/>
        </w:rPr>
        <w:t xml:space="preserve">Salve, Anand., Ahirwar, G.K., Lather, Arun &amp; </w:t>
      </w:r>
      <w:proofErr w:type="spellStart"/>
      <w:r w:rsidRPr="007979A7">
        <w:rPr>
          <w:rFonts w:ascii="Arial" w:hAnsi="Arial" w:cs="Arial"/>
        </w:rPr>
        <w:t>Pateriya</w:t>
      </w:r>
      <w:proofErr w:type="spellEnd"/>
      <w:r w:rsidRPr="007979A7">
        <w:rPr>
          <w:rFonts w:ascii="Arial" w:hAnsi="Arial" w:cs="Arial"/>
        </w:rPr>
        <w:t xml:space="preserve"> Aakash. (2026). Influence of </w:t>
      </w:r>
      <w:proofErr w:type="spellStart"/>
      <w:r w:rsidRPr="007979A7">
        <w:rPr>
          <w:rFonts w:ascii="Arial" w:hAnsi="Arial" w:cs="Arial"/>
        </w:rPr>
        <w:t>presowing</w:t>
      </w:r>
      <w:proofErr w:type="spellEnd"/>
      <w:r w:rsidRPr="007979A7">
        <w:rPr>
          <w:rFonts w:ascii="Arial" w:hAnsi="Arial" w:cs="Arial"/>
        </w:rPr>
        <w:t xml:space="preserve"> treatments on seed germination, seedling growth, and early development of teak (</w:t>
      </w:r>
      <w:r w:rsidRPr="007979A7">
        <w:rPr>
          <w:rFonts w:ascii="Arial" w:hAnsi="Arial" w:cs="Arial"/>
          <w:i/>
        </w:rPr>
        <w:t>Tectona grandis</w:t>
      </w:r>
      <w:r w:rsidRPr="007979A7">
        <w:rPr>
          <w:rFonts w:ascii="Arial" w:hAnsi="Arial" w:cs="Arial"/>
        </w:rPr>
        <w:t xml:space="preserve">). </w:t>
      </w:r>
      <w:r w:rsidRPr="007979A7">
        <w:rPr>
          <w:rFonts w:ascii="Arial" w:hAnsi="Arial" w:cs="Arial"/>
          <w:i/>
        </w:rPr>
        <w:t>International Journal of Research in Agronomy,</w:t>
      </w:r>
      <w:r w:rsidRPr="007979A7">
        <w:rPr>
          <w:rFonts w:ascii="Arial" w:hAnsi="Arial" w:cs="Arial"/>
        </w:rPr>
        <w:t xml:space="preserve"> 9(1): 411-415.</w:t>
      </w:r>
    </w:p>
    <w:p w14:paraId="47A6EB9A" w14:textId="77777777" w:rsidR="007979A7" w:rsidRPr="007979A7" w:rsidRDefault="007979A7" w:rsidP="007979A7">
      <w:pPr>
        <w:autoSpaceDE w:val="0"/>
        <w:autoSpaceDN w:val="0"/>
        <w:adjustRightInd w:val="0"/>
        <w:spacing w:before="120" w:line="276" w:lineRule="auto"/>
        <w:ind w:left="-142"/>
        <w:jc w:val="both"/>
        <w:rPr>
          <w:rFonts w:ascii="Arial" w:hAnsi="Arial" w:cs="Arial"/>
        </w:rPr>
      </w:pPr>
      <w:proofErr w:type="spellStart"/>
      <w:r w:rsidRPr="007979A7">
        <w:rPr>
          <w:rFonts w:ascii="Arial" w:hAnsi="Arial" w:cs="Arial"/>
          <w:bCs/>
        </w:rPr>
        <w:t>Sawitri</w:t>
      </w:r>
      <w:proofErr w:type="spellEnd"/>
      <w:r w:rsidRPr="007979A7">
        <w:rPr>
          <w:rFonts w:ascii="Arial" w:hAnsi="Arial" w:cs="Arial"/>
          <w:bCs/>
        </w:rPr>
        <w:t xml:space="preserve">, M. N., </w:t>
      </w:r>
      <w:proofErr w:type="spellStart"/>
      <w:r w:rsidRPr="007979A7">
        <w:rPr>
          <w:rFonts w:ascii="Arial" w:hAnsi="Arial" w:cs="Arial"/>
          <w:bCs/>
        </w:rPr>
        <w:t>Indrioko</w:t>
      </w:r>
      <w:proofErr w:type="spellEnd"/>
      <w:r w:rsidRPr="007979A7">
        <w:rPr>
          <w:rFonts w:ascii="Arial" w:hAnsi="Arial" w:cs="Arial"/>
          <w:bCs/>
        </w:rPr>
        <w:t xml:space="preserve">, S. and </w:t>
      </w:r>
      <w:proofErr w:type="spellStart"/>
      <w:r w:rsidRPr="007979A7">
        <w:rPr>
          <w:rFonts w:ascii="Arial" w:hAnsi="Arial" w:cs="Arial"/>
          <w:bCs/>
        </w:rPr>
        <w:t>Widiyatno</w:t>
      </w:r>
      <w:proofErr w:type="spellEnd"/>
      <w:r w:rsidRPr="007979A7">
        <w:rPr>
          <w:rFonts w:ascii="Arial" w:hAnsi="Arial" w:cs="Arial"/>
          <w:bCs/>
        </w:rPr>
        <w:t xml:space="preserve">. (20200.  </w:t>
      </w:r>
      <w:r w:rsidRPr="007979A7">
        <w:rPr>
          <w:rFonts w:ascii="Arial" w:eastAsia="ArialUnicodeMS" w:hAnsi="Arial" w:cs="Arial"/>
        </w:rPr>
        <w:t xml:space="preserve">The effects of rooting media, IBA, and clones on rooting ability of Teak’s shoot cutting. </w:t>
      </w:r>
      <w:r w:rsidRPr="007979A7">
        <w:rPr>
          <w:rFonts w:ascii="Arial" w:eastAsia="ArialUnicodeMS" w:hAnsi="Arial" w:cs="Arial"/>
          <w:i/>
        </w:rPr>
        <w:t>IOP Conf. Ser.: Earth Environ. Sci</w:t>
      </w:r>
      <w:r w:rsidRPr="007979A7">
        <w:rPr>
          <w:rFonts w:ascii="Arial" w:eastAsia="ArialUnicodeMS" w:hAnsi="Arial" w:cs="Arial"/>
        </w:rPr>
        <w:t>., 449.</w:t>
      </w:r>
    </w:p>
    <w:p w14:paraId="69A9565F" w14:textId="77777777" w:rsidR="007979A7" w:rsidRPr="007979A7" w:rsidRDefault="007979A7" w:rsidP="007979A7">
      <w:pPr>
        <w:shd w:val="clear" w:color="auto" w:fill="FFFFFF"/>
        <w:spacing w:before="120" w:line="276" w:lineRule="auto"/>
        <w:ind w:left="-142"/>
        <w:rPr>
          <w:rFonts w:ascii="Arial" w:hAnsi="Arial" w:cs="Arial"/>
        </w:rPr>
      </w:pPr>
      <w:r w:rsidRPr="007979A7">
        <w:rPr>
          <w:rFonts w:ascii="Arial" w:hAnsi="Arial" w:cs="Arial"/>
          <w:bCs/>
          <w:shd w:val="clear" w:color="auto" w:fill="FFFFFF"/>
        </w:rPr>
        <w:t>Singh, S. (2023). Clonal Multiplication of Teak (</w:t>
      </w:r>
      <w:r w:rsidRPr="007979A7">
        <w:rPr>
          <w:rFonts w:ascii="Arial" w:hAnsi="Arial" w:cs="Arial"/>
          <w:bCs/>
          <w:i/>
          <w:shd w:val="clear" w:color="auto" w:fill="FFFFFF"/>
        </w:rPr>
        <w:t>Tectona grandis</w:t>
      </w:r>
      <w:r w:rsidRPr="007979A7">
        <w:rPr>
          <w:rFonts w:ascii="Arial" w:hAnsi="Arial" w:cs="Arial"/>
          <w:bCs/>
          <w:shd w:val="clear" w:color="auto" w:fill="FFFFFF"/>
        </w:rPr>
        <w:t xml:space="preserve"> L. f.)</w:t>
      </w:r>
      <w:r w:rsidRPr="007979A7">
        <w:rPr>
          <w:rFonts w:ascii="Arial" w:hAnsi="Arial" w:cs="Arial"/>
        </w:rPr>
        <w:t>. In Clonal Forestry - Principles and Practices, Narendra Publishing House, New Delhi.</w:t>
      </w:r>
    </w:p>
    <w:p w14:paraId="20637C24" w14:textId="77777777" w:rsidR="007979A7" w:rsidRPr="007979A7" w:rsidRDefault="007979A7" w:rsidP="007979A7">
      <w:pPr>
        <w:autoSpaceDE w:val="0"/>
        <w:autoSpaceDN w:val="0"/>
        <w:adjustRightInd w:val="0"/>
        <w:spacing w:before="120" w:line="276" w:lineRule="auto"/>
        <w:ind w:left="-142"/>
        <w:jc w:val="both"/>
        <w:rPr>
          <w:rFonts w:ascii="Arial" w:hAnsi="Arial" w:cs="Arial"/>
        </w:rPr>
      </w:pPr>
      <w:r w:rsidRPr="007979A7">
        <w:rPr>
          <w:rFonts w:ascii="Arial" w:hAnsi="Arial" w:cs="Arial"/>
        </w:rPr>
        <w:t>Singh, S., Kumar, P. and Ansari, S.A. (2005).  Clonal propagation of teak (</w:t>
      </w:r>
      <w:r w:rsidRPr="007979A7">
        <w:rPr>
          <w:rFonts w:ascii="Arial" w:hAnsi="Arial" w:cs="Arial"/>
          <w:i/>
        </w:rPr>
        <w:t>Tectona grandis</w:t>
      </w:r>
      <w:r w:rsidRPr="007979A7">
        <w:rPr>
          <w:rFonts w:ascii="Arial" w:hAnsi="Arial" w:cs="Arial"/>
        </w:rPr>
        <w:t xml:space="preserve">) by composite treatment of auxin with thiamine. </w:t>
      </w:r>
      <w:r w:rsidRPr="007979A7">
        <w:rPr>
          <w:rFonts w:ascii="Arial" w:hAnsi="Arial" w:cs="Arial"/>
          <w:i/>
        </w:rPr>
        <w:t>Indian Journal of Forestry</w:t>
      </w:r>
      <w:r w:rsidRPr="007979A7">
        <w:rPr>
          <w:rFonts w:ascii="Arial" w:hAnsi="Arial" w:cs="Arial"/>
        </w:rPr>
        <w:t>, 28 (2):108- 111.</w:t>
      </w:r>
    </w:p>
    <w:p w14:paraId="239E2DB2" w14:textId="77777777" w:rsidR="007979A7" w:rsidRPr="007979A7" w:rsidRDefault="007979A7" w:rsidP="007979A7">
      <w:pPr>
        <w:pStyle w:val="NormalWeb"/>
        <w:spacing w:before="120" w:beforeAutospacing="0" w:after="0" w:afterAutospacing="0" w:line="276" w:lineRule="auto"/>
        <w:ind w:left="-142"/>
        <w:jc w:val="both"/>
        <w:rPr>
          <w:rFonts w:ascii="Arial" w:hAnsi="Arial" w:cs="Arial"/>
          <w:sz w:val="20"/>
          <w:szCs w:val="20"/>
          <w:lang w:val="en-US" w:eastAsia="en-US"/>
        </w:rPr>
      </w:pPr>
      <w:r w:rsidRPr="007979A7">
        <w:rPr>
          <w:rFonts w:ascii="Arial" w:hAnsi="Arial" w:cs="Arial"/>
          <w:sz w:val="20"/>
          <w:szCs w:val="20"/>
          <w:lang w:val="en-US" w:eastAsia="en-US"/>
        </w:rPr>
        <w:t>Tiwari, S.K., Tiwari, K.P. &amp; Siril, E.A. (2002). An improved micropropagation protocol for teak.</w:t>
      </w:r>
      <w:r w:rsidRPr="007979A7">
        <w:rPr>
          <w:rFonts w:ascii="Arial" w:hAnsi="Arial" w:cs="Arial"/>
          <w:sz w:val="20"/>
          <w:szCs w:val="20"/>
          <w:lang w:val="en-US" w:eastAsia="en-US"/>
        </w:rPr>
        <w:br/>
      </w:r>
      <w:r w:rsidRPr="007979A7">
        <w:rPr>
          <w:rFonts w:ascii="Arial" w:hAnsi="Arial" w:cs="Arial"/>
          <w:i/>
          <w:sz w:val="20"/>
          <w:szCs w:val="20"/>
          <w:lang w:val="en-US" w:eastAsia="en-US"/>
        </w:rPr>
        <w:t>Plant Cell, Tissue and Organ Culture</w:t>
      </w:r>
      <w:r w:rsidRPr="007979A7">
        <w:rPr>
          <w:rFonts w:ascii="Arial" w:hAnsi="Arial" w:cs="Arial"/>
          <w:sz w:val="20"/>
          <w:szCs w:val="20"/>
          <w:lang w:val="en-US" w:eastAsia="en-US"/>
        </w:rPr>
        <w:t xml:space="preserve">, 71: 1–6, Kluwer Academic Publishers. </w:t>
      </w:r>
    </w:p>
    <w:p w14:paraId="064BDD7C" w14:textId="77777777" w:rsidR="007979A7" w:rsidRPr="007979A7" w:rsidRDefault="007979A7" w:rsidP="007979A7">
      <w:pPr>
        <w:shd w:val="clear" w:color="auto" w:fill="FFFFFF"/>
        <w:spacing w:before="120" w:line="276" w:lineRule="auto"/>
        <w:ind w:left="-142"/>
        <w:rPr>
          <w:rFonts w:ascii="Arial" w:hAnsi="Arial" w:cs="Arial"/>
          <w:lang w:val="en-IN" w:eastAsia="en-IN"/>
        </w:rPr>
      </w:pPr>
      <w:r w:rsidRPr="007979A7">
        <w:rPr>
          <w:rFonts w:ascii="Arial" w:hAnsi="Arial" w:cs="Arial"/>
          <w:lang w:val="en-IN" w:eastAsia="en-IN"/>
        </w:rPr>
        <w:t>Velusamy, M. &amp; Vanangamudi, K. (2003). Studies on enhancing seed germination and seedling vigour in teak (</w:t>
      </w:r>
      <w:r w:rsidRPr="007979A7">
        <w:rPr>
          <w:rFonts w:ascii="Arial" w:hAnsi="Arial" w:cs="Arial"/>
          <w:i/>
          <w:lang w:val="en-IN" w:eastAsia="en-IN"/>
        </w:rPr>
        <w:t>Tectona grandis</w:t>
      </w:r>
      <w:r w:rsidRPr="007979A7">
        <w:rPr>
          <w:rFonts w:ascii="Arial" w:hAnsi="Arial" w:cs="Arial"/>
          <w:lang w:val="en-IN" w:eastAsia="en-IN"/>
        </w:rPr>
        <w:t xml:space="preserve">). </w:t>
      </w:r>
      <w:r w:rsidRPr="007979A7">
        <w:rPr>
          <w:rFonts w:ascii="Arial" w:hAnsi="Arial" w:cs="Arial"/>
          <w:i/>
          <w:lang w:val="en-IN" w:eastAsia="en-IN"/>
        </w:rPr>
        <w:t>Journal of Tropical Forest Science</w:t>
      </w:r>
      <w:r w:rsidRPr="007979A7">
        <w:rPr>
          <w:rFonts w:ascii="Arial" w:hAnsi="Arial" w:cs="Arial"/>
          <w:lang w:val="en-IN" w:eastAsia="en-IN"/>
        </w:rPr>
        <w:t xml:space="preserve">, 15(1): 51-58. </w:t>
      </w:r>
    </w:p>
    <w:p w14:paraId="277C8D07" w14:textId="77777777" w:rsidR="007979A7" w:rsidRPr="007979A7" w:rsidRDefault="007979A7" w:rsidP="007979A7">
      <w:pPr>
        <w:pStyle w:val="NormalWeb"/>
        <w:spacing w:before="120" w:beforeAutospacing="0" w:after="0" w:afterAutospacing="0" w:line="276" w:lineRule="auto"/>
        <w:ind w:left="-142"/>
        <w:jc w:val="both"/>
        <w:rPr>
          <w:rFonts w:ascii="Arial" w:hAnsi="Arial" w:cs="Arial"/>
          <w:sz w:val="20"/>
          <w:szCs w:val="20"/>
        </w:rPr>
      </w:pPr>
      <w:r w:rsidRPr="007979A7">
        <w:rPr>
          <w:rFonts w:ascii="Arial" w:hAnsi="Arial" w:cs="Arial"/>
          <w:sz w:val="20"/>
          <w:szCs w:val="20"/>
        </w:rPr>
        <w:t xml:space="preserve">White, T.L., Adams, W.T. &amp; Neale, D.B., (2007). </w:t>
      </w:r>
      <w:r w:rsidRPr="007979A7">
        <w:rPr>
          <w:rStyle w:val="Emphasis"/>
          <w:rFonts w:ascii="Arial" w:hAnsi="Arial" w:cs="Arial"/>
          <w:i w:val="0"/>
          <w:sz w:val="20"/>
          <w:szCs w:val="20"/>
        </w:rPr>
        <w:t>Forest Genetics</w:t>
      </w:r>
      <w:r w:rsidRPr="007979A7">
        <w:rPr>
          <w:rFonts w:ascii="Arial" w:hAnsi="Arial" w:cs="Arial"/>
          <w:i/>
          <w:sz w:val="20"/>
          <w:szCs w:val="20"/>
        </w:rPr>
        <w:t>.</w:t>
      </w:r>
      <w:r w:rsidRPr="007979A7">
        <w:rPr>
          <w:rFonts w:ascii="Arial" w:hAnsi="Arial" w:cs="Arial"/>
          <w:sz w:val="20"/>
          <w:szCs w:val="20"/>
        </w:rPr>
        <w:t xml:space="preserve"> CAB International.</w:t>
      </w:r>
    </w:p>
    <w:p w14:paraId="703B1B1C" w14:textId="77777777" w:rsidR="007979A7" w:rsidRPr="007979A7" w:rsidRDefault="007979A7" w:rsidP="007979A7">
      <w:pPr>
        <w:spacing w:before="120" w:line="276" w:lineRule="auto"/>
        <w:ind w:left="-142"/>
        <w:jc w:val="both"/>
        <w:rPr>
          <w:rFonts w:ascii="Arial" w:hAnsi="Arial" w:cs="Arial"/>
          <w:lang w:val="en-IN" w:eastAsia="en-IN"/>
        </w:rPr>
      </w:pPr>
      <w:r w:rsidRPr="007979A7">
        <w:rPr>
          <w:rFonts w:ascii="Arial" w:hAnsi="Arial" w:cs="Arial"/>
          <w:lang w:val="en-IN" w:eastAsia="en-IN"/>
        </w:rPr>
        <w:t>Zhou, W., Yang, G., Pan, D., Wang, X., Han, Q., Qin, Y., Li, K. &amp; Huang, G. (2024). Analysis of the plant hormone expression profile during somatic embryogenesis induction in teak (</w:t>
      </w:r>
      <w:r w:rsidRPr="007979A7">
        <w:rPr>
          <w:rFonts w:ascii="Arial" w:hAnsi="Arial" w:cs="Arial"/>
          <w:i/>
          <w:lang w:val="en-IN" w:eastAsia="en-IN"/>
        </w:rPr>
        <w:t>Tectona grandis</w:t>
      </w:r>
      <w:r w:rsidRPr="007979A7">
        <w:rPr>
          <w:rFonts w:ascii="Arial" w:hAnsi="Arial" w:cs="Arial"/>
          <w:lang w:val="en-IN" w:eastAsia="en-IN"/>
        </w:rPr>
        <w:t xml:space="preserve">). </w:t>
      </w:r>
      <w:r w:rsidRPr="007979A7">
        <w:rPr>
          <w:rFonts w:ascii="Arial" w:hAnsi="Arial" w:cs="Arial"/>
          <w:i/>
          <w:lang w:val="en-IN" w:eastAsia="en-IN"/>
        </w:rPr>
        <w:t>Front. Plant Sci</w:t>
      </w:r>
      <w:r w:rsidRPr="007979A7">
        <w:rPr>
          <w:rFonts w:ascii="Arial" w:hAnsi="Arial" w:cs="Arial"/>
          <w:lang w:val="en-IN" w:eastAsia="en-IN"/>
        </w:rPr>
        <w:t xml:space="preserve">., 15:1429575. </w:t>
      </w:r>
      <w:proofErr w:type="spellStart"/>
      <w:r w:rsidRPr="007979A7">
        <w:rPr>
          <w:rFonts w:ascii="Arial" w:hAnsi="Arial" w:cs="Arial"/>
          <w:lang w:val="en-IN" w:eastAsia="en-IN"/>
        </w:rPr>
        <w:t>doi</w:t>
      </w:r>
      <w:proofErr w:type="spellEnd"/>
      <w:r w:rsidRPr="007979A7">
        <w:rPr>
          <w:rFonts w:ascii="Arial" w:hAnsi="Arial" w:cs="Arial"/>
          <w:lang w:val="en-IN" w:eastAsia="en-IN"/>
        </w:rPr>
        <w:t>: 10.3389/fpls.2024.1429575.</w:t>
      </w:r>
    </w:p>
    <w:p w14:paraId="268BEBA6" w14:textId="77777777" w:rsidR="007979A7" w:rsidRPr="007979A7" w:rsidRDefault="007979A7" w:rsidP="007979A7">
      <w:pPr>
        <w:pStyle w:val="NormalWeb"/>
        <w:spacing w:before="120" w:beforeAutospacing="0" w:after="0" w:afterAutospacing="0" w:line="276" w:lineRule="auto"/>
        <w:ind w:left="-142"/>
        <w:jc w:val="both"/>
        <w:rPr>
          <w:rFonts w:ascii="Arial" w:hAnsi="Arial" w:cs="Arial"/>
          <w:sz w:val="20"/>
          <w:szCs w:val="20"/>
        </w:rPr>
      </w:pPr>
      <w:r w:rsidRPr="007979A7">
        <w:rPr>
          <w:rFonts w:ascii="Arial" w:hAnsi="Arial" w:cs="Arial"/>
          <w:sz w:val="20"/>
          <w:szCs w:val="20"/>
        </w:rPr>
        <w:t xml:space="preserve">Zobel, B. &amp; Talbert, J. (1984). </w:t>
      </w:r>
      <w:r w:rsidRPr="007979A7">
        <w:rPr>
          <w:rStyle w:val="Emphasis"/>
          <w:rFonts w:ascii="Arial" w:hAnsi="Arial" w:cs="Arial"/>
          <w:i w:val="0"/>
          <w:sz w:val="20"/>
          <w:szCs w:val="20"/>
        </w:rPr>
        <w:t>Applied Forest Tree Improvement</w:t>
      </w:r>
      <w:r w:rsidRPr="007979A7">
        <w:rPr>
          <w:rFonts w:ascii="Arial" w:hAnsi="Arial" w:cs="Arial"/>
          <w:sz w:val="20"/>
          <w:szCs w:val="20"/>
        </w:rPr>
        <w:t>. Wiley.</w:t>
      </w:r>
    </w:p>
    <w:sectPr w:rsidR="007979A7" w:rsidRPr="007979A7" w:rsidSect="00E41B4A">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D75BBE" w14:textId="77777777" w:rsidR="001358D7" w:rsidRDefault="001358D7" w:rsidP="00C37E61">
      <w:r>
        <w:separator/>
      </w:r>
    </w:p>
  </w:endnote>
  <w:endnote w:type="continuationSeparator" w:id="0">
    <w:p w14:paraId="0EB9AE75" w14:textId="77777777" w:rsidR="001358D7" w:rsidRDefault="001358D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UnicodeMS">
    <w:altName w:val="Arial Unicode MS"/>
    <w:panose1 w:val="00000000000000000000"/>
    <w:charset w:val="81"/>
    <w:family w:val="auto"/>
    <w:notTrueType/>
    <w:pitch w:val="default"/>
    <w:sig w:usb0="00000000"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3868F" w14:textId="77777777" w:rsidR="00E41B4A" w:rsidRDefault="00E41B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5E97F" w14:textId="77777777" w:rsidR="00E41B4A" w:rsidRDefault="00E41B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CBEF7" w14:textId="77777777" w:rsidR="009E048A" w:rsidRDefault="009E048A">
    <w:pPr>
      <w:pStyle w:val="Footer"/>
      <w:rPr>
        <w:rFonts w:ascii="Arial" w:hAnsi="Arial" w:cs="Arial"/>
        <w:sz w:val="16"/>
      </w:rPr>
    </w:pPr>
  </w:p>
  <w:p w14:paraId="6EB6D063"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6654AD1" w14:textId="77777777" w:rsidR="009E048A" w:rsidRDefault="009E048A">
    <w:pPr>
      <w:pStyle w:val="Footer"/>
      <w:rPr>
        <w:rFonts w:ascii="Arial" w:hAnsi="Arial" w:cs="Arial"/>
        <w:sz w:val="16"/>
      </w:rPr>
    </w:pPr>
  </w:p>
  <w:p w14:paraId="26F420A6"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DD9D80" w14:textId="77777777" w:rsidR="001358D7" w:rsidRDefault="001358D7" w:rsidP="00C37E61">
      <w:r>
        <w:separator/>
      </w:r>
    </w:p>
  </w:footnote>
  <w:footnote w:type="continuationSeparator" w:id="0">
    <w:p w14:paraId="6122F6E5" w14:textId="77777777" w:rsidR="001358D7" w:rsidRDefault="001358D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E5509" w14:textId="17127EA2" w:rsidR="00E41B4A" w:rsidRDefault="00E41B4A">
    <w:pPr>
      <w:pStyle w:val="Header"/>
    </w:pPr>
    <w:r>
      <w:rPr>
        <w:noProof/>
      </w:rPr>
      <w:pict w14:anchorId="2A40E8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843235"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CEC92" w14:textId="32540188" w:rsidR="00E41B4A" w:rsidRDefault="00E41B4A">
    <w:pPr>
      <w:pStyle w:val="Header"/>
    </w:pPr>
    <w:r>
      <w:rPr>
        <w:noProof/>
      </w:rPr>
      <w:pict w14:anchorId="4452AA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843236"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BB770" w14:textId="0F54D389" w:rsidR="00296529" w:rsidRPr="00296529" w:rsidRDefault="00E41B4A" w:rsidP="00296529">
    <w:pPr>
      <w:ind w:left="2160"/>
      <w:jc w:val="center"/>
      <w:rPr>
        <w:rFonts w:ascii="Times New Roman" w:eastAsia="Calibri" w:hAnsi="Times New Roman"/>
        <w:i/>
        <w:sz w:val="18"/>
        <w:szCs w:val="22"/>
      </w:rPr>
    </w:pPr>
    <w:r>
      <w:rPr>
        <w:noProof/>
      </w:rPr>
      <w:pict w14:anchorId="3201EF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843234"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0D8FB8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F35906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4F29C8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A6B0B4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79BA95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9BC1139"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38F147A"/>
    <w:multiLevelType w:val="hybridMultilevel"/>
    <w:tmpl w:val="F8F2ED2C"/>
    <w:lvl w:ilvl="0" w:tplc="237EE2CA">
      <w:start w:val="2"/>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FB202AA"/>
    <w:multiLevelType w:val="multilevel"/>
    <w:tmpl w:val="4D94B716"/>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8E54F38"/>
    <w:multiLevelType w:val="multilevel"/>
    <w:tmpl w:val="42589A1A"/>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9E630A"/>
    <w:multiLevelType w:val="multilevel"/>
    <w:tmpl w:val="D096B186"/>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1866E2C"/>
    <w:multiLevelType w:val="multilevel"/>
    <w:tmpl w:val="D24ADCBE"/>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89A0763"/>
    <w:multiLevelType w:val="hybridMultilevel"/>
    <w:tmpl w:val="BC50BD66"/>
    <w:lvl w:ilvl="0" w:tplc="93F6CF1A">
      <w:start w:val="9"/>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97562E1"/>
    <w:multiLevelType w:val="multilevel"/>
    <w:tmpl w:val="ECCCD008"/>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30"/>
  </w:num>
  <w:num w:numId="10">
    <w:abstractNumId w:val="2"/>
  </w:num>
  <w:num w:numId="11">
    <w:abstractNumId w:val="22"/>
  </w:num>
  <w:num w:numId="12">
    <w:abstractNumId w:val="3"/>
  </w:num>
  <w:num w:numId="13">
    <w:abstractNumId w:val="21"/>
  </w:num>
  <w:num w:numId="14">
    <w:abstractNumId w:val="9"/>
  </w:num>
  <w:num w:numId="15">
    <w:abstractNumId w:val="26"/>
  </w:num>
  <w:num w:numId="16">
    <w:abstractNumId w:val="5"/>
  </w:num>
  <w:num w:numId="17">
    <w:abstractNumId w:val="27"/>
  </w:num>
  <w:num w:numId="18">
    <w:abstractNumId w:val="16"/>
  </w:num>
  <w:num w:numId="19">
    <w:abstractNumId w:val="35"/>
  </w:num>
  <w:num w:numId="20">
    <w:abstractNumId w:val="12"/>
  </w:num>
  <w:num w:numId="21">
    <w:abstractNumId w:val="10"/>
  </w:num>
  <w:num w:numId="22">
    <w:abstractNumId w:val="14"/>
  </w:num>
  <w:num w:numId="23">
    <w:abstractNumId w:val="23"/>
  </w:num>
  <w:num w:numId="24">
    <w:abstractNumId w:val="33"/>
  </w:num>
  <w:num w:numId="25">
    <w:abstractNumId w:val="4"/>
  </w:num>
  <w:num w:numId="26">
    <w:abstractNumId w:val="19"/>
  </w:num>
  <w:num w:numId="27">
    <w:abstractNumId w:val="25"/>
  </w:num>
  <w:num w:numId="28">
    <w:abstractNumId w:val="34"/>
  </w:num>
  <w:num w:numId="29">
    <w:abstractNumId w:val="29"/>
  </w:num>
  <w:num w:numId="30">
    <w:abstractNumId w:val="11"/>
  </w:num>
  <w:num w:numId="31">
    <w:abstractNumId w:val="17"/>
  </w:num>
  <w:num w:numId="32">
    <w:abstractNumId w:val="31"/>
  </w:num>
  <w:num w:numId="33">
    <w:abstractNumId w:val="7"/>
  </w:num>
  <w:num w:numId="34">
    <w:abstractNumId w:val="20"/>
  </w:num>
  <w:num w:numId="35">
    <w:abstractNumId w:val="24"/>
  </w:num>
  <w:num w:numId="36">
    <w:abstractNumId w:val="32"/>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358D7"/>
    <w:rsid w:val="00163BC4"/>
    <w:rsid w:val="001778B3"/>
    <w:rsid w:val="00191062"/>
    <w:rsid w:val="00192B72"/>
    <w:rsid w:val="001A29D8"/>
    <w:rsid w:val="001A5CAA"/>
    <w:rsid w:val="001B0427"/>
    <w:rsid w:val="001D3A51"/>
    <w:rsid w:val="001E10D2"/>
    <w:rsid w:val="001E25B4"/>
    <w:rsid w:val="001E44FE"/>
    <w:rsid w:val="001F0AB0"/>
    <w:rsid w:val="00200595"/>
    <w:rsid w:val="00204835"/>
    <w:rsid w:val="00231920"/>
    <w:rsid w:val="0023195C"/>
    <w:rsid w:val="0024282C"/>
    <w:rsid w:val="002460DC"/>
    <w:rsid w:val="002501D7"/>
    <w:rsid w:val="00250985"/>
    <w:rsid w:val="002556F6"/>
    <w:rsid w:val="0026461C"/>
    <w:rsid w:val="00283105"/>
    <w:rsid w:val="00284C4C"/>
    <w:rsid w:val="00296529"/>
    <w:rsid w:val="002A7B17"/>
    <w:rsid w:val="002B27FB"/>
    <w:rsid w:val="002B685A"/>
    <w:rsid w:val="002C57D2"/>
    <w:rsid w:val="002E0D56"/>
    <w:rsid w:val="00315186"/>
    <w:rsid w:val="0033343E"/>
    <w:rsid w:val="003512C2"/>
    <w:rsid w:val="00354381"/>
    <w:rsid w:val="00371FB6"/>
    <w:rsid w:val="003763C1"/>
    <w:rsid w:val="00376BBE"/>
    <w:rsid w:val="0039224F"/>
    <w:rsid w:val="003A43A4"/>
    <w:rsid w:val="003A7428"/>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C497D"/>
    <w:rsid w:val="006D30FF"/>
    <w:rsid w:val="006D6940"/>
    <w:rsid w:val="006D76FA"/>
    <w:rsid w:val="006F11EC"/>
    <w:rsid w:val="0070082C"/>
    <w:rsid w:val="007369E6"/>
    <w:rsid w:val="00746E59"/>
    <w:rsid w:val="00750243"/>
    <w:rsid w:val="00754C9A"/>
    <w:rsid w:val="0075599A"/>
    <w:rsid w:val="00761D52"/>
    <w:rsid w:val="0077749E"/>
    <w:rsid w:val="00790ADA"/>
    <w:rsid w:val="00796ADA"/>
    <w:rsid w:val="007979A7"/>
    <w:rsid w:val="007A4779"/>
    <w:rsid w:val="007D2288"/>
    <w:rsid w:val="007E088F"/>
    <w:rsid w:val="007F2667"/>
    <w:rsid w:val="007F7B32"/>
    <w:rsid w:val="00804BC2"/>
    <w:rsid w:val="0081431A"/>
    <w:rsid w:val="0083216F"/>
    <w:rsid w:val="0084148B"/>
    <w:rsid w:val="00860000"/>
    <w:rsid w:val="00863BD3"/>
    <w:rsid w:val="00866D66"/>
    <w:rsid w:val="008671C6"/>
    <w:rsid w:val="00875803"/>
    <w:rsid w:val="008B459E"/>
    <w:rsid w:val="008E13AE"/>
    <w:rsid w:val="008E1506"/>
    <w:rsid w:val="008E710C"/>
    <w:rsid w:val="008F292B"/>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896"/>
    <w:rsid w:val="00B95236"/>
    <w:rsid w:val="00B96BD9"/>
    <w:rsid w:val="00BA1B01"/>
    <w:rsid w:val="00BA2641"/>
    <w:rsid w:val="00BB37AA"/>
    <w:rsid w:val="00BC53A0"/>
    <w:rsid w:val="00BC5B94"/>
    <w:rsid w:val="00BD7EA6"/>
    <w:rsid w:val="00BE62AD"/>
    <w:rsid w:val="00BF121F"/>
    <w:rsid w:val="00BF1F80"/>
    <w:rsid w:val="00C166EF"/>
    <w:rsid w:val="00C17EB0"/>
    <w:rsid w:val="00C27F5F"/>
    <w:rsid w:val="00C30A0F"/>
    <w:rsid w:val="00C37E61"/>
    <w:rsid w:val="00C5547C"/>
    <w:rsid w:val="00C70F1B"/>
    <w:rsid w:val="00C71A47"/>
    <w:rsid w:val="00C7464C"/>
    <w:rsid w:val="00C85588"/>
    <w:rsid w:val="00C945E6"/>
    <w:rsid w:val="00CB3FC3"/>
    <w:rsid w:val="00CD6755"/>
    <w:rsid w:val="00CD6856"/>
    <w:rsid w:val="00CE0089"/>
    <w:rsid w:val="00CE793C"/>
    <w:rsid w:val="00D173F1"/>
    <w:rsid w:val="00D340F5"/>
    <w:rsid w:val="00D8295D"/>
    <w:rsid w:val="00DC2A65"/>
    <w:rsid w:val="00DE15F0"/>
    <w:rsid w:val="00DE5663"/>
    <w:rsid w:val="00DE78AA"/>
    <w:rsid w:val="00E053D0"/>
    <w:rsid w:val="00E15994"/>
    <w:rsid w:val="00E3114E"/>
    <w:rsid w:val="00E31A70"/>
    <w:rsid w:val="00E35B02"/>
    <w:rsid w:val="00E41B4A"/>
    <w:rsid w:val="00E44A80"/>
    <w:rsid w:val="00E66496"/>
    <w:rsid w:val="00E66B35"/>
    <w:rsid w:val="00E66E10"/>
    <w:rsid w:val="00E769F6"/>
    <w:rsid w:val="00E8407C"/>
    <w:rsid w:val="00E84F3C"/>
    <w:rsid w:val="00EA012C"/>
    <w:rsid w:val="00ED0288"/>
    <w:rsid w:val="00EE52CB"/>
    <w:rsid w:val="00EF581D"/>
    <w:rsid w:val="00EF7FD8"/>
    <w:rsid w:val="00F06F59"/>
    <w:rsid w:val="00F13544"/>
    <w:rsid w:val="00F17988"/>
    <w:rsid w:val="00F460CA"/>
    <w:rsid w:val="00F469F0"/>
    <w:rsid w:val="00F53273"/>
    <w:rsid w:val="00F622D8"/>
    <w:rsid w:val="00F755E4"/>
    <w:rsid w:val="00F77D02"/>
    <w:rsid w:val="00F8391A"/>
    <w:rsid w:val="00F94C49"/>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4:docId w14:val="234378A6"/>
  <w15:docId w15:val="{CB46CC30-9A24-4137-BA80-A7C84D95B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F622D8"/>
    <w:pPr>
      <w:keepNext/>
      <w:spacing w:before="240" w:after="60"/>
      <w:outlineLvl w:val="1"/>
    </w:pPr>
    <w:rPr>
      <w:rFonts w:ascii="Calibri Light"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customStyle="1" w:styleId="Normal1">
    <w:name w:val="Normal1"/>
    <w:rsid w:val="00750243"/>
    <w:pPr>
      <w:spacing w:after="200" w:line="276" w:lineRule="auto"/>
    </w:pPr>
    <w:rPr>
      <w:rFonts w:ascii="Calibri" w:eastAsia="Calibri" w:hAnsi="Calibri" w:cs="Calibri"/>
      <w:sz w:val="22"/>
      <w:szCs w:val="22"/>
    </w:rPr>
  </w:style>
  <w:style w:type="paragraph" w:styleId="NormalWeb">
    <w:name w:val="Normal (Web)"/>
    <w:basedOn w:val="Normal"/>
    <w:uiPriority w:val="99"/>
    <w:unhideWhenUsed/>
    <w:rsid w:val="00CB3FC3"/>
    <w:pPr>
      <w:spacing w:before="100" w:beforeAutospacing="1" w:after="100" w:afterAutospacing="1"/>
    </w:pPr>
    <w:rPr>
      <w:rFonts w:ascii="Times New Roman" w:hAnsi="Times New Roman"/>
      <w:sz w:val="24"/>
      <w:szCs w:val="24"/>
      <w:lang w:val="en-IN" w:eastAsia="en-IN"/>
    </w:rPr>
  </w:style>
  <w:style w:type="character" w:styleId="Strong">
    <w:name w:val="Strong"/>
    <w:uiPriority w:val="22"/>
    <w:qFormat/>
    <w:rsid w:val="00CB3FC3"/>
    <w:rPr>
      <w:b/>
      <w:bCs/>
    </w:rPr>
  </w:style>
  <w:style w:type="character" w:customStyle="1" w:styleId="whitespace-normal">
    <w:name w:val="whitespace-normal"/>
    <w:rsid w:val="00CB3FC3"/>
  </w:style>
  <w:style w:type="character" w:customStyle="1" w:styleId="Heading2Char">
    <w:name w:val="Heading 2 Char"/>
    <w:basedOn w:val="DefaultParagraphFont"/>
    <w:link w:val="Heading2"/>
    <w:uiPriority w:val="9"/>
    <w:semiHidden/>
    <w:rsid w:val="00F622D8"/>
    <w:rPr>
      <w:rFonts w:ascii="Calibri Light" w:hAnsi="Calibri Light"/>
      <w:b/>
      <w:bCs/>
      <w:i/>
      <w:iCs/>
      <w:sz w:val="28"/>
      <w:szCs w:val="28"/>
    </w:rPr>
  </w:style>
  <w:style w:type="paragraph" w:styleId="NoSpacing">
    <w:name w:val="No Spacing"/>
    <w:uiPriority w:val="1"/>
    <w:qFormat/>
    <w:rsid w:val="00F622D8"/>
    <w:rPr>
      <w:rFonts w:ascii="Calibri" w:eastAsia="Calibri" w:hAnsi="Calibri"/>
      <w:kern w:val="2"/>
      <w:sz w:val="22"/>
      <w:szCs w:val="22"/>
    </w:rPr>
  </w:style>
  <w:style w:type="paragraph" w:customStyle="1" w:styleId="c-article-referencestext">
    <w:name w:val="c-article-references__text"/>
    <w:basedOn w:val="Normal"/>
    <w:rsid w:val="007979A7"/>
    <w:pPr>
      <w:spacing w:before="100" w:beforeAutospacing="1" w:after="100" w:afterAutospacing="1"/>
    </w:pPr>
    <w:rPr>
      <w:rFonts w:ascii="Times New Roman" w:hAnsi="Times New Roman"/>
      <w:sz w:val="24"/>
      <w:szCs w:val="24"/>
      <w:lang w:val="en-IN" w:eastAsia="en-IN"/>
    </w:rPr>
  </w:style>
  <w:style w:type="character" w:styleId="UnresolvedMention">
    <w:name w:val="Unresolved Mention"/>
    <w:basedOn w:val="DefaultParagraphFont"/>
    <w:uiPriority w:val="99"/>
    <w:semiHidden/>
    <w:unhideWhenUsed/>
    <w:rsid w:val="008F292B"/>
    <w:rPr>
      <w:color w:val="605E5C"/>
      <w:shd w:val="clear" w:color="auto" w:fill="E1DFDD"/>
    </w:rPr>
  </w:style>
  <w:style w:type="paragraph" w:styleId="ListParagraph">
    <w:name w:val="List Paragraph"/>
    <w:basedOn w:val="Normal"/>
    <w:uiPriority w:val="34"/>
    <w:qFormat/>
    <w:rsid w:val="00F94C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hyperlink" Target="https://www.researchgate.net/journal/New-Forests-1573-5095" TargetMode="External"/><Relationship Id="rId3" Type="http://schemas.openxmlformats.org/officeDocument/2006/relationships/styles" Target="styles.xml"/><Relationship Id="rId21" Type="http://schemas.openxmlformats.org/officeDocument/2006/relationships/hyperlink" Target="https://www.researchgate.net/journal/American-Journal-of-Plant-Sciences-2158-2750?_tp=eyJjb250ZXh0Ijp7ImZpcnN0UGFnZSI6InB1YmxpY2F0aW9uIiwicGFnZSI6InB1YmxpY2F0aW9uIiwicG9zaXRpb24iOiJwYWdlSGVhZGVyIn19" TargetMode="External"/><Relationship Id="rId34" Type="http://schemas.openxmlformats.org/officeDocument/2006/relationships/hyperlink" Target="https://doi.org/10.1139/X10-160?urlappend=%3Futm_source%3Dresearchgate.net%26utm_medium%3Darticle"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hyperlink" Target="https://doi.org/10.13140/RG.2.1.1564.0083" TargetMode="External"/><Relationship Id="rId33" Type="http://schemas.openxmlformats.org/officeDocument/2006/relationships/hyperlink" Target="https://www.researchgate.net/journal/Canadian-Journal-of-Forest-Research-0045-5067" TargetMode="Externa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hyperlink" Target="https://www.researchgate.net/profile/Michael-Kleine?_sg%5B0%5D=6ABzUHKUP8VhDbcc2NMsYvkRPEInyM99Pv4Jfv8Eii0ZtvTS94N6X4EixVrREzbkIeijRo8.IJNe-W_MbLDcnATdWvaNLZNzvRv11YzbIb0ZUliuT6GwUM8xJ_dILQlnq8FXWlrTHDTONdLDV8WrC9mUxoy69g&amp;_sg%5B1%5D=-GxLKI2mCZYxv5CmKZ99UW4ZhS3v_Bxzh9acHwZro6lvuxY9DLJkXCEUSOLHzODg_pqtA3E.-VWb7IekIwLUoOosKMh3E2ki-xE2WxHNfKNmiY6I4JCbDvEpSYdGUoJ9rqd_8_GAw1sOCAZfAkOPbYilVZpbwQ&amp;_tp=eyJjb250ZXh0Ijp7ImZpcnN0UGFnZSI6InB1YmxpY2F0aW9uIiwicGFnZSI6InB1YmxpY2F0aW9uIiwicG9zaXRpb24iOiJwYWdlSGVhZGVyIn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51/forest:2006090" TargetMode="External"/><Relationship Id="rId32" Type="http://schemas.openxmlformats.org/officeDocument/2006/relationships/hyperlink" Target="https://doi.org/10.1139/cjfr-2014-0339?urlappend=%3Futm_source%3Dresearchgate.net%26utm_medium%3Darticle" TargetMode="External"/><Relationship Id="rId5" Type="http://schemas.openxmlformats.org/officeDocument/2006/relationships/webSettings" Target="webSettings.xml"/><Relationship Id="rId15" Type="http://schemas.openxmlformats.org/officeDocument/2006/relationships/hyperlink" Target="https://www.researchgate.net/scientific-contributions/K-Vanangamudi-2088360585?_sg%5B0%5D=2w3q-PcQfxlRu1dS0g0uSwJ-eNhga7310ovXZcRjQu-hNJH-DokKyLX_CwR5AHfELs6zClA.oKCcmlmpquI4Y2AQsWtTLgxYS_Uf1JLTcEb3YUsI3hykyqoeNHRL1_mQ_VVygLB24y28HAg4I0FaH3Pkvj0mKA&amp;_sg%5B1%5D=WlfPt4IlwczIMrHZs12t4ZeThILQC4sL-Sf6ee2m91Ifw12AIKu6nhNUjh2T9pV1qyv9ufs.3-9epmmb_IVjEhYa7umGc-UhpyMe1ymZCgUyzHIt9s7pLaOZB8AoTradRTRB66a4O91Qwk9BBNPOkkMA0X58NA&amp;_tp=eyJjb250ZXh0Ijp7ImZpcnN0UGFnZSI6InB1YmxpY2F0aW9uIiwicGFnZSI6InB1YmxpY2F0aW9uIiwicG9zaXRpb24iOiJwYWdlSGVhZGVyIn19" TargetMode="External"/><Relationship Id="rId23" Type="http://schemas.openxmlformats.org/officeDocument/2006/relationships/hyperlink" Target="https://doi.org/10.1073/pnas.1710465114" TargetMode="External"/><Relationship Id="rId28" Type="http://schemas.openxmlformats.org/officeDocument/2006/relationships/hyperlink" Target="https://www.researchgate.net/scientific-contributions/Walter-Kollert-2129880932?_sg%5B0%5D=6ABzUHKUP8VhDbcc2NMsYvkRPEInyM99Pv4Jfv8Eii0ZtvTS94N6X4EixVrREzbkIeijRo8.IJNe-W_MbLDcnATdWvaNLZNzvRv11YzbIb0ZUliuT6GwUM8xJ_dILQlnq8FXWlrTHDTONdLDV8WrC9mUxoy69g&amp;_sg%5B1%5D=-GxLKI2mCZYxv5CmKZ99UW4ZhS3v_Bxzh9acHwZro6lvuxY9DLJkXCEUSOLHzODg_pqtA3E.-VWb7IekIwLUoOosKMh3E2ki-xE2WxHNfKNmiY6I4JCbDvEpSYdGUoJ9rqd_8_GAw1sOCAZfAkOPbYilVZpbwQ"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hyperlink" Target="https://doi.org/10.1080/00049158.2017.128075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researchgate.net/profile/Manonmani-Velusamy?_sg%5B0%5D=2w3q-PcQfxlRu1dS0g0uSwJ-eNhga7310ovXZcRjQu-hNJH-DokKyLX_CwR5AHfELs6zClA.oKCcmlmpquI4Y2AQsWtTLgxYS_Uf1JLTcEb3YUsI3hykyqoeNHRL1_mQ_VVygLB24y28HAg4I0FaH3Pkvj0mKA&amp;_sg%5B1%5D=WlfPt4IlwczIMrHZs12t4ZeThILQC4sL-Sf6ee2m91Ifw12AIKu6nhNUjh2T9pV1qyv9ufs.3-9epmmb_IVjEhYa7umGc-UhpyMe1ymZCgUyzHIt9s7pLaOZB8AoTradRTRB66a4O91Qwk9BBNPOkkMA0X58NA&amp;_tp=eyJjb250ZXh0Ijp7ImZpcnN0UGFnZSI6InB1YmxpY2F0aW9uIiwicGFnZSI6InB1YmxpY2F0aW9uIiwicG9zaXRpb24iOiJwYWdlSGVhZGVyIn19" TargetMode="External"/><Relationship Id="rId22" Type="http://schemas.openxmlformats.org/officeDocument/2006/relationships/hyperlink" Target="https://doi.org/10.4236/ajps.2019.107081" TargetMode="External"/><Relationship Id="rId27" Type="http://schemas.openxmlformats.org/officeDocument/2006/relationships/hyperlink" Target="https://doi.org/10.1007/s11056-004-6794-5" TargetMode="External"/><Relationship Id="rId30" Type="http://schemas.openxmlformats.org/officeDocument/2006/relationships/hyperlink" Target="https://www.researchgate.net/journal/Australian-Forestry-2325-6087?_tp=eyJjb250ZXh0Ijp7ImZpcnN0UGFnZSI6InB1YmxpY2F0aW9uIiwicGFnZSI6InB1YmxpY2F0aW9uIiwicG9zaXRpb24iOiJwYWdlSGVhZGVyIn19" TargetMode="External"/><Relationship Id="rId35" Type="http://schemas.openxmlformats.org/officeDocument/2006/relationships/fontTable" Target="fontTable.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4C977C-AD3B-4320-8EC2-868EBE531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79</TotalTime>
  <Pages>26</Pages>
  <Words>11057</Words>
  <Characters>63025</Characters>
  <Application>Microsoft Office Word</Application>
  <DocSecurity>0</DocSecurity>
  <Lines>525</Lines>
  <Paragraphs>147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73935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25</cp:revision>
  <cp:lastPrinted>1999-07-06T11:00:00Z</cp:lastPrinted>
  <dcterms:created xsi:type="dcterms:W3CDTF">2014-10-25T14:34:00Z</dcterms:created>
  <dcterms:modified xsi:type="dcterms:W3CDTF">2026-04-14T12:46:00Z</dcterms:modified>
</cp:coreProperties>
</file>