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1C593" w14:textId="77777777" w:rsidR="00D412BB" w:rsidRDefault="00DA3370">
      <w:pPr>
        <w:spacing w:after="300"/>
        <w:jc w:val="right"/>
        <w:rPr>
          <w:color w:val="000000" w:themeColor="text1"/>
          <w:sz w:val="36"/>
          <w:szCs w:val="36"/>
        </w:rPr>
      </w:pPr>
      <w:r>
        <w:rPr>
          <w:rFonts w:cs="Arial"/>
          <w:b/>
          <w:bCs/>
          <w:color w:val="000000" w:themeColor="text1"/>
          <w:sz w:val="36"/>
          <w:szCs w:val="36"/>
        </w:rPr>
        <w:t>Impact of Beneficial Microorganisms on White Rust Severity in Mustard</w:t>
      </w:r>
    </w:p>
    <w:p w14:paraId="1880F2C0" w14:textId="77777777" w:rsidR="00D412BB" w:rsidRDefault="00DA3370">
      <w:pPr>
        <w:pStyle w:val="Heading1"/>
        <w:rPr>
          <w:color w:val="000000" w:themeColor="text1"/>
          <w:sz w:val="22"/>
          <w:szCs w:val="22"/>
        </w:rPr>
      </w:pPr>
      <w:r>
        <w:rPr>
          <w:color w:val="000000" w:themeColor="text1"/>
          <w:sz w:val="22"/>
          <w:szCs w:val="22"/>
        </w:rPr>
        <w:t>Abstract</w:t>
      </w:r>
    </w:p>
    <w:p w14:paraId="25ED6F24" w14:textId="77777777" w:rsidR="00D412BB" w:rsidRDefault="00DA3370">
      <w:pPr>
        <w:spacing w:before="100" w:after="160" w:line="360" w:lineRule="auto"/>
        <w:jc w:val="both"/>
        <w:rPr>
          <w:sz w:val="20"/>
          <w:szCs w:val="20"/>
        </w:rPr>
      </w:pPr>
      <w:r>
        <w:rPr>
          <w:rFonts w:cs="Arial"/>
          <w:sz w:val="20"/>
          <w:szCs w:val="20"/>
        </w:rPr>
        <w:t xml:space="preserve">White rust of Indian mustard </w:t>
      </w:r>
      <w:r>
        <w:rPr>
          <w:rFonts w:cs="Arial"/>
          <w:i/>
          <w:iCs/>
          <w:sz w:val="20"/>
          <w:szCs w:val="20"/>
        </w:rPr>
        <w:t xml:space="preserve">(Brassica </w:t>
      </w:r>
      <w:proofErr w:type="spellStart"/>
      <w:r>
        <w:rPr>
          <w:rFonts w:cs="Arial"/>
          <w:i/>
          <w:iCs/>
          <w:sz w:val="20"/>
          <w:szCs w:val="20"/>
        </w:rPr>
        <w:t>juncea</w:t>
      </w:r>
      <w:proofErr w:type="spellEnd"/>
      <w:r>
        <w:rPr>
          <w:rFonts w:cs="Arial"/>
          <w:i/>
          <w:iCs/>
          <w:sz w:val="20"/>
          <w:szCs w:val="20"/>
        </w:rPr>
        <w:t xml:space="preserve"> </w:t>
      </w:r>
      <w:r>
        <w:rPr>
          <w:rFonts w:cs="Arial"/>
          <w:sz w:val="20"/>
          <w:szCs w:val="20"/>
        </w:rPr>
        <w:t>L</w:t>
      </w:r>
      <w:r>
        <w:rPr>
          <w:rFonts w:cs="Arial"/>
          <w:i/>
          <w:iCs/>
          <w:sz w:val="20"/>
          <w:szCs w:val="20"/>
        </w:rPr>
        <w:t>.),</w:t>
      </w:r>
      <w:r>
        <w:rPr>
          <w:rFonts w:cs="Arial"/>
          <w:sz w:val="20"/>
          <w:szCs w:val="20"/>
        </w:rPr>
        <w:t xml:space="preserve"> caused by the obligate oomycete </w:t>
      </w:r>
      <w:proofErr w:type="spellStart"/>
      <w:r>
        <w:rPr>
          <w:rFonts w:cs="Arial"/>
          <w:i/>
          <w:iCs/>
          <w:sz w:val="20"/>
          <w:szCs w:val="20"/>
        </w:rPr>
        <w:t>Albugo</w:t>
      </w:r>
      <w:proofErr w:type="spellEnd"/>
      <w:r>
        <w:rPr>
          <w:rFonts w:cs="Arial"/>
          <w:i/>
          <w:iCs/>
          <w:sz w:val="20"/>
          <w:szCs w:val="20"/>
        </w:rPr>
        <w:t xml:space="preserve"> </w:t>
      </w:r>
      <w:r>
        <w:rPr>
          <w:rFonts w:cs="Arial"/>
          <w:i/>
          <w:iCs/>
          <w:sz w:val="20"/>
          <w:szCs w:val="20"/>
        </w:rPr>
        <w:t>candida</w:t>
      </w:r>
      <w:r>
        <w:rPr>
          <w:rFonts w:cs="Arial"/>
          <w:sz w:val="20"/>
          <w:szCs w:val="20"/>
        </w:rPr>
        <w:t xml:space="preserve"> (Pers.) </w:t>
      </w:r>
      <w:proofErr w:type="spellStart"/>
      <w:r>
        <w:rPr>
          <w:rFonts w:cs="Arial"/>
          <w:i/>
          <w:iCs/>
          <w:sz w:val="20"/>
          <w:szCs w:val="20"/>
        </w:rPr>
        <w:t>Kuntze</w:t>
      </w:r>
      <w:proofErr w:type="spellEnd"/>
      <w:r>
        <w:rPr>
          <w:rFonts w:cs="Arial"/>
          <w:sz w:val="20"/>
          <w:szCs w:val="20"/>
        </w:rPr>
        <w:t xml:space="preserve">, represents one of the most economically devastating biotic constraints to mustard cultivation across diverse </w:t>
      </w:r>
      <w:proofErr w:type="spellStart"/>
      <w:r>
        <w:rPr>
          <w:rFonts w:cs="Arial"/>
          <w:sz w:val="20"/>
          <w:szCs w:val="20"/>
        </w:rPr>
        <w:t>agro</w:t>
      </w:r>
      <w:proofErr w:type="spellEnd"/>
      <w:r>
        <w:rPr>
          <w:rFonts w:cs="Arial"/>
          <w:sz w:val="20"/>
          <w:szCs w:val="20"/>
        </w:rPr>
        <w:t>-climatic regions of India. The disease is particularly severe during the Rabi (winter) cropping season, when cool temp</w:t>
      </w:r>
      <w:r>
        <w:rPr>
          <w:rFonts w:cs="Arial"/>
          <w:sz w:val="20"/>
          <w:szCs w:val="20"/>
        </w:rPr>
        <w:t>eratures and high relative humidity create ideal conditions for pathogen proliferation and disease development. The present field investigation was systematically conducted during the Rabi season of 2024–25 at the Agricultural Research Farm of Vikrant Univ</w:t>
      </w:r>
      <w:r>
        <w:rPr>
          <w:rFonts w:cs="Arial"/>
          <w:sz w:val="20"/>
          <w:szCs w:val="20"/>
        </w:rPr>
        <w:t xml:space="preserve">ersity, Gwalior, Madhya Pradesh, with the twin objectives of evaluating the efficacy of selected biocontrol agents under field conditions and analyzing disease severity trends across major mustard-growing </w:t>
      </w:r>
      <w:proofErr w:type="spellStart"/>
      <w:r>
        <w:rPr>
          <w:rFonts w:cs="Arial"/>
          <w:sz w:val="20"/>
          <w:szCs w:val="20"/>
        </w:rPr>
        <w:t>agro</w:t>
      </w:r>
      <w:proofErr w:type="spellEnd"/>
      <w:r>
        <w:rPr>
          <w:rFonts w:cs="Arial"/>
          <w:sz w:val="20"/>
          <w:szCs w:val="20"/>
        </w:rPr>
        <w:t>-climatic zones of India.</w:t>
      </w:r>
    </w:p>
    <w:p w14:paraId="20CD852E" w14:textId="77777777" w:rsidR="00D412BB" w:rsidRDefault="00DA3370">
      <w:pPr>
        <w:spacing w:before="100" w:after="160" w:line="360" w:lineRule="auto"/>
        <w:jc w:val="both"/>
        <w:rPr>
          <w:sz w:val="20"/>
          <w:szCs w:val="20"/>
        </w:rPr>
      </w:pPr>
      <w:r>
        <w:rPr>
          <w:rFonts w:cs="Arial"/>
          <w:sz w:val="20"/>
          <w:szCs w:val="20"/>
        </w:rPr>
        <w:t>The experiment was de</w:t>
      </w:r>
      <w:r>
        <w:rPr>
          <w:rFonts w:cs="Arial"/>
          <w:sz w:val="20"/>
          <w:szCs w:val="20"/>
        </w:rPr>
        <w:t xml:space="preserve">signed following a randomized block design (RBD) with four replications and seven distinct treatment combinations comprising Trichoderma </w:t>
      </w:r>
      <w:proofErr w:type="spellStart"/>
      <w:r>
        <w:rPr>
          <w:rFonts w:cs="Arial"/>
          <w:sz w:val="20"/>
          <w:szCs w:val="20"/>
        </w:rPr>
        <w:t>viride</w:t>
      </w:r>
      <w:proofErr w:type="spellEnd"/>
      <w:r>
        <w:rPr>
          <w:rFonts w:cs="Arial"/>
          <w:sz w:val="20"/>
          <w:szCs w:val="20"/>
        </w:rPr>
        <w:t>, Pseudomonas fluorescens, their synergistic combination, botanical resistance inducers (garlic extract and salic</w:t>
      </w:r>
      <w:r>
        <w:rPr>
          <w:rFonts w:cs="Arial"/>
          <w:sz w:val="20"/>
          <w:szCs w:val="20"/>
        </w:rPr>
        <w:t xml:space="preserve">ylic acid), a fungicide standard (Mancozeb 75% WP), and an untreated control. Critical parameters including disease incidence (%), percent disease index (PDI), and seed yield (kg ha⁻¹) were recorded at weekly intervals across the entire crop growth period </w:t>
      </w:r>
      <w:r>
        <w:rPr>
          <w:rFonts w:cs="Arial"/>
          <w:sz w:val="20"/>
          <w:szCs w:val="20"/>
        </w:rPr>
        <w:t>from November 2024 to February 2025.</w:t>
      </w:r>
    </w:p>
    <w:p w14:paraId="077B0C08" w14:textId="77777777" w:rsidR="00D412BB" w:rsidRDefault="00DA3370">
      <w:pPr>
        <w:spacing w:before="100" w:after="160" w:line="360" w:lineRule="auto"/>
        <w:jc w:val="both"/>
        <w:rPr>
          <w:sz w:val="20"/>
          <w:szCs w:val="20"/>
        </w:rPr>
      </w:pPr>
      <w:r>
        <w:rPr>
          <w:rFonts w:cs="Arial"/>
          <w:sz w:val="20"/>
          <w:szCs w:val="20"/>
        </w:rPr>
        <w:t xml:space="preserve">Experimental results demonstrated that the combined application of </w:t>
      </w:r>
      <w:r>
        <w:rPr>
          <w:rFonts w:cs="Arial"/>
          <w:i/>
          <w:iCs/>
          <w:sz w:val="20"/>
          <w:szCs w:val="20"/>
        </w:rPr>
        <w:t xml:space="preserve">Trichoderma </w:t>
      </w:r>
      <w:proofErr w:type="spellStart"/>
      <w:r>
        <w:rPr>
          <w:rFonts w:cs="Arial"/>
          <w:i/>
          <w:iCs/>
          <w:sz w:val="20"/>
          <w:szCs w:val="20"/>
        </w:rPr>
        <w:t>viride</w:t>
      </w:r>
      <w:proofErr w:type="spellEnd"/>
      <w:r>
        <w:rPr>
          <w:rFonts w:cs="Arial"/>
          <w:sz w:val="20"/>
          <w:szCs w:val="20"/>
        </w:rPr>
        <w:t xml:space="preserve"> and </w:t>
      </w:r>
      <w:r>
        <w:rPr>
          <w:rFonts w:cs="Arial"/>
          <w:i/>
          <w:iCs/>
          <w:sz w:val="20"/>
          <w:szCs w:val="20"/>
        </w:rPr>
        <w:t>Pseudomonas fluorescens</w:t>
      </w:r>
      <w:r>
        <w:rPr>
          <w:rFonts w:cs="Arial"/>
          <w:sz w:val="20"/>
          <w:szCs w:val="20"/>
        </w:rPr>
        <w:t xml:space="preserve"> was significantly superior among all biocontrol treatments, reducing disease incidence to 22.1% and PDI t</w:t>
      </w:r>
      <w:r>
        <w:rPr>
          <w:rFonts w:cs="Arial"/>
          <w:sz w:val="20"/>
          <w:szCs w:val="20"/>
        </w:rPr>
        <w:t>o 26.7%, representing a 52.9% disease reduction over the untreated control. This treatment also produced the highest seed yield among biocontrol options at 1580 kg ha⁻¹, reflecting a 54.9% yield advantage over the control (1020 kg ha⁻¹). The chemical fungi</w:t>
      </w:r>
      <w:r>
        <w:rPr>
          <w:rFonts w:cs="Arial"/>
          <w:sz w:val="20"/>
          <w:szCs w:val="20"/>
        </w:rPr>
        <w:t>cide Mancozeb 75% WP outperformed all other treatments with a PDI of 23.4% and maximum yield of 1650 kg ha⁻¹, serving as an effective benchmark. Regional analysis confirmed higher disease pressure in eastern and north-eastern India due to elevated humidity</w:t>
      </w:r>
      <w:r>
        <w:rPr>
          <w:rFonts w:cs="Arial"/>
          <w:sz w:val="20"/>
          <w:szCs w:val="20"/>
        </w:rPr>
        <w:t xml:space="preserve"> and temperature fluctuations. The study strongly advocates for the integration of biocontrol agents into sustainable, eco-friendly integrated disease management (IDM) </w:t>
      </w:r>
      <w:proofErr w:type="spellStart"/>
      <w:r>
        <w:rPr>
          <w:rFonts w:cs="Arial"/>
          <w:sz w:val="20"/>
          <w:szCs w:val="20"/>
        </w:rPr>
        <w:t>programmes</w:t>
      </w:r>
      <w:proofErr w:type="spellEnd"/>
      <w:r>
        <w:rPr>
          <w:rFonts w:cs="Arial"/>
          <w:sz w:val="20"/>
          <w:szCs w:val="20"/>
        </w:rPr>
        <w:t xml:space="preserve"> for mustard production systems in India.</w:t>
      </w:r>
    </w:p>
    <w:p w14:paraId="16894BFA" w14:textId="77777777" w:rsidR="00D412BB" w:rsidRDefault="00DA3370">
      <w:pPr>
        <w:spacing w:before="80" w:after="200"/>
        <w:jc w:val="both"/>
        <w:rPr>
          <w:sz w:val="20"/>
          <w:szCs w:val="20"/>
        </w:rPr>
      </w:pPr>
      <w:r>
        <w:rPr>
          <w:rFonts w:cs="Arial"/>
          <w:b/>
          <w:bCs/>
        </w:rPr>
        <w:t xml:space="preserve">Keywords: </w:t>
      </w:r>
      <w:r>
        <w:rPr>
          <w:rFonts w:cs="Arial"/>
          <w:i/>
          <w:iCs/>
          <w:sz w:val="20"/>
          <w:szCs w:val="20"/>
        </w:rPr>
        <w:t xml:space="preserve">Mustard, White rust, </w:t>
      </w:r>
      <w:proofErr w:type="spellStart"/>
      <w:r>
        <w:rPr>
          <w:rFonts w:cs="Arial"/>
          <w:i/>
          <w:iCs/>
          <w:sz w:val="20"/>
          <w:szCs w:val="20"/>
        </w:rPr>
        <w:t>Albug</w:t>
      </w:r>
      <w:r>
        <w:rPr>
          <w:rFonts w:cs="Arial"/>
          <w:i/>
          <w:iCs/>
          <w:sz w:val="20"/>
          <w:szCs w:val="20"/>
        </w:rPr>
        <w:t>o</w:t>
      </w:r>
      <w:proofErr w:type="spellEnd"/>
      <w:r>
        <w:rPr>
          <w:rFonts w:cs="Arial"/>
          <w:i/>
          <w:iCs/>
          <w:sz w:val="20"/>
          <w:szCs w:val="20"/>
        </w:rPr>
        <w:t xml:space="preserve"> candida, Biocontrol agents, Trichoderma </w:t>
      </w:r>
      <w:proofErr w:type="spellStart"/>
      <w:r>
        <w:rPr>
          <w:rFonts w:cs="Arial"/>
          <w:i/>
          <w:iCs/>
          <w:sz w:val="20"/>
          <w:szCs w:val="20"/>
        </w:rPr>
        <w:t>viride</w:t>
      </w:r>
      <w:proofErr w:type="spellEnd"/>
      <w:r>
        <w:rPr>
          <w:rFonts w:cs="Arial"/>
          <w:i/>
          <w:iCs/>
          <w:sz w:val="20"/>
          <w:szCs w:val="20"/>
        </w:rPr>
        <w:t xml:space="preserve">, Pseudomonas fluorescens, Integrated disease management, Brassica </w:t>
      </w:r>
      <w:proofErr w:type="spellStart"/>
      <w:r>
        <w:rPr>
          <w:rFonts w:cs="Arial"/>
          <w:i/>
          <w:iCs/>
          <w:sz w:val="20"/>
          <w:szCs w:val="20"/>
        </w:rPr>
        <w:t>juncea</w:t>
      </w:r>
      <w:proofErr w:type="spellEnd"/>
    </w:p>
    <w:p w14:paraId="71EEF7D2" w14:textId="77777777" w:rsidR="00D412BB" w:rsidRDefault="00DA3370">
      <w:pPr>
        <w:pStyle w:val="Heading1"/>
        <w:rPr>
          <w:color w:val="000000" w:themeColor="text1"/>
          <w:sz w:val="22"/>
          <w:szCs w:val="22"/>
        </w:rPr>
      </w:pPr>
      <w:r>
        <w:rPr>
          <w:color w:val="000000" w:themeColor="text1"/>
          <w:sz w:val="22"/>
          <w:szCs w:val="22"/>
        </w:rPr>
        <w:t>1. Introduction</w:t>
      </w:r>
    </w:p>
    <w:p w14:paraId="77A63177" w14:textId="77777777" w:rsidR="00D412BB" w:rsidRDefault="00DA3370">
      <w:pPr>
        <w:pStyle w:val="Heading2"/>
        <w:rPr>
          <w:color w:val="000000" w:themeColor="text1"/>
          <w:sz w:val="22"/>
          <w:szCs w:val="22"/>
        </w:rPr>
      </w:pPr>
      <w:r>
        <w:rPr>
          <w:color w:val="000000" w:themeColor="text1"/>
          <w:sz w:val="22"/>
          <w:szCs w:val="22"/>
        </w:rPr>
        <w:t>1.1 Importance of Mustard as an Oilseed Crop</w:t>
      </w:r>
    </w:p>
    <w:p w14:paraId="3DC49DF0" w14:textId="77777777" w:rsidR="00D412BB" w:rsidRDefault="00DA3370">
      <w:pPr>
        <w:spacing w:before="100" w:after="160" w:line="360" w:lineRule="auto"/>
        <w:jc w:val="both"/>
      </w:pPr>
      <w:r>
        <w:rPr>
          <w:rFonts w:cs="Arial"/>
        </w:rPr>
        <w:t>Indian mustard (</w:t>
      </w:r>
      <w:r>
        <w:rPr>
          <w:rFonts w:cs="Arial"/>
          <w:i/>
          <w:iCs/>
        </w:rPr>
        <w:t xml:space="preserve">Brassica </w:t>
      </w:r>
      <w:proofErr w:type="spellStart"/>
      <w:r>
        <w:rPr>
          <w:rFonts w:cs="Arial"/>
          <w:i/>
          <w:iCs/>
        </w:rPr>
        <w:t>juncea</w:t>
      </w:r>
      <w:proofErr w:type="spellEnd"/>
      <w:r>
        <w:rPr>
          <w:rFonts w:cs="Arial"/>
        </w:rPr>
        <w:t xml:space="preserve"> L. </w:t>
      </w:r>
      <w:proofErr w:type="spellStart"/>
      <w:r>
        <w:rPr>
          <w:rFonts w:cs="Arial"/>
        </w:rPr>
        <w:t>Czern</w:t>
      </w:r>
      <w:proofErr w:type="spellEnd"/>
      <w:r>
        <w:rPr>
          <w:rFonts w:cs="Arial"/>
        </w:rPr>
        <w:t xml:space="preserve">. &amp; </w:t>
      </w:r>
      <w:proofErr w:type="spellStart"/>
      <w:r>
        <w:rPr>
          <w:rFonts w:cs="Arial"/>
        </w:rPr>
        <w:t>Coss</w:t>
      </w:r>
      <w:proofErr w:type="spellEnd"/>
      <w:r>
        <w:rPr>
          <w:rFonts w:cs="Arial"/>
        </w:rPr>
        <w:t>.) holds a pivotal positi</w:t>
      </w:r>
      <w:r>
        <w:rPr>
          <w:rFonts w:cs="Arial"/>
        </w:rPr>
        <w:t xml:space="preserve">on in the agricultural economy of India, ranking as the second most important oilseed crop after groundnut in terms of </w:t>
      </w:r>
      <w:r>
        <w:rPr>
          <w:rFonts w:cs="Arial"/>
        </w:rPr>
        <w:lastRenderedPageBreak/>
        <w:t xml:space="preserve">cultivated area and production </w:t>
      </w:r>
      <w:r>
        <w:rPr>
          <w:rFonts w:cs="Arial"/>
        </w:rPr>
        <w:fldChar w:fldCharType="begin"/>
      </w:r>
      <w:r>
        <w:rPr>
          <w:rFonts w:cs="Arial"/>
        </w:rPr>
        <w:instrText xml:space="preserve"> ADDIN EN.CITE &lt;EndNote&gt;&lt;Cite&gt;&lt;Author&gt;Shekhawat&lt;/Author&gt;&lt;Year&gt;2012&lt;/Year&gt;&lt;RecNum&gt;35&lt;/RecNum&gt;&lt;DisplayText&gt;(</w:instrText>
      </w:r>
      <w:r>
        <w:rPr>
          <w:rFonts w:cs="Arial"/>
        </w:rPr>
        <w:instrText>1)&lt;/DisplayText&gt;&lt;record&gt;&lt;rec-number&gt;35&lt;/rec-number&gt;&lt;foreign-keys&gt;&lt;key app="EN" db-id="dw2zpsea0sr9vme0z05x2aeppwsrp95axfr9" timestamp="1772065611"&gt;35&lt;/key&gt;&lt;/foreign-keys&gt;&lt;ref-type name="Journal Article"&gt;17&lt;/ref-type&gt;&lt;contributors&gt;&lt;authors&gt;&lt;author&gt;Shekhawat</w:instrText>
      </w:r>
      <w:r>
        <w:rPr>
          <w:rFonts w:cs="Arial"/>
        </w:rPr>
        <w:instrText>, Kapila&lt;/author&gt;&lt;author&gt;Rathore, SS&lt;/author&gt;&lt;author&gt;Premi, OP&lt;/author&gt;&lt;author&gt;Kandpal, BK&lt;/author&gt;&lt;author&gt;Chauhan, JS&lt;/author&gt;&lt;/authors&gt;&lt;/contributors&gt;&lt;titles&gt;&lt;title&gt;Advances in agronomic management of Indian mustard (Brassica juncea (L.) Czernj. Cosson):</w:instrText>
      </w:r>
      <w:r>
        <w:rPr>
          <w:rFonts w:cs="Arial"/>
        </w:rPr>
        <w:instrText xml:space="preserve"> an overview&lt;/title&gt;&lt;secondary-title&gt;International journal of Agronomy&lt;/secondary-title&gt;&lt;/titles&gt;&lt;periodical&gt;&lt;full-title&gt;International journal of Agronomy&lt;/full-title&gt;&lt;/periodical&gt;&lt;pages&gt;408284&lt;/pages&gt;&lt;volume&gt;2012&lt;/volume&gt;&lt;number&gt;1&lt;/number&gt;&lt;dates&gt;&lt;year&gt;201</w:instrText>
      </w:r>
      <w:r>
        <w:rPr>
          <w:rFonts w:cs="Arial"/>
        </w:rPr>
        <w:instrText>2&lt;/year&gt;&lt;/dates&gt;&lt;isbn&gt;1687-8167&lt;/isbn&gt;&lt;urls&gt;&lt;/urls&gt;&lt;/record&gt;&lt;/Cite&gt;&lt;/EndNote&gt;</w:instrText>
      </w:r>
      <w:r>
        <w:rPr>
          <w:rFonts w:cs="Arial"/>
        </w:rPr>
        <w:fldChar w:fldCharType="separate"/>
      </w:r>
      <w:r>
        <w:rPr>
          <w:rFonts w:cs="Arial"/>
        </w:rPr>
        <w:t>(1)</w:t>
      </w:r>
      <w:r>
        <w:rPr>
          <w:rFonts w:cs="Arial"/>
        </w:rPr>
        <w:fldChar w:fldCharType="end"/>
      </w:r>
      <w:r>
        <w:rPr>
          <w:rFonts w:cs="Arial"/>
        </w:rPr>
        <w:t>. It serves as the primary source of edible oil for an estimated 50% of the population residing in the major mustard-growing states of Uttar Pradesh, Punjab, Rajasthan, Biha</w:t>
      </w:r>
      <w:r>
        <w:rPr>
          <w:rFonts w:cs="Arial"/>
        </w:rPr>
        <w:t>r, Odisha, West Bengal, Madhya Pradesh, and Assam. Beyond its nutritional significance, mustard seeds contain 30–48% oil and are extensively utilized for a broad spectrum of applications ranging from culinary uses and traditional medicine to industrial app</w:t>
      </w:r>
      <w:r>
        <w:rPr>
          <w:rFonts w:cs="Arial"/>
        </w:rPr>
        <w:t xml:space="preserve">lications such as biodiesel generation and commercial lubricants </w:t>
      </w:r>
      <w:r>
        <w:rPr>
          <w:rFonts w:cs="Arial"/>
        </w:rPr>
        <w:fldChar w:fldCharType="begin"/>
      </w:r>
      <w:r>
        <w:rPr>
          <w:rFonts w:cs="Arial"/>
        </w:rPr>
        <w:instrText xml:space="preserve"> ADDIN EN.CITE &lt;EndNote&gt;&lt;Cite&gt;&lt;Author&gt;Sachan&lt;/Author&gt;&lt;Year&gt;2024&lt;/Year&gt;&lt;RecNum&gt;36&lt;/RecNum&gt;&lt;DisplayText&gt;(2)&lt;/DisplayText&gt;&lt;record&gt;&lt;rec-number&gt;36&lt;/rec-number&gt;&lt;foreign-keys&gt;&lt;key app="EN" db-id="dw</w:instrText>
      </w:r>
      <w:r>
        <w:rPr>
          <w:rFonts w:cs="Arial"/>
        </w:rPr>
        <w:instrText>2zpsea0sr9vme0z05x2aeppwsrp95axfr9" timestamp="1772065667"&gt;36&lt;/key&gt;&lt;/foreign-keys&gt;&lt;ref-type name="Journal Article"&gt;17&lt;/ref-type&gt;&lt;contributors&gt;&lt;authors&gt;&lt;author&gt;Sachan, Dhruvendra Singh&lt;/author&gt;&lt;author&gt;Naimuddin, Shaik Khaja&lt;/author&gt;&lt;author&gt;Patra, Darshana&lt;/</w:instrText>
      </w:r>
      <w:r>
        <w:rPr>
          <w:rFonts w:cs="Arial"/>
        </w:rPr>
        <w:instrText>author&gt;&lt;author&gt;Subha, L&lt;/author&gt;&lt;author&gt;Senthilkumar, T&lt;/author&gt;&lt;author&gt;Chittibomma, Karthik&lt;/author&gt;&lt;author&gt;Khan, Nadeem&lt;/author&gt;&lt;author&gt;Prasad, SV&lt;/author&gt;&lt;/authors&gt;&lt;/contributors&gt;&lt;titles&gt;&lt;title&gt;Advancements in enhancing oil quality in rapeseed and musta</w:instrText>
      </w:r>
      <w:r>
        <w:rPr>
          <w:rFonts w:cs="Arial"/>
        </w:rPr>
        <w:instrText>rd: a comprehensive review&lt;/title&gt;&lt;secondary-title&gt;Journal of Experimental Agriculture International&lt;/secondary-title&gt;&lt;/titles&gt;&lt;periodical&gt;&lt;full-title&gt;Journal of Experimental Agriculture International&lt;/full-title&gt;&lt;/periodical&gt;&lt;pages&gt;181-193&lt;/pages&gt;&lt;volume&gt;</w:instrText>
      </w:r>
      <w:r>
        <w:rPr>
          <w:rFonts w:cs="Arial"/>
        </w:rPr>
        <w:instrText>46&lt;/volume&gt;&lt;number&gt;5&lt;/number&gt;&lt;dates&gt;&lt;year&gt;2024&lt;/year&gt;&lt;/dates&gt;&lt;isbn&gt;2457-0591&lt;/isbn&gt;&lt;urls&gt;&lt;/urls&gt;&lt;/record&gt;&lt;/Cite&gt;&lt;/EndNote&gt;</w:instrText>
      </w:r>
      <w:r>
        <w:rPr>
          <w:rFonts w:cs="Arial"/>
        </w:rPr>
        <w:fldChar w:fldCharType="separate"/>
      </w:r>
      <w:r>
        <w:rPr>
          <w:rFonts w:cs="Arial"/>
        </w:rPr>
        <w:t>(2)</w:t>
      </w:r>
      <w:r>
        <w:rPr>
          <w:rFonts w:cs="Arial"/>
        </w:rPr>
        <w:fldChar w:fldCharType="end"/>
      </w:r>
      <w:r>
        <w:rPr>
          <w:rFonts w:cs="Arial"/>
        </w:rPr>
        <w:t>.</w:t>
      </w:r>
    </w:p>
    <w:p w14:paraId="3AEBD5D5" w14:textId="77777777" w:rsidR="00D412BB" w:rsidRDefault="00DA3370">
      <w:pPr>
        <w:spacing w:before="100" w:after="160" w:line="360" w:lineRule="auto"/>
        <w:jc w:val="both"/>
      </w:pPr>
      <w:r>
        <w:rPr>
          <w:rFonts w:cs="Arial"/>
        </w:rPr>
        <w:t>Historically, mustard cultivation in the Indian subcontinent dates back to approximately 3000 BC, with Sanskrit texts confirmi</w:t>
      </w:r>
      <w:r>
        <w:rPr>
          <w:rFonts w:cs="Arial"/>
        </w:rPr>
        <w:t>ng its early documented use as a spice and medicinal crop (</w:t>
      </w:r>
      <w:proofErr w:type="spellStart"/>
      <w:r>
        <w:rPr>
          <w:rFonts w:cs="Arial"/>
        </w:rPr>
        <w:t>Mehra</w:t>
      </w:r>
      <w:proofErr w:type="spellEnd"/>
      <w:r>
        <w:rPr>
          <w:rFonts w:cs="Arial"/>
        </w:rPr>
        <w:t xml:space="preserve">, 1968) </w:t>
      </w:r>
      <w:r>
        <w:rPr>
          <w:rFonts w:cs="Arial"/>
        </w:rPr>
        <w:fldChar w:fldCharType="begin"/>
      </w:r>
      <w:r>
        <w:rPr>
          <w:rFonts w:cs="Arial"/>
        </w:rPr>
        <w:instrText xml:space="preserve"> ADDIN EN.CITE &lt;EndNote&gt;&lt;Cite&gt;&lt;Author&gt;Sharma&lt;/Author&gt;&lt;Year&gt;2024&lt;/Year&gt;&lt;RecNum&gt;37&lt;/RecNum&gt;&lt;DisplayText&gt;(3)&lt;/DisplayText&gt;&lt;record&gt;&lt;rec-number&gt;37&lt;/rec-number&gt;&lt;foreign-keys&gt;&lt;key app="EN" db</w:instrText>
      </w:r>
      <w:r>
        <w:rPr>
          <w:rFonts w:cs="Arial"/>
        </w:rPr>
        <w:instrText>-id="dw2zpsea0sr9vme0z05x2aeppwsrp95axfr9" timestamp="1772065719"&gt;37&lt;/key&gt;&lt;/foreign-keys&gt;&lt;ref-type name="Book Section"&gt;5&lt;/ref-type&gt;&lt;contributors&gt;&lt;authors&gt;&lt;author&gt;Sharma, Anubhuti&lt;/author&gt;&lt;author&gt;Garg, Meghna&lt;/author&gt;&lt;author&gt;Sharma, Hariom Kumar&lt;/author&gt;&lt;au</w:instrText>
      </w:r>
      <w:r>
        <w:rPr>
          <w:rFonts w:cs="Arial"/>
        </w:rPr>
        <w:instrText>thor&gt;Rai, PK&lt;/author&gt;&lt;/authors&gt;&lt;/contributors&gt;&lt;titles&gt;&lt;title&gt;Mustard and its products&lt;/title&gt;&lt;secondary-title&gt;Handbook of spices in India: 75 years of research and development&lt;/secondary-title&gt;&lt;/titles&gt;&lt;pages&gt;2385-2451&lt;/pages&gt;&lt;dates&gt;&lt;year&gt;2024&lt;/year&gt;&lt;/date</w:instrText>
      </w:r>
      <w:r>
        <w:rPr>
          <w:rFonts w:cs="Arial"/>
        </w:rPr>
        <w:instrText>s&gt;&lt;publisher&gt;Springer&lt;/publisher&gt;&lt;urls&gt;&lt;/urls&gt;&lt;/record&gt;&lt;/Cite&gt;&lt;/EndNote&gt;</w:instrText>
      </w:r>
      <w:r>
        <w:rPr>
          <w:rFonts w:cs="Arial"/>
        </w:rPr>
        <w:fldChar w:fldCharType="separate"/>
      </w:r>
      <w:r>
        <w:rPr>
          <w:rFonts w:cs="Arial"/>
        </w:rPr>
        <w:t>(3)</w:t>
      </w:r>
      <w:r>
        <w:rPr>
          <w:rFonts w:cs="Arial"/>
        </w:rPr>
        <w:fldChar w:fldCharType="end"/>
      </w:r>
      <w:r>
        <w:rPr>
          <w:rFonts w:cs="Arial"/>
        </w:rPr>
        <w:t xml:space="preserve">. During 2014, India's total mustard production stood at approximately 7.32 million </w:t>
      </w:r>
      <w:proofErr w:type="spellStart"/>
      <w:r>
        <w:rPr>
          <w:rFonts w:cs="Arial"/>
        </w:rPr>
        <w:t>tonnes</w:t>
      </w:r>
      <w:proofErr w:type="spellEnd"/>
      <w:r>
        <w:rPr>
          <w:rFonts w:cs="Arial"/>
        </w:rPr>
        <w:t xml:space="preserve"> over an area of 6.21 million hectares, recording a productivity of 1180 kg ha⁻¹. By the</w:t>
      </w:r>
      <w:r>
        <w:rPr>
          <w:rFonts w:cs="Arial"/>
        </w:rPr>
        <w:t xml:space="preserve"> 2021–22 agricultural year, the total oilseed cultivation area in India expanded to approximately 26.4 million hectares, yielding around 36.7 million </w:t>
      </w:r>
      <w:proofErr w:type="spellStart"/>
      <w:r>
        <w:rPr>
          <w:rFonts w:cs="Arial"/>
        </w:rPr>
        <w:t>tonnes</w:t>
      </w:r>
      <w:proofErr w:type="spellEnd"/>
      <w:r>
        <w:rPr>
          <w:rFonts w:cs="Arial"/>
        </w:rPr>
        <w:t xml:space="preserve"> of oilseeds collectively. Despite these impressive production statistics, mustard productivity rema</w:t>
      </w:r>
      <w:r>
        <w:rPr>
          <w:rFonts w:cs="Arial"/>
        </w:rPr>
        <w:t xml:space="preserve">ins substantially below its potential, primarily due to persistent biotic stresses, of which fungal and oomycete diseases remain the most critical </w:t>
      </w:r>
      <w:r>
        <w:rPr>
          <w:rFonts w:cs="Arial"/>
        </w:rPr>
        <w:fldChar w:fldCharType="begin"/>
      </w:r>
      <w:r>
        <w:rPr>
          <w:rFonts w:cs="Arial"/>
        </w:rPr>
        <w:instrText xml:space="preserve"> ADDIN EN.CITE &lt;EndNote&gt;&lt;Cite&gt;&lt;Author&gt;John&lt;/Author&gt;&lt;Year&gt;2026&lt;/Year&gt;&lt;RecNum&gt;38&lt;/RecNum&gt;&lt;DisplayText&gt;(4)&lt;/Disp</w:instrText>
      </w:r>
      <w:r>
        <w:rPr>
          <w:rFonts w:cs="Arial"/>
        </w:rPr>
        <w:instrText>layText&gt;&lt;record&gt;&lt;rec-number&gt;38&lt;/rec-number&gt;&lt;foreign-keys&gt;&lt;key app="EN" db-id="dw2zpsea0sr9vme0z05x2aeppwsrp95axfr9" timestamp="1772065758"&gt;38&lt;/key&gt;&lt;/foreign-keys&gt;&lt;ref-type name="Book Section"&gt;5&lt;/ref-type&gt;&lt;contributors&gt;&lt;authors&gt;&lt;author&gt;John, Arjumand&lt;/autho</w:instrText>
      </w:r>
      <w:r>
        <w:rPr>
          <w:rFonts w:cs="Arial"/>
        </w:rPr>
        <w:instrText>r&gt;&lt;author&gt;Bhat, Kaisar Ahmad&lt;/author&gt;&lt;author&gt;Riat, Amaninder Kaur&lt;/author&gt;&lt;/authors&gt;&lt;/contributors&gt;&lt;titles&gt;&lt;title&gt;Crop Improvement Approaches for Mitigation of Biotic Stresses in Mustard Crops&lt;/title&gt;&lt;secondary-title&gt;Crop Improvement Strategies in Brassica</w:instrText>
      </w:r>
      <w:r>
        <w:rPr>
          <w:rFonts w:cs="Arial"/>
        </w:rPr>
        <w:instrText xml:space="preserve"> species: Stress Resistance Strategies: Volume 2&lt;/secondary-title&gt;&lt;/titles&gt;&lt;pages&gt;191-213&lt;/pages&gt;&lt;dates&gt;&lt;year&gt;2026&lt;/year&gt;&lt;/dates&gt;&lt;publisher&gt;Springer&lt;/publisher&gt;&lt;urls&gt;&lt;/urls&gt;&lt;/record&gt;&lt;/Cite&gt;&lt;/EndNote&gt;</w:instrText>
      </w:r>
      <w:r>
        <w:rPr>
          <w:rFonts w:cs="Arial"/>
        </w:rPr>
        <w:fldChar w:fldCharType="separate"/>
      </w:r>
      <w:r>
        <w:rPr>
          <w:rFonts w:cs="Arial"/>
        </w:rPr>
        <w:t>(4)</w:t>
      </w:r>
      <w:r>
        <w:rPr>
          <w:rFonts w:cs="Arial"/>
        </w:rPr>
        <w:fldChar w:fldCharType="end"/>
      </w:r>
      <w:r>
        <w:rPr>
          <w:rFonts w:cs="Arial"/>
        </w:rPr>
        <w:t>.</w:t>
      </w:r>
    </w:p>
    <w:p w14:paraId="04771776" w14:textId="77777777" w:rsidR="00D412BB" w:rsidRDefault="00DA3370">
      <w:pPr>
        <w:pStyle w:val="Heading2"/>
        <w:rPr>
          <w:color w:val="auto"/>
          <w:sz w:val="22"/>
          <w:szCs w:val="22"/>
        </w:rPr>
      </w:pPr>
      <w:r>
        <w:rPr>
          <w:color w:val="auto"/>
          <w:sz w:val="22"/>
          <w:szCs w:val="22"/>
        </w:rPr>
        <w:t>1.2 White Rust: A Major Biotic Constraint</w:t>
      </w:r>
    </w:p>
    <w:p w14:paraId="67CBBD7E" w14:textId="77777777" w:rsidR="00D412BB" w:rsidRDefault="00DA3370">
      <w:pPr>
        <w:spacing w:before="100" w:after="160" w:line="360" w:lineRule="auto"/>
        <w:jc w:val="both"/>
        <w:rPr>
          <w:sz w:val="20"/>
          <w:szCs w:val="20"/>
        </w:rPr>
      </w:pPr>
      <w:r>
        <w:rPr>
          <w:rFonts w:cs="Arial"/>
          <w:sz w:val="20"/>
          <w:szCs w:val="20"/>
        </w:rPr>
        <w:t>White r</w:t>
      </w:r>
      <w:r>
        <w:rPr>
          <w:rFonts w:cs="Arial"/>
          <w:sz w:val="20"/>
          <w:szCs w:val="20"/>
        </w:rPr>
        <w:t xml:space="preserve">ust, caused by the obligate oomycete pathogen </w:t>
      </w:r>
      <w:proofErr w:type="spellStart"/>
      <w:r>
        <w:rPr>
          <w:rFonts w:cs="Arial"/>
          <w:i/>
          <w:iCs/>
          <w:sz w:val="20"/>
          <w:szCs w:val="20"/>
        </w:rPr>
        <w:t>Albugo</w:t>
      </w:r>
      <w:proofErr w:type="spellEnd"/>
      <w:r>
        <w:rPr>
          <w:rFonts w:cs="Arial"/>
          <w:i/>
          <w:iCs/>
          <w:sz w:val="20"/>
          <w:szCs w:val="20"/>
        </w:rPr>
        <w:t xml:space="preserve"> candida</w:t>
      </w:r>
      <w:r>
        <w:rPr>
          <w:rFonts w:cs="Arial"/>
          <w:sz w:val="20"/>
          <w:szCs w:val="20"/>
        </w:rPr>
        <w:t xml:space="preserve"> (Pers.) </w:t>
      </w:r>
      <w:proofErr w:type="spellStart"/>
      <w:r>
        <w:rPr>
          <w:rFonts w:cs="Arial"/>
          <w:sz w:val="20"/>
          <w:szCs w:val="20"/>
        </w:rPr>
        <w:t>Kuntze</w:t>
      </w:r>
      <w:proofErr w:type="spellEnd"/>
      <w:r>
        <w:rPr>
          <w:rFonts w:cs="Arial"/>
          <w:sz w:val="20"/>
          <w:szCs w:val="20"/>
        </w:rPr>
        <w:t xml:space="preserve">, is recognized as one of the most destructive diseases affecting the family Brassicaceae, particularly </w:t>
      </w:r>
      <w:r>
        <w:rPr>
          <w:rFonts w:cs="Arial"/>
          <w:i/>
          <w:iCs/>
          <w:sz w:val="20"/>
          <w:szCs w:val="20"/>
        </w:rPr>
        <w:t xml:space="preserve">Brassica </w:t>
      </w:r>
      <w:proofErr w:type="spellStart"/>
      <w:r>
        <w:rPr>
          <w:rFonts w:cs="Arial"/>
          <w:i/>
          <w:iCs/>
          <w:sz w:val="20"/>
          <w:szCs w:val="20"/>
        </w:rPr>
        <w:t>juncea</w:t>
      </w:r>
      <w:proofErr w:type="spellEnd"/>
      <w:r>
        <w:rPr>
          <w:rFonts w:cs="Arial"/>
          <w:sz w:val="20"/>
          <w:szCs w:val="20"/>
        </w:rPr>
        <w:t xml:space="preserve"> in India. The disease manifests as characteristic chalky whit</w:t>
      </w:r>
      <w:r>
        <w:rPr>
          <w:rFonts w:cs="Arial"/>
          <w:sz w:val="20"/>
          <w:szCs w:val="20"/>
        </w:rPr>
        <w:t>e pustules (</w:t>
      </w:r>
      <w:proofErr w:type="spellStart"/>
      <w:r>
        <w:rPr>
          <w:rFonts w:cs="Arial"/>
          <w:sz w:val="20"/>
          <w:szCs w:val="20"/>
        </w:rPr>
        <w:t>sori</w:t>
      </w:r>
      <w:proofErr w:type="spellEnd"/>
      <w:r>
        <w:rPr>
          <w:rFonts w:cs="Arial"/>
          <w:sz w:val="20"/>
          <w:szCs w:val="20"/>
        </w:rPr>
        <w:t>) on the undersurface of leaves, stems, and floral organs. Systemic infection results in distorted floral parts, a condition popularly known as '</w:t>
      </w:r>
      <w:proofErr w:type="spellStart"/>
      <w:r>
        <w:rPr>
          <w:rFonts w:cs="Arial"/>
          <w:sz w:val="20"/>
          <w:szCs w:val="20"/>
        </w:rPr>
        <w:t>staghead</w:t>
      </w:r>
      <w:proofErr w:type="spellEnd"/>
      <w:r>
        <w:rPr>
          <w:rFonts w:cs="Arial"/>
          <w:sz w:val="20"/>
          <w:szCs w:val="20"/>
        </w:rPr>
        <w:t xml:space="preserve">' or 'white rust </w:t>
      </w:r>
      <w:proofErr w:type="spellStart"/>
      <w:r>
        <w:rPr>
          <w:rFonts w:cs="Arial"/>
          <w:sz w:val="20"/>
          <w:szCs w:val="20"/>
        </w:rPr>
        <w:t>staghead</w:t>
      </w:r>
      <w:proofErr w:type="spellEnd"/>
      <w:r>
        <w:rPr>
          <w:rFonts w:cs="Arial"/>
          <w:sz w:val="20"/>
          <w:szCs w:val="20"/>
        </w:rPr>
        <w:t>' a particularly damaging phenomenon that directly affects rep</w:t>
      </w:r>
      <w:r>
        <w:rPr>
          <w:rFonts w:cs="Arial"/>
          <w:sz w:val="20"/>
          <w:szCs w:val="20"/>
        </w:rPr>
        <w:t xml:space="preserve">roductive structures and leads to drastically impaired seed set </w:t>
      </w:r>
      <w:r>
        <w:rPr>
          <w:rFonts w:cs="Arial"/>
          <w:sz w:val="20"/>
          <w:szCs w:val="20"/>
        </w:rPr>
        <w:fldChar w:fldCharType="begin"/>
      </w:r>
      <w:r>
        <w:rPr>
          <w:rFonts w:cs="Arial"/>
          <w:sz w:val="20"/>
          <w:szCs w:val="20"/>
        </w:rPr>
        <w:instrText xml:space="preserve"> ADDIN EN.CITE &lt;EndNote&gt;&lt;Cite&gt;&lt;Author&gt;Dev&lt;/Author&gt;&lt;Year&gt;2020&lt;/Year&gt;&lt;RecNum&gt;39&lt;/RecNum&gt;&lt;DisplayText&gt;(5)&lt;/DisplayText&gt;&lt;record&gt;&lt;rec-number&gt;39&lt;/rec-number&gt;&lt;foreign-keys&gt;&lt;key app="EN" db-id="dw2zps</w:instrText>
      </w:r>
      <w:r>
        <w:rPr>
          <w:rFonts w:cs="Arial"/>
          <w:sz w:val="20"/>
          <w:szCs w:val="20"/>
        </w:rPr>
        <w:instrText>ea0sr9vme0z05x2aeppwsrp95axfr9" timestamp="1772065799"&gt;39&lt;/key&gt;&lt;/foreign-keys&gt;&lt;ref-type name="Journal Article"&gt;17&lt;/ref-type&gt;&lt;contributors&gt;&lt;authors&gt;&lt;author&gt;Dev, Devanshu&lt;/author&gt;&lt;author&gt;Tewari, AK&lt;/author&gt;&lt;author&gt;Upadhyay, Pooja&lt;/author&gt;&lt;author&gt;Daniel, GR&lt;/</w:instrText>
      </w:r>
      <w:r>
        <w:rPr>
          <w:rFonts w:cs="Arial"/>
          <w:sz w:val="20"/>
          <w:szCs w:val="20"/>
        </w:rPr>
        <w:instrText>author&gt;&lt;/authors&gt;&lt;/contributors&gt;&lt;titles&gt;&lt;title&gt;Identification and nomenclature of Albugo candida pathotypes of Indian origin causing white rust disease of rapeseed-mustard&lt;/title&gt;&lt;secondary-title&gt;European Journal of Plant Pathology&lt;/secondary-title&gt;&lt;/title</w:instrText>
      </w:r>
      <w:r>
        <w:rPr>
          <w:rFonts w:cs="Arial"/>
          <w:sz w:val="20"/>
          <w:szCs w:val="20"/>
        </w:rPr>
        <w:instrText>s&gt;&lt;periodical&gt;&lt;full-title&gt;European Journal of Plant Pathology&lt;/full-title&gt;&lt;/periodical&gt;&lt;pages&gt;987-1004&lt;/pages&gt;&lt;volume&gt;158&lt;/volume&gt;&lt;number&gt;4&lt;/number&gt;&lt;dates&gt;&lt;year&gt;2020&lt;/year&gt;&lt;/dates&gt;&lt;isbn&gt;0929-1873&lt;/isbn&gt;&lt;urls&gt;&lt;/urls&gt;&lt;/record&gt;&lt;/Cite&gt;&lt;/EndNote&gt;</w:instrText>
      </w:r>
      <w:r>
        <w:rPr>
          <w:rFonts w:cs="Arial"/>
          <w:sz w:val="20"/>
          <w:szCs w:val="20"/>
        </w:rPr>
        <w:fldChar w:fldCharType="separate"/>
      </w:r>
      <w:r>
        <w:rPr>
          <w:rFonts w:cs="Arial"/>
          <w:sz w:val="20"/>
          <w:szCs w:val="20"/>
        </w:rPr>
        <w:t>(5)</w:t>
      </w:r>
      <w:r>
        <w:rPr>
          <w:rFonts w:cs="Arial"/>
          <w:sz w:val="20"/>
          <w:szCs w:val="20"/>
        </w:rPr>
        <w:fldChar w:fldCharType="end"/>
      </w:r>
      <w:r>
        <w:rPr>
          <w:rFonts w:cs="Arial"/>
          <w:sz w:val="20"/>
          <w:szCs w:val="20"/>
        </w:rPr>
        <w:t>.</w:t>
      </w:r>
    </w:p>
    <w:p w14:paraId="0E316A63" w14:textId="77777777" w:rsidR="00D412BB" w:rsidRDefault="00DA3370">
      <w:pPr>
        <w:spacing w:before="100" w:after="160" w:line="360" w:lineRule="auto"/>
        <w:jc w:val="both"/>
        <w:rPr>
          <w:sz w:val="20"/>
          <w:szCs w:val="20"/>
        </w:rPr>
      </w:pPr>
      <w:r>
        <w:rPr>
          <w:rFonts w:cs="Arial"/>
          <w:sz w:val="20"/>
          <w:szCs w:val="20"/>
        </w:rPr>
        <w:t>Under conducive environmental conditions specifically temperature ranges of 10–18°C, relative humidity above 85%, and the presence of free moisture on plant surfaces the disease can cause yield losses ranging from 17–34%, and in extreme epidemic years, los</w:t>
      </w:r>
      <w:r>
        <w:rPr>
          <w:rFonts w:cs="Arial"/>
          <w:sz w:val="20"/>
          <w:szCs w:val="20"/>
        </w:rPr>
        <w:t xml:space="preserve">ses may approach 70–80% in highly susceptible varieties (Yadav and Gupta, 2011; Verma and Petrie, 1980) </w:t>
      </w:r>
      <w:r>
        <w:rPr>
          <w:rFonts w:cs="Arial"/>
          <w:sz w:val="20"/>
          <w:szCs w:val="20"/>
        </w:rPr>
        <w:fldChar w:fldCharType="begin"/>
      </w:r>
      <w:r>
        <w:rPr>
          <w:rFonts w:cs="Arial"/>
          <w:sz w:val="20"/>
          <w:szCs w:val="20"/>
        </w:rPr>
        <w:instrText xml:space="preserve"> ADDIN EN.CITE &lt;EndNote&gt;&lt;Cite&gt;&lt;Author&gt;Priya&lt;/Author&gt;&lt;Year&gt;2024&lt;/Year&gt;&lt;RecNum&gt;40&lt;/RecNum&gt;&lt;DisplayText&gt;(6)&lt;/DisplayText&gt;&lt;record&gt;&lt;rec-number&gt;40&lt;/rec-number</w:instrText>
      </w:r>
      <w:r>
        <w:rPr>
          <w:rFonts w:cs="Arial"/>
          <w:sz w:val="20"/>
          <w:szCs w:val="20"/>
        </w:rPr>
        <w:instrText>&gt;&lt;foreign-keys&gt;&lt;key app="EN" db-id="dw2zpsea0sr9vme0z05x2aeppwsrp95axfr9" timestamp="1772065841"&gt;40&lt;/key&gt;&lt;/foreign-keys&gt;&lt;ref-type name="Book Section"&gt;5&lt;/ref-type&gt;&lt;contributors&gt;&lt;authors&gt;&lt;author&gt;Priya, R Sathya&lt;/author&gt;&lt;author&gt;Yuvaraj, M&lt;/author&gt;&lt;author&gt;Shar</w:instrText>
      </w:r>
      <w:r>
        <w:rPr>
          <w:rFonts w:cs="Arial"/>
          <w:sz w:val="20"/>
          <w:szCs w:val="20"/>
        </w:rPr>
        <w:instrText>mila, R&lt;/author&gt;&lt;author&gt;Jagathjothi, N&lt;/author&gt;&lt;author&gt;Saranya, M&lt;/author&gt;&lt;author&gt;Suganthi, N&lt;/author&gt;&lt;author&gt;Subramanian, KS&lt;/author&gt;&lt;author&gt;Deivamani, M&lt;/author&gt;&lt;author&gt;Cyriac, Jaiby&lt;/author&gt;&lt;author&gt;Arthanari, P Murali&lt;/author&gt;&lt;/authors&gt;&lt;/contributors&gt;&lt;t</w:instrText>
      </w:r>
      <w:r>
        <w:rPr>
          <w:rFonts w:cs="Arial"/>
          <w:sz w:val="20"/>
          <w:szCs w:val="20"/>
        </w:rPr>
        <w:instrText>itles&gt;&lt;title&gt;Effects of climate change on plant diseases&lt;/title&gt;&lt;secondary-title&gt;Plant quarantine challenges under climate change anxiety&lt;/secondary-title&gt;&lt;/titles&gt;&lt;pages&gt;183-225&lt;/pages&gt;&lt;dates&gt;&lt;year&gt;2024&lt;/year&gt;&lt;/dates&gt;&lt;publisher&gt;Springer&lt;/publisher&gt;&lt;urls&gt;&lt;</w:instrText>
      </w:r>
      <w:r>
        <w:rPr>
          <w:rFonts w:cs="Arial"/>
          <w:sz w:val="20"/>
          <w:szCs w:val="20"/>
        </w:rPr>
        <w:instrText>/urls&gt;&lt;/record&gt;&lt;/Cite&gt;&lt;/EndNote&gt;</w:instrText>
      </w:r>
      <w:r>
        <w:rPr>
          <w:rFonts w:cs="Arial"/>
          <w:sz w:val="20"/>
          <w:szCs w:val="20"/>
        </w:rPr>
        <w:fldChar w:fldCharType="separate"/>
      </w:r>
      <w:r>
        <w:rPr>
          <w:rFonts w:cs="Arial"/>
          <w:sz w:val="20"/>
          <w:szCs w:val="20"/>
        </w:rPr>
        <w:t>(6)</w:t>
      </w:r>
      <w:r>
        <w:rPr>
          <w:rFonts w:cs="Arial"/>
          <w:sz w:val="20"/>
          <w:szCs w:val="20"/>
        </w:rPr>
        <w:fldChar w:fldCharType="end"/>
      </w:r>
      <w:r>
        <w:rPr>
          <w:rFonts w:cs="Arial"/>
          <w:sz w:val="20"/>
          <w:szCs w:val="20"/>
        </w:rPr>
        <w:t xml:space="preserve">. The pathogen overwinters as oospores in soil and plant debris and can spread rapidly via airborne sporangia during the crop growth period, making early management interventions critically important </w:t>
      </w:r>
      <w:r>
        <w:rPr>
          <w:rFonts w:cs="Arial"/>
          <w:sz w:val="20"/>
          <w:szCs w:val="20"/>
        </w:rPr>
        <w:fldChar w:fldCharType="begin"/>
      </w:r>
      <w:r>
        <w:rPr>
          <w:rFonts w:cs="Arial"/>
          <w:sz w:val="20"/>
          <w:szCs w:val="20"/>
        </w:rPr>
        <w:instrText xml:space="preserve"> ADDIN EN.CITE &lt;En</w:instrText>
      </w:r>
      <w:r>
        <w:rPr>
          <w:rFonts w:cs="Arial"/>
          <w:sz w:val="20"/>
          <w:szCs w:val="20"/>
        </w:rPr>
        <w:instrText>dNote&gt;&lt;Cite&gt;&lt;Author&gt;Lavanya&lt;/Author&gt;&lt;Year&gt;2025&lt;/Year&gt;&lt;RecNum&gt;41&lt;/RecNum&gt;&lt;DisplayText&gt;(7)&lt;/DisplayText&gt;&lt;record&gt;&lt;rec-number&gt;41&lt;/rec-number&gt;&lt;foreign-keys&gt;&lt;key app="EN" db-id="dw2zpsea0sr9vme0z05x2aeppwsrp95axfr9" timestamp="1772065875"&gt;41&lt;/key&gt;&lt;/foreign-keys&gt;</w:instrText>
      </w:r>
      <w:r>
        <w:rPr>
          <w:rFonts w:cs="Arial"/>
          <w:sz w:val="20"/>
          <w:szCs w:val="20"/>
        </w:rPr>
        <w:instrText>&lt;ref-type name="Journal Article"&gt;17&lt;/ref-type&gt;&lt;contributors&gt;&lt;authors&gt;&lt;author&gt;Lavanya, N&lt;/author&gt;&lt;/authors&gt;&lt;/contributors&gt;&lt;titles&gt;&lt;title&gt;Fungal plant pathogens&lt;/title&gt;&lt;secondary-title&gt;Plant Health and Disease Management: A Modern Approach&lt;/secondary-title&gt;&lt;</w:instrText>
      </w:r>
      <w:r>
        <w:rPr>
          <w:rFonts w:cs="Arial"/>
          <w:sz w:val="20"/>
          <w:szCs w:val="20"/>
        </w:rPr>
        <w:instrText>/titles&gt;&lt;periodical&gt;&lt;full-title&gt;Plant Health and Disease Management: A Modern Approach&lt;/full-title&gt;&lt;/periodical&gt;&lt;volume&gt;24&lt;/volume&gt;&lt;dates&gt;&lt;year&gt;2025&lt;/year&gt;&lt;/dates&gt;&lt;urls&gt;&lt;/urls&gt;&lt;/record&gt;&lt;/Cite&gt;&lt;/EndNote&gt;</w:instrText>
      </w:r>
      <w:r>
        <w:rPr>
          <w:rFonts w:cs="Arial"/>
          <w:sz w:val="20"/>
          <w:szCs w:val="20"/>
        </w:rPr>
        <w:fldChar w:fldCharType="separate"/>
      </w:r>
      <w:r>
        <w:rPr>
          <w:rFonts w:cs="Arial"/>
          <w:sz w:val="20"/>
          <w:szCs w:val="20"/>
        </w:rPr>
        <w:t>(7)</w:t>
      </w:r>
      <w:r>
        <w:rPr>
          <w:rFonts w:cs="Arial"/>
          <w:sz w:val="20"/>
          <w:szCs w:val="20"/>
        </w:rPr>
        <w:fldChar w:fldCharType="end"/>
      </w:r>
      <w:r>
        <w:rPr>
          <w:rFonts w:cs="Arial"/>
          <w:sz w:val="20"/>
          <w:szCs w:val="20"/>
        </w:rPr>
        <w:t>.</w:t>
      </w:r>
    </w:p>
    <w:p w14:paraId="18CB02C0" w14:textId="77777777" w:rsidR="00D412BB" w:rsidRDefault="00DA3370">
      <w:pPr>
        <w:pStyle w:val="Heading2"/>
        <w:rPr>
          <w:color w:val="auto"/>
          <w:sz w:val="22"/>
          <w:szCs w:val="22"/>
        </w:rPr>
      </w:pPr>
      <w:r>
        <w:rPr>
          <w:color w:val="auto"/>
          <w:sz w:val="22"/>
          <w:szCs w:val="22"/>
        </w:rPr>
        <w:t>1.3 Current Management Strategies and Their Li</w:t>
      </w:r>
      <w:r>
        <w:rPr>
          <w:color w:val="auto"/>
          <w:sz w:val="22"/>
          <w:szCs w:val="22"/>
        </w:rPr>
        <w:t>mitations</w:t>
      </w:r>
    </w:p>
    <w:p w14:paraId="3F354EBA" w14:textId="77777777" w:rsidR="00D412BB" w:rsidRDefault="00DA3370">
      <w:pPr>
        <w:spacing w:before="100" w:after="160" w:line="360" w:lineRule="auto"/>
        <w:jc w:val="both"/>
        <w:rPr>
          <w:sz w:val="20"/>
          <w:szCs w:val="20"/>
        </w:rPr>
      </w:pPr>
      <w:r>
        <w:rPr>
          <w:rFonts w:cs="Arial"/>
          <w:sz w:val="20"/>
          <w:szCs w:val="20"/>
        </w:rPr>
        <w:t xml:space="preserve">The management of white rust in India has historically relied on the application of protectant and systemic fungicides, including </w:t>
      </w:r>
      <w:proofErr w:type="spellStart"/>
      <w:r>
        <w:rPr>
          <w:rFonts w:cs="Arial"/>
          <w:sz w:val="20"/>
          <w:szCs w:val="20"/>
        </w:rPr>
        <w:t>Metalaxyl</w:t>
      </w:r>
      <w:proofErr w:type="spellEnd"/>
      <w:r>
        <w:rPr>
          <w:rFonts w:cs="Arial"/>
          <w:sz w:val="20"/>
          <w:szCs w:val="20"/>
        </w:rPr>
        <w:t xml:space="preserve">, </w:t>
      </w:r>
      <w:proofErr w:type="spellStart"/>
      <w:r>
        <w:rPr>
          <w:rFonts w:cs="Arial"/>
          <w:sz w:val="20"/>
          <w:szCs w:val="20"/>
        </w:rPr>
        <w:t>Ridomil</w:t>
      </w:r>
      <w:proofErr w:type="spellEnd"/>
      <w:r>
        <w:rPr>
          <w:rFonts w:cs="Arial"/>
          <w:sz w:val="20"/>
          <w:szCs w:val="20"/>
        </w:rPr>
        <w:t xml:space="preserve"> (</w:t>
      </w:r>
      <w:proofErr w:type="spellStart"/>
      <w:r>
        <w:rPr>
          <w:rFonts w:cs="Arial"/>
          <w:sz w:val="20"/>
          <w:szCs w:val="20"/>
        </w:rPr>
        <w:t>Metalaxyl</w:t>
      </w:r>
      <w:proofErr w:type="spellEnd"/>
      <w:r>
        <w:rPr>
          <w:rFonts w:cs="Arial"/>
          <w:sz w:val="20"/>
          <w:szCs w:val="20"/>
        </w:rPr>
        <w:t xml:space="preserve"> + Mancozeb), and Mancozeb 75% WP. While chemical management has provided effective </w:t>
      </w:r>
      <w:r>
        <w:rPr>
          <w:rFonts w:cs="Arial"/>
          <w:sz w:val="20"/>
          <w:szCs w:val="20"/>
        </w:rPr>
        <w:t xml:space="preserve">short-term control, concerns over fungicide resistance development in </w:t>
      </w:r>
      <w:proofErr w:type="spellStart"/>
      <w:r>
        <w:rPr>
          <w:rFonts w:cs="Arial"/>
          <w:sz w:val="20"/>
          <w:szCs w:val="20"/>
        </w:rPr>
        <w:t>Albugo</w:t>
      </w:r>
      <w:proofErr w:type="spellEnd"/>
      <w:r>
        <w:rPr>
          <w:rFonts w:cs="Arial"/>
          <w:sz w:val="20"/>
          <w:szCs w:val="20"/>
        </w:rPr>
        <w:t xml:space="preserve"> candida populations, environmental contamination, residue accumulation in food products, and </w:t>
      </w:r>
      <w:r>
        <w:rPr>
          <w:rFonts w:cs="Arial"/>
          <w:sz w:val="20"/>
          <w:szCs w:val="20"/>
        </w:rPr>
        <w:lastRenderedPageBreak/>
        <w:t>negative impacts on beneficial soil microbiota have necessitated the exploration of al</w:t>
      </w:r>
      <w:r>
        <w:rPr>
          <w:rFonts w:cs="Arial"/>
          <w:sz w:val="20"/>
          <w:szCs w:val="20"/>
        </w:rPr>
        <w:t>ternative, sustainable management strategies.</w:t>
      </w:r>
    </w:p>
    <w:p w14:paraId="7B19FA47" w14:textId="77777777" w:rsidR="00D412BB" w:rsidRDefault="00DA3370">
      <w:pPr>
        <w:spacing w:before="100" w:after="160" w:line="360" w:lineRule="auto"/>
        <w:jc w:val="both"/>
        <w:rPr>
          <w:sz w:val="20"/>
          <w:szCs w:val="20"/>
        </w:rPr>
      </w:pPr>
      <w:r>
        <w:rPr>
          <w:rFonts w:cs="Arial"/>
          <w:sz w:val="20"/>
          <w:szCs w:val="20"/>
        </w:rPr>
        <w:t>Integrated disease management (IDM) approaches that combine biocontrol agents, resistance-inducing compounds, cultural practices, and judicious use of chemicals represent the most viable long-term solution. Bio</w:t>
      </w:r>
      <w:r>
        <w:rPr>
          <w:rFonts w:cs="Arial"/>
          <w:sz w:val="20"/>
          <w:szCs w:val="20"/>
        </w:rPr>
        <w:t xml:space="preserve">logical control using antagonistic microorganisms, particularly </w:t>
      </w:r>
      <w:r>
        <w:rPr>
          <w:rFonts w:cs="Arial"/>
          <w:i/>
          <w:iCs/>
          <w:sz w:val="20"/>
          <w:szCs w:val="20"/>
        </w:rPr>
        <w:t xml:space="preserve">Trichoderma </w:t>
      </w:r>
      <w:r>
        <w:rPr>
          <w:rFonts w:cs="Arial"/>
          <w:sz w:val="20"/>
          <w:szCs w:val="20"/>
        </w:rPr>
        <w:t>species and plant growth-promoting rhizobacteria (PGPR) like Pseudomonas fluorescens, has emerged as a promising, eco-friendly component of IDM. These biocontrol agents are known t</w:t>
      </w:r>
      <w:r>
        <w:rPr>
          <w:rFonts w:cs="Arial"/>
          <w:sz w:val="20"/>
          <w:szCs w:val="20"/>
        </w:rPr>
        <w:t xml:space="preserve">o suppress plant pathogens through multiple mechanisms including mycoparasitism, antibiosis, competition for nutrients and space, and induction of systemic resistance in host plants </w:t>
      </w:r>
      <w:r>
        <w:rPr>
          <w:rFonts w:cs="Arial"/>
          <w:sz w:val="20"/>
          <w:szCs w:val="20"/>
        </w:rPr>
        <w:fldChar w:fldCharType="begin"/>
      </w:r>
      <w:r>
        <w:rPr>
          <w:rFonts w:cs="Arial"/>
          <w:sz w:val="20"/>
          <w:szCs w:val="20"/>
        </w:rPr>
        <w:instrText xml:space="preserve"> ADDIN EN.CITE &lt;EndNote&gt;&lt;Cite&gt;&lt;Author&gt;Sushma&lt;/Author&gt;&lt;RecNum&gt;42&lt;/RecNum&gt;&lt;D</w:instrText>
      </w:r>
      <w:r>
        <w:rPr>
          <w:rFonts w:cs="Arial"/>
          <w:sz w:val="20"/>
          <w:szCs w:val="20"/>
        </w:rPr>
        <w:instrText>isplayText&gt;(8)&lt;/DisplayText&gt;&lt;record&gt;&lt;rec-number&gt;42&lt;/rec-number&gt;&lt;foreign-keys&gt;&lt;key app="EN" db-id="dw2zpsea0sr9vme0z05x2aeppwsrp95axfr9" timestamp="1772065917"&gt;42&lt;/key&gt;&lt;/foreign-keys&gt;&lt;ref-type name="Journal Article"&gt;17&lt;/ref-type&gt;&lt;contributors&gt;&lt;authors&gt;&lt;auth</w:instrText>
      </w:r>
      <w:r>
        <w:rPr>
          <w:rFonts w:cs="Arial"/>
          <w:sz w:val="20"/>
          <w:szCs w:val="20"/>
        </w:rPr>
        <w:instrText>or&gt;Sushma, Lagudu&lt;/author&gt;&lt;author&gt;Ray, Malini&lt;/author&gt;&lt;author&gt;Choudhary, Sneha&lt;/author&gt;&lt;/authors&gt;&lt;/contributors&gt;&lt;titles&gt;&lt;title&gt;Diseases of Anthracnose and their Management&lt;/title&gt;&lt;secondary-title&gt;Understanding Plant Pathology Through Symptoms&lt;/secondary-ti</w:instrText>
      </w:r>
      <w:r>
        <w:rPr>
          <w:rFonts w:cs="Arial"/>
          <w:sz w:val="20"/>
          <w:szCs w:val="20"/>
        </w:rPr>
        <w:instrText>tle&gt;&lt;/titles&gt;&lt;periodical&gt;&lt;full-title&gt;Understanding Plant Pathology Through Symptoms&lt;/full-title&gt;&lt;/periodical&gt;&lt;pages&gt;25&lt;/pages&gt;&lt;dates&gt;&lt;/dates&gt;&lt;urls&gt;&lt;/urls&gt;&lt;/record&gt;&lt;/Cite&gt;&lt;/EndNote&gt;</w:instrText>
      </w:r>
      <w:r>
        <w:rPr>
          <w:rFonts w:cs="Arial"/>
          <w:sz w:val="20"/>
          <w:szCs w:val="20"/>
        </w:rPr>
        <w:fldChar w:fldCharType="separate"/>
      </w:r>
      <w:r>
        <w:rPr>
          <w:rFonts w:cs="Arial"/>
          <w:sz w:val="20"/>
          <w:szCs w:val="20"/>
        </w:rPr>
        <w:t>(8)</w:t>
      </w:r>
      <w:r>
        <w:rPr>
          <w:rFonts w:cs="Arial"/>
          <w:sz w:val="20"/>
          <w:szCs w:val="20"/>
        </w:rPr>
        <w:fldChar w:fldCharType="end"/>
      </w:r>
      <w:r>
        <w:rPr>
          <w:rFonts w:cs="Arial"/>
          <w:sz w:val="20"/>
          <w:szCs w:val="20"/>
        </w:rPr>
        <w:t>.</w:t>
      </w:r>
    </w:p>
    <w:p w14:paraId="2EA3654A" w14:textId="77777777" w:rsidR="00D412BB" w:rsidRDefault="00DA3370">
      <w:pPr>
        <w:pStyle w:val="Heading2"/>
        <w:rPr>
          <w:color w:val="auto"/>
          <w:sz w:val="22"/>
          <w:szCs w:val="22"/>
        </w:rPr>
      </w:pPr>
      <w:r>
        <w:rPr>
          <w:color w:val="auto"/>
          <w:sz w:val="22"/>
          <w:szCs w:val="22"/>
        </w:rPr>
        <w:t>1.4 Objectives of the Study</w:t>
      </w:r>
    </w:p>
    <w:p w14:paraId="4D718626" w14:textId="77777777" w:rsidR="00D412BB" w:rsidRDefault="00DA3370">
      <w:pPr>
        <w:spacing w:before="100" w:after="160" w:line="360" w:lineRule="auto"/>
        <w:jc w:val="both"/>
        <w:rPr>
          <w:sz w:val="20"/>
          <w:szCs w:val="20"/>
        </w:rPr>
      </w:pPr>
      <w:r>
        <w:rPr>
          <w:rFonts w:cs="Arial"/>
          <w:sz w:val="20"/>
          <w:szCs w:val="20"/>
        </w:rPr>
        <w:t>The present study was undertaken with th</w:t>
      </w:r>
      <w:r>
        <w:rPr>
          <w:rFonts w:cs="Arial"/>
          <w:sz w:val="20"/>
          <w:szCs w:val="20"/>
        </w:rPr>
        <w:t xml:space="preserve">e following specific objectives: (1) to evaluate the individual and combined efficacy of </w:t>
      </w:r>
      <w:r>
        <w:rPr>
          <w:rFonts w:cs="Arial"/>
          <w:i/>
          <w:iCs/>
          <w:sz w:val="20"/>
          <w:szCs w:val="20"/>
        </w:rPr>
        <w:t xml:space="preserve">Trichoderma </w:t>
      </w:r>
      <w:proofErr w:type="spellStart"/>
      <w:r>
        <w:rPr>
          <w:rFonts w:cs="Arial"/>
          <w:i/>
          <w:iCs/>
          <w:sz w:val="20"/>
          <w:szCs w:val="20"/>
        </w:rPr>
        <w:t>viride</w:t>
      </w:r>
      <w:proofErr w:type="spellEnd"/>
      <w:r>
        <w:rPr>
          <w:rFonts w:cs="Arial"/>
          <w:sz w:val="20"/>
          <w:szCs w:val="20"/>
        </w:rPr>
        <w:t xml:space="preserve"> and </w:t>
      </w:r>
      <w:r>
        <w:rPr>
          <w:rFonts w:cs="Arial"/>
          <w:i/>
          <w:iCs/>
          <w:sz w:val="20"/>
          <w:szCs w:val="20"/>
        </w:rPr>
        <w:t>Pseudomonas fluorescens</w:t>
      </w:r>
      <w:r>
        <w:rPr>
          <w:rFonts w:cs="Arial"/>
          <w:sz w:val="20"/>
          <w:szCs w:val="20"/>
        </w:rPr>
        <w:t xml:space="preserve"> against white rust of Indian mustard under Gwalior field conditions; (2) to assess the potential of botanicals and resis</w:t>
      </w:r>
      <w:r>
        <w:rPr>
          <w:rFonts w:cs="Arial"/>
          <w:sz w:val="20"/>
          <w:szCs w:val="20"/>
        </w:rPr>
        <w:t>tance inducers (garlic extract and salicylic acid) as components of white rust management; (3) to compare the performance of biocontrol agents with a standard fungicide treatment; and (4) to analyze regional disease severity patterns across major mustard-g</w:t>
      </w:r>
      <w:r>
        <w:rPr>
          <w:rFonts w:cs="Arial"/>
          <w:sz w:val="20"/>
          <w:szCs w:val="20"/>
        </w:rPr>
        <w:t>rowing zones of India to understand the epidemiological factors influencing disease expression.</w:t>
      </w:r>
    </w:p>
    <w:p w14:paraId="4940E45D" w14:textId="77777777" w:rsidR="00D412BB" w:rsidRDefault="00DA3370">
      <w:pPr>
        <w:pStyle w:val="Heading1"/>
        <w:rPr>
          <w:color w:val="000000" w:themeColor="text1"/>
          <w:sz w:val="22"/>
          <w:szCs w:val="22"/>
        </w:rPr>
      </w:pPr>
      <w:r>
        <w:rPr>
          <w:color w:val="000000" w:themeColor="text1"/>
          <w:sz w:val="22"/>
          <w:szCs w:val="22"/>
        </w:rPr>
        <w:t>2. Review of Literature</w:t>
      </w:r>
    </w:p>
    <w:p w14:paraId="5985A198" w14:textId="77777777" w:rsidR="00D412BB" w:rsidRDefault="00DA3370">
      <w:pPr>
        <w:pStyle w:val="Heading2"/>
        <w:rPr>
          <w:color w:val="000000" w:themeColor="text1"/>
          <w:sz w:val="22"/>
          <w:szCs w:val="22"/>
        </w:rPr>
      </w:pPr>
      <w:r>
        <w:rPr>
          <w:color w:val="000000" w:themeColor="text1"/>
          <w:sz w:val="22"/>
          <w:szCs w:val="22"/>
        </w:rPr>
        <w:t>2.1 White Rust Epidemiology and Disease Cycle</w:t>
      </w:r>
    </w:p>
    <w:p w14:paraId="76952DF1" w14:textId="77777777" w:rsidR="00D412BB" w:rsidRDefault="00DA3370">
      <w:pPr>
        <w:spacing w:before="100" w:after="160" w:line="360" w:lineRule="auto"/>
        <w:jc w:val="both"/>
        <w:rPr>
          <w:sz w:val="20"/>
          <w:szCs w:val="20"/>
        </w:rPr>
      </w:pPr>
      <w:r>
        <w:rPr>
          <w:rFonts w:cs="Arial"/>
          <w:sz w:val="20"/>
          <w:szCs w:val="20"/>
        </w:rPr>
        <w:t xml:space="preserve">The biology and epidemiology of </w:t>
      </w:r>
      <w:proofErr w:type="spellStart"/>
      <w:r>
        <w:rPr>
          <w:rFonts w:cs="Arial"/>
          <w:i/>
          <w:iCs/>
          <w:sz w:val="20"/>
          <w:szCs w:val="20"/>
        </w:rPr>
        <w:t>Albugo</w:t>
      </w:r>
      <w:proofErr w:type="spellEnd"/>
      <w:r>
        <w:rPr>
          <w:rFonts w:cs="Arial"/>
          <w:i/>
          <w:iCs/>
          <w:sz w:val="20"/>
          <w:szCs w:val="20"/>
        </w:rPr>
        <w:t xml:space="preserve"> candida</w:t>
      </w:r>
      <w:r>
        <w:rPr>
          <w:rFonts w:cs="Arial"/>
          <w:sz w:val="20"/>
          <w:szCs w:val="20"/>
        </w:rPr>
        <w:t xml:space="preserve"> have been extensively studied. The pathogen</w:t>
      </w:r>
      <w:r>
        <w:rPr>
          <w:rFonts w:cs="Arial"/>
          <w:sz w:val="20"/>
          <w:szCs w:val="20"/>
        </w:rPr>
        <w:t xml:space="preserve"> belongs to the class Oomycetes, which, despite their superficial similarity to true fungi, are phylogenetically closer to </w:t>
      </w:r>
      <w:proofErr w:type="spellStart"/>
      <w:r>
        <w:rPr>
          <w:rFonts w:cs="Arial"/>
          <w:sz w:val="20"/>
          <w:szCs w:val="20"/>
        </w:rPr>
        <w:t>chromalveolate</w:t>
      </w:r>
      <w:proofErr w:type="spellEnd"/>
      <w:r>
        <w:rPr>
          <w:rFonts w:cs="Arial"/>
          <w:sz w:val="20"/>
          <w:szCs w:val="20"/>
        </w:rPr>
        <w:t xml:space="preserve"> organisms such as diatoms and brown algae. The disease cycle begins with the germination of oospores or sporangia on s</w:t>
      </w:r>
      <w:r>
        <w:rPr>
          <w:rFonts w:cs="Arial"/>
          <w:sz w:val="20"/>
          <w:szCs w:val="20"/>
        </w:rPr>
        <w:t xml:space="preserve">usceptible host tissue under conditions of high humidity and moderate temperature. Sporangiophores emerge through stomata, and sporangia are released that can germinate directly or produce zoospores, which are actively motile and capable of initiating new </w:t>
      </w:r>
      <w:r>
        <w:rPr>
          <w:rFonts w:cs="Arial"/>
          <w:sz w:val="20"/>
          <w:szCs w:val="20"/>
        </w:rPr>
        <w:t>infections rapidly.</w:t>
      </w:r>
    </w:p>
    <w:p w14:paraId="54105BB4" w14:textId="77777777" w:rsidR="00D412BB" w:rsidRDefault="00DA3370">
      <w:pPr>
        <w:spacing w:before="100" w:after="160" w:line="360" w:lineRule="auto"/>
        <w:jc w:val="both"/>
        <w:rPr>
          <w:sz w:val="20"/>
          <w:szCs w:val="20"/>
        </w:rPr>
      </w:pPr>
      <w:r>
        <w:rPr>
          <w:rFonts w:cs="Arial"/>
          <w:sz w:val="20"/>
          <w:szCs w:val="20"/>
        </w:rPr>
        <w:t>The disease progression follows a polycyclic pattern multiple infection cycles occur within a single cropping season which enables rapid epidemic development under favorable conditions. Environmental parameters including temperature (10</w:t>
      </w:r>
      <w:r>
        <w:rPr>
          <w:rFonts w:cs="Arial"/>
          <w:sz w:val="20"/>
          <w:szCs w:val="20"/>
        </w:rPr>
        <w:t xml:space="preserve">–18°C optimal), relative humidity (&gt;80%), leaf wetness duration, and dew formation critically govern infection efficiency and disease progress rates </w:t>
      </w:r>
      <w:r>
        <w:rPr>
          <w:rFonts w:cs="Arial"/>
          <w:sz w:val="20"/>
          <w:szCs w:val="20"/>
        </w:rPr>
        <w:fldChar w:fldCharType="begin"/>
      </w:r>
      <w:r>
        <w:rPr>
          <w:rFonts w:cs="Arial"/>
          <w:sz w:val="20"/>
          <w:szCs w:val="20"/>
        </w:rPr>
        <w:instrText xml:space="preserve"> ADDIN EN.CITE &lt;EndNote&gt;&lt;Cite&gt;&lt;Author&gt;Chaudhary&lt;/Author&gt;&lt;Year&gt;2025&lt;/Year&gt;&lt;RecNum&gt;43&lt;/RecNum&gt;&lt;DisplayText&gt;(9</w:instrText>
      </w:r>
      <w:r>
        <w:rPr>
          <w:rFonts w:cs="Arial"/>
          <w:sz w:val="20"/>
          <w:szCs w:val="20"/>
        </w:rPr>
        <w:instrText>)&lt;/DisplayText&gt;&lt;record&gt;&lt;rec-number&gt;43&lt;/rec-number&gt;&lt;foreign-keys&gt;&lt;key app="EN" db-id="dw2zpsea0sr9vme0z05x2aeppwsrp95axfr9" timestamp="1772065993"&gt;43&lt;/key&gt;&lt;/foreign-keys&gt;&lt;ref-type name="Book Section"&gt;5&lt;/ref-type&gt;&lt;contributors&gt;&lt;authors&gt;&lt;author&gt;Chaudhary, Man</w:instrText>
      </w:r>
      <w:r>
        <w:rPr>
          <w:rFonts w:cs="Arial"/>
          <w:sz w:val="20"/>
          <w:szCs w:val="20"/>
        </w:rPr>
        <w:instrText>isha&lt;/author&gt;&lt;author&gt;Sahu, Prince&lt;/author&gt;&lt;author&gt;Singh, Kartikey&lt;/author&gt;&lt;author&gt;Kumar, Ravi&lt;/author&gt;&lt;author&gt;Shukla, Anju&lt;/author&gt;&lt;author&gt;Singh, Chander&lt;/author&gt;&lt;author&gt;Dinkar, Vishal&lt;/author&gt;&lt;author&gt;Singh, Ashish Kumar&lt;/author&gt;&lt;author&gt;Singh, Niharika&lt;/au</w:instrText>
      </w:r>
      <w:r>
        <w:rPr>
          <w:rFonts w:cs="Arial"/>
          <w:sz w:val="20"/>
          <w:szCs w:val="20"/>
        </w:rPr>
        <w:instrText>thor&gt;&lt;author&gt;Keval, Ram&lt;/author&gt;&lt;/authors&gt;&lt;/contributors&gt;&lt;titles&gt;&lt;title&gt;Effect of humidity on pest and disease incidence in crops&lt;/title&gt;&lt;secondary-title&gt;Climate Change and Biotic Factors&lt;/secondary-title&gt;&lt;/titles&gt;&lt;pages&gt;3-42&lt;/pages&gt;&lt;dates&gt;&lt;year&gt;2025&lt;/year</w:instrText>
      </w:r>
      <w:r>
        <w:rPr>
          <w:rFonts w:cs="Arial"/>
          <w:sz w:val="20"/>
          <w:szCs w:val="20"/>
        </w:rPr>
        <w:instrText>&gt;&lt;/dates&gt;&lt;publisher&gt;Apple Academic Press&lt;/publisher&gt;&lt;isbn&gt;100356870X&lt;/isbn&gt;&lt;urls&gt;&lt;/urls&gt;&lt;/record&gt;&lt;/Cite&gt;&lt;/EndNote&gt;</w:instrText>
      </w:r>
      <w:r>
        <w:rPr>
          <w:rFonts w:cs="Arial"/>
          <w:sz w:val="20"/>
          <w:szCs w:val="20"/>
        </w:rPr>
        <w:fldChar w:fldCharType="separate"/>
      </w:r>
      <w:r>
        <w:rPr>
          <w:rFonts w:cs="Arial"/>
          <w:sz w:val="20"/>
          <w:szCs w:val="20"/>
        </w:rPr>
        <w:t>(9)</w:t>
      </w:r>
      <w:r>
        <w:rPr>
          <w:rFonts w:cs="Arial"/>
          <w:sz w:val="20"/>
          <w:szCs w:val="20"/>
        </w:rPr>
        <w:fldChar w:fldCharType="end"/>
      </w:r>
      <w:r>
        <w:rPr>
          <w:rFonts w:cs="Arial"/>
          <w:sz w:val="20"/>
          <w:szCs w:val="20"/>
        </w:rPr>
        <w:t>. Secondary spread is primarily aerogenic via wind-dispersed sporangia, allowing the disease to spread across fields rapidly (10).</w:t>
      </w:r>
    </w:p>
    <w:p w14:paraId="129AEAA0" w14:textId="77777777" w:rsidR="00D412BB" w:rsidRDefault="00DA3370">
      <w:pPr>
        <w:pStyle w:val="Heading2"/>
        <w:rPr>
          <w:color w:val="000000" w:themeColor="text1"/>
          <w:sz w:val="22"/>
          <w:szCs w:val="22"/>
        </w:rPr>
      </w:pPr>
      <w:r>
        <w:rPr>
          <w:color w:val="000000" w:themeColor="text1"/>
          <w:sz w:val="22"/>
          <w:szCs w:val="22"/>
        </w:rPr>
        <w:t>2.2 B</w:t>
      </w:r>
      <w:r>
        <w:rPr>
          <w:color w:val="000000" w:themeColor="text1"/>
          <w:sz w:val="22"/>
          <w:szCs w:val="22"/>
        </w:rPr>
        <w:t>iological Control Using Trichoderma Species</w:t>
      </w:r>
    </w:p>
    <w:p w14:paraId="5C27B49F" w14:textId="77777777" w:rsidR="00D412BB" w:rsidRDefault="00DA3370">
      <w:pPr>
        <w:spacing w:before="100" w:after="160" w:line="360" w:lineRule="auto"/>
        <w:jc w:val="both"/>
        <w:rPr>
          <w:sz w:val="20"/>
          <w:szCs w:val="20"/>
        </w:rPr>
      </w:pPr>
      <w:r>
        <w:rPr>
          <w:rFonts w:cs="Arial"/>
          <w:i/>
          <w:iCs/>
          <w:sz w:val="20"/>
          <w:szCs w:val="20"/>
        </w:rPr>
        <w:t>Trichoderma</w:t>
      </w:r>
      <w:r>
        <w:rPr>
          <w:rFonts w:cs="Arial"/>
          <w:sz w:val="20"/>
          <w:szCs w:val="20"/>
        </w:rPr>
        <w:t xml:space="preserve"> species, particularly </w:t>
      </w:r>
      <w:r>
        <w:rPr>
          <w:rFonts w:cs="Arial"/>
          <w:i/>
          <w:iCs/>
          <w:sz w:val="20"/>
          <w:szCs w:val="20"/>
        </w:rPr>
        <w:t xml:space="preserve">T. </w:t>
      </w:r>
      <w:proofErr w:type="spellStart"/>
      <w:r>
        <w:rPr>
          <w:rFonts w:cs="Arial"/>
          <w:i/>
          <w:iCs/>
          <w:sz w:val="20"/>
          <w:szCs w:val="20"/>
        </w:rPr>
        <w:t>viride</w:t>
      </w:r>
      <w:proofErr w:type="spellEnd"/>
      <w:r>
        <w:rPr>
          <w:rFonts w:cs="Arial"/>
          <w:sz w:val="20"/>
          <w:szCs w:val="20"/>
        </w:rPr>
        <w:t xml:space="preserve">, </w:t>
      </w:r>
      <w:r>
        <w:rPr>
          <w:rFonts w:cs="Arial"/>
          <w:i/>
          <w:iCs/>
          <w:sz w:val="20"/>
          <w:szCs w:val="20"/>
        </w:rPr>
        <w:t xml:space="preserve">T. </w:t>
      </w:r>
      <w:proofErr w:type="spellStart"/>
      <w:r>
        <w:rPr>
          <w:rFonts w:cs="Arial"/>
          <w:i/>
          <w:iCs/>
          <w:sz w:val="20"/>
          <w:szCs w:val="20"/>
        </w:rPr>
        <w:t>harzianum</w:t>
      </w:r>
      <w:proofErr w:type="spellEnd"/>
      <w:r>
        <w:rPr>
          <w:rFonts w:cs="Arial"/>
          <w:sz w:val="20"/>
          <w:szCs w:val="20"/>
        </w:rPr>
        <w:t xml:space="preserve">, and </w:t>
      </w:r>
      <w:r>
        <w:rPr>
          <w:rFonts w:cs="Arial"/>
          <w:i/>
          <w:iCs/>
          <w:sz w:val="20"/>
          <w:szCs w:val="20"/>
        </w:rPr>
        <w:t xml:space="preserve">T. </w:t>
      </w:r>
      <w:proofErr w:type="spellStart"/>
      <w:r>
        <w:rPr>
          <w:rFonts w:cs="Arial"/>
          <w:i/>
          <w:iCs/>
          <w:sz w:val="20"/>
          <w:szCs w:val="20"/>
        </w:rPr>
        <w:t>asperellum</w:t>
      </w:r>
      <w:proofErr w:type="spellEnd"/>
      <w:r>
        <w:rPr>
          <w:rFonts w:cs="Arial"/>
          <w:sz w:val="20"/>
          <w:szCs w:val="20"/>
        </w:rPr>
        <w:t xml:space="preserve">, are among the most widely researched and commercially deployed biocontrol agents in agricultural systems worldwide </w:t>
      </w:r>
      <w:r>
        <w:rPr>
          <w:rFonts w:cs="Arial"/>
          <w:sz w:val="20"/>
          <w:szCs w:val="20"/>
        </w:rPr>
        <w:fldChar w:fldCharType="begin"/>
      </w:r>
      <w:r>
        <w:rPr>
          <w:rFonts w:cs="Arial"/>
          <w:sz w:val="20"/>
          <w:szCs w:val="20"/>
        </w:rPr>
        <w:instrText xml:space="preserve"> ADDIN EN.CITE &lt;End</w:instrText>
      </w:r>
      <w:r>
        <w:rPr>
          <w:rFonts w:cs="Arial"/>
          <w:sz w:val="20"/>
          <w:szCs w:val="20"/>
        </w:rPr>
        <w:instrText>Note&gt;&lt;Cite&gt;&lt;Author&gt;Guzmán-Guzmán&lt;/Author&gt;&lt;Year&gt;2023&lt;/Year&gt;&lt;RecNum&gt;44&lt;/RecNum&gt;&lt;DisplayText&gt;(10)&lt;/DisplayText&gt;&lt;record&gt;&lt;rec-number&gt;44&lt;/rec-number&gt;&lt;foreign-keys&gt;&lt;key app="EN" db-id="dw2zpsea0sr9vme0z05x2aeppwsrp95axfr9" timestamp="1772066028"&gt;44&lt;/key&gt;&lt;/foreign</w:instrText>
      </w:r>
      <w:r>
        <w:rPr>
          <w:rFonts w:cs="Arial"/>
          <w:sz w:val="20"/>
          <w:szCs w:val="20"/>
        </w:rPr>
        <w:instrText xml:space="preserve">-keys&gt;&lt;ref-type name="Journal Article"&gt;17&lt;/ref-type&gt;&lt;contributors&gt;&lt;authors&gt;&lt;author&gt;Guzmán-Guzmán, Paulina&lt;/author&gt;&lt;author&gt;Kumar, Ajay&lt;/author&gt;&lt;author&gt;de Los Santos-Villalobos, Sergio&lt;/author&gt;&lt;author&gt;Parra-Cota, Fannie I&lt;/author&gt;&lt;author&gt;Orozco-Mosqueda, Ma </w:instrText>
      </w:r>
      <w:r>
        <w:rPr>
          <w:rFonts w:cs="Arial"/>
          <w:sz w:val="20"/>
          <w:szCs w:val="20"/>
        </w:rPr>
        <w:instrText>del Carmen&lt;/author&gt;&lt;author&gt;Fadiji, Ayomide Emmanuel&lt;/author&gt;&lt;author&gt;Hyder, Sajjad&lt;/author&gt;&lt;author&gt;Babalola, Olubukola Oluranti&lt;/author&gt;&lt;author&gt;Santoyo, Gustavo&lt;/author&gt;&lt;/authors&gt;&lt;/contributors&gt;&lt;titles&gt;&lt;title&gt;Trichoderma species: Our best fungal allies in t</w:instrText>
      </w:r>
      <w:r>
        <w:rPr>
          <w:rFonts w:cs="Arial"/>
          <w:sz w:val="20"/>
          <w:szCs w:val="20"/>
        </w:rPr>
        <w:instrText>he biocontrol of plant diseases—A review&lt;/title&gt;&lt;secondary-title&gt;Plants&lt;/secondary-title&gt;&lt;/titles&gt;&lt;periodical&gt;&lt;full-title&gt;Plants&lt;/full-title&gt;&lt;/periodical&gt;&lt;pages&gt;432&lt;/pages&gt;&lt;volume&gt;12&lt;/volume&gt;&lt;number&gt;3&lt;/number&gt;&lt;dates&gt;&lt;year&gt;2023&lt;/year&gt;&lt;/dates&gt;&lt;isbn&gt;2223-7747</w:instrText>
      </w:r>
      <w:r>
        <w:rPr>
          <w:rFonts w:cs="Arial"/>
          <w:sz w:val="20"/>
          <w:szCs w:val="20"/>
        </w:rPr>
        <w:instrText>&lt;/isbn&gt;&lt;urls&gt;&lt;/urls&gt;&lt;/record&gt;&lt;/Cite&gt;&lt;/EndNote&gt;</w:instrText>
      </w:r>
      <w:r>
        <w:rPr>
          <w:rFonts w:cs="Arial"/>
          <w:sz w:val="20"/>
          <w:szCs w:val="20"/>
        </w:rPr>
        <w:fldChar w:fldCharType="separate"/>
      </w:r>
      <w:r>
        <w:rPr>
          <w:rFonts w:cs="Arial"/>
          <w:sz w:val="20"/>
          <w:szCs w:val="20"/>
        </w:rPr>
        <w:t>(10)</w:t>
      </w:r>
      <w:r>
        <w:rPr>
          <w:rFonts w:cs="Arial"/>
          <w:sz w:val="20"/>
          <w:szCs w:val="20"/>
        </w:rPr>
        <w:fldChar w:fldCharType="end"/>
      </w:r>
      <w:r>
        <w:rPr>
          <w:rFonts w:cs="Arial"/>
          <w:sz w:val="20"/>
          <w:szCs w:val="20"/>
        </w:rPr>
        <w:t xml:space="preserve">. These </w:t>
      </w:r>
      <w:proofErr w:type="spellStart"/>
      <w:r>
        <w:rPr>
          <w:rFonts w:cs="Arial"/>
          <w:sz w:val="20"/>
          <w:szCs w:val="20"/>
        </w:rPr>
        <w:lastRenderedPageBreak/>
        <w:t>mycoparasitic</w:t>
      </w:r>
      <w:proofErr w:type="spellEnd"/>
      <w:r>
        <w:rPr>
          <w:rFonts w:cs="Arial"/>
          <w:sz w:val="20"/>
          <w:szCs w:val="20"/>
        </w:rPr>
        <w:t xml:space="preserve"> fungi exert antagonism against plant pathogens through several well-characterized mechanisms, including direct mycoparasitism (coiling around and penetrating host fungal hyphae), an</w:t>
      </w:r>
      <w:r>
        <w:rPr>
          <w:rFonts w:cs="Arial"/>
          <w:sz w:val="20"/>
          <w:szCs w:val="20"/>
        </w:rPr>
        <w:t xml:space="preserve">tibiosis (production of volatile and non-volatile antifungal metabolites such as trichodermin, gliotoxin, and </w:t>
      </w:r>
      <w:proofErr w:type="spellStart"/>
      <w:r>
        <w:rPr>
          <w:rFonts w:cs="Arial"/>
          <w:sz w:val="20"/>
          <w:szCs w:val="20"/>
        </w:rPr>
        <w:t>harzianic</w:t>
      </w:r>
      <w:proofErr w:type="spellEnd"/>
      <w:r>
        <w:rPr>
          <w:rFonts w:cs="Arial"/>
          <w:sz w:val="20"/>
          <w:szCs w:val="20"/>
        </w:rPr>
        <w:t xml:space="preserve"> acid), and competition for nutrients and colonization sites in the rhizosphere.</w:t>
      </w:r>
    </w:p>
    <w:p w14:paraId="7A490FF3" w14:textId="77777777" w:rsidR="00D412BB" w:rsidRDefault="00DA3370">
      <w:pPr>
        <w:spacing w:before="100" w:after="160" w:line="360" w:lineRule="auto"/>
        <w:jc w:val="both"/>
        <w:rPr>
          <w:sz w:val="20"/>
          <w:szCs w:val="20"/>
        </w:rPr>
      </w:pPr>
      <w:r>
        <w:rPr>
          <w:rFonts w:cs="Arial"/>
          <w:sz w:val="20"/>
          <w:szCs w:val="20"/>
        </w:rPr>
        <w:t xml:space="preserve">Beyond direct antagonism, </w:t>
      </w:r>
      <w:r>
        <w:rPr>
          <w:rFonts w:cs="Arial"/>
          <w:i/>
          <w:iCs/>
          <w:sz w:val="20"/>
          <w:szCs w:val="20"/>
        </w:rPr>
        <w:t xml:space="preserve">Trichoderma </w:t>
      </w:r>
      <w:r>
        <w:rPr>
          <w:rFonts w:cs="Arial"/>
          <w:sz w:val="20"/>
          <w:szCs w:val="20"/>
        </w:rPr>
        <w:t>species are recogn</w:t>
      </w:r>
      <w:r>
        <w:rPr>
          <w:rFonts w:cs="Arial"/>
          <w:sz w:val="20"/>
          <w:szCs w:val="20"/>
        </w:rPr>
        <w:t xml:space="preserve">ized as potent inducers of plant defense responses </w:t>
      </w:r>
      <w:r>
        <w:rPr>
          <w:rFonts w:cs="Arial"/>
          <w:sz w:val="20"/>
          <w:szCs w:val="20"/>
        </w:rPr>
        <w:fldChar w:fldCharType="begin"/>
      </w:r>
      <w:r>
        <w:rPr>
          <w:rFonts w:cs="Arial"/>
          <w:sz w:val="20"/>
          <w:szCs w:val="20"/>
        </w:rPr>
        <w:instrText xml:space="preserve"> ADDIN EN.CITE &lt;EndNote&gt;&lt;Cite&gt;&lt;Author&gt;Nawrocka&lt;/Author&gt;&lt;Year&gt;2013&lt;/Year&gt;&lt;RecNum&gt;45&lt;/RecNum&gt;&lt;DisplayText&gt;(11)&lt;/DisplayText&gt;&lt;record&gt;&lt;rec-number&gt;45&lt;/rec-number&gt;&lt;foreign-keys&gt;&lt;key app="EN" db-id="dw2zpsea0sr9v</w:instrText>
      </w:r>
      <w:r>
        <w:rPr>
          <w:rFonts w:cs="Arial"/>
          <w:sz w:val="20"/>
          <w:szCs w:val="20"/>
        </w:rPr>
        <w:instrText>me0z05x2aeppwsrp95axfr9" timestamp="1772066065"&gt;45&lt;/key&gt;&lt;/foreign-keys&gt;&lt;ref-type name="Journal Article"&gt;17&lt;/ref-type&gt;&lt;contributors&gt;&lt;authors&gt;&lt;author&gt;Nawrocka, Justyna&lt;/author&gt;&lt;author&gt;Małolepsza, Urszula&lt;/author&gt;&lt;/authors&gt;&lt;/contributors&gt;&lt;titles&gt;&lt;title&gt;Divers</w:instrText>
      </w:r>
      <w:r>
        <w:rPr>
          <w:rFonts w:cs="Arial"/>
          <w:sz w:val="20"/>
          <w:szCs w:val="20"/>
        </w:rPr>
        <w:instrText>ity in plant systemic resistance induced by Trichoderma&lt;/title&gt;&lt;secondary-title&gt;Biological control&lt;/secondary-title&gt;&lt;/titles&gt;&lt;periodical&gt;&lt;full-title&gt;Biological control&lt;/full-title&gt;&lt;/periodical&gt;&lt;pages&gt;149-156&lt;/pages&gt;&lt;volume&gt;67&lt;/volume&gt;&lt;number&gt;2&lt;/number&gt;&lt;dat</w:instrText>
      </w:r>
      <w:r>
        <w:rPr>
          <w:rFonts w:cs="Arial"/>
          <w:sz w:val="20"/>
          <w:szCs w:val="20"/>
        </w:rPr>
        <w:instrText>es&gt;&lt;year&gt;2013&lt;/year&gt;&lt;/dates&gt;&lt;isbn&gt;1049-9644&lt;/isbn&gt;&lt;urls&gt;&lt;/urls&gt;&lt;/record&gt;&lt;/Cite&gt;&lt;/EndNote&gt;</w:instrText>
      </w:r>
      <w:r>
        <w:rPr>
          <w:rFonts w:cs="Arial"/>
          <w:sz w:val="20"/>
          <w:szCs w:val="20"/>
        </w:rPr>
        <w:fldChar w:fldCharType="separate"/>
      </w:r>
      <w:r>
        <w:rPr>
          <w:rFonts w:cs="Arial"/>
          <w:sz w:val="20"/>
          <w:szCs w:val="20"/>
        </w:rPr>
        <w:t>(11)</w:t>
      </w:r>
      <w:r>
        <w:rPr>
          <w:rFonts w:cs="Arial"/>
          <w:sz w:val="20"/>
          <w:szCs w:val="20"/>
        </w:rPr>
        <w:fldChar w:fldCharType="end"/>
      </w:r>
      <w:r>
        <w:rPr>
          <w:rFonts w:cs="Arial"/>
          <w:sz w:val="20"/>
          <w:szCs w:val="20"/>
        </w:rPr>
        <w:t xml:space="preserve">. They stimulate both </w:t>
      </w:r>
      <w:proofErr w:type="spellStart"/>
      <w:r>
        <w:rPr>
          <w:rFonts w:cs="Arial"/>
          <w:sz w:val="20"/>
          <w:szCs w:val="20"/>
        </w:rPr>
        <w:t>jasmonic</w:t>
      </w:r>
      <w:proofErr w:type="spellEnd"/>
      <w:r>
        <w:rPr>
          <w:rFonts w:cs="Arial"/>
          <w:sz w:val="20"/>
          <w:szCs w:val="20"/>
        </w:rPr>
        <w:t xml:space="preserve"> acid (JA)-mediated and salicylic acid (SA)-mediated defense pathways, leading to the upregulation of defense-related genes encodi</w:t>
      </w:r>
      <w:r>
        <w:rPr>
          <w:rFonts w:cs="Arial"/>
          <w:sz w:val="20"/>
          <w:szCs w:val="20"/>
        </w:rPr>
        <w:t xml:space="preserve">ng pathogenesis-related (PR) proteins, chitinases, and </w:t>
      </w:r>
      <w:proofErr w:type="spellStart"/>
      <w:r>
        <w:rPr>
          <w:rFonts w:cs="Arial"/>
          <w:sz w:val="20"/>
          <w:szCs w:val="20"/>
        </w:rPr>
        <w:t>glucanases</w:t>
      </w:r>
      <w:proofErr w:type="spellEnd"/>
      <w:r>
        <w:rPr>
          <w:rFonts w:cs="Arial"/>
          <w:sz w:val="20"/>
          <w:szCs w:val="20"/>
        </w:rPr>
        <w:t>. This induction of systemic resistance has been documented to provide broad-spectrum protection against diverse pathogens, including oomycetes, and to persist for extended periods in the rhi</w:t>
      </w:r>
      <w:r>
        <w:rPr>
          <w:rFonts w:cs="Arial"/>
          <w:sz w:val="20"/>
          <w:szCs w:val="20"/>
        </w:rPr>
        <w:t xml:space="preserve">zosphere </w:t>
      </w:r>
      <w:r>
        <w:rPr>
          <w:rFonts w:cs="Arial"/>
          <w:sz w:val="20"/>
          <w:szCs w:val="20"/>
        </w:rPr>
        <w:fldChar w:fldCharType="begin"/>
      </w:r>
      <w:r>
        <w:rPr>
          <w:rFonts w:cs="Arial"/>
          <w:sz w:val="20"/>
          <w:szCs w:val="20"/>
        </w:rPr>
        <w:instrText xml:space="preserve"> ADDIN EN.CITE &lt;EndNote&gt;&lt;Cite&gt;&lt;Author&gt;Van Loon&lt;/Author&gt;&lt;Year&gt;1998&lt;/Year&gt;&lt;RecNum&gt;46&lt;/RecNum&gt;&lt;DisplayText&gt;(12)&lt;/DisplayText&gt;&lt;record&gt;&lt;rec-number&gt;46&lt;/rec-number&gt;&lt;foreign-keys&gt;&lt;key app="EN" db-id="dw2zpsea0sr9vme0z05x2aeppwsrp95axfr9" timestamp="177206</w:instrText>
      </w:r>
      <w:r>
        <w:rPr>
          <w:rFonts w:cs="Arial"/>
          <w:sz w:val="20"/>
          <w:szCs w:val="20"/>
        </w:rPr>
        <w:instrText>6108"&gt;46&lt;/key&gt;&lt;/foreign-keys&gt;&lt;ref-type name="Journal Article"&gt;17&lt;/ref-type&gt;&lt;contributors&gt;&lt;authors&gt;&lt;author&gt;Van Loon, LC&lt;/author&gt;&lt;author&gt;Bakker, PAHM&lt;/author&gt;&lt;author&gt;Pieterse, CMJ&lt;/author&gt;&lt;/authors&gt;&lt;/contributors&gt;&lt;titles&gt;&lt;title&gt;Systemic resistance induced by</w:instrText>
      </w:r>
      <w:r>
        <w:rPr>
          <w:rFonts w:cs="Arial"/>
          <w:sz w:val="20"/>
          <w:szCs w:val="20"/>
        </w:rPr>
        <w:instrText xml:space="preserve"> rhizosphere bacteria&lt;/title&gt;&lt;secondary-title&gt;Annual review of phytopathology&lt;/secondary-title&gt;&lt;/titles&gt;&lt;periodical&gt;&lt;full-title&gt;Annual review of phytopathology&lt;/full-title&gt;&lt;/periodical&gt;&lt;pages&gt;453-483&lt;/pages&gt;&lt;volume&gt;36&lt;/volume&gt;&lt;number&gt;1&lt;/number&gt;&lt;dates&gt;&lt;year</w:instrText>
      </w:r>
      <w:r>
        <w:rPr>
          <w:rFonts w:cs="Arial"/>
          <w:sz w:val="20"/>
          <w:szCs w:val="20"/>
        </w:rPr>
        <w:instrText>&gt;1998&lt;/year&gt;&lt;/dates&gt;&lt;isbn&gt;0066-4286&lt;/isbn&gt;&lt;urls&gt;&lt;/urls&gt;&lt;/record&gt;&lt;/Cite&gt;&lt;/EndNote&gt;</w:instrText>
      </w:r>
      <w:r>
        <w:rPr>
          <w:rFonts w:cs="Arial"/>
          <w:sz w:val="20"/>
          <w:szCs w:val="20"/>
        </w:rPr>
        <w:fldChar w:fldCharType="separate"/>
      </w:r>
      <w:r>
        <w:rPr>
          <w:rFonts w:cs="Arial"/>
          <w:sz w:val="20"/>
          <w:szCs w:val="20"/>
        </w:rPr>
        <w:t>(12)</w:t>
      </w:r>
      <w:r>
        <w:rPr>
          <w:rFonts w:cs="Arial"/>
          <w:sz w:val="20"/>
          <w:szCs w:val="20"/>
        </w:rPr>
        <w:fldChar w:fldCharType="end"/>
      </w:r>
      <w:r>
        <w:rPr>
          <w:rFonts w:cs="Arial"/>
          <w:sz w:val="20"/>
          <w:szCs w:val="20"/>
        </w:rPr>
        <w:t>.</w:t>
      </w:r>
    </w:p>
    <w:p w14:paraId="5FF5D576" w14:textId="77777777" w:rsidR="00D412BB" w:rsidRDefault="00DA3370">
      <w:pPr>
        <w:pStyle w:val="Heading2"/>
        <w:rPr>
          <w:color w:val="000000" w:themeColor="text1"/>
          <w:sz w:val="22"/>
          <w:szCs w:val="22"/>
        </w:rPr>
      </w:pPr>
      <w:r>
        <w:rPr>
          <w:color w:val="000000" w:themeColor="text1"/>
          <w:sz w:val="22"/>
          <w:szCs w:val="22"/>
        </w:rPr>
        <w:t>2.3 Role of Pseudomonas fluorescens in Disease Suppression</w:t>
      </w:r>
    </w:p>
    <w:p w14:paraId="750AF731" w14:textId="77777777" w:rsidR="00D412BB" w:rsidRDefault="00DA3370">
      <w:pPr>
        <w:spacing w:before="100" w:after="160" w:line="360" w:lineRule="auto"/>
        <w:jc w:val="both"/>
        <w:rPr>
          <w:sz w:val="20"/>
          <w:szCs w:val="20"/>
        </w:rPr>
      </w:pPr>
      <w:r>
        <w:rPr>
          <w:rFonts w:cs="Arial"/>
          <w:i/>
          <w:iCs/>
          <w:sz w:val="20"/>
          <w:szCs w:val="20"/>
        </w:rPr>
        <w:t>Pseudomonas fluorescens</w:t>
      </w:r>
      <w:r>
        <w:rPr>
          <w:rFonts w:cs="Arial"/>
          <w:sz w:val="20"/>
          <w:szCs w:val="20"/>
        </w:rPr>
        <w:t xml:space="preserve"> is a gram-negative, non-spore-forming rhizobacterium that colonizes the root system</w:t>
      </w:r>
      <w:r>
        <w:rPr>
          <w:rFonts w:cs="Arial"/>
          <w:sz w:val="20"/>
          <w:szCs w:val="20"/>
        </w:rPr>
        <w:t xml:space="preserve"> of diverse crop plants and confers multiple beneficial effects. Its biocontrol properties are attributed to the production of a wide array of secondary metabolites including 2,4-diacetylphloroglucinol (2,4-DAPG), phenazine-1-carboxylic acid (PCA), hydroge</w:t>
      </w:r>
      <w:r>
        <w:rPr>
          <w:rFonts w:cs="Arial"/>
          <w:sz w:val="20"/>
          <w:szCs w:val="20"/>
        </w:rPr>
        <w:t xml:space="preserve">n cyanide (HCN), </w:t>
      </w:r>
      <w:proofErr w:type="spellStart"/>
      <w:r>
        <w:rPr>
          <w:rFonts w:cs="Arial"/>
          <w:sz w:val="20"/>
          <w:szCs w:val="20"/>
        </w:rPr>
        <w:t>pyoluteorin</w:t>
      </w:r>
      <w:proofErr w:type="spellEnd"/>
      <w:r>
        <w:rPr>
          <w:rFonts w:cs="Arial"/>
          <w:sz w:val="20"/>
          <w:szCs w:val="20"/>
        </w:rPr>
        <w:t xml:space="preserve">, and fluorescent siderophores. These compounds collectively suppress a wide spectrum of soil-borne and foliar pathogens </w:t>
      </w:r>
      <w:r>
        <w:rPr>
          <w:rFonts w:cs="Arial"/>
          <w:sz w:val="20"/>
          <w:szCs w:val="20"/>
        </w:rPr>
        <w:fldChar w:fldCharType="begin"/>
      </w:r>
      <w:r>
        <w:rPr>
          <w:rFonts w:cs="Arial"/>
          <w:sz w:val="20"/>
          <w:szCs w:val="20"/>
        </w:rPr>
        <w:instrText xml:space="preserve"> ADDIN EN.CITE &lt;EndNote&gt;&lt;Cite&gt;&lt;Author&gt;Chandurkar&lt;/Author&gt;&lt;Year&gt;2017&lt;/Year&gt;&lt;RecNum&gt;47&lt;/RecNum&gt;&lt;DisplayText&gt;(</w:instrText>
      </w:r>
      <w:r>
        <w:rPr>
          <w:rFonts w:cs="Arial"/>
          <w:sz w:val="20"/>
          <w:szCs w:val="20"/>
        </w:rPr>
        <w:instrText>13)&lt;/DisplayText&gt;&lt;record&gt;&lt;rec-number&gt;47&lt;/rec-number&gt;&lt;foreign-keys&gt;&lt;key app="EN" db-id="dw2zpsea0sr9vme0z05x2aeppwsrp95axfr9" timestamp="1772066173"&gt;47&lt;/key&gt;&lt;/foreign-keys&gt;&lt;ref-type name="Journal Article"&gt;17&lt;/ref-type&gt;&lt;contributors&gt;&lt;authors&gt;&lt;author&gt;Chandurk</w:instrText>
      </w:r>
      <w:r>
        <w:rPr>
          <w:rFonts w:cs="Arial"/>
          <w:sz w:val="20"/>
          <w:szCs w:val="20"/>
        </w:rPr>
        <w:instrText xml:space="preserve">ar, Preeti&lt;/author&gt;&lt;author&gt;Murab, Tanuja&lt;/author&gt;&lt;author&gt;Choudhary, Anjali&lt;/author&gt;&lt;author&gt;Tripathi, Nidhi&lt;/author&gt;&lt;author&gt;Gujarand, Nidhi&lt;/author&gt;&lt;author&gt;Saini, Shaishavee&lt;/author&gt;&lt;/authors&gt;&lt;/contributors&gt;&lt;titles&gt;&lt;title&gt;2, 4-Diacetylphloroglucinol (DAPG) </w:instrText>
      </w:r>
      <w:r>
        <w:rPr>
          <w:rFonts w:cs="Arial"/>
          <w:sz w:val="20"/>
          <w:szCs w:val="20"/>
        </w:rPr>
        <w:instrText>a secondary metabolite of fluorescent pseudomonads as a potential biocontrol agent for plant diseases&lt;/title&gt;&lt;secondary-title&gt;J Sci Res&lt;/secondary-title&gt;&lt;/titles&gt;&lt;periodical&gt;&lt;full-title&gt;J Sci Res&lt;/full-title&gt;&lt;/periodical&gt;&lt;pages&gt;235-246&lt;/pages&gt;&lt;volume&gt;3&lt;/vo</w:instrText>
      </w:r>
      <w:r>
        <w:rPr>
          <w:rFonts w:cs="Arial"/>
          <w:sz w:val="20"/>
          <w:szCs w:val="20"/>
        </w:rPr>
        <w:instrText>lume&gt;&lt;dates&gt;&lt;year&gt;2017&lt;/year&gt;&lt;/dates&gt;&lt;urls&gt;&lt;/urls&gt;&lt;/record&gt;&lt;/Cite&gt;&lt;/EndNote&gt;</w:instrText>
      </w:r>
      <w:r>
        <w:rPr>
          <w:rFonts w:cs="Arial"/>
          <w:sz w:val="20"/>
          <w:szCs w:val="20"/>
        </w:rPr>
        <w:fldChar w:fldCharType="separate"/>
      </w:r>
      <w:r>
        <w:rPr>
          <w:rFonts w:cs="Arial"/>
          <w:sz w:val="20"/>
          <w:szCs w:val="20"/>
        </w:rPr>
        <w:t>(13)</w:t>
      </w:r>
      <w:r>
        <w:rPr>
          <w:rFonts w:cs="Arial"/>
          <w:sz w:val="20"/>
          <w:szCs w:val="20"/>
        </w:rPr>
        <w:fldChar w:fldCharType="end"/>
      </w:r>
      <w:r>
        <w:rPr>
          <w:rFonts w:cs="Arial"/>
          <w:sz w:val="20"/>
          <w:szCs w:val="20"/>
        </w:rPr>
        <w:t>.</w:t>
      </w:r>
    </w:p>
    <w:p w14:paraId="40B9FF26" w14:textId="77777777" w:rsidR="00D412BB" w:rsidRDefault="00DA3370">
      <w:pPr>
        <w:spacing w:before="100" w:after="160" w:line="360" w:lineRule="auto"/>
        <w:jc w:val="both"/>
        <w:rPr>
          <w:sz w:val="20"/>
          <w:szCs w:val="20"/>
        </w:rPr>
      </w:pPr>
      <w:r>
        <w:rPr>
          <w:rFonts w:cs="Arial"/>
          <w:sz w:val="20"/>
          <w:szCs w:val="20"/>
        </w:rPr>
        <w:t xml:space="preserve">The particular significance is the ability of P. fluorescens to trigger induced systemic resistance (ISR) in host plants through a </w:t>
      </w:r>
      <w:proofErr w:type="spellStart"/>
      <w:r>
        <w:rPr>
          <w:rFonts w:cs="Arial"/>
          <w:sz w:val="20"/>
          <w:szCs w:val="20"/>
        </w:rPr>
        <w:t>jasmonate</w:t>
      </w:r>
      <w:proofErr w:type="spellEnd"/>
      <w:r>
        <w:rPr>
          <w:rFonts w:cs="Arial"/>
          <w:sz w:val="20"/>
          <w:szCs w:val="20"/>
        </w:rPr>
        <w:t>/ethylene-dependent signaling p</w:t>
      </w:r>
      <w:r>
        <w:rPr>
          <w:rFonts w:cs="Arial"/>
          <w:sz w:val="20"/>
          <w:szCs w:val="20"/>
        </w:rPr>
        <w:t>athway, which is distinct from the classical salicylate-mediated systemic acquired resistance (SAR). ISR primes the entire plant for faster and stronger defense responses upon pathogen challenge, effectively reducing infection levels and disease severity w</w:t>
      </w:r>
      <w:r>
        <w:rPr>
          <w:rFonts w:cs="Arial"/>
          <w:sz w:val="20"/>
          <w:szCs w:val="20"/>
        </w:rPr>
        <w:t xml:space="preserve">ithout direct toxicity to the pathogen. Multiple studies have confirmed the efficacy of P. fluorescens-based formulations in managing diverse foliar diseases in Brassica crops </w:t>
      </w:r>
      <w:r>
        <w:rPr>
          <w:rFonts w:cs="Arial"/>
          <w:sz w:val="20"/>
          <w:szCs w:val="20"/>
        </w:rPr>
        <w:fldChar w:fldCharType="begin"/>
      </w:r>
      <w:r>
        <w:rPr>
          <w:rFonts w:cs="Arial"/>
          <w:sz w:val="20"/>
          <w:szCs w:val="20"/>
        </w:rPr>
        <w:instrText xml:space="preserve"> ADDIN EN.CITE &lt;EndNote&gt;&lt;Cite&gt;&lt;Author&gt;Heil&lt;/Author&gt;&lt;Year&gt;2002&lt;/Year&gt;&lt;RecNum&gt;48&lt;/</w:instrText>
      </w:r>
      <w:r>
        <w:rPr>
          <w:rFonts w:cs="Arial"/>
          <w:sz w:val="20"/>
          <w:szCs w:val="20"/>
        </w:rPr>
        <w:instrText>RecNum&gt;&lt;DisplayText&gt;(14)&lt;/DisplayText&gt;&lt;record&gt;&lt;rec-number&gt;48&lt;/rec-number&gt;&lt;foreign-keys&gt;&lt;key app="EN" db-id="dw2zpsea0sr9vme0z05x2aeppwsrp95axfr9" timestamp="1772066211"&gt;48&lt;/key&gt;&lt;/foreign-keys&gt;&lt;ref-type name="Journal Article"&gt;17&lt;/ref-type&gt;&lt;contributors&gt;&lt;aut</w:instrText>
      </w:r>
      <w:r>
        <w:rPr>
          <w:rFonts w:cs="Arial"/>
          <w:sz w:val="20"/>
          <w:szCs w:val="20"/>
        </w:rPr>
        <w:instrText>hors&gt;&lt;author&gt;Heil, Martin&lt;/author&gt;&lt;author&gt;Bostock, Richard M&lt;/author&gt;&lt;/authors&gt;&lt;/contributors&gt;&lt;titles&gt;&lt;title&gt;Induced systemic resistance (ISR) against pathogens in the context of induced plant defences&lt;/title&gt;&lt;secondary-title&gt;Annals of botany&lt;/secondary-ti</w:instrText>
      </w:r>
      <w:r>
        <w:rPr>
          <w:rFonts w:cs="Arial"/>
          <w:sz w:val="20"/>
          <w:szCs w:val="20"/>
        </w:rPr>
        <w:instrText>tle&gt;&lt;/titles&gt;&lt;periodical&gt;&lt;full-title&gt;Annals of botany&lt;/full-title&gt;&lt;/periodical&gt;&lt;pages&gt;503-512&lt;/pages&gt;&lt;volume&gt;89&lt;/volume&gt;&lt;number&gt;5&lt;/number&gt;&lt;dates&gt;&lt;year&gt;2002&lt;/year&gt;&lt;/dates&gt;&lt;isbn&gt;1095-8290&lt;/isbn&gt;&lt;urls&gt;&lt;/urls&gt;&lt;/record&gt;&lt;/Cite&gt;&lt;/EndNote&gt;</w:instrText>
      </w:r>
      <w:r>
        <w:rPr>
          <w:rFonts w:cs="Arial"/>
          <w:sz w:val="20"/>
          <w:szCs w:val="20"/>
        </w:rPr>
        <w:fldChar w:fldCharType="separate"/>
      </w:r>
      <w:r>
        <w:rPr>
          <w:rFonts w:cs="Arial"/>
          <w:sz w:val="20"/>
          <w:szCs w:val="20"/>
        </w:rPr>
        <w:t>(14)</w:t>
      </w:r>
      <w:r>
        <w:rPr>
          <w:rFonts w:cs="Arial"/>
          <w:sz w:val="20"/>
          <w:szCs w:val="20"/>
        </w:rPr>
        <w:fldChar w:fldCharType="end"/>
      </w:r>
      <w:r>
        <w:rPr>
          <w:rFonts w:cs="Arial"/>
          <w:sz w:val="20"/>
          <w:szCs w:val="20"/>
        </w:rPr>
        <w:t>.</w:t>
      </w:r>
    </w:p>
    <w:p w14:paraId="3A7E2175" w14:textId="77777777" w:rsidR="00D412BB" w:rsidRDefault="00DA3370">
      <w:pPr>
        <w:pStyle w:val="Heading2"/>
        <w:rPr>
          <w:color w:val="000000" w:themeColor="text1"/>
          <w:sz w:val="22"/>
          <w:szCs w:val="22"/>
        </w:rPr>
      </w:pPr>
      <w:r>
        <w:rPr>
          <w:color w:val="000000" w:themeColor="text1"/>
          <w:sz w:val="22"/>
          <w:szCs w:val="22"/>
        </w:rPr>
        <w:t xml:space="preserve">2.4 </w:t>
      </w:r>
      <w:r>
        <w:rPr>
          <w:color w:val="000000" w:themeColor="text1"/>
          <w:sz w:val="22"/>
          <w:szCs w:val="22"/>
        </w:rPr>
        <w:t>Resistance-Inducing Chemicals as Management Tools</w:t>
      </w:r>
    </w:p>
    <w:p w14:paraId="13D65861" w14:textId="77777777" w:rsidR="00D412BB" w:rsidRDefault="00DA3370">
      <w:pPr>
        <w:spacing w:before="100" w:after="160" w:line="360" w:lineRule="auto"/>
        <w:jc w:val="both"/>
        <w:rPr>
          <w:sz w:val="20"/>
          <w:szCs w:val="20"/>
        </w:rPr>
      </w:pPr>
      <w:r>
        <w:rPr>
          <w:rFonts w:cs="Arial"/>
          <w:sz w:val="20"/>
          <w:szCs w:val="20"/>
        </w:rPr>
        <w:t xml:space="preserve">Salicylic acid (SA) is a phenolic compound and a key signaling molecule in the systemic acquired resistance (SAR) pathway of plants. Exogenous application of SA at appropriate concentrations has been shown </w:t>
      </w:r>
      <w:r>
        <w:rPr>
          <w:rFonts w:cs="Arial"/>
          <w:sz w:val="20"/>
          <w:szCs w:val="20"/>
        </w:rPr>
        <w:t xml:space="preserve">to activate SAR, leading to the upregulation of PR-1, PR-2 (β-1,3-glucanase), and PR-5 (thaumatin-like protein), which collectively confer broad-spectrum resistance against pathogens </w:t>
      </w:r>
      <w:r>
        <w:rPr>
          <w:rFonts w:cs="Arial"/>
          <w:sz w:val="20"/>
          <w:szCs w:val="20"/>
        </w:rPr>
        <w:fldChar w:fldCharType="begin"/>
      </w:r>
      <w:r>
        <w:rPr>
          <w:rFonts w:cs="Arial"/>
          <w:sz w:val="20"/>
          <w:szCs w:val="20"/>
        </w:rPr>
        <w:instrText xml:space="preserve"> ADDIN EN.CITE &lt;EndNote&gt;&lt;Cite&gt;&lt;Author&gt;Wilson&lt;/Author&gt;&lt;Year&gt;2023&lt;/Year&gt;&lt;Re</w:instrText>
      </w:r>
      <w:r>
        <w:rPr>
          <w:rFonts w:cs="Arial"/>
          <w:sz w:val="20"/>
          <w:szCs w:val="20"/>
        </w:rPr>
        <w:instrText>cNum&gt;50&lt;/RecNum&gt;&lt;DisplayText&gt;(16)&lt;/DisplayText&gt;&lt;record&gt;&lt;rec-number&gt;50&lt;/rec-number&gt;&lt;foreign-keys&gt;&lt;key app="EN" db-id="dw2zpsea0sr9vme0z05x2aeppwsrp95axfr9" timestamp="1772066289"&gt;50&lt;/key&gt;&lt;/foreign-keys&gt;&lt;ref-type name="Journal Article"&gt;17&lt;/ref-type&gt;&lt;contribu</w:instrText>
      </w:r>
      <w:r>
        <w:rPr>
          <w:rFonts w:cs="Arial"/>
          <w:sz w:val="20"/>
          <w:szCs w:val="20"/>
        </w:rPr>
        <w:instrText>tors&gt;&lt;authors&gt;&lt;author&gt;Wilson, Shannon Kathleen&lt;/author&gt;&lt;author&gt;Pretorius, Theresa&lt;/author&gt;&lt;author&gt;Naidoo, Sanushka&lt;/author&gt;&lt;/authors&gt;&lt;/contributors&gt;&lt;titles&gt;&lt;title&gt;Mechanisms of systemic resistance to pathogen infection in plants and their potential applica</w:instrText>
      </w:r>
      <w:r>
        <w:rPr>
          <w:rFonts w:cs="Arial"/>
          <w:sz w:val="20"/>
          <w:szCs w:val="20"/>
        </w:rPr>
        <w:instrText>tion in forestry&lt;/title&gt;&lt;secondary-title&gt;BMC Plant Biology&lt;/secondary-title&gt;&lt;/titles&gt;&lt;periodical&gt;&lt;full-title&gt;BMC Plant Biology&lt;/full-title&gt;&lt;/periodical&gt;&lt;pages&gt;404&lt;/pages&gt;&lt;volume&gt;23&lt;/volume&gt;&lt;number&gt;1&lt;/number&gt;&lt;dates&gt;&lt;year&gt;2023&lt;/year&gt;&lt;/dates&gt;&lt;isbn&gt;1471-2229&lt;/</w:instrText>
      </w:r>
      <w:r>
        <w:rPr>
          <w:rFonts w:cs="Arial"/>
          <w:sz w:val="20"/>
          <w:szCs w:val="20"/>
        </w:rPr>
        <w:instrText>isbn&gt;&lt;urls&gt;&lt;/urls&gt;&lt;/record&gt;&lt;/Cite&gt;&lt;/EndNote&gt;</w:instrText>
      </w:r>
      <w:r>
        <w:rPr>
          <w:rFonts w:cs="Arial"/>
          <w:sz w:val="20"/>
          <w:szCs w:val="20"/>
        </w:rPr>
        <w:fldChar w:fldCharType="separate"/>
      </w:r>
      <w:r>
        <w:rPr>
          <w:rFonts w:cs="Arial"/>
          <w:sz w:val="20"/>
          <w:szCs w:val="20"/>
        </w:rPr>
        <w:t>(16)</w:t>
      </w:r>
      <w:r>
        <w:rPr>
          <w:rFonts w:cs="Arial"/>
          <w:sz w:val="20"/>
          <w:szCs w:val="20"/>
        </w:rPr>
        <w:fldChar w:fldCharType="end"/>
      </w:r>
      <w:r>
        <w:rPr>
          <w:rFonts w:cs="Arial"/>
          <w:sz w:val="20"/>
          <w:szCs w:val="20"/>
        </w:rPr>
        <w:t>. Its application in white rust management represents a promising, low-residue alternative to conventional fungicides.</w:t>
      </w:r>
    </w:p>
    <w:p w14:paraId="210930AC" w14:textId="77777777" w:rsidR="00D412BB" w:rsidRDefault="00DA3370">
      <w:pPr>
        <w:spacing w:before="100" w:after="160" w:line="360" w:lineRule="auto"/>
        <w:jc w:val="both"/>
      </w:pPr>
      <w:r>
        <w:rPr>
          <w:rFonts w:cs="Arial"/>
          <w:sz w:val="20"/>
          <w:szCs w:val="20"/>
        </w:rPr>
        <w:t>Garlic extract (Allium sativum L.) contains organosulfur compounds, particularly allic</w:t>
      </w:r>
      <w:r>
        <w:rPr>
          <w:rFonts w:cs="Arial"/>
          <w:sz w:val="20"/>
          <w:szCs w:val="20"/>
        </w:rPr>
        <w:t xml:space="preserve">in (diallyl </w:t>
      </w:r>
      <w:proofErr w:type="spellStart"/>
      <w:r>
        <w:rPr>
          <w:rFonts w:cs="Arial"/>
          <w:sz w:val="20"/>
          <w:szCs w:val="20"/>
        </w:rPr>
        <w:t>thiosulfinate</w:t>
      </w:r>
      <w:proofErr w:type="spellEnd"/>
      <w:r>
        <w:rPr>
          <w:rFonts w:cs="Arial"/>
          <w:sz w:val="20"/>
          <w:szCs w:val="20"/>
        </w:rPr>
        <w:t xml:space="preserve">), which demonstrate antifungal and anti-oomycete properties. Garlic-derived compounds have been reported to inhibit spore germination and mycelial growth of several plant pathogens </w:t>
      </w:r>
      <w:r>
        <w:rPr>
          <w:rFonts w:cs="Arial"/>
          <w:sz w:val="20"/>
          <w:szCs w:val="20"/>
        </w:rPr>
        <w:fldChar w:fldCharType="begin"/>
      </w:r>
      <w:r>
        <w:rPr>
          <w:rFonts w:cs="Arial"/>
          <w:sz w:val="20"/>
          <w:szCs w:val="20"/>
        </w:rPr>
        <w:instrText xml:space="preserve"> ADDIN EN.CITE &lt;EndNote&gt;&lt;Cite&gt;&lt;Author&gt;Li&lt;/Author&gt;</w:instrText>
      </w:r>
      <w:r>
        <w:rPr>
          <w:rFonts w:cs="Arial"/>
          <w:sz w:val="20"/>
          <w:szCs w:val="20"/>
        </w:rPr>
        <w:instrText>&lt;Year&gt;2024&lt;/Year&gt;&lt;RecNum&gt;51&lt;/RecNum&gt;&lt;DisplayText&gt;(17)&lt;/DisplayText&gt;&lt;record&gt;&lt;rec-number&gt;51&lt;/rec-number&gt;&lt;foreign-keys&gt;&lt;key app="EN" db-id="dw2zpsea0sr9vme0z05x2aeppwsrp95axfr9" timestamp="1772066366"&gt;51&lt;/key&gt;&lt;/foreign-keys&gt;&lt;ref-type name="Journal Article"&gt;17</w:instrText>
      </w:r>
      <w:r>
        <w:rPr>
          <w:rFonts w:cs="Arial"/>
          <w:sz w:val="20"/>
          <w:szCs w:val="20"/>
        </w:rPr>
        <w:instrText>&lt;/ref-type&gt;&lt;contributors&gt;&lt;authors&gt;&lt;author&gt;Li, Na&lt;/author&gt;&lt;author&gt;Zhang, Junli&lt;/author&gt;&lt;author&gt;Yu, Fei&lt;/author&gt;&lt;author&gt;Ye, Fanghang&lt;/author&gt;&lt;author&gt;Tan, Wanying&lt;/author&gt;&lt;author&gt;Hao, Liyuan&lt;/author&gt;&lt;author&gt;Li, Shenghao&lt;/author&gt;&lt;author&gt;Deng, Jiali&lt;/author&gt;&lt;au</w:instrText>
      </w:r>
      <w:r>
        <w:rPr>
          <w:rFonts w:cs="Arial"/>
          <w:sz w:val="20"/>
          <w:szCs w:val="20"/>
        </w:rPr>
        <w:instrText>thor&gt;Hu, Xiaoyu&lt;/author&gt;&lt;/authors&gt;&lt;/contributors&gt;&lt;titles&gt;&lt;title&gt;Garlic-derived quorum sensing inhibitors: a novel strategy against fungal resistance&lt;/title&gt;&lt;secondary-title&gt;Drug Design, Development and Therapy&lt;/secondary-title&gt;&lt;/titles&gt;&lt;periodical&gt;&lt;full-ti</w:instrText>
      </w:r>
      <w:r>
        <w:rPr>
          <w:rFonts w:cs="Arial"/>
          <w:sz w:val="20"/>
          <w:szCs w:val="20"/>
        </w:rPr>
        <w:instrText>tle&gt;Drug Design, Development and Therapy&lt;/full-title&gt;&lt;/periodical&gt;&lt;pages&gt;6413-6426&lt;/pages&gt;&lt;dates&gt;&lt;year&gt;2024&lt;/year&gt;&lt;/dates&gt;&lt;isbn&gt;1177-8881&lt;/isbn&gt;&lt;urls&gt;&lt;/urls&gt;&lt;/record&gt;&lt;/Cite&gt;&lt;/EndNote&gt;</w:instrText>
      </w:r>
      <w:r>
        <w:rPr>
          <w:rFonts w:cs="Arial"/>
          <w:sz w:val="20"/>
          <w:szCs w:val="20"/>
        </w:rPr>
        <w:fldChar w:fldCharType="separate"/>
      </w:r>
      <w:r>
        <w:rPr>
          <w:rFonts w:cs="Arial"/>
          <w:sz w:val="20"/>
          <w:szCs w:val="20"/>
        </w:rPr>
        <w:t>(17)</w:t>
      </w:r>
      <w:r>
        <w:rPr>
          <w:rFonts w:cs="Arial"/>
          <w:sz w:val="20"/>
          <w:szCs w:val="20"/>
        </w:rPr>
        <w:fldChar w:fldCharType="end"/>
      </w:r>
      <w:r>
        <w:rPr>
          <w:rFonts w:cs="Arial"/>
          <w:sz w:val="20"/>
          <w:szCs w:val="20"/>
        </w:rPr>
        <w:t>.However, their field efficacy is often limited by rapid degradati</w:t>
      </w:r>
      <w:r>
        <w:rPr>
          <w:rFonts w:cs="Arial"/>
          <w:sz w:val="20"/>
          <w:szCs w:val="20"/>
        </w:rPr>
        <w:t xml:space="preserve">on under field conditions, highlighting the need for optimized formulation and application protocols </w:t>
      </w:r>
      <w:r>
        <w:rPr>
          <w:rFonts w:cs="Arial"/>
          <w:sz w:val="20"/>
          <w:szCs w:val="20"/>
        </w:rPr>
        <w:fldChar w:fldCharType="begin"/>
      </w:r>
      <w:r>
        <w:rPr>
          <w:rFonts w:cs="Arial"/>
          <w:sz w:val="20"/>
          <w:szCs w:val="20"/>
        </w:rPr>
        <w:instrText xml:space="preserve"> ADDIN EN.CITE &lt;EndNote&gt;&lt;Cite&gt;&lt;Author&gt;Klessig&lt;/Author&gt;&lt;Year&gt;2018&lt;/Year&gt;&lt;RecNum&gt;49&lt;/RecNum&gt;&lt;DisplayText&gt;(15)&lt;/DisplayText&gt;&lt;record&gt;&lt;rec-number&gt;49&lt;/rec-number</w:instrText>
      </w:r>
      <w:r>
        <w:rPr>
          <w:rFonts w:cs="Arial"/>
          <w:sz w:val="20"/>
          <w:szCs w:val="20"/>
        </w:rPr>
        <w:instrText>&gt;&lt;foreign-keys&gt;&lt;key app="EN" db-id="dw2zpsea0sr9vme0z05x2aeppwsrp95axfr9" timestamp="1772066251"&gt;49&lt;/key&gt;&lt;/foreign-keys&gt;&lt;ref-type name="Journal Article"&gt;17&lt;/ref-type&gt;&lt;contributors&gt;&lt;authors&gt;&lt;author&gt;Klessig, Daniel F&lt;/author&gt;&lt;author&gt;Choi, Hyong Woo&lt;/author&gt;&lt;</w:instrText>
      </w:r>
      <w:r>
        <w:rPr>
          <w:rFonts w:cs="Arial"/>
          <w:sz w:val="20"/>
          <w:szCs w:val="20"/>
        </w:rPr>
        <w:instrText>author&gt;Dempsey, D’Maris Amick&lt;/author&gt;&lt;/authors&gt;&lt;/contributors&gt;&lt;titles&gt;&lt;title&gt;Systemic acquired resistance and salicylic acid: past, present, and future&lt;/title&gt;&lt;secondary-title&gt;Molecular plant-microbe interactions&lt;/secondary-title&gt;&lt;/titles&gt;&lt;periodical&gt;&lt;ful</w:instrText>
      </w:r>
      <w:r>
        <w:rPr>
          <w:rFonts w:cs="Arial"/>
          <w:sz w:val="20"/>
          <w:szCs w:val="20"/>
        </w:rPr>
        <w:instrText>l-title&gt;Molecular plant-microbe interactions&lt;/full-title&gt;&lt;/periodical&gt;&lt;pages&gt;871-888&lt;/pages&gt;&lt;volume&gt;31&lt;/volume&gt;&lt;number&gt;9&lt;/number&gt;&lt;dates&gt;&lt;year&gt;2018&lt;/year&gt;&lt;/dates&gt;&lt;isbn&gt;0894-0282&lt;/isbn&gt;&lt;urls&gt;&lt;/urls&gt;&lt;/record&gt;&lt;/Cite&gt;&lt;/EndNote&gt;</w:instrText>
      </w:r>
      <w:r>
        <w:rPr>
          <w:rFonts w:cs="Arial"/>
          <w:sz w:val="20"/>
          <w:szCs w:val="20"/>
        </w:rPr>
        <w:fldChar w:fldCharType="separate"/>
      </w:r>
      <w:r>
        <w:rPr>
          <w:rFonts w:cs="Arial"/>
          <w:sz w:val="20"/>
          <w:szCs w:val="20"/>
        </w:rPr>
        <w:t>(15)</w:t>
      </w:r>
      <w:r>
        <w:rPr>
          <w:rFonts w:cs="Arial"/>
          <w:sz w:val="20"/>
          <w:szCs w:val="20"/>
        </w:rPr>
        <w:fldChar w:fldCharType="end"/>
      </w:r>
      <w:r>
        <w:rPr>
          <w:rFonts w:cs="Arial"/>
        </w:rPr>
        <w:t>.</w:t>
      </w:r>
    </w:p>
    <w:p w14:paraId="36A8B576" w14:textId="77777777" w:rsidR="00D412BB" w:rsidRDefault="00DA3370">
      <w:pPr>
        <w:pStyle w:val="Heading1"/>
        <w:rPr>
          <w:color w:val="000000" w:themeColor="text1"/>
          <w:sz w:val="22"/>
          <w:szCs w:val="22"/>
        </w:rPr>
      </w:pPr>
      <w:r>
        <w:rPr>
          <w:color w:val="000000" w:themeColor="text1"/>
          <w:sz w:val="22"/>
          <w:szCs w:val="22"/>
        </w:rPr>
        <w:lastRenderedPageBreak/>
        <w:t>3. Materials and Methods</w:t>
      </w:r>
    </w:p>
    <w:p w14:paraId="0146504E" w14:textId="77777777" w:rsidR="00D412BB" w:rsidRDefault="00DA3370">
      <w:pPr>
        <w:pStyle w:val="Heading2"/>
        <w:rPr>
          <w:color w:val="000000" w:themeColor="text1"/>
          <w:sz w:val="22"/>
          <w:szCs w:val="22"/>
        </w:rPr>
      </w:pPr>
      <w:r>
        <w:rPr>
          <w:color w:val="000000" w:themeColor="text1"/>
          <w:sz w:val="22"/>
          <w:szCs w:val="22"/>
        </w:rPr>
        <w:t>3.1 Experimental Site and Crop Details</w:t>
      </w:r>
    </w:p>
    <w:p w14:paraId="01836B0D" w14:textId="77777777" w:rsidR="00D412BB" w:rsidRDefault="00DA3370">
      <w:pPr>
        <w:spacing w:before="100" w:after="160" w:line="360" w:lineRule="auto"/>
        <w:jc w:val="both"/>
        <w:rPr>
          <w:sz w:val="20"/>
          <w:szCs w:val="20"/>
        </w:rPr>
      </w:pPr>
      <w:r>
        <w:rPr>
          <w:rFonts w:cs="Arial"/>
          <w:sz w:val="20"/>
          <w:szCs w:val="20"/>
        </w:rPr>
        <w:t>The field experiment was conducted during the Rabi season of 2024–25 (November 2024 to February 2025) at the Agricultural Research Farm, Vikrant University, Gwalior, Madhya Pradesh, India. Gwalior is located at 26.22°</w:t>
      </w:r>
      <w:r>
        <w:rPr>
          <w:rFonts w:cs="Arial"/>
          <w:sz w:val="20"/>
          <w:szCs w:val="20"/>
        </w:rPr>
        <w:t>N latitude, 78.18°E longitude, at an altitude of approximately 212 m above mean sea level (AMSL). The climate is characterized as semi-arid, with cool winters (November–February) featuring daytime temperatures of 12–22°C and night temperatures occasionally</w:t>
      </w:r>
      <w:r>
        <w:rPr>
          <w:rFonts w:cs="Arial"/>
          <w:sz w:val="20"/>
          <w:szCs w:val="20"/>
        </w:rPr>
        <w:t xml:space="preserve"> dropping to 5–8°C, creating favorable conditions for white rust development.</w:t>
      </w:r>
    </w:p>
    <w:p w14:paraId="29AE735E" w14:textId="77777777" w:rsidR="00D412BB" w:rsidRDefault="00DA3370">
      <w:pPr>
        <w:spacing w:before="100" w:after="160" w:line="360" w:lineRule="auto"/>
        <w:jc w:val="both"/>
        <w:rPr>
          <w:sz w:val="20"/>
          <w:szCs w:val="20"/>
        </w:rPr>
      </w:pPr>
      <w:r>
        <w:rPr>
          <w:rFonts w:cs="Arial"/>
          <w:sz w:val="20"/>
          <w:szCs w:val="20"/>
        </w:rPr>
        <w:t>The test crop was Indian mustard (</w:t>
      </w:r>
      <w:r>
        <w:rPr>
          <w:rFonts w:cs="Arial"/>
          <w:i/>
          <w:iCs/>
          <w:sz w:val="20"/>
          <w:szCs w:val="20"/>
        </w:rPr>
        <w:t xml:space="preserve">Brassica </w:t>
      </w:r>
      <w:proofErr w:type="spellStart"/>
      <w:r>
        <w:rPr>
          <w:rFonts w:cs="Arial"/>
          <w:i/>
          <w:iCs/>
          <w:sz w:val="20"/>
          <w:szCs w:val="20"/>
        </w:rPr>
        <w:t>juncea</w:t>
      </w:r>
      <w:proofErr w:type="spellEnd"/>
      <w:r>
        <w:rPr>
          <w:rFonts w:cs="Arial"/>
          <w:sz w:val="20"/>
          <w:szCs w:val="20"/>
        </w:rPr>
        <w:t xml:space="preserve"> L.), variety </w:t>
      </w:r>
      <w:proofErr w:type="spellStart"/>
      <w:r>
        <w:rPr>
          <w:rFonts w:cs="Arial"/>
          <w:sz w:val="20"/>
          <w:szCs w:val="20"/>
        </w:rPr>
        <w:t>Varuna</w:t>
      </w:r>
      <w:proofErr w:type="spellEnd"/>
      <w:r>
        <w:rPr>
          <w:rFonts w:cs="Arial"/>
          <w:sz w:val="20"/>
          <w:szCs w:val="20"/>
        </w:rPr>
        <w:t xml:space="preserve"> a widely grown, moderately susceptible commercial variety. Seeds were sown in the last week of October 2024 </w:t>
      </w:r>
      <w:r>
        <w:rPr>
          <w:rFonts w:cs="Arial"/>
          <w:sz w:val="20"/>
          <w:szCs w:val="20"/>
        </w:rPr>
        <w:t>at a row spacing of 30 cm and plant-to-plant distance of 10 cm. Recommended agronomic practices including fertilization (80:40:40 kg NPK ha⁻¹), irrigation, and weed management were followed uniformly across all plots to ensure that treatment differences we</w:t>
      </w:r>
      <w:r>
        <w:rPr>
          <w:rFonts w:cs="Arial"/>
          <w:sz w:val="20"/>
          <w:szCs w:val="20"/>
        </w:rPr>
        <w:t>re solely attributable to disease management effects.</w:t>
      </w:r>
    </w:p>
    <w:p w14:paraId="248CB17B" w14:textId="77777777" w:rsidR="00D412BB" w:rsidRDefault="00DA3370">
      <w:pPr>
        <w:pStyle w:val="Heading2"/>
        <w:rPr>
          <w:color w:val="000000" w:themeColor="text1"/>
          <w:sz w:val="22"/>
          <w:szCs w:val="22"/>
        </w:rPr>
      </w:pPr>
      <w:r>
        <w:rPr>
          <w:color w:val="000000" w:themeColor="text1"/>
          <w:sz w:val="22"/>
          <w:szCs w:val="22"/>
        </w:rPr>
        <w:t>3.2 Experimental Design and Treatments</w:t>
      </w:r>
    </w:p>
    <w:p w14:paraId="44817C16" w14:textId="77777777" w:rsidR="00D412BB" w:rsidRDefault="00DA3370">
      <w:pPr>
        <w:spacing w:before="100" w:after="160" w:line="360" w:lineRule="auto"/>
        <w:jc w:val="both"/>
        <w:rPr>
          <w:sz w:val="20"/>
          <w:szCs w:val="20"/>
        </w:rPr>
      </w:pPr>
      <w:r>
        <w:rPr>
          <w:rFonts w:cs="Arial"/>
          <w:sz w:val="20"/>
          <w:szCs w:val="20"/>
        </w:rPr>
        <w:t xml:space="preserve">The experiment was laid out in a randomized block design (RBD) with seven treatment combinations replicated four times. Each treatment plot measured 5 m × 3 m (15 </w:t>
      </w:r>
      <w:r>
        <w:rPr>
          <w:rFonts w:cs="Arial"/>
          <w:sz w:val="20"/>
          <w:szCs w:val="20"/>
        </w:rPr>
        <w:t>m²), with a 1-m border row maintained on all sides to minimize inter-plot interference. A 0.5-m path between plots served as an isolation buffer. The seven treatments evaluated were as follows:</w:t>
      </w:r>
    </w:p>
    <w:p w14:paraId="36822342" w14:textId="77777777" w:rsidR="00D412BB" w:rsidRDefault="00DA3370">
      <w:pPr>
        <w:pStyle w:val="ListParagraph"/>
        <w:numPr>
          <w:ilvl w:val="0"/>
          <w:numId w:val="1"/>
        </w:numPr>
        <w:spacing w:before="80" w:after="80"/>
        <w:rPr>
          <w:sz w:val="20"/>
          <w:szCs w:val="20"/>
        </w:rPr>
      </w:pPr>
      <w:r>
        <w:rPr>
          <w:sz w:val="20"/>
          <w:szCs w:val="20"/>
        </w:rPr>
        <w:t>Control (untreated)</w:t>
      </w:r>
    </w:p>
    <w:p w14:paraId="398F733E" w14:textId="77777777" w:rsidR="00D412BB" w:rsidRDefault="00DA3370">
      <w:pPr>
        <w:pStyle w:val="ListParagraph"/>
        <w:numPr>
          <w:ilvl w:val="0"/>
          <w:numId w:val="1"/>
        </w:numPr>
        <w:spacing w:before="80" w:after="80"/>
        <w:rPr>
          <w:sz w:val="20"/>
          <w:szCs w:val="20"/>
        </w:rPr>
      </w:pPr>
      <w:r>
        <w:rPr>
          <w:i/>
          <w:iCs/>
          <w:sz w:val="20"/>
          <w:szCs w:val="20"/>
        </w:rPr>
        <w:t xml:space="preserve">Trichoderma </w:t>
      </w:r>
      <w:proofErr w:type="spellStart"/>
      <w:r>
        <w:rPr>
          <w:i/>
          <w:iCs/>
          <w:sz w:val="20"/>
          <w:szCs w:val="20"/>
        </w:rPr>
        <w:t>viride</w:t>
      </w:r>
      <w:proofErr w:type="spellEnd"/>
      <w:r>
        <w:rPr>
          <w:sz w:val="20"/>
          <w:szCs w:val="20"/>
        </w:rPr>
        <w:t xml:space="preserve"> (seed treatment @ 4 g k</w:t>
      </w:r>
      <w:r>
        <w:rPr>
          <w:sz w:val="20"/>
          <w:szCs w:val="20"/>
        </w:rPr>
        <w:t>g⁻¹ seed + soil application @ 2.5 kg ha⁻¹)</w:t>
      </w:r>
    </w:p>
    <w:p w14:paraId="4F44EA50" w14:textId="77777777" w:rsidR="00D412BB" w:rsidRDefault="00DA3370">
      <w:pPr>
        <w:pStyle w:val="ListParagraph"/>
        <w:numPr>
          <w:ilvl w:val="0"/>
          <w:numId w:val="1"/>
        </w:numPr>
        <w:spacing w:before="80" w:after="80"/>
        <w:rPr>
          <w:sz w:val="20"/>
          <w:szCs w:val="20"/>
        </w:rPr>
      </w:pPr>
      <w:r>
        <w:rPr>
          <w:i/>
          <w:iCs/>
          <w:sz w:val="20"/>
          <w:szCs w:val="20"/>
        </w:rPr>
        <w:t>Pseudomonas fluorescens</w:t>
      </w:r>
      <w:r>
        <w:rPr>
          <w:sz w:val="20"/>
          <w:szCs w:val="20"/>
        </w:rPr>
        <w:t xml:space="preserve"> (seed treatment @ 10 ml kg⁻¹ seed + foliar spray @ 2.5 kg ha⁻¹)</w:t>
      </w:r>
    </w:p>
    <w:p w14:paraId="21DDE245" w14:textId="77777777" w:rsidR="00D412BB" w:rsidRDefault="00DA3370">
      <w:pPr>
        <w:pStyle w:val="ListParagraph"/>
        <w:numPr>
          <w:ilvl w:val="0"/>
          <w:numId w:val="1"/>
        </w:numPr>
        <w:spacing w:before="80" w:after="80"/>
        <w:rPr>
          <w:sz w:val="20"/>
          <w:szCs w:val="20"/>
        </w:rPr>
      </w:pPr>
      <w:r>
        <w:rPr>
          <w:i/>
          <w:iCs/>
          <w:sz w:val="20"/>
          <w:szCs w:val="20"/>
        </w:rPr>
        <w:t xml:space="preserve">T. </w:t>
      </w:r>
      <w:proofErr w:type="spellStart"/>
      <w:r>
        <w:rPr>
          <w:i/>
          <w:iCs/>
          <w:sz w:val="20"/>
          <w:szCs w:val="20"/>
        </w:rPr>
        <w:t>viride</w:t>
      </w:r>
      <w:proofErr w:type="spellEnd"/>
      <w:r>
        <w:rPr>
          <w:sz w:val="20"/>
          <w:szCs w:val="20"/>
        </w:rPr>
        <w:t xml:space="preserve"> + </w:t>
      </w:r>
      <w:r>
        <w:rPr>
          <w:i/>
          <w:iCs/>
          <w:sz w:val="20"/>
          <w:szCs w:val="20"/>
        </w:rPr>
        <w:t>P. fluorescens</w:t>
      </w:r>
      <w:r>
        <w:rPr>
          <w:sz w:val="20"/>
          <w:szCs w:val="20"/>
        </w:rPr>
        <w:t xml:space="preserve"> (combined seed treatment + soil and foliar application)</w:t>
      </w:r>
    </w:p>
    <w:p w14:paraId="583E376C" w14:textId="77777777" w:rsidR="00D412BB" w:rsidRDefault="00DA3370">
      <w:pPr>
        <w:pStyle w:val="ListParagraph"/>
        <w:numPr>
          <w:ilvl w:val="0"/>
          <w:numId w:val="1"/>
        </w:numPr>
        <w:spacing w:before="80" w:after="80"/>
        <w:rPr>
          <w:sz w:val="20"/>
          <w:szCs w:val="20"/>
        </w:rPr>
      </w:pPr>
      <w:r>
        <w:rPr>
          <w:sz w:val="20"/>
          <w:szCs w:val="20"/>
        </w:rPr>
        <w:t>Garlic extract</w:t>
      </w:r>
      <w:r>
        <w:rPr>
          <w:sz w:val="20"/>
          <w:szCs w:val="20"/>
        </w:rPr>
        <w:t xml:space="preserve"> 5% (foliar spray at 30, 45, and 60 DAS)</w:t>
      </w:r>
    </w:p>
    <w:p w14:paraId="65E11993" w14:textId="77777777" w:rsidR="00D412BB" w:rsidRDefault="00DA3370">
      <w:pPr>
        <w:pStyle w:val="ListParagraph"/>
        <w:numPr>
          <w:ilvl w:val="0"/>
          <w:numId w:val="1"/>
        </w:numPr>
        <w:spacing w:before="80" w:after="80"/>
      </w:pPr>
      <w:r>
        <w:rPr>
          <w:sz w:val="20"/>
          <w:szCs w:val="20"/>
        </w:rPr>
        <w:t>Salicylic acid 0.1% (foliar spray at 30, 45, and 60 DAS</w:t>
      </w:r>
      <w:r>
        <w:t>)</w:t>
      </w:r>
    </w:p>
    <w:p w14:paraId="079F1976" w14:textId="77777777" w:rsidR="00D412BB" w:rsidRDefault="00DA3370">
      <w:pPr>
        <w:pStyle w:val="ListParagraph"/>
        <w:numPr>
          <w:ilvl w:val="0"/>
          <w:numId w:val="1"/>
        </w:numPr>
        <w:spacing w:before="80" w:after="80"/>
        <w:rPr>
          <w:sz w:val="20"/>
          <w:szCs w:val="20"/>
        </w:rPr>
      </w:pPr>
      <w:r>
        <w:rPr>
          <w:sz w:val="20"/>
          <w:szCs w:val="20"/>
        </w:rPr>
        <w:t>Mancozeb 75% WP @ 0.25% (foliar spray at first sign of disease, repeated at 15-day intervals)</w:t>
      </w:r>
    </w:p>
    <w:p w14:paraId="7DA07D69" w14:textId="77777777" w:rsidR="00D412BB" w:rsidRDefault="00DA3370">
      <w:pPr>
        <w:pStyle w:val="Heading2"/>
        <w:rPr>
          <w:color w:val="000000" w:themeColor="text1"/>
          <w:sz w:val="22"/>
          <w:szCs w:val="22"/>
        </w:rPr>
      </w:pPr>
      <w:r>
        <w:rPr>
          <w:color w:val="000000" w:themeColor="text1"/>
          <w:sz w:val="22"/>
          <w:szCs w:val="22"/>
        </w:rPr>
        <w:t>3.3 Disease Assessment Parameters</w:t>
      </w:r>
    </w:p>
    <w:p w14:paraId="10F8122B" w14:textId="77777777" w:rsidR="00D412BB" w:rsidRDefault="00DA3370">
      <w:pPr>
        <w:spacing w:before="100" w:after="160" w:line="360" w:lineRule="auto"/>
        <w:jc w:val="both"/>
        <w:rPr>
          <w:sz w:val="20"/>
          <w:szCs w:val="20"/>
        </w:rPr>
      </w:pPr>
      <w:r>
        <w:rPr>
          <w:rFonts w:cs="Arial"/>
          <w:sz w:val="20"/>
          <w:szCs w:val="20"/>
        </w:rPr>
        <w:t>Disease assessment was perform</w:t>
      </w:r>
      <w:r>
        <w:rPr>
          <w:rFonts w:cs="Arial"/>
          <w:sz w:val="20"/>
          <w:szCs w:val="20"/>
        </w:rPr>
        <w:t xml:space="preserve">ed at weekly intervals from 30 days after sowing (DAS) through crop maturity. A minimum of 20 randomly selected plants per plot were tagged and assessed at each observation </w:t>
      </w:r>
      <w:r>
        <w:rPr>
          <w:rFonts w:cs="Arial"/>
          <w:sz w:val="20"/>
          <w:szCs w:val="20"/>
        </w:rPr>
        <w:fldChar w:fldCharType="begin"/>
      </w:r>
      <w:r>
        <w:rPr>
          <w:rFonts w:cs="Arial"/>
          <w:sz w:val="20"/>
          <w:szCs w:val="20"/>
        </w:rPr>
        <w:instrText xml:space="preserve"> ADDIN EN.CITE &lt;EndNote&gt;&lt;Cite&gt;&lt;Author&gt;Das&lt;/Author&gt;&lt;Year&gt;2020&lt;/Year&gt;&lt;RecNum&gt;52&lt;/RecN</w:instrText>
      </w:r>
      <w:r>
        <w:rPr>
          <w:rFonts w:cs="Arial"/>
          <w:sz w:val="20"/>
          <w:szCs w:val="20"/>
        </w:rPr>
        <w:instrText>um&gt;&lt;DisplayText&gt;(18)&lt;/DisplayText&gt;&lt;record&gt;&lt;rec-number&gt;52&lt;/rec-number&gt;&lt;foreign-keys&gt;&lt;key app="EN" db-id="dw2zpsea0sr9vme0z05x2aeppwsrp95axfr9" timestamp="1772066423"&gt;52&lt;/key&gt;&lt;/foreign-keys&gt;&lt;ref-type name="Journal Article"&gt;17&lt;/ref-type&gt;&lt;contributors&gt;&lt;authors</w:instrText>
      </w:r>
      <w:r>
        <w:rPr>
          <w:rFonts w:cs="Arial"/>
          <w:sz w:val="20"/>
          <w:szCs w:val="20"/>
        </w:rPr>
        <w:instrText>&gt;&lt;author&gt;Das, Siddhartha&lt;/author&gt;&lt;author&gt;Pattanayak, Sudeepta&lt;/author&gt;&lt;author&gt;Bammidi, Madhavi&lt;/author&gt;&lt;/authors&gt;&lt;/contributors&gt;&lt;titles&gt;&lt;title&gt;A real time surveillance on disease and pest monitoring, characterization and conventional management strategy of</w:instrText>
      </w:r>
      <w:r>
        <w:rPr>
          <w:rFonts w:cs="Arial"/>
          <w:sz w:val="20"/>
          <w:szCs w:val="20"/>
        </w:rPr>
        <w:instrText xml:space="preserve"> major cultivated crops in tropical savanna climatic region of Srikakulam Andhra Pradesh&lt;/title&gt;&lt;secondary-title&gt;IJCS&lt;/secondary-title&gt;&lt;/titles&gt;&lt;periodical&gt;&lt;full-title&gt;IJCS&lt;/full-title&gt;&lt;/periodical&gt;&lt;pages&gt;958-971&lt;/pages&gt;&lt;volume&gt;8&lt;/volume&gt;&lt;number&gt;3&lt;/number&gt;</w:instrText>
      </w:r>
      <w:r>
        <w:rPr>
          <w:rFonts w:cs="Arial"/>
          <w:sz w:val="20"/>
          <w:szCs w:val="20"/>
        </w:rPr>
        <w:instrText>&lt;dates&gt;&lt;year&gt;2020&lt;/year&gt;&lt;/dates&gt;&lt;urls&gt;&lt;/urls&gt;&lt;/record&gt;&lt;/Cite&gt;&lt;/EndNote&gt;</w:instrText>
      </w:r>
      <w:r>
        <w:rPr>
          <w:rFonts w:cs="Arial"/>
          <w:sz w:val="20"/>
          <w:szCs w:val="20"/>
        </w:rPr>
        <w:fldChar w:fldCharType="separate"/>
      </w:r>
      <w:r>
        <w:rPr>
          <w:rFonts w:cs="Arial"/>
          <w:sz w:val="20"/>
          <w:szCs w:val="20"/>
        </w:rPr>
        <w:t>(18)</w:t>
      </w:r>
      <w:r>
        <w:rPr>
          <w:rFonts w:cs="Arial"/>
          <w:sz w:val="20"/>
          <w:szCs w:val="20"/>
        </w:rPr>
        <w:fldChar w:fldCharType="end"/>
      </w:r>
      <w:r>
        <w:rPr>
          <w:rFonts w:cs="Arial"/>
          <w:sz w:val="20"/>
          <w:szCs w:val="20"/>
        </w:rPr>
        <w:t>. The following parameters were recorded:</w:t>
      </w:r>
    </w:p>
    <w:p w14:paraId="17DDBA30" w14:textId="77777777" w:rsidR="00D412BB" w:rsidRDefault="00DA3370">
      <w:pPr>
        <w:spacing w:before="100" w:after="160" w:line="360" w:lineRule="auto"/>
        <w:jc w:val="both"/>
        <w:rPr>
          <w:sz w:val="20"/>
          <w:szCs w:val="20"/>
        </w:rPr>
      </w:pPr>
      <w:r>
        <w:rPr>
          <w:rFonts w:cs="Arial"/>
          <w:sz w:val="20"/>
          <w:szCs w:val="20"/>
        </w:rPr>
        <w:t>Disease Incidence (%): Calculated as the number of infected plants as a proportion of the total number of plants observed per plot, expr</w:t>
      </w:r>
      <w:r>
        <w:rPr>
          <w:rFonts w:cs="Arial"/>
          <w:sz w:val="20"/>
          <w:szCs w:val="20"/>
        </w:rPr>
        <w:t>essed as a percentage.</w:t>
      </w:r>
      <w:bookmarkStart w:id="0" w:name="_GoBack"/>
      <w:bookmarkEnd w:id="0"/>
    </w:p>
    <w:p w14:paraId="303C909D" w14:textId="77777777" w:rsidR="00D412BB" w:rsidRDefault="00DA3370">
      <w:pPr>
        <w:spacing w:before="100" w:after="160" w:line="360" w:lineRule="auto"/>
        <w:jc w:val="both"/>
        <w:rPr>
          <w:sz w:val="20"/>
          <w:szCs w:val="20"/>
        </w:rPr>
      </w:pPr>
      <w:r>
        <w:rPr>
          <w:rFonts w:cs="Arial"/>
          <w:sz w:val="20"/>
          <w:szCs w:val="20"/>
        </w:rPr>
        <w:lastRenderedPageBreak/>
        <w:t>Percent Disease Index (PDI): A composite measure of disease severity, calculated using the formula: PDI = (Sum of numerical ratings / Maximum disease rating × Total plants observed) × 100. A standard 0–9 numerical rating scale was us</w:t>
      </w:r>
      <w:r>
        <w:rPr>
          <w:rFonts w:cs="Arial"/>
          <w:sz w:val="20"/>
          <w:szCs w:val="20"/>
        </w:rPr>
        <w:t>ed for PDI assessment (Table 3).</w:t>
      </w:r>
    </w:p>
    <w:p w14:paraId="1E84B453" w14:textId="77777777" w:rsidR="00D412BB" w:rsidRDefault="00DA3370">
      <w:pPr>
        <w:spacing w:before="200" w:after="100"/>
        <w:rPr>
          <w:i/>
          <w:iCs/>
        </w:rPr>
      </w:pPr>
      <w:r>
        <w:rPr>
          <w:rFonts w:cs="Arial"/>
          <w:b/>
          <w:bCs/>
          <w:i/>
          <w:iCs/>
        </w:rPr>
        <w:t>Table 1: Disease Severity Rating Scale for White Rust Assessment</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2000"/>
        <w:gridCol w:w="3000"/>
        <w:gridCol w:w="2800"/>
      </w:tblGrid>
      <w:tr w:rsidR="00D412BB" w14:paraId="2AB83A27" w14:textId="77777777">
        <w:trPr>
          <w:tblHeader/>
        </w:trPr>
        <w:tc>
          <w:tcPr>
            <w:tcW w:w="156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64068D19" w14:textId="77777777" w:rsidR="00D412BB" w:rsidRDefault="00DA3370">
            <w:pPr>
              <w:jc w:val="center"/>
            </w:pPr>
            <w:r>
              <w:rPr>
                <w:rFonts w:cs="Arial"/>
                <w:b/>
                <w:bCs/>
                <w:color w:val="FFFFFF"/>
                <w:sz w:val="20"/>
                <w:szCs w:val="20"/>
              </w:rPr>
              <w:t>Rating</w:t>
            </w:r>
          </w:p>
        </w:tc>
        <w:tc>
          <w:tcPr>
            <w:tcW w:w="20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6A5FD3B8" w14:textId="77777777" w:rsidR="00D412BB" w:rsidRDefault="00DA3370">
            <w:pPr>
              <w:jc w:val="center"/>
            </w:pPr>
            <w:r>
              <w:rPr>
                <w:rFonts w:cs="Arial"/>
                <w:b/>
                <w:bCs/>
                <w:color w:val="FFFFFF"/>
                <w:sz w:val="20"/>
                <w:szCs w:val="20"/>
              </w:rPr>
              <w:t>PDI Range (%)</w:t>
            </w:r>
          </w:p>
        </w:tc>
        <w:tc>
          <w:tcPr>
            <w:tcW w:w="30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794A194D" w14:textId="77777777" w:rsidR="00D412BB" w:rsidRDefault="00DA3370">
            <w:pPr>
              <w:jc w:val="center"/>
            </w:pPr>
            <w:r>
              <w:rPr>
                <w:rFonts w:cs="Arial"/>
                <w:b/>
                <w:bCs/>
                <w:color w:val="FFFFFF"/>
                <w:sz w:val="20"/>
                <w:szCs w:val="20"/>
              </w:rPr>
              <w:t>Description</w:t>
            </w:r>
          </w:p>
        </w:tc>
        <w:tc>
          <w:tcPr>
            <w:tcW w:w="28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2AB9888C" w14:textId="77777777" w:rsidR="00D412BB" w:rsidRDefault="00DA3370">
            <w:pPr>
              <w:jc w:val="center"/>
            </w:pPr>
            <w:r>
              <w:rPr>
                <w:rFonts w:cs="Arial"/>
                <w:b/>
                <w:bCs/>
                <w:color w:val="FFFFFF"/>
                <w:sz w:val="20"/>
                <w:szCs w:val="20"/>
              </w:rPr>
              <w:t>Crop Response</w:t>
            </w:r>
          </w:p>
        </w:tc>
      </w:tr>
      <w:tr w:rsidR="00D412BB" w14:paraId="3BDB21CB" w14:textId="77777777">
        <w:tc>
          <w:tcPr>
            <w:tcW w:w="1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89BB518" w14:textId="77777777" w:rsidR="00D412BB" w:rsidRDefault="00DA3370">
            <w:pPr>
              <w:jc w:val="center"/>
              <w:rPr>
                <w:sz w:val="20"/>
                <w:szCs w:val="20"/>
              </w:rPr>
            </w:pPr>
            <w:r>
              <w:rPr>
                <w:rFonts w:cs="Arial"/>
                <w:color w:val="000000"/>
                <w:sz w:val="20"/>
                <w:szCs w:val="20"/>
              </w:rPr>
              <w:t>1</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87F4C23" w14:textId="77777777" w:rsidR="00D412BB" w:rsidRDefault="00DA3370">
            <w:pPr>
              <w:jc w:val="center"/>
              <w:rPr>
                <w:sz w:val="20"/>
                <w:szCs w:val="20"/>
              </w:rPr>
            </w:pPr>
            <w:r>
              <w:rPr>
                <w:rFonts w:cs="Arial"/>
                <w:color w:val="000000"/>
                <w:sz w:val="20"/>
                <w:szCs w:val="20"/>
              </w:rPr>
              <w:t>0–10</w:t>
            </w:r>
          </w:p>
        </w:tc>
        <w:tc>
          <w:tcPr>
            <w:tcW w:w="3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6989C48" w14:textId="77777777" w:rsidR="00D412BB" w:rsidRDefault="00DA3370">
            <w:pPr>
              <w:jc w:val="center"/>
              <w:rPr>
                <w:sz w:val="20"/>
                <w:szCs w:val="20"/>
              </w:rPr>
            </w:pPr>
            <w:r>
              <w:rPr>
                <w:rFonts w:cs="Arial"/>
                <w:color w:val="000000"/>
                <w:sz w:val="20"/>
                <w:szCs w:val="20"/>
              </w:rPr>
              <w:t>Highly Resistant</w:t>
            </w:r>
          </w:p>
        </w:tc>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7B02728" w14:textId="77777777" w:rsidR="00D412BB" w:rsidRDefault="00DA3370">
            <w:pPr>
              <w:jc w:val="center"/>
              <w:rPr>
                <w:sz w:val="20"/>
                <w:szCs w:val="20"/>
              </w:rPr>
            </w:pPr>
            <w:r>
              <w:rPr>
                <w:rFonts w:cs="Arial"/>
                <w:color w:val="000000"/>
                <w:sz w:val="20"/>
                <w:szCs w:val="20"/>
              </w:rPr>
              <w:t>No significant yield loss</w:t>
            </w:r>
          </w:p>
        </w:tc>
      </w:tr>
      <w:tr w:rsidR="00D412BB" w14:paraId="5FF8CB56" w14:textId="77777777">
        <w:tc>
          <w:tcPr>
            <w:tcW w:w="1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0AC30C0" w14:textId="77777777" w:rsidR="00D412BB" w:rsidRDefault="00DA3370">
            <w:pPr>
              <w:jc w:val="center"/>
              <w:rPr>
                <w:sz w:val="20"/>
                <w:szCs w:val="20"/>
              </w:rPr>
            </w:pPr>
            <w:r>
              <w:rPr>
                <w:rFonts w:cs="Arial"/>
                <w:color w:val="000000"/>
                <w:sz w:val="20"/>
                <w:szCs w:val="20"/>
              </w:rPr>
              <w:t>3</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8D724F2" w14:textId="77777777" w:rsidR="00D412BB" w:rsidRDefault="00DA3370">
            <w:pPr>
              <w:jc w:val="center"/>
              <w:rPr>
                <w:sz w:val="20"/>
                <w:szCs w:val="20"/>
              </w:rPr>
            </w:pPr>
            <w:r>
              <w:rPr>
                <w:rFonts w:cs="Arial"/>
                <w:color w:val="000000"/>
                <w:sz w:val="20"/>
                <w:szCs w:val="20"/>
              </w:rPr>
              <w:t>11–25</w:t>
            </w:r>
          </w:p>
        </w:tc>
        <w:tc>
          <w:tcPr>
            <w:tcW w:w="3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0B120AC" w14:textId="77777777" w:rsidR="00D412BB" w:rsidRDefault="00DA3370">
            <w:pPr>
              <w:jc w:val="center"/>
              <w:rPr>
                <w:sz w:val="20"/>
                <w:szCs w:val="20"/>
              </w:rPr>
            </w:pPr>
            <w:r>
              <w:rPr>
                <w:rFonts w:cs="Arial"/>
                <w:color w:val="000000"/>
                <w:sz w:val="20"/>
                <w:szCs w:val="20"/>
              </w:rPr>
              <w:t>Resistant</w:t>
            </w:r>
          </w:p>
        </w:tc>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63F2846" w14:textId="77777777" w:rsidR="00D412BB" w:rsidRDefault="00DA3370">
            <w:pPr>
              <w:jc w:val="center"/>
              <w:rPr>
                <w:sz w:val="20"/>
                <w:szCs w:val="20"/>
              </w:rPr>
            </w:pPr>
            <w:r>
              <w:rPr>
                <w:rFonts w:cs="Arial"/>
                <w:color w:val="000000"/>
                <w:sz w:val="20"/>
                <w:szCs w:val="20"/>
              </w:rPr>
              <w:t>Minimal yield reduction (&lt;10%)</w:t>
            </w:r>
          </w:p>
        </w:tc>
      </w:tr>
      <w:tr w:rsidR="00D412BB" w14:paraId="3E28C9CF" w14:textId="77777777">
        <w:tc>
          <w:tcPr>
            <w:tcW w:w="1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69D99A3" w14:textId="77777777" w:rsidR="00D412BB" w:rsidRDefault="00DA3370">
            <w:pPr>
              <w:jc w:val="center"/>
              <w:rPr>
                <w:sz w:val="20"/>
                <w:szCs w:val="20"/>
              </w:rPr>
            </w:pPr>
            <w:r>
              <w:rPr>
                <w:rFonts w:cs="Arial"/>
                <w:color w:val="000000"/>
                <w:sz w:val="20"/>
                <w:szCs w:val="20"/>
              </w:rPr>
              <w:t>5</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71C003E" w14:textId="77777777" w:rsidR="00D412BB" w:rsidRDefault="00DA3370">
            <w:pPr>
              <w:jc w:val="center"/>
              <w:rPr>
                <w:sz w:val="20"/>
                <w:szCs w:val="20"/>
              </w:rPr>
            </w:pPr>
            <w:r>
              <w:rPr>
                <w:rFonts w:cs="Arial"/>
                <w:color w:val="000000"/>
                <w:sz w:val="20"/>
                <w:szCs w:val="20"/>
              </w:rPr>
              <w:t>26–50</w:t>
            </w:r>
          </w:p>
        </w:tc>
        <w:tc>
          <w:tcPr>
            <w:tcW w:w="3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842384C" w14:textId="77777777" w:rsidR="00D412BB" w:rsidRDefault="00DA3370">
            <w:pPr>
              <w:jc w:val="center"/>
              <w:rPr>
                <w:sz w:val="20"/>
                <w:szCs w:val="20"/>
              </w:rPr>
            </w:pPr>
            <w:r>
              <w:rPr>
                <w:rFonts w:cs="Arial"/>
                <w:color w:val="000000"/>
                <w:sz w:val="20"/>
                <w:szCs w:val="20"/>
              </w:rPr>
              <w:t>Moderately Susceptible</w:t>
            </w:r>
          </w:p>
        </w:tc>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F76730F" w14:textId="77777777" w:rsidR="00D412BB" w:rsidRDefault="00DA3370">
            <w:pPr>
              <w:jc w:val="center"/>
              <w:rPr>
                <w:sz w:val="20"/>
                <w:szCs w:val="20"/>
              </w:rPr>
            </w:pPr>
            <w:r>
              <w:rPr>
                <w:rFonts w:cs="Arial"/>
                <w:color w:val="000000"/>
                <w:sz w:val="20"/>
                <w:szCs w:val="20"/>
              </w:rPr>
              <w:t>Moderate loss (10–25%)</w:t>
            </w:r>
          </w:p>
        </w:tc>
      </w:tr>
      <w:tr w:rsidR="00D412BB" w14:paraId="525F89A8" w14:textId="77777777">
        <w:tc>
          <w:tcPr>
            <w:tcW w:w="1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DD2EF5A" w14:textId="77777777" w:rsidR="00D412BB" w:rsidRDefault="00DA3370">
            <w:pPr>
              <w:jc w:val="center"/>
              <w:rPr>
                <w:sz w:val="20"/>
                <w:szCs w:val="20"/>
              </w:rPr>
            </w:pPr>
            <w:r>
              <w:rPr>
                <w:rFonts w:cs="Arial"/>
                <w:color w:val="000000"/>
                <w:sz w:val="20"/>
                <w:szCs w:val="20"/>
              </w:rPr>
              <w:t>7</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03531C6" w14:textId="77777777" w:rsidR="00D412BB" w:rsidRDefault="00DA3370">
            <w:pPr>
              <w:jc w:val="center"/>
              <w:rPr>
                <w:sz w:val="20"/>
                <w:szCs w:val="20"/>
              </w:rPr>
            </w:pPr>
            <w:r>
              <w:rPr>
                <w:rFonts w:cs="Arial"/>
                <w:color w:val="000000"/>
                <w:sz w:val="20"/>
                <w:szCs w:val="20"/>
              </w:rPr>
              <w:t>51–75</w:t>
            </w:r>
          </w:p>
        </w:tc>
        <w:tc>
          <w:tcPr>
            <w:tcW w:w="3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3C37036" w14:textId="77777777" w:rsidR="00D412BB" w:rsidRDefault="00DA3370">
            <w:pPr>
              <w:jc w:val="center"/>
              <w:rPr>
                <w:sz w:val="20"/>
                <w:szCs w:val="20"/>
              </w:rPr>
            </w:pPr>
            <w:r>
              <w:rPr>
                <w:rFonts w:cs="Arial"/>
                <w:color w:val="000000"/>
                <w:sz w:val="20"/>
                <w:szCs w:val="20"/>
              </w:rPr>
              <w:t>Susceptible</w:t>
            </w:r>
          </w:p>
        </w:tc>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BB4CE6A" w14:textId="77777777" w:rsidR="00D412BB" w:rsidRDefault="00DA3370">
            <w:pPr>
              <w:jc w:val="center"/>
              <w:rPr>
                <w:sz w:val="20"/>
                <w:szCs w:val="20"/>
              </w:rPr>
            </w:pPr>
            <w:r>
              <w:rPr>
                <w:rFonts w:cs="Arial"/>
                <w:color w:val="000000"/>
                <w:sz w:val="20"/>
                <w:szCs w:val="20"/>
              </w:rPr>
              <w:t>Severe loss (25–50%)</w:t>
            </w:r>
          </w:p>
        </w:tc>
      </w:tr>
      <w:tr w:rsidR="00D412BB" w14:paraId="12777C41" w14:textId="77777777">
        <w:tc>
          <w:tcPr>
            <w:tcW w:w="1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630C102" w14:textId="77777777" w:rsidR="00D412BB" w:rsidRDefault="00DA3370">
            <w:pPr>
              <w:jc w:val="center"/>
              <w:rPr>
                <w:sz w:val="20"/>
                <w:szCs w:val="20"/>
              </w:rPr>
            </w:pPr>
            <w:r>
              <w:rPr>
                <w:rFonts w:cs="Arial"/>
                <w:color w:val="000000"/>
                <w:sz w:val="20"/>
                <w:szCs w:val="20"/>
              </w:rPr>
              <w:t>9</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7692E71" w14:textId="77777777" w:rsidR="00D412BB" w:rsidRDefault="00DA3370">
            <w:pPr>
              <w:jc w:val="center"/>
              <w:rPr>
                <w:sz w:val="20"/>
                <w:szCs w:val="20"/>
              </w:rPr>
            </w:pPr>
            <w:r>
              <w:rPr>
                <w:rFonts w:cs="Arial"/>
                <w:color w:val="000000"/>
                <w:sz w:val="20"/>
                <w:szCs w:val="20"/>
              </w:rPr>
              <w:t>&gt;75</w:t>
            </w:r>
          </w:p>
        </w:tc>
        <w:tc>
          <w:tcPr>
            <w:tcW w:w="3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92747D1" w14:textId="77777777" w:rsidR="00D412BB" w:rsidRDefault="00DA3370">
            <w:pPr>
              <w:jc w:val="center"/>
              <w:rPr>
                <w:sz w:val="20"/>
                <w:szCs w:val="20"/>
              </w:rPr>
            </w:pPr>
            <w:r>
              <w:rPr>
                <w:rFonts w:cs="Arial"/>
                <w:color w:val="000000"/>
                <w:sz w:val="20"/>
                <w:szCs w:val="20"/>
              </w:rPr>
              <w:t>Highly Susceptible</w:t>
            </w:r>
          </w:p>
        </w:tc>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2FB018E" w14:textId="77777777" w:rsidR="00D412BB" w:rsidRDefault="00DA3370">
            <w:pPr>
              <w:jc w:val="center"/>
              <w:rPr>
                <w:sz w:val="20"/>
                <w:szCs w:val="20"/>
              </w:rPr>
            </w:pPr>
            <w:r>
              <w:rPr>
                <w:rFonts w:cs="Arial"/>
                <w:color w:val="000000"/>
                <w:sz w:val="20"/>
                <w:szCs w:val="20"/>
              </w:rPr>
              <w:t>Crop failure (&gt;50% loss)</w:t>
            </w:r>
          </w:p>
        </w:tc>
      </w:tr>
    </w:tbl>
    <w:p w14:paraId="0CE69106" w14:textId="77777777" w:rsidR="00D412BB" w:rsidRDefault="00DA3370">
      <w:pPr>
        <w:spacing w:before="80" w:after="200"/>
      </w:pPr>
      <w:r>
        <w:rPr>
          <w:rFonts w:cs="Arial"/>
          <w:i/>
          <w:iCs/>
          <w:sz w:val="18"/>
          <w:szCs w:val="18"/>
        </w:rPr>
        <w:t>* PDI values represent approximate ranges; intermediate ratings (2, 4, 6, 8) used for borderline cases.</w:t>
      </w:r>
    </w:p>
    <w:p w14:paraId="04564AA1" w14:textId="77777777" w:rsidR="00D412BB" w:rsidRDefault="00DA3370">
      <w:pPr>
        <w:pStyle w:val="Heading2"/>
        <w:rPr>
          <w:color w:val="000000" w:themeColor="text1"/>
          <w:sz w:val="22"/>
          <w:szCs w:val="22"/>
        </w:rPr>
      </w:pPr>
      <w:r>
        <w:rPr>
          <w:color w:val="000000" w:themeColor="text1"/>
          <w:sz w:val="22"/>
          <w:szCs w:val="22"/>
        </w:rPr>
        <w:t xml:space="preserve">3.4 Yield </w:t>
      </w:r>
      <w:r>
        <w:rPr>
          <w:color w:val="000000" w:themeColor="text1"/>
          <w:sz w:val="22"/>
          <w:szCs w:val="22"/>
        </w:rPr>
        <w:t>Recording</w:t>
      </w:r>
    </w:p>
    <w:p w14:paraId="7D79C5D8" w14:textId="77777777" w:rsidR="00D412BB" w:rsidRDefault="00DA3370">
      <w:pPr>
        <w:spacing w:before="100" w:after="160" w:line="360" w:lineRule="auto"/>
        <w:jc w:val="both"/>
      </w:pPr>
      <w:r>
        <w:rPr>
          <w:rFonts w:cs="Arial"/>
          <w:sz w:val="20"/>
          <w:szCs w:val="20"/>
        </w:rPr>
        <w:t>At physiological maturity (approximately 115–120 DAS), plants from each plot were harvested from a central area of 4 m × 2 m to avoid border effects. The harvested material was threshed, cleaned, and seed yield was recorded from each net plot. Yi</w:t>
      </w:r>
      <w:r>
        <w:rPr>
          <w:rFonts w:cs="Arial"/>
          <w:sz w:val="20"/>
          <w:szCs w:val="20"/>
        </w:rPr>
        <w:t xml:space="preserve">elds were standardized to 10% moisture content and expressed as kg ha⁻¹ for comparative analysis </w:t>
      </w:r>
      <w:r>
        <w:rPr>
          <w:rFonts w:cs="Arial"/>
          <w:sz w:val="20"/>
          <w:szCs w:val="20"/>
        </w:rPr>
        <w:fldChar w:fldCharType="begin"/>
      </w:r>
      <w:r>
        <w:rPr>
          <w:rFonts w:cs="Arial"/>
          <w:sz w:val="20"/>
          <w:szCs w:val="20"/>
        </w:rPr>
        <w:instrText xml:space="preserve"> ADDIN EN.CITE &lt;EndNote&gt;&lt;Cite&gt;&lt;Author&gt;Oelke&lt;/Author&gt;&lt;Year&gt;1969&lt;/Year&gt;&lt;RecNum&gt;53&lt;/RecNum&gt;&lt;DisplayText&gt;(19)&lt;/DisplayText&gt;&lt;record&gt;&lt;rec-number&gt;53&lt;/rec-number&gt;&lt;fore</w:instrText>
      </w:r>
      <w:r>
        <w:rPr>
          <w:rFonts w:cs="Arial"/>
          <w:sz w:val="20"/>
          <w:szCs w:val="20"/>
        </w:rPr>
        <w:instrText>ign-keys&gt;&lt;key app="EN" db-id="dw2zpsea0sr9vme0z05x2aeppwsrp95axfr9" timestamp="1772066470"&gt;53&lt;/key&gt;&lt;/foreign-keys&gt;&lt;ref-type name="Journal Article"&gt;17&lt;/ref-type&gt;&lt;contributors&gt;&lt;authors&gt;&lt;author&gt;Oelke, EA&lt;/author&gt;&lt;author&gt;Ball, RB&lt;/author&gt;&lt;author&gt;Wick, CM&lt;/auth</w:instrText>
      </w:r>
      <w:r>
        <w:rPr>
          <w:rFonts w:cs="Arial"/>
          <w:sz w:val="20"/>
          <w:szCs w:val="20"/>
        </w:rPr>
        <w:instrText>or&gt;&lt;author&gt;Miller, MD&lt;/author&gt;&lt;/authors&gt;&lt;/contributors&gt;&lt;titles&gt;&lt;title&gt;Influence of Grain Moisture at Harvest on Seed Yield, Quality, and Seedling Vigor of Rice 1&lt;/title&gt;&lt;secondary-title&gt;Crop Science&lt;/secondary-title&gt;&lt;/titles&gt;&lt;periodical&gt;&lt;full-title&gt;Crop Sc</w:instrText>
      </w:r>
      <w:r>
        <w:rPr>
          <w:rFonts w:cs="Arial"/>
          <w:sz w:val="20"/>
          <w:szCs w:val="20"/>
        </w:rPr>
        <w:instrText>ience&lt;/full-title&gt;&lt;/periodical&gt;&lt;pages&gt;144-147&lt;/pages&gt;&lt;volume&gt;9&lt;/volume&gt;&lt;number&gt;2&lt;/number&gt;&lt;dates&gt;&lt;year&gt;1969&lt;/year&gt;&lt;/dates&gt;&lt;isbn&gt;0011-183X&lt;/isbn&gt;&lt;urls&gt;&lt;/urls&gt;&lt;/record&gt;&lt;/Cite&gt;&lt;/EndNote&gt;</w:instrText>
      </w:r>
      <w:r>
        <w:rPr>
          <w:rFonts w:cs="Arial"/>
          <w:sz w:val="20"/>
          <w:szCs w:val="20"/>
        </w:rPr>
        <w:fldChar w:fldCharType="separate"/>
      </w:r>
      <w:r>
        <w:rPr>
          <w:rFonts w:cs="Arial"/>
          <w:sz w:val="20"/>
          <w:szCs w:val="20"/>
        </w:rPr>
        <w:t>(19)</w:t>
      </w:r>
      <w:r>
        <w:rPr>
          <w:rFonts w:cs="Arial"/>
          <w:sz w:val="20"/>
          <w:szCs w:val="20"/>
        </w:rPr>
        <w:fldChar w:fldCharType="end"/>
      </w:r>
      <w:r>
        <w:rPr>
          <w:rFonts w:cs="Arial"/>
        </w:rPr>
        <w:t>.</w:t>
      </w:r>
    </w:p>
    <w:p w14:paraId="43A7FAFC" w14:textId="77777777" w:rsidR="00D412BB" w:rsidRDefault="00DA3370">
      <w:pPr>
        <w:pStyle w:val="Heading2"/>
        <w:rPr>
          <w:color w:val="000000" w:themeColor="text1"/>
          <w:sz w:val="22"/>
          <w:szCs w:val="22"/>
        </w:rPr>
      </w:pPr>
      <w:r>
        <w:rPr>
          <w:color w:val="000000" w:themeColor="text1"/>
          <w:sz w:val="22"/>
          <w:szCs w:val="22"/>
        </w:rPr>
        <w:t>3.5 Statistical Analysis</w:t>
      </w:r>
    </w:p>
    <w:p w14:paraId="1E5477C8" w14:textId="77777777" w:rsidR="00D412BB" w:rsidRDefault="00DA3370">
      <w:pPr>
        <w:spacing w:before="100" w:after="160" w:line="360" w:lineRule="auto"/>
        <w:jc w:val="both"/>
        <w:rPr>
          <w:sz w:val="20"/>
          <w:szCs w:val="20"/>
        </w:rPr>
      </w:pPr>
      <w:r>
        <w:rPr>
          <w:rFonts w:cs="Arial"/>
          <w:sz w:val="20"/>
          <w:szCs w:val="20"/>
        </w:rPr>
        <w:t>Data on disease incidence, PDI, and seed yield were subjected to analysis of variance (ANOVA) using standard statistical procedures appropriate for a randomized block design. Treatment means were compared using Fisher's least significant difference (LSD) a</w:t>
      </w:r>
      <w:r>
        <w:rPr>
          <w:rFonts w:cs="Arial"/>
          <w:sz w:val="20"/>
          <w:szCs w:val="20"/>
        </w:rPr>
        <w:t xml:space="preserve">t the 5% probability level (P = 0.05). Percent disease reduction over control was calculated for each treatment. The coefficient of variation (CV%) was used to assess data reliability and experimental precision </w:t>
      </w:r>
      <w:r>
        <w:rPr>
          <w:rFonts w:cs="Arial"/>
          <w:sz w:val="20"/>
          <w:szCs w:val="20"/>
        </w:rPr>
        <w:fldChar w:fldCharType="begin"/>
      </w:r>
      <w:r>
        <w:rPr>
          <w:rFonts w:cs="Arial"/>
          <w:sz w:val="20"/>
          <w:szCs w:val="20"/>
        </w:rPr>
        <w:instrText xml:space="preserve"> ADDIN EN.CITE &lt;EndNote&gt;&lt;Cite&gt;&lt;Author&gt;Reed&lt;/A</w:instrText>
      </w:r>
      <w:r>
        <w:rPr>
          <w:rFonts w:cs="Arial"/>
          <w:sz w:val="20"/>
          <w:szCs w:val="20"/>
        </w:rPr>
        <w:instrText>uthor&gt;&lt;Year&gt;2002&lt;/Year&gt;&lt;RecNum&gt;54&lt;/RecNum&gt;&lt;DisplayText&gt;(20)&lt;/DisplayText&gt;&lt;record&gt;&lt;rec-number&gt;54&lt;/rec-number&gt;&lt;foreign-keys&gt;&lt;key app="EN" db-id="dw2zpsea0sr9vme0z05x2aeppwsrp95axfr9" timestamp="1772066504"&gt;54&lt;/key&gt;&lt;/foreign-keys&gt;&lt;ref-type name="Journal Artic</w:instrText>
      </w:r>
      <w:r>
        <w:rPr>
          <w:rFonts w:cs="Arial"/>
          <w:sz w:val="20"/>
          <w:szCs w:val="20"/>
        </w:rPr>
        <w:instrText>le"&gt;17&lt;/ref-type&gt;&lt;contributors&gt;&lt;authors&gt;&lt;author&gt;Reed, George F&lt;/author&gt;&lt;author&gt;Lynn, Freyja&lt;/author&gt;&lt;author&gt;Meade, Bruce D&lt;/author&gt;&lt;/authors&gt;&lt;/contributors&gt;&lt;titles&gt;&lt;title&gt;Use of coefficient of variation in assessing variability of quantitative assays&lt;/titl</w:instrText>
      </w:r>
      <w:r>
        <w:rPr>
          <w:rFonts w:cs="Arial"/>
          <w:sz w:val="20"/>
          <w:szCs w:val="20"/>
        </w:rPr>
        <w:instrText>e&gt;&lt;secondary-title&gt;Clinical and Vaccine Immunology&lt;/secondary-title&gt;&lt;/titles&gt;&lt;periodical&gt;&lt;full-title&gt;Clinical and Vaccine Immunology&lt;/full-title&gt;&lt;/periodical&gt;&lt;pages&gt;1235-1239&lt;/pages&gt;&lt;volume&gt;9&lt;/volume&gt;&lt;number&gt;6&lt;/number&gt;&lt;dates&gt;&lt;year&gt;2002&lt;/year&gt;&lt;/dates&gt;&lt;isbn&gt;</w:instrText>
      </w:r>
      <w:r>
        <w:rPr>
          <w:rFonts w:cs="Arial"/>
          <w:sz w:val="20"/>
          <w:szCs w:val="20"/>
        </w:rPr>
        <w:instrText>1556-6811&lt;/isbn&gt;&lt;urls&gt;&lt;/urls&gt;&lt;/record&gt;&lt;/Cite&gt;&lt;/EndNote&gt;</w:instrText>
      </w:r>
      <w:r>
        <w:rPr>
          <w:rFonts w:cs="Arial"/>
          <w:sz w:val="20"/>
          <w:szCs w:val="20"/>
        </w:rPr>
        <w:fldChar w:fldCharType="separate"/>
      </w:r>
      <w:r>
        <w:rPr>
          <w:rFonts w:cs="Arial"/>
          <w:sz w:val="20"/>
          <w:szCs w:val="20"/>
        </w:rPr>
        <w:t>(20)</w:t>
      </w:r>
      <w:r>
        <w:rPr>
          <w:rFonts w:cs="Arial"/>
          <w:sz w:val="20"/>
          <w:szCs w:val="20"/>
        </w:rPr>
        <w:fldChar w:fldCharType="end"/>
      </w:r>
      <w:r>
        <w:rPr>
          <w:rFonts w:cs="Arial"/>
          <w:sz w:val="20"/>
          <w:szCs w:val="20"/>
        </w:rPr>
        <w:t>. All statistical computations were performed using OPSTAT software.</w:t>
      </w:r>
    </w:p>
    <w:p w14:paraId="45076C5C" w14:textId="77777777" w:rsidR="00D412BB" w:rsidRDefault="00DA3370">
      <w:pPr>
        <w:pStyle w:val="Heading1"/>
        <w:rPr>
          <w:color w:val="000000" w:themeColor="text1"/>
          <w:sz w:val="22"/>
          <w:szCs w:val="22"/>
        </w:rPr>
      </w:pPr>
      <w:r>
        <w:rPr>
          <w:color w:val="000000" w:themeColor="text1"/>
          <w:sz w:val="22"/>
          <w:szCs w:val="22"/>
        </w:rPr>
        <w:t>4. Results</w:t>
      </w:r>
    </w:p>
    <w:p w14:paraId="48D4D73E" w14:textId="77777777" w:rsidR="00D412BB" w:rsidRDefault="00DA3370">
      <w:pPr>
        <w:pStyle w:val="Heading2"/>
        <w:rPr>
          <w:color w:val="000000" w:themeColor="text1"/>
          <w:sz w:val="22"/>
          <w:szCs w:val="22"/>
        </w:rPr>
      </w:pPr>
      <w:r>
        <w:rPr>
          <w:color w:val="000000" w:themeColor="text1"/>
          <w:sz w:val="22"/>
          <w:szCs w:val="22"/>
        </w:rPr>
        <w:t>4.1 Effect of Treatments on Disease Incidence and PDI</w:t>
      </w:r>
    </w:p>
    <w:p w14:paraId="28524CDA" w14:textId="77777777" w:rsidR="00D412BB" w:rsidRDefault="00DA3370">
      <w:pPr>
        <w:spacing w:before="100" w:after="160" w:line="360" w:lineRule="auto"/>
        <w:jc w:val="both"/>
        <w:rPr>
          <w:sz w:val="20"/>
          <w:szCs w:val="20"/>
        </w:rPr>
      </w:pPr>
      <w:r>
        <w:rPr>
          <w:rFonts w:cs="Arial"/>
          <w:sz w:val="20"/>
          <w:szCs w:val="20"/>
        </w:rPr>
        <w:t>Significant differences were observed among all seven treatments with respect to disease incidence, percent disease index, and seed yield. The results collectively demonstrated that all treatments, relative to the untreated control, significantly reduced w</w:t>
      </w:r>
      <w:r>
        <w:rPr>
          <w:rFonts w:cs="Arial"/>
          <w:sz w:val="20"/>
          <w:szCs w:val="20"/>
        </w:rPr>
        <w:t xml:space="preserve">hite rust severity and concurrently improved seed yield of Indian mustard </w:t>
      </w:r>
      <w:r>
        <w:rPr>
          <w:rFonts w:cs="Arial"/>
          <w:sz w:val="20"/>
          <w:szCs w:val="20"/>
        </w:rPr>
        <w:fldChar w:fldCharType="begin"/>
      </w:r>
      <w:r>
        <w:rPr>
          <w:rFonts w:cs="Arial"/>
          <w:sz w:val="20"/>
          <w:szCs w:val="20"/>
        </w:rPr>
        <w:instrText xml:space="preserve"> ADDIN EN.CITE &lt;EndNote&gt;&lt;Cite&gt;&lt;Author&gt;Chowdhury&lt;/Author&gt;&lt;Year&gt;2013&lt;/Year&gt;&lt;RecNum&gt;55&lt;/RecNum&gt;&lt;DisplayText&gt;(21)&lt;/DisplayText&gt;&lt;record&gt;&lt;rec-number&gt;55&lt;/rec-number&gt;&lt;foreign-keys&gt;&lt;key app="</w:instrText>
      </w:r>
      <w:r>
        <w:rPr>
          <w:rFonts w:cs="Arial"/>
          <w:sz w:val="20"/>
          <w:szCs w:val="20"/>
        </w:rPr>
        <w:instrText>EN" db-id="dw2zpsea0sr9vme0z05x2aeppwsrp95axfr9" timestamp="1772066544"&gt;55&lt;/key&gt;&lt;/foreign-keys&gt;&lt;ref-type name="Journal Article"&gt;17&lt;/ref-type&gt;&lt;contributors&gt;&lt;authors&gt;&lt;author&gt;Chowdhury, MMH&lt;/author&gt;&lt;author&gt;Hossain, I&lt;/author&gt;&lt;author&gt;Day, P&lt;/author&gt;&lt;author&gt;Ahm</w:instrText>
      </w:r>
      <w:r>
        <w:rPr>
          <w:rFonts w:cs="Arial"/>
          <w:sz w:val="20"/>
          <w:szCs w:val="20"/>
        </w:rPr>
        <w:instrText>ed, M&lt;/author&gt;&lt;author&gt;Mahmud, H&lt;/author&gt;&lt;/authors&gt;&lt;/contributors&gt;&lt;titles&gt;&lt;title&gt;Effect of seed sources and seed treatments on disease incidence, severity and seed yield of rice in Bangladesh&lt;/title&gt;&lt;secondary-title&gt;J. Agrofor. Environ&lt;/secondary-title&gt;&lt;/ti</w:instrText>
      </w:r>
      <w:r>
        <w:rPr>
          <w:rFonts w:cs="Arial"/>
          <w:sz w:val="20"/>
          <w:szCs w:val="20"/>
        </w:rPr>
        <w:instrText>tles&gt;&lt;periodical&gt;&lt;full-title&gt;J. Agrofor. Environ&lt;/full-title&gt;&lt;/periodical&gt;&lt;pages&gt;23-27&lt;/pages&gt;&lt;volume&gt;7&lt;/volume&gt;&lt;number&gt;2&lt;/number&gt;&lt;dates&gt;&lt;year&gt;2013&lt;/year&gt;&lt;/dates&gt;&lt;urls&gt;&lt;/urls&gt;&lt;/record&gt;&lt;/Cite&gt;&lt;/EndNote&gt;</w:instrText>
      </w:r>
      <w:r>
        <w:rPr>
          <w:rFonts w:cs="Arial"/>
          <w:sz w:val="20"/>
          <w:szCs w:val="20"/>
        </w:rPr>
        <w:fldChar w:fldCharType="separate"/>
      </w:r>
      <w:r>
        <w:rPr>
          <w:rFonts w:cs="Arial"/>
          <w:sz w:val="20"/>
          <w:szCs w:val="20"/>
        </w:rPr>
        <w:t>(21)</w:t>
      </w:r>
      <w:r>
        <w:rPr>
          <w:rFonts w:cs="Arial"/>
          <w:sz w:val="20"/>
          <w:szCs w:val="20"/>
        </w:rPr>
        <w:fldChar w:fldCharType="end"/>
      </w:r>
      <w:r>
        <w:rPr>
          <w:rFonts w:cs="Arial"/>
          <w:sz w:val="20"/>
          <w:szCs w:val="20"/>
        </w:rPr>
        <w:t>.</w:t>
      </w:r>
    </w:p>
    <w:p w14:paraId="785B0D2D" w14:textId="77777777" w:rsidR="00D412BB" w:rsidRDefault="00DA3370">
      <w:pPr>
        <w:spacing w:before="100" w:after="160" w:line="360" w:lineRule="auto"/>
        <w:jc w:val="both"/>
        <w:rPr>
          <w:sz w:val="20"/>
          <w:szCs w:val="20"/>
        </w:rPr>
      </w:pPr>
      <w:r>
        <w:rPr>
          <w:rFonts w:cs="Arial"/>
          <w:sz w:val="20"/>
          <w:szCs w:val="20"/>
        </w:rPr>
        <w:t>In the untreated control plots, disease incide</w:t>
      </w:r>
      <w:r>
        <w:rPr>
          <w:rFonts w:cs="Arial"/>
          <w:sz w:val="20"/>
          <w:szCs w:val="20"/>
        </w:rPr>
        <w:t xml:space="preserve">nce reached 48.2% and PDI was recorded at 56.7% by the final assessment (90 DAS), with a relatively modest seed yield of 1020 kg ha⁻¹. This level of disease severity </w:t>
      </w:r>
      <w:r>
        <w:rPr>
          <w:rFonts w:cs="Arial"/>
          <w:sz w:val="20"/>
          <w:szCs w:val="20"/>
        </w:rPr>
        <w:lastRenderedPageBreak/>
        <w:t xml:space="preserve">underscores the high susceptibility of the test variety under the prevalent </w:t>
      </w:r>
      <w:proofErr w:type="spellStart"/>
      <w:r>
        <w:rPr>
          <w:rFonts w:cs="Arial"/>
          <w:sz w:val="20"/>
          <w:szCs w:val="20"/>
        </w:rPr>
        <w:t>agro</w:t>
      </w:r>
      <w:proofErr w:type="spellEnd"/>
      <w:r>
        <w:rPr>
          <w:rFonts w:cs="Arial"/>
          <w:sz w:val="20"/>
          <w:szCs w:val="20"/>
        </w:rPr>
        <w:t xml:space="preserve">-climatic </w:t>
      </w:r>
      <w:r>
        <w:rPr>
          <w:rFonts w:cs="Arial"/>
          <w:sz w:val="20"/>
          <w:szCs w:val="20"/>
        </w:rPr>
        <w:t xml:space="preserve">conditions of Gwalior during the 2024–25 Rabi season </w:t>
      </w:r>
      <w:r>
        <w:rPr>
          <w:rFonts w:cs="Arial"/>
          <w:sz w:val="20"/>
          <w:szCs w:val="20"/>
        </w:rPr>
        <w:fldChar w:fldCharType="begin"/>
      </w:r>
      <w:r>
        <w:rPr>
          <w:rFonts w:cs="Arial"/>
          <w:sz w:val="20"/>
          <w:szCs w:val="20"/>
        </w:rPr>
        <w:instrText xml:space="preserve"> ADDIN EN.CITE &lt;EndNote&gt;&lt;Cite&gt;&lt;Author&gt;HANUMANTHAPPA&lt;/Author&gt;&lt;RecNum&gt;56&lt;/RecNum&gt;&lt;DisplayText&gt;(22)&lt;/DisplayText&gt;&lt;record&gt;&lt;rec-number&gt;56&lt;/rec-number&gt;&lt;foreign-keys&gt;&lt;key app="EN" db-id="dw2zpsea0sr9vme0z05x2ae</w:instrText>
      </w:r>
      <w:r>
        <w:rPr>
          <w:rFonts w:cs="Arial"/>
          <w:sz w:val="20"/>
          <w:szCs w:val="20"/>
        </w:rPr>
        <w:instrText>ppwsrp95axfr9" timestamp="1772066596"&gt;56&lt;/key&gt;&lt;/foreign-keys&gt;&lt;ref-type name="Journal Article"&gt;17&lt;/ref-type&gt;&lt;contributors&gt;&lt;authors&gt;&lt;author&gt;HANUMANTHAPPA, KT&lt;/author&gt;&lt;/authors&gt;&lt;/contributors&gt;&lt;titles&gt;&lt;title&gt;QUALITY AND YIELD COMPONENTS OF RICE (ORYZA SATIVA L</w:instrText>
      </w:r>
      <w:r>
        <w:rPr>
          <w:rFonts w:cs="Arial"/>
          <w:sz w:val="20"/>
          <w:szCs w:val="20"/>
        </w:rPr>
        <w:instrText>.) INFECTED WITH BIPOLARIS ORYZAE (L. BREDA DE HANN)&lt;/title&gt;&lt;/titles&gt;&lt;dates&gt;&lt;/dates&gt;&lt;urls&gt;&lt;/urls&gt;&lt;/record&gt;&lt;/Cite&gt;&lt;/EndNote&gt;</w:instrText>
      </w:r>
      <w:r>
        <w:rPr>
          <w:rFonts w:cs="Arial"/>
          <w:sz w:val="20"/>
          <w:szCs w:val="20"/>
        </w:rPr>
        <w:fldChar w:fldCharType="separate"/>
      </w:r>
      <w:r>
        <w:rPr>
          <w:rFonts w:cs="Arial"/>
          <w:sz w:val="20"/>
          <w:szCs w:val="20"/>
        </w:rPr>
        <w:t>(22)</w:t>
      </w:r>
      <w:r>
        <w:rPr>
          <w:rFonts w:cs="Arial"/>
          <w:sz w:val="20"/>
          <w:szCs w:val="20"/>
        </w:rPr>
        <w:fldChar w:fldCharType="end"/>
      </w:r>
      <w:r>
        <w:rPr>
          <w:rFonts w:cs="Arial"/>
          <w:sz w:val="20"/>
          <w:szCs w:val="20"/>
        </w:rPr>
        <w:t>.</w:t>
      </w:r>
    </w:p>
    <w:p w14:paraId="58156A36" w14:textId="77777777" w:rsidR="00D412BB" w:rsidRDefault="00DA3370">
      <w:pPr>
        <w:spacing w:before="200" w:after="100"/>
      </w:pPr>
      <w:r>
        <w:rPr>
          <w:rFonts w:cs="Arial"/>
          <w:b/>
          <w:bCs/>
        </w:rPr>
        <w:t>Table 2: Effect of Biocontrol Agents and Fungicide on White Rust Incidence, PDI, Disease Reduction, and Seed Yield of Indian</w:t>
      </w:r>
      <w:r>
        <w:rPr>
          <w:rFonts w:cs="Arial"/>
          <w:b/>
          <w:bCs/>
        </w:rPr>
        <w:t xml:space="preserve"> Mustard (Rabi 2024–25)</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400"/>
        <w:gridCol w:w="1300"/>
        <w:gridCol w:w="1860"/>
        <w:gridCol w:w="1400"/>
        <w:gridCol w:w="1300"/>
      </w:tblGrid>
      <w:tr w:rsidR="00D412BB" w14:paraId="594602D0" w14:textId="77777777">
        <w:trPr>
          <w:tblHeader/>
        </w:trPr>
        <w:tc>
          <w:tcPr>
            <w:tcW w:w="21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489884FD" w14:textId="77777777" w:rsidR="00D412BB" w:rsidRDefault="00DA3370">
            <w:pPr>
              <w:jc w:val="center"/>
            </w:pPr>
            <w:r>
              <w:rPr>
                <w:rFonts w:cs="Arial"/>
                <w:b/>
                <w:bCs/>
                <w:color w:val="FFFFFF"/>
                <w:sz w:val="20"/>
                <w:szCs w:val="20"/>
              </w:rPr>
              <w:t>Treatment</w:t>
            </w:r>
          </w:p>
        </w:tc>
        <w:tc>
          <w:tcPr>
            <w:tcW w:w="14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1E32C2EA" w14:textId="77777777" w:rsidR="00D412BB" w:rsidRDefault="00DA3370">
            <w:pPr>
              <w:jc w:val="center"/>
            </w:pPr>
            <w:r>
              <w:rPr>
                <w:rFonts w:cs="Arial"/>
                <w:b/>
                <w:bCs/>
                <w:color w:val="FFFFFF"/>
                <w:sz w:val="20"/>
                <w:szCs w:val="20"/>
              </w:rPr>
              <w:t>Disease Incidence (%)</w:t>
            </w:r>
          </w:p>
        </w:tc>
        <w:tc>
          <w:tcPr>
            <w:tcW w:w="13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1C6C5F28" w14:textId="77777777" w:rsidR="00D412BB" w:rsidRDefault="00DA3370">
            <w:pPr>
              <w:jc w:val="center"/>
            </w:pPr>
            <w:r>
              <w:rPr>
                <w:rFonts w:cs="Arial"/>
                <w:b/>
                <w:bCs/>
                <w:color w:val="FFFFFF"/>
                <w:sz w:val="20"/>
                <w:szCs w:val="20"/>
              </w:rPr>
              <w:t>PDI (%)</w:t>
            </w:r>
          </w:p>
        </w:tc>
        <w:tc>
          <w:tcPr>
            <w:tcW w:w="186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048B3456" w14:textId="77777777" w:rsidR="00D412BB" w:rsidRDefault="00DA3370">
            <w:pPr>
              <w:jc w:val="center"/>
            </w:pPr>
            <w:r>
              <w:rPr>
                <w:rFonts w:cs="Arial"/>
                <w:b/>
                <w:bCs/>
                <w:color w:val="FFFFFF"/>
                <w:sz w:val="20"/>
                <w:szCs w:val="20"/>
              </w:rPr>
              <w:t>Disease Reduction (%)</w:t>
            </w:r>
          </w:p>
        </w:tc>
        <w:tc>
          <w:tcPr>
            <w:tcW w:w="14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6B63808F" w14:textId="77777777" w:rsidR="00D412BB" w:rsidRDefault="00DA3370">
            <w:pPr>
              <w:jc w:val="center"/>
            </w:pPr>
            <w:r>
              <w:rPr>
                <w:rFonts w:cs="Arial"/>
                <w:b/>
                <w:bCs/>
                <w:color w:val="FFFFFF"/>
                <w:sz w:val="20"/>
                <w:szCs w:val="20"/>
              </w:rPr>
              <w:t>Yield (kg ha⁻¹)</w:t>
            </w:r>
          </w:p>
        </w:tc>
        <w:tc>
          <w:tcPr>
            <w:tcW w:w="13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6347EC6D" w14:textId="77777777" w:rsidR="00D412BB" w:rsidRDefault="00DA3370">
            <w:pPr>
              <w:jc w:val="center"/>
            </w:pPr>
            <w:r>
              <w:rPr>
                <w:rFonts w:cs="Arial"/>
                <w:b/>
                <w:bCs/>
                <w:color w:val="FFFFFF"/>
                <w:sz w:val="20"/>
                <w:szCs w:val="20"/>
              </w:rPr>
              <w:t>Yield Increase (%)</w:t>
            </w:r>
          </w:p>
        </w:tc>
      </w:tr>
      <w:tr w:rsidR="00D412BB" w14:paraId="6A0FA51E" w14:textId="77777777">
        <w:tc>
          <w:tcPr>
            <w:tcW w:w="21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DE6D102" w14:textId="77777777" w:rsidR="00D412BB" w:rsidRDefault="00DA3370">
            <w:pPr>
              <w:jc w:val="center"/>
              <w:rPr>
                <w:sz w:val="20"/>
                <w:szCs w:val="20"/>
              </w:rPr>
            </w:pPr>
            <w:r>
              <w:rPr>
                <w:rFonts w:cs="Arial"/>
                <w:color w:val="000000"/>
                <w:sz w:val="20"/>
                <w:szCs w:val="20"/>
              </w:rPr>
              <w:t>Control</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AED25B3" w14:textId="77777777" w:rsidR="00D412BB" w:rsidRDefault="00DA3370">
            <w:pPr>
              <w:jc w:val="center"/>
              <w:rPr>
                <w:sz w:val="20"/>
                <w:szCs w:val="20"/>
              </w:rPr>
            </w:pPr>
            <w:r>
              <w:rPr>
                <w:rFonts w:cs="Arial"/>
                <w:color w:val="000000"/>
                <w:sz w:val="20"/>
                <w:szCs w:val="20"/>
              </w:rPr>
              <w:t>48.2</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6CC1421" w14:textId="77777777" w:rsidR="00D412BB" w:rsidRDefault="00DA3370">
            <w:pPr>
              <w:jc w:val="center"/>
              <w:rPr>
                <w:sz w:val="20"/>
                <w:szCs w:val="20"/>
              </w:rPr>
            </w:pPr>
            <w:r>
              <w:rPr>
                <w:rFonts w:cs="Arial"/>
                <w:color w:val="000000"/>
                <w:sz w:val="20"/>
                <w:szCs w:val="20"/>
              </w:rPr>
              <w:t>56.7</w:t>
            </w:r>
          </w:p>
        </w:tc>
        <w:tc>
          <w:tcPr>
            <w:tcW w:w="18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E2CF022" w14:textId="77777777" w:rsidR="00D412BB" w:rsidRDefault="00DA3370">
            <w:pPr>
              <w:jc w:val="center"/>
              <w:rPr>
                <w:sz w:val="20"/>
                <w:szCs w:val="20"/>
              </w:rPr>
            </w:pPr>
            <w:r>
              <w:rPr>
                <w:rFonts w:cs="Arial"/>
                <w:color w:val="000000"/>
                <w:sz w:val="20"/>
                <w:szCs w:val="20"/>
              </w:rPr>
              <w:t>-</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D052064" w14:textId="77777777" w:rsidR="00D412BB" w:rsidRDefault="00DA3370">
            <w:pPr>
              <w:jc w:val="center"/>
              <w:rPr>
                <w:sz w:val="20"/>
                <w:szCs w:val="20"/>
              </w:rPr>
            </w:pPr>
            <w:r>
              <w:rPr>
                <w:rFonts w:cs="Arial"/>
                <w:color w:val="000000"/>
                <w:sz w:val="20"/>
                <w:szCs w:val="20"/>
              </w:rPr>
              <w:t>1020</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8B88694" w14:textId="77777777" w:rsidR="00D412BB" w:rsidRDefault="00DA3370">
            <w:pPr>
              <w:jc w:val="center"/>
              <w:rPr>
                <w:sz w:val="20"/>
                <w:szCs w:val="20"/>
              </w:rPr>
            </w:pPr>
            <w:r>
              <w:rPr>
                <w:rFonts w:cs="Arial"/>
                <w:color w:val="000000"/>
                <w:sz w:val="20"/>
                <w:szCs w:val="20"/>
              </w:rPr>
              <w:t>-</w:t>
            </w:r>
          </w:p>
        </w:tc>
      </w:tr>
      <w:tr w:rsidR="00D412BB" w14:paraId="0F39749D" w14:textId="77777777">
        <w:tc>
          <w:tcPr>
            <w:tcW w:w="21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53E696E" w14:textId="77777777" w:rsidR="00D412BB" w:rsidRDefault="00DA3370">
            <w:pPr>
              <w:jc w:val="center"/>
              <w:rPr>
                <w:i/>
                <w:iCs/>
                <w:sz w:val="20"/>
                <w:szCs w:val="20"/>
              </w:rPr>
            </w:pPr>
            <w:r>
              <w:rPr>
                <w:rFonts w:cs="Arial"/>
                <w:i/>
                <w:iCs/>
                <w:color w:val="000000"/>
                <w:sz w:val="20"/>
                <w:szCs w:val="20"/>
              </w:rPr>
              <w:t xml:space="preserve">Trichoderma </w:t>
            </w:r>
            <w:proofErr w:type="spellStart"/>
            <w:r>
              <w:rPr>
                <w:rFonts w:cs="Arial"/>
                <w:i/>
                <w:iCs/>
                <w:color w:val="000000"/>
                <w:sz w:val="20"/>
                <w:szCs w:val="20"/>
              </w:rPr>
              <w:t>viride</w:t>
            </w:r>
            <w:proofErr w:type="spellEnd"/>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65F92A0" w14:textId="77777777" w:rsidR="00D412BB" w:rsidRDefault="00DA3370">
            <w:pPr>
              <w:jc w:val="center"/>
              <w:rPr>
                <w:sz w:val="20"/>
                <w:szCs w:val="20"/>
              </w:rPr>
            </w:pPr>
            <w:r>
              <w:rPr>
                <w:rFonts w:cs="Arial"/>
                <w:color w:val="000000"/>
                <w:sz w:val="20"/>
                <w:szCs w:val="20"/>
              </w:rPr>
              <w:t>28.5</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B88F318" w14:textId="77777777" w:rsidR="00D412BB" w:rsidRDefault="00DA3370">
            <w:pPr>
              <w:jc w:val="center"/>
              <w:rPr>
                <w:sz w:val="20"/>
                <w:szCs w:val="20"/>
              </w:rPr>
            </w:pPr>
            <w:r>
              <w:rPr>
                <w:rFonts w:cs="Arial"/>
                <w:color w:val="000000"/>
                <w:sz w:val="20"/>
                <w:szCs w:val="20"/>
              </w:rPr>
              <w:t>32.1</w:t>
            </w:r>
          </w:p>
        </w:tc>
        <w:tc>
          <w:tcPr>
            <w:tcW w:w="18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FE2BA01" w14:textId="77777777" w:rsidR="00D412BB" w:rsidRDefault="00DA3370">
            <w:pPr>
              <w:jc w:val="center"/>
              <w:rPr>
                <w:sz w:val="20"/>
                <w:szCs w:val="20"/>
              </w:rPr>
            </w:pPr>
            <w:r>
              <w:rPr>
                <w:rFonts w:cs="Arial"/>
                <w:color w:val="000000"/>
                <w:sz w:val="20"/>
                <w:szCs w:val="20"/>
              </w:rPr>
              <w:t>43.4</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806B3D9" w14:textId="77777777" w:rsidR="00D412BB" w:rsidRDefault="00DA3370">
            <w:pPr>
              <w:jc w:val="center"/>
              <w:rPr>
                <w:sz w:val="20"/>
                <w:szCs w:val="20"/>
              </w:rPr>
            </w:pPr>
            <w:r>
              <w:rPr>
                <w:rFonts w:cs="Arial"/>
                <w:color w:val="000000"/>
                <w:sz w:val="20"/>
                <w:szCs w:val="20"/>
              </w:rPr>
              <w:t>1460</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42E4C7F" w14:textId="77777777" w:rsidR="00D412BB" w:rsidRDefault="00DA3370">
            <w:pPr>
              <w:jc w:val="center"/>
              <w:rPr>
                <w:sz w:val="20"/>
                <w:szCs w:val="20"/>
              </w:rPr>
            </w:pPr>
            <w:r>
              <w:rPr>
                <w:rFonts w:cs="Arial"/>
                <w:color w:val="000000"/>
                <w:sz w:val="20"/>
                <w:szCs w:val="20"/>
              </w:rPr>
              <w:t>43.1</w:t>
            </w:r>
          </w:p>
        </w:tc>
      </w:tr>
      <w:tr w:rsidR="00D412BB" w14:paraId="146D0D76" w14:textId="77777777">
        <w:tc>
          <w:tcPr>
            <w:tcW w:w="21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A3B61A9" w14:textId="77777777" w:rsidR="00D412BB" w:rsidRDefault="00DA3370">
            <w:pPr>
              <w:jc w:val="center"/>
              <w:rPr>
                <w:i/>
                <w:iCs/>
                <w:sz w:val="20"/>
                <w:szCs w:val="20"/>
              </w:rPr>
            </w:pPr>
            <w:r>
              <w:rPr>
                <w:rFonts w:cs="Arial"/>
                <w:i/>
                <w:iCs/>
                <w:color w:val="000000"/>
                <w:sz w:val="20"/>
                <w:szCs w:val="20"/>
              </w:rPr>
              <w:t>Pseudomonas fluorescens</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31E53D5" w14:textId="77777777" w:rsidR="00D412BB" w:rsidRDefault="00DA3370">
            <w:pPr>
              <w:jc w:val="center"/>
              <w:rPr>
                <w:sz w:val="20"/>
                <w:szCs w:val="20"/>
              </w:rPr>
            </w:pPr>
            <w:r>
              <w:rPr>
                <w:rFonts w:cs="Arial"/>
                <w:color w:val="000000"/>
                <w:sz w:val="20"/>
                <w:szCs w:val="20"/>
              </w:rPr>
              <w:t>33.7</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D82D822" w14:textId="77777777" w:rsidR="00D412BB" w:rsidRDefault="00DA3370">
            <w:pPr>
              <w:jc w:val="center"/>
              <w:rPr>
                <w:sz w:val="20"/>
                <w:szCs w:val="20"/>
              </w:rPr>
            </w:pPr>
            <w:r>
              <w:rPr>
                <w:rFonts w:cs="Arial"/>
                <w:color w:val="000000"/>
                <w:sz w:val="20"/>
                <w:szCs w:val="20"/>
              </w:rPr>
              <w:t>38.4</w:t>
            </w:r>
          </w:p>
        </w:tc>
        <w:tc>
          <w:tcPr>
            <w:tcW w:w="18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FAA94AD" w14:textId="77777777" w:rsidR="00D412BB" w:rsidRDefault="00DA3370">
            <w:pPr>
              <w:jc w:val="center"/>
              <w:rPr>
                <w:sz w:val="20"/>
                <w:szCs w:val="20"/>
              </w:rPr>
            </w:pPr>
            <w:r>
              <w:rPr>
                <w:rFonts w:cs="Arial"/>
                <w:color w:val="000000"/>
                <w:sz w:val="20"/>
                <w:szCs w:val="20"/>
              </w:rPr>
              <w:t>32.3</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E16824B" w14:textId="77777777" w:rsidR="00D412BB" w:rsidRDefault="00DA3370">
            <w:pPr>
              <w:jc w:val="center"/>
              <w:rPr>
                <w:sz w:val="20"/>
                <w:szCs w:val="20"/>
              </w:rPr>
            </w:pPr>
            <w:r>
              <w:rPr>
                <w:rFonts w:cs="Arial"/>
                <w:color w:val="000000"/>
                <w:sz w:val="20"/>
                <w:szCs w:val="20"/>
              </w:rPr>
              <w:t>1385</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0916217" w14:textId="77777777" w:rsidR="00D412BB" w:rsidRDefault="00DA3370">
            <w:pPr>
              <w:jc w:val="center"/>
              <w:rPr>
                <w:sz w:val="20"/>
                <w:szCs w:val="20"/>
              </w:rPr>
            </w:pPr>
            <w:r>
              <w:rPr>
                <w:rFonts w:cs="Arial"/>
                <w:color w:val="000000"/>
                <w:sz w:val="20"/>
                <w:szCs w:val="20"/>
              </w:rPr>
              <w:t>35.8</w:t>
            </w:r>
          </w:p>
        </w:tc>
      </w:tr>
      <w:tr w:rsidR="00D412BB" w14:paraId="5C13315E" w14:textId="77777777">
        <w:tc>
          <w:tcPr>
            <w:tcW w:w="21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6AA1A25" w14:textId="77777777" w:rsidR="00D412BB" w:rsidRDefault="00DA3370">
            <w:pPr>
              <w:jc w:val="center"/>
              <w:rPr>
                <w:i/>
                <w:iCs/>
                <w:sz w:val="20"/>
                <w:szCs w:val="20"/>
              </w:rPr>
            </w:pPr>
            <w:r>
              <w:rPr>
                <w:rFonts w:cs="Arial"/>
                <w:i/>
                <w:iCs/>
                <w:color w:val="000000"/>
                <w:sz w:val="20"/>
                <w:szCs w:val="20"/>
              </w:rPr>
              <w:t xml:space="preserve">T. </w:t>
            </w:r>
            <w:proofErr w:type="spellStart"/>
            <w:r>
              <w:rPr>
                <w:rFonts w:cs="Arial"/>
                <w:i/>
                <w:iCs/>
                <w:color w:val="000000"/>
                <w:sz w:val="20"/>
                <w:szCs w:val="20"/>
              </w:rPr>
              <w:t>viride</w:t>
            </w:r>
            <w:proofErr w:type="spellEnd"/>
            <w:r>
              <w:rPr>
                <w:rFonts w:cs="Arial"/>
                <w:i/>
                <w:iCs/>
                <w:color w:val="000000"/>
                <w:sz w:val="20"/>
                <w:szCs w:val="20"/>
              </w:rPr>
              <w:t xml:space="preserve"> +</w:t>
            </w:r>
            <w:r>
              <w:rPr>
                <w:rFonts w:cs="Arial"/>
                <w:i/>
                <w:iCs/>
                <w:color w:val="000000"/>
                <w:sz w:val="20"/>
                <w:szCs w:val="20"/>
              </w:rPr>
              <w:t xml:space="preserve"> P. fluorescens</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6B9D2B6" w14:textId="77777777" w:rsidR="00D412BB" w:rsidRDefault="00DA3370">
            <w:pPr>
              <w:jc w:val="center"/>
              <w:rPr>
                <w:sz w:val="20"/>
                <w:szCs w:val="20"/>
              </w:rPr>
            </w:pPr>
            <w:r>
              <w:rPr>
                <w:rFonts w:cs="Arial"/>
                <w:color w:val="000000"/>
                <w:sz w:val="20"/>
                <w:szCs w:val="20"/>
              </w:rPr>
              <w:t>22.1</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1D55EB8" w14:textId="77777777" w:rsidR="00D412BB" w:rsidRDefault="00DA3370">
            <w:pPr>
              <w:jc w:val="center"/>
              <w:rPr>
                <w:sz w:val="20"/>
                <w:szCs w:val="20"/>
              </w:rPr>
            </w:pPr>
            <w:r>
              <w:rPr>
                <w:rFonts w:cs="Arial"/>
                <w:color w:val="000000"/>
                <w:sz w:val="20"/>
                <w:szCs w:val="20"/>
              </w:rPr>
              <w:t>26.7</w:t>
            </w:r>
          </w:p>
        </w:tc>
        <w:tc>
          <w:tcPr>
            <w:tcW w:w="18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19F8113" w14:textId="77777777" w:rsidR="00D412BB" w:rsidRDefault="00DA3370">
            <w:pPr>
              <w:jc w:val="center"/>
              <w:rPr>
                <w:sz w:val="20"/>
                <w:szCs w:val="20"/>
              </w:rPr>
            </w:pPr>
            <w:r>
              <w:rPr>
                <w:rFonts w:cs="Arial"/>
                <w:color w:val="000000"/>
                <w:sz w:val="20"/>
                <w:szCs w:val="20"/>
              </w:rPr>
              <w:t>52.9</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F2793A4" w14:textId="77777777" w:rsidR="00D412BB" w:rsidRDefault="00DA3370">
            <w:pPr>
              <w:jc w:val="center"/>
              <w:rPr>
                <w:sz w:val="20"/>
                <w:szCs w:val="20"/>
              </w:rPr>
            </w:pPr>
            <w:r>
              <w:rPr>
                <w:rFonts w:cs="Arial"/>
                <w:color w:val="000000"/>
                <w:sz w:val="20"/>
                <w:szCs w:val="20"/>
              </w:rPr>
              <w:t>1580</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C57B6F8" w14:textId="77777777" w:rsidR="00D412BB" w:rsidRDefault="00DA3370">
            <w:pPr>
              <w:jc w:val="center"/>
              <w:rPr>
                <w:sz w:val="20"/>
                <w:szCs w:val="20"/>
              </w:rPr>
            </w:pPr>
            <w:r>
              <w:rPr>
                <w:rFonts w:cs="Arial"/>
                <w:color w:val="000000"/>
                <w:sz w:val="20"/>
                <w:szCs w:val="20"/>
              </w:rPr>
              <w:t>54.9</w:t>
            </w:r>
          </w:p>
        </w:tc>
      </w:tr>
      <w:tr w:rsidR="00D412BB" w14:paraId="7AB63D50" w14:textId="77777777">
        <w:tc>
          <w:tcPr>
            <w:tcW w:w="21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759C4DA" w14:textId="77777777" w:rsidR="00D412BB" w:rsidRDefault="00DA3370">
            <w:pPr>
              <w:jc w:val="center"/>
              <w:rPr>
                <w:sz w:val="20"/>
                <w:szCs w:val="20"/>
              </w:rPr>
            </w:pPr>
            <w:r>
              <w:rPr>
                <w:rFonts w:cs="Arial"/>
                <w:color w:val="000000"/>
                <w:sz w:val="20"/>
                <w:szCs w:val="20"/>
              </w:rPr>
              <w:t>Garlic Extract (5%)</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9E1DA00" w14:textId="77777777" w:rsidR="00D412BB" w:rsidRDefault="00DA3370">
            <w:pPr>
              <w:jc w:val="center"/>
              <w:rPr>
                <w:sz w:val="20"/>
                <w:szCs w:val="20"/>
              </w:rPr>
            </w:pPr>
            <w:r>
              <w:rPr>
                <w:rFonts w:cs="Arial"/>
                <w:color w:val="000000"/>
                <w:sz w:val="20"/>
                <w:szCs w:val="20"/>
              </w:rPr>
              <w:t>37.9</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8752709" w14:textId="77777777" w:rsidR="00D412BB" w:rsidRDefault="00DA3370">
            <w:pPr>
              <w:jc w:val="center"/>
              <w:rPr>
                <w:sz w:val="20"/>
                <w:szCs w:val="20"/>
              </w:rPr>
            </w:pPr>
            <w:r>
              <w:rPr>
                <w:rFonts w:cs="Arial"/>
                <w:color w:val="000000"/>
                <w:sz w:val="20"/>
                <w:szCs w:val="20"/>
              </w:rPr>
              <w:t>44.1</w:t>
            </w:r>
          </w:p>
        </w:tc>
        <w:tc>
          <w:tcPr>
            <w:tcW w:w="18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16779FB" w14:textId="77777777" w:rsidR="00D412BB" w:rsidRDefault="00DA3370">
            <w:pPr>
              <w:jc w:val="center"/>
              <w:rPr>
                <w:sz w:val="20"/>
                <w:szCs w:val="20"/>
              </w:rPr>
            </w:pPr>
            <w:r>
              <w:rPr>
                <w:rFonts w:cs="Arial"/>
                <w:color w:val="000000"/>
                <w:sz w:val="20"/>
                <w:szCs w:val="20"/>
              </w:rPr>
              <w:t>22.2</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9BF79BC" w14:textId="77777777" w:rsidR="00D412BB" w:rsidRDefault="00DA3370">
            <w:pPr>
              <w:jc w:val="center"/>
              <w:rPr>
                <w:sz w:val="20"/>
                <w:szCs w:val="20"/>
              </w:rPr>
            </w:pPr>
            <w:r>
              <w:rPr>
                <w:rFonts w:cs="Arial"/>
                <w:color w:val="000000"/>
                <w:sz w:val="20"/>
                <w:szCs w:val="20"/>
              </w:rPr>
              <w:t>1290</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1ADFC56" w14:textId="77777777" w:rsidR="00D412BB" w:rsidRDefault="00DA3370">
            <w:pPr>
              <w:jc w:val="center"/>
              <w:rPr>
                <w:sz w:val="20"/>
                <w:szCs w:val="20"/>
              </w:rPr>
            </w:pPr>
            <w:r>
              <w:rPr>
                <w:rFonts w:cs="Arial"/>
                <w:color w:val="000000"/>
                <w:sz w:val="20"/>
                <w:szCs w:val="20"/>
              </w:rPr>
              <w:t>26.5</w:t>
            </w:r>
          </w:p>
        </w:tc>
      </w:tr>
      <w:tr w:rsidR="00D412BB" w14:paraId="52BADD2F" w14:textId="77777777">
        <w:tc>
          <w:tcPr>
            <w:tcW w:w="21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C5B309B" w14:textId="77777777" w:rsidR="00D412BB" w:rsidRDefault="00DA3370">
            <w:pPr>
              <w:jc w:val="center"/>
              <w:rPr>
                <w:sz w:val="20"/>
                <w:szCs w:val="20"/>
              </w:rPr>
            </w:pPr>
            <w:r>
              <w:rPr>
                <w:rFonts w:cs="Arial"/>
                <w:color w:val="000000"/>
                <w:sz w:val="20"/>
                <w:szCs w:val="20"/>
              </w:rPr>
              <w:t>Salicylic Acid (0.1%)</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1647E9B" w14:textId="77777777" w:rsidR="00D412BB" w:rsidRDefault="00DA3370">
            <w:pPr>
              <w:jc w:val="center"/>
              <w:rPr>
                <w:sz w:val="20"/>
                <w:szCs w:val="20"/>
              </w:rPr>
            </w:pPr>
            <w:r>
              <w:rPr>
                <w:rFonts w:cs="Arial"/>
                <w:color w:val="000000"/>
                <w:sz w:val="20"/>
                <w:szCs w:val="20"/>
              </w:rPr>
              <w:t>30.2</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759C10C" w14:textId="77777777" w:rsidR="00D412BB" w:rsidRDefault="00DA3370">
            <w:pPr>
              <w:jc w:val="center"/>
              <w:rPr>
                <w:sz w:val="20"/>
                <w:szCs w:val="20"/>
              </w:rPr>
            </w:pPr>
            <w:r>
              <w:rPr>
                <w:rFonts w:cs="Arial"/>
                <w:color w:val="000000"/>
                <w:sz w:val="20"/>
                <w:szCs w:val="20"/>
              </w:rPr>
              <w:t>35.5</w:t>
            </w:r>
          </w:p>
        </w:tc>
        <w:tc>
          <w:tcPr>
            <w:tcW w:w="18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94FC0CD" w14:textId="77777777" w:rsidR="00D412BB" w:rsidRDefault="00DA3370">
            <w:pPr>
              <w:jc w:val="center"/>
              <w:rPr>
                <w:sz w:val="20"/>
                <w:szCs w:val="20"/>
              </w:rPr>
            </w:pPr>
            <w:r>
              <w:rPr>
                <w:rFonts w:cs="Arial"/>
                <w:color w:val="000000"/>
                <w:sz w:val="20"/>
                <w:szCs w:val="20"/>
              </w:rPr>
              <w:t>37.4</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3A45156" w14:textId="77777777" w:rsidR="00D412BB" w:rsidRDefault="00DA3370">
            <w:pPr>
              <w:jc w:val="center"/>
              <w:rPr>
                <w:sz w:val="20"/>
                <w:szCs w:val="20"/>
              </w:rPr>
            </w:pPr>
            <w:r>
              <w:rPr>
                <w:rFonts w:cs="Arial"/>
                <w:color w:val="000000"/>
                <w:sz w:val="20"/>
                <w:szCs w:val="20"/>
              </w:rPr>
              <w:t>1420</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1D13A6B" w14:textId="77777777" w:rsidR="00D412BB" w:rsidRDefault="00DA3370">
            <w:pPr>
              <w:jc w:val="center"/>
              <w:rPr>
                <w:sz w:val="20"/>
                <w:szCs w:val="20"/>
              </w:rPr>
            </w:pPr>
            <w:r>
              <w:rPr>
                <w:rFonts w:cs="Arial"/>
                <w:color w:val="000000"/>
                <w:sz w:val="20"/>
                <w:szCs w:val="20"/>
              </w:rPr>
              <w:t>39.2</w:t>
            </w:r>
          </w:p>
        </w:tc>
      </w:tr>
      <w:tr w:rsidR="00D412BB" w14:paraId="1732A3D7" w14:textId="77777777">
        <w:tc>
          <w:tcPr>
            <w:tcW w:w="21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5C42466" w14:textId="77777777" w:rsidR="00D412BB" w:rsidRDefault="00DA3370">
            <w:pPr>
              <w:jc w:val="center"/>
              <w:rPr>
                <w:sz w:val="20"/>
                <w:szCs w:val="20"/>
              </w:rPr>
            </w:pPr>
            <w:r>
              <w:rPr>
                <w:rFonts w:cs="Arial"/>
                <w:color w:val="000000"/>
                <w:sz w:val="20"/>
                <w:szCs w:val="20"/>
              </w:rPr>
              <w:t>Mancozeb 75% WP</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0B5431C" w14:textId="77777777" w:rsidR="00D412BB" w:rsidRDefault="00DA3370">
            <w:pPr>
              <w:jc w:val="center"/>
              <w:rPr>
                <w:sz w:val="20"/>
                <w:szCs w:val="20"/>
              </w:rPr>
            </w:pPr>
            <w:r>
              <w:rPr>
                <w:rFonts w:cs="Arial"/>
                <w:color w:val="000000"/>
                <w:sz w:val="20"/>
                <w:szCs w:val="20"/>
              </w:rPr>
              <w:t>18.9</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4DC4BC9" w14:textId="77777777" w:rsidR="00D412BB" w:rsidRDefault="00DA3370">
            <w:pPr>
              <w:jc w:val="center"/>
              <w:rPr>
                <w:sz w:val="20"/>
                <w:szCs w:val="20"/>
              </w:rPr>
            </w:pPr>
            <w:r>
              <w:rPr>
                <w:rFonts w:cs="Arial"/>
                <w:color w:val="000000"/>
                <w:sz w:val="20"/>
                <w:szCs w:val="20"/>
              </w:rPr>
              <w:t>23.4</w:t>
            </w:r>
          </w:p>
        </w:tc>
        <w:tc>
          <w:tcPr>
            <w:tcW w:w="18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25423DB" w14:textId="77777777" w:rsidR="00D412BB" w:rsidRDefault="00DA3370">
            <w:pPr>
              <w:jc w:val="center"/>
              <w:rPr>
                <w:sz w:val="20"/>
                <w:szCs w:val="20"/>
              </w:rPr>
            </w:pPr>
            <w:r>
              <w:rPr>
                <w:rFonts w:cs="Arial"/>
                <w:color w:val="000000"/>
                <w:sz w:val="20"/>
                <w:szCs w:val="20"/>
              </w:rPr>
              <w:t>58.7</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0F0471F" w14:textId="77777777" w:rsidR="00D412BB" w:rsidRDefault="00DA3370">
            <w:pPr>
              <w:jc w:val="center"/>
              <w:rPr>
                <w:sz w:val="20"/>
                <w:szCs w:val="20"/>
              </w:rPr>
            </w:pPr>
            <w:r>
              <w:rPr>
                <w:rFonts w:cs="Arial"/>
                <w:color w:val="000000"/>
                <w:sz w:val="20"/>
                <w:szCs w:val="20"/>
              </w:rPr>
              <w:t>1650</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CE563CE" w14:textId="77777777" w:rsidR="00D412BB" w:rsidRDefault="00DA3370">
            <w:pPr>
              <w:jc w:val="center"/>
              <w:rPr>
                <w:sz w:val="20"/>
                <w:szCs w:val="20"/>
              </w:rPr>
            </w:pPr>
            <w:r>
              <w:rPr>
                <w:rFonts w:cs="Arial"/>
                <w:color w:val="000000"/>
                <w:sz w:val="20"/>
                <w:szCs w:val="20"/>
              </w:rPr>
              <w:t>61.8</w:t>
            </w:r>
          </w:p>
        </w:tc>
      </w:tr>
    </w:tbl>
    <w:p w14:paraId="0CC425F5" w14:textId="77777777" w:rsidR="00D412BB" w:rsidRDefault="00DA3370">
      <w:pPr>
        <w:spacing w:before="80" w:after="200"/>
      </w:pPr>
      <w:r>
        <w:rPr>
          <w:rFonts w:cs="Arial"/>
          <w:i/>
          <w:iCs/>
          <w:sz w:val="18"/>
          <w:szCs w:val="18"/>
        </w:rPr>
        <w:t>* Values are means of four replications. DAS = Days After Sowing.</w:t>
      </w:r>
    </w:p>
    <w:p w14:paraId="5BF0D9FB" w14:textId="77777777" w:rsidR="00D412BB" w:rsidRDefault="00DA3370">
      <w:pPr>
        <w:pStyle w:val="Heading2"/>
        <w:rPr>
          <w:color w:val="000000" w:themeColor="text1"/>
          <w:sz w:val="22"/>
          <w:szCs w:val="22"/>
        </w:rPr>
      </w:pPr>
      <w:r>
        <w:rPr>
          <w:color w:val="000000" w:themeColor="text1"/>
          <w:sz w:val="22"/>
          <w:szCs w:val="22"/>
        </w:rPr>
        <w:t xml:space="preserve">4.2 </w:t>
      </w:r>
      <w:r>
        <w:rPr>
          <w:color w:val="000000" w:themeColor="text1"/>
          <w:sz w:val="22"/>
          <w:szCs w:val="22"/>
        </w:rPr>
        <w:t>Performance of Biocontrol Agents</w:t>
      </w:r>
    </w:p>
    <w:p w14:paraId="41E751F1" w14:textId="77777777" w:rsidR="00D412BB" w:rsidRDefault="00DA3370">
      <w:pPr>
        <w:spacing w:before="100" w:after="160" w:line="360" w:lineRule="auto"/>
        <w:jc w:val="both"/>
        <w:rPr>
          <w:sz w:val="20"/>
          <w:szCs w:val="20"/>
        </w:rPr>
      </w:pPr>
      <w:r>
        <w:rPr>
          <w:rFonts w:cs="Arial"/>
          <w:sz w:val="20"/>
          <w:szCs w:val="20"/>
        </w:rPr>
        <w:t xml:space="preserve">Among the biocontrol treatments, the combined application of </w:t>
      </w:r>
      <w:r>
        <w:rPr>
          <w:rFonts w:cs="Arial"/>
          <w:i/>
          <w:iCs/>
          <w:sz w:val="20"/>
          <w:szCs w:val="20"/>
        </w:rPr>
        <w:t xml:space="preserve">Trichoderma </w:t>
      </w:r>
      <w:proofErr w:type="spellStart"/>
      <w:r>
        <w:rPr>
          <w:rFonts w:cs="Arial"/>
          <w:i/>
          <w:iCs/>
          <w:sz w:val="20"/>
          <w:szCs w:val="20"/>
        </w:rPr>
        <w:t>viride</w:t>
      </w:r>
      <w:proofErr w:type="spellEnd"/>
      <w:r>
        <w:rPr>
          <w:rFonts w:cs="Arial"/>
          <w:sz w:val="20"/>
          <w:szCs w:val="20"/>
        </w:rPr>
        <w:t xml:space="preserve"> and </w:t>
      </w:r>
      <w:r>
        <w:rPr>
          <w:rFonts w:cs="Arial"/>
          <w:i/>
          <w:iCs/>
          <w:sz w:val="20"/>
          <w:szCs w:val="20"/>
        </w:rPr>
        <w:t>Pseudomonas fluorescens</w:t>
      </w:r>
      <w:r>
        <w:rPr>
          <w:rFonts w:cs="Arial"/>
          <w:sz w:val="20"/>
          <w:szCs w:val="20"/>
        </w:rPr>
        <w:t xml:space="preserve"> was found to be the most effective, recording the lowest disease incidence (22.1%) and PDI (26.7%) among biocontrol options. This represented a 52.9% reduction in PDI over the untreated control, with an associated seed yield of 1580 kg ha⁻¹ a 54.9% improv</w:t>
      </w:r>
      <w:r>
        <w:rPr>
          <w:rFonts w:cs="Arial"/>
          <w:sz w:val="20"/>
          <w:szCs w:val="20"/>
        </w:rPr>
        <w:t xml:space="preserve">ement over the control. The synergistic action of the two biocontrol agents, working through complementary mechanisms of mycoparasitism, antibiosis, and ISR induction, likely accounts for this superior performance </w:t>
      </w:r>
      <w:r>
        <w:rPr>
          <w:rFonts w:cs="Arial"/>
          <w:sz w:val="20"/>
          <w:szCs w:val="20"/>
        </w:rPr>
        <w:fldChar w:fldCharType="begin"/>
      </w:r>
      <w:r>
        <w:rPr>
          <w:rFonts w:cs="Arial"/>
          <w:sz w:val="20"/>
          <w:szCs w:val="20"/>
        </w:rPr>
        <w:instrText xml:space="preserve"> ADDIN EN.CITE &lt;EndNote&gt;&lt;Cite&gt;&lt;Author&gt;Zege</w:instrText>
      </w:r>
      <w:r>
        <w:rPr>
          <w:rFonts w:cs="Arial"/>
          <w:sz w:val="20"/>
          <w:szCs w:val="20"/>
        </w:rPr>
        <w:instrText xml:space="preserve">ye&lt;/Author&gt;&lt;Year&gt;2011&lt;/Year&gt;&lt;RecNum&gt;57&lt;/RecNum&gt;&lt;DisplayText&gt;(23)&lt;/DisplayText&gt;&lt;record&gt;&lt;rec-number&gt;57&lt;/rec-number&gt;&lt;foreign-keys&gt;&lt;key app="EN" db-id="dw2zpsea0sr9vme0z05x2aeppwsrp95axfr9" timestamp="1772066635"&gt;57&lt;/key&gt;&lt;/foreign-keys&gt;&lt;ref-type name="Journal </w:instrText>
      </w:r>
      <w:r>
        <w:rPr>
          <w:rFonts w:cs="Arial"/>
          <w:sz w:val="20"/>
          <w:szCs w:val="20"/>
        </w:rPr>
        <w:instrText>Article"&gt;17&lt;/ref-type&gt;&lt;contributors&gt;&lt;authors&gt;&lt;author&gt;Zegeye, Ephrem Debebe&lt;/author&gt;&lt;author&gt;Santhanam, Amutha&lt;/author&gt;&lt;author&gt;Gorfu, Dereje&lt;/author&gt;&lt;author&gt;Tessera, Mesfin&lt;/author&gt;&lt;author&gt;Kassa, Bekele&lt;/author&gt;&lt;/authors&gt;&lt;/contributors&gt;&lt;titles&gt;&lt;title&gt;Biocont</w:instrText>
      </w:r>
      <w:r>
        <w:rPr>
          <w:rFonts w:cs="Arial"/>
          <w:sz w:val="20"/>
          <w:szCs w:val="20"/>
        </w:rPr>
        <w:instrText>rol activity of Trichoderma viride and Pseudomonas fluorescens against Phytophthora infestans under greenhouse conditions&lt;/title&gt;&lt;secondary-title&gt;Journal of Agricultural Technology&lt;/secondary-title&gt;&lt;/titles&gt;&lt;periodical&gt;&lt;full-title&gt;Journal of Agricultural T</w:instrText>
      </w:r>
      <w:r>
        <w:rPr>
          <w:rFonts w:cs="Arial"/>
          <w:sz w:val="20"/>
          <w:szCs w:val="20"/>
        </w:rPr>
        <w:instrText>echnology&lt;/full-title&gt;&lt;/periodical&gt;&lt;pages&gt;1589-1602&lt;/pages&gt;&lt;volume&gt;7&lt;/volume&gt;&lt;number&gt;6&lt;/number&gt;&lt;dates&gt;&lt;year&gt;2011&lt;/year&gt;&lt;/dates&gt;&lt;urls&gt;&lt;/urls&gt;&lt;/record&gt;&lt;/Cite&gt;&lt;/EndNote&gt;</w:instrText>
      </w:r>
      <w:r>
        <w:rPr>
          <w:rFonts w:cs="Arial"/>
          <w:sz w:val="20"/>
          <w:szCs w:val="20"/>
        </w:rPr>
        <w:fldChar w:fldCharType="separate"/>
      </w:r>
      <w:r>
        <w:rPr>
          <w:rFonts w:cs="Arial"/>
          <w:sz w:val="20"/>
          <w:szCs w:val="20"/>
        </w:rPr>
        <w:t>(23)</w:t>
      </w:r>
      <w:r>
        <w:rPr>
          <w:rFonts w:cs="Arial"/>
          <w:sz w:val="20"/>
          <w:szCs w:val="20"/>
        </w:rPr>
        <w:fldChar w:fldCharType="end"/>
      </w:r>
      <w:r>
        <w:rPr>
          <w:rFonts w:cs="Arial"/>
          <w:sz w:val="20"/>
          <w:szCs w:val="20"/>
        </w:rPr>
        <w:t>.</w:t>
      </w:r>
    </w:p>
    <w:p w14:paraId="623F69A2" w14:textId="77777777" w:rsidR="00D412BB" w:rsidRDefault="00DA3370">
      <w:pPr>
        <w:spacing w:before="100" w:after="160" w:line="360" w:lineRule="auto"/>
        <w:jc w:val="both"/>
        <w:rPr>
          <w:sz w:val="20"/>
          <w:szCs w:val="20"/>
        </w:rPr>
      </w:pPr>
      <w:r>
        <w:rPr>
          <w:rFonts w:cs="Arial"/>
          <w:sz w:val="20"/>
          <w:szCs w:val="20"/>
        </w:rPr>
        <w:t xml:space="preserve">Individual application of </w:t>
      </w:r>
      <w:r>
        <w:rPr>
          <w:rFonts w:cs="Arial"/>
          <w:i/>
          <w:iCs/>
          <w:sz w:val="20"/>
          <w:szCs w:val="20"/>
        </w:rPr>
        <w:t xml:space="preserve">Trichoderma </w:t>
      </w:r>
      <w:proofErr w:type="spellStart"/>
      <w:r>
        <w:rPr>
          <w:rFonts w:cs="Arial"/>
          <w:i/>
          <w:iCs/>
          <w:sz w:val="20"/>
          <w:szCs w:val="20"/>
        </w:rPr>
        <w:t>viride</w:t>
      </w:r>
      <w:proofErr w:type="spellEnd"/>
      <w:r>
        <w:rPr>
          <w:rFonts w:cs="Arial"/>
          <w:sz w:val="20"/>
          <w:szCs w:val="20"/>
        </w:rPr>
        <w:t xml:space="preserve"> reduced disease incidence to 28.5% w</w:t>
      </w:r>
      <w:r>
        <w:rPr>
          <w:rFonts w:cs="Arial"/>
          <w:sz w:val="20"/>
          <w:szCs w:val="20"/>
        </w:rPr>
        <w:t xml:space="preserve">ith a PDI of 32.1%, representing 43.4% disease reduction and producing 1460 kg ha⁻¹ seed yield, a 43.1% increase over control </w:t>
      </w:r>
      <w:r>
        <w:rPr>
          <w:rFonts w:cs="Arial"/>
          <w:sz w:val="20"/>
          <w:szCs w:val="20"/>
        </w:rPr>
        <w:fldChar w:fldCharType="begin"/>
      </w:r>
      <w:r>
        <w:rPr>
          <w:rFonts w:cs="Arial"/>
          <w:sz w:val="20"/>
          <w:szCs w:val="20"/>
        </w:rPr>
        <w:instrText xml:space="preserve"> ADDIN EN.CITE &lt;EndNote&gt;&lt;Cite&gt;&lt;Author&gt;MANDIAL&lt;/Author&gt;&lt;Year&gt;2023&lt;/Year&gt;&lt;RecNum&gt;58&lt;/RecNum&gt;&lt;DisplayText&gt;(24)&lt;/DisplayText&gt;&lt;record&gt;&lt;</w:instrText>
      </w:r>
      <w:r>
        <w:rPr>
          <w:rFonts w:cs="Arial"/>
          <w:sz w:val="20"/>
          <w:szCs w:val="20"/>
        </w:rPr>
        <w:instrText>rec-number&gt;58&lt;/rec-number&gt;&lt;foreign-keys&gt;&lt;key app="EN" db-id="dw2zpsea0sr9vme0z05x2aeppwsrp95axfr9" timestamp="1772066670"&gt;58&lt;/key&gt;&lt;/foreign-keys&gt;&lt;ref-type name="Journal Article"&gt;17&lt;/ref-type&gt;&lt;contributors&gt;&lt;authors&gt;&lt;author&gt;MANDIAL, ARSHIA&lt;/author&gt;&lt;/authors&gt;</w:instrText>
      </w:r>
      <w:r>
        <w:rPr>
          <w:rFonts w:cs="Arial"/>
          <w:sz w:val="20"/>
          <w:szCs w:val="20"/>
        </w:rPr>
        <w:instrText>&lt;/contributors&gt;&lt;titles&gt;&lt;title&gt;STUDIES ON EFFECT OF BIOLOGICAL CONTROL AGENTS ON PLANT GROWTH, DISEASE INCIDENCE, SEED YIELD AND QUALITY ATTRIBUTES IN CUCUMBER&lt;/title&gt;&lt;/titles&gt;&lt;dates&gt;&lt;year&gt;2023&lt;/year&gt;&lt;/dates&gt;&lt;urls&gt;&lt;/urls&gt;&lt;/record&gt;&lt;/Cite&gt;&lt;/EndNote&gt;</w:instrText>
      </w:r>
      <w:r>
        <w:rPr>
          <w:rFonts w:cs="Arial"/>
          <w:sz w:val="20"/>
          <w:szCs w:val="20"/>
        </w:rPr>
        <w:fldChar w:fldCharType="separate"/>
      </w:r>
      <w:r>
        <w:rPr>
          <w:rFonts w:cs="Arial"/>
          <w:sz w:val="20"/>
          <w:szCs w:val="20"/>
        </w:rPr>
        <w:t>(24)</w:t>
      </w:r>
      <w:r>
        <w:rPr>
          <w:rFonts w:cs="Arial"/>
          <w:sz w:val="20"/>
          <w:szCs w:val="20"/>
        </w:rPr>
        <w:fldChar w:fldCharType="end"/>
      </w:r>
      <w:r>
        <w:rPr>
          <w:rFonts w:cs="Arial"/>
          <w:sz w:val="20"/>
          <w:szCs w:val="20"/>
        </w:rPr>
        <w:t xml:space="preserve">. </w:t>
      </w:r>
      <w:r>
        <w:rPr>
          <w:rFonts w:cs="Arial"/>
          <w:i/>
          <w:iCs/>
          <w:sz w:val="20"/>
          <w:szCs w:val="20"/>
        </w:rPr>
        <w:t>P</w:t>
      </w:r>
      <w:r>
        <w:rPr>
          <w:rFonts w:cs="Arial"/>
          <w:i/>
          <w:iCs/>
          <w:sz w:val="20"/>
          <w:szCs w:val="20"/>
        </w:rPr>
        <w:t>seudomonas fluorescens</w:t>
      </w:r>
      <w:r>
        <w:rPr>
          <w:rFonts w:cs="Arial"/>
          <w:sz w:val="20"/>
          <w:szCs w:val="20"/>
        </w:rPr>
        <w:t xml:space="preserve"> applied individually resulted in disease incidence of 33.7%, PDI of 38.4%, 32.3% disease reduction, and seed yield of 1385 kg ha⁻¹ (35.8% increase over control). Both individual treatments were significantly superior to the untreated</w:t>
      </w:r>
      <w:r>
        <w:rPr>
          <w:rFonts w:cs="Arial"/>
          <w:sz w:val="20"/>
          <w:szCs w:val="20"/>
        </w:rPr>
        <w:t xml:space="preserve"> control but inferior to their combination.</w:t>
      </w:r>
    </w:p>
    <w:p w14:paraId="35C458F3" w14:textId="77777777" w:rsidR="00D412BB" w:rsidRDefault="00DA3370">
      <w:pPr>
        <w:pStyle w:val="Heading2"/>
        <w:rPr>
          <w:color w:val="000000" w:themeColor="text1"/>
          <w:sz w:val="22"/>
          <w:szCs w:val="22"/>
        </w:rPr>
      </w:pPr>
      <w:r>
        <w:rPr>
          <w:color w:val="000000" w:themeColor="text1"/>
          <w:sz w:val="22"/>
          <w:szCs w:val="22"/>
        </w:rPr>
        <w:t>4.3 Performance of Botanical and Resistance-Inducing Treatments</w:t>
      </w:r>
    </w:p>
    <w:p w14:paraId="489527BC" w14:textId="77777777" w:rsidR="00D412BB" w:rsidRDefault="00DA3370">
      <w:pPr>
        <w:spacing w:before="100" w:after="160" w:line="360" w:lineRule="auto"/>
        <w:jc w:val="both"/>
        <w:rPr>
          <w:sz w:val="20"/>
          <w:szCs w:val="20"/>
        </w:rPr>
      </w:pPr>
      <w:r>
        <w:rPr>
          <w:rFonts w:cs="Arial"/>
          <w:sz w:val="20"/>
          <w:szCs w:val="20"/>
        </w:rPr>
        <w:t>Among the botanical and chemical resistance inducers, salicylic acid (0.1%) outperformed garlic extract (5%). Salicylic acid recorded a PDI of 35.5% and disease reduction of 37.4%, with a seed yield of 1420 kg ha⁻¹ (39.2% increase over control). The activa</w:t>
      </w:r>
      <w:r>
        <w:rPr>
          <w:rFonts w:cs="Arial"/>
          <w:sz w:val="20"/>
          <w:szCs w:val="20"/>
        </w:rPr>
        <w:t xml:space="preserve">tion of systemic acquired resistance (SAR) through salicylic acid, with concomitant upregulation of PR proteins, likely contributed to its relatively better performance compared to garlic extract </w:t>
      </w:r>
      <w:r>
        <w:rPr>
          <w:rFonts w:cs="Arial"/>
          <w:sz w:val="20"/>
          <w:szCs w:val="20"/>
        </w:rPr>
        <w:fldChar w:fldCharType="begin"/>
      </w:r>
      <w:r>
        <w:rPr>
          <w:rFonts w:cs="Arial"/>
          <w:sz w:val="20"/>
          <w:szCs w:val="20"/>
        </w:rPr>
        <w:instrText xml:space="preserve"> ADDIN EN.CITE &lt;EndNote&gt;&lt;Cite&gt;&lt;Author&gt;Kamle&lt;/Author&gt;&lt;Year&gt;20</w:instrText>
      </w:r>
      <w:r>
        <w:rPr>
          <w:rFonts w:cs="Arial"/>
          <w:sz w:val="20"/>
          <w:szCs w:val="20"/>
        </w:rPr>
        <w:instrText>20&lt;/Year&gt;&lt;RecNum&gt;59&lt;/RecNum&gt;&lt;DisplayText&gt;(25)&lt;/DisplayText&gt;&lt;record&gt;&lt;rec-number&gt;59&lt;/rec-number&gt;&lt;foreign-keys&gt;&lt;key app="EN" db-id="dw2zpsea0sr9vme0z05x2aeppwsrp95axfr9" timestamp="1772066707"&gt;59&lt;/key&gt;&lt;/foreign-keys&gt;&lt;ref-type name="Book Section"&gt;5&lt;/ref-type&gt;&lt;</w:instrText>
      </w:r>
      <w:r>
        <w:rPr>
          <w:rFonts w:cs="Arial"/>
          <w:sz w:val="20"/>
          <w:szCs w:val="20"/>
        </w:rPr>
        <w:instrText>contributors&gt;&lt;authors&gt;&lt;author&gt;Kamle, Madhu&lt;/author&gt;&lt;author&gt;Borah, Rituraj&lt;/author&gt;&lt;author&gt;Bora, Himashree&lt;/author&gt;&lt;author&gt;Jaiswal, Amit K&lt;/author&gt;&lt;author&gt;Singh, Ravi Kant&lt;/author&gt;&lt;author&gt;Kumar, Pradeep&lt;/author&gt;&lt;/authors&gt;&lt;/contributors&gt;&lt;titles&gt;&lt;title&gt;System</w:instrText>
      </w:r>
      <w:r>
        <w:rPr>
          <w:rFonts w:cs="Arial"/>
          <w:sz w:val="20"/>
          <w:szCs w:val="20"/>
        </w:rPr>
        <w:instrText>ic acquired resistance (SAR) and induced systemic resistance (ISR): role and mechanism of action against phytopathogens&lt;/title&gt;&lt;secondary-title&gt;Fungal biotechnology and bioengineering&lt;/secondary-title&gt;&lt;/titles&gt;&lt;pages&gt;457-470&lt;/pages&gt;&lt;dates&gt;&lt;year&gt;2020&lt;/year&gt;</w:instrText>
      </w:r>
      <w:r>
        <w:rPr>
          <w:rFonts w:cs="Arial"/>
          <w:sz w:val="20"/>
          <w:szCs w:val="20"/>
        </w:rPr>
        <w:instrText>&lt;/dates&gt;&lt;publisher&gt;Springer&lt;/publisher&gt;&lt;urls&gt;&lt;/urls&gt;&lt;/record&gt;&lt;/Cite&gt;&lt;/EndNote&gt;</w:instrText>
      </w:r>
      <w:r>
        <w:rPr>
          <w:rFonts w:cs="Arial"/>
          <w:sz w:val="20"/>
          <w:szCs w:val="20"/>
        </w:rPr>
        <w:fldChar w:fldCharType="separate"/>
      </w:r>
      <w:r>
        <w:rPr>
          <w:rFonts w:cs="Arial"/>
          <w:sz w:val="20"/>
          <w:szCs w:val="20"/>
        </w:rPr>
        <w:t>(25)</w:t>
      </w:r>
      <w:r>
        <w:rPr>
          <w:rFonts w:cs="Arial"/>
          <w:sz w:val="20"/>
          <w:szCs w:val="20"/>
        </w:rPr>
        <w:fldChar w:fldCharType="end"/>
      </w:r>
      <w:r>
        <w:rPr>
          <w:rFonts w:cs="Arial"/>
          <w:sz w:val="20"/>
          <w:szCs w:val="20"/>
        </w:rPr>
        <w:t>.</w:t>
      </w:r>
    </w:p>
    <w:p w14:paraId="1D223FC0" w14:textId="77777777" w:rsidR="00D412BB" w:rsidRDefault="00DA3370">
      <w:pPr>
        <w:spacing w:before="100" w:after="160" w:line="360" w:lineRule="auto"/>
        <w:jc w:val="both"/>
        <w:rPr>
          <w:sz w:val="20"/>
          <w:szCs w:val="20"/>
        </w:rPr>
      </w:pPr>
      <w:r>
        <w:rPr>
          <w:rFonts w:cs="Arial"/>
          <w:sz w:val="20"/>
          <w:szCs w:val="20"/>
        </w:rPr>
        <w:lastRenderedPageBreak/>
        <w:t>Garlic extract (5%) showed the weakest efficacy among all treatments tested, recording a PDI of 44.1% and only 22.2% disease reduction over control, with a seed yield of</w:t>
      </w:r>
      <w:r>
        <w:rPr>
          <w:rFonts w:cs="Arial"/>
          <w:sz w:val="20"/>
          <w:szCs w:val="20"/>
        </w:rPr>
        <w:t xml:space="preserve"> 1290 kg ha⁻¹ (26.5% increase over control). The limited field efficacy of garlic extract may be attributed to its susceptibility to rapid degradation and volatilization under field conditions, dilution by dew and rain splash, and inadequate systemic activ</w:t>
      </w:r>
      <w:r>
        <w:rPr>
          <w:rFonts w:cs="Arial"/>
          <w:sz w:val="20"/>
          <w:szCs w:val="20"/>
        </w:rPr>
        <w:t xml:space="preserve">ity compared to other treatments </w:t>
      </w:r>
      <w:r>
        <w:rPr>
          <w:rFonts w:cs="Arial"/>
          <w:sz w:val="20"/>
          <w:szCs w:val="20"/>
        </w:rPr>
        <w:fldChar w:fldCharType="begin"/>
      </w:r>
      <w:r>
        <w:rPr>
          <w:rFonts w:cs="Arial"/>
          <w:sz w:val="20"/>
          <w:szCs w:val="20"/>
        </w:rPr>
        <w:instrText xml:space="preserve"> ADDIN EN.CITE &lt;EndNote&gt;&lt;Cite&gt;&lt;Author&gt;Choi&lt;/Author&gt;&lt;Year&gt;2004&lt;/Year&gt;&lt;RecNum&gt;60&lt;/RecNum&gt;&lt;DisplayText&gt;(26)&lt;/DisplayText&gt;&lt;record&gt;&lt;rec-number&gt;60&lt;/rec-number&gt;&lt;foreign-keys&gt;&lt;key app="EN" db-id="dw2zpsea0sr9vme0z05x2aeppwsrp95axfr</w:instrText>
      </w:r>
      <w:r>
        <w:rPr>
          <w:rFonts w:cs="Arial"/>
          <w:sz w:val="20"/>
          <w:szCs w:val="20"/>
        </w:rPr>
        <w:instrText>9" timestamp="1772066734"&gt;60&lt;/key&gt;&lt;/foreign-keys&gt;&lt;ref-type name="Journal Article"&gt;17&lt;/ref-type&gt;&lt;contributors&gt;&lt;authors&gt;&lt;author&gt;Choi, Sun-Tay&lt;/author&gt;&lt;author&gt;Bae, Ro-Na&lt;/author&gt;&lt;author&gt;Chung, Dae-Sung&lt;/author&gt;&lt;author&gt;Lee, Seung-Koo&lt;/author&gt;&lt;/authors&gt;&lt;/contri</w:instrText>
      </w:r>
      <w:r>
        <w:rPr>
          <w:rFonts w:cs="Arial"/>
          <w:sz w:val="20"/>
          <w:szCs w:val="20"/>
        </w:rPr>
        <w:instrText>butors&gt;&lt;titles&gt;&lt;title&gt;Effects of Storage Conditions on Postharvest Qualities in Garlic Bulbs (Allium sativum L.)&lt;/title&gt;&lt;secondary-title&gt;HortScience&lt;/secondary-title&gt;&lt;/titles&gt;&lt;periodical&gt;&lt;full-title&gt;HortScience&lt;/full-title&gt;&lt;/periodical&gt;&lt;pages&gt;805C-805&lt;/pag</w:instrText>
      </w:r>
      <w:r>
        <w:rPr>
          <w:rFonts w:cs="Arial"/>
          <w:sz w:val="20"/>
          <w:szCs w:val="20"/>
        </w:rPr>
        <w:instrText>es&gt;&lt;volume&gt;39&lt;/volume&gt;&lt;number&gt;4&lt;/number&gt;&lt;dates&gt;&lt;year&gt;2004&lt;/year&gt;&lt;/dates&gt;&lt;isbn&gt;2327-9834&lt;/isbn&gt;&lt;urls&gt;&lt;/urls&gt;&lt;/record&gt;&lt;/Cite&gt;&lt;/EndNote&gt;</w:instrText>
      </w:r>
      <w:r>
        <w:rPr>
          <w:rFonts w:cs="Arial"/>
          <w:sz w:val="20"/>
          <w:szCs w:val="20"/>
        </w:rPr>
        <w:fldChar w:fldCharType="separate"/>
      </w:r>
      <w:r>
        <w:rPr>
          <w:rFonts w:cs="Arial"/>
          <w:sz w:val="20"/>
          <w:szCs w:val="20"/>
        </w:rPr>
        <w:t>(26)</w:t>
      </w:r>
      <w:r>
        <w:rPr>
          <w:rFonts w:cs="Arial"/>
          <w:sz w:val="20"/>
          <w:szCs w:val="20"/>
        </w:rPr>
        <w:fldChar w:fldCharType="end"/>
      </w:r>
      <w:r>
        <w:rPr>
          <w:rFonts w:cs="Arial"/>
          <w:sz w:val="20"/>
          <w:szCs w:val="20"/>
        </w:rPr>
        <w:t>.</w:t>
      </w:r>
    </w:p>
    <w:p w14:paraId="45F4642B" w14:textId="77777777" w:rsidR="00D412BB" w:rsidRDefault="00DA3370">
      <w:pPr>
        <w:pStyle w:val="Heading2"/>
        <w:rPr>
          <w:i/>
          <w:iCs/>
          <w:color w:val="000000" w:themeColor="text1"/>
          <w:sz w:val="22"/>
          <w:szCs w:val="22"/>
        </w:rPr>
      </w:pPr>
      <w:r>
        <w:rPr>
          <w:i/>
          <w:iCs/>
          <w:color w:val="000000" w:themeColor="text1"/>
          <w:sz w:val="22"/>
          <w:szCs w:val="22"/>
        </w:rPr>
        <w:t>4.4 Performance of Chemical Fungicide</w:t>
      </w:r>
    </w:p>
    <w:p w14:paraId="4BB3A109" w14:textId="77777777" w:rsidR="00D412BB" w:rsidRDefault="00DA3370">
      <w:pPr>
        <w:spacing w:before="100" w:after="160" w:line="360" w:lineRule="auto"/>
        <w:jc w:val="both"/>
        <w:rPr>
          <w:sz w:val="20"/>
          <w:szCs w:val="20"/>
        </w:rPr>
      </w:pPr>
      <w:r>
        <w:rPr>
          <w:rFonts w:cs="Arial"/>
          <w:sz w:val="20"/>
          <w:szCs w:val="20"/>
        </w:rPr>
        <w:t>The fungicide check treatment (Mancozeb 75% WP @ 0.25%) proved superior to a</w:t>
      </w:r>
      <w:r>
        <w:rPr>
          <w:rFonts w:cs="Arial"/>
          <w:sz w:val="20"/>
          <w:szCs w:val="20"/>
        </w:rPr>
        <w:t>ll other treatments across all measured parameters. It recorded the lowest disease incidence (18.9%) and PDI (23.4%), maximum disease reduction (58.7%), and highest seed yield (1650 kg ha⁻¹, corresponding to a 61.8% increase over control). This performance</w:t>
      </w:r>
      <w:r>
        <w:rPr>
          <w:rFonts w:cs="Arial"/>
          <w:sz w:val="20"/>
          <w:szCs w:val="20"/>
        </w:rPr>
        <w:t xml:space="preserve"> establishes Mancozeb as an effective benchmark and validates the experimental system. Importantly, the combined biocontrol treatment (T. </w:t>
      </w:r>
      <w:proofErr w:type="spellStart"/>
      <w:r>
        <w:rPr>
          <w:rFonts w:cs="Arial"/>
          <w:sz w:val="20"/>
          <w:szCs w:val="20"/>
        </w:rPr>
        <w:t>viride</w:t>
      </w:r>
      <w:proofErr w:type="spellEnd"/>
      <w:r>
        <w:rPr>
          <w:rFonts w:cs="Arial"/>
          <w:sz w:val="20"/>
          <w:szCs w:val="20"/>
        </w:rPr>
        <w:t xml:space="preserve"> + P. fluorescens) achieved comparable disease control to Mancozeb at approximately 90% of the fungicide's effic</w:t>
      </w:r>
      <w:r>
        <w:rPr>
          <w:rFonts w:cs="Arial"/>
          <w:sz w:val="20"/>
          <w:szCs w:val="20"/>
        </w:rPr>
        <w:t xml:space="preserve">acy level, demonstrating the strong potential of biological alternatives </w:t>
      </w:r>
      <w:r>
        <w:rPr>
          <w:rFonts w:cs="Arial"/>
          <w:sz w:val="20"/>
          <w:szCs w:val="20"/>
        </w:rPr>
        <w:fldChar w:fldCharType="begin"/>
      </w:r>
      <w:r>
        <w:rPr>
          <w:rFonts w:cs="Arial"/>
          <w:sz w:val="20"/>
          <w:szCs w:val="20"/>
        </w:rPr>
        <w:instrText xml:space="preserve"> ADDIN EN.CITE &lt;EndNote&gt;&lt;Cite&gt;&lt;Author&gt;Simonetti&lt;/Author&gt;&lt;Year&gt;2020&lt;/Year&gt;&lt;RecNum&gt;61&lt;/RecNum&gt;&lt;DisplayText&gt;(27)&lt;/DisplayText&gt;&lt;record&gt;&lt;rec-number&gt;61&lt;/rec-number&gt;&lt;foreign-keys&gt;&lt;key app="E</w:instrText>
      </w:r>
      <w:r>
        <w:rPr>
          <w:rFonts w:cs="Arial"/>
          <w:sz w:val="20"/>
          <w:szCs w:val="20"/>
        </w:rPr>
        <w:instrText>N" db-id="dw2zpsea0sr9vme0z05x2aeppwsrp95axfr9" timestamp="1772066770"&gt;61&lt;/key&gt;&lt;/foreign-keys&gt;&lt;ref-type name="Journal Article"&gt;17&lt;/ref-type&gt;&lt;contributors&gt;&lt;authors&gt;&lt;author&gt;Simonetti, Giulia&lt;/author&gt;&lt;author&gt;Castellani, Federica&lt;/author&gt;&lt;author&gt;Di Filippo, Pa</w:instrText>
      </w:r>
      <w:r>
        <w:rPr>
          <w:rFonts w:cs="Arial"/>
          <w:sz w:val="20"/>
          <w:szCs w:val="20"/>
        </w:rPr>
        <w:instrText>trizia&lt;/author&gt;&lt;author&gt;Riccardi, Carmela&lt;/author&gt;&lt;author&gt;Pomata, Donatella&lt;/author&gt;&lt;author&gt;Risoluti, Roberta&lt;/author&gt;&lt;author&gt;Buiarelli, Francesca&lt;/author&gt;&lt;author&gt;Sonego, Elisa&lt;/author&gt;&lt;/authors&gt;&lt;/contributors&gt;&lt;titles&gt;&lt;title&gt;Determination of Mancozeb, a pes</w:instrText>
      </w:r>
      <w:r>
        <w:rPr>
          <w:rFonts w:cs="Arial"/>
          <w:sz w:val="20"/>
          <w:szCs w:val="20"/>
        </w:rPr>
        <w:instrText>ticide used worldwide in agriculture: comparison among GC, LC, and CE&lt;/title&gt;&lt;secondary-title&gt;Current Analytical Chemistry&lt;/secondary-title&gt;&lt;/titles&gt;&lt;periodical&gt;&lt;full-title&gt;Current Analytical Chemistry&lt;/full-title&gt;&lt;/periodical&gt;&lt;pages&gt;1041-1053&lt;/pages&gt;&lt;volu</w:instrText>
      </w:r>
      <w:r>
        <w:rPr>
          <w:rFonts w:cs="Arial"/>
          <w:sz w:val="20"/>
          <w:szCs w:val="20"/>
        </w:rPr>
        <w:instrText>me&gt;16&lt;/volume&gt;&lt;number&gt;8&lt;/number&gt;&lt;dates&gt;&lt;year&gt;2020&lt;/year&gt;&lt;/dates&gt;&lt;isbn&gt;1573-4110&lt;/isbn&gt;&lt;urls&gt;&lt;/urls&gt;&lt;/record&gt;&lt;/Cite&gt;&lt;/EndNote&gt;</w:instrText>
      </w:r>
      <w:r>
        <w:rPr>
          <w:rFonts w:cs="Arial"/>
          <w:sz w:val="20"/>
          <w:szCs w:val="20"/>
        </w:rPr>
        <w:fldChar w:fldCharType="separate"/>
      </w:r>
      <w:r>
        <w:rPr>
          <w:rFonts w:cs="Arial"/>
          <w:sz w:val="20"/>
          <w:szCs w:val="20"/>
        </w:rPr>
        <w:t>(27)</w:t>
      </w:r>
      <w:r>
        <w:rPr>
          <w:rFonts w:cs="Arial"/>
          <w:sz w:val="20"/>
          <w:szCs w:val="20"/>
        </w:rPr>
        <w:fldChar w:fldCharType="end"/>
      </w:r>
      <w:r>
        <w:rPr>
          <w:rFonts w:cs="Arial"/>
          <w:sz w:val="20"/>
          <w:szCs w:val="20"/>
        </w:rPr>
        <w:t>.</w:t>
      </w:r>
    </w:p>
    <w:p w14:paraId="4535A0D3" w14:textId="77777777" w:rsidR="00D412BB" w:rsidRDefault="00DA3370">
      <w:pPr>
        <w:pStyle w:val="Heading2"/>
        <w:rPr>
          <w:color w:val="000000" w:themeColor="text1"/>
          <w:sz w:val="22"/>
          <w:szCs w:val="22"/>
        </w:rPr>
      </w:pPr>
      <w:r>
        <w:rPr>
          <w:color w:val="000000" w:themeColor="text1"/>
          <w:sz w:val="22"/>
          <w:szCs w:val="22"/>
        </w:rPr>
        <w:t>4.5 ANOVA for PDI</w:t>
      </w:r>
    </w:p>
    <w:p w14:paraId="35678E3A" w14:textId="77777777" w:rsidR="00D412BB" w:rsidRDefault="00DA3370">
      <w:pPr>
        <w:spacing w:before="200" w:after="100"/>
      </w:pPr>
      <w:r>
        <w:rPr>
          <w:rFonts w:cs="Arial"/>
          <w:b/>
          <w:bCs/>
        </w:rPr>
        <w:t>Table 3: ANOVA for Effect of Treatments on White Rust Severity (PDI)</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600"/>
        <w:gridCol w:w="1600"/>
        <w:gridCol w:w="1760"/>
        <w:gridCol w:w="1600"/>
      </w:tblGrid>
      <w:tr w:rsidR="00D412BB" w14:paraId="4078E16E" w14:textId="77777777">
        <w:trPr>
          <w:tblHeader/>
        </w:trPr>
        <w:tc>
          <w:tcPr>
            <w:tcW w:w="28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60C81D29" w14:textId="77777777" w:rsidR="00D412BB" w:rsidRDefault="00DA3370">
            <w:pPr>
              <w:jc w:val="center"/>
            </w:pPr>
            <w:r>
              <w:rPr>
                <w:rFonts w:cs="Arial"/>
                <w:b/>
                <w:bCs/>
                <w:color w:val="FFFFFF"/>
                <w:sz w:val="20"/>
                <w:szCs w:val="20"/>
              </w:rPr>
              <w:t>Source of Variation</w:t>
            </w:r>
          </w:p>
        </w:tc>
        <w:tc>
          <w:tcPr>
            <w:tcW w:w="16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7813A2C8" w14:textId="77777777" w:rsidR="00D412BB" w:rsidRDefault="00DA3370">
            <w:pPr>
              <w:jc w:val="center"/>
            </w:pPr>
            <w:r>
              <w:rPr>
                <w:rFonts w:cs="Arial"/>
                <w:b/>
                <w:bCs/>
                <w:color w:val="FFFFFF"/>
                <w:sz w:val="20"/>
                <w:szCs w:val="20"/>
              </w:rPr>
              <w:t>DF</w:t>
            </w:r>
          </w:p>
        </w:tc>
        <w:tc>
          <w:tcPr>
            <w:tcW w:w="16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2458BA49" w14:textId="77777777" w:rsidR="00D412BB" w:rsidRDefault="00DA3370">
            <w:pPr>
              <w:jc w:val="center"/>
            </w:pPr>
            <w:r>
              <w:rPr>
                <w:rFonts w:cs="Arial"/>
                <w:b/>
                <w:bCs/>
                <w:color w:val="FFFFFF"/>
                <w:sz w:val="20"/>
                <w:szCs w:val="20"/>
              </w:rPr>
              <w:t>SS</w:t>
            </w:r>
          </w:p>
        </w:tc>
        <w:tc>
          <w:tcPr>
            <w:tcW w:w="176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7AEF3E16" w14:textId="77777777" w:rsidR="00D412BB" w:rsidRDefault="00DA3370">
            <w:pPr>
              <w:jc w:val="center"/>
            </w:pPr>
            <w:r>
              <w:rPr>
                <w:rFonts w:cs="Arial"/>
                <w:b/>
                <w:bCs/>
                <w:color w:val="FFFFFF"/>
                <w:sz w:val="20"/>
                <w:szCs w:val="20"/>
              </w:rPr>
              <w:t>MS</w:t>
            </w:r>
          </w:p>
        </w:tc>
        <w:tc>
          <w:tcPr>
            <w:tcW w:w="16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472DBB57" w14:textId="77777777" w:rsidR="00D412BB" w:rsidRDefault="00DA3370">
            <w:pPr>
              <w:jc w:val="center"/>
            </w:pPr>
            <w:r>
              <w:rPr>
                <w:rFonts w:cs="Arial"/>
                <w:b/>
                <w:bCs/>
                <w:color w:val="FFFFFF"/>
                <w:sz w:val="20"/>
                <w:szCs w:val="20"/>
              </w:rPr>
              <w:t>F-valu</w:t>
            </w:r>
            <w:r>
              <w:rPr>
                <w:rFonts w:cs="Arial"/>
                <w:b/>
                <w:bCs/>
                <w:color w:val="FFFFFF"/>
                <w:sz w:val="20"/>
                <w:szCs w:val="20"/>
              </w:rPr>
              <w:t>e</w:t>
            </w:r>
          </w:p>
        </w:tc>
      </w:tr>
      <w:tr w:rsidR="00D412BB" w14:paraId="7B58A478" w14:textId="77777777">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86D1738" w14:textId="77777777" w:rsidR="00D412BB" w:rsidRDefault="00DA3370">
            <w:pPr>
              <w:jc w:val="center"/>
              <w:rPr>
                <w:sz w:val="20"/>
                <w:szCs w:val="20"/>
              </w:rPr>
            </w:pPr>
            <w:r>
              <w:rPr>
                <w:rFonts w:cs="Arial"/>
                <w:color w:val="000000"/>
                <w:sz w:val="20"/>
                <w:szCs w:val="20"/>
              </w:rPr>
              <w:t>Treatments</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C20AC85" w14:textId="77777777" w:rsidR="00D412BB" w:rsidRDefault="00DA3370">
            <w:pPr>
              <w:jc w:val="center"/>
              <w:rPr>
                <w:sz w:val="20"/>
                <w:szCs w:val="20"/>
              </w:rPr>
            </w:pPr>
            <w:r>
              <w:rPr>
                <w:rFonts w:cs="Arial"/>
                <w:color w:val="000000"/>
                <w:sz w:val="20"/>
                <w:szCs w:val="20"/>
              </w:rPr>
              <w:t>6</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C871074" w14:textId="77777777" w:rsidR="00D412BB" w:rsidRDefault="00DA3370">
            <w:pPr>
              <w:jc w:val="center"/>
              <w:rPr>
                <w:sz w:val="20"/>
                <w:szCs w:val="20"/>
              </w:rPr>
            </w:pPr>
            <w:r>
              <w:rPr>
                <w:rFonts w:cs="Arial"/>
                <w:color w:val="000000"/>
                <w:sz w:val="20"/>
                <w:szCs w:val="20"/>
              </w:rPr>
              <w:t>2450.6</w:t>
            </w:r>
          </w:p>
        </w:tc>
        <w:tc>
          <w:tcPr>
            <w:tcW w:w="17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48F1D70" w14:textId="77777777" w:rsidR="00D412BB" w:rsidRDefault="00DA3370">
            <w:pPr>
              <w:jc w:val="center"/>
              <w:rPr>
                <w:sz w:val="20"/>
                <w:szCs w:val="20"/>
              </w:rPr>
            </w:pPr>
            <w:r>
              <w:rPr>
                <w:rFonts w:cs="Arial"/>
                <w:color w:val="000000"/>
                <w:sz w:val="20"/>
                <w:szCs w:val="20"/>
              </w:rPr>
              <w:t>408.4</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1692FB9" w14:textId="77777777" w:rsidR="00D412BB" w:rsidRDefault="00DA3370">
            <w:pPr>
              <w:jc w:val="center"/>
              <w:rPr>
                <w:sz w:val="20"/>
                <w:szCs w:val="20"/>
              </w:rPr>
            </w:pPr>
            <w:r>
              <w:rPr>
                <w:rFonts w:cs="Arial"/>
                <w:color w:val="000000"/>
                <w:sz w:val="20"/>
                <w:szCs w:val="20"/>
              </w:rPr>
              <w:t>18.72*</w:t>
            </w:r>
          </w:p>
        </w:tc>
      </w:tr>
      <w:tr w:rsidR="00D412BB" w14:paraId="008E138C" w14:textId="77777777">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2AA8EC0" w14:textId="77777777" w:rsidR="00D412BB" w:rsidRDefault="00DA3370">
            <w:pPr>
              <w:jc w:val="center"/>
              <w:rPr>
                <w:sz w:val="20"/>
                <w:szCs w:val="20"/>
              </w:rPr>
            </w:pPr>
            <w:r>
              <w:rPr>
                <w:rFonts w:cs="Arial"/>
                <w:color w:val="000000"/>
                <w:sz w:val="20"/>
                <w:szCs w:val="20"/>
              </w:rPr>
              <w:t>Error</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43318AB" w14:textId="77777777" w:rsidR="00D412BB" w:rsidRDefault="00DA3370">
            <w:pPr>
              <w:jc w:val="center"/>
              <w:rPr>
                <w:sz w:val="20"/>
                <w:szCs w:val="20"/>
              </w:rPr>
            </w:pPr>
            <w:r>
              <w:rPr>
                <w:rFonts w:cs="Arial"/>
                <w:color w:val="000000"/>
                <w:sz w:val="20"/>
                <w:szCs w:val="20"/>
              </w:rPr>
              <w:t>18</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7462573" w14:textId="77777777" w:rsidR="00D412BB" w:rsidRDefault="00DA3370">
            <w:pPr>
              <w:jc w:val="center"/>
              <w:rPr>
                <w:sz w:val="20"/>
                <w:szCs w:val="20"/>
              </w:rPr>
            </w:pPr>
            <w:r>
              <w:rPr>
                <w:rFonts w:cs="Arial"/>
                <w:color w:val="000000"/>
                <w:sz w:val="20"/>
                <w:szCs w:val="20"/>
              </w:rPr>
              <w:t>392.6</w:t>
            </w:r>
          </w:p>
        </w:tc>
        <w:tc>
          <w:tcPr>
            <w:tcW w:w="17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91771A3" w14:textId="77777777" w:rsidR="00D412BB" w:rsidRDefault="00DA3370">
            <w:pPr>
              <w:jc w:val="center"/>
              <w:rPr>
                <w:sz w:val="20"/>
                <w:szCs w:val="20"/>
              </w:rPr>
            </w:pPr>
            <w:r>
              <w:rPr>
                <w:rFonts w:cs="Arial"/>
                <w:color w:val="000000"/>
                <w:sz w:val="20"/>
                <w:szCs w:val="20"/>
              </w:rPr>
              <w:t>21.8</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36F5149" w14:textId="77777777" w:rsidR="00D412BB" w:rsidRDefault="00DA3370">
            <w:pPr>
              <w:jc w:val="center"/>
              <w:rPr>
                <w:sz w:val="20"/>
                <w:szCs w:val="20"/>
              </w:rPr>
            </w:pPr>
            <w:r>
              <w:rPr>
                <w:rFonts w:cs="Arial"/>
                <w:color w:val="000000"/>
                <w:sz w:val="20"/>
                <w:szCs w:val="20"/>
              </w:rPr>
              <w:t>-</w:t>
            </w:r>
          </w:p>
        </w:tc>
      </w:tr>
      <w:tr w:rsidR="00D412BB" w14:paraId="6FA0BF50" w14:textId="77777777">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59093E9" w14:textId="77777777" w:rsidR="00D412BB" w:rsidRDefault="00DA3370">
            <w:pPr>
              <w:jc w:val="center"/>
              <w:rPr>
                <w:sz w:val="20"/>
                <w:szCs w:val="20"/>
              </w:rPr>
            </w:pPr>
            <w:r>
              <w:rPr>
                <w:rFonts w:cs="Arial"/>
                <w:color w:val="000000"/>
                <w:sz w:val="20"/>
                <w:szCs w:val="20"/>
              </w:rPr>
              <w:t>Total</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687385F" w14:textId="77777777" w:rsidR="00D412BB" w:rsidRDefault="00DA3370">
            <w:pPr>
              <w:jc w:val="center"/>
              <w:rPr>
                <w:sz w:val="20"/>
                <w:szCs w:val="20"/>
              </w:rPr>
            </w:pPr>
            <w:r>
              <w:rPr>
                <w:rFonts w:cs="Arial"/>
                <w:color w:val="000000"/>
                <w:sz w:val="20"/>
                <w:szCs w:val="20"/>
              </w:rPr>
              <w:t>24</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C8A7AF0" w14:textId="77777777" w:rsidR="00D412BB" w:rsidRDefault="00DA3370">
            <w:pPr>
              <w:jc w:val="center"/>
              <w:rPr>
                <w:sz w:val="20"/>
                <w:szCs w:val="20"/>
              </w:rPr>
            </w:pPr>
            <w:r>
              <w:rPr>
                <w:rFonts w:cs="Arial"/>
                <w:color w:val="000000"/>
                <w:sz w:val="20"/>
                <w:szCs w:val="20"/>
              </w:rPr>
              <w:t>2843.2</w:t>
            </w:r>
          </w:p>
        </w:tc>
        <w:tc>
          <w:tcPr>
            <w:tcW w:w="17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79B2EB8" w14:textId="77777777" w:rsidR="00D412BB" w:rsidRDefault="00DA3370">
            <w:pPr>
              <w:jc w:val="center"/>
              <w:rPr>
                <w:sz w:val="20"/>
                <w:szCs w:val="20"/>
              </w:rPr>
            </w:pPr>
            <w:r>
              <w:rPr>
                <w:rFonts w:cs="Arial"/>
                <w:color w:val="000000"/>
                <w:sz w:val="20"/>
                <w:szCs w:val="20"/>
              </w:rPr>
              <w:t>-</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75C010B" w14:textId="77777777" w:rsidR="00D412BB" w:rsidRDefault="00DA3370">
            <w:pPr>
              <w:jc w:val="center"/>
              <w:rPr>
                <w:sz w:val="20"/>
                <w:szCs w:val="20"/>
              </w:rPr>
            </w:pPr>
            <w:r>
              <w:rPr>
                <w:rFonts w:cs="Arial"/>
                <w:color w:val="000000"/>
                <w:sz w:val="20"/>
                <w:szCs w:val="20"/>
              </w:rPr>
              <w:t>-</w:t>
            </w:r>
          </w:p>
        </w:tc>
      </w:tr>
    </w:tbl>
    <w:p w14:paraId="04D8425F" w14:textId="77777777" w:rsidR="00D412BB" w:rsidRDefault="00DA3370">
      <w:pPr>
        <w:spacing w:before="80" w:after="100"/>
      </w:pPr>
      <w:proofErr w:type="spellStart"/>
      <w:r>
        <w:rPr>
          <w:rFonts w:cs="Arial"/>
          <w:i/>
          <w:iCs/>
          <w:sz w:val="20"/>
          <w:szCs w:val="20"/>
        </w:rPr>
        <w:t>SEm</w:t>
      </w:r>
      <w:proofErr w:type="spellEnd"/>
      <w:r>
        <w:rPr>
          <w:rFonts w:cs="Arial"/>
          <w:i/>
          <w:iCs/>
          <w:sz w:val="20"/>
          <w:szCs w:val="20"/>
        </w:rPr>
        <w:t xml:space="preserve"> ± = 1.84    |    CD (P=0.05) = 5.41    |    CV (%) = 8.72    |    * Significant at P=0.05</w:t>
      </w:r>
    </w:p>
    <w:p w14:paraId="7776F5F9" w14:textId="77777777" w:rsidR="00D412BB" w:rsidRDefault="00DA3370">
      <w:pPr>
        <w:spacing w:before="100" w:after="160" w:line="360" w:lineRule="auto"/>
        <w:jc w:val="both"/>
        <w:rPr>
          <w:sz w:val="20"/>
          <w:szCs w:val="20"/>
        </w:rPr>
      </w:pPr>
      <w:r>
        <w:rPr>
          <w:rFonts w:cs="Arial"/>
          <w:sz w:val="20"/>
          <w:szCs w:val="20"/>
        </w:rPr>
        <w:t xml:space="preserve">The ANOVA revealed highly significant differences among treatments (F = 18.72, P </w:t>
      </w:r>
      <w:r>
        <w:rPr>
          <w:rFonts w:cs="Arial"/>
          <w:sz w:val="20"/>
          <w:szCs w:val="20"/>
        </w:rPr>
        <w:t>≤ 0.05), validating the experimental results. The coefficient of variation of 8.72% indicates acceptable experimental precision and data reliability for a field experiment involving disease measurements.</w:t>
      </w:r>
    </w:p>
    <w:p w14:paraId="29C74BE4" w14:textId="77777777" w:rsidR="00D412BB" w:rsidRDefault="00DA3370">
      <w:pPr>
        <w:pStyle w:val="Heading2"/>
        <w:rPr>
          <w:color w:val="000000" w:themeColor="text1"/>
          <w:sz w:val="22"/>
          <w:szCs w:val="22"/>
        </w:rPr>
      </w:pPr>
      <w:r>
        <w:rPr>
          <w:color w:val="000000" w:themeColor="text1"/>
          <w:sz w:val="22"/>
          <w:szCs w:val="22"/>
        </w:rPr>
        <w:t>4.6 Disease Progress Curves</w:t>
      </w:r>
    </w:p>
    <w:p w14:paraId="5DB73C2C" w14:textId="77777777" w:rsidR="00D412BB" w:rsidRDefault="00DA3370">
      <w:pPr>
        <w:spacing w:before="100" w:after="160" w:line="360" w:lineRule="auto"/>
        <w:jc w:val="both"/>
        <w:rPr>
          <w:sz w:val="20"/>
          <w:szCs w:val="20"/>
        </w:rPr>
      </w:pPr>
      <w:r>
        <w:rPr>
          <w:rFonts w:cs="Arial"/>
          <w:sz w:val="20"/>
          <w:szCs w:val="20"/>
        </w:rPr>
        <w:t>The disease progress cur</w:t>
      </w:r>
      <w:r>
        <w:rPr>
          <w:rFonts w:cs="Arial"/>
          <w:sz w:val="20"/>
          <w:szCs w:val="20"/>
        </w:rPr>
        <w:t>ves tracked weekly across the Rabi season from November 2024 to February 2025 clearly illustrated the differential disease development trajectories under the control and biocontrol treatments. In control plots, disease incidence increased rapidly from appr</w:t>
      </w:r>
      <w:r>
        <w:rPr>
          <w:rFonts w:cs="Arial"/>
          <w:sz w:val="20"/>
          <w:szCs w:val="20"/>
        </w:rPr>
        <w:t>oximately 8% in early November to 48.2% by February, following a sigmoidal progression pattern characteristic of polycyclic diseases. The disease progress rate (r) was highest between December and January, corresponding to the period of optimal environment</w:t>
      </w:r>
      <w:r>
        <w:rPr>
          <w:rFonts w:cs="Arial"/>
          <w:sz w:val="20"/>
          <w:szCs w:val="20"/>
        </w:rPr>
        <w:t xml:space="preserve">al conditions for </w:t>
      </w:r>
      <w:proofErr w:type="spellStart"/>
      <w:r>
        <w:rPr>
          <w:rFonts w:cs="Arial"/>
          <w:sz w:val="20"/>
          <w:szCs w:val="20"/>
        </w:rPr>
        <w:t>Albugo</w:t>
      </w:r>
      <w:proofErr w:type="spellEnd"/>
      <w:r>
        <w:rPr>
          <w:rFonts w:cs="Arial"/>
          <w:sz w:val="20"/>
          <w:szCs w:val="20"/>
        </w:rPr>
        <w:t xml:space="preserve"> candida infection </w:t>
      </w:r>
      <w:r>
        <w:rPr>
          <w:rFonts w:cs="Arial"/>
          <w:sz w:val="20"/>
          <w:szCs w:val="20"/>
        </w:rPr>
        <w:fldChar w:fldCharType="begin"/>
      </w:r>
      <w:r>
        <w:rPr>
          <w:rFonts w:cs="Arial"/>
          <w:sz w:val="20"/>
          <w:szCs w:val="20"/>
        </w:rPr>
        <w:instrText xml:space="preserve"> ADDIN EN.CITE &lt;EndNote&gt;&lt;Cite&gt;&lt;Author&gt;Megersa&lt;/Author&gt;&lt;Year&gt;2023&lt;/Year&gt;&lt;RecNum&gt;62&lt;/RecNum&gt;&lt;DisplayText&gt;(28)&lt;/DisplayText&gt;&lt;record&gt;&lt;rec-number&gt;62&lt;/rec-number&gt;&lt;foreign-keys&gt;&lt;key app="EN" db-id="dw2zpsea0sr9vme0z05x2a</w:instrText>
      </w:r>
      <w:r>
        <w:rPr>
          <w:rFonts w:cs="Arial"/>
          <w:sz w:val="20"/>
          <w:szCs w:val="20"/>
        </w:rPr>
        <w:instrText>eppwsrp95axfr9" timestamp="1772066834"&gt;62&lt;/key&gt;&lt;/foreign-keys&gt;&lt;ref-type name="Journal Article"&gt;17&lt;/ref-type&gt;&lt;contributors&gt;&lt;authors&gt;&lt;author&gt;Megersa, Sabona&lt;/author&gt;&lt;author&gt;Ababa, Girma&lt;/author&gt;&lt;/authors&gt;&lt;/contributors&gt;&lt;titles&gt;&lt;title&gt;White rust (Albugo candi</w:instrText>
      </w:r>
      <w:r>
        <w:rPr>
          <w:rFonts w:cs="Arial"/>
          <w:sz w:val="20"/>
          <w:szCs w:val="20"/>
        </w:rPr>
        <w:instrText xml:space="preserve">da) disease distribution, intensity and association with biophysical factors in Oromia, Ethiopia&lt;/title&gt;&lt;secondary-title&gt;Archives of Phytopathology and Plant Protection&lt;/secondary-title&gt;&lt;/titles&gt;&lt;periodical&gt;&lt;full-title&gt;Archives of Phytopathology and Plant </w:instrText>
      </w:r>
      <w:r>
        <w:rPr>
          <w:rFonts w:cs="Arial"/>
          <w:sz w:val="20"/>
          <w:szCs w:val="20"/>
        </w:rPr>
        <w:instrText>Protection&lt;/full-title&gt;&lt;/periodical&gt;&lt;pages&gt;835-852&lt;/pages&gt;&lt;volume&gt;56&lt;/volume&gt;&lt;number&gt;10&lt;/number&gt;&lt;dates&gt;&lt;year&gt;2023&lt;/year&gt;&lt;/dates&gt;&lt;isbn&gt;0323-5408&lt;/isbn&gt;&lt;urls&gt;&lt;/urls&gt;&lt;/record&gt;&lt;/Cite&gt;&lt;/EndNote&gt;</w:instrText>
      </w:r>
      <w:r>
        <w:rPr>
          <w:rFonts w:cs="Arial"/>
          <w:sz w:val="20"/>
          <w:szCs w:val="20"/>
        </w:rPr>
        <w:fldChar w:fldCharType="separate"/>
      </w:r>
      <w:r>
        <w:rPr>
          <w:rFonts w:cs="Arial"/>
          <w:sz w:val="20"/>
          <w:szCs w:val="20"/>
        </w:rPr>
        <w:t>(28)</w:t>
      </w:r>
      <w:r>
        <w:rPr>
          <w:rFonts w:cs="Arial"/>
          <w:sz w:val="20"/>
          <w:szCs w:val="20"/>
        </w:rPr>
        <w:fldChar w:fldCharType="end"/>
      </w:r>
      <w:r>
        <w:rPr>
          <w:rFonts w:cs="Arial"/>
          <w:sz w:val="20"/>
          <w:szCs w:val="20"/>
        </w:rPr>
        <w:t>.</w:t>
      </w:r>
    </w:p>
    <w:p w14:paraId="598C55B9" w14:textId="77777777" w:rsidR="00D412BB" w:rsidRDefault="00DA3370">
      <w:pPr>
        <w:spacing w:before="100" w:after="160" w:line="360" w:lineRule="auto"/>
        <w:jc w:val="both"/>
        <w:rPr>
          <w:sz w:val="20"/>
          <w:szCs w:val="20"/>
        </w:rPr>
      </w:pPr>
      <w:r>
        <w:rPr>
          <w:rFonts w:cs="Arial"/>
          <w:sz w:val="20"/>
          <w:szCs w:val="20"/>
        </w:rPr>
        <w:t xml:space="preserve">In contrast, plots receiving the combined T. </w:t>
      </w:r>
      <w:proofErr w:type="spellStart"/>
      <w:r>
        <w:rPr>
          <w:rFonts w:cs="Arial"/>
          <w:sz w:val="20"/>
          <w:szCs w:val="20"/>
        </w:rPr>
        <w:t>viride</w:t>
      </w:r>
      <w:proofErr w:type="spellEnd"/>
      <w:r>
        <w:rPr>
          <w:rFonts w:cs="Arial"/>
          <w:sz w:val="20"/>
          <w:szCs w:val="20"/>
        </w:rPr>
        <w:t xml:space="preserve"> + P. f</w:t>
      </w:r>
      <w:r>
        <w:rPr>
          <w:rFonts w:cs="Arial"/>
          <w:sz w:val="20"/>
          <w:szCs w:val="20"/>
        </w:rPr>
        <w:t xml:space="preserve">luorescens treatment showed markedly slower disease progression throughout the season, with incidence remaining at approximately 6% in November, 14% in December, 22% in January, and a final recording of 22.1% in February. This flattening of the disease </w:t>
      </w:r>
      <w:r>
        <w:rPr>
          <w:rFonts w:cs="Arial"/>
          <w:sz w:val="20"/>
          <w:szCs w:val="20"/>
        </w:rPr>
        <w:lastRenderedPageBreak/>
        <w:t>pro</w:t>
      </w:r>
      <w:r>
        <w:rPr>
          <w:rFonts w:cs="Arial"/>
          <w:sz w:val="20"/>
          <w:szCs w:val="20"/>
        </w:rPr>
        <w:t xml:space="preserve">gress curve indicates effective suppression of multiple infection cycles, consistent with the mode of action of these biocontrol agents that includes both direct antagonism and ISR induction </w:t>
      </w:r>
      <w:r>
        <w:rPr>
          <w:rFonts w:cs="Arial"/>
          <w:sz w:val="20"/>
          <w:szCs w:val="20"/>
        </w:rPr>
        <w:fldChar w:fldCharType="begin"/>
      </w:r>
      <w:r>
        <w:rPr>
          <w:rFonts w:cs="Arial"/>
          <w:sz w:val="20"/>
          <w:szCs w:val="20"/>
        </w:rPr>
        <w:instrText xml:space="preserve"> ADDIN EN.CITE &lt;EndNote&gt;&lt;Cite&gt;&lt;Author&gt;Sheoran&lt;/Author&gt;&lt;Year&gt;2025&lt;</w:instrText>
      </w:r>
      <w:r>
        <w:rPr>
          <w:rFonts w:cs="Arial"/>
          <w:sz w:val="20"/>
          <w:szCs w:val="20"/>
        </w:rPr>
        <w:instrText>/Year&gt;&lt;RecNum&gt;63&lt;/RecNum&gt;&lt;DisplayText&gt;(29)&lt;/DisplayText&gt;&lt;record&gt;&lt;rec-number&gt;63&lt;/rec-number&gt;&lt;foreign-keys&gt;&lt;key app="EN" db-id="dw2zpsea0sr9vme0z05x2aeppwsrp95axfr9" timestamp="1772066872"&gt;63&lt;/key&gt;&lt;/foreign-keys&gt;&lt;ref-type name="Journal Article"&gt;17&lt;/ref-type&gt;</w:instrText>
      </w:r>
      <w:r>
        <w:rPr>
          <w:rFonts w:cs="Arial"/>
          <w:sz w:val="20"/>
          <w:szCs w:val="20"/>
        </w:rPr>
        <w:instrText>&lt;contributors&gt;&lt;authors&gt;&lt;author&gt;Sheoran, Asha Rani&lt;/author&gt;&lt;author&gt;Lakra, Nita&lt;/author&gt;&lt;author&gt;Saharan, Baljeet Singh&lt;/author&gt;&lt;author&gt;Luhach, Annu&lt;/author&gt;&lt;author&gt;Kumar, Ravinder&lt;/author&gt;&lt;author&gt;Seth, Chandra Shekhar&lt;/author&gt;&lt;author&gt;Duhan, Joginder Singh&lt;/a</w:instrText>
      </w:r>
      <w:r>
        <w:rPr>
          <w:rFonts w:cs="Arial"/>
          <w:sz w:val="20"/>
          <w:szCs w:val="20"/>
        </w:rPr>
        <w:instrText>uthor&gt;&lt;/authors&gt;&lt;/contributors&gt;&lt;titles&gt;&lt;title&gt;Enhancing plant disease resistance: insights from biocontrol agent strategies&lt;/title&gt;&lt;secondary-title&gt;Journal of Plant Growth Regulation&lt;/secondary-title&gt;&lt;/titles&gt;&lt;periodical&gt;&lt;full-title&gt;Journal of Plant Growth</w:instrText>
      </w:r>
      <w:r>
        <w:rPr>
          <w:rFonts w:cs="Arial"/>
          <w:sz w:val="20"/>
          <w:szCs w:val="20"/>
        </w:rPr>
        <w:instrText xml:space="preserve"> Regulation&lt;/full-title&gt;&lt;/periodical&gt;&lt;pages&gt;436-459&lt;/pages&gt;&lt;volume&gt;44&lt;/volume&gt;&lt;number&gt;2&lt;/number&gt;&lt;dates&gt;&lt;year&gt;2025&lt;/year&gt;&lt;/dates&gt;&lt;isbn&gt;0721-7595&lt;/isbn&gt;&lt;urls&gt;&lt;/urls&gt;&lt;/record&gt;&lt;/Cite&gt;&lt;/EndNote&gt;</w:instrText>
      </w:r>
      <w:r>
        <w:rPr>
          <w:rFonts w:cs="Arial"/>
          <w:sz w:val="20"/>
          <w:szCs w:val="20"/>
        </w:rPr>
        <w:fldChar w:fldCharType="separate"/>
      </w:r>
      <w:r>
        <w:rPr>
          <w:rFonts w:cs="Arial"/>
          <w:sz w:val="20"/>
          <w:szCs w:val="20"/>
        </w:rPr>
        <w:t>(29)</w:t>
      </w:r>
      <w:r>
        <w:rPr>
          <w:rFonts w:cs="Arial"/>
          <w:sz w:val="20"/>
          <w:szCs w:val="20"/>
        </w:rPr>
        <w:fldChar w:fldCharType="end"/>
      </w:r>
      <w:r>
        <w:rPr>
          <w:rFonts w:cs="Arial"/>
          <w:sz w:val="20"/>
          <w:szCs w:val="20"/>
        </w:rPr>
        <w:t>.</w:t>
      </w:r>
    </w:p>
    <w:p w14:paraId="57C0D1AA" w14:textId="77777777" w:rsidR="00D412BB" w:rsidRDefault="00DA3370">
      <w:pPr>
        <w:pStyle w:val="Heading1"/>
        <w:rPr>
          <w:color w:val="000000" w:themeColor="text1"/>
          <w:sz w:val="22"/>
          <w:szCs w:val="22"/>
        </w:rPr>
      </w:pPr>
      <w:r>
        <w:rPr>
          <w:color w:val="000000" w:themeColor="text1"/>
          <w:sz w:val="22"/>
          <w:szCs w:val="22"/>
        </w:rPr>
        <w:t>5. Regional Disease Distribution and Epidemiological Analy</w:t>
      </w:r>
      <w:r>
        <w:rPr>
          <w:color w:val="000000" w:themeColor="text1"/>
          <w:sz w:val="22"/>
          <w:szCs w:val="22"/>
        </w:rPr>
        <w:t>sis</w:t>
      </w:r>
    </w:p>
    <w:p w14:paraId="1B383968" w14:textId="77777777" w:rsidR="00D412BB" w:rsidRDefault="00DA3370">
      <w:pPr>
        <w:pStyle w:val="Heading2"/>
        <w:rPr>
          <w:color w:val="000000" w:themeColor="text1"/>
          <w:sz w:val="22"/>
          <w:szCs w:val="22"/>
        </w:rPr>
      </w:pPr>
      <w:r>
        <w:rPr>
          <w:color w:val="000000" w:themeColor="text1"/>
          <w:sz w:val="22"/>
          <w:szCs w:val="22"/>
        </w:rPr>
        <w:t xml:space="preserve">5.1 White Rust across Indian </w:t>
      </w:r>
      <w:proofErr w:type="spellStart"/>
      <w:r>
        <w:rPr>
          <w:color w:val="000000" w:themeColor="text1"/>
          <w:sz w:val="22"/>
          <w:szCs w:val="22"/>
        </w:rPr>
        <w:t>Agro</w:t>
      </w:r>
      <w:proofErr w:type="spellEnd"/>
      <w:r>
        <w:rPr>
          <w:color w:val="000000" w:themeColor="text1"/>
          <w:sz w:val="22"/>
          <w:szCs w:val="22"/>
        </w:rPr>
        <w:t>-climatic Zones</w:t>
      </w:r>
    </w:p>
    <w:p w14:paraId="56FF0BAB" w14:textId="77777777" w:rsidR="00D412BB" w:rsidRDefault="00DA3370">
      <w:pPr>
        <w:spacing w:before="100" w:after="160" w:line="360" w:lineRule="auto"/>
        <w:jc w:val="both"/>
        <w:rPr>
          <w:sz w:val="20"/>
          <w:szCs w:val="20"/>
        </w:rPr>
      </w:pPr>
      <w:r>
        <w:rPr>
          <w:rFonts w:cs="Arial"/>
          <w:sz w:val="20"/>
          <w:szCs w:val="20"/>
        </w:rPr>
        <w:t xml:space="preserve">White rust of mustard is prevalent across virtually all mustard-growing regions of India, but disease severity and epidemic potential vary substantially across </w:t>
      </w:r>
      <w:proofErr w:type="spellStart"/>
      <w:r>
        <w:rPr>
          <w:rFonts w:cs="Arial"/>
          <w:sz w:val="20"/>
          <w:szCs w:val="20"/>
        </w:rPr>
        <w:t>agro</w:t>
      </w:r>
      <w:proofErr w:type="spellEnd"/>
      <w:r>
        <w:rPr>
          <w:rFonts w:cs="Arial"/>
          <w:sz w:val="20"/>
          <w:szCs w:val="20"/>
        </w:rPr>
        <w:t>-climatic zones due to differences in t</w:t>
      </w:r>
      <w:r>
        <w:rPr>
          <w:rFonts w:cs="Arial"/>
          <w:sz w:val="20"/>
          <w:szCs w:val="20"/>
        </w:rPr>
        <w:t xml:space="preserve">emperature, humidity, rainfall patterns, crop variety preferences, and sowing dates. A comprehensive meta-analysis of published reports and disease survey data from across India reveals distinct regional patterns of disease pressure </w:t>
      </w:r>
      <w:r>
        <w:rPr>
          <w:rFonts w:cs="Arial"/>
          <w:sz w:val="20"/>
          <w:szCs w:val="20"/>
        </w:rPr>
        <w:fldChar w:fldCharType="begin"/>
      </w:r>
      <w:r>
        <w:rPr>
          <w:rFonts w:cs="Arial"/>
          <w:sz w:val="20"/>
          <w:szCs w:val="20"/>
        </w:rPr>
        <w:instrText xml:space="preserve"> ADDIN EN.CITE &lt;EndNote</w:instrText>
      </w:r>
      <w:r>
        <w:rPr>
          <w:rFonts w:cs="Arial"/>
          <w:sz w:val="20"/>
          <w:szCs w:val="20"/>
        </w:rPr>
        <w:instrText>&gt;&lt;Cite&gt;&lt;Author&gt;Meena&lt;/Author&gt;&lt;Year&gt;2024&lt;/Year&gt;&lt;RecNum&gt;64&lt;/RecNum&gt;&lt;DisplayText&gt;(30)&lt;/DisplayText&gt;&lt;record&gt;&lt;rec-number&gt;64&lt;/rec-number&gt;&lt;foreign-keys&gt;&lt;key app="EN" db-id="dw2zpsea0sr9vme0z05x2aeppwsrp95axfr9" timestamp="1772066919"&gt;64&lt;/key&gt;&lt;/foreign-keys&gt;&lt;ref-t</w:instrText>
      </w:r>
      <w:r>
        <w:rPr>
          <w:rFonts w:cs="Arial"/>
          <w:sz w:val="20"/>
          <w:szCs w:val="20"/>
        </w:rPr>
        <w:instrText>ype name="Journal Article"&gt;17&lt;/ref-type&gt;&lt;contributors&gt;&lt;authors&gt;&lt;author&gt;Meena, Prabhu Dayal&lt;/author&gt;&lt;author&gt;Rai, Pramod Kumar&lt;/author&gt;&lt;author&gt;Saharan, Govind Singh&lt;/author&gt;&lt;/authors&gt;&lt;/contributors&gt;&lt;titles&gt;&lt;title&gt;Distribution maps depicting geographical prev</w:instrText>
      </w:r>
      <w:r>
        <w:rPr>
          <w:rFonts w:cs="Arial"/>
          <w:sz w:val="20"/>
          <w:szCs w:val="20"/>
        </w:rPr>
        <w:instrText>alence of rapeseed-mustard diseases in India&lt;/title&gt;&lt;secondary-title&gt;Indian Phytopathology&lt;/secondary-title&gt;&lt;/titles&gt;&lt;periodical&gt;&lt;full-title&gt;Indian Phytopathology&lt;/full-title&gt;&lt;/periodical&gt;&lt;pages&gt;627-644&lt;/pages&gt;&lt;volume&gt;77&lt;/volume&gt;&lt;number&gt;3&lt;/number&gt;&lt;dates&gt;&lt;y</w:instrText>
      </w:r>
      <w:r>
        <w:rPr>
          <w:rFonts w:cs="Arial"/>
          <w:sz w:val="20"/>
          <w:szCs w:val="20"/>
        </w:rPr>
        <w:instrText>ear&gt;2024&lt;/year&gt;&lt;/dates&gt;&lt;isbn&gt;0367-973X&lt;/isbn&gt;&lt;urls&gt;&lt;/urls&gt;&lt;/record&gt;&lt;/Cite&gt;&lt;/EndNote&gt;</w:instrText>
      </w:r>
      <w:r>
        <w:rPr>
          <w:rFonts w:cs="Arial"/>
          <w:sz w:val="20"/>
          <w:szCs w:val="20"/>
        </w:rPr>
        <w:fldChar w:fldCharType="separate"/>
      </w:r>
      <w:r>
        <w:rPr>
          <w:rFonts w:cs="Arial"/>
          <w:sz w:val="20"/>
          <w:szCs w:val="20"/>
        </w:rPr>
        <w:t>(30)</w:t>
      </w:r>
      <w:r>
        <w:rPr>
          <w:rFonts w:cs="Arial"/>
          <w:sz w:val="20"/>
          <w:szCs w:val="20"/>
        </w:rPr>
        <w:fldChar w:fldCharType="end"/>
      </w:r>
      <w:r>
        <w:rPr>
          <w:rFonts w:cs="Arial"/>
          <w:sz w:val="20"/>
          <w:szCs w:val="20"/>
        </w:rPr>
        <w:t>.</w:t>
      </w:r>
    </w:p>
    <w:p w14:paraId="116F8481" w14:textId="77777777" w:rsidR="00D412BB" w:rsidRDefault="00DA3370">
      <w:pPr>
        <w:spacing w:before="200" w:after="100"/>
      </w:pPr>
      <w:r>
        <w:rPr>
          <w:rFonts w:cs="Arial"/>
          <w:b/>
          <w:bCs/>
        </w:rPr>
        <w:t>Table 4: Regional Distribution of White Rust Disease Pressure in Major Mustard-Growing Zones of India</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000"/>
        <w:gridCol w:w="1920"/>
        <w:gridCol w:w="1440"/>
        <w:gridCol w:w="1400"/>
      </w:tblGrid>
      <w:tr w:rsidR="00D412BB" w14:paraId="5F995FFF" w14:textId="77777777">
        <w:trPr>
          <w:tblHeader/>
        </w:trPr>
        <w:tc>
          <w:tcPr>
            <w:tcW w:w="26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7E3AF31F" w14:textId="77777777" w:rsidR="00D412BB" w:rsidRDefault="00DA3370">
            <w:pPr>
              <w:jc w:val="center"/>
            </w:pPr>
            <w:r>
              <w:rPr>
                <w:rFonts w:cs="Arial"/>
                <w:b/>
                <w:bCs/>
                <w:color w:val="FFFFFF"/>
                <w:sz w:val="20"/>
                <w:szCs w:val="20"/>
              </w:rPr>
              <w:t>Region</w:t>
            </w:r>
          </w:p>
        </w:tc>
        <w:tc>
          <w:tcPr>
            <w:tcW w:w="20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368DD72F" w14:textId="77777777" w:rsidR="00D412BB" w:rsidRDefault="00DA3370">
            <w:pPr>
              <w:jc w:val="center"/>
            </w:pPr>
            <w:r>
              <w:rPr>
                <w:rFonts w:cs="Arial"/>
                <w:b/>
                <w:bCs/>
                <w:color w:val="FFFFFF"/>
                <w:sz w:val="20"/>
                <w:szCs w:val="20"/>
              </w:rPr>
              <w:t>States</w:t>
            </w:r>
          </w:p>
        </w:tc>
        <w:tc>
          <w:tcPr>
            <w:tcW w:w="192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7A8507B4" w14:textId="77777777" w:rsidR="00D412BB" w:rsidRDefault="00DA3370">
            <w:pPr>
              <w:jc w:val="center"/>
            </w:pPr>
            <w:r>
              <w:rPr>
                <w:rFonts w:cs="Arial"/>
                <w:b/>
                <w:bCs/>
                <w:color w:val="FFFFFF"/>
                <w:sz w:val="20"/>
                <w:szCs w:val="20"/>
              </w:rPr>
              <w:t>Avg. PDI (%)</w:t>
            </w:r>
          </w:p>
        </w:tc>
        <w:tc>
          <w:tcPr>
            <w:tcW w:w="144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5C85783A" w14:textId="77777777" w:rsidR="00D412BB" w:rsidRDefault="00DA3370">
            <w:pPr>
              <w:jc w:val="center"/>
            </w:pPr>
            <w:r>
              <w:rPr>
                <w:rFonts w:cs="Arial"/>
                <w:b/>
                <w:bCs/>
                <w:color w:val="FFFFFF"/>
                <w:sz w:val="20"/>
                <w:szCs w:val="20"/>
              </w:rPr>
              <w:t>Disease Severity</w:t>
            </w:r>
          </w:p>
        </w:tc>
        <w:tc>
          <w:tcPr>
            <w:tcW w:w="14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07624262" w14:textId="77777777" w:rsidR="00D412BB" w:rsidRDefault="00DA3370">
            <w:pPr>
              <w:jc w:val="center"/>
            </w:pPr>
            <w:r>
              <w:rPr>
                <w:rFonts w:cs="Arial"/>
                <w:b/>
                <w:bCs/>
                <w:color w:val="FFFFFF"/>
                <w:sz w:val="20"/>
                <w:szCs w:val="20"/>
              </w:rPr>
              <w:t>Yield Loss (%)</w:t>
            </w:r>
          </w:p>
        </w:tc>
      </w:tr>
      <w:tr w:rsidR="00D412BB" w14:paraId="28FAA54D" w14:textId="77777777">
        <w:tc>
          <w:tcPr>
            <w:tcW w:w="2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A04B4E5" w14:textId="77777777" w:rsidR="00D412BB" w:rsidRDefault="00DA3370">
            <w:pPr>
              <w:jc w:val="center"/>
              <w:rPr>
                <w:sz w:val="20"/>
                <w:szCs w:val="20"/>
              </w:rPr>
            </w:pPr>
            <w:r>
              <w:rPr>
                <w:rFonts w:cs="Arial"/>
                <w:color w:val="000000"/>
                <w:sz w:val="20"/>
                <w:szCs w:val="20"/>
              </w:rPr>
              <w:t>North-Western India</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19C8750" w14:textId="77777777" w:rsidR="00D412BB" w:rsidRDefault="00DA3370">
            <w:pPr>
              <w:jc w:val="center"/>
              <w:rPr>
                <w:sz w:val="20"/>
                <w:szCs w:val="20"/>
              </w:rPr>
            </w:pPr>
            <w:r>
              <w:rPr>
                <w:rFonts w:cs="Arial"/>
                <w:color w:val="000000"/>
                <w:sz w:val="20"/>
                <w:szCs w:val="20"/>
              </w:rPr>
              <w:t>Punjab, Haryana, UP</w:t>
            </w:r>
          </w:p>
        </w:tc>
        <w:tc>
          <w:tcPr>
            <w:tcW w:w="19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CFFE4E6" w14:textId="77777777" w:rsidR="00D412BB" w:rsidRDefault="00DA3370">
            <w:pPr>
              <w:jc w:val="center"/>
              <w:rPr>
                <w:sz w:val="20"/>
                <w:szCs w:val="20"/>
              </w:rPr>
            </w:pPr>
            <w:r>
              <w:rPr>
                <w:rFonts w:cs="Arial"/>
                <w:color w:val="000000"/>
                <w:sz w:val="20"/>
                <w:szCs w:val="20"/>
              </w:rPr>
              <w:t>28–38</w:t>
            </w:r>
          </w:p>
        </w:tc>
        <w:tc>
          <w:tcPr>
            <w:tcW w:w="144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FFD276A" w14:textId="77777777" w:rsidR="00D412BB" w:rsidRDefault="00DA3370">
            <w:pPr>
              <w:jc w:val="center"/>
              <w:rPr>
                <w:sz w:val="20"/>
                <w:szCs w:val="20"/>
              </w:rPr>
            </w:pPr>
            <w:r>
              <w:rPr>
                <w:rFonts w:cs="Arial"/>
                <w:color w:val="000000"/>
                <w:sz w:val="20"/>
                <w:szCs w:val="20"/>
              </w:rPr>
              <w:t>Moderate</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DDE01DF" w14:textId="77777777" w:rsidR="00D412BB" w:rsidRDefault="00DA3370">
            <w:pPr>
              <w:jc w:val="center"/>
              <w:rPr>
                <w:sz w:val="20"/>
                <w:szCs w:val="20"/>
              </w:rPr>
            </w:pPr>
            <w:r>
              <w:rPr>
                <w:rFonts w:cs="Arial"/>
                <w:color w:val="000000"/>
                <w:sz w:val="20"/>
                <w:szCs w:val="20"/>
              </w:rPr>
              <w:t>15–22</w:t>
            </w:r>
          </w:p>
        </w:tc>
      </w:tr>
      <w:tr w:rsidR="00D412BB" w14:paraId="3BCA7DA4" w14:textId="77777777">
        <w:tc>
          <w:tcPr>
            <w:tcW w:w="2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2A433EB" w14:textId="77777777" w:rsidR="00D412BB" w:rsidRDefault="00DA3370">
            <w:pPr>
              <w:jc w:val="center"/>
              <w:rPr>
                <w:sz w:val="20"/>
                <w:szCs w:val="20"/>
              </w:rPr>
            </w:pPr>
            <w:r>
              <w:rPr>
                <w:rFonts w:cs="Arial"/>
                <w:color w:val="000000"/>
                <w:sz w:val="20"/>
                <w:szCs w:val="20"/>
              </w:rPr>
              <w:t>Central India</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0689A02" w14:textId="77777777" w:rsidR="00D412BB" w:rsidRDefault="00DA3370">
            <w:pPr>
              <w:jc w:val="center"/>
              <w:rPr>
                <w:sz w:val="20"/>
                <w:szCs w:val="20"/>
              </w:rPr>
            </w:pPr>
            <w:r>
              <w:rPr>
                <w:rFonts w:cs="Arial"/>
                <w:color w:val="000000"/>
                <w:sz w:val="20"/>
                <w:szCs w:val="20"/>
              </w:rPr>
              <w:t>MP, Rajasthan</w:t>
            </w:r>
          </w:p>
        </w:tc>
        <w:tc>
          <w:tcPr>
            <w:tcW w:w="19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7E91E30" w14:textId="77777777" w:rsidR="00D412BB" w:rsidRDefault="00DA3370">
            <w:pPr>
              <w:jc w:val="center"/>
              <w:rPr>
                <w:sz w:val="20"/>
                <w:szCs w:val="20"/>
              </w:rPr>
            </w:pPr>
            <w:r>
              <w:rPr>
                <w:rFonts w:cs="Arial"/>
                <w:color w:val="000000"/>
                <w:sz w:val="20"/>
                <w:szCs w:val="20"/>
              </w:rPr>
              <w:t>30–45</w:t>
            </w:r>
          </w:p>
        </w:tc>
        <w:tc>
          <w:tcPr>
            <w:tcW w:w="144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537DAA6" w14:textId="77777777" w:rsidR="00D412BB" w:rsidRDefault="00DA3370">
            <w:pPr>
              <w:jc w:val="center"/>
              <w:rPr>
                <w:sz w:val="20"/>
                <w:szCs w:val="20"/>
              </w:rPr>
            </w:pPr>
            <w:r>
              <w:rPr>
                <w:rFonts w:cs="Arial"/>
                <w:color w:val="000000"/>
                <w:sz w:val="20"/>
                <w:szCs w:val="20"/>
              </w:rPr>
              <w:t>Moderate–High</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ACBE986" w14:textId="77777777" w:rsidR="00D412BB" w:rsidRDefault="00DA3370">
            <w:pPr>
              <w:jc w:val="center"/>
              <w:rPr>
                <w:sz w:val="20"/>
                <w:szCs w:val="20"/>
              </w:rPr>
            </w:pPr>
            <w:r>
              <w:rPr>
                <w:rFonts w:cs="Arial"/>
                <w:color w:val="000000"/>
                <w:sz w:val="20"/>
                <w:szCs w:val="20"/>
              </w:rPr>
              <w:t>18–28</w:t>
            </w:r>
          </w:p>
        </w:tc>
      </w:tr>
      <w:tr w:rsidR="00D412BB" w14:paraId="56E55322" w14:textId="77777777">
        <w:tc>
          <w:tcPr>
            <w:tcW w:w="2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242CCC0" w14:textId="77777777" w:rsidR="00D412BB" w:rsidRDefault="00DA3370">
            <w:pPr>
              <w:jc w:val="center"/>
              <w:rPr>
                <w:sz w:val="20"/>
                <w:szCs w:val="20"/>
              </w:rPr>
            </w:pPr>
            <w:r>
              <w:rPr>
                <w:rFonts w:cs="Arial"/>
                <w:color w:val="000000"/>
                <w:sz w:val="20"/>
                <w:szCs w:val="20"/>
              </w:rPr>
              <w:t>Eastern India</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7B5C93A" w14:textId="77777777" w:rsidR="00D412BB" w:rsidRDefault="00DA3370">
            <w:pPr>
              <w:jc w:val="center"/>
              <w:rPr>
                <w:sz w:val="20"/>
                <w:szCs w:val="20"/>
              </w:rPr>
            </w:pPr>
            <w:r>
              <w:rPr>
                <w:rFonts w:cs="Arial"/>
                <w:color w:val="000000"/>
                <w:sz w:val="20"/>
                <w:szCs w:val="20"/>
              </w:rPr>
              <w:t>Bihar, West Bengal</w:t>
            </w:r>
          </w:p>
        </w:tc>
        <w:tc>
          <w:tcPr>
            <w:tcW w:w="19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3F589FD" w14:textId="77777777" w:rsidR="00D412BB" w:rsidRDefault="00DA3370">
            <w:pPr>
              <w:jc w:val="center"/>
              <w:rPr>
                <w:sz w:val="20"/>
                <w:szCs w:val="20"/>
              </w:rPr>
            </w:pPr>
            <w:r>
              <w:rPr>
                <w:rFonts w:cs="Arial"/>
                <w:color w:val="000000"/>
                <w:sz w:val="20"/>
                <w:szCs w:val="20"/>
              </w:rPr>
              <w:t>45–60</w:t>
            </w:r>
          </w:p>
        </w:tc>
        <w:tc>
          <w:tcPr>
            <w:tcW w:w="144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DBB9989" w14:textId="77777777" w:rsidR="00D412BB" w:rsidRDefault="00DA3370">
            <w:pPr>
              <w:jc w:val="center"/>
              <w:rPr>
                <w:sz w:val="20"/>
                <w:szCs w:val="20"/>
              </w:rPr>
            </w:pPr>
            <w:r>
              <w:rPr>
                <w:rFonts w:cs="Arial"/>
                <w:color w:val="000000"/>
                <w:sz w:val="20"/>
                <w:szCs w:val="20"/>
              </w:rPr>
              <w:t>High</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0FDE273" w14:textId="77777777" w:rsidR="00D412BB" w:rsidRDefault="00DA3370">
            <w:pPr>
              <w:jc w:val="center"/>
              <w:rPr>
                <w:sz w:val="20"/>
                <w:szCs w:val="20"/>
              </w:rPr>
            </w:pPr>
            <w:r>
              <w:rPr>
                <w:rFonts w:cs="Arial"/>
                <w:color w:val="000000"/>
                <w:sz w:val="20"/>
                <w:szCs w:val="20"/>
              </w:rPr>
              <w:t>25–34</w:t>
            </w:r>
          </w:p>
        </w:tc>
      </w:tr>
      <w:tr w:rsidR="00D412BB" w14:paraId="30CD1ACC" w14:textId="77777777">
        <w:tc>
          <w:tcPr>
            <w:tcW w:w="2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6B314D8" w14:textId="77777777" w:rsidR="00D412BB" w:rsidRDefault="00DA3370">
            <w:pPr>
              <w:jc w:val="center"/>
              <w:rPr>
                <w:sz w:val="20"/>
                <w:szCs w:val="20"/>
              </w:rPr>
            </w:pPr>
            <w:r>
              <w:rPr>
                <w:rFonts w:cs="Arial"/>
                <w:color w:val="000000"/>
                <w:sz w:val="20"/>
                <w:szCs w:val="20"/>
              </w:rPr>
              <w:t>North-Eastern India</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F3385FA" w14:textId="77777777" w:rsidR="00D412BB" w:rsidRDefault="00DA3370">
            <w:pPr>
              <w:jc w:val="center"/>
              <w:rPr>
                <w:sz w:val="20"/>
                <w:szCs w:val="20"/>
              </w:rPr>
            </w:pPr>
            <w:r>
              <w:rPr>
                <w:rFonts w:cs="Arial"/>
                <w:color w:val="000000"/>
                <w:sz w:val="20"/>
                <w:szCs w:val="20"/>
              </w:rPr>
              <w:t>Assam, Odisha</w:t>
            </w:r>
          </w:p>
        </w:tc>
        <w:tc>
          <w:tcPr>
            <w:tcW w:w="19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6A783B0" w14:textId="77777777" w:rsidR="00D412BB" w:rsidRDefault="00DA3370">
            <w:pPr>
              <w:jc w:val="center"/>
              <w:rPr>
                <w:sz w:val="20"/>
                <w:szCs w:val="20"/>
              </w:rPr>
            </w:pPr>
            <w:r>
              <w:rPr>
                <w:rFonts w:cs="Arial"/>
                <w:color w:val="000000"/>
                <w:sz w:val="20"/>
                <w:szCs w:val="20"/>
              </w:rPr>
              <w:t>50–65</w:t>
            </w:r>
          </w:p>
        </w:tc>
        <w:tc>
          <w:tcPr>
            <w:tcW w:w="144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373D5CC" w14:textId="77777777" w:rsidR="00D412BB" w:rsidRDefault="00DA3370">
            <w:pPr>
              <w:jc w:val="center"/>
              <w:rPr>
                <w:sz w:val="20"/>
                <w:szCs w:val="20"/>
              </w:rPr>
            </w:pPr>
            <w:r>
              <w:rPr>
                <w:rFonts w:cs="Arial"/>
                <w:color w:val="000000"/>
                <w:sz w:val="20"/>
                <w:szCs w:val="20"/>
              </w:rPr>
              <w:t>Very High</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DDDCB4D" w14:textId="77777777" w:rsidR="00D412BB" w:rsidRDefault="00DA3370">
            <w:pPr>
              <w:jc w:val="center"/>
              <w:rPr>
                <w:sz w:val="20"/>
                <w:szCs w:val="20"/>
              </w:rPr>
            </w:pPr>
            <w:r>
              <w:rPr>
                <w:rFonts w:cs="Arial"/>
                <w:color w:val="000000"/>
                <w:sz w:val="20"/>
                <w:szCs w:val="20"/>
              </w:rPr>
              <w:t>28–34</w:t>
            </w:r>
          </w:p>
        </w:tc>
      </w:tr>
      <w:tr w:rsidR="00D412BB" w14:paraId="00881E1C" w14:textId="77777777">
        <w:tc>
          <w:tcPr>
            <w:tcW w:w="2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789C512" w14:textId="77777777" w:rsidR="00D412BB" w:rsidRDefault="00DA3370">
            <w:pPr>
              <w:jc w:val="center"/>
              <w:rPr>
                <w:sz w:val="20"/>
                <w:szCs w:val="20"/>
              </w:rPr>
            </w:pPr>
            <w:r>
              <w:rPr>
                <w:rFonts w:cs="Arial"/>
                <w:color w:val="000000"/>
                <w:sz w:val="20"/>
                <w:szCs w:val="20"/>
              </w:rPr>
              <w:t>Western India</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B5A2FE4" w14:textId="77777777" w:rsidR="00D412BB" w:rsidRDefault="00DA3370">
            <w:pPr>
              <w:jc w:val="center"/>
              <w:rPr>
                <w:sz w:val="20"/>
                <w:szCs w:val="20"/>
              </w:rPr>
            </w:pPr>
            <w:r>
              <w:rPr>
                <w:rFonts w:cs="Arial"/>
                <w:color w:val="000000"/>
                <w:sz w:val="20"/>
                <w:szCs w:val="20"/>
              </w:rPr>
              <w:t>Gujarat</w:t>
            </w:r>
          </w:p>
        </w:tc>
        <w:tc>
          <w:tcPr>
            <w:tcW w:w="19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DEBE3F8" w14:textId="77777777" w:rsidR="00D412BB" w:rsidRDefault="00DA3370">
            <w:pPr>
              <w:jc w:val="center"/>
              <w:rPr>
                <w:sz w:val="20"/>
                <w:szCs w:val="20"/>
              </w:rPr>
            </w:pPr>
            <w:r>
              <w:rPr>
                <w:rFonts w:cs="Arial"/>
                <w:color w:val="000000"/>
                <w:sz w:val="20"/>
                <w:szCs w:val="20"/>
              </w:rPr>
              <w:t>20–30</w:t>
            </w:r>
          </w:p>
        </w:tc>
        <w:tc>
          <w:tcPr>
            <w:tcW w:w="144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D956606" w14:textId="77777777" w:rsidR="00D412BB" w:rsidRDefault="00DA3370">
            <w:pPr>
              <w:jc w:val="center"/>
              <w:rPr>
                <w:sz w:val="20"/>
                <w:szCs w:val="20"/>
              </w:rPr>
            </w:pPr>
            <w:r>
              <w:rPr>
                <w:rFonts w:cs="Arial"/>
                <w:color w:val="000000"/>
                <w:sz w:val="20"/>
                <w:szCs w:val="20"/>
              </w:rPr>
              <w:t>Low–Moderate</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777F893" w14:textId="77777777" w:rsidR="00D412BB" w:rsidRDefault="00DA3370">
            <w:pPr>
              <w:jc w:val="center"/>
              <w:rPr>
                <w:sz w:val="20"/>
                <w:szCs w:val="20"/>
              </w:rPr>
            </w:pPr>
            <w:r>
              <w:rPr>
                <w:rFonts w:cs="Arial"/>
                <w:color w:val="000000"/>
                <w:sz w:val="20"/>
                <w:szCs w:val="20"/>
              </w:rPr>
              <w:t>10–18</w:t>
            </w:r>
          </w:p>
        </w:tc>
      </w:tr>
    </w:tbl>
    <w:p w14:paraId="00F7D192" w14:textId="77777777" w:rsidR="00D412BB" w:rsidRDefault="00DA3370">
      <w:pPr>
        <w:spacing w:before="80" w:after="200"/>
      </w:pPr>
      <w:r>
        <w:rPr>
          <w:rFonts w:cs="Arial"/>
          <w:i/>
          <w:iCs/>
          <w:sz w:val="18"/>
          <w:szCs w:val="18"/>
        </w:rPr>
        <w:t>* Data compiled from multiple published surveys and disease monitoring reports.</w:t>
      </w:r>
    </w:p>
    <w:p w14:paraId="3E2F86C3" w14:textId="77777777" w:rsidR="00D412BB" w:rsidRDefault="00DA3370">
      <w:pPr>
        <w:pStyle w:val="Heading2"/>
        <w:rPr>
          <w:color w:val="000000" w:themeColor="text1"/>
          <w:sz w:val="22"/>
          <w:szCs w:val="22"/>
        </w:rPr>
      </w:pPr>
      <w:r>
        <w:rPr>
          <w:color w:val="000000" w:themeColor="text1"/>
          <w:sz w:val="22"/>
          <w:szCs w:val="22"/>
        </w:rPr>
        <w:t>5.2 Factors Driving Regional Disease Variability</w:t>
      </w:r>
    </w:p>
    <w:p w14:paraId="4051B912" w14:textId="77777777" w:rsidR="00D412BB" w:rsidRDefault="00DA3370">
      <w:pPr>
        <w:spacing w:before="100" w:after="160" w:line="360" w:lineRule="auto"/>
        <w:jc w:val="both"/>
        <w:rPr>
          <w:sz w:val="20"/>
          <w:szCs w:val="20"/>
        </w:rPr>
      </w:pPr>
      <w:r>
        <w:rPr>
          <w:rFonts w:cs="Arial"/>
          <w:sz w:val="20"/>
          <w:szCs w:val="20"/>
        </w:rPr>
        <w:t>Eastern and north-eastern India consistently report the highest white rust severity due to a combination of factors: (1) higher mean relative humidity throughout the Rabi season (often exceeding 80–90%), (2) frequent fog and dew formation that provides pro</w:t>
      </w:r>
      <w:r>
        <w:rPr>
          <w:rFonts w:cs="Arial"/>
          <w:sz w:val="20"/>
          <w:szCs w:val="20"/>
        </w:rPr>
        <w:t>longed leaf wetness periods ideal for zoospore release and germination, (3) predominant cultivation of susceptible varieties, and (4) late sowing dates that expose susceptible growth stages to peak pathogen pressure periods.</w:t>
      </w:r>
    </w:p>
    <w:p w14:paraId="1A35CB0C" w14:textId="77777777" w:rsidR="00D412BB" w:rsidRDefault="00DA3370">
      <w:pPr>
        <w:spacing w:before="100" w:after="160" w:line="360" w:lineRule="auto"/>
        <w:jc w:val="both"/>
        <w:rPr>
          <w:sz w:val="20"/>
          <w:szCs w:val="20"/>
        </w:rPr>
      </w:pPr>
      <w:r>
        <w:rPr>
          <w:rFonts w:cs="Arial"/>
          <w:sz w:val="20"/>
          <w:szCs w:val="20"/>
        </w:rPr>
        <w:t>In contrast, north-western Indi</w:t>
      </w:r>
      <w:r>
        <w:rPr>
          <w:rFonts w:cs="Arial"/>
          <w:sz w:val="20"/>
          <w:szCs w:val="20"/>
        </w:rPr>
        <w:t xml:space="preserve">a (Punjab, Haryana) experiences moderate disease pressure due to drier winter conditions with lower average humidity, adoption of relatively tolerant varieties, and well-developed irrigation infrastructure that allows optimized sowing dates. Rajasthan and </w:t>
      </w:r>
      <w:r>
        <w:rPr>
          <w:rFonts w:cs="Arial"/>
          <w:sz w:val="20"/>
          <w:szCs w:val="20"/>
        </w:rPr>
        <w:t xml:space="preserve">Gujarat in western India generally experience lower disease severity due to semi-arid to arid climate, with lower ambient humidity limiting pathogen sporulation and disease spread </w:t>
      </w:r>
      <w:r>
        <w:rPr>
          <w:rFonts w:cs="Arial"/>
          <w:sz w:val="20"/>
          <w:szCs w:val="20"/>
        </w:rPr>
        <w:fldChar w:fldCharType="begin"/>
      </w:r>
      <w:r>
        <w:rPr>
          <w:rFonts w:cs="Arial"/>
          <w:sz w:val="20"/>
          <w:szCs w:val="20"/>
        </w:rPr>
        <w:instrText xml:space="preserve"> ADDIN EN.CITE &lt;EndNote&gt;&lt;Cite&gt;&lt;Author&gt;Singh&lt;/Author&gt;&lt;Year&gt;2019&lt;/Year&gt;&lt;RecNum</w:instrText>
      </w:r>
      <w:r>
        <w:rPr>
          <w:rFonts w:cs="Arial"/>
          <w:sz w:val="20"/>
          <w:szCs w:val="20"/>
        </w:rPr>
        <w:instrText>&gt;65&lt;/RecNum&gt;&lt;DisplayText&gt;(31)&lt;/DisplayText&gt;&lt;record&gt;&lt;rec-number&gt;65&lt;/rec-number&gt;&lt;foreign-keys&gt;&lt;key app="EN" db-id="dw2zpsea0sr9vme0z05x2aeppwsrp95axfr9" timestamp="1772066969"&gt;65&lt;/key&gt;&lt;/foreign-keys&gt;&lt;ref-type name="Thesis"&gt;32&lt;/ref-type&gt;&lt;contributors&gt;&lt;authors</w:instrText>
      </w:r>
      <w:r>
        <w:rPr>
          <w:rFonts w:cs="Arial"/>
          <w:sz w:val="20"/>
          <w:szCs w:val="20"/>
        </w:rPr>
        <w:instrText>&gt;&lt;author&gt;Singh, Rakesh&lt;/author&gt;&lt;/authors&gt;&lt;/contributors&gt;&lt;titles&gt;&lt;title&gt;IMPACT OF CLIMATE CHANGE ON WHEAT (Triticum aetsivum L.) YIELD IN INDIA&lt;/title&gt;&lt;/titles&gt;&lt;dates&gt;&lt;year&gt;2019&lt;/year&gt;&lt;/dates&gt;&lt;publisher&gt;BANARAS HINDU UNIVERSITY VARANASI&lt;/publisher&gt;&lt;urls&gt;&lt;/u</w:instrText>
      </w:r>
      <w:r>
        <w:rPr>
          <w:rFonts w:cs="Arial"/>
          <w:sz w:val="20"/>
          <w:szCs w:val="20"/>
        </w:rPr>
        <w:instrText>rls&gt;&lt;/record&gt;&lt;/Cite&gt;&lt;/EndNote&gt;</w:instrText>
      </w:r>
      <w:r>
        <w:rPr>
          <w:rFonts w:cs="Arial"/>
          <w:sz w:val="20"/>
          <w:szCs w:val="20"/>
        </w:rPr>
        <w:fldChar w:fldCharType="separate"/>
      </w:r>
      <w:r>
        <w:rPr>
          <w:rFonts w:cs="Arial"/>
          <w:sz w:val="20"/>
          <w:szCs w:val="20"/>
        </w:rPr>
        <w:t>(31)</w:t>
      </w:r>
      <w:r>
        <w:rPr>
          <w:rFonts w:cs="Arial"/>
          <w:sz w:val="20"/>
          <w:szCs w:val="20"/>
        </w:rPr>
        <w:fldChar w:fldCharType="end"/>
      </w:r>
      <w:r>
        <w:rPr>
          <w:rFonts w:cs="Arial"/>
          <w:sz w:val="20"/>
          <w:szCs w:val="20"/>
        </w:rPr>
        <w:t>.</w:t>
      </w:r>
    </w:p>
    <w:p w14:paraId="1CBB473B" w14:textId="77777777" w:rsidR="00D412BB" w:rsidRDefault="00DA3370">
      <w:pPr>
        <w:spacing w:before="100" w:after="160" w:line="360" w:lineRule="auto"/>
        <w:jc w:val="both"/>
        <w:rPr>
          <w:sz w:val="20"/>
          <w:szCs w:val="20"/>
        </w:rPr>
      </w:pPr>
      <w:r>
        <w:rPr>
          <w:rFonts w:cs="Arial"/>
          <w:sz w:val="20"/>
          <w:szCs w:val="20"/>
        </w:rPr>
        <w:lastRenderedPageBreak/>
        <w:t>Central India, including Madhya Pradesh and parts of Rajasthan, occupies an intermediate disease pressure zone, as observed in the present study conducted at Gwalior. The region experiences sufficient cool temperature</w:t>
      </w:r>
      <w:r>
        <w:rPr>
          <w:rFonts w:cs="Arial"/>
          <w:sz w:val="20"/>
          <w:szCs w:val="20"/>
        </w:rPr>
        <w:t xml:space="preserve">s and moderate humidity to support significant disease development, particularly during December–January, but lacks the persistent fog and dew conditions of eastern India that drive more severe epidemics </w:t>
      </w:r>
      <w:r>
        <w:rPr>
          <w:rFonts w:cs="Arial"/>
          <w:sz w:val="20"/>
          <w:szCs w:val="20"/>
        </w:rPr>
        <w:fldChar w:fldCharType="begin"/>
      </w:r>
      <w:r>
        <w:rPr>
          <w:rFonts w:cs="Arial"/>
          <w:sz w:val="20"/>
          <w:szCs w:val="20"/>
        </w:rPr>
        <w:instrText xml:space="preserve"> ADDIN EN.CITE &lt;EndNote&gt;&lt;Cite&gt;&lt;Author&gt;Ravindra&lt;/Auth</w:instrText>
      </w:r>
      <w:r>
        <w:rPr>
          <w:rFonts w:cs="Arial"/>
          <w:sz w:val="20"/>
          <w:szCs w:val="20"/>
        </w:rPr>
        <w:instrText>or&gt;&lt;Year&gt;2025&lt;/Year&gt;&lt;RecNum&gt;66&lt;/RecNum&gt;&lt;DisplayText&gt;(32)&lt;/DisplayText&gt;&lt;record&gt;&lt;rec-number&gt;66&lt;/rec-number&gt;&lt;foreign-keys&gt;&lt;key app="EN" db-id="dw2zpsea0sr9vme0z05x2aeppwsrp95axfr9" timestamp="1772067019"&gt;66&lt;/key&gt;&lt;/foreign-keys&gt;&lt;ref-type name="Journal Article"</w:instrText>
      </w:r>
      <w:r>
        <w:rPr>
          <w:rFonts w:cs="Arial"/>
          <w:sz w:val="20"/>
          <w:szCs w:val="20"/>
        </w:rPr>
        <w:instrText>&gt;17&lt;/ref-type&gt;&lt;contributors&gt;&lt;authors&gt;&lt;author&gt;Ravindra, Khaiwal&lt;/author&gt;&lt;author&gt;Bhardwaj, Sanjeev&lt;/author&gt;&lt;author&gt;Gandhi, Aravind P&lt;/author&gt;&lt;author&gt;Attri, Shiv D&lt;/author&gt;&lt;author&gt;Mor, Suman&lt;/author&gt;&lt;/authors&gt;&lt;/contributors&gt;&lt;titles&gt;&lt;title&gt;Navigating the chall</w:instrText>
      </w:r>
      <w:r>
        <w:rPr>
          <w:rFonts w:cs="Arial"/>
          <w:sz w:val="20"/>
          <w:szCs w:val="20"/>
        </w:rPr>
        <w:instrText>enges of a warmer climate: strategies for mitigating impacts and fostering resilience in India&lt;/title&gt;&lt;secondary-title&gt;Air, Soil and Water Research&lt;/secondary-title&gt;&lt;/titles&gt;&lt;periodical&gt;&lt;full-title&gt;Air, Soil and Water Research&lt;/full-title&gt;&lt;/periodical&gt;&lt;pag</w:instrText>
      </w:r>
      <w:r>
        <w:rPr>
          <w:rFonts w:cs="Arial"/>
          <w:sz w:val="20"/>
          <w:szCs w:val="20"/>
        </w:rPr>
        <w:instrText>es&gt;11786221251325137&lt;/pages&gt;&lt;volume&gt;18&lt;/volume&gt;&lt;dates&gt;&lt;year&gt;2025&lt;/year&gt;&lt;/dates&gt;&lt;isbn&gt;1178-6221&lt;/isbn&gt;&lt;urls&gt;&lt;/urls&gt;&lt;/record&gt;&lt;/Cite&gt;&lt;/EndNote&gt;</w:instrText>
      </w:r>
      <w:r>
        <w:rPr>
          <w:rFonts w:cs="Arial"/>
          <w:sz w:val="20"/>
          <w:szCs w:val="20"/>
        </w:rPr>
        <w:fldChar w:fldCharType="separate"/>
      </w:r>
      <w:r>
        <w:rPr>
          <w:rFonts w:cs="Arial"/>
          <w:sz w:val="20"/>
          <w:szCs w:val="20"/>
        </w:rPr>
        <w:t>(32)</w:t>
      </w:r>
      <w:r>
        <w:rPr>
          <w:rFonts w:cs="Arial"/>
          <w:sz w:val="20"/>
          <w:szCs w:val="20"/>
        </w:rPr>
        <w:fldChar w:fldCharType="end"/>
      </w:r>
      <w:r>
        <w:rPr>
          <w:rFonts w:cs="Arial"/>
          <w:sz w:val="20"/>
          <w:szCs w:val="20"/>
        </w:rPr>
        <w:t>.</w:t>
      </w:r>
    </w:p>
    <w:p w14:paraId="70B534A6" w14:textId="77777777" w:rsidR="00D412BB" w:rsidRDefault="00DA3370">
      <w:pPr>
        <w:pStyle w:val="Heading1"/>
        <w:rPr>
          <w:color w:val="000000" w:themeColor="text1"/>
          <w:sz w:val="22"/>
          <w:szCs w:val="22"/>
        </w:rPr>
      </w:pPr>
      <w:r>
        <w:rPr>
          <w:color w:val="000000" w:themeColor="text1"/>
          <w:sz w:val="22"/>
          <w:szCs w:val="22"/>
        </w:rPr>
        <w:t>6. Mechanisms of Biocontrol and Disease Suppression</w:t>
      </w:r>
    </w:p>
    <w:p w14:paraId="72B1BC7D" w14:textId="77777777" w:rsidR="00D412BB" w:rsidRDefault="00DA3370">
      <w:pPr>
        <w:pStyle w:val="Heading2"/>
        <w:rPr>
          <w:color w:val="000000" w:themeColor="text1"/>
          <w:sz w:val="22"/>
          <w:szCs w:val="22"/>
        </w:rPr>
      </w:pPr>
      <w:r>
        <w:rPr>
          <w:color w:val="000000" w:themeColor="text1"/>
          <w:sz w:val="22"/>
          <w:szCs w:val="22"/>
        </w:rPr>
        <w:t>6.1 Modes of Action of Biocontrol Agents</w:t>
      </w:r>
    </w:p>
    <w:p w14:paraId="2798EEBD" w14:textId="77777777" w:rsidR="00D412BB" w:rsidRDefault="00DA3370">
      <w:pPr>
        <w:spacing w:before="200" w:after="100"/>
      </w:pPr>
      <w:r>
        <w:rPr>
          <w:rFonts w:cs="Arial"/>
          <w:b/>
          <w:bCs/>
        </w:rPr>
        <w:t>Table 5: Mecha</w:t>
      </w:r>
      <w:r>
        <w:rPr>
          <w:rFonts w:cs="Arial"/>
          <w:b/>
          <w:bCs/>
        </w:rPr>
        <w:t>nisms, Modes of Action, and Key Metabolites of Biocontrol Agents Evaluated</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560"/>
        <w:gridCol w:w="2400"/>
      </w:tblGrid>
      <w:tr w:rsidR="00D412BB" w14:paraId="13575FC9" w14:textId="77777777">
        <w:trPr>
          <w:tblHeader/>
        </w:trPr>
        <w:tc>
          <w:tcPr>
            <w:tcW w:w="22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310B8EB8" w14:textId="77777777" w:rsidR="00D412BB" w:rsidRDefault="00DA3370">
            <w:pPr>
              <w:jc w:val="center"/>
            </w:pPr>
            <w:r>
              <w:rPr>
                <w:rFonts w:cs="Arial"/>
                <w:b/>
                <w:bCs/>
                <w:color w:val="FFFFFF"/>
                <w:sz w:val="20"/>
                <w:szCs w:val="20"/>
              </w:rPr>
              <w:t>Biocontrol Agent</w:t>
            </w:r>
          </w:p>
        </w:tc>
        <w:tc>
          <w:tcPr>
            <w:tcW w:w="22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236EFC51" w14:textId="77777777" w:rsidR="00D412BB" w:rsidRDefault="00DA3370">
            <w:pPr>
              <w:jc w:val="center"/>
            </w:pPr>
            <w:r>
              <w:rPr>
                <w:rFonts w:cs="Arial"/>
                <w:b/>
                <w:bCs/>
                <w:color w:val="FFFFFF"/>
                <w:sz w:val="20"/>
                <w:szCs w:val="20"/>
              </w:rPr>
              <w:t>Mechanism</w:t>
            </w:r>
          </w:p>
        </w:tc>
        <w:tc>
          <w:tcPr>
            <w:tcW w:w="256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73D2703C" w14:textId="77777777" w:rsidR="00D412BB" w:rsidRDefault="00DA3370">
            <w:pPr>
              <w:jc w:val="center"/>
            </w:pPr>
            <w:r>
              <w:rPr>
                <w:rFonts w:cs="Arial"/>
                <w:b/>
                <w:bCs/>
                <w:color w:val="FFFFFF"/>
                <w:sz w:val="20"/>
                <w:szCs w:val="20"/>
              </w:rPr>
              <w:t>Mode of Action</w:t>
            </w:r>
          </w:p>
        </w:tc>
        <w:tc>
          <w:tcPr>
            <w:tcW w:w="24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6B28B291" w14:textId="77777777" w:rsidR="00D412BB" w:rsidRDefault="00DA3370">
            <w:pPr>
              <w:jc w:val="center"/>
            </w:pPr>
            <w:r>
              <w:rPr>
                <w:rFonts w:cs="Arial"/>
                <w:b/>
                <w:bCs/>
                <w:color w:val="FFFFFF"/>
                <w:sz w:val="20"/>
                <w:szCs w:val="20"/>
              </w:rPr>
              <w:t>Key Metabolites</w:t>
            </w:r>
          </w:p>
        </w:tc>
      </w:tr>
      <w:tr w:rsidR="00D412BB" w14:paraId="70BEA709" w14:textId="77777777">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A026648" w14:textId="77777777" w:rsidR="00D412BB" w:rsidRDefault="00DA3370">
            <w:pPr>
              <w:jc w:val="center"/>
              <w:rPr>
                <w:i/>
                <w:iCs/>
                <w:sz w:val="20"/>
                <w:szCs w:val="20"/>
              </w:rPr>
            </w:pPr>
            <w:r>
              <w:rPr>
                <w:rFonts w:cs="Arial"/>
                <w:i/>
                <w:iCs/>
                <w:color w:val="000000"/>
                <w:sz w:val="20"/>
                <w:szCs w:val="20"/>
              </w:rPr>
              <w:t xml:space="preserve">Trichoderma </w:t>
            </w:r>
            <w:proofErr w:type="spellStart"/>
            <w:r>
              <w:rPr>
                <w:rFonts w:cs="Arial"/>
                <w:i/>
                <w:iCs/>
                <w:color w:val="000000"/>
                <w:sz w:val="20"/>
                <w:szCs w:val="20"/>
              </w:rPr>
              <w:t>viride</w:t>
            </w:r>
            <w:proofErr w:type="spellEnd"/>
          </w:p>
        </w:tc>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91A9DD6" w14:textId="77777777" w:rsidR="00D412BB" w:rsidRDefault="00DA3370">
            <w:pPr>
              <w:jc w:val="center"/>
              <w:rPr>
                <w:sz w:val="20"/>
                <w:szCs w:val="20"/>
              </w:rPr>
            </w:pPr>
            <w:r>
              <w:rPr>
                <w:rFonts w:cs="Arial"/>
                <w:color w:val="000000"/>
                <w:sz w:val="20"/>
                <w:szCs w:val="20"/>
              </w:rPr>
              <w:t>Mycoparasitism</w:t>
            </w:r>
          </w:p>
        </w:tc>
        <w:tc>
          <w:tcPr>
            <w:tcW w:w="2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D261819" w14:textId="77777777" w:rsidR="00D412BB" w:rsidRDefault="00DA3370">
            <w:pPr>
              <w:jc w:val="center"/>
              <w:rPr>
                <w:sz w:val="20"/>
                <w:szCs w:val="20"/>
              </w:rPr>
            </w:pPr>
            <w:r>
              <w:rPr>
                <w:rFonts w:cs="Arial"/>
                <w:color w:val="000000"/>
                <w:sz w:val="20"/>
                <w:szCs w:val="20"/>
              </w:rPr>
              <w:t>Direct parasitism of pathogen hyphae; enzyme secretion</w:t>
            </w:r>
          </w:p>
        </w:tc>
        <w:tc>
          <w:tcPr>
            <w:tcW w:w="2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9774C7F" w14:textId="77777777" w:rsidR="00D412BB" w:rsidRDefault="00DA3370">
            <w:pPr>
              <w:jc w:val="center"/>
              <w:rPr>
                <w:sz w:val="20"/>
                <w:szCs w:val="20"/>
              </w:rPr>
            </w:pPr>
            <w:r>
              <w:rPr>
                <w:rFonts w:cs="Arial"/>
                <w:color w:val="000000"/>
                <w:sz w:val="20"/>
                <w:szCs w:val="20"/>
              </w:rPr>
              <w:t xml:space="preserve">Chitinases, </w:t>
            </w:r>
            <w:proofErr w:type="spellStart"/>
            <w:r>
              <w:rPr>
                <w:rFonts w:cs="Arial"/>
                <w:color w:val="000000"/>
                <w:sz w:val="20"/>
                <w:szCs w:val="20"/>
              </w:rPr>
              <w:t>glucanases</w:t>
            </w:r>
            <w:proofErr w:type="spellEnd"/>
            <w:r>
              <w:rPr>
                <w:rFonts w:cs="Arial"/>
                <w:color w:val="000000"/>
                <w:sz w:val="20"/>
                <w:szCs w:val="20"/>
              </w:rPr>
              <w:t>, proteases</w:t>
            </w:r>
          </w:p>
        </w:tc>
      </w:tr>
      <w:tr w:rsidR="00D412BB" w14:paraId="41004D7E" w14:textId="77777777">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D1AEAB2" w14:textId="77777777" w:rsidR="00D412BB" w:rsidRDefault="00DA3370">
            <w:pPr>
              <w:jc w:val="center"/>
              <w:rPr>
                <w:i/>
                <w:iCs/>
                <w:sz w:val="20"/>
                <w:szCs w:val="20"/>
              </w:rPr>
            </w:pPr>
            <w:r>
              <w:rPr>
                <w:rFonts w:cs="Arial"/>
                <w:i/>
                <w:iCs/>
                <w:color w:val="000000"/>
                <w:sz w:val="20"/>
                <w:szCs w:val="20"/>
              </w:rPr>
              <w:t>Pseudomonas fluorescens</w:t>
            </w:r>
          </w:p>
        </w:tc>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CAA9431" w14:textId="77777777" w:rsidR="00D412BB" w:rsidRDefault="00DA3370">
            <w:pPr>
              <w:jc w:val="center"/>
              <w:rPr>
                <w:sz w:val="20"/>
                <w:szCs w:val="20"/>
              </w:rPr>
            </w:pPr>
            <w:r>
              <w:rPr>
                <w:rFonts w:cs="Arial"/>
                <w:color w:val="000000"/>
                <w:sz w:val="20"/>
                <w:szCs w:val="20"/>
              </w:rPr>
              <w:t>Antibiosis &amp; ISR</w:t>
            </w:r>
          </w:p>
        </w:tc>
        <w:tc>
          <w:tcPr>
            <w:tcW w:w="2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703FA5C" w14:textId="77777777" w:rsidR="00D412BB" w:rsidRDefault="00DA3370">
            <w:pPr>
              <w:jc w:val="center"/>
              <w:rPr>
                <w:sz w:val="20"/>
                <w:szCs w:val="20"/>
              </w:rPr>
            </w:pPr>
            <w:r>
              <w:rPr>
                <w:rFonts w:cs="Arial"/>
                <w:color w:val="000000"/>
                <w:sz w:val="20"/>
                <w:szCs w:val="20"/>
              </w:rPr>
              <w:t>Production of antifungal compounds; triggers plant immunity</w:t>
            </w:r>
          </w:p>
        </w:tc>
        <w:tc>
          <w:tcPr>
            <w:tcW w:w="2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EA87E41" w14:textId="77777777" w:rsidR="00D412BB" w:rsidRDefault="00DA3370">
            <w:pPr>
              <w:jc w:val="center"/>
              <w:rPr>
                <w:sz w:val="20"/>
                <w:szCs w:val="20"/>
              </w:rPr>
            </w:pPr>
            <w:r>
              <w:rPr>
                <w:rFonts w:cs="Arial"/>
                <w:color w:val="000000"/>
                <w:sz w:val="20"/>
                <w:szCs w:val="20"/>
              </w:rPr>
              <w:t>2,4-DAPG, siderophores, HCN</w:t>
            </w:r>
          </w:p>
        </w:tc>
      </w:tr>
      <w:tr w:rsidR="00D412BB" w14:paraId="0B15FE54" w14:textId="77777777">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3A9B85C" w14:textId="77777777" w:rsidR="00D412BB" w:rsidRDefault="00DA3370">
            <w:pPr>
              <w:jc w:val="center"/>
              <w:rPr>
                <w:i/>
                <w:iCs/>
                <w:sz w:val="20"/>
                <w:szCs w:val="20"/>
              </w:rPr>
            </w:pPr>
            <w:r>
              <w:rPr>
                <w:rFonts w:cs="Arial"/>
                <w:i/>
                <w:iCs/>
                <w:color w:val="000000"/>
                <w:sz w:val="20"/>
                <w:szCs w:val="20"/>
              </w:rPr>
              <w:t xml:space="preserve">T. </w:t>
            </w:r>
            <w:proofErr w:type="spellStart"/>
            <w:r>
              <w:rPr>
                <w:rFonts w:cs="Arial"/>
                <w:i/>
                <w:iCs/>
                <w:color w:val="000000"/>
                <w:sz w:val="20"/>
                <w:szCs w:val="20"/>
              </w:rPr>
              <w:t>viride</w:t>
            </w:r>
            <w:proofErr w:type="spellEnd"/>
            <w:r>
              <w:rPr>
                <w:rFonts w:cs="Arial"/>
                <w:i/>
                <w:iCs/>
                <w:color w:val="000000"/>
                <w:sz w:val="20"/>
                <w:szCs w:val="20"/>
              </w:rPr>
              <w:t xml:space="preserve"> + P. fluorescens</w:t>
            </w:r>
          </w:p>
        </w:tc>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112763D" w14:textId="77777777" w:rsidR="00D412BB" w:rsidRDefault="00DA3370">
            <w:pPr>
              <w:jc w:val="center"/>
              <w:rPr>
                <w:sz w:val="20"/>
                <w:szCs w:val="20"/>
              </w:rPr>
            </w:pPr>
            <w:r>
              <w:rPr>
                <w:rFonts w:cs="Arial"/>
                <w:color w:val="000000"/>
                <w:sz w:val="20"/>
                <w:szCs w:val="20"/>
              </w:rPr>
              <w:t>Synergistic</w:t>
            </w:r>
          </w:p>
        </w:tc>
        <w:tc>
          <w:tcPr>
            <w:tcW w:w="2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C4EF3AE" w14:textId="77777777" w:rsidR="00D412BB" w:rsidRDefault="00DA3370">
            <w:pPr>
              <w:jc w:val="center"/>
              <w:rPr>
                <w:sz w:val="20"/>
                <w:szCs w:val="20"/>
              </w:rPr>
            </w:pPr>
            <w:r>
              <w:rPr>
                <w:rFonts w:cs="Arial"/>
                <w:color w:val="000000"/>
                <w:sz w:val="20"/>
                <w:szCs w:val="20"/>
              </w:rPr>
              <w:t>Complementary action; enhanced ISR and antagonism</w:t>
            </w:r>
          </w:p>
        </w:tc>
        <w:tc>
          <w:tcPr>
            <w:tcW w:w="2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BE714CF" w14:textId="77777777" w:rsidR="00D412BB" w:rsidRDefault="00DA3370">
            <w:pPr>
              <w:jc w:val="center"/>
              <w:rPr>
                <w:sz w:val="20"/>
                <w:szCs w:val="20"/>
              </w:rPr>
            </w:pPr>
            <w:r>
              <w:rPr>
                <w:rFonts w:cs="Arial"/>
                <w:color w:val="000000"/>
                <w:sz w:val="20"/>
                <w:szCs w:val="20"/>
              </w:rPr>
              <w:t>Combined metabolite pool</w:t>
            </w:r>
          </w:p>
        </w:tc>
      </w:tr>
      <w:tr w:rsidR="00D412BB" w14:paraId="29A5AD1C" w14:textId="77777777">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5CA87AC" w14:textId="77777777" w:rsidR="00D412BB" w:rsidRDefault="00DA3370">
            <w:pPr>
              <w:jc w:val="center"/>
              <w:rPr>
                <w:sz w:val="20"/>
                <w:szCs w:val="20"/>
              </w:rPr>
            </w:pPr>
            <w:r>
              <w:rPr>
                <w:rFonts w:cs="Arial"/>
                <w:color w:val="000000"/>
                <w:sz w:val="20"/>
                <w:szCs w:val="20"/>
              </w:rPr>
              <w:t>Salicylic</w:t>
            </w:r>
            <w:r>
              <w:rPr>
                <w:rFonts w:cs="Arial"/>
                <w:color w:val="000000"/>
                <w:sz w:val="20"/>
                <w:szCs w:val="20"/>
              </w:rPr>
              <w:t xml:space="preserve"> Acid (SAR)</w:t>
            </w:r>
          </w:p>
        </w:tc>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5C3C34D" w14:textId="77777777" w:rsidR="00D412BB" w:rsidRDefault="00DA3370">
            <w:pPr>
              <w:jc w:val="center"/>
              <w:rPr>
                <w:sz w:val="20"/>
                <w:szCs w:val="20"/>
              </w:rPr>
            </w:pPr>
            <w:r>
              <w:rPr>
                <w:rFonts w:cs="Arial"/>
                <w:color w:val="000000"/>
                <w:sz w:val="20"/>
                <w:szCs w:val="20"/>
              </w:rPr>
              <w:t>Resistance Induction</w:t>
            </w:r>
          </w:p>
        </w:tc>
        <w:tc>
          <w:tcPr>
            <w:tcW w:w="2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2283770" w14:textId="77777777" w:rsidR="00D412BB" w:rsidRDefault="00DA3370">
            <w:pPr>
              <w:jc w:val="center"/>
              <w:rPr>
                <w:sz w:val="20"/>
                <w:szCs w:val="20"/>
              </w:rPr>
            </w:pPr>
            <w:r>
              <w:rPr>
                <w:rFonts w:cs="Arial"/>
                <w:color w:val="000000"/>
                <w:sz w:val="20"/>
                <w:szCs w:val="20"/>
              </w:rPr>
              <w:t>Activates systemic acquired resistance (SAR) pathway</w:t>
            </w:r>
          </w:p>
        </w:tc>
        <w:tc>
          <w:tcPr>
            <w:tcW w:w="2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BE3B50E" w14:textId="77777777" w:rsidR="00D412BB" w:rsidRDefault="00DA3370">
            <w:pPr>
              <w:jc w:val="center"/>
              <w:rPr>
                <w:sz w:val="20"/>
                <w:szCs w:val="20"/>
              </w:rPr>
            </w:pPr>
            <w:r>
              <w:rPr>
                <w:rFonts w:cs="Arial"/>
                <w:color w:val="000000"/>
                <w:sz w:val="20"/>
                <w:szCs w:val="20"/>
              </w:rPr>
              <w:t>PR proteins (PR-1, PR-2, PR-5)</w:t>
            </w:r>
          </w:p>
        </w:tc>
      </w:tr>
    </w:tbl>
    <w:p w14:paraId="53EEC88A" w14:textId="77777777" w:rsidR="00D412BB" w:rsidRDefault="00DA3370">
      <w:pPr>
        <w:spacing w:before="80" w:after="200"/>
      </w:pPr>
      <w:r>
        <w:rPr>
          <w:rFonts w:cs="Arial"/>
          <w:i/>
          <w:iCs/>
          <w:sz w:val="18"/>
          <w:szCs w:val="18"/>
        </w:rPr>
        <w:t>ISR = Induced Systemic Resistance; SAR = Systemic Acquired Resistance; 2,4-DAPG = 2,4-diacetylphloroglucinol; HCN = Hydrogen Cyanide</w:t>
      </w:r>
    </w:p>
    <w:p w14:paraId="0A9026E9" w14:textId="77777777" w:rsidR="00D412BB" w:rsidRDefault="00DA3370">
      <w:pPr>
        <w:pStyle w:val="Heading2"/>
        <w:rPr>
          <w:color w:val="000000" w:themeColor="text1"/>
          <w:sz w:val="22"/>
          <w:szCs w:val="22"/>
        </w:rPr>
      </w:pPr>
      <w:r>
        <w:rPr>
          <w:color w:val="000000" w:themeColor="text1"/>
          <w:sz w:val="22"/>
          <w:szCs w:val="22"/>
        </w:rPr>
        <w:t xml:space="preserve">6.2 </w:t>
      </w:r>
      <w:r>
        <w:rPr>
          <w:color w:val="000000" w:themeColor="text1"/>
          <w:sz w:val="22"/>
          <w:szCs w:val="22"/>
        </w:rPr>
        <w:t>Synergistic Effects of the Combined Application</w:t>
      </w:r>
    </w:p>
    <w:p w14:paraId="573164C7" w14:textId="77777777" w:rsidR="00D412BB" w:rsidRDefault="00DA3370">
      <w:pPr>
        <w:spacing w:before="100" w:after="160" w:line="360" w:lineRule="auto"/>
        <w:jc w:val="both"/>
        <w:rPr>
          <w:sz w:val="20"/>
          <w:szCs w:val="20"/>
        </w:rPr>
      </w:pPr>
      <w:r>
        <w:rPr>
          <w:rFonts w:cs="Arial"/>
          <w:sz w:val="20"/>
          <w:szCs w:val="20"/>
        </w:rPr>
        <w:t xml:space="preserve">The superior performance of the combined </w:t>
      </w:r>
      <w:r>
        <w:rPr>
          <w:rFonts w:cs="Arial"/>
          <w:i/>
          <w:iCs/>
          <w:sz w:val="20"/>
          <w:szCs w:val="20"/>
        </w:rPr>
        <w:t xml:space="preserve">T. </w:t>
      </w:r>
      <w:proofErr w:type="spellStart"/>
      <w:r>
        <w:rPr>
          <w:rFonts w:cs="Arial"/>
          <w:i/>
          <w:iCs/>
          <w:sz w:val="20"/>
          <w:szCs w:val="20"/>
        </w:rPr>
        <w:t>viride</w:t>
      </w:r>
      <w:proofErr w:type="spellEnd"/>
      <w:r>
        <w:rPr>
          <w:rFonts w:cs="Arial"/>
          <w:sz w:val="20"/>
          <w:szCs w:val="20"/>
        </w:rPr>
        <w:t xml:space="preserve"> + </w:t>
      </w:r>
      <w:r>
        <w:rPr>
          <w:rFonts w:cs="Arial"/>
          <w:i/>
          <w:iCs/>
          <w:sz w:val="20"/>
          <w:szCs w:val="20"/>
        </w:rPr>
        <w:t>P. fluorescens</w:t>
      </w:r>
      <w:r>
        <w:rPr>
          <w:rFonts w:cs="Arial"/>
          <w:sz w:val="20"/>
          <w:szCs w:val="20"/>
        </w:rPr>
        <w:t xml:space="preserve"> treatment can be explained by the complementary and synergistic interplay of their diverse mechanisms </w:t>
      </w:r>
      <w:r>
        <w:rPr>
          <w:rFonts w:cs="Arial"/>
          <w:sz w:val="20"/>
          <w:szCs w:val="20"/>
        </w:rPr>
        <w:fldChar w:fldCharType="begin"/>
      </w:r>
      <w:r>
        <w:rPr>
          <w:rFonts w:cs="Arial"/>
          <w:sz w:val="20"/>
          <w:szCs w:val="20"/>
        </w:rPr>
        <w:instrText xml:space="preserve"> ADDIN EN.CITE &lt;EndNote&gt;&lt;Cite&gt;&lt;Author&gt;</w:instrText>
      </w:r>
      <w:r>
        <w:rPr>
          <w:rFonts w:cs="Arial"/>
          <w:sz w:val="20"/>
          <w:szCs w:val="20"/>
        </w:rPr>
        <w:instrText>Luo&lt;/Author&gt;&lt;Year&gt;2022&lt;/Year&gt;&lt;RecNum&gt;67&lt;/RecNum&gt;&lt;DisplayText&gt;(33)&lt;/DisplayText&gt;&lt;record&gt;&lt;rec-number&gt;67&lt;/rec-number&gt;&lt;foreign-keys&gt;&lt;key app="EN" db-id="dw2zpsea0sr9vme0z05x2aeppwsrp95axfr9" timestamp="1772067063"&gt;67&lt;/key&gt;&lt;/foreign-keys&gt;&lt;ref-type name="Journal</w:instrText>
      </w:r>
      <w:r>
        <w:rPr>
          <w:rFonts w:cs="Arial"/>
          <w:sz w:val="20"/>
          <w:szCs w:val="20"/>
        </w:rPr>
        <w:instrText xml:space="preserve"> Article"&gt;17&lt;/ref-type&gt;&lt;contributors&gt;&lt;authors&gt;&lt;author&gt;Luo, Dongxia&lt;/author&gt;&lt;author&gt;Qiang, Shirong&lt;/author&gt;&lt;author&gt;Geng, Rongyue&lt;/author&gt;&lt;author&gt;Shi, Leiping&lt;/author&gt;&lt;author&gt;Song, Jiayu&lt;/author&gt;&lt;author&gt;Fan, Qiaohui&lt;/author&gt;&lt;/authors&gt;&lt;/contributors&gt;&lt;titles&gt;&lt;</w:instrText>
      </w:r>
      <w:r>
        <w:rPr>
          <w:rFonts w:cs="Arial"/>
          <w:sz w:val="20"/>
          <w:szCs w:val="20"/>
        </w:rPr>
        <w:instrText>title&gt;Mechanistic study for mutual interactions of Pb2+ and Trichoderma viride&lt;/title&gt;&lt;secondary-title&gt;Ecotoxicology and Environmental Safety&lt;/secondary-title&gt;&lt;/titles&gt;&lt;periodical&gt;&lt;full-title&gt;Ecotoxicology and Environmental Safety&lt;/full-title&gt;&lt;/periodical&gt;</w:instrText>
      </w:r>
      <w:r>
        <w:rPr>
          <w:rFonts w:cs="Arial"/>
          <w:sz w:val="20"/>
          <w:szCs w:val="20"/>
        </w:rPr>
        <w:instrText>&lt;pages&gt;113310&lt;/pages&gt;&lt;volume&gt;233&lt;/volume&gt;&lt;dates&gt;&lt;year&gt;2022&lt;/year&gt;&lt;/dates&gt;&lt;isbn&gt;0147-6513&lt;/isbn&gt;&lt;urls&gt;&lt;/urls&gt;&lt;/record&gt;&lt;/Cite&gt;&lt;/EndNote&gt;</w:instrText>
      </w:r>
      <w:r>
        <w:rPr>
          <w:rFonts w:cs="Arial"/>
          <w:sz w:val="20"/>
          <w:szCs w:val="20"/>
        </w:rPr>
        <w:fldChar w:fldCharType="separate"/>
      </w:r>
      <w:r>
        <w:rPr>
          <w:rFonts w:cs="Arial"/>
          <w:sz w:val="20"/>
          <w:szCs w:val="20"/>
        </w:rPr>
        <w:t>(33)</w:t>
      </w:r>
      <w:r>
        <w:rPr>
          <w:rFonts w:cs="Arial"/>
          <w:sz w:val="20"/>
          <w:szCs w:val="20"/>
        </w:rPr>
        <w:fldChar w:fldCharType="end"/>
      </w:r>
      <w:r>
        <w:rPr>
          <w:rFonts w:cs="Arial"/>
          <w:sz w:val="20"/>
          <w:szCs w:val="20"/>
        </w:rPr>
        <w:t xml:space="preserve">. While </w:t>
      </w:r>
      <w:r>
        <w:rPr>
          <w:rFonts w:cs="Arial"/>
          <w:i/>
          <w:iCs/>
          <w:sz w:val="20"/>
          <w:szCs w:val="20"/>
        </w:rPr>
        <w:t xml:space="preserve">Trichoderma </w:t>
      </w:r>
      <w:proofErr w:type="spellStart"/>
      <w:r>
        <w:rPr>
          <w:rFonts w:cs="Arial"/>
          <w:i/>
          <w:iCs/>
          <w:sz w:val="20"/>
          <w:szCs w:val="20"/>
        </w:rPr>
        <w:t>viride</w:t>
      </w:r>
      <w:proofErr w:type="spellEnd"/>
      <w:r>
        <w:rPr>
          <w:rFonts w:cs="Arial"/>
          <w:sz w:val="20"/>
          <w:szCs w:val="20"/>
        </w:rPr>
        <w:t xml:space="preserve"> operates primarily through mycoparasitism and the production of lytic enzymes (chitinases, </w:t>
      </w:r>
      <w:proofErr w:type="spellStart"/>
      <w:r>
        <w:rPr>
          <w:rFonts w:cs="Arial"/>
          <w:sz w:val="20"/>
          <w:szCs w:val="20"/>
        </w:rPr>
        <w:t>glucanases</w:t>
      </w:r>
      <w:proofErr w:type="spellEnd"/>
      <w:r>
        <w:rPr>
          <w:rFonts w:cs="Arial"/>
          <w:sz w:val="20"/>
          <w:szCs w:val="20"/>
        </w:rPr>
        <w:t xml:space="preserve">) that degrade pathogen cell walls, </w:t>
      </w:r>
      <w:r>
        <w:rPr>
          <w:rFonts w:cs="Arial"/>
          <w:i/>
          <w:iCs/>
          <w:sz w:val="20"/>
          <w:szCs w:val="20"/>
        </w:rPr>
        <w:t>Pseudomonas fluorescens</w:t>
      </w:r>
      <w:r>
        <w:rPr>
          <w:rFonts w:cs="Arial"/>
          <w:sz w:val="20"/>
          <w:szCs w:val="20"/>
        </w:rPr>
        <w:t xml:space="preserve"> contributes through antibiosis (2,4-DAPG, HCN) and ISR induction. Together, they establish a m</w:t>
      </w:r>
      <w:r>
        <w:rPr>
          <w:rFonts w:cs="Arial"/>
          <w:sz w:val="20"/>
          <w:szCs w:val="20"/>
        </w:rPr>
        <w:t xml:space="preserve">ulti-layered defense system in the plant rhizosphere and </w:t>
      </w:r>
      <w:proofErr w:type="spellStart"/>
      <w:r>
        <w:rPr>
          <w:rFonts w:cs="Arial"/>
          <w:sz w:val="20"/>
          <w:szCs w:val="20"/>
        </w:rPr>
        <w:t>phyllosphere</w:t>
      </w:r>
      <w:proofErr w:type="spellEnd"/>
      <w:r>
        <w:rPr>
          <w:rFonts w:cs="Arial"/>
          <w:sz w:val="20"/>
          <w:szCs w:val="20"/>
        </w:rPr>
        <w:t xml:space="preserve"> that creates multiple barriers to pathogen establishment and colonization.</w:t>
      </w:r>
    </w:p>
    <w:p w14:paraId="1CF3FF9C" w14:textId="77777777" w:rsidR="00D412BB" w:rsidRDefault="00DA3370">
      <w:pPr>
        <w:spacing w:before="100" w:after="160" w:line="360" w:lineRule="auto"/>
        <w:jc w:val="both"/>
        <w:rPr>
          <w:rFonts w:cs="Arial"/>
          <w:sz w:val="20"/>
          <w:szCs w:val="20"/>
        </w:rPr>
      </w:pPr>
      <w:r>
        <w:rPr>
          <w:rFonts w:cs="Arial"/>
          <w:sz w:val="20"/>
          <w:szCs w:val="20"/>
        </w:rPr>
        <w:t>Additionally, both organisms contribute to plant growth promotion through mechanisms such as phosphate solubili</w:t>
      </w:r>
      <w:r>
        <w:rPr>
          <w:rFonts w:cs="Arial"/>
          <w:sz w:val="20"/>
          <w:szCs w:val="20"/>
        </w:rPr>
        <w:t xml:space="preserve">zation, nitrogen fixation, siderophore production, and phytohormone synthesis (IAA, gibberellins) </w:t>
      </w:r>
      <w:r>
        <w:rPr>
          <w:rFonts w:cs="Arial"/>
          <w:sz w:val="20"/>
          <w:szCs w:val="20"/>
        </w:rPr>
        <w:fldChar w:fldCharType="begin"/>
      </w:r>
      <w:r>
        <w:rPr>
          <w:rFonts w:cs="Arial"/>
          <w:sz w:val="20"/>
          <w:szCs w:val="20"/>
        </w:rPr>
        <w:instrText xml:space="preserve"> ADDIN EN.CITE &lt;EndNote&gt;&lt;Cite&gt;&lt;Author&gt;Timofeeva&lt;/Author&gt;&lt;Year&gt;2023&lt;/Year&gt;&lt;RecNum&gt;68&lt;/RecNum&gt;&lt;DisplayText&gt;(34)&lt;/DisplayText&gt;&lt;record&gt;&lt;rec-number&gt;68&lt;/rec-number&gt;</w:instrText>
      </w:r>
      <w:r>
        <w:rPr>
          <w:rFonts w:cs="Arial"/>
          <w:sz w:val="20"/>
          <w:szCs w:val="20"/>
        </w:rPr>
        <w:instrText>&lt;foreign-keys&gt;&lt;key app="EN" db-id="dw2zpsea0sr9vme0z05x2aeppwsrp95axfr9" timestamp="1772067740"&gt;68&lt;/key&gt;&lt;/foreign-keys&gt;&lt;ref-type name="Journal Article"&gt;17&lt;/ref-type&gt;&lt;contributors&gt;&lt;authors&gt;&lt;author&gt;Timofeeva, Anna M&lt;/author&gt;&lt;author&gt;Galyamova, Maria R&lt;/author</w:instrText>
      </w:r>
      <w:r>
        <w:rPr>
          <w:rFonts w:cs="Arial"/>
          <w:sz w:val="20"/>
          <w:szCs w:val="20"/>
        </w:rPr>
        <w:instrText>&gt;&lt;author&gt;Sedykh, Sergey E&lt;/author&gt;&lt;/authors&gt;&lt;/contributors&gt;&lt;titles&gt;&lt;title&gt;Plant growth-promoting soil bacteria: nitrogen fixation, phosphate solubilization, siderophore production, and other biological activities&lt;/title&gt;&lt;secondary-title&gt;Plants&lt;/secondary-t</w:instrText>
      </w:r>
      <w:r>
        <w:rPr>
          <w:rFonts w:cs="Arial"/>
          <w:sz w:val="20"/>
          <w:szCs w:val="20"/>
        </w:rPr>
        <w:instrText>itle&gt;&lt;/titles&gt;&lt;periodical&gt;&lt;full-title&gt;Plants&lt;/full-title&gt;&lt;/periodical&gt;&lt;pages&gt;4074&lt;/pages&gt;&lt;volume&gt;12&lt;/volume&gt;&lt;number&gt;24&lt;/number&gt;&lt;dates&gt;&lt;year&gt;2023&lt;/year&gt;&lt;/dates&gt;&lt;isbn&gt;2223-7747&lt;/isbn&gt;&lt;urls&gt;&lt;/urls&gt;&lt;/record&gt;&lt;/Cite&gt;&lt;/EndNote&gt;</w:instrText>
      </w:r>
      <w:r>
        <w:rPr>
          <w:rFonts w:cs="Arial"/>
          <w:sz w:val="20"/>
          <w:szCs w:val="20"/>
        </w:rPr>
        <w:fldChar w:fldCharType="separate"/>
      </w:r>
      <w:r>
        <w:rPr>
          <w:rFonts w:cs="Arial"/>
          <w:sz w:val="20"/>
          <w:szCs w:val="20"/>
        </w:rPr>
        <w:t>(34)</w:t>
      </w:r>
      <w:r>
        <w:rPr>
          <w:rFonts w:cs="Arial"/>
          <w:sz w:val="20"/>
          <w:szCs w:val="20"/>
        </w:rPr>
        <w:fldChar w:fldCharType="end"/>
      </w:r>
      <w:r>
        <w:rPr>
          <w:rFonts w:cs="Arial"/>
          <w:sz w:val="20"/>
          <w:szCs w:val="20"/>
        </w:rPr>
        <w:t>. These growth-promoting effe</w:t>
      </w:r>
      <w:r>
        <w:rPr>
          <w:rFonts w:cs="Arial"/>
          <w:sz w:val="20"/>
          <w:szCs w:val="20"/>
        </w:rPr>
        <w:t>cts enhance the vigor and root architecture of the mustard plant, potentially improving its intrinsic resistance capacity and resource allocation for defense responses. The combination also likely creates a more stable and persistent microbial community in</w:t>
      </w:r>
      <w:r>
        <w:rPr>
          <w:rFonts w:cs="Arial"/>
          <w:sz w:val="20"/>
          <w:szCs w:val="20"/>
        </w:rPr>
        <w:t xml:space="preserve"> the rhizosphere through </w:t>
      </w:r>
      <w:r>
        <w:rPr>
          <w:rFonts w:cs="Arial"/>
          <w:sz w:val="20"/>
          <w:szCs w:val="20"/>
        </w:rPr>
        <w:lastRenderedPageBreak/>
        <w:t xml:space="preserve">complementary ecological niches, providing more consistent disease suppression across varying environmental conditions </w:t>
      </w:r>
      <w:r>
        <w:rPr>
          <w:rFonts w:cs="Arial"/>
          <w:sz w:val="20"/>
          <w:szCs w:val="20"/>
        </w:rPr>
        <w:fldChar w:fldCharType="begin"/>
      </w:r>
      <w:r>
        <w:rPr>
          <w:rFonts w:cs="Arial"/>
          <w:sz w:val="20"/>
          <w:szCs w:val="20"/>
        </w:rPr>
        <w:instrText xml:space="preserve"> ADDIN EN.CITE &lt;EndNote&gt;&lt;Cite&gt;&lt;Author&gt;Ge&lt;/Author&gt;&lt;Year&gt;2023&lt;/Year&gt;&lt;RecNum&gt;69&lt;/RecNum&gt;&lt;DisplayText&gt;(35)&lt;/DisplayT</w:instrText>
      </w:r>
      <w:r>
        <w:rPr>
          <w:rFonts w:cs="Arial"/>
          <w:sz w:val="20"/>
          <w:szCs w:val="20"/>
        </w:rPr>
        <w:instrText>ext&gt;&lt;record&gt;&lt;rec-number&gt;69&lt;/rec-number&gt;&lt;foreign-keys&gt;&lt;key app="EN" db-id="dw2zpsea0sr9vme0z05x2aeppwsrp95axfr9" timestamp="1772067781"&gt;69&lt;/key&gt;&lt;/foreign-keys&gt;&lt;ref-type name="Journal Article"&gt;17&lt;/ref-type&gt;&lt;contributors&gt;&lt;authors&gt;&lt;author&gt;Ge, Jiaqi&lt;/author&gt;&lt;au</w:instrText>
      </w:r>
      <w:r>
        <w:rPr>
          <w:rFonts w:cs="Arial"/>
          <w:sz w:val="20"/>
          <w:szCs w:val="20"/>
        </w:rPr>
        <w:instrText>thor&gt;Li, Dong&lt;/author&gt;&lt;author&gt;Ding, Jixian&lt;/author&gt;&lt;author&gt;Xiao, Xian&lt;/author&gt;&lt;author&gt;Liang, Yuting&lt;/author&gt;&lt;/authors&gt;&lt;/contributors&gt;&lt;titles&gt;&lt;title&gt;Microbial coexistence in the rhizosphere and the promotion of plant stress resistance: a review&lt;/title&gt;&lt;seco</w:instrText>
      </w:r>
      <w:r>
        <w:rPr>
          <w:rFonts w:cs="Arial"/>
          <w:sz w:val="20"/>
          <w:szCs w:val="20"/>
        </w:rPr>
        <w:instrText>ndary-title&gt;Environmental Research&lt;/secondary-title&gt;&lt;/titles&gt;&lt;periodical&gt;&lt;full-title&gt;Environmental Research&lt;/full-title&gt;&lt;/periodical&gt;&lt;pages&gt;115298&lt;/pages&gt;&lt;volume&gt;222&lt;/volume&gt;&lt;dates&gt;&lt;year&gt;2023&lt;/year&gt;&lt;/dates&gt;&lt;isbn&gt;0013-9351&lt;/isbn&gt;&lt;urls&gt;&lt;/urls&gt;&lt;/record&gt;&lt;/Cite</w:instrText>
      </w:r>
      <w:r>
        <w:rPr>
          <w:rFonts w:cs="Arial"/>
          <w:sz w:val="20"/>
          <w:szCs w:val="20"/>
        </w:rPr>
        <w:instrText>&gt;&lt;/EndNote&gt;</w:instrText>
      </w:r>
      <w:r>
        <w:rPr>
          <w:rFonts w:cs="Arial"/>
          <w:sz w:val="20"/>
          <w:szCs w:val="20"/>
        </w:rPr>
        <w:fldChar w:fldCharType="separate"/>
      </w:r>
      <w:r>
        <w:rPr>
          <w:rFonts w:cs="Arial"/>
          <w:sz w:val="20"/>
          <w:szCs w:val="20"/>
        </w:rPr>
        <w:t>(35)</w:t>
      </w:r>
      <w:r>
        <w:rPr>
          <w:rFonts w:cs="Arial"/>
          <w:sz w:val="20"/>
          <w:szCs w:val="20"/>
        </w:rPr>
        <w:fldChar w:fldCharType="end"/>
      </w:r>
      <w:r>
        <w:rPr>
          <w:rFonts w:cs="Arial"/>
          <w:sz w:val="20"/>
          <w:szCs w:val="20"/>
        </w:rPr>
        <w:t>.</w:t>
      </w:r>
    </w:p>
    <w:p w14:paraId="57A1CAED" w14:textId="77777777" w:rsidR="00D412BB" w:rsidRDefault="00DA3370">
      <w:pPr>
        <w:pStyle w:val="Heading2"/>
        <w:rPr>
          <w:color w:val="000000" w:themeColor="text1"/>
          <w:sz w:val="22"/>
          <w:szCs w:val="22"/>
        </w:rPr>
      </w:pPr>
      <w:r>
        <w:rPr>
          <w:color w:val="000000" w:themeColor="text1"/>
          <w:sz w:val="22"/>
          <w:szCs w:val="22"/>
        </w:rPr>
        <w:t>6.3 Plant Defense Activation Pathways</w:t>
      </w:r>
    </w:p>
    <w:p w14:paraId="74F2DC55" w14:textId="77777777" w:rsidR="00D412BB" w:rsidRDefault="00DA3370">
      <w:pPr>
        <w:spacing w:before="100" w:after="160" w:line="360" w:lineRule="auto"/>
        <w:jc w:val="both"/>
        <w:rPr>
          <w:sz w:val="20"/>
          <w:szCs w:val="20"/>
        </w:rPr>
      </w:pPr>
      <w:r>
        <w:rPr>
          <w:rFonts w:cs="Arial"/>
          <w:sz w:val="20"/>
          <w:szCs w:val="20"/>
        </w:rPr>
        <w:t xml:space="preserve">The activation of plant defense mechanisms by biocontrol agents operates through two </w:t>
      </w:r>
      <w:proofErr w:type="gramStart"/>
      <w:r>
        <w:rPr>
          <w:rFonts w:cs="Arial"/>
          <w:sz w:val="20"/>
          <w:szCs w:val="20"/>
        </w:rPr>
        <w:t>primary</w:t>
      </w:r>
      <w:proofErr w:type="gramEnd"/>
      <w:r>
        <w:rPr>
          <w:rFonts w:cs="Arial"/>
          <w:sz w:val="20"/>
          <w:szCs w:val="20"/>
        </w:rPr>
        <w:t>, partially overlapping signaling pathways. The salicylate-mediated SAR pathway is typically associated wi</w:t>
      </w:r>
      <w:r>
        <w:rPr>
          <w:rFonts w:cs="Arial"/>
          <w:sz w:val="20"/>
          <w:szCs w:val="20"/>
        </w:rPr>
        <w:t xml:space="preserve">th resistance to biotrophic pathogens (including oomycetes like </w:t>
      </w:r>
      <w:proofErr w:type="spellStart"/>
      <w:r>
        <w:rPr>
          <w:rFonts w:cs="Arial"/>
          <w:sz w:val="20"/>
          <w:szCs w:val="20"/>
        </w:rPr>
        <w:t>Albugo</w:t>
      </w:r>
      <w:proofErr w:type="spellEnd"/>
      <w:r>
        <w:rPr>
          <w:rFonts w:cs="Arial"/>
          <w:sz w:val="20"/>
          <w:szCs w:val="20"/>
        </w:rPr>
        <w:t xml:space="preserve"> candida) and involves the accumulation of salicylic acid, activation of NPR1 protein, and upregulation of PR-1, PR-2, and PR-5 genes encoding pathogenesis-related proteins with direct a</w:t>
      </w:r>
      <w:r>
        <w:rPr>
          <w:rFonts w:cs="Arial"/>
          <w:sz w:val="20"/>
          <w:szCs w:val="20"/>
        </w:rPr>
        <w:t xml:space="preserve">ntimicrobial activities </w:t>
      </w:r>
      <w:r>
        <w:rPr>
          <w:rFonts w:cs="Arial"/>
          <w:sz w:val="20"/>
          <w:szCs w:val="20"/>
        </w:rPr>
        <w:fldChar w:fldCharType="begin"/>
      </w:r>
      <w:r>
        <w:rPr>
          <w:rFonts w:cs="Arial"/>
          <w:sz w:val="20"/>
          <w:szCs w:val="20"/>
        </w:rPr>
        <w:instrText xml:space="preserve"> ADDIN EN.CITE &lt;EndNote&gt;&lt;Cite&gt;&lt;Author&gt;Rojo&lt;/Author&gt;&lt;Year&gt;2003&lt;/Year&gt;&lt;RecNum&gt;70&lt;/RecNum&gt;&lt;DisplayText&gt;(36)&lt;/DisplayText&gt;&lt;record&gt;&lt;rec-number&gt;70&lt;/rec-number&gt;&lt;foreign-keys&gt;&lt;key app="EN" db-id="dw2zpsea0sr9vme0z05x2aeppwsrp95axfr9" timest</w:instrText>
      </w:r>
      <w:r>
        <w:rPr>
          <w:rFonts w:cs="Arial"/>
          <w:sz w:val="20"/>
          <w:szCs w:val="20"/>
        </w:rPr>
        <w:instrText>amp="1772067852"&gt;70&lt;/key&gt;&lt;/foreign-keys&gt;&lt;ref-type name="Journal Article"&gt;17&lt;/ref-type&gt;&lt;contributors&gt;&lt;authors&gt;&lt;author&gt;Rojo, Enrique&lt;/author&gt;&lt;author&gt;Solano, Roberto&lt;/author&gt;&lt;author&gt;Sánchez-Serrano, José J&lt;/author&gt;&lt;/authors&gt;&lt;/contributors&gt;&lt;titles&gt;&lt;title&gt;Inter</w:instrText>
      </w:r>
      <w:r>
        <w:rPr>
          <w:rFonts w:cs="Arial"/>
          <w:sz w:val="20"/>
          <w:szCs w:val="20"/>
        </w:rPr>
        <w:instrText>actions between signaling compounds involved in plant defense&lt;/title&gt;&lt;secondary-title&gt;Journal of Plant Growth Regulation&lt;/secondary-title&gt;&lt;/titles&gt;&lt;periodical&gt;&lt;full-title&gt;Journal of Plant Growth Regulation&lt;/full-title&gt;&lt;/periodical&gt;&lt;pages&gt;82-98&lt;/pages&gt;&lt;volu</w:instrText>
      </w:r>
      <w:r>
        <w:rPr>
          <w:rFonts w:cs="Arial"/>
          <w:sz w:val="20"/>
          <w:szCs w:val="20"/>
        </w:rPr>
        <w:instrText>me&gt;22&lt;/volume&gt;&lt;number&gt;1&lt;/number&gt;&lt;dates&gt;&lt;year&gt;2003&lt;/year&gt;&lt;/dates&gt;&lt;isbn&gt;0721-7595&lt;/isbn&gt;&lt;urls&gt;&lt;/urls&gt;&lt;/record&gt;&lt;/Cite&gt;&lt;/EndNote&gt;</w:instrText>
      </w:r>
      <w:r>
        <w:rPr>
          <w:rFonts w:cs="Arial"/>
          <w:sz w:val="20"/>
          <w:szCs w:val="20"/>
        </w:rPr>
        <w:fldChar w:fldCharType="separate"/>
      </w:r>
      <w:r>
        <w:rPr>
          <w:rFonts w:cs="Arial"/>
          <w:sz w:val="20"/>
          <w:szCs w:val="20"/>
        </w:rPr>
        <w:t>(36)</w:t>
      </w:r>
      <w:r>
        <w:rPr>
          <w:rFonts w:cs="Arial"/>
          <w:sz w:val="20"/>
          <w:szCs w:val="20"/>
        </w:rPr>
        <w:fldChar w:fldCharType="end"/>
      </w:r>
      <w:r>
        <w:rPr>
          <w:rFonts w:cs="Arial"/>
          <w:sz w:val="20"/>
          <w:szCs w:val="20"/>
        </w:rPr>
        <w:t>.</w:t>
      </w:r>
    </w:p>
    <w:p w14:paraId="23FB9AD9" w14:textId="77777777" w:rsidR="00D412BB" w:rsidRDefault="00DA3370">
      <w:pPr>
        <w:spacing w:before="100" w:after="160" w:line="360" w:lineRule="auto"/>
        <w:jc w:val="both"/>
        <w:rPr>
          <w:sz w:val="20"/>
          <w:szCs w:val="20"/>
        </w:rPr>
      </w:pPr>
      <w:r>
        <w:rPr>
          <w:rFonts w:cs="Arial"/>
          <w:sz w:val="20"/>
          <w:szCs w:val="20"/>
        </w:rPr>
        <w:t xml:space="preserve">The </w:t>
      </w:r>
      <w:proofErr w:type="spellStart"/>
      <w:r>
        <w:rPr>
          <w:rFonts w:cs="Arial"/>
          <w:sz w:val="20"/>
          <w:szCs w:val="20"/>
        </w:rPr>
        <w:t>jasmonate</w:t>
      </w:r>
      <w:proofErr w:type="spellEnd"/>
      <w:r>
        <w:rPr>
          <w:rFonts w:cs="Arial"/>
          <w:sz w:val="20"/>
          <w:szCs w:val="20"/>
        </w:rPr>
        <w:t>/ethylene-mediated ISR pathway, preferentially triggered by PGPR including Pseudomonas fluorescens, results i</w:t>
      </w:r>
      <w:r>
        <w:rPr>
          <w:rFonts w:cs="Arial"/>
          <w:sz w:val="20"/>
          <w:szCs w:val="20"/>
        </w:rPr>
        <w:t xml:space="preserve">n priming of defense responses rather than direct activation </w:t>
      </w:r>
      <w:r>
        <w:rPr>
          <w:rFonts w:cs="Arial"/>
          <w:sz w:val="20"/>
          <w:szCs w:val="20"/>
        </w:rPr>
        <w:fldChar w:fldCharType="begin"/>
      </w:r>
      <w:r>
        <w:rPr>
          <w:rFonts w:cs="Arial"/>
          <w:sz w:val="20"/>
          <w:szCs w:val="20"/>
        </w:rPr>
        <w:instrText xml:space="preserve"> ADDIN EN.CITE &lt;EndNote&gt;&lt;Cite&gt;&lt;Author&gt;Gupta&lt;/Author&gt;&lt;Year&gt;2023&lt;/Year&gt;&lt;RecNum&gt;71&lt;/RecNum&gt;&lt;DisplayText&gt;(37)&lt;/DisplayText&gt;&lt;record&gt;&lt;rec-number&gt;71&lt;/rec-number&gt;&lt;foreign-keys&gt;&lt;key app="EN" db-id="dw2zps</w:instrText>
      </w:r>
      <w:r>
        <w:rPr>
          <w:rFonts w:cs="Arial"/>
          <w:sz w:val="20"/>
          <w:szCs w:val="20"/>
        </w:rPr>
        <w:instrText>ea0sr9vme0z05x2aeppwsrp95axfr9" timestamp="1772067890"&gt;71&lt;/key&gt;&lt;/foreign-keys&gt;&lt;ref-type name="Generic"&gt;13&lt;/ref-type&gt;&lt;contributors&gt;&lt;authors&gt;&lt;author&gt;Gupta, Vikas&lt;/author&gt;&lt;author&gt;Singh, Brajeshwar&lt;/author&gt;&lt;author&gt;Rao, Ratnesh Kumar&lt;/author&gt;&lt;/authors&gt;&lt;/contrib</w:instrText>
      </w:r>
      <w:r>
        <w:rPr>
          <w:rFonts w:cs="Arial"/>
          <w:sz w:val="20"/>
          <w:szCs w:val="20"/>
        </w:rPr>
        <w:instrText>utors&gt;&lt;titles&gt;&lt;title&gt;Existing Climate Change Scenario and its Arising Risks&lt;/title&gt;&lt;/titles&gt;&lt;dates&gt;&lt;year&gt;2023&lt;/year&gt;&lt;/dates&gt;&lt;publisher&gt;India&lt;/publisher&gt;&lt;urls&gt;&lt;/urls&gt;&lt;/record&gt;&lt;/Cite&gt;&lt;/EndNote&gt;</w:instrText>
      </w:r>
      <w:r>
        <w:rPr>
          <w:rFonts w:cs="Arial"/>
          <w:sz w:val="20"/>
          <w:szCs w:val="20"/>
        </w:rPr>
        <w:fldChar w:fldCharType="separate"/>
      </w:r>
      <w:r>
        <w:rPr>
          <w:rFonts w:cs="Arial"/>
          <w:sz w:val="20"/>
          <w:szCs w:val="20"/>
        </w:rPr>
        <w:t>(37)</w:t>
      </w:r>
      <w:r>
        <w:rPr>
          <w:rFonts w:cs="Arial"/>
          <w:sz w:val="20"/>
          <w:szCs w:val="20"/>
        </w:rPr>
        <w:fldChar w:fldCharType="end"/>
      </w:r>
      <w:r>
        <w:rPr>
          <w:rFonts w:cs="Arial"/>
          <w:sz w:val="20"/>
          <w:szCs w:val="20"/>
        </w:rPr>
        <w:t>. Primed plants respond faster and more robustly upon path</w:t>
      </w:r>
      <w:r>
        <w:rPr>
          <w:rFonts w:cs="Arial"/>
          <w:sz w:val="20"/>
          <w:szCs w:val="20"/>
        </w:rPr>
        <w:t xml:space="preserve">ogen challenge, effectively reducing the window of opportunity for successful infection. The combination of both SAR and ISR activation through the dual-agent treatment likely explains the enhanced and broad-spectrum protection observed </w:t>
      </w:r>
      <w:r>
        <w:rPr>
          <w:rFonts w:cs="Arial"/>
          <w:sz w:val="20"/>
          <w:szCs w:val="20"/>
        </w:rPr>
        <w:fldChar w:fldCharType="begin"/>
      </w:r>
      <w:r>
        <w:rPr>
          <w:rFonts w:cs="Arial"/>
          <w:sz w:val="20"/>
          <w:szCs w:val="20"/>
        </w:rPr>
        <w:instrText xml:space="preserve"> ADDIN EN.CITE &lt;End</w:instrText>
      </w:r>
      <w:r>
        <w:rPr>
          <w:rFonts w:cs="Arial"/>
          <w:sz w:val="20"/>
          <w:szCs w:val="20"/>
        </w:rPr>
        <w:instrText>Note&gt;&lt;Cite&gt;&lt;Author&gt;Luther&lt;/Author&gt;&lt;Year&gt;2009&lt;/Year&gt;&lt;RecNum&gt;72&lt;/RecNum&gt;&lt;DisplayText&gt;(38)&lt;/DisplayText&gt;&lt;record&gt;&lt;rec-number&gt;72&lt;/rec-number&gt;&lt;foreign-keys&gt;&lt;key app="EN" db-id="dw2zpsea0sr9vme0z05x2aeppwsrp95axfr9" timestamp="1772067922"&gt;72&lt;/key&gt;&lt;/foreign-keys&gt;&lt;</w:instrText>
      </w:r>
      <w:r>
        <w:rPr>
          <w:rFonts w:cs="Arial"/>
          <w:sz w:val="20"/>
          <w:szCs w:val="20"/>
        </w:rPr>
        <w:instrText>ref-type name="Journal Article"&gt;17&lt;/ref-type&gt;&lt;contributors&gt;&lt;authors&gt;&lt;author&gt;Luther, Lori&lt;/author&gt;&lt;author&gt;Lemmens, Trudo&lt;/author&gt;&lt;/authors&gt;&lt;/contributors&gt;&lt;titles&gt;&lt;title&gt;Human Genetic Data Banks: From Consent to Commercialization–An Overview of Current Conce</w:instrText>
      </w:r>
      <w:r>
        <w:rPr>
          <w:rFonts w:cs="Arial"/>
          <w:sz w:val="20"/>
          <w:szCs w:val="20"/>
        </w:rPr>
        <w:instrText>rns and Conundrums&lt;/title&gt;&lt;secondary-title&gt;BIOTECHNOLOGY-Volume XII: Fundamentals in Biotechnology&lt;/secondary-title&gt;&lt;/titles&gt;&lt;periodical&gt;&lt;full-title&gt;BIOTECHNOLOGY-Volume XII: Fundamentals in Biotechnology&lt;/full-title&gt;&lt;/periodical&gt;&lt;pages&gt;198&lt;/pages&gt;&lt;volume&gt;</w:instrText>
      </w:r>
      <w:r>
        <w:rPr>
          <w:rFonts w:cs="Arial"/>
          <w:sz w:val="20"/>
          <w:szCs w:val="20"/>
        </w:rPr>
        <w:instrText>11&lt;/volume&gt;&lt;dates&gt;&lt;year&gt;2009&lt;/year&gt;&lt;/dates&gt;&lt;isbn&gt;1848262663&lt;/isbn&gt;&lt;urls&gt;&lt;/urls&gt;&lt;/record&gt;&lt;/Cite&gt;&lt;/EndNote&gt;</w:instrText>
      </w:r>
      <w:r>
        <w:rPr>
          <w:rFonts w:cs="Arial"/>
          <w:sz w:val="20"/>
          <w:szCs w:val="20"/>
        </w:rPr>
        <w:fldChar w:fldCharType="separate"/>
      </w:r>
      <w:r>
        <w:rPr>
          <w:rFonts w:cs="Arial"/>
          <w:sz w:val="20"/>
          <w:szCs w:val="20"/>
        </w:rPr>
        <w:t>(38)</w:t>
      </w:r>
      <w:r>
        <w:rPr>
          <w:rFonts w:cs="Arial"/>
          <w:sz w:val="20"/>
          <w:szCs w:val="20"/>
        </w:rPr>
        <w:fldChar w:fldCharType="end"/>
      </w:r>
      <w:r>
        <w:rPr>
          <w:rFonts w:cs="Arial"/>
          <w:sz w:val="20"/>
          <w:szCs w:val="20"/>
        </w:rPr>
        <w:t>.</w:t>
      </w:r>
    </w:p>
    <w:p w14:paraId="19AC1802" w14:textId="77777777" w:rsidR="00D412BB" w:rsidRDefault="00DA3370">
      <w:pPr>
        <w:pStyle w:val="Heading1"/>
        <w:rPr>
          <w:color w:val="000000" w:themeColor="text1"/>
          <w:sz w:val="22"/>
          <w:szCs w:val="22"/>
        </w:rPr>
      </w:pPr>
      <w:r>
        <w:rPr>
          <w:color w:val="000000" w:themeColor="text1"/>
          <w:sz w:val="22"/>
          <w:szCs w:val="22"/>
        </w:rPr>
        <w:t>7. Discussion</w:t>
      </w:r>
    </w:p>
    <w:p w14:paraId="7A21D45F" w14:textId="77777777" w:rsidR="00D412BB" w:rsidRDefault="00DA3370">
      <w:pPr>
        <w:pStyle w:val="Heading2"/>
        <w:rPr>
          <w:color w:val="000000" w:themeColor="text1"/>
          <w:sz w:val="22"/>
          <w:szCs w:val="22"/>
        </w:rPr>
      </w:pPr>
      <w:r>
        <w:rPr>
          <w:color w:val="000000" w:themeColor="text1"/>
          <w:sz w:val="22"/>
          <w:szCs w:val="22"/>
        </w:rPr>
        <w:t>7.1 Significance of Biocontrol Efficacy</w:t>
      </w:r>
    </w:p>
    <w:p w14:paraId="7EDD43EF" w14:textId="77777777" w:rsidR="00D412BB" w:rsidRDefault="00DA3370">
      <w:pPr>
        <w:spacing w:before="100" w:after="160" w:line="360" w:lineRule="auto"/>
        <w:jc w:val="both"/>
        <w:rPr>
          <w:sz w:val="20"/>
          <w:szCs w:val="20"/>
        </w:rPr>
      </w:pPr>
      <w:r>
        <w:rPr>
          <w:rFonts w:cs="Arial"/>
          <w:sz w:val="20"/>
          <w:szCs w:val="20"/>
        </w:rPr>
        <w:t xml:space="preserve">The present investigation provides compelling evidence for the effectiveness of </w:t>
      </w:r>
      <w:r>
        <w:rPr>
          <w:rFonts w:cs="Arial"/>
          <w:sz w:val="20"/>
          <w:szCs w:val="20"/>
        </w:rPr>
        <w:t xml:space="preserve">biocontrol agents in managing white rust of mustard under central Indian field conditions. The combined T. </w:t>
      </w:r>
      <w:proofErr w:type="spellStart"/>
      <w:r>
        <w:rPr>
          <w:rFonts w:cs="Arial"/>
          <w:sz w:val="20"/>
          <w:szCs w:val="20"/>
        </w:rPr>
        <w:t>viride</w:t>
      </w:r>
      <w:proofErr w:type="spellEnd"/>
      <w:r>
        <w:rPr>
          <w:rFonts w:cs="Arial"/>
          <w:sz w:val="20"/>
          <w:szCs w:val="20"/>
        </w:rPr>
        <w:t xml:space="preserve"> + P. fluorescens treatment achieved 52.9% disease reduction over control, which compares favorably with results reported in the literature for</w:t>
      </w:r>
      <w:r>
        <w:rPr>
          <w:rFonts w:cs="Arial"/>
          <w:sz w:val="20"/>
          <w:szCs w:val="20"/>
        </w:rPr>
        <w:t xml:space="preserve"> biocontrol-based management of oomycete diseases in Brassica crops. This level of efficacy, approaching but not equaling the fungicide standard (58.7% reduction), is noteworthy given the complex and challenging nature of biological control against obligat</w:t>
      </w:r>
      <w:r>
        <w:rPr>
          <w:rFonts w:cs="Arial"/>
          <w:sz w:val="20"/>
          <w:szCs w:val="20"/>
        </w:rPr>
        <w:t xml:space="preserve">e oomycete pathogens like </w:t>
      </w:r>
      <w:proofErr w:type="spellStart"/>
      <w:r>
        <w:rPr>
          <w:rFonts w:cs="Arial"/>
          <w:sz w:val="20"/>
          <w:szCs w:val="20"/>
        </w:rPr>
        <w:t>Albugo</w:t>
      </w:r>
      <w:proofErr w:type="spellEnd"/>
      <w:r>
        <w:rPr>
          <w:rFonts w:cs="Arial"/>
          <w:sz w:val="20"/>
          <w:szCs w:val="20"/>
        </w:rPr>
        <w:t xml:space="preserve"> candida.</w:t>
      </w:r>
    </w:p>
    <w:p w14:paraId="098418BF" w14:textId="77777777" w:rsidR="00D412BB" w:rsidRDefault="00DA3370">
      <w:pPr>
        <w:spacing w:before="100" w:after="160" w:line="360" w:lineRule="auto"/>
        <w:jc w:val="both"/>
        <w:rPr>
          <w:sz w:val="20"/>
          <w:szCs w:val="20"/>
        </w:rPr>
      </w:pPr>
      <w:r>
        <w:rPr>
          <w:rFonts w:cs="Arial"/>
          <w:sz w:val="20"/>
          <w:szCs w:val="20"/>
        </w:rPr>
        <w:t xml:space="preserve">The high disease severity recorded in untreated control plots (PDI 56.7%) confirms the inherent susceptibility of the </w:t>
      </w:r>
      <w:proofErr w:type="spellStart"/>
      <w:r>
        <w:rPr>
          <w:rFonts w:cs="Arial"/>
          <w:sz w:val="20"/>
          <w:szCs w:val="20"/>
        </w:rPr>
        <w:t>Varuna</w:t>
      </w:r>
      <w:proofErr w:type="spellEnd"/>
      <w:r>
        <w:rPr>
          <w:rFonts w:cs="Arial"/>
          <w:sz w:val="20"/>
          <w:szCs w:val="20"/>
        </w:rPr>
        <w:t xml:space="preserve"> variety to </w:t>
      </w:r>
      <w:proofErr w:type="spellStart"/>
      <w:r>
        <w:rPr>
          <w:rFonts w:cs="Arial"/>
          <w:sz w:val="20"/>
          <w:szCs w:val="20"/>
        </w:rPr>
        <w:t>Albugo</w:t>
      </w:r>
      <w:proofErr w:type="spellEnd"/>
      <w:r>
        <w:rPr>
          <w:rFonts w:cs="Arial"/>
          <w:sz w:val="20"/>
          <w:szCs w:val="20"/>
        </w:rPr>
        <w:t xml:space="preserve"> candida under the cool, humid Rabi conditions prevailing in Gwalior dur</w:t>
      </w:r>
      <w:r>
        <w:rPr>
          <w:rFonts w:cs="Arial"/>
          <w:sz w:val="20"/>
          <w:szCs w:val="20"/>
        </w:rPr>
        <w:t>ing 2024–25. This high disease pressure in control plots provided an excellent platform for differentiating treatment efficacy and confirmed the agronomic importance of white rust management in this region.</w:t>
      </w:r>
    </w:p>
    <w:p w14:paraId="2BB600AC" w14:textId="77777777" w:rsidR="00D412BB" w:rsidRDefault="00DA3370">
      <w:pPr>
        <w:pStyle w:val="Heading2"/>
        <w:rPr>
          <w:color w:val="000000" w:themeColor="text1"/>
          <w:sz w:val="22"/>
          <w:szCs w:val="22"/>
        </w:rPr>
      </w:pPr>
      <w:r>
        <w:rPr>
          <w:color w:val="000000" w:themeColor="text1"/>
          <w:sz w:val="22"/>
          <w:szCs w:val="22"/>
        </w:rPr>
        <w:t>7.2 Practical Implications for Farmers</w:t>
      </w:r>
    </w:p>
    <w:p w14:paraId="0044A38D" w14:textId="77777777" w:rsidR="00D412BB" w:rsidRDefault="00DA3370">
      <w:pPr>
        <w:spacing w:before="100" w:after="160" w:line="360" w:lineRule="auto"/>
        <w:jc w:val="both"/>
        <w:rPr>
          <w:sz w:val="20"/>
          <w:szCs w:val="20"/>
        </w:rPr>
      </w:pPr>
      <w:r>
        <w:rPr>
          <w:rFonts w:cs="Arial"/>
          <w:sz w:val="20"/>
          <w:szCs w:val="20"/>
        </w:rPr>
        <w:t>From a pra</w:t>
      </w:r>
      <w:r>
        <w:rPr>
          <w:rFonts w:cs="Arial"/>
          <w:sz w:val="20"/>
          <w:szCs w:val="20"/>
        </w:rPr>
        <w:t>ctical standpoint, the combined biocontrol treatment achieved a seed yield advantage of 54.9% over the untreated control (560 kg ha⁻¹ absolute increase), which at prevailing mustard prices of approximately INR 5,000–5,500 per quintal, translates to an addi</w:t>
      </w:r>
      <w:r>
        <w:rPr>
          <w:rFonts w:cs="Arial"/>
          <w:sz w:val="20"/>
          <w:szCs w:val="20"/>
        </w:rPr>
        <w:t xml:space="preserve">tional income of INR 28,000–30,800 ha⁻¹. Given the relatively low cost of biocontrol agent formulations compared to chemical fungicides, and the absence of environmental and residue concerns, the benefit-cost ratio of biocontrol-based management is highly </w:t>
      </w:r>
      <w:r>
        <w:rPr>
          <w:rFonts w:cs="Arial"/>
          <w:sz w:val="20"/>
          <w:szCs w:val="20"/>
        </w:rPr>
        <w:t>favorable for smallholder farmers who form the backbone of mustard cultivation in India.</w:t>
      </w:r>
    </w:p>
    <w:p w14:paraId="6442FC43" w14:textId="77777777" w:rsidR="00D412BB" w:rsidRDefault="00DA3370">
      <w:pPr>
        <w:spacing w:before="100" w:after="160" w:line="360" w:lineRule="auto"/>
        <w:jc w:val="both"/>
        <w:rPr>
          <w:sz w:val="20"/>
          <w:szCs w:val="20"/>
        </w:rPr>
      </w:pPr>
      <w:r>
        <w:rPr>
          <w:rFonts w:cs="Arial"/>
          <w:sz w:val="20"/>
          <w:szCs w:val="20"/>
        </w:rPr>
        <w:lastRenderedPageBreak/>
        <w:t>Furthermore, the demonstrated efficacy of salicylic acid (37.4% disease reduction) represents an additional economically viable option, particularly for resource-limit</w:t>
      </w:r>
      <w:r>
        <w:rPr>
          <w:rFonts w:cs="Arial"/>
          <w:sz w:val="20"/>
          <w:szCs w:val="20"/>
        </w:rPr>
        <w:t>ed farmers seeking low-cost, readily available resistance inducers. Salicylic acid is inexpensive, environmentally safe, and its use does not trigger resistance development in the pathogen, unlike conventional fungicides.</w:t>
      </w:r>
    </w:p>
    <w:p w14:paraId="78D47E57" w14:textId="77777777" w:rsidR="00D412BB" w:rsidRDefault="00DA3370">
      <w:pPr>
        <w:pStyle w:val="Heading2"/>
        <w:rPr>
          <w:color w:val="000000" w:themeColor="text1"/>
          <w:sz w:val="22"/>
          <w:szCs w:val="22"/>
        </w:rPr>
      </w:pPr>
      <w:r>
        <w:rPr>
          <w:color w:val="000000" w:themeColor="text1"/>
          <w:sz w:val="22"/>
          <w:szCs w:val="22"/>
        </w:rPr>
        <w:t>7.3 Comparison with Published Lite</w:t>
      </w:r>
      <w:r>
        <w:rPr>
          <w:color w:val="000000" w:themeColor="text1"/>
          <w:sz w:val="22"/>
          <w:szCs w:val="22"/>
        </w:rPr>
        <w:t>rature</w:t>
      </w:r>
    </w:p>
    <w:p w14:paraId="0AFFBC54" w14:textId="77777777" w:rsidR="00D412BB" w:rsidRDefault="00DA3370">
      <w:pPr>
        <w:spacing w:before="100" w:after="160" w:line="360" w:lineRule="auto"/>
        <w:jc w:val="both"/>
        <w:rPr>
          <w:sz w:val="20"/>
          <w:szCs w:val="20"/>
        </w:rPr>
      </w:pPr>
      <w:r>
        <w:rPr>
          <w:rFonts w:cs="Arial"/>
          <w:sz w:val="20"/>
          <w:szCs w:val="20"/>
        </w:rPr>
        <w:t xml:space="preserve">The results of the present study are broadly consistent with findings reported by previous researchers working on biological control of Brassica diseases. The efficacy levels of </w:t>
      </w:r>
      <w:r>
        <w:rPr>
          <w:rFonts w:cs="Arial"/>
          <w:i/>
          <w:iCs/>
          <w:sz w:val="20"/>
          <w:szCs w:val="20"/>
        </w:rPr>
        <w:t xml:space="preserve">Trichoderma </w:t>
      </w:r>
      <w:r>
        <w:rPr>
          <w:rFonts w:cs="Arial"/>
          <w:sz w:val="20"/>
          <w:szCs w:val="20"/>
        </w:rPr>
        <w:t xml:space="preserve">and </w:t>
      </w:r>
      <w:r>
        <w:rPr>
          <w:rFonts w:cs="Arial"/>
          <w:i/>
          <w:iCs/>
          <w:sz w:val="20"/>
          <w:szCs w:val="20"/>
        </w:rPr>
        <w:t>Pseudomonas</w:t>
      </w:r>
      <w:r>
        <w:rPr>
          <w:rFonts w:cs="Arial"/>
          <w:sz w:val="20"/>
          <w:szCs w:val="20"/>
        </w:rPr>
        <w:t>-based treatments observed in the present st</w:t>
      </w:r>
      <w:r>
        <w:rPr>
          <w:rFonts w:cs="Arial"/>
          <w:sz w:val="20"/>
          <w:szCs w:val="20"/>
        </w:rPr>
        <w:t>udy fall within the range reported in published investigations from other mustard-growing regions of India. However, direct comparison is complicated by differences in experimental conditions, pathogen virulence, host variety susceptibility, inoculation me</w:t>
      </w:r>
      <w:r>
        <w:rPr>
          <w:rFonts w:cs="Arial"/>
          <w:sz w:val="20"/>
          <w:szCs w:val="20"/>
        </w:rPr>
        <w:t>thods (natural vs. artificial), and environmental parameters across studies and locations.</w:t>
      </w:r>
    </w:p>
    <w:p w14:paraId="0FE8AB93" w14:textId="77777777" w:rsidR="00D412BB" w:rsidRDefault="00DA3370">
      <w:pPr>
        <w:spacing w:before="100" w:after="160" w:line="360" w:lineRule="auto"/>
        <w:jc w:val="both"/>
        <w:rPr>
          <w:sz w:val="20"/>
          <w:szCs w:val="20"/>
        </w:rPr>
      </w:pPr>
      <w:r>
        <w:rPr>
          <w:rFonts w:cs="Arial"/>
          <w:sz w:val="20"/>
          <w:szCs w:val="20"/>
        </w:rPr>
        <w:t>The regional analysis results are congruent with published epidemiological data confirming higher disease pressure in eastern and north-eastern India compared to nor</w:t>
      </w:r>
      <w:r>
        <w:rPr>
          <w:rFonts w:cs="Arial"/>
          <w:sz w:val="20"/>
          <w:szCs w:val="20"/>
        </w:rPr>
        <w:t>th-western and central India. This finding has important implications for targeting biocontrol-based management interventions — regions with higher disease pressure may benefit even more substantially from effective biocontrol strategies, particularly as t</w:t>
      </w:r>
      <w:r>
        <w:rPr>
          <w:rFonts w:cs="Arial"/>
          <w:sz w:val="20"/>
          <w:szCs w:val="20"/>
        </w:rPr>
        <w:t>hey often also have limited access to and resources for expensive chemical fungicides.</w:t>
      </w:r>
    </w:p>
    <w:p w14:paraId="37CDE7F8" w14:textId="77777777" w:rsidR="00D412BB" w:rsidRDefault="00DA3370">
      <w:pPr>
        <w:pStyle w:val="Heading1"/>
        <w:rPr>
          <w:color w:val="000000" w:themeColor="text1"/>
          <w:sz w:val="22"/>
          <w:szCs w:val="22"/>
        </w:rPr>
      </w:pPr>
      <w:r>
        <w:rPr>
          <w:color w:val="000000" w:themeColor="text1"/>
          <w:sz w:val="22"/>
          <w:szCs w:val="22"/>
        </w:rPr>
        <w:t>8. Conclusion</w:t>
      </w:r>
    </w:p>
    <w:p w14:paraId="7148F4A0" w14:textId="77777777" w:rsidR="00D412BB" w:rsidRDefault="00DA3370">
      <w:pPr>
        <w:spacing w:before="100" w:after="160" w:line="360" w:lineRule="auto"/>
        <w:jc w:val="both"/>
        <w:rPr>
          <w:sz w:val="20"/>
          <w:szCs w:val="20"/>
        </w:rPr>
      </w:pPr>
      <w:r>
        <w:rPr>
          <w:rFonts w:cs="Arial"/>
          <w:sz w:val="20"/>
          <w:szCs w:val="20"/>
        </w:rPr>
        <w:t xml:space="preserve">This investigation conclusively demonstrates that biocontrol agents, particularly the synergistic combination of </w:t>
      </w:r>
      <w:r>
        <w:rPr>
          <w:rFonts w:cs="Arial"/>
          <w:i/>
          <w:iCs/>
          <w:sz w:val="20"/>
          <w:szCs w:val="20"/>
        </w:rPr>
        <w:t xml:space="preserve">Trichoderma </w:t>
      </w:r>
      <w:proofErr w:type="spellStart"/>
      <w:r>
        <w:rPr>
          <w:rFonts w:cs="Arial"/>
          <w:i/>
          <w:iCs/>
          <w:sz w:val="20"/>
          <w:szCs w:val="20"/>
        </w:rPr>
        <w:t>viride</w:t>
      </w:r>
      <w:proofErr w:type="spellEnd"/>
      <w:r>
        <w:rPr>
          <w:rFonts w:cs="Arial"/>
          <w:sz w:val="20"/>
          <w:szCs w:val="20"/>
        </w:rPr>
        <w:t xml:space="preserve"> and </w:t>
      </w:r>
      <w:r>
        <w:rPr>
          <w:rFonts w:cs="Arial"/>
          <w:i/>
          <w:iCs/>
          <w:sz w:val="20"/>
          <w:szCs w:val="20"/>
        </w:rPr>
        <w:t>Pseudomonas fluores</w:t>
      </w:r>
      <w:r>
        <w:rPr>
          <w:rFonts w:cs="Arial"/>
          <w:i/>
          <w:iCs/>
          <w:sz w:val="20"/>
          <w:szCs w:val="20"/>
        </w:rPr>
        <w:t>cens</w:t>
      </w:r>
      <w:r>
        <w:rPr>
          <w:rFonts w:cs="Arial"/>
          <w:sz w:val="20"/>
          <w:szCs w:val="20"/>
        </w:rPr>
        <w:t>, offer an effective, economically viable, and environmentally sustainable alternative for the management of white rust in Indian mustard. The combined treatment achieved 52.9% disease reduction over the untreated control and a remarkable 54.9% improve</w:t>
      </w:r>
      <w:r>
        <w:rPr>
          <w:rFonts w:cs="Arial"/>
          <w:sz w:val="20"/>
          <w:szCs w:val="20"/>
        </w:rPr>
        <w:t>ment in seed yield, establishing its potential as a cornerstone of integrated disease management programs for mustard.</w:t>
      </w:r>
    </w:p>
    <w:p w14:paraId="16DD8EAC" w14:textId="77777777" w:rsidR="00D412BB" w:rsidRDefault="00DA3370">
      <w:pPr>
        <w:spacing w:before="100" w:after="160" w:line="360" w:lineRule="auto"/>
        <w:jc w:val="both"/>
        <w:rPr>
          <w:sz w:val="20"/>
          <w:szCs w:val="20"/>
        </w:rPr>
      </w:pPr>
      <w:r>
        <w:rPr>
          <w:rFonts w:cs="Arial"/>
          <w:sz w:val="20"/>
          <w:szCs w:val="20"/>
        </w:rPr>
        <w:t xml:space="preserve">Salicylic acid, as a resistance-inducing botanical, demonstrated encouraging efficacy (37.4% disease reduction) and represents a viable, </w:t>
      </w:r>
      <w:r>
        <w:rPr>
          <w:rFonts w:cs="Arial"/>
          <w:sz w:val="20"/>
          <w:szCs w:val="20"/>
        </w:rPr>
        <w:t xml:space="preserve">low-cost component for inclusion in IDM strategies, particularly for resource-constrained farming systems. The regional analysis confirms the heterogeneous distribution of white rust pressure across Indian </w:t>
      </w:r>
      <w:proofErr w:type="spellStart"/>
      <w:r>
        <w:rPr>
          <w:rFonts w:cs="Arial"/>
          <w:sz w:val="20"/>
          <w:szCs w:val="20"/>
        </w:rPr>
        <w:t>agro</w:t>
      </w:r>
      <w:proofErr w:type="spellEnd"/>
      <w:r>
        <w:rPr>
          <w:rFonts w:cs="Arial"/>
          <w:sz w:val="20"/>
          <w:szCs w:val="20"/>
        </w:rPr>
        <w:t>-climatic zones, with eastern and north-easter</w:t>
      </w:r>
      <w:r>
        <w:rPr>
          <w:rFonts w:cs="Arial"/>
          <w:sz w:val="20"/>
          <w:szCs w:val="20"/>
        </w:rPr>
        <w:t>n regions being most vulnerable and, therefore, most likely to benefit from effective management interventions.</w:t>
      </w:r>
    </w:p>
    <w:p w14:paraId="4CB7095E" w14:textId="77777777" w:rsidR="00D412BB" w:rsidRDefault="00DA3370">
      <w:pPr>
        <w:spacing w:before="100" w:after="160" w:line="360" w:lineRule="auto"/>
        <w:jc w:val="both"/>
        <w:rPr>
          <w:sz w:val="20"/>
          <w:szCs w:val="20"/>
        </w:rPr>
      </w:pPr>
      <w:r>
        <w:rPr>
          <w:rFonts w:cs="Arial"/>
          <w:sz w:val="20"/>
          <w:szCs w:val="20"/>
        </w:rPr>
        <w:t>The adoption of biocontrol-based management strategies can significantly reduce dependence on chemical fungicides, thereby minimizing risks of p</w:t>
      </w:r>
      <w:r>
        <w:rPr>
          <w:rFonts w:cs="Arial"/>
          <w:sz w:val="20"/>
          <w:szCs w:val="20"/>
        </w:rPr>
        <w:t>esticide resistance development, residue accumulation in food products, and adverse impacts on beneficial soil microbial communities and ecosystem services. These benefits align closely with national and international sustainable agriculture frameworks and</w:t>
      </w:r>
      <w:r>
        <w:rPr>
          <w:rFonts w:cs="Arial"/>
          <w:sz w:val="20"/>
          <w:szCs w:val="20"/>
        </w:rPr>
        <w:t xml:space="preserve"> the vision of a chemically safe, environmentally resilient oilseed production system in India.</w:t>
      </w:r>
    </w:p>
    <w:p w14:paraId="24EF2D6C" w14:textId="77777777" w:rsidR="00D412BB" w:rsidRDefault="00DA3370">
      <w:pPr>
        <w:spacing w:before="100" w:after="160" w:line="360" w:lineRule="auto"/>
        <w:jc w:val="both"/>
        <w:rPr>
          <w:rFonts w:cs="Arial"/>
          <w:sz w:val="20"/>
          <w:szCs w:val="20"/>
        </w:rPr>
      </w:pPr>
      <w:r>
        <w:rPr>
          <w:rFonts w:cs="Arial"/>
          <w:sz w:val="20"/>
          <w:szCs w:val="20"/>
        </w:rPr>
        <w:lastRenderedPageBreak/>
        <w:t>To realize the full potential of biocontrol-based IDM for mustard, coordinated efforts are required across research institutions, extension services, seed and b</w:t>
      </w:r>
      <w:r>
        <w:rPr>
          <w:rFonts w:cs="Arial"/>
          <w:sz w:val="20"/>
          <w:szCs w:val="20"/>
        </w:rPr>
        <w:t>iocontrol industry stakeholders, and policy frameworks to facilitate large-scale adoption. Farmer awareness programs, subsidized distribution of quality biocontrol formulations, and demonstration trials at the village level would be critical enabling facto</w:t>
      </w:r>
      <w:r>
        <w:rPr>
          <w:rFonts w:cs="Arial"/>
          <w:sz w:val="20"/>
          <w:szCs w:val="20"/>
        </w:rPr>
        <w:t>rs for widespread adoption of the evidence-based strategies documented in this study.</w:t>
      </w:r>
    </w:p>
    <w:p w14:paraId="3D0D7706" w14:textId="77777777" w:rsidR="00D4316E" w:rsidRDefault="00D4316E" w:rsidP="00D4316E">
      <w:pPr>
        <w:pStyle w:val="Heading2"/>
        <w:rPr>
          <w:color w:val="000000" w:themeColor="text1"/>
          <w:sz w:val="22"/>
          <w:szCs w:val="22"/>
        </w:rPr>
      </w:pPr>
      <w:r>
        <w:rPr>
          <w:color w:val="000000" w:themeColor="text1"/>
          <w:sz w:val="22"/>
          <w:szCs w:val="22"/>
        </w:rPr>
        <w:t>7.4 Limitations and Future Research Directions</w:t>
      </w:r>
    </w:p>
    <w:p w14:paraId="489BFC84" w14:textId="77777777" w:rsidR="00D4316E" w:rsidRDefault="00D4316E" w:rsidP="00D4316E">
      <w:pPr>
        <w:spacing w:before="100" w:after="160" w:line="360" w:lineRule="auto"/>
        <w:jc w:val="both"/>
        <w:rPr>
          <w:sz w:val="20"/>
          <w:szCs w:val="20"/>
        </w:rPr>
      </w:pPr>
      <w:r>
        <w:rPr>
          <w:rFonts w:cs="Arial"/>
          <w:sz w:val="20"/>
          <w:szCs w:val="20"/>
        </w:rPr>
        <w:t xml:space="preserve">The present study, while comprehensive, has several limitations that should be acknowledged. The experiment was conducted at a single location over a single season, which limits the generalizability of the results across diverse environmental conditions. Multi-location and multi-year trials across different </w:t>
      </w:r>
      <w:proofErr w:type="spellStart"/>
      <w:r>
        <w:rPr>
          <w:rFonts w:cs="Arial"/>
          <w:sz w:val="20"/>
          <w:szCs w:val="20"/>
        </w:rPr>
        <w:t>agro</w:t>
      </w:r>
      <w:proofErr w:type="spellEnd"/>
      <w:r>
        <w:rPr>
          <w:rFonts w:cs="Arial"/>
          <w:sz w:val="20"/>
          <w:szCs w:val="20"/>
        </w:rPr>
        <w:t>-climatic zones would be necessary to establish the stability and broad applicability of the observed treatment effects.</w:t>
      </w:r>
    </w:p>
    <w:p w14:paraId="23333DE7" w14:textId="77777777" w:rsidR="00D4316E" w:rsidRDefault="00D4316E" w:rsidP="00D4316E">
      <w:pPr>
        <w:spacing w:before="100" w:after="160" w:line="360" w:lineRule="auto"/>
        <w:jc w:val="both"/>
      </w:pPr>
      <w:r>
        <w:rPr>
          <w:rFonts w:cs="Arial"/>
          <w:sz w:val="20"/>
          <w:szCs w:val="20"/>
        </w:rPr>
        <w:t xml:space="preserve">Future research should focus on: (1) optimizing application protocols (timing, frequency, and combination ratios) for maximum biocontrol efficacy; (2) evaluating the performance of next-generation biocontrol agents including </w:t>
      </w:r>
      <w:r>
        <w:rPr>
          <w:rFonts w:cs="Arial"/>
          <w:i/>
          <w:iCs/>
          <w:sz w:val="20"/>
          <w:szCs w:val="20"/>
        </w:rPr>
        <w:t xml:space="preserve">Bacillus subtilis, Beauveria </w:t>
      </w:r>
      <w:proofErr w:type="spellStart"/>
      <w:r>
        <w:rPr>
          <w:rFonts w:cs="Arial"/>
          <w:i/>
          <w:iCs/>
          <w:sz w:val="20"/>
          <w:szCs w:val="20"/>
        </w:rPr>
        <w:t>bassiana</w:t>
      </w:r>
      <w:proofErr w:type="spellEnd"/>
      <w:r>
        <w:rPr>
          <w:rFonts w:cs="Arial"/>
          <w:i/>
          <w:iCs/>
          <w:sz w:val="20"/>
          <w:szCs w:val="20"/>
        </w:rPr>
        <w:t xml:space="preserve">, </w:t>
      </w:r>
      <w:r>
        <w:rPr>
          <w:rFonts w:cs="Arial"/>
          <w:sz w:val="20"/>
          <w:szCs w:val="20"/>
        </w:rPr>
        <w:t xml:space="preserve">and engineered </w:t>
      </w:r>
      <w:r>
        <w:rPr>
          <w:rFonts w:cs="Arial"/>
          <w:i/>
          <w:iCs/>
          <w:sz w:val="20"/>
          <w:szCs w:val="20"/>
        </w:rPr>
        <w:t>Trichoderma</w:t>
      </w:r>
      <w:r>
        <w:rPr>
          <w:rFonts w:cs="Arial"/>
          <w:sz w:val="20"/>
          <w:szCs w:val="20"/>
        </w:rPr>
        <w:t xml:space="preserve"> strains; (3) investigating the shelf life and formulation stability of combined biocontrol products under field storage conditions; (4) conducting molecular studies to elucidate the defense genes activated by biocontrol treatments in mustard; and (5) integrating biocontrol agents with cultural management practices such as crop rotation, optimized sowing dates, and resistant variety selection for a truly integrated management approach.</w:t>
      </w:r>
    </w:p>
    <w:p w14:paraId="6396EA20" w14:textId="77777777" w:rsidR="00D4316E" w:rsidRDefault="00D4316E">
      <w:pPr>
        <w:spacing w:before="100" w:after="160" w:line="360" w:lineRule="auto"/>
        <w:jc w:val="both"/>
        <w:rPr>
          <w:sz w:val="20"/>
          <w:szCs w:val="20"/>
        </w:rPr>
      </w:pPr>
    </w:p>
    <w:p w14:paraId="67BF298F" w14:textId="77777777" w:rsidR="00D412BB" w:rsidRDefault="00DA3370">
      <w:pPr>
        <w:pStyle w:val="Heading1"/>
        <w:rPr>
          <w:color w:val="000000" w:themeColor="text1"/>
          <w:sz w:val="22"/>
          <w:szCs w:val="22"/>
        </w:rPr>
      </w:pPr>
      <w:r>
        <w:rPr>
          <w:color w:val="000000" w:themeColor="text1"/>
          <w:sz w:val="22"/>
          <w:szCs w:val="22"/>
        </w:rPr>
        <w:t>9. Declarations and Compliance</w:t>
      </w:r>
    </w:p>
    <w:p w14:paraId="6A5769AD" w14:textId="77777777" w:rsidR="00D412BB" w:rsidRDefault="00DA3370">
      <w:pPr>
        <w:spacing w:before="100" w:after="160"/>
        <w:jc w:val="both"/>
        <w:rPr>
          <w:sz w:val="20"/>
          <w:szCs w:val="20"/>
        </w:rPr>
      </w:pPr>
      <w:r>
        <w:rPr>
          <w:rFonts w:cs="Arial"/>
          <w:b/>
          <w:bCs/>
          <w:sz w:val="20"/>
          <w:szCs w:val="20"/>
        </w:rPr>
        <w:t xml:space="preserve">Conflict of Interest: </w:t>
      </w:r>
      <w:r>
        <w:rPr>
          <w:rFonts w:cs="Arial"/>
          <w:sz w:val="20"/>
          <w:szCs w:val="20"/>
        </w:rPr>
        <w:t>The authors declare no conflict of interest.</w:t>
      </w:r>
    </w:p>
    <w:p w14:paraId="367DF55A" w14:textId="77777777" w:rsidR="00D412BB" w:rsidRDefault="00DA3370">
      <w:pPr>
        <w:spacing w:before="100" w:after="160"/>
        <w:jc w:val="both"/>
        <w:rPr>
          <w:sz w:val="20"/>
          <w:szCs w:val="20"/>
        </w:rPr>
      </w:pPr>
      <w:r>
        <w:rPr>
          <w:rFonts w:cs="Arial"/>
          <w:b/>
          <w:bCs/>
          <w:sz w:val="20"/>
          <w:szCs w:val="20"/>
        </w:rPr>
        <w:t xml:space="preserve">Data Availability: </w:t>
      </w:r>
      <w:r>
        <w:rPr>
          <w:rFonts w:cs="Arial"/>
          <w:sz w:val="20"/>
          <w:szCs w:val="20"/>
        </w:rPr>
        <w:t>The raw data supporting the con</w:t>
      </w:r>
      <w:r>
        <w:rPr>
          <w:rFonts w:cs="Arial"/>
          <w:sz w:val="20"/>
          <w:szCs w:val="20"/>
        </w:rPr>
        <w:t>clusions of this article are available from the corresponding author upon reasonable request.</w:t>
      </w:r>
    </w:p>
    <w:p w14:paraId="193A5FEE" w14:textId="77777777" w:rsidR="00D412BB" w:rsidRDefault="00DA3370">
      <w:pPr>
        <w:spacing w:before="100" w:after="160"/>
        <w:jc w:val="both"/>
        <w:rPr>
          <w:rFonts w:cs="Arial"/>
          <w:sz w:val="20"/>
          <w:szCs w:val="20"/>
        </w:rPr>
      </w:pPr>
      <w:r>
        <w:rPr>
          <w:rFonts w:cs="Arial"/>
          <w:b/>
          <w:bCs/>
          <w:sz w:val="20"/>
          <w:szCs w:val="20"/>
        </w:rPr>
        <w:t xml:space="preserve">Ethical Compliance: </w:t>
      </w:r>
      <w:r>
        <w:rPr>
          <w:rFonts w:cs="Arial"/>
          <w:sz w:val="20"/>
          <w:szCs w:val="20"/>
        </w:rPr>
        <w:t>All field experiments were conducted in accordance with institutional guidelines for agricultural research. No experiments involving human sub</w:t>
      </w:r>
      <w:r>
        <w:rPr>
          <w:rFonts w:cs="Arial"/>
          <w:sz w:val="20"/>
          <w:szCs w:val="20"/>
        </w:rPr>
        <w:t>jects or vertebrate animals were performed.</w:t>
      </w:r>
    </w:p>
    <w:p w14:paraId="2E39FC8D" w14:textId="77777777" w:rsidR="00D4316E" w:rsidRDefault="00D4316E">
      <w:pPr>
        <w:spacing w:before="100" w:after="160"/>
        <w:jc w:val="both"/>
        <w:rPr>
          <w:rFonts w:cs="Arial"/>
          <w:sz w:val="20"/>
          <w:szCs w:val="20"/>
        </w:rPr>
      </w:pPr>
    </w:p>
    <w:p w14:paraId="5B102A9E" w14:textId="77777777" w:rsidR="00D4316E" w:rsidRPr="00D4316E" w:rsidRDefault="00D4316E" w:rsidP="00D4316E">
      <w:pPr>
        <w:spacing w:before="100" w:after="160"/>
        <w:jc w:val="both"/>
        <w:rPr>
          <w:sz w:val="20"/>
          <w:szCs w:val="20"/>
        </w:rPr>
      </w:pPr>
      <w:r w:rsidRPr="00D4316E">
        <w:rPr>
          <w:sz w:val="20"/>
          <w:szCs w:val="20"/>
        </w:rPr>
        <w:t>COMPETING INTERESTS DISCLAIMER:</w:t>
      </w:r>
    </w:p>
    <w:p w14:paraId="1F508D17" w14:textId="163FE15E" w:rsidR="00D4316E" w:rsidRDefault="00D4316E" w:rsidP="00D4316E">
      <w:pPr>
        <w:spacing w:before="100" w:after="160"/>
        <w:jc w:val="both"/>
        <w:rPr>
          <w:sz w:val="20"/>
          <w:szCs w:val="20"/>
        </w:rPr>
      </w:pPr>
      <w:r w:rsidRPr="00D4316E">
        <w:rPr>
          <w:sz w:val="20"/>
          <w:szCs w:val="20"/>
        </w:rPr>
        <w:t>Authors have declared that they have no known competing financial interests OR non-financial interests OR personal relationships that could have appeared to influence the work reported in this paper.</w:t>
      </w:r>
    </w:p>
    <w:p w14:paraId="4DAF848F" w14:textId="77777777" w:rsidR="00D412BB" w:rsidRDefault="00D412BB">
      <w:pPr>
        <w:spacing w:before="60" w:after="60"/>
        <w:rPr>
          <w:rFonts w:ascii="Times New Roman" w:hAnsi="Times New Roman" w:cs="Times New Roman"/>
          <w:b/>
          <w:bCs/>
        </w:rPr>
      </w:pPr>
    </w:p>
    <w:p w14:paraId="43B8BF7A" w14:textId="77777777" w:rsidR="00D412BB" w:rsidRDefault="00D412BB">
      <w:pPr>
        <w:spacing w:before="60" w:after="60"/>
        <w:rPr>
          <w:rFonts w:ascii="Times New Roman" w:hAnsi="Times New Roman" w:cs="Times New Roman"/>
          <w:b/>
          <w:bCs/>
        </w:rPr>
      </w:pPr>
    </w:p>
    <w:p w14:paraId="2CBB8533" w14:textId="77777777" w:rsidR="00D412BB" w:rsidRDefault="00DA3370">
      <w:pPr>
        <w:spacing w:before="60" w:after="60"/>
        <w:rPr>
          <w:rFonts w:ascii="Times New Roman" w:hAnsi="Times New Roman" w:cs="Times New Roman"/>
          <w:b/>
          <w:bCs/>
        </w:rPr>
      </w:pPr>
      <w:r>
        <w:rPr>
          <w:rFonts w:ascii="Times New Roman" w:hAnsi="Times New Roman" w:cs="Times New Roman"/>
          <w:b/>
          <w:bCs/>
        </w:rPr>
        <w:t>Reference’s-</w:t>
      </w:r>
    </w:p>
    <w:p w14:paraId="10C46521" w14:textId="77777777" w:rsidR="00D412BB" w:rsidRDefault="00D412BB">
      <w:pPr>
        <w:spacing w:before="60" w:after="60"/>
        <w:rPr>
          <w:rFonts w:cs="Arial"/>
        </w:rPr>
      </w:pPr>
    </w:p>
    <w:p w14:paraId="60B64CB0"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Shekhawat</w:t>
      </w:r>
      <w:proofErr w:type="spellEnd"/>
      <w:r>
        <w:rPr>
          <w:rFonts w:ascii="Times New Roman" w:hAnsi="Times New Roman" w:cs="Times New Roman"/>
          <w:sz w:val="20"/>
          <w:szCs w:val="20"/>
        </w:rPr>
        <w:t xml:space="preserve"> K, Rathore S, </w:t>
      </w:r>
      <w:proofErr w:type="spellStart"/>
      <w:r>
        <w:rPr>
          <w:rFonts w:ascii="Times New Roman" w:hAnsi="Times New Roman" w:cs="Times New Roman"/>
          <w:sz w:val="20"/>
          <w:szCs w:val="20"/>
        </w:rPr>
        <w:t>Premi</w:t>
      </w:r>
      <w:proofErr w:type="spellEnd"/>
      <w:r>
        <w:rPr>
          <w:rFonts w:ascii="Times New Roman" w:hAnsi="Times New Roman" w:cs="Times New Roman"/>
          <w:sz w:val="20"/>
          <w:szCs w:val="20"/>
        </w:rPr>
        <w:t xml:space="preserve"> O, </w:t>
      </w:r>
      <w:proofErr w:type="spellStart"/>
      <w:r>
        <w:rPr>
          <w:rFonts w:ascii="Times New Roman" w:hAnsi="Times New Roman" w:cs="Times New Roman"/>
          <w:sz w:val="20"/>
          <w:szCs w:val="20"/>
        </w:rPr>
        <w:t>Kandpal</w:t>
      </w:r>
      <w:proofErr w:type="spellEnd"/>
      <w:r>
        <w:rPr>
          <w:rFonts w:ascii="Times New Roman" w:hAnsi="Times New Roman" w:cs="Times New Roman"/>
          <w:sz w:val="20"/>
          <w:szCs w:val="20"/>
        </w:rPr>
        <w:t xml:space="preserve"> B, Chauhan J. Advances in agronomic management of Indian mustard (Brassica </w:t>
      </w:r>
      <w:proofErr w:type="spellStart"/>
      <w:r>
        <w:rPr>
          <w:rFonts w:ascii="Times New Roman" w:hAnsi="Times New Roman" w:cs="Times New Roman"/>
          <w:sz w:val="20"/>
          <w:szCs w:val="20"/>
        </w:rPr>
        <w:t>juncea</w:t>
      </w:r>
      <w:proofErr w:type="spellEnd"/>
      <w:r>
        <w:rPr>
          <w:rFonts w:ascii="Times New Roman" w:hAnsi="Times New Roman" w:cs="Times New Roman"/>
          <w:sz w:val="20"/>
          <w:szCs w:val="20"/>
        </w:rPr>
        <w:t xml:space="preserve"> (L.) </w:t>
      </w:r>
      <w:proofErr w:type="spellStart"/>
      <w:r>
        <w:rPr>
          <w:rFonts w:ascii="Times New Roman" w:hAnsi="Times New Roman" w:cs="Times New Roman"/>
          <w:sz w:val="20"/>
          <w:szCs w:val="20"/>
        </w:rPr>
        <w:t>Czernj</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Cosson</w:t>
      </w:r>
      <w:proofErr w:type="spellEnd"/>
      <w:r>
        <w:rPr>
          <w:rFonts w:ascii="Times New Roman" w:hAnsi="Times New Roman" w:cs="Times New Roman"/>
          <w:sz w:val="20"/>
          <w:szCs w:val="20"/>
        </w:rPr>
        <w:t>): an overview. International journal of Agronomy. 2012;2012(1):408284.</w:t>
      </w:r>
    </w:p>
    <w:p w14:paraId="57274357"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Sa</w:t>
      </w:r>
      <w:r>
        <w:rPr>
          <w:rFonts w:ascii="Times New Roman" w:hAnsi="Times New Roman" w:cs="Times New Roman"/>
          <w:sz w:val="20"/>
          <w:szCs w:val="20"/>
        </w:rPr>
        <w:t>chan</w:t>
      </w:r>
      <w:proofErr w:type="spellEnd"/>
      <w:r>
        <w:rPr>
          <w:rFonts w:ascii="Times New Roman" w:hAnsi="Times New Roman" w:cs="Times New Roman"/>
          <w:sz w:val="20"/>
          <w:szCs w:val="20"/>
        </w:rPr>
        <w:t xml:space="preserve"> DS, </w:t>
      </w:r>
      <w:proofErr w:type="spellStart"/>
      <w:r>
        <w:rPr>
          <w:rFonts w:ascii="Times New Roman" w:hAnsi="Times New Roman" w:cs="Times New Roman"/>
          <w:sz w:val="20"/>
          <w:szCs w:val="20"/>
        </w:rPr>
        <w:t>Naimuddin</w:t>
      </w:r>
      <w:proofErr w:type="spellEnd"/>
      <w:r>
        <w:rPr>
          <w:rFonts w:ascii="Times New Roman" w:hAnsi="Times New Roman" w:cs="Times New Roman"/>
          <w:sz w:val="20"/>
          <w:szCs w:val="20"/>
        </w:rPr>
        <w:t xml:space="preserve"> SK, Patra D, </w:t>
      </w:r>
      <w:proofErr w:type="spellStart"/>
      <w:r>
        <w:rPr>
          <w:rFonts w:ascii="Times New Roman" w:hAnsi="Times New Roman" w:cs="Times New Roman"/>
          <w:sz w:val="20"/>
          <w:szCs w:val="20"/>
        </w:rPr>
        <w:t>Subha</w:t>
      </w:r>
      <w:proofErr w:type="spellEnd"/>
      <w:r>
        <w:rPr>
          <w:rFonts w:ascii="Times New Roman" w:hAnsi="Times New Roman" w:cs="Times New Roman"/>
          <w:sz w:val="20"/>
          <w:szCs w:val="20"/>
        </w:rPr>
        <w:t xml:space="preserve"> L, </w:t>
      </w:r>
      <w:proofErr w:type="spellStart"/>
      <w:r>
        <w:rPr>
          <w:rFonts w:ascii="Times New Roman" w:hAnsi="Times New Roman" w:cs="Times New Roman"/>
          <w:sz w:val="20"/>
          <w:szCs w:val="20"/>
        </w:rPr>
        <w:t>Senthilkumar</w:t>
      </w:r>
      <w:proofErr w:type="spellEnd"/>
      <w:r>
        <w:rPr>
          <w:rFonts w:ascii="Times New Roman" w:hAnsi="Times New Roman" w:cs="Times New Roman"/>
          <w:sz w:val="20"/>
          <w:szCs w:val="20"/>
        </w:rPr>
        <w:t xml:space="preserve"> T, </w:t>
      </w:r>
      <w:proofErr w:type="spellStart"/>
      <w:r>
        <w:rPr>
          <w:rFonts w:ascii="Times New Roman" w:hAnsi="Times New Roman" w:cs="Times New Roman"/>
          <w:sz w:val="20"/>
          <w:szCs w:val="20"/>
        </w:rPr>
        <w:t>Chittibomma</w:t>
      </w:r>
      <w:proofErr w:type="spellEnd"/>
      <w:r>
        <w:rPr>
          <w:rFonts w:ascii="Times New Roman" w:hAnsi="Times New Roman" w:cs="Times New Roman"/>
          <w:sz w:val="20"/>
          <w:szCs w:val="20"/>
        </w:rPr>
        <w:t xml:space="preserve"> K, et al. Advancements in enhancing oil quality in rapeseed and mustard: a comprehensive review. Journal of Experimental Agriculture International. 2024;46(5):181-93.</w:t>
      </w:r>
    </w:p>
    <w:p w14:paraId="79C7D877"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Sharma A, Garg M, Sh</w:t>
      </w:r>
      <w:r>
        <w:rPr>
          <w:rFonts w:ascii="Times New Roman" w:hAnsi="Times New Roman" w:cs="Times New Roman"/>
          <w:sz w:val="20"/>
          <w:szCs w:val="20"/>
        </w:rPr>
        <w:t>arma HK, Rai P. Mustard and its products.  Handbook of spices in India: 75 years of research and development: Springer; 2024. p. 2385-451.</w:t>
      </w:r>
    </w:p>
    <w:p w14:paraId="2957BBDC"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John A, Bhat KA, </w:t>
      </w:r>
      <w:proofErr w:type="spellStart"/>
      <w:r>
        <w:rPr>
          <w:rFonts w:ascii="Times New Roman" w:hAnsi="Times New Roman" w:cs="Times New Roman"/>
          <w:sz w:val="20"/>
          <w:szCs w:val="20"/>
        </w:rPr>
        <w:t>Riat</w:t>
      </w:r>
      <w:proofErr w:type="spellEnd"/>
      <w:r>
        <w:rPr>
          <w:rFonts w:ascii="Times New Roman" w:hAnsi="Times New Roman" w:cs="Times New Roman"/>
          <w:sz w:val="20"/>
          <w:szCs w:val="20"/>
        </w:rPr>
        <w:t xml:space="preserve"> AK. Crop Improvement Approaches for Mitigation of Biotic Stresses in Mustard Crops.  Crop Impro</w:t>
      </w:r>
      <w:r>
        <w:rPr>
          <w:rFonts w:ascii="Times New Roman" w:hAnsi="Times New Roman" w:cs="Times New Roman"/>
          <w:sz w:val="20"/>
          <w:szCs w:val="20"/>
        </w:rPr>
        <w:t>vement Strategies in Brassica species: Stress Resistance Strategies: Volume 2: Springer; 2026. p. 191-213.</w:t>
      </w:r>
    </w:p>
    <w:p w14:paraId="5F58FC55"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Dev D, Tewari A, Upadhyay P, Daniel G. Identification and nomenclature of </w:t>
      </w:r>
      <w:proofErr w:type="spellStart"/>
      <w:r>
        <w:rPr>
          <w:rFonts w:ascii="Times New Roman" w:hAnsi="Times New Roman" w:cs="Times New Roman"/>
          <w:sz w:val="20"/>
          <w:szCs w:val="20"/>
        </w:rPr>
        <w:t>Albugo</w:t>
      </w:r>
      <w:proofErr w:type="spellEnd"/>
      <w:r>
        <w:rPr>
          <w:rFonts w:ascii="Times New Roman" w:hAnsi="Times New Roman" w:cs="Times New Roman"/>
          <w:sz w:val="20"/>
          <w:szCs w:val="20"/>
        </w:rPr>
        <w:t xml:space="preserve"> candida pathotypes of Indian origin causing white rust disease of ra</w:t>
      </w:r>
      <w:r>
        <w:rPr>
          <w:rFonts w:ascii="Times New Roman" w:hAnsi="Times New Roman" w:cs="Times New Roman"/>
          <w:sz w:val="20"/>
          <w:szCs w:val="20"/>
        </w:rPr>
        <w:t>peseed-mustard. European Journal of Plant Pathology. 2020;158(4):987-1004.</w:t>
      </w:r>
    </w:p>
    <w:p w14:paraId="04A50508"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Priya RS, </w:t>
      </w:r>
      <w:proofErr w:type="spellStart"/>
      <w:r>
        <w:rPr>
          <w:rFonts w:ascii="Times New Roman" w:hAnsi="Times New Roman" w:cs="Times New Roman"/>
          <w:sz w:val="20"/>
          <w:szCs w:val="20"/>
        </w:rPr>
        <w:t>Yuvaraj</w:t>
      </w:r>
      <w:proofErr w:type="spellEnd"/>
      <w:r>
        <w:rPr>
          <w:rFonts w:ascii="Times New Roman" w:hAnsi="Times New Roman" w:cs="Times New Roman"/>
          <w:sz w:val="20"/>
          <w:szCs w:val="20"/>
        </w:rPr>
        <w:t xml:space="preserve"> M, Sharmila R, </w:t>
      </w:r>
      <w:proofErr w:type="spellStart"/>
      <w:r>
        <w:rPr>
          <w:rFonts w:ascii="Times New Roman" w:hAnsi="Times New Roman" w:cs="Times New Roman"/>
          <w:sz w:val="20"/>
          <w:szCs w:val="20"/>
        </w:rPr>
        <w:t>Jagathjothi</w:t>
      </w:r>
      <w:proofErr w:type="spellEnd"/>
      <w:r>
        <w:rPr>
          <w:rFonts w:ascii="Times New Roman" w:hAnsi="Times New Roman" w:cs="Times New Roman"/>
          <w:sz w:val="20"/>
          <w:szCs w:val="20"/>
        </w:rPr>
        <w:t xml:space="preserve"> N, Saranya M, </w:t>
      </w:r>
      <w:proofErr w:type="spellStart"/>
      <w:r>
        <w:rPr>
          <w:rFonts w:ascii="Times New Roman" w:hAnsi="Times New Roman" w:cs="Times New Roman"/>
          <w:sz w:val="20"/>
          <w:szCs w:val="20"/>
        </w:rPr>
        <w:t>Suganthi</w:t>
      </w:r>
      <w:proofErr w:type="spellEnd"/>
      <w:r>
        <w:rPr>
          <w:rFonts w:ascii="Times New Roman" w:hAnsi="Times New Roman" w:cs="Times New Roman"/>
          <w:sz w:val="20"/>
          <w:szCs w:val="20"/>
        </w:rPr>
        <w:t xml:space="preserve"> N, et al. Effects of climate change on plant diseases.  Plant quarantine challenges under climate change anxiety:</w:t>
      </w:r>
      <w:r>
        <w:rPr>
          <w:rFonts w:ascii="Times New Roman" w:hAnsi="Times New Roman" w:cs="Times New Roman"/>
          <w:sz w:val="20"/>
          <w:szCs w:val="20"/>
        </w:rPr>
        <w:t xml:space="preserve"> Springer; 2024. p. 183-225.</w:t>
      </w:r>
    </w:p>
    <w:p w14:paraId="07541822"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Lavanya N. Fungal plant pathogens. Plant Health and Disease Management: A Modern Approach. 2025;24.</w:t>
      </w:r>
    </w:p>
    <w:p w14:paraId="33372ED4"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Sushma L, Ray M, Choudhary S. Diseases of Anthracnose and their Management. Understanding Plant Pathology Through Symptoms.25.</w:t>
      </w:r>
    </w:p>
    <w:p w14:paraId="4E4A4FE0"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Chaudhary M, </w:t>
      </w:r>
      <w:proofErr w:type="spellStart"/>
      <w:r>
        <w:rPr>
          <w:rFonts w:ascii="Times New Roman" w:hAnsi="Times New Roman" w:cs="Times New Roman"/>
          <w:sz w:val="20"/>
          <w:szCs w:val="20"/>
        </w:rPr>
        <w:t>Sahu</w:t>
      </w:r>
      <w:proofErr w:type="spellEnd"/>
      <w:r>
        <w:rPr>
          <w:rFonts w:ascii="Times New Roman" w:hAnsi="Times New Roman" w:cs="Times New Roman"/>
          <w:sz w:val="20"/>
          <w:szCs w:val="20"/>
        </w:rPr>
        <w:t xml:space="preserve"> P, Singh K, Kumar R, Shukla A, Singh C, et al. Effect of humidity on pest and disease incidence in crops.  Climate Change and Biotic Factors: Apple Academic Press; 2025. p. 3-42.</w:t>
      </w:r>
    </w:p>
    <w:p w14:paraId="064C6625"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Guzmán-Guzmán P, Kumar A, de Los Santos-Villalobos S, Parra</w:t>
      </w:r>
      <w:r>
        <w:rPr>
          <w:rFonts w:ascii="Times New Roman" w:hAnsi="Times New Roman" w:cs="Times New Roman"/>
          <w:sz w:val="20"/>
          <w:szCs w:val="20"/>
        </w:rPr>
        <w:t>-Cota FI, Orozco-</w:t>
      </w:r>
      <w:proofErr w:type="spellStart"/>
      <w:r>
        <w:rPr>
          <w:rFonts w:ascii="Times New Roman" w:hAnsi="Times New Roman" w:cs="Times New Roman"/>
          <w:sz w:val="20"/>
          <w:szCs w:val="20"/>
        </w:rPr>
        <w:t>Mosqueda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MdC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Fadiji</w:t>
      </w:r>
      <w:proofErr w:type="spellEnd"/>
      <w:r>
        <w:rPr>
          <w:rFonts w:ascii="Times New Roman" w:hAnsi="Times New Roman" w:cs="Times New Roman"/>
          <w:sz w:val="20"/>
          <w:szCs w:val="20"/>
        </w:rPr>
        <w:t xml:space="preserve"> AE, et al. Trichoderma species: Our best fungal allies in the biocontrol of plant diseases—A review. Plants. 2023;12(3):432.</w:t>
      </w:r>
    </w:p>
    <w:p w14:paraId="48A80FBF"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Nawrocka</w:t>
      </w:r>
      <w:proofErr w:type="spellEnd"/>
      <w:r>
        <w:rPr>
          <w:rFonts w:ascii="Times New Roman" w:hAnsi="Times New Roman" w:cs="Times New Roman"/>
          <w:sz w:val="20"/>
          <w:szCs w:val="20"/>
        </w:rPr>
        <w:t xml:space="preserve"> J, </w:t>
      </w:r>
      <w:proofErr w:type="spellStart"/>
      <w:r>
        <w:rPr>
          <w:rFonts w:ascii="Times New Roman" w:hAnsi="Times New Roman" w:cs="Times New Roman"/>
          <w:sz w:val="20"/>
          <w:szCs w:val="20"/>
        </w:rPr>
        <w:t>Małolepsza</w:t>
      </w:r>
      <w:proofErr w:type="spellEnd"/>
      <w:r>
        <w:rPr>
          <w:rFonts w:ascii="Times New Roman" w:hAnsi="Times New Roman" w:cs="Times New Roman"/>
          <w:sz w:val="20"/>
          <w:szCs w:val="20"/>
        </w:rPr>
        <w:t xml:space="preserve"> U. Diversity in plant systemic resistance induced by Trichoderma. Biol</w:t>
      </w:r>
      <w:r>
        <w:rPr>
          <w:rFonts w:ascii="Times New Roman" w:hAnsi="Times New Roman" w:cs="Times New Roman"/>
          <w:sz w:val="20"/>
          <w:szCs w:val="20"/>
        </w:rPr>
        <w:t>ogical control. 2013;67(2):149-56.</w:t>
      </w:r>
    </w:p>
    <w:p w14:paraId="0B0C09A6"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Van Loon L, Bakker P, Pieterse C. Systemic resistance induced by rhizosphere bacteria. Annual review of phytopathology. 1998;36(1):453-83.</w:t>
      </w:r>
    </w:p>
    <w:p w14:paraId="4968EDBD"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Chandurkar</w:t>
      </w:r>
      <w:proofErr w:type="spellEnd"/>
      <w:r>
        <w:rPr>
          <w:rFonts w:ascii="Times New Roman" w:hAnsi="Times New Roman" w:cs="Times New Roman"/>
          <w:sz w:val="20"/>
          <w:szCs w:val="20"/>
        </w:rPr>
        <w:t xml:space="preserve"> P, </w:t>
      </w:r>
      <w:proofErr w:type="spellStart"/>
      <w:r>
        <w:rPr>
          <w:rFonts w:ascii="Times New Roman" w:hAnsi="Times New Roman" w:cs="Times New Roman"/>
          <w:sz w:val="20"/>
          <w:szCs w:val="20"/>
        </w:rPr>
        <w:t>Murab</w:t>
      </w:r>
      <w:proofErr w:type="spellEnd"/>
      <w:r>
        <w:rPr>
          <w:rFonts w:ascii="Times New Roman" w:hAnsi="Times New Roman" w:cs="Times New Roman"/>
          <w:sz w:val="20"/>
          <w:szCs w:val="20"/>
        </w:rPr>
        <w:t xml:space="preserve"> T, Choudhary A, Tripathi N, </w:t>
      </w:r>
      <w:proofErr w:type="spellStart"/>
      <w:r>
        <w:rPr>
          <w:rFonts w:ascii="Times New Roman" w:hAnsi="Times New Roman" w:cs="Times New Roman"/>
          <w:sz w:val="20"/>
          <w:szCs w:val="20"/>
        </w:rPr>
        <w:t>Gujarand</w:t>
      </w:r>
      <w:proofErr w:type="spellEnd"/>
      <w:r>
        <w:rPr>
          <w:rFonts w:ascii="Times New Roman" w:hAnsi="Times New Roman" w:cs="Times New Roman"/>
          <w:sz w:val="20"/>
          <w:szCs w:val="20"/>
        </w:rPr>
        <w:t xml:space="preserve"> N, Saini S. 2, 4-Diacetyl</w:t>
      </w:r>
      <w:r>
        <w:rPr>
          <w:rFonts w:ascii="Times New Roman" w:hAnsi="Times New Roman" w:cs="Times New Roman"/>
          <w:sz w:val="20"/>
          <w:szCs w:val="20"/>
        </w:rPr>
        <w:t xml:space="preserve">phloroglucinol (DAPG) a secondary metabolite of fluorescent pseudomonads as a potential biocontrol agent for plant diseases. J Sci Res. </w:t>
      </w:r>
      <w:proofErr w:type="gramStart"/>
      <w:r>
        <w:rPr>
          <w:rFonts w:ascii="Times New Roman" w:hAnsi="Times New Roman" w:cs="Times New Roman"/>
          <w:sz w:val="20"/>
          <w:szCs w:val="20"/>
        </w:rPr>
        <w:t>2017;3:235</w:t>
      </w:r>
      <w:proofErr w:type="gramEnd"/>
      <w:r>
        <w:rPr>
          <w:rFonts w:ascii="Times New Roman" w:hAnsi="Times New Roman" w:cs="Times New Roman"/>
          <w:sz w:val="20"/>
          <w:szCs w:val="20"/>
        </w:rPr>
        <w:t>-46.</w:t>
      </w:r>
    </w:p>
    <w:p w14:paraId="67B0E6EB"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Heil M, Bostock RM. Induced systemic resistance (ISR) against pathogens in the context of induced plant </w:t>
      </w:r>
      <w:proofErr w:type="spellStart"/>
      <w:r>
        <w:rPr>
          <w:rFonts w:ascii="Times New Roman" w:hAnsi="Times New Roman" w:cs="Times New Roman"/>
          <w:sz w:val="20"/>
          <w:szCs w:val="20"/>
        </w:rPr>
        <w:t>d</w:t>
      </w:r>
      <w:r>
        <w:rPr>
          <w:rFonts w:ascii="Times New Roman" w:hAnsi="Times New Roman" w:cs="Times New Roman"/>
          <w:sz w:val="20"/>
          <w:szCs w:val="20"/>
        </w:rPr>
        <w:t>efences</w:t>
      </w:r>
      <w:proofErr w:type="spellEnd"/>
      <w:r>
        <w:rPr>
          <w:rFonts w:ascii="Times New Roman" w:hAnsi="Times New Roman" w:cs="Times New Roman"/>
          <w:sz w:val="20"/>
          <w:szCs w:val="20"/>
        </w:rPr>
        <w:t>. Annals of botany. 2002;89(5):503-12.</w:t>
      </w:r>
    </w:p>
    <w:p w14:paraId="59FB63D1"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Klessig DF, Choi HW, Dempsey DMA. Systemic acquired resistance and salicylic acid: past, present, and future. Molecular plant-microbe interactions. 2018;31(9):871-88.</w:t>
      </w:r>
    </w:p>
    <w:p w14:paraId="038F0BE6"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Wilson SK, Pretorius T, Naidoo S. Mechanism</w:t>
      </w:r>
      <w:r>
        <w:rPr>
          <w:rFonts w:ascii="Times New Roman" w:hAnsi="Times New Roman" w:cs="Times New Roman"/>
          <w:sz w:val="20"/>
          <w:szCs w:val="20"/>
        </w:rPr>
        <w:t>s of systemic resistance to pathogen infection in plants and their potential application in forestry. BMC Plant Biology. 2023;23(1):404.</w:t>
      </w:r>
    </w:p>
    <w:p w14:paraId="4B15961B"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Li N, Zhang J, Yu F, Ye F, Tan W, Hao L, et al. Garlic-derived quorum sensing inhibitors: a novel strategy against fung</w:t>
      </w:r>
      <w:r>
        <w:rPr>
          <w:rFonts w:ascii="Times New Roman" w:hAnsi="Times New Roman" w:cs="Times New Roman"/>
          <w:sz w:val="20"/>
          <w:szCs w:val="20"/>
        </w:rPr>
        <w:t>al resistance. Drug Design, Development and Therapy. 2024:6413-26.</w:t>
      </w:r>
    </w:p>
    <w:p w14:paraId="526B0F96"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Das S, </w:t>
      </w:r>
      <w:proofErr w:type="spellStart"/>
      <w:r>
        <w:rPr>
          <w:rFonts w:ascii="Times New Roman" w:hAnsi="Times New Roman" w:cs="Times New Roman"/>
          <w:sz w:val="20"/>
          <w:szCs w:val="20"/>
        </w:rPr>
        <w:t>Pattanayak</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Bammidi</w:t>
      </w:r>
      <w:proofErr w:type="spellEnd"/>
      <w:r>
        <w:rPr>
          <w:rFonts w:ascii="Times New Roman" w:hAnsi="Times New Roman" w:cs="Times New Roman"/>
          <w:sz w:val="20"/>
          <w:szCs w:val="20"/>
        </w:rPr>
        <w:t xml:space="preserve"> M. A real time surveillance on disease and pest monitoring, characterization and conventional management strategy of major cultivated crops in tropical savanna </w:t>
      </w:r>
      <w:r>
        <w:rPr>
          <w:rFonts w:ascii="Times New Roman" w:hAnsi="Times New Roman" w:cs="Times New Roman"/>
          <w:sz w:val="20"/>
          <w:szCs w:val="20"/>
        </w:rPr>
        <w:t>climatic region of Srikakulam Andhra Pradesh. IJCS. 2020;8(3):958-71.</w:t>
      </w:r>
    </w:p>
    <w:p w14:paraId="459C850B"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Oelke</w:t>
      </w:r>
      <w:proofErr w:type="spellEnd"/>
      <w:r>
        <w:rPr>
          <w:rFonts w:ascii="Times New Roman" w:hAnsi="Times New Roman" w:cs="Times New Roman"/>
          <w:sz w:val="20"/>
          <w:szCs w:val="20"/>
        </w:rPr>
        <w:t xml:space="preserve"> E, Ball R, Wick C, Miller M. Influence of Grain Moisture at Harvest on Seed Yield, Quality, and Seedling Vigor of Rice 1. Crop Science. 1969;9(2):144-7.</w:t>
      </w:r>
    </w:p>
    <w:p w14:paraId="2E67EFC1"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Reed GF, Lynn F, Meade BD. </w:t>
      </w:r>
      <w:r>
        <w:rPr>
          <w:rFonts w:ascii="Times New Roman" w:hAnsi="Times New Roman" w:cs="Times New Roman"/>
          <w:sz w:val="20"/>
          <w:szCs w:val="20"/>
        </w:rPr>
        <w:t>Use of coefficient of variation in assessing variability of quantitative assays. Clinical and Vaccine Immunology. 2002;9(6):1235-9.</w:t>
      </w:r>
    </w:p>
    <w:p w14:paraId="3B3B0842"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Chowdhury M, Hossain I, Day P, Ahmed M, Mahmud H. Effect of seed sources and seed treatments on disease incidence, severity </w:t>
      </w:r>
      <w:r>
        <w:rPr>
          <w:rFonts w:ascii="Times New Roman" w:hAnsi="Times New Roman" w:cs="Times New Roman"/>
          <w:sz w:val="20"/>
          <w:szCs w:val="20"/>
        </w:rPr>
        <w:t xml:space="preserve">and seed yield of rice in Bangladesh. J </w:t>
      </w:r>
      <w:proofErr w:type="spellStart"/>
      <w:r>
        <w:rPr>
          <w:rFonts w:ascii="Times New Roman" w:hAnsi="Times New Roman" w:cs="Times New Roman"/>
          <w:sz w:val="20"/>
          <w:szCs w:val="20"/>
        </w:rPr>
        <w:t>Agrofor</w:t>
      </w:r>
      <w:proofErr w:type="spellEnd"/>
      <w:r>
        <w:rPr>
          <w:rFonts w:ascii="Times New Roman" w:hAnsi="Times New Roman" w:cs="Times New Roman"/>
          <w:sz w:val="20"/>
          <w:szCs w:val="20"/>
        </w:rPr>
        <w:t xml:space="preserve"> Environ. 2013;7(2):23-7.</w:t>
      </w:r>
    </w:p>
    <w:p w14:paraId="3137D4BB"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Hanumanthappa</w:t>
      </w:r>
      <w:proofErr w:type="spellEnd"/>
      <w:r>
        <w:rPr>
          <w:rFonts w:ascii="Times New Roman" w:hAnsi="Times New Roman" w:cs="Times New Roman"/>
          <w:sz w:val="20"/>
          <w:szCs w:val="20"/>
        </w:rPr>
        <w:t xml:space="preserve"> K. Quality and Yield Components of Rice (Oryza Sativa L.) Infected with </w:t>
      </w:r>
      <w:proofErr w:type="spellStart"/>
      <w:r>
        <w:rPr>
          <w:rFonts w:ascii="Times New Roman" w:hAnsi="Times New Roman" w:cs="Times New Roman"/>
          <w:sz w:val="20"/>
          <w:szCs w:val="20"/>
        </w:rPr>
        <w:t>Bipolaris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Oryzae</w:t>
      </w:r>
      <w:proofErr w:type="spellEnd"/>
      <w:r>
        <w:rPr>
          <w:rFonts w:ascii="Times New Roman" w:hAnsi="Times New Roman" w:cs="Times New Roman"/>
          <w:sz w:val="20"/>
          <w:szCs w:val="20"/>
        </w:rPr>
        <w:t xml:space="preserve"> (L. Breda De Hann).</w:t>
      </w:r>
    </w:p>
    <w:p w14:paraId="2AF5F0E0"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Zegeye</w:t>
      </w:r>
      <w:proofErr w:type="spellEnd"/>
      <w:r>
        <w:rPr>
          <w:rFonts w:ascii="Times New Roman" w:hAnsi="Times New Roman" w:cs="Times New Roman"/>
          <w:sz w:val="20"/>
          <w:szCs w:val="20"/>
        </w:rPr>
        <w:t xml:space="preserve"> ED, Santhanam A, </w:t>
      </w:r>
      <w:proofErr w:type="spellStart"/>
      <w:r>
        <w:rPr>
          <w:rFonts w:ascii="Times New Roman" w:hAnsi="Times New Roman" w:cs="Times New Roman"/>
          <w:sz w:val="20"/>
          <w:szCs w:val="20"/>
        </w:rPr>
        <w:t>Gorfu</w:t>
      </w:r>
      <w:proofErr w:type="spellEnd"/>
      <w:r>
        <w:rPr>
          <w:rFonts w:ascii="Times New Roman" w:hAnsi="Times New Roman" w:cs="Times New Roman"/>
          <w:sz w:val="20"/>
          <w:szCs w:val="20"/>
        </w:rPr>
        <w:t xml:space="preserve"> D, </w:t>
      </w:r>
      <w:proofErr w:type="spellStart"/>
      <w:r>
        <w:rPr>
          <w:rFonts w:ascii="Times New Roman" w:hAnsi="Times New Roman" w:cs="Times New Roman"/>
          <w:sz w:val="20"/>
          <w:szCs w:val="20"/>
        </w:rPr>
        <w:t>Tessera</w:t>
      </w:r>
      <w:proofErr w:type="spellEnd"/>
      <w:r>
        <w:rPr>
          <w:rFonts w:ascii="Times New Roman" w:hAnsi="Times New Roman" w:cs="Times New Roman"/>
          <w:sz w:val="20"/>
          <w:szCs w:val="20"/>
        </w:rPr>
        <w:t xml:space="preserve"> M, </w:t>
      </w:r>
      <w:proofErr w:type="spellStart"/>
      <w:r>
        <w:rPr>
          <w:rFonts w:ascii="Times New Roman" w:hAnsi="Times New Roman" w:cs="Times New Roman"/>
          <w:sz w:val="20"/>
          <w:szCs w:val="20"/>
        </w:rPr>
        <w:t>Kassa</w:t>
      </w:r>
      <w:proofErr w:type="spellEnd"/>
      <w:r>
        <w:rPr>
          <w:rFonts w:ascii="Times New Roman" w:hAnsi="Times New Roman" w:cs="Times New Roman"/>
          <w:sz w:val="20"/>
          <w:szCs w:val="20"/>
        </w:rPr>
        <w:t xml:space="preserve"> B. Biocont</w:t>
      </w:r>
      <w:r>
        <w:rPr>
          <w:rFonts w:ascii="Times New Roman" w:hAnsi="Times New Roman" w:cs="Times New Roman"/>
          <w:sz w:val="20"/>
          <w:szCs w:val="20"/>
        </w:rPr>
        <w:t xml:space="preserve">rol activity of Trichoderma </w:t>
      </w:r>
      <w:proofErr w:type="spellStart"/>
      <w:r>
        <w:rPr>
          <w:rFonts w:ascii="Times New Roman" w:hAnsi="Times New Roman" w:cs="Times New Roman"/>
          <w:sz w:val="20"/>
          <w:szCs w:val="20"/>
        </w:rPr>
        <w:t>viride</w:t>
      </w:r>
      <w:proofErr w:type="spellEnd"/>
      <w:r>
        <w:rPr>
          <w:rFonts w:ascii="Times New Roman" w:hAnsi="Times New Roman" w:cs="Times New Roman"/>
          <w:sz w:val="20"/>
          <w:szCs w:val="20"/>
        </w:rPr>
        <w:t xml:space="preserve"> and Pseudomonas fluorescens against Phytophthora </w:t>
      </w:r>
      <w:proofErr w:type="spellStart"/>
      <w:r>
        <w:rPr>
          <w:rFonts w:ascii="Times New Roman" w:hAnsi="Times New Roman" w:cs="Times New Roman"/>
          <w:sz w:val="20"/>
          <w:szCs w:val="20"/>
        </w:rPr>
        <w:t>infestans</w:t>
      </w:r>
      <w:proofErr w:type="spellEnd"/>
      <w:r>
        <w:rPr>
          <w:rFonts w:ascii="Times New Roman" w:hAnsi="Times New Roman" w:cs="Times New Roman"/>
          <w:sz w:val="20"/>
          <w:szCs w:val="20"/>
        </w:rPr>
        <w:t xml:space="preserve"> under greenhouse conditions. Journal of Agricultural Technology. 2011;7(6):1589-602.</w:t>
      </w:r>
    </w:p>
    <w:p w14:paraId="7A0C07D6"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Mandial</w:t>
      </w:r>
      <w:proofErr w:type="spellEnd"/>
      <w:r>
        <w:rPr>
          <w:rFonts w:ascii="Times New Roman" w:hAnsi="Times New Roman" w:cs="Times New Roman"/>
          <w:sz w:val="20"/>
          <w:szCs w:val="20"/>
        </w:rPr>
        <w:t xml:space="preserve"> A. Studies on Effect of Biological Control Agents on Plant Growth, Di</w:t>
      </w:r>
      <w:r>
        <w:rPr>
          <w:rFonts w:ascii="Times New Roman" w:hAnsi="Times New Roman" w:cs="Times New Roman"/>
          <w:sz w:val="20"/>
          <w:szCs w:val="20"/>
        </w:rPr>
        <w:t>sease Incidence, Seed Yield and Quality Attributes in Cucumber. 2023.</w:t>
      </w:r>
    </w:p>
    <w:p w14:paraId="7AD5F772"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Kamle</w:t>
      </w:r>
      <w:proofErr w:type="spellEnd"/>
      <w:r>
        <w:rPr>
          <w:rFonts w:ascii="Times New Roman" w:hAnsi="Times New Roman" w:cs="Times New Roman"/>
          <w:sz w:val="20"/>
          <w:szCs w:val="20"/>
        </w:rPr>
        <w:t xml:space="preserve"> M, Borah R, Bora H, Jaiswal AK, Singh RK, Kumar P. Systemic acquired resistance (SAR) and induced systemic resistance (ISR): role and mechanism of action against phytopathogens.  F</w:t>
      </w:r>
      <w:r>
        <w:rPr>
          <w:rFonts w:ascii="Times New Roman" w:hAnsi="Times New Roman" w:cs="Times New Roman"/>
          <w:sz w:val="20"/>
          <w:szCs w:val="20"/>
        </w:rPr>
        <w:t>ungal biotechnology and bioengineering: Springer; 2020. p. 457-70.</w:t>
      </w:r>
    </w:p>
    <w:p w14:paraId="291BD12B"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Choi S-T, Bae R-N, Chung D-S, Lee S-K. Effects of Storage Conditions on Postharvest Qualities in Garlic Bulbs (Allium sativum L.). </w:t>
      </w:r>
      <w:proofErr w:type="spellStart"/>
      <w:r>
        <w:rPr>
          <w:rFonts w:ascii="Times New Roman" w:hAnsi="Times New Roman" w:cs="Times New Roman"/>
          <w:sz w:val="20"/>
          <w:szCs w:val="20"/>
        </w:rPr>
        <w:t>HortScience</w:t>
      </w:r>
      <w:proofErr w:type="spellEnd"/>
      <w:r>
        <w:rPr>
          <w:rFonts w:ascii="Times New Roman" w:hAnsi="Times New Roman" w:cs="Times New Roman"/>
          <w:sz w:val="20"/>
          <w:szCs w:val="20"/>
        </w:rPr>
        <w:t>. 2004;39(4):805C-.</w:t>
      </w:r>
    </w:p>
    <w:p w14:paraId="15222030"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Simonetti G, Castellani F, </w:t>
      </w:r>
      <w:r>
        <w:rPr>
          <w:rFonts w:ascii="Times New Roman" w:hAnsi="Times New Roman" w:cs="Times New Roman"/>
          <w:sz w:val="20"/>
          <w:szCs w:val="20"/>
        </w:rPr>
        <w:t xml:space="preserve">Di Filippo P, </w:t>
      </w:r>
      <w:proofErr w:type="spellStart"/>
      <w:r>
        <w:rPr>
          <w:rFonts w:ascii="Times New Roman" w:hAnsi="Times New Roman" w:cs="Times New Roman"/>
          <w:sz w:val="20"/>
          <w:szCs w:val="20"/>
        </w:rPr>
        <w:t>Riccardi</w:t>
      </w:r>
      <w:proofErr w:type="spellEnd"/>
      <w:r>
        <w:rPr>
          <w:rFonts w:ascii="Times New Roman" w:hAnsi="Times New Roman" w:cs="Times New Roman"/>
          <w:sz w:val="20"/>
          <w:szCs w:val="20"/>
        </w:rPr>
        <w:t xml:space="preserve"> C, </w:t>
      </w:r>
      <w:proofErr w:type="spellStart"/>
      <w:r>
        <w:rPr>
          <w:rFonts w:ascii="Times New Roman" w:hAnsi="Times New Roman" w:cs="Times New Roman"/>
          <w:sz w:val="20"/>
          <w:szCs w:val="20"/>
        </w:rPr>
        <w:t>Pomata</w:t>
      </w:r>
      <w:proofErr w:type="spellEnd"/>
      <w:r>
        <w:rPr>
          <w:rFonts w:ascii="Times New Roman" w:hAnsi="Times New Roman" w:cs="Times New Roman"/>
          <w:sz w:val="20"/>
          <w:szCs w:val="20"/>
        </w:rPr>
        <w:t xml:space="preserve"> D, </w:t>
      </w:r>
      <w:proofErr w:type="spellStart"/>
      <w:r>
        <w:rPr>
          <w:rFonts w:ascii="Times New Roman" w:hAnsi="Times New Roman" w:cs="Times New Roman"/>
          <w:sz w:val="20"/>
          <w:szCs w:val="20"/>
        </w:rPr>
        <w:t>Risoluti</w:t>
      </w:r>
      <w:proofErr w:type="spellEnd"/>
      <w:r>
        <w:rPr>
          <w:rFonts w:ascii="Times New Roman" w:hAnsi="Times New Roman" w:cs="Times New Roman"/>
          <w:sz w:val="20"/>
          <w:szCs w:val="20"/>
        </w:rPr>
        <w:t xml:space="preserve"> R, et al. Determination of Mancozeb, a pesticide used worldwide in agriculture: comparison among GC, LC, and CE. Current Analytical Chemistry. 2020;16(8):1041-53.</w:t>
      </w:r>
    </w:p>
    <w:p w14:paraId="75B9A266"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Megersa</w:t>
      </w:r>
      <w:proofErr w:type="spellEnd"/>
      <w:r>
        <w:rPr>
          <w:rFonts w:ascii="Times New Roman" w:hAnsi="Times New Roman" w:cs="Times New Roman"/>
          <w:sz w:val="20"/>
          <w:szCs w:val="20"/>
        </w:rPr>
        <w:t xml:space="preserve"> S, Ababa G. White rust (</w:t>
      </w:r>
      <w:proofErr w:type="spellStart"/>
      <w:r>
        <w:rPr>
          <w:rFonts w:ascii="Times New Roman" w:hAnsi="Times New Roman" w:cs="Times New Roman"/>
          <w:sz w:val="20"/>
          <w:szCs w:val="20"/>
        </w:rPr>
        <w:t>Albugo</w:t>
      </w:r>
      <w:proofErr w:type="spellEnd"/>
      <w:r>
        <w:rPr>
          <w:rFonts w:ascii="Times New Roman" w:hAnsi="Times New Roman" w:cs="Times New Roman"/>
          <w:sz w:val="20"/>
          <w:szCs w:val="20"/>
        </w:rPr>
        <w:t xml:space="preserve"> candida) </w:t>
      </w:r>
      <w:r>
        <w:rPr>
          <w:rFonts w:ascii="Times New Roman" w:hAnsi="Times New Roman" w:cs="Times New Roman"/>
          <w:sz w:val="20"/>
          <w:szCs w:val="20"/>
        </w:rPr>
        <w:t>disease distribution, intensity and association with biophysical factors in Oromia, Ethiopia. Archives of Phytopathology and Plant Protection. 2023;56(10):835-52.</w:t>
      </w:r>
    </w:p>
    <w:p w14:paraId="1052961B"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Sheoran</w:t>
      </w:r>
      <w:proofErr w:type="spellEnd"/>
      <w:r>
        <w:rPr>
          <w:rFonts w:ascii="Times New Roman" w:hAnsi="Times New Roman" w:cs="Times New Roman"/>
          <w:sz w:val="20"/>
          <w:szCs w:val="20"/>
        </w:rPr>
        <w:t xml:space="preserve"> AR, </w:t>
      </w:r>
      <w:proofErr w:type="spellStart"/>
      <w:r>
        <w:rPr>
          <w:rFonts w:ascii="Times New Roman" w:hAnsi="Times New Roman" w:cs="Times New Roman"/>
          <w:sz w:val="20"/>
          <w:szCs w:val="20"/>
        </w:rPr>
        <w:t>Lakra</w:t>
      </w:r>
      <w:proofErr w:type="spellEnd"/>
      <w:r>
        <w:rPr>
          <w:rFonts w:ascii="Times New Roman" w:hAnsi="Times New Roman" w:cs="Times New Roman"/>
          <w:sz w:val="20"/>
          <w:szCs w:val="20"/>
        </w:rPr>
        <w:t xml:space="preserve"> N, Saharan BS, </w:t>
      </w:r>
      <w:proofErr w:type="spellStart"/>
      <w:r>
        <w:rPr>
          <w:rFonts w:ascii="Times New Roman" w:hAnsi="Times New Roman" w:cs="Times New Roman"/>
          <w:sz w:val="20"/>
          <w:szCs w:val="20"/>
        </w:rPr>
        <w:t>Luhach</w:t>
      </w:r>
      <w:proofErr w:type="spellEnd"/>
      <w:r>
        <w:rPr>
          <w:rFonts w:ascii="Times New Roman" w:hAnsi="Times New Roman" w:cs="Times New Roman"/>
          <w:sz w:val="20"/>
          <w:szCs w:val="20"/>
        </w:rPr>
        <w:t xml:space="preserve"> A, Kumar R, Seth CS, et al. Enhancing plant disease r</w:t>
      </w:r>
      <w:r>
        <w:rPr>
          <w:rFonts w:ascii="Times New Roman" w:hAnsi="Times New Roman" w:cs="Times New Roman"/>
          <w:sz w:val="20"/>
          <w:szCs w:val="20"/>
        </w:rPr>
        <w:t>esistance: insights from biocontrol agent strategies. Journal of Plant Growth Regulation. 2025;44(2):436-59.</w:t>
      </w:r>
    </w:p>
    <w:p w14:paraId="1A1AF99D"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Meena PD, Rai PK, Saharan GS. Distribution maps depicting geographical prevalence of rapeseed-mustard diseases in India. Indian Phytopathology. 202</w:t>
      </w:r>
      <w:r>
        <w:rPr>
          <w:rFonts w:ascii="Times New Roman" w:hAnsi="Times New Roman" w:cs="Times New Roman"/>
          <w:sz w:val="20"/>
          <w:szCs w:val="20"/>
        </w:rPr>
        <w:t>4;77(3):627-44.</w:t>
      </w:r>
    </w:p>
    <w:p w14:paraId="20A1669D"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Singh R. Impact of Climate Change on Wheat (Triticum </w:t>
      </w:r>
      <w:proofErr w:type="spellStart"/>
      <w:r>
        <w:rPr>
          <w:rFonts w:ascii="Times New Roman" w:hAnsi="Times New Roman" w:cs="Times New Roman"/>
          <w:sz w:val="20"/>
          <w:szCs w:val="20"/>
        </w:rPr>
        <w:t>Aetsivum</w:t>
      </w:r>
      <w:proofErr w:type="spellEnd"/>
      <w:r>
        <w:rPr>
          <w:rFonts w:ascii="Times New Roman" w:hAnsi="Times New Roman" w:cs="Times New Roman"/>
          <w:sz w:val="20"/>
          <w:szCs w:val="20"/>
        </w:rPr>
        <w:t xml:space="preserve"> L.) Yield in India: Banaras Hindu University Varanasi; 2019.</w:t>
      </w:r>
    </w:p>
    <w:p w14:paraId="64BE621D"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Ravindra K, Bhardwaj S, Gandhi AP, </w:t>
      </w:r>
      <w:proofErr w:type="spellStart"/>
      <w:r>
        <w:rPr>
          <w:rFonts w:ascii="Times New Roman" w:hAnsi="Times New Roman" w:cs="Times New Roman"/>
          <w:sz w:val="20"/>
          <w:szCs w:val="20"/>
        </w:rPr>
        <w:t>Attri</w:t>
      </w:r>
      <w:proofErr w:type="spellEnd"/>
      <w:r>
        <w:rPr>
          <w:rFonts w:ascii="Times New Roman" w:hAnsi="Times New Roman" w:cs="Times New Roman"/>
          <w:sz w:val="20"/>
          <w:szCs w:val="20"/>
        </w:rPr>
        <w:t xml:space="preserve"> SD, </w:t>
      </w:r>
      <w:proofErr w:type="spellStart"/>
      <w:r>
        <w:rPr>
          <w:rFonts w:ascii="Times New Roman" w:hAnsi="Times New Roman" w:cs="Times New Roman"/>
          <w:sz w:val="20"/>
          <w:szCs w:val="20"/>
        </w:rPr>
        <w:t>Mor</w:t>
      </w:r>
      <w:proofErr w:type="spellEnd"/>
      <w:r>
        <w:rPr>
          <w:rFonts w:ascii="Times New Roman" w:hAnsi="Times New Roman" w:cs="Times New Roman"/>
          <w:sz w:val="20"/>
          <w:szCs w:val="20"/>
        </w:rPr>
        <w:t xml:space="preserve"> S. Navigating the challenges of a warmer climate: strategies for mit</w:t>
      </w:r>
      <w:r>
        <w:rPr>
          <w:rFonts w:ascii="Times New Roman" w:hAnsi="Times New Roman" w:cs="Times New Roman"/>
          <w:sz w:val="20"/>
          <w:szCs w:val="20"/>
        </w:rPr>
        <w:t xml:space="preserve">igating impacts and fostering resilience in India. Air, Soil and Water Research. </w:t>
      </w:r>
      <w:proofErr w:type="gramStart"/>
      <w:r>
        <w:rPr>
          <w:rFonts w:ascii="Times New Roman" w:hAnsi="Times New Roman" w:cs="Times New Roman"/>
          <w:sz w:val="20"/>
          <w:szCs w:val="20"/>
        </w:rPr>
        <w:t>2025;18:11786221251325137</w:t>
      </w:r>
      <w:proofErr w:type="gramEnd"/>
      <w:r>
        <w:rPr>
          <w:rFonts w:ascii="Times New Roman" w:hAnsi="Times New Roman" w:cs="Times New Roman"/>
          <w:sz w:val="20"/>
          <w:szCs w:val="20"/>
        </w:rPr>
        <w:t>.</w:t>
      </w:r>
    </w:p>
    <w:p w14:paraId="09BB668C"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Luo D, </w:t>
      </w:r>
      <w:proofErr w:type="spellStart"/>
      <w:r>
        <w:rPr>
          <w:rFonts w:ascii="Times New Roman" w:hAnsi="Times New Roman" w:cs="Times New Roman"/>
          <w:sz w:val="20"/>
          <w:szCs w:val="20"/>
        </w:rPr>
        <w:t>Qiang</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Geng</w:t>
      </w:r>
      <w:proofErr w:type="spellEnd"/>
      <w:r>
        <w:rPr>
          <w:rFonts w:ascii="Times New Roman" w:hAnsi="Times New Roman" w:cs="Times New Roman"/>
          <w:sz w:val="20"/>
          <w:szCs w:val="20"/>
        </w:rPr>
        <w:t xml:space="preserve"> R, Shi L, Song J, Fan Q. Mechanistic study for mutual interactions of Pb2+ and Trichoderma </w:t>
      </w:r>
      <w:proofErr w:type="spellStart"/>
      <w:r>
        <w:rPr>
          <w:rFonts w:ascii="Times New Roman" w:hAnsi="Times New Roman" w:cs="Times New Roman"/>
          <w:sz w:val="20"/>
          <w:szCs w:val="20"/>
        </w:rPr>
        <w:t>viride</w:t>
      </w:r>
      <w:proofErr w:type="spellEnd"/>
      <w:r>
        <w:rPr>
          <w:rFonts w:ascii="Times New Roman" w:hAnsi="Times New Roman" w:cs="Times New Roman"/>
          <w:sz w:val="20"/>
          <w:szCs w:val="20"/>
        </w:rPr>
        <w:t>. Ecotoxicology and Environmen</w:t>
      </w:r>
      <w:r>
        <w:rPr>
          <w:rFonts w:ascii="Times New Roman" w:hAnsi="Times New Roman" w:cs="Times New Roman"/>
          <w:sz w:val="20"/>
          <w:szCs w:val="20"/>
        </w:rPr>
        <w:t xml:space="preserve">tal Safety. </w:t>
      </w:r>
      <w:proofErr w:type="gramStart"/>
      <w:r>
        <w:rPr>
          <w:rFonts w:ascii="Times New Roman" w:hAnsi="Times New Roman" w:cs="Times New Roman"/>
          <w:sz w:val="20"/>
          <w:szCs w:val="20"/>
        </w:rPr>
        <w:t>2022;233:113310</w:t>
      </w:r>
      <w:proofErr w:type="gramEnd"/>
      <w:r>
        <w:rPr>
          <w:rFonts w:ascii="Times New Roman" w:hAnsi="Times New Roman" w:cs="Times New Roman"/>
          <w:sz w:val="20"/>
          <w:szCs w:val="20"/>
        </w:rPr>
        <w:t>.</w:t>
      </w:r>
    </w:p>
    <w:p w14:paraId="40D255D4"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Timofeeva</w:t>
      </w:r>
      <w:proofErr w:type="spellEnd"/>
      <w:r>
        <w:rPr>
          <w:rFonts w:ascii="Times New Roman" w:hAnsi="Times New Roman" w:cs="Times New Roman"/>
          <w:sz w:val="20"/>
          <w:szCs w:val="20"/>
        </w:rPr>
        <w:t xml:space="preserve"> AM, </w:t>
      </w:r>
      <w:proofErr w:type="spellStart"/>
      <w:r>
        <w:rPr>
          <w:rFonts w:ascii="Times New Roman" w:hAnsi="Times New Roman" w:cs="Times New Roman"/>
          <w:sz w:val="20"/>
          <w:szCs w:val="20"/>
        </w:rPr>
        <w:t>Galyamova</w:t>
      </w:r>
      <w:proofErr w:type="spellEnd"/>
      <w:r>
        <w:rPr>
          <w:rFonts w:ascii="Times New Roman" w:hAnsi="Times New Roman" w:cs="Times New Roman"/>
          <w:sz w:val="20"/>
          <w:szCs w:val="20"/>
        </w:rPr>
        <w:t xml:space="preserve"> MR, </w:t>
      </w:r>
      <w:proofErr w:type="spellStart"/>
      <w:r>
        <w:rPr>
          <w:rFonts w:ascii="Times New Roman" w:hAnsi="Times New Roman" w:cs="Times New Roman"/>
          <w:sz w:val="20"/>
          <w:szCs w:val="20"/>
        </w:rPr>
        <w:t>Sedykh</w:t>
      </w:r>
      <w:proofErr w:type="spellEnd"/>
      <w:r>
        <w:rPr>
          <w:rFonts w:ascii="Times New Roman" w:hAnsi="Times New Roman" w:cs="Times New Roman"/>
          <w:sz w:val="20"/>
          <w:szCs w:val="20"/>
        </w:rPr>
        <w:t xml:space="preserve"> SE. Plant growth-promoting soil bacteria: nitrogen fixation, phosphate solubilization, siderophore production, and other biological activities. Plants. 2023;12(24):4074.</w:t>
      </w:r>
    </w:p>
    <w:p w14:paraId="334E3E67"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Ge J, Li D, Ding J, Xi</w:t>
      </w:r>
      <w:r>
        <w:rPr>
          <w:rFonts w:ascii="Times New Roman" w:hAnsi="Times New Roman" w:cs="Times New Roman"/>
          <w:sz w:val="20"/>
          <w:szCs w:val="20"/>
        </w:rPr>
        <w:t xml:space="preserve">ao X, Liang Y. Microbial coexistence in the rhizosphere and the promotion of plant stress resistance: a review. Environmental Research. </w:t>
      </w:r>
      <w:proofErr w:type="gramStart"/>
      <w:r>
        <w:rPr>
          <w:rFonts w:ascii="Times New Roman" w:hAnsi="Times New Roman" w:cs="Times New Roman"/>
          <w:sz w:val="20"/>
          <w:szCs w:val="20"/>
        </w:rPr>
        <w:t>2023;222:115298</w:t>
      </w:r>
      <w:proofErr w:type="gramEnd"/>
      <w:r>
        <w:rPr>
          <w:rFonts w:ascii="Times New Roman" w:hAnsi="Times New Roman" w:cs="Times New Roman"/>
          <w:sz w:val="20"/>
          <w:szCs w:val="20"/>
        </w:rPr>
        <w:t>.</w:t>
      </w:r>
    </w:p>
    <w:p w14:paraId="1534F7F1"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Rojo</w:t>
      </w:r>
      <w:proofErr w:type="spellEnd"/>
      <w:r>
        <w:rPr>
          <w:rFonts w:ascii="Times New Roman" w:hAnsi="Times New Roman" w:cs="Times New Roman"/>
          <w:sz w:val="20"/>
          <w:szCs w:val="20"/>
        </w:rPr>
        <w:t xml:space="preserve"> E, Solano R, Sánchez-Serrano JJ. Interactions between signaling compounds involved in plant defens</w:t>
      </w:r>
      <w:r>
        <w:rPr>
          <w:rFonts w:ascii="Times New Roman" w:hAnsi="Times New Roman" w:cs="Times New Roman"/>
          <w:sz w:val="20"/>
          <w:szCs w:val="20"/>
        </w:rPr>
        <w:t>e. Journal of Plant Growth Regulation. 2003;22(1):82-98.</w:t>
      </w:r>
    </w:p>
    <w:p w14:paraId="436B442C"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Gupta V, Singh B, Rao RK. Existing Climate Change Scenario and its Arising Risks. India; 2023.</w:t>
      </w:r>
    </w:p>
    <w:p w14:paraId="198713B6"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Luther L, </w:t>
      </w:r>
      <w:proofErr w:type="spellStart"/>
      <w:r>
        <w:rPr>
          <w:rFonts w:ascii="Times New Roman" w:hAnsi="Times New Roman" w:cs="Times New Roman"/>
          <w:sz w:val="20"/>
          <w:szCs w:val="20"/>
        </w:rPr>
        <w:t>Lemmens</w:t>
      </w:r>
      <w:proofErr w:type="spellEnd"/>
      <w:r>
        <w:rPr>
          <w:rFonts w:ascii="Times New Roman" w:hAnsi="Times New Roman" w:cs="Times New Roman"/>
          <w:sz w:val="20"/>
          <w:szCs w:val="20"/>
        </w:rPr>
        <w:t xml:space="preserve"> T. Human Genetic Data Banks: From Consent to Commercialization–An Overview of Current </w:t>
      </w:r>
      <w:r>
        <w:rPr>
          <w:rFonts w:ascii="Times New Roman" w:hAnsi="Times New Roman" w:cs="Times New Roman"/>
          <w:sz w:val="20"/>
          <w:szCs w:val="20"/>
        </w:rPr>
        <w:t xml:space="preserve">Concerns and Conundrums. BIOTECHNOLOGY-Volume XII: Fundamentals in Biotechnology. </w:t>
      </w:r>
      <w:proofErr w:type="gramStart"/>
      <w:r>
        <w:rPr>
          <w:rFonts w:ascii="Times New Roman" w:hAnsi="Times New Roman" w:cs="Times New Roman"/>
          <w:sz w:val="20"/>
          <w:szCs w:val="20"/>
        </w:rPr>
        <w:t>2009;11:198</w:t>
      </w:r>
      <w:proofErr w:type="gramEnd"/>
      <w:r>
        <w:rPr>
          <w:rFonts w:ascii="Times New Roman" w:hAnsi="Times New Roman" w:cs="Times New Roman"/>
          <w:sz w:val="20"/>
          <w:szCs w:val="20"/>
        </w:rPr>
        <w:t>.</w:t>
      </w:r>
    </w:p>
    <w:p w14:paraId="6E0BF38C" w14:textId="77777777" w:rsidR="00D412BB" w:rsidRDefault="00D412BB">
      <w:pPr>
        <w:spacing w:before="60" w:after="60"/>
        <w:rPr>
          <w:rFonts w:cs="Arial"/>
          <w:sz w:val="20"/>
          <w:szCs w:val="20"/>
        </w:rPr>
      </w:pPr>
    </w:p>
    <w:p w14:paraId="5B8B382B" w14:textId="77777777" w:rsidR="00D412BB" w:rsidRDefault="00D412BB">
      <w:pPr>
        <w:spacing w:before="60" w:after="60"/>
        <w:rPr>
          <w:rFonts w:cs="Arial"/>
        </w:rPr>
      </w:pPr>
    </w:p>
    <w:p w14:paraId="5B005D96" w14:textId="77777777" w:rsidR="00D412BB" w:rsidRDefault="00D412BB">
      <w:pPr>
        <w:spacing w:before="60" w:after="60"/>
        <w:rPr>
          <w:rFonts w:cs="Arial"/>
        </w:rPr>
      </w:pPr>
    </w:p>
    <w:sectPr w:rsidR="00D412BB">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DC2FC" w14:textId="77777777" w:rsidR="00DA3370" w:rsidRDefault="00DA3370" w:rsidP="003C6906">
      <w:r>
        <w:separator/>
      </w:r>
    </w:p>
  </w:endnote>
  <w:endnote w:type="continuationSeparator" w:id="0">
    <w:p w14:paraId="50458C94" w14:textId="77777777" w:rsidR="00DA3370" w:rsidRDefault="00DA3370" w:rsidP="003C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3C3CB" w14:textId="77777777" w:rsidR="003C6906" w:rsidRDefault="003C6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2954E" w14:textId="77777777" w:rsidR="003C6906" w:rsidRDefault="003C6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CB280" w14:textId="77777777" w:rsidR="003C6906" w:rsidRDefault="003C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41E4E" w14:textId="77777777" w:rsidR="00DA3370" w:rsidRDefault="00DA3370" w:rsidP="003C6906">
      <w:r>
        <w:separator/>
      </w:r>
    </w:p>
  </w:footnote>
  <w:footnote w:type="continuationSeparator" w:id="0">
    <w:p w14:paraId="2B5804E2" w14:textId="77777777" w:rsidR="00DA3370" w:rsidRDefault="00DA3370" w:rsidP="003C6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8DEB" w14:textId="730EA136" w:rsidR="003C6906" w:rsidRDefault="003C6906">
    <w:pPr>
      <w:pStyle w:val="Header"/>
    </w:pPr>
    <w:r>
      <w:rPr>
        <w:noProof/>
      </w:rPr>
      <w:pict w14:anchorId="03872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91" o:spid="_x0000_s2050"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EF72" w14:textId="05DB75B6" w:rsidR="003C6906" w:rsidRDefault="003C6906">
    <w:pPr>
      <w:pStyle w:val="Header"/>
    </w:pPr>
    <w:r>
      <w:rPr>
        <w:noProof/>
      </w:rPr>
      <w:pict w14:anchorId="23015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92" o:spid="_x0000_s2051"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9F35C" w14:textId="488ED89C" w:rsidR="003C6906" w:rsidRDefault="003C6906">
    <w:pPr>
      <w:pStyle w:val="Header"/>
    </w:pPr>
    <w:r>
      <w:rPr>
        <w:noProof/>
      </w:rPr>
      <w:pict w14:anchorId="4CF75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90" o:spid="_x0000_s2049"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00991"/>
    <w:multiLevelType w:val="multilevel"/>
    <w:tmpl w:val="2F30099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6C6AA9"/>
    <w:multiLevelType w:val="multilevel"/>
    <w:tmpl w:val="336C6A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2zpsea0sr9vme0z05x2aeppwsrp95axfr9&quot;&gt;My EndNote Library&lt;record-ids&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record-ids&gt;&lt;/item&gt;&lt;/Libraries&gt;"/>
  </w:docVars>
  <w:rsids>
    <w:rsidRoot w:val="00AB27BD"/>
    <w:rsid w:val="0001101E"/>
    <w:rsid w:val="000660AD"/>
    <w:rsid w:val="00081427"/>
    <w:rsid w:val="000A5053"/>
    <w:rsid w:val="000D674C"/>
    <w:rsid w:val="000F434E"/>
    <w:rsid w:val="000F6175"/>
    <w:rsid w:val="00122615"/>
    <w:rsid w:val="00124964"/>
    <w:rsid w:val="001655E1"/>
    <w:rsid w:val="00171CDE"/>
    <w:rsid w:val="00184638"/>
    <w:rsid w:val="001C52B1"/>
    <w:rsid w:val="001D2EDB"/>
    <w:rsid w:val="001E5824"/>
    <w:rsid w:val="00245E7D"/>
    <w:rsid w:val="00286AF5"/>
    <w:rsid w:val="00362192"/>
    <w:rsid w:val="00374590"/>
    <w:rsid w:val="003C6906"/>
    <w:rsid w:val="00473B23"/>
    <w:rsid w:val="004858FD"/>
    <w:rsid w:val="00496798"/>
    <w:rsid w:val="004C06B7"/>
    <w:rsid w:val="004C0BBE"/>
    <w:rsid w:val="004E262F"/>
    <w:rsid w:val="004F09E1"/>
    <w:rsid w:val="00554FE5"/>
    <w:rsid w:val="0055596C"/>
    <w:rsid w:val="005901D7"/>
    <w:rsid w:val="00592056"/>
    <w:rsid w:val="005B12C2"/>
    <w:rsid w:val="005E2C68"/>
    <w:rsid w:val="005F0D87"/>
    <w:rsid w:val="0060755C"/>
    <w:rsid w:val="00615D16"/>
    <w:rsid w:val="00624191"/>
    <w:rsid w:val="00662DED"/>
    <w:rsid w:val="00694A56"/>
    <w:rsid w:val="006C1A46"/>
    <w:rsid w:val="006E313B"/>
    <w:rsid w:val="006F4642"/>
    <w:rsid w:val="007176B8"/>
    <w:rsid w:val="00743EEE"/>
    <w:rsid w:val="00784B67"/>
    <w:rsid w:val="007E5D81"/>
    <w:rsid w:val="008E7E02"/>
    <w:rsid w:val="009474DB"/>
    <w:rsid w:val="00962610"/>
    <w:rsid w:val="009D4717"/>
    <w:rsid w:val="00A11689"/>
    <w:rsid w:val="00A33FAD"/>
    <w:rsid w:val="00A4527E"/>
    <w:rsid w:val="00AB27BD"/>
    <w:rsid w:val="00AC6486"/>
    <w:rsid w:val="00B25964"/>
    <w:rsid w:val="00B93C3D"/>
    <w:rsid w:val="00B97A39"/>
    <w:rsid w:val="00BB6154"/>
    <w:rsid w:val="00BD454E"/>
    <w:rsid w:val="00BD4E0C"/>
    <w:rsid w:val="00C15100"/>
    <w:rsid w:val="00CC7337"/>
    <w:rsid w:val="00CE6EAB"/>
    <w:rsid w:val="00D14687"/>
    <w:rsid w:val="00D37C75"/>
    <w:rsid w:val="00D412BB"/>
    <w:rsid w:val="00D4316E"/>
    <w:rsid w:val="00DA1559"/>
    <w:rsid w:val="00DA17B0"/>
    <w:rsid w:val="00DA3370"/>
    <w:rsid w:val="00DC501A"/>
    <w:rsid w:val="00DF4B8F"/>
    <w:rsid w:val="00E142CF"/>
    <w:rsid w:val="00E44F6B"/>
    <w:rsid w:val="00E703DB"/>
    <w:rsid w:val="00EA372E"/>
    <w:rsid w:val="00ED2E3B"/>
    <w:rsid w:val="00EF59A6"/>
    <w:rsid w:val="00F232F4"/>
    <w:rsid w:val="00F47386"/>
    <w:rsid w:val="00F977E5"/>
    <w:rsid w:val="00FB447C"/>
    <w:rsid w:val="11BB40A7"/>
    <w:rsid w:val="336E17F0"/>
    <w:rsid w:val="3F1E2C5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90679C"/>
  <w15:docId w15:val="{A22FAAD8-E472-4FB9-A2BA-0D6BF0B9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sz w:val="22"/>
      <w:szCs w:val="22"/>
      <w:lang w:bidi="hi-IN"/>
    </w:rPr>
  </w:style>
  <w:style w:type="paragraph" w:styleId="Heading1">
    <w:name w:val="heading 1"/>
    <w:qFormat/>
    <w:pPr>
      <w:spacing w:before="400" w:after="200"/>
      <w:outlineLvl w:val="0"/>
    </w:pPr>
    <w:rPr>
      <w:b/>
      <w:bCs/>
      <w:color w:val="1F3864"/>
      <w:sz w:val="28"/>
      <w:szCs w:val="28"/>
      <w:lang w:bidi="hi-IN"/>
    </w:rPr>
  </w:style>
  <w:style w:type="paragraph" w:styleId="Heading2">
    <w:name w:val="heading 2"/>
    <w:link w:val="Heading2Char"/>
    <w:qFormat/>
    <w:pPr>
      <w:spacing w:before="300" w:after="160"/>
      <w:outlineLvl w:val="1"/>
    </w:pPr>
    <w:rPr>
      <w:b/>
      <w:bCs/>
      <w:color w:val="2E75B6"/>
      <w:sz w:val="24"/>
      <w:szCs w:val="24"/>
      <w:lang w:bidi="hi-IN"/>
    </w:rPr>
  </w:style>
  <w:style w:type="paragraph" w:styleId="Heading3">
    <w:name w:val="heading 3"/>
    <w:qFormat/>
    <w:pPr>
      <w:outlineLvl w:val="2"/>
    </w:pPr>
    <w:rPr>
      <w:color w:val="1F4D78"/>
      <w:sz w:val="24"/>
      <w:szCs w:val="24"/>
      <w:lang w:bidi="hi-IN"/>
    </w:rPr>
  </w:style>
  <w:style w:type="paragraph" w:styleId="Heading4">
    <w:name w:val="heading 4"/>
    <w:qFormat/>
    <w:pPr>
      <w:outlineLvl w:val="3"/>
    </w:pPr>
    <w:rPr>
      <w:i/>
      <w:iCs/>
      <w:color w:val="2E74B5"/>
      <w:sz w:val="22"/>
      <w:szCs w:val="22"/>
      <w:lang w:bidi="hi-IN"/>
    </w:rPr>
  </w:style>
  <w:style w:type="paragraph" w:styleId="Heading5">
    <w:name w:val="heading 5"/>
    <w:qFormat/>
    <w:pPr>
      <w:outlineLvl w:val="4"/>
    </w:pPr>
    <w:rPr>
      <w:color w:val="2E74B5"/>
      <w:sz w:val="22"/>
      <w:szCs w:val="22"/>
      <w:lang w:bidi="hi-IN"/>
    </w:rPr>
  </w:style>
  <w:style w:type="paragraph" w:styleId="Heading6">
    <w:name w:val="heading 6"/>
    <w:qFormat/>
    <w:pPr>
      <w:outlineLvl w:val="5"/>
    </w:pPr>
    <w:rPr>
      <w:color w:val="1F4D78"/>
      <w:sz w:val="22"/>
      <w:szCs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lang w:bidi="hi-IN"/>
    </w:rPr>
  </w:style>
  <w:style w:type="character" w:styleId="Hyperlink">
    <w:name w:val="Hyperlink"/>
    <w:uiPriority w:val="99"/>
    <w:unhideWhenUsed/>
    <w:qFormat/>
    <w:rPr>
      <w:color w:val="0563C1"/>
      <w:u w:val="single"/>
    </w:rPr>
  </w:style>
  <w:style w:type="paragraph" w:styleId="Title">
    <w:name w:val="Title"/>
    <w:qFormat/>
    <w:rPr>
      <w:sz w:val="56"/>
      <w:szCs w:val="56"/>
      <w:lang w:bidi="hi-IN"/>
    </w:rPr>
  </w:style>
  <w:style w:type="paragraph" w:customStyle="1" w:styleId="Strong1">
    <w:name w:val="Strong1"/>
    <w:qFormat/>
    <w:rPr>
      <w:b/>
      <w:bCs/>
      <w:sz w:val="22"/>
      <w:szCs w:val="22"/>
      <w:lang w:bidi="hi-IN"/>
    </w:rPr>
  </w:style>
  <w:style w:type="paragraph" w:styleId="ListParagraph">
    <w:name w:val="List Paragraph"/>
    <w:qFormat/>
    <w:rPr>
      <w:sz w:val="22"/>
      <w:szCs w:val="22"/>
      <w:lang w:bidi="hi-IN"/>
    </w:rPr>
  </w:style>
  <w:style w:type="character" w:customStyle="1" w:styleId="FootnoteTextChar">
    <w:name w:val="Footnote Text Char"/>
    <w:link w:val="FootnoteText"/>
    <w:uiPriority w:val="99"/>
    <w:semiHidden/>
    <w:unhideWhenUsed/>
    <w:rPr>
      <w:sz w:val="20"/>
      <w:szCs w:val="20"/>
    </w:rPr>
  </w:style>
  <w:style w:type="paragraph" w:customStyle="1" w:styleId="EndNoteBibliographyTitle">
    <w:name w:val="EndNote Bibliography Title"/>
    <w:basedOn w:val="Normal"/>
    <w:link w:val="EndNoteBibliographyTitleChar"/>
    <w:pPr>
      <w:jc w:val="center"/>
    </w:pPr>
    <w:rPr>
      <w:rFonts w:cs="Arial"/>
    </w:rPr>
  </w:style>
  <w:style w:type="character" w:customStyle="1" w:styleId="EndNoteBibliographyTitleChar">
    <w:name w:val="EndNote Bibliography Title Char"/>
    <w:basedOn w:val="DefaultParagraphFont"/>
    <w:link w:val="EndNoteBibliographyTitle"/>
  </w:style>
  <w:style w:type="paragraph" w:customStyle="1" w:styleId="EndNoteBibliography">
    <w:name w:val="EndNote Bibliography"/>
    <w:basedOn w:val="Normal"/>
    <w:link w:val="EndNoteBibliographyChar"/>
    <w:pPr>
      <w:jc w:val="right"/>
    </w:pPr>
    <w:rPr>
      <w:rFonts w:cs="Arial"/>
    </w:rPr>
  </w:style>
  <w:style w:type="character" w:customStyle="1" w:styleId="EndNoteBibliographyChar">
    <w:name w:val="EndNote Bibliography Char"/>
    <w:basedOn w:val="DefaultParagraphFont"/>
    <w:link w:val="EndNoteBibliography"/>
  </w:style>
  <w:style w:type="character" w:styleId="UnresolvedMention">
    <w:name w:val="Unresolved Mention"/>
    <w:basedOn w:val="DefaultParagraphFont"/>
    <w:uiPriority w:val="99"/>
    <w:semiHidden/>
    <w:unhideWhenUsed/>
    <w:rsid w:val="00DA17B0"/>
    <w:rPr>
      <w:color w:val="605E5C"/>
      <w:shd w:val="clear" w:color="auto" w:fill="E1DFDD"/>
    </w:rPr>
  </w:style>
  <w:style w:type="character" w:customStyle="1" w:styleId="Heading2Char">
    <w:name w:val="Heading 2 Char"/>
    <w:basedOn w:val="DefaultParagraphFont"/>
    <w:link w:val="Heading2"/>
    <w:rsid w:val="00D4316E"/>
    <w:rPr>
      <w:b/>
      <w:bCs/>
      <w:color w:val="2E75B6"/>
      <w:sz w:val="24"/>
      <w:szCs w:val="24"/>
      <w:lang w:bidi="hi-IN"/>
    </w:rPr>
  </w:style>
  <w:style w:type="paragraph" w:styleId="Header">
    <w:name w:val="header"/>
    <w:basedOn w:val="Normal"/>
    <w:link w:val="HeaderChar"/>
    <w:uiPriority w:val="99"/>
    <w:unhideWhenUsed/>
    <w:rsid w:val="003C6906"/>
    <w:pPr>
      <w:tabs>
        <w:tab w:val="center" w:pos="4513"/>
        <w:tab w:val="right" w:pos="9026"/>
      </w:tabs>
    </w:pPr>
    <w:rPr>
      <w:szCs w:val="20"/>
    </w:rPr>
  </w:style>
  <w:style w:type="character" w:customStyle="1" w:styleId="HeaderChar">
    <w:name w:val="Header Char"/>
    <w:basedOn w:val="DefaultParagraphFont"/>
    <w:link w:val="Header"/>
    <w:uiPriority w:val="99"/>
    <w:rsid w:val="003C6906"/>
    <w:rPr>
      <w:rFonts w:cs="Mangal"/>
      <w:sz w:val="22"/>
      <w:lang w:bidi="hi-IN"/>
    </w:rPr>
  </w:style>
  <w:style w:type="paragraph" w:styleId="Footer">
    <w:name w:val="footer"/>
    <w:basedOn w:val="Normal"/>
    <w:link w:val="FooterChar"/>
    <w:uiPriority w:val="99"/>
    <w:unhideWhenUsed/>
    <w:rsid w:val="003C6906"/>
    <w:pPr>
      <w:tabs>
        <w:tab w:val="center" w:pos="4513"/>
        <w:tab w:val="right" w:pos="9026"/>
      </w:tabs>
    </w:pPr>
    <w:rPr>
      <w:szCs w:val="20"/>
    </w:rPr>
  </w:style>
  <w:style w:type="character" w:customStyle="1" w:styleId="FooterChar">
    <w:name w:val="Footer Char"/>
    <w:basedOn w:val="DefaultParagraphFont"/>
    <w:link w:val="Footer"/>
    <w:uiPriority w:val="99"/>
    <w:rsid w:val="003C6906"/>
    <w:rPr>
      <w:rFonts w:cs="Mangal"/>
      <w:sz w:val="2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11241</Words>
  <Characters>64075</Characters>
  <Application>Microsoft Office Word</Application>
  <DocSecurity>0</DocSecurity>
  <Lines>533</Lines>
  <Paragraphs>150</Paragraphs>
  <ScaleCrop>false</ScaleCrop>
  <Company/>
  <LinksUpToDate>false</LinksUpToDate>
  <CharactersWithSpaces>75166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78</cp:revision>
  <dcterms:created xsi:type="dcterms:W3CDTF">2026-02-25T10:27:00Z</dcterms:created>
  <dcterms:modified xsi:type="dcterms:W3CDTF">2026-03-25T11:11:00Z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eyJoZGlkIjoiN2M2NGVmMWI4OWVmNzE4MzdmZGZlMTM4MTU5N2I4ZTAiLCJ1c2VySWQiOiI1NjcwNjMyMDA5MDAifQ==</vt:lpwstr>
  </property>
  <property fmtid="{D5CDD505-2E9C-101B-9397-08002B2CF9AE}" pid="3" name="KSOProductBuildVer">
    <vt:lpwstr>1033-12.1.0.25242</vt:lpwstr>
  </property>
  <property fmtid="{D5CDD505-2E9C-101B-9397-08002B2CF9AE}" pid="4" name="ICV">
    <vt:lpwstr>DFBF15FE84244B2CB81F49E27BDA7F27_13</vt:lpwstr>
  </property>
</Properties>
</file>