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62C1" w14:textId="38E94EEB" w:rsidR="001364A9" w:rsidRPr="001364A9" w:rsidRDefault="001364A9" w:rsidP="001364A9">
      <w:pPr>
        <w:rPr>
          <w:rFonts w:ascii="Arial" w:hAnsi="Arial" w:cs="Arial"/>
          <w:sz w:val="22"/>
          <w:szCs w:val="22"/>
          <w:u w:val="single"/>
          <w:lang w:val="en-US"/>
        </w:rPr>
      </w:pPr>
      <w:r w:rsidRPr="001364A9">
        <w:rPr>
          <w:rFonts w:ascii="Arial" w:hAnsi="Arial" w:cs="Arial"/>
          <w:sz w:val="22"/>
          <w:szCs w:val="22"/>
          <w:u w:val="single"/>
          <w:lang w:val="en-US"/>
        </w:rPr>
        <w:t>Original Research Article</w:t>
      </w:r>
    </w:p>
    <w:p w14:paraId="3EAAF4D2" w14:textId="0CFB39A0" w:rsidR="006D08C1" w:rsidRPr="006D08C1" w:rsidRDefault="006D08C1" w:rsidP="00D62916">
      <w:pPr>
        <w:jc w:val="center"/>
        <w:rPr>
          <w:rFonts w:ascii="Arial" w:hAnsi="Arial" w:cs="Arial"/>
          <w:sz w:val="22"/>
          <w:szCs w:val="22"/>
          <w:lang w:val="en-US"/>
        </w:rPr>
      </w:pPr>
      <w:r w:rsidRPr="006D08C1">
        <w:rPr>
          <w:rFonts w:ascii="Arial" w:hAnsi="Arial" w:cs="Arial"/>
          <w:sz w:val="22"/>
          <w:szCs w:val="22"/>
          <w:lang w:val="en-US"/>
        </w:rPr>
        <w:t>Assessment of Knowledge in Pea Cultivation Across Ten Panchayats in Seraj Valley, Mandi District, Himachal Pradesh</w:t>
      </w:r>
    </w:p>
    <w:p w14:paraId="14077AEC" w14:textId="132BFF2F" w:rsidR="006D08C1" w:rsidRDefault="006D08C1" w:rsidP="006D08C1">
      <w:pPr>
        <w:jc w:val="both"/>
        <w:rPr>
          <w:rFonts w:ascii="Arial" w:hAnsi="Arial" w:cs="Arial"/>
          <w:sz w:val="22"/>
          <w:szCs w:val="22"/>
          <w:lang w:val="en-US"/>
        </w:rPr>
      </w:pPr>
    </w:p>
    <w:p w14:paraId="19E97808" w14:textId="77777777" w:rsidR="005A549D" w:rsidRPr="006D08C1" w:rsidRDefault="005A549D" w:rsidP="006D08C1">
      <w:pPr>
        <w:jc w:val="both"/>
        <w:rPr>
          <w:rFonts w:ascii="Arial" w:hAnsi="Arial" w:cs="Arial"/>
          <w:sz w:val="22"/>
          <w:szCs w:val="22"/>
          <w:lang w:val="en-US"/>
        </w:rPr>
      </w:pPr>
    </w:p>
    <w:p w14:paraId="7E036A53" w14:textId="77777777" w:rsidR="006D08C1" w:rsidRPr="006D08C1" w:rsidRDefault="006D08C1" w:rsidP="00D62916">
      <w:pPr>
        <w:jc w:val="center"/>
        <w:rPr>
          <w:rFonts w:ascii="Arial" w:hAnsi="Arial" w:cs="Arial"/>
          <w:b/>
          <w:bCs/>
          <w:sz w:val="22"/>
          <w:szCs w:val="22"/>
          <w:lang w:val="en-US"/>
        </w:rPr>
      </w:pPr>
      <w:r w:rsidRPr="006D08C1">
        <w:rPr>
          <w:rFonts w:ascii="Arial" w:hAnsi="Arial" w:cs="Arial"/>
          <w:b/>
          <w:bCs/>
          <w:sz w:val="22"/>
          <w:szCs w:val="22"/>
          <w:lang w:val="en-US"/>
        </w:rPr>
        <w:t>ABSTRACT</w:t>
      </w:r>
    </w:p>
    <w:p w14:paraId="6412F400" w14:textId="77777777" w:rsidR="006D08C1" w:rsidRPr="006D08C1" w:rsidRDefault="006D08C1" w:rsidP="006D08C1">
      <w:pPr>
        <w:jc w:val="both"/>
        <w:rPr>
          <w:rFonts w:ascii="Arial" w:hAnsi="Arial" w:cs="Arial"/>
          <w:sz w:val="22"/>
          <w:szCs w:val="22"/>
          <w:lang w:val="en-US"/>
        </w:rPr>
      </w:pPr>
    </w:p>
    <w:p w14:paraId="7896FEC9" w14:textId="2EE16CA5" w:rsidR="006D08C1" w:rsidRPr="006D08C1" w:rsidRDefault="006D08C1" w:rsidP="00D62916">
      <w:pPr>
        <w:ind w:firstLine="720"/>
        <w:jc w:val="both"/>
        <w:rPr>
          <w:rFonts w:ascii="Arial" w:hAnsi="Arial" w:cs="Arial"/>
          <w:sz w:val="22"/>
          <w:szCs w:val="22"/>
        </w:rPr>
      </w:pPr>
      <w:r w:rsidRPr="006D08C1">
        <w:rPr>
          <w:rFonts w:ascii="Arial" w:hAnsi="Arial" w:cs="Arial"/>
          <w:sz w:val="22"/>
          <w:szCs w:val="22"/>
        </w:rPr>
        <w:t xml:space="preserve">A comprehensive field survey was conducted across ten selected panchayats in the Seraj Valley of Mandi District, Himachal Pradesh, to assess farmers’ knowledge, practices and challenges related to pea cultivation and associated agricultural components. The study focused on various parameters including farmer categories, field preparation methods, varietal usage, seed rate, seed treatment, fertilizer and irrigation practices, weed and disease management, spacing knowledge, yield and income levels, crop rotation and perceptions of climate change. Results revealed a predominance of marginal farmers in all locations with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and </w:t>
      </w:r>
      <w:proofErr w:type="spellStart"/>
      <w:r w:rsidRPr="006D08C1">
        <w:rPr>
          <w:rFonts w:ascii="Arial" w:hAnsi="Arial" w:cs="Arial"/>
          <w:sz w:val="22"/>
          <w:szCs w:val="22"/>
        </w:rPr>
        <w:t>Shilli</w:t>
      </w:r>
      <w:proofErr w:type="spellEnd"/>
      <w:r w:rsidRPr="006D08C1">
        <w:rPr>
          <w:rFonts w:ascii="Arial" w:hAnsi="Arial" w:cs="Arial"/>
          <w:sz w:val="22"/>
          <w:szCs w:val="22"/>
        </w:rPr>
        <w:t xml:space="preserve"> </w:t>
      </w:r>
      <w:proofErr w:type="spellStart"/>
      <w:r w:rsidRPr="006D08C1">
        <w:rPr>
          <w:rFonts w:ascii="Arial" w:hAnsi="Arial" w:cs="Arial"/>
          <w:sz w:val="22"/>
          <w:szCs w:val="22"/>
        </w:rPr>
        <w:t>Baggi</w:t>
      </w:r>
      <w:proofErr w:type="spellEnd"/>
      <w:r w:rsidRPr="006D08C1">
        <w:rPr>
          <w:rFonts w:ascii="Arial" w:hAnsi="Arial" w:cs="Arial"/>
          <w:sz w:val="22"/>
          <w:szCs w:val="22"/>
        </w:rPr>
        <w:t xml:space="preserve"> comprising entirely of marginal landholders, reflecting the fragmented hill farming system. Traditional field preparation methods still dominate in remote areas, while modern mechanization was observed in more accessible regions like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and </w:t>
      </w:r>
      <w:proofErr w:type="spellStart"/>
      <w:r w:rsidRPr="006D08C1">
        <w:rPr>
          <w:rFonts w:ascii="Arial" w:hAnsi="Arial" w:cs="Arial"/>
          <w:sz w:val="22"/>
          <w:szCs w:val="22"/>
        </w:rPr>
        <w:t>Chatri</w:t>
      </w:r>
      <w:proofErr w:type="spellEnd"/>
      <w:r w:rsidRPr="006D08C1">
        <w:rPr>
          <w:rFonts w:ascii="Arial" w:hAnsi="Arial" w:cs="Arial"/>
          <w:sz w:val="22"/>
          <w:szCs w:val="22"/>
        </w:rPr>
        <w:t xml:space="preserve">. Varietal adoption showed wide variation; </w:t>
      </w:r>
      <w:proofErr w:type="spellStart"/>
      <w:r w:rsidRPr="006D08C1">
        <w:rPr>
          <w:rFonts w:ascii="Arial" w:hAnsi="Arial" w:cs="Arial"/>
          <w:sz w:val="22"/>
          <w:szCs w:val="22"/>
        </w:rPr>
        <w:t>Dhim</w:t>
      </w:r>
      <w:proofErr w:type="spellEnd"/>
      <w:r w:rsidRPr="006D08C1">
        <w:rPr>
          <w:rFonts w:ascii="Arial" w:hAnsi="Arial" w:cs="Arial"/>
          <w:sz w:val="22"/>
          <w:szCs w:val="22"/>
        </w:rPr>
        <w:t xml:space="preserve"> </w:t>
      </w:r>
      <w:proofErr w:type="spellStart"/>
      <w:r w:rsidRPr="006D08C1">
        <w:rPr>
          <w:rFonts w:ascii="Arial" w:hAnsi="Arial" w:cs="Arial"/>
          <w:sz w:val="22"/>
          <w:szCs w:val="22"/>
        </w:rPr>
        <w:t>Kataru</w:t>
      </w:r>
      <w:proofErr w:type="spellEnd"/>
      <w:r w:rsidRPr="006D08C1">
        <w:rPr>
          <w:rFonts w:ascii="Arial" w:hAnsi="Arial" w:cs="Arial"/>
          <w:sz w:val="22"/>
          <w:szCs w:val="22"/>
        </w:rPr>
        <w:t xml:space="preserve"> recorded the highest usage of recommended varieties (48%), whereas </w:t>
      </w:r>
      <w:proofErr w:type="spellStart"/>
      <w:r w:rsidRPr="006D08C1">
        <w:rPr>
          <w:rFonts w:ascii="Arial" w:hAnsi="Arial" w:cs="Arial"/>
          <w:sz w:val="22"/>
          <w:szCs w:val="22"/>
        </w:rPr>
        <w:t>Shilli</w:t>
      </w:r>
      <w:proofErr w:type="spellEnd"/>
      <w:r w:rsidRPr="006D08C1">
        <w:rPr>
          <w:rFonts w:ascii="Arial" w:hAnsi="Arial" w:cs="Arial"/>
          <w:sz w:val="22"/>
          <w:szCs w:val="22"/>
        </w:rPr>
        <w:t xml:space="preserve"> </w:t>
      </w:r>
      <w:proofErr w:type="spellStart"/>
      <w:r w:rsidRPr="006D08C1">
        <w:rPr>
          <w:rFonts w:ascii="Arial" w:hAnsi="Arial" w:cs="Arial"/>
          <w:sz w:val="22"/>
          <w:szCs w:val="22"/>
        </w:rPr>
        <w:t>Baggi</w:t>
      </w:r>
      <w:proofErr w:type="spellEnd"/>
      <w:r w:rsidRPr="006D08C1">
        <w:rPr>
          <w:rFonts w:ascii="Arial" w:hAnsi="Arial" w:cs="Arial"/>
          <w:sz w:val="22"/>
          <w:szCs w:val="22"/>
        </w:rPr>
        <w:t xml:space="preserve"> and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lagged behind. Encouragingly, many panchayats reported medium to high compliance with recommended seed rates. However, seed treatment remained notably low across villages, indicating major gaps in awareness or access to inputs. Fertilizer knowledge was high in some villages but alarmingly low in others like Thana and </w:t>
      </w:r>
      <w:proofErr w:type="spellStart"/>
      <w:r w:rsidRPr="006D08C1">
        <w:rPr>
          <w:rFonts w:ascii="Arial" w:hAnsi="Arial" w:cs="Arial"/>
          <w:sz w:val="22"/>
          <w:szCs w:val="22"/>
        </w:rPr>
        <w:t>Bagra</w:t>
      </w:r>
      <w:proofErr w:type="spellEnd"/>
      <w:r w:rsidRPr="006D08C1">
        <w:rPr>
          <w:rFonts w:ascii="Arial" w:hAnsi="Arial" w:cs="Arial"/>
          <w:sz w:val="22"/>
          <w:szCs w:val="22"/>
        </w:rPr>
        <w:t xml:space="preserve"> Thach, pointing to uneven extension coverage. Spacing and weed management also reflected similar disparities, while disease management knowledge was generally limited, except in a few panchayats. Yield and income levels were closely linked, with low productivity corresponding to low earnings in most villages. Crop rotation was widely adopted, except in </w:t>
      </w:r>
      <w:proofErr w:type="spellStart"/>
      <w:r w:rsidRPr="006D08C1">
        <w:rPr>
          <w:rFonts w:ascii="Arial" w:hAnsi="Arial" w:cs="Arial"/>
          <w:sz w:val="22"/>
          <w:szCs w:val="22"/>
        </w:rPr>
        <w:t>Chiuni</w:t>
      </w:r>
      <w:proofErr w:type="spellEnd"/>
      <w:r w:rsidRPr="006D08C1">
        <w:rPr>
          <w:rFonts w:ascii="Arial" w:hAnsi="Arial" w:cs="Arial"/>
          <w:sz w:val="22"/>
          <w:szCs w:val="22"/>
        </w:rPr>
        <w:t xml:space="preserve">, while irrigation access remained a significant limiting factor for productivity. Awareness of climate change was highest in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and </w:t>
      </w:r>
      <w:proofErr w:type="spellStart"/>
      <w:r w:rsidRPr="006D08C1">
        <w:rPr>
          <w:rFonts w:ascii="Arial" w:hAnsi="Arial" w:cs="Arial"/>
          <w:sz w:val="22"/>
          <w:szCs w:val="22"/>
        </w:rPr>
        <w:t>Dhim</w:t>
      </w:r>
      <w:proofErr w:type="spellEnd"/>
      <w:r w:rsidRPr="006D08C1">
        <w:rPr>
          <w:rFonts w:ascii="Arial" w:hAnsi="Arial" w:cs="Arial"/>
          <w:sz w:val="22"/>
          <w:szCs w:val="22"/>
        </w:rPr>
        <w:t xml:space="preserve"> </w:t>
      </w:r>
      <w:proofErr w:type="spellStart"/>
      <w:r w:rsidRPr="006D08C1">
        <w:rPr>
          <w:rFonts w:ascii="Arial" w:hAnsi="Arial" w:cs="Arial"/>
          <w:sz w:val="22"/>
          <w:szCs w:val="22"/>
        </w:rPr>
        <w:t>Kataru</w:t>
      </w:r>
      <w:proofErr w:type="spellEnd"/>
      <w:r w:rsidRPr="006D08C1">
        <w:rPr>
          <w:rFonts w:ascii="Arial" w:hAnsi="Arial" w:cs="Arial"/>
          <w:sz w:val="22"/>
          <w:szCs w:val="22"/>
        </w:rPr>
        <w:t>, but remained poor or unacknowledged in others. These findings highlight the need for location-specific interventions, targeted extension services, and improved access to resources to enhance the productivity and resilience of hill agriculture in the region.</w:t>
      </w:r>
    </w:p>
    <w:p w14:paraId="53B95DBA" w14:textId="77777777" w:rsidR="006D08C1" w:rsidRPr="006D08C1" w:rsidRDefault="006D08C1" w:rsidP="006D08C1">
      <w:pPr>
        <w:jc w:val="both"/>
        <w:rPr>
          <w:rFonts w:ascii="Arial" w:hAnsi="Arial" w:cs="Arial"/>
          <w:sz w:val="22"/>
          <w:szCs w:val="22"/>
        </w:rPr>
      </w:pPr>
      <w:r w:rsidRPr="006D08C1">
        <w:rPr>
          <w:rFonts w:ascii="Arial" w:hAnsi="Arial" w:cs="Arial"/>
          <w:sz w:val="22"/>
          <w:szCs w:val="22"/>
        </w:rPr>
        <w:t>Keywords: Pea, Seraj Valley, Socio Economic Survey</w:t>
      </w:r>
    </w:p>
    <w:p w14:paraId="094D9A64" w14:textId="49E8CEC6" w:rsidR="006D08C1" w:rsidRDefault="006D08C1" w:rsidP="006D08C1">
      <w:pPr>
        <w:jc w:val="both"/>
        <w:rPr>
          <w:rFonts w:ascii="Arial" w:hAnsi="Arial" w:cs="Arial"/>
          <w:b/>
          <w:bCs/>
          <w:sz w:val="22"/>
          <w:szCs w:val="22"/>
          <w:lang w:val="en-US"/>
        </w:rPr>
      </w:pPr>
    </w:p>
    <w:p w14:paraId="339540C4" w14:textId="77777777" w:rsidR="00F901B1" w:rsidRDefault="00F901B1" w:rsidP="006D08C1">
      <w:pPr>
        <w:jc w:val="both"/>
        <w:rPr>
          <w:rFonts w:ascii="Arial" w:hAnsi="Arial" w:cs="Arial"/>
          <w:b/>
          <w:bCs/>
          <w:sz w:val="22"/>
          <w:szCs w:val="22"/>
          <w:lang w:val="en-US"/>
        </w:rPr>
      </w:pPr>
    </w:p>
    <w:p w14:paraId="2DF7106B" w14:textId="2BD97283" w:rsidR="00F901B1" w:rsidRDefault="00F901B1" w:rsidP="006D08C1">
      <w:pPr>
        <w:jc w:val="both"/>
        <w:rPr>
          <w:rFonts w:ascii="Arial" w:hAnsi="Arial" w:cs="Arial"/>
          <w:b/>
          <w:bCs/>
          <w:sz w:val="22"/>
          <w:szCs w:val="22"/>
          <w:lang w:val="en-US"/>
        </w:rPr>
      </w:pPr>
    </w:p>
    <w:p w14:paraId="500ADEE9" w14:textId="4C1669E2" w:rsidR="005A549D" w:rsidRDefault="005A549D" w:rsidP="006D08C1">
      <w:pPr>
        <w:jc w:val="both"/>
        <w:rPr>
          <w:rFonts w:ascii="Arial" w:hAnsi="Arial" w:cs="Arial"/>
          <w:b/>
          <w:bCs/>
          <w:sz w:val="22"/>
          <w:szCs w:val="22"/>
          <w:lang w:val="en-US"/>
        </w:rPr>
      </w:pPr>
    </w:p>
    <w:p w14:paraId="12E8E9C2" w14:textId="0C5C651D" w:rsidR="005A549D" w:rsidRDefault="005A549D" w:rsidP="006D08C1">
      <w:pPr>
        <w:jc w:val="both"/>
        <w:rPr>
          <w:rFonts w:ascii="Arial" w:hAnsi="Arial" w:cs="Arial"/>
          <w:b/>
          <w:bCs/>
          <w:sz w:val="22"/>
          <w:szCs w:val="22"/>
          <w:lang w:val="en-US"/>
        </w:rPr>
      </w:pPr>
    </w:p>
    <w:p w14:paraId="4F9FAE66" w14:textId="3BF266FB" w:rsidR="005A549D" w:rsidRDefault="005A549D" w:rsidP="006D08C1">
      <w:pPr>
        <w:jc w:val="both"/>
        <w:rPr>
          <w:rFonts w:ascii="Arial" w:hAnsi="Arial" w:cs="Arial"/>
          <w:b/>
          <w:bCs/>
          <w:sz w:val="22"/>
          <w:szCs w:val="22"/>
          <w:lang w:val="en-US"/>
        </w:rPr>
      </w:pPr>
    </w:p>
    <w:p w14:paraId="5D65828C" w14:textId="77777777" w:rsidR="005A549D" w:rsidRPr="00F901B1" w:rsidRDefault="005A549D" w:rsidP="006D08C1">
      <w:pPr>
        <w:jc w:val="both"/>
        <w:rPr>
          <w:rFonts w:ascii="Arial" w:hAnsi="Arial" w:cs="Arial"/>
          <w:b/>
          <w:bCs/>
          <w:sz w:val="22"/>
          <w:szCs w:val="22"/>
          <w:lang w:val="en-US"/>
        </w:rPr>
      </w:pPr>
    </w:p>
    <w:p w14:paraId="0ADCA878" w14:textId="77777777" w:rsidR="00F71888" w:rsidRDefault="00F71888" w:rsidP="006D08C1">
      <w:pPr>
        <w:jc w:val="both"/>
        <w:rPr>
          <w:rFonts w:ascii="Arial" w:hAnsi="Arial" w:cs="Arial"/>
          <w:b/>
          <w:bCs/>
          <w:sz w:val="22"/>
          <w:szCs w:val="22"/>
          <w:lang w:val="en-US"/>
        </w:rPr>
      </w:pPr>
    </w:p>
    <w:p w14:paraId="62F1704E" w14:textId="77777777" w:rsidR="00F901B1" w:rsidRPr="006D08C1" w:rsidRDefault="00F901B1" w:rsidP="006D08C1">
      <w:pPr>
        <w:jc w:val="both"/>
        <w:rPr>
          <w:rFonts w:ascii="Arial" w:hAnsi="Arial" w:cs="Arial"/>
          <w:b/>
          <w:bCs/>
          <w:sz w:val="22"/>
          <w:szCs w:val="22"/>
          <w:lang w:val="en-US"/>
        </w:rPr>
      </w:pPr>
    </w:p>
    <w:p w14:paraId="01289E70" w14:textId="071B7D90" w:rsidR="006D08C1" w:rsidRPr="00F901B1" w:rsidRDefault="00F901B1" w:rsidP="00F901B1">
      <w:pPr>
        <w:pStyle w:val="ListParagraph"/>
        <w:numPr>
          <w:ilvl w:val="0"/>
          <w:numId w:val="1"/>
        </w:numPr>
        <w:jc w:val="both"/>
        <w:rPr>
          <w:rFonts w:ascii="Arial" w:hAnsi="Arial" w:cs="Arial"/>
          <w:b/>
          <w:bCs/>
          <w:sz w:val="22"/>
          <w:szCs w:val="22"/>
          <w:lang w:val="en-US"/>
        </w:rPr>
      </w:pPr>
      <w:r w:rsidRPr="00F901B1">
        <w:rPr>
          <w:rFonts w:ascii="Arial" w:hAnsi="Arial" w:cs="Arial"/>
          <w:b/>
          <w:bCs/>
          <w:sz w:val="22"/>
          <w:szCs w:val="22"/>
          <w:lang w:val="en-US"/>
        </w:rPr>
        <w:t>INTRODUCTION</w:t>
      </w:r>
    </w:p>
    <w:p w14:paraId="0E52D355"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Pea (</w:t>
      </w:r>
      <w:r w:rsidRPr="006D08C1">
        <w:rPr>
          <w:rFonts w:ascii="Arial" w:hAnsi="Arial" w:cs="Arial"/>
          <w:i/>
          <w:iCs/>
          <w:sz w:val="22"/>
          <w:szCs w:val="22"/>
          <w:lang w:val="en-US"/>
        </w:rPr>
        <w:t>Pisum sativum</w:t>
      </w:r>
      <w:r w:rsidRPr="006D08C1">
        <w:rPr>
          <w:rFonts w:ascii="Arial" w:hAnsi="Arial" w:cs="Arial"/>
          <w:sz w:val="22"/>
          <w:szCs w:val="22"/>
          <w:lang w:val="en-US"/>
        </w:rPr>
        <w:t xml:space="preserve"> L.) is an important leguminous vegetable crop widely cultivated in temperate and sub-temperate regions of India, especially in the hill states like Himachal Pradesh. It plays a crucial role in the agrarian economy by contributing to both nutritional security and farm income. In the high-hill areas such as the Seraj Valley in Mandi district, peas are a preferred crop due to favorable </w:t>
      </w:r>
      <w:proofErr w:type="spellStart"/>
      <w:r w:rsidRPr="006D08C1">
        <w:rPr>
          <w:rFonts w:ascii="Arial" w:hAnsi="Arial" w:cs="Arial"/>
          <w:sz w:val="22"/>
          <w:szCs w:val="22"/>
          <w:lang w:val="en-US"/>
        </w:rPr>
        <w:t>agro</w:t>
      </w:r>
      <w:proofErr w:type="spellEnd"/>
      <w:r w:rsidRPr="006D08C1">
        <w:rPr>
          <w:rFonts w:ascii="Arial" w:hAnsi="Arial" w:cs="Arial"/>
          <w:sz w:val="22"/>
          <w:szCs w:val="22"/>
          <w:lang w:val="en-US"/>
        </w:rPr>
        <w:t>-climatic conditions, relatively short growing duration, and high market value.</w:t>
      </w:r>
    </w:p>
    <w:p w14:paraId="1A82108A"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However, despite the region’s natural advantages, productivity remains below potential due to multiple constraints. These include traditional farming practices, limited awareness of improved agronomic techniques, poor pest and disease management and lack of scientific knowledge on input use and post-harvest handling. Poor knowledge as well as reluctant attitude of farmers in adopting the new technology could be another cause of low productivity (Tiwari and Tiwari, 2013). The situation is further compounded by inadequate access to extension services and training opportunities tailored to local needs (Rawal and Ansari, 2019).</w:t>
      </w:r>
    </w:p>
    <w:p w14:paraId="0AC14701"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Assessing the knowledge level of farmers and identifying their specific training needs are essential steps for designing effective agricultural extension programs. A needs-based approach not only ensures relevance and responsiveness but also enhances farmer participation and technology adoption. In this context, the present study was undertaken to assess the knowledge and training needs related to pea cultivation among farmers across ten selected panchayats of the Seraj Valley. The findings aim to inform extension functionaries, policymakers, and researchers for targeted capacity building, ultimately contributing to increased productivity and sustainable agricultural development in the region.</w:t>
      </w:r>
    </w:p>
    <w:p w14:paraId="33CDAA6C" w14:textId="228F7A7C" w:rsidR="006D08C1" w:rsidRPr="00F901B1" w:rsidRDefault="00F901B1" w:rsidP="00F901B1">
      <w:pPr>
        <w:pStyle w:val="ListParagraph"/>
        <w:numPr>
          <w:ilvl w:val="0"/>
          <w:numId w:val="1"/>
        </w:numPr>
        <w:jc w:val="both"/>
        <w:rPr>
          <w:rFonts w:ascii="Arial" w:hAnsi="Arial" w:cs="Arial"/>
          <w:b/>
          <w:bCs/>
          <w:sz w:val="22"/>
          <w:szCs w:val="22"/>
          <w:lang w:val="en-US"/>
        </w:rPr>
      </w:pPr>
      <w:r w:rsidRPr="00F901B1">
        <w:rPr>
          <w:rFonts w:ascii="Arial" w:hAnsi="Arial" w:cs="Arial"/>
          <w:b/>
          <w:bCs/>
          <w:sz w:val="22"/>
          <w:szCs w:val="22"/>
          <w:lang w:val="en-US"/>
        </w:rPr>
        <w:t>METHODOLOGY</w:t>
      </w:r>
    </w:p>
    <w:p w14:paraId="740FC424"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 xml:space="preserve">A structured questionnaire was designed to assess the socio-economic status, knowledge level on production aspects of pea and climate change experience by the farmers in the Seraj valley of Mandi district, Himachal Pradesh. </w:t>
      </w:r>
    </w:p>
    <w:p w14:paraId="1BE4858A"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 xml:space="preserve">The study was conducted in two phases. In 2021, five panchayats viz.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Thana, and Tunga Dhar were selected. In 2022, five additional panchayats viz.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were included. A total of 25 farmers from each panchayat were selected using a random sampling technique, resulting in a sample size of 250 respondents for the entire study.</w:t>
      </w:r>
    </w:p>
    <w:p w14:paraId="28E3C2F2"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 xml:space="preserve">The questionnaire covered various aspects of socioeconomic survey, pea production technology aspect survey, climate change experience survey. The detail of head wise survey is given below. </w:t>
      </w:r>
    </w:p>
    <w:p w14:paraId="44BA8027" w14:textId="6F1958C1" w:rsidR="006D08C1" w:rsidRPr="006D08C1" w:rsidRDefault="00F901B1" w:rsidP="006D08C1">
      <w:pPr>
        <w:jc w:val="both"/>
        <w:rPr>
          <w:rFonts w:ascii="Arial" w:hAnsi="Arial" w:cs="Arial"/>
          <w:b/>
          <w:sz w:val="22"/>
          <w:szCs w:val="22"/>
          <w:lang w:val="en-US"/>
        </w:rPr>
      </w:pPr>
      <w:r>
        <w:rPr>
          <w:rFonts w:ascii="Arial" w:hAnsi="Arial" w:cs="Arial"/>
          <w:b/>
          <w:sz w:val="22"/>
          <w:szCs w:val="22"/>
          <w:lang w:val="en-US"/>
        </w:rPr>
        <w:t xml:space="preserve">2.1 </w:t>
      </w:r>
      <w:r w:rsidR="006D08C1" w:rsidRPr="006D08C1">
        <w:rPr>
          <w:rFonts w:ascii="Arial" w:hAnsi="Arial" w:cs="Arial"/>
          <w:b/>
          <w:sz w:val="22"/>
          <w:szCs w:val="22"/>
          <w:lang w:val="en-US"/>
        </w:rPr>
        <w:t>Socio economic Survey</w:t>
      </w:r>
    </w:p>
    <w:p w14:paraId="41D32186" w14:textId="77777777" w:rsidR="006D08C1" w:rsidRPr="006D08C1" w:rsidRDefault="006D08C1" w:rsidP="00D62916">
      <w:pPr>
        <w:ind w:firstLine="720"/>
        <w:jc w:val="both"/>
        <w:rPr>
          <w:rFonts w:ascii="Arial" w:hAnsi="Arial" w:cs="Arial"/>
          <w:sz w:val="22"/>
          <w:szCs w:val="22"/>
          <w:lang w:val="en-US"/>
        </w:rPr>
      </w:pPr>
      <w:r w:rsidRPr="006D08C1">
        <w:rPr>
          <w:rFonts w:ascii="Arial" w:hAnsi="Arial" w:cs="Arial"/>
          <w:sz w:val="22"/>
          <w:szCs w:val="22"/>
          <w:lang w:val="en-US"/>
        </w:rPr>
        <w:t>Under this category, survey was conducted on farmers land holding and preparatory cultivation practices. The detail of socio-economic survey is given in Table 1</w:t>
      </w:r>
    </w:p>
    <w:p w14:paraId="5BB9E4D9" w14:textId="77777777" w:rsidR="006D08C1" w:rsidRPr="00F901B1" w:rsidRDefault="006D08C1" w:rsidP="006D08C1">
      <w:pPr>
        <w:jc w:val="both"/>
        <w:rPr>
          <w:rFonts w:ascii="Arial" w:hAnsi="Arial" w:cs="Arial"/>
          <w:sz w:val="22"/>
          <w:szCs w:val="22"/>
          <w:lang w:val="en-US"/>
        </w:rPr>
      </w:pPr>
    </w:p>
    <w:p w14:paraId="25D2A33C" w14:textId="77777777" w:rsidR="006D08C1" w:rsidRPr="00F901B1" w:rsidRDefault="006D08C1" w:rsidP="006D08C1">
      <w:pPr>
        <w:jc w:val="both"/>
        <w:rPr>
          <w:rFonts w:ascii="Arial" w:hAnsi="Arial" w:cs="Arial"/>
          <w:sz w:val="22"/>
          <w:szCs w:val="22"/>
          <w:lang w:val="en-US"/>
        </w:rPr>
      </w:pPr>
    </w:p>
    <w:p w14:paraId="0155994A" w14:textId="77777777" w:rsidR="006D08C1" w:rsidRPr="00F901B1" w:rsidRDefault="006D08C1" w:rsidP="006D08C1">
      <w:pPr>
        <w:jc w:val="both"/>
        <w:rPr>
          <w:rFonts w:ascii="Arial" w:hAnsi="Arial" w:cs="Arial"/>
          <w:sz w:val="22"/>
          <w:szCs w:val="22"/>
          <w:lang w:val="en-US"/>
        </w:rPr>
      </w:pPr>
    </w:p>
    <w:p w14:paraId="5DD435E4" w14:textId="77777777" w:rsidR="006D08C1" w:rsidRPr="006D08C1" w:rsidRDefault="006D08C1" w:rsidP="006D08C1">
      <w:pPr>
        <w:jc w:val="both"/>
        <w:rPr>
          <w:rFonts w:ascii="Arial" w:hAnsi="Arial" w:cs="Arial"/>
          <w:sz w:val="22"/>
          <w:szCs w:val="22"/>
          <w:lang w:val="en-US"/>
        </w:rPr>
      </w:pPr>
    </w:p>
    <w:p w14:paraId="058D4A81" w14:textId="77777777" w:rsidR="006D08C1" w:rsidRPr="006D08C1" w:rsidRDefault="006D08C1" w:rsidP="006D08C1">
      <w:pPr>
        <w:jc w:val="both"/>
        <w:rPr>
          <w:rFonts w:ascii="Arial" w:hAnsi="Arial" w:cs="Arial"/>
          <w:b/>
          <w:sz w:val="22"/>
          <w:szCs w:val="22"/>
          <w:lang w:val="en-US"/>
        </w:rPr>
      </w:pPr>
      <w:r w:rsidRPr="006D08C1">
        <w:rPr>
          <w:rFonts w:ascii="Arial" w:hAnsi="Arial" w:cs="Arial"/>
          <w:b/>
          <w:sz w:val="22"/>
          <w:szCs w:val="22"/>
          <w:lang w:val="en-US"/>
        </w:rPr>
        <w:t>Table 1: Details of Socio-economic Survey</w:t>
      </w:r>
    </w:p>
    <w:tbl>
      <w:tblPr>
        <w:tblStyle w:val="TableGrid"/>
        <w:tblW w:w="0" w:type="auto"/>
        <w:tblLook w:val="04A0" w:firstRow="1" w:lastRow="0" w:firstColumn="1" w:lastColumn="0" w:noHBand="0" w:noVBand="1"/>
      </w:tblPr>
      <w:tblGrid>
        <w:gridCol w:w="571"/>
        <w:gridCol w:w="1635"/>
        <w:gridCol w:w="6810"/>
      </w:tblGrid>
      <w:tr w:rsidR="006D08C1" w:rsidRPr="006D08C1" w14:paraId="7F496875"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D90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Sr. No.</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5DB28"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Socio-economic Aspect</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53971"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Categorization/ Remarks</w:t>
            </w:r>
          </w:p>
        </w:tc>
      </w:tr>
      <w:tr w:rsidR="006D08C1" w:rsidRPr="006D08C1" w14:paraId="43CA364E"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94A7D"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1</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B6C2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Farmers Categorization</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1371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Farmers were categorized into four categories marginal (less than 1 ha.) small (1-2 ha.), large (more than 2 ha.) and did not respond to question.</w:t>
            </w:r>
          </w:p>
        </w:tc>
      </w:tr>
      <w:tr w:rsidR="006D08C1" w:rsidRPr="006D08C1" w14:paraId="0E0BDFE9"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31D8"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2</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EF2CC"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Preparatory cultivation</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5795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It was indirect assessment of farmers economic status and their assess to Government subsidy on power tiller. It is categorized into four categories viz. traditional method of cultivation with bullocks, modern method with power tillers, both traditional as well as modern and did not respond to question. </w:t>
            </w:r>
          </w:p>
        </w:tc>
      </w:tr>
    </w:tbl>
    <w:p w14:paraId="3A6AA10D" w14:textId="77777777" w:rsidR="006D08C1" w:rsidRPr="006D08C1" w:rsidRDefault="006D08C1" w:rsidP="006D08C1">
      <w:pPr>
        <w:jc w:val="both"/>
        <w:rPr>
          <w:rFonts w:ascii="Arial" w:hAnsi="Arial" w:cs="Arial"/>
          <w:b/>
          <w:sz w:val="22"/>
          <w:szCs w:val="22"/>
          <w:lang w:val="en-US"/>
        </w:rPr>
      </w:pPr>
    </w:p>
    <w:p w14:paraId="27B15541" w14:textId="4BCE67E7" w:rsidR="006D08C1" w:rsidRPr="006D08C1" w:rsidRDefault="00F901B1" w:rsidP="006D08C1">
      <w:pPr>
        <w:jc w:val="both"/>
        <w:rPr>
          <w:rFonts w:ascii="Arial" w:hAnsi="Arial" w:cs="Arial"/>
          <w:b/>
          <w:sz w:val="22"/>
          <w:szCs w:val="22"/>
          <w:lang w:val="en-US"/>
        </w:rPr>
      </w:pPr>
      <w:r>
        <w:rPr>
          <w:rFonts w:ascii="Arial" w:hAnsi="Arial" w:cs="Arial"/>
          <w:b/>
          <w:sz w:val="22"/>
          <w:szCs w:val="22"/>
          <w:lang w:val="en-US"/>
        </w:rPr>
        <w:t xml:space="preserve">2.2 </w:t>
      </w:r>
      <w:r w:rsidR="006D08C1" w:rsidRPr="006D08C1">
        <w:rPr>
          <w:rFonts w:ascii="Arial" w:hAnsi="Arial" w:cs="Arial"/>
          <w:b/>
          <w:sz w:val="22"/>
          <w:szCs w:val="22"/>
          <w:lang w:val="en-US"/>
        </w:rPr>
        <w:t>Pea Production Technology Aspect Survey:</w:t>
      </w:r>
    </w:p>
    <w:p w14:paraId="592056CF" w14:textId="77777777" w:rsidR="006D08C1" w:rsidRPr="006D08C1" w:rsidRDefault="006D08C1" w:rsidP="006D08C1">
      <w:pPr>
        <w:jc w:val="both"/>
        <w:rPr>
          <w:rFonts w:ascii="Arial" w:hAnsi="Arial" w:cs="Arial"/>
          <w:sz w:val="22"/>
          <w:szCs w:val="22"/>
          <w:lang w:val="en-US"/>
        </w:rPr>
      </w:pPr>
      <w:r w:rsidRPr="006D08C1">
        <w:rPr>
          <w:rFonts w:ascii="Arial" w:hAnsi="Arial" w:cs="Arial"/>
          <w:sz w:val="22"/>
          <w:szCs w:val="22"/>
          <w:lang w:val="en-US"/>
        </w:rPr>
        <w:t xml:space="preserve">Under this category survey on aspects like knowledge level on recommended varieties/ use of recommended varieties, seed rate, seed treatment, fertilizer application, irrigation practices, weed management, disease management, yield and income level and crop rotation. The details of pea production aspect survey </w:t>
      </w:r>
      <w:proofErr w:type="gramStart"/>
      <w:r w:rsidRPr="006D08C1">
        <w:rPr>
          <w:rFonts w:ascii="Arial" w:hAnsi="Arial" w:cs="Arial"/>
          <w:sz w:val="22"/>
          <w:szCs w:val="22"/>
          <w:lang w:val="en-US"/>
        </w:rPr>
        <w:t>is</w:t>
      </w:r>
      <w:proofErr w:type="gramEnd"/>
      <w:r w:rsidRPr="006D08C1">
        <w:rPr>
          <w:rFonts w:ascii="Arial" w:hAnsi="Arial" w:cs="Arial"/>
          <w:sz w:val="22"/>
          <w:szCs w:val="22"/>
          <w:lang w:val="en-US"/>
        </w:rPr>
        <w:t xml:space="preserve"> given in Table 2.</w:t>
      </w:r>
    </w:p>
    <w:p w14:paraId="48AF25E1" w14:textId="77777777" w:rsidR="006D08C1" w:rsidRPr="006D08C1" w:rsidRDefault="006D08C1" w:rsidP="006D08C1">
      <w:pPr>
        <w:jc w:val="both"/>
        <w:rPr>
          <w:rFonts w:ascii="Arial" w:hAnsi="Arial" w:cs="Arial"/>
          <w:b/>
          <w:sz w:val="22"/>
          <w:szCs w:val="22"/>
          <w:lang w:val="en-US"/>
        </w:rPr>
      </w:pPr>
      <w:r w:rsidRPr="006D08C1">
        <w:rPr>
          <w:rFonts w:ascii="Arial" w:hAnsi="Arial" w:cs="Arial"/>
          <w:b/>
          <w:sz w:val="22"/>
          <w:szCs w:val="22"/>
          <w:lang w:val="en-US"/>
        </w:rPr>
        <w:t>Table 2: Details of Pea Production Technology Aspect Survey</w:t>
      </w:r>
    </w:p>
    <w:tbl>
      <w:tblPr>
        <w:tblStyle w:val="TableGrid"/>
        <w:tblW w:w="0" w:type="auto"/>
        <w:tblLayout w:type="fixed"/>
        <w:tblLook w:val="04A0" w:firstRow="1" w:lastRow="0" w:firstColumn="1" w:lastColumn="0" w:noHBand="0" w:noVBand="1"/>
      </w:tblPr>
      <w:tblGrid>
        <w:gridCol w:w="570"/>
        <w:gridCol w:w="1878"/>
        <w:gridCol w:w="7128"/>
      </w:tblGrid>
      <w:tr w:rsidR="006D08C1" w:rsidRPr="006D08C1" w14:paraId="105D6669"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D0B0C"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Sr. No.</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D8AD2"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Socio-economic Aspect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394B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Categorization/ Remarks</w:t>
            </w:r>
          </w:p>
        </w:tc>
      </w:tr>
      <w:tr w:rsidR="006D08C1" w:rsidRPr="006D08C1" w14:paraId="60DAAA23"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7E84"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1</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88CE2"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Knowledge level on recommended varieties/use of recommended varieties</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18868"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Farmers were categorized into four categories viz.  use of recommended varieties (high level of </w:t>
            </w:r>
            <w:proofErr w:type="gramStart"/>
            <w:r w:rsidRPr="006D08C1">
              <w:rPr>
                <w:rFonts w:ascii="Arial" w:hAnsi="Arial" w:cs="Arial"/>
                <w:sz w:val="22"/>
                <w:szCs w:val="22"/>
                <w:lang w:val="en-US"/>
              </w:rPr>
              <w:t>knowledge)  use</w:t>
            </w:r>
            <w:proofErr w:type="gramEnd"/>
            <w:r w:rsidRPr="006D08C1">
              <w:rPr>
                <w:rFonts w:ascii="Arial" w:hAnsi="Arial" w:cs="Arial"/>
                <w:sz w:val="22"/>
                <w:szCs w:val="22"/>
                <w:lang w:val="en-US"/>
              </w:rPr>
              <w:t xml:space="preserve"> of non-recommended varieties (low level of knowledge) and use of both recommended and non-recommended varieties (medium level of knowledge) and did not respond to question.</w:t>
            </w:r>
          </w:p>
        </w:tc>
      </w:tr>
      <w:tr w:rsidR="006D08C1" w:rsidRPr="006D08C1" w14:paraId="33C0A79A"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DEEE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2</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42814"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Seed Rate</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7EA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of farmers were categorized into four categories viz. low (wide variation from recommended) medium (close to recommended dose), high (exactly recommended dose) and did not respond to question.</w:t>
            </w:r>
          </w:p>
        </w:tc>
      </w:tr>
      <w:tr w:rsidR="006D08C1" w:rsidRPr="006D08C1" w14:paraId="773D8AF8"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A92D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3</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112E9"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Seed Treatment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F3A55"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It was categorized under three categories either farmers practice, do not practice or did not respond to the question. </w:t>
            </w:r>
          </w:p>
        </w:tc>
      </w:tr>
      <w:tr w:rsidR="006D08C1" w:rsidRPr="006D08C1" w14:paraId="22658151"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3FDC"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lastRenderedPageBreak/>
              <w:t>4</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3A6D2"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Fertilizer Application</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3C690"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on fertilizer application was categorized under four categories low (no knowledge on fertilizer application), medium (partial knowledge on fertilizer application), high (complete knowledge on fertilizer application) and did not respond to question.</w:t>
            </w:r>
          </w:p>
        </w:tc>
      </w:tr>
      <w:tr w:rsidR="006D08C1" w:rsidRPr="006D08C1" w14:paraId="15298290"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ED5B2"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5</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8DC43"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Irrigation Practices</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6E4EF"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Irrigation practices followed in the region were categorized into three categories rather rainfed, irrigated or did not respond to question. </w:t>
            </w:r>
          </w:p>
        </w:tc>
      </w:tr>
      <w:tr w:rsidR="006D08C1" w:rsidRPr="006D08C1" w14:paraId="0C19BC8C"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28AB4"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6</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004AA"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Weed management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FCF8A"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on weed management was categorized into four categories low (following manual weed management practice), medium (management with herbicides only), high (use of herbicide as well as manual practice) and did not respond to question.</w:t>
            </w:r>
          </w:p>
        </w:tc>
      </w:tr>
      <w:tr w:rsidR="006D08C1" w:rsidRPr="006D08C1" w14:paraId="1A61CDBC"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3116A"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7</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FDF15"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Disease and Pest Management</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FEB9"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Knowledge level on disease and pest management were categorized into four categories low (no knowledge on disease/pest and their control), medium (partial knowledge on disease/pest and their control), high (complete knowledge on disease/pest and their control) and did not respond to question.</w:t>
            </w:r>
          </w:p>
        </w:tc>
      </w:tr>
      <w:tr w:rsidR="006D08C1" w:rsidRPr="006D08C1" w14:paraId="672B4CC6"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E668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8</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15DCE"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Yield and Income Level</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88A37"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Both the yield and income levels were categorized into four categories Low (Yield: 5-7 q/bigha     Income: &lt; Rs. </w:t>
            </w:r>
            <w:proofErr w:type="gramStart"/>
            <w:r w:rsidRPr="006D08C1">
              <w:rPr>
                <w:rFonts w:ascii="Arial" w:hAnsi="Arial" w:cs="Arial"/>
                <w:sz w:val="22"/>
                <w:szCs w:val="22"/>
                <w:lang w:val="en-US"/>
              </w:rPr>
              <w:t>25,000 )</w:t>
            </w:r>
            <w:proofErr w:type="gramEnd"/>
            <w:r w:rsidRPr="006D08C1">
              <w:rPr>
                <w:rFonts w:ascii="Arial" w:hAnsi="Arial" w:cs="Arial"/>
                <w:sz w:val="22"/>
                <w:szCs w:val="22"/>
                <w:lang w:val="en-US"/>
              </w:rPr>
              <w:t>, Medium (Yield: 7-10 q/ha     Income: Rs. 25,000-</w:t>
            </w:r>
            <w:proofErr w:type="gramStart"/>
            <w:r w:rsidRPr="006D08C1">
              <w:rPr>
                <w:rFonts w:ascii="Arial" w:hAnsi="Arial" w:cs="Arial"/>
                <w:sz w:val="22"/>
                <w:szCs w:val="22"/>
                <w:lang w:val="en-US"/>
              </w:rPr>
              <w:t>40,000 )</w:t>
            </w:r>
            <w:proofErr w:type="gramEnd"/>
            <w:r w:rsidRPr="006D08C1">
              <w:rPr>
                <w:rFonts w:ascii="Arial" w:hAnsi="Arial" w:cs="Arial"/>
                <w:sz w:val="22"/>
                <w:szCs w:val="22"/>
                <w:lang w:val="en-US"/>
              </w:rPr>
              <w:t>, High (Yield: &gt; 10 q/ha     Income: &gt;Rs.40,000) and did not respond for both yield and income.</w:t>
            </w:r>
          </w:p>
        </w:tc>
      </w:tr>
      <w:tr w:rsidR="006D08C1" w:rsidRPr="006D08C1" w14:paraId="1F16F081"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3E3F"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9</w:t>
            </w:r>
          </w:p>
        </w:tc>
        <w:tc>
          <w:tcPr>
            <w:tcW w:w="18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9A317"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Crop Rotation</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2B001"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 xml:space="preserve"> Farmers were categorized under three categories viz. practice, do not practice and did not respond to the question. It was based on the question earlier or after crop in the same field of Pea </w:t>
            </w:r>
          </w:p>
        </w:tc>
      </w:tr>
    </w:tbl>
    <w:p w14:paraId="22133144" w14:textId="77777777" w:rsidR="006D08C1" w:rsidRPr="006D08C1" w:rsidRDefault="006D08C1" w:rsidP="006D08C1">
      <w:pPr>
        <w:jc w:val="both"/>
        <w:rPr>
          <w:rFonts w:ascii="Arial" w:hAnsi="Arial" w:cs="Arial"/>
          <w:b/>
          <w:sz w:val="22"/>
          <w:szCs w:val="22"/>
          <w:lang w:val="en-US"/>
        </w:rPr>
      </w:pPr>
    </w:p>
    <w:p w14:paraId="5555CD6D" w14:textId="2FDE2383" w:rsidR="006D08C1" w:rsidRPr="006D08C1" w:rsidRDefault="00F901B1" w:rsidP="006D08C1">
      <w:pPr>
        <w:jc w:val="both"/>
        <w:rPr>
          <w:rFonts w:ascii="Arial" w:hAnsi="Arial" w:cs="Arial"/>
          <w:b/>
          <w:sz w:val="22"/>
          <w:szCs w:val="22"/>
          <w:lang w:val="en-US"/>
        </w:rPr>
      </w:pPr>
      <w:r>
        <w:rPr>
          <w:rFonts w:ascii="Arial" w:hAnsi="Arial" w:cs="Arial"/>
          <w:b/>
          <w:sz w:val="22"/>
          <w:szCs w:val="22"/>
          <w:lang w:val="en-US"/>
        </w:rPr>
        <w:t xml:space="preserve">2.3 </w:t>
      </w:r>
      <w:r w:rsidR="006D08C1" w:rsidRPr="006D08C1">
        <w:rPr>
          <w:rFonts w:ascii="Arial" w:hAnsi="Arial" w:cs="Arial"/>
          <w:b/>
          <w:sz w:val="22"/>
          <w:szCs w:val="22"/>
          <w:lang w:val="en-US"/>
        </w:rPr>
        <w:t>Climate Change Experience Survey</w:t>
      </w:r>
    </w:p>
    <w:p w14:paraId="57B6B2A0" w14:textId="77777777" w:rsidR="006D08C1" w:rsidRPr="006D08C1" w:rsidRDefault="006D08C1" w:rsidP="006D08C1">
      <w:pPr>
        <w:jc w:val="both"/>
        <w:rPr>
          <w:rFonts w:ascii="Arial" w:hAnsi="Arial" w:cs="Arial"/>
          <w:b/>
          <w:sz w:val="22"/>
          <w:szCs w:val="22"/>
          <w:lang w:val="en-US"/>
        </w:rPr>
      </w:pPr>
      <w:r w:rsidRPr="006D08C1">
        <w:rPr>
          <w:rFonts w:ascii="Arial" w:hAnsi="Arial" w:cs="Arial"/>
          <w:b/>
          <w:sz w:val="22"/>
          <w:szCs w:val="22"/>
          <w:lang w:val="en-US"/>
        </w:rPr>
        <w:t>Table 3: Detail of Climate Change Experience Survey</w:t>
      </w:r>
    </w:p>
    <w:tbl>
      <w:tblPr>
        <w:tblStyle w:val="TableGrid"/>
        <w:tblW w:w="0" w:type="auto"/>
        <w:tblLook w:val="04A0" w:firstRow="1" w:lastRow="0" w:firstColumn="1" w:lastColumn="0" w:noHBand="0" w:noVBand="1"/>
      </w:tblPr>
      <w:tblGrid>
        <w:gridCol w:w="571"/>
        <w:gridCol w:w="1593"/>
        <w:gridCol w:w="6852"/>
      </w:tblGrid>
      <w:tr w:rsidR="006D08C1" w:rsidRPr="006D08C1" w14:paraId="05AB4C53"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F90C6"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Sr. No.</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1BDF0"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Socio-economic Aspect</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0A15E"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Categorization/ Remarks</w:t>
            </w:r>
          </w:p>
        </w:tc>
      </w:tr>
      <w:tr w:rsidR="006D08C1" w:rsidRPr="006D08C1" w14:paraId="4653475E" w14:textId="77777777">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BAFF9"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b/>
                <w:sz w:val="22"/>
                <w:szCs w:val="22"/>
                <w:lang w:val="en-US"/>
              </w:rPr>
              <w:t>1</w:t>
            </w:r>
          </w:p>
        </w:tc>
        <w:tc>
          <w:tcPr>
            <w:tcW w:w="1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A9030" w14:textId="77777777" w:rsidR="006D08C1" w:rsidRPr="006D08C1" w:rsidRDefault="006D08C1" w:rsidP="006D08C1">
            <w:pPr>
              <w:spacing w:after="160" w:line="278" w:lineRule="auto"/>
              <w:jc w:val="both"/>
              <w:rPr>
                <w:rFonts w:ascii="Arial" w:hAnsi="Arial" w:cs="Arial"/>
                <w:b/>
                <w:sz w:val="22"/>
                <w:szCs w:val="22"/>
                <w:lang w:val="en-US"/>
              </w:rPr>
            </w:pPr>
            <w:r w:rsidRPr="006D08C1">
              <w:rPr>
                <w:rFonts w:ascii="Arial" w:hAnsi="Arial" w:cs="Arial"/>
                <w:sz w:val="22"/>
                <w:szCs w:val="22"/>
                <w:lang w:val="en-US"/>
              </w:rPr>
              <w:t>Climate Change</w:t>
            </w:r>
          </w:p>
        </w:tc>
        <w:tc>
          <w:tcPr>
            <w:tcW w:w="7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A6C22" w14:textId="77777777" w:rsidR="006D08C1" w:rsidRPr="006D08C1" w:rsidRDefault="006D08C1" w:rsidP="006D08C1">
            <w:pPr>
              <w:spacing w:after="160" w:line="278" w:lineRule="auto"/>
              <w:jc w:val="both"/>
              <w:rPr>
                <w:rFonts w:ascii="Arial" w:hAnsi="Arial" w:cs="Arial"/>
                <w:sz w:val="22"/>
                <w:szCs w:val="22"/>
                <w:lang w:val="en-US"/>
              </w:rPr>
            </w:pPr>
            <w:r w:rsidRPr="006D08C1">
              <w:rPr>
                <w:rFonts w:ascii="Arial" w:hAnsi="Arial" w:cs="Arial"/>
                <w:sz w:val="22"/>
                <w:szCs w:val="22"/>
                <w:lang w:val="en-US"/>
              </w:rPr>
              <w:t>Farmers were categorized under three categories rather they experienced, not experienced and did not respond to the question. It was an indirect question on sowing time ten years back and at the time of survey. Same sowing time lead to conclusion not experienced climate change and change in sowing time lead to conclusion experienced climate change.</w:t>
            </w:r>
          </w:p>
        </w:tc>
      </w:tr>
    </w:tbl>
    <w:p w14:paraId="25C0AA2F" w14:textId="77777777" w:rsidR="006D08C1" w:rsidRPr="00F901B1" w:rsidRDefault="006D08C1" w:rsidP="006D08C1">
      <w:pPr>
        <w:ind w:firstLine="720"/>
        <w:jc w:val="both"/>
        <w:rPr>
          <w:rFonts w:ascii="Arial" w:hAnsi="Arial" w:cs="Arial"/>
          <w:sz w:val="22"/>
          <w:szCs w:val="22"/>
          <w:lang w:val="en-US"/>
        </w:rPr>
      </w:pPr>
    </w:p>
    <w:p w14:paraId="03E5B419" w14:textId="57DF1F4D" w:rsidR="006D08C1" w:rsidRPr="006D08C1" w:rsidRDefault="006D08C1" w:rsidP="006D08C1">
      <w:pPr>
        <w:ind w:firstLine="720"/>
        <w:jc w:val="both"/>
        <w:rPr>
          <w:rFonts w:ascii="Arial" w:hAnsi="Arial" w:cs="Arial"/>
          <w:sz w:val="22"/>
          <w:szCs w:val="22"/>
          <w:lang w:val="en-US"/>
        </w:rPr>
      </w:pPr>
      <w:r w:rsidRPr="006D08C1">
        <w:rPr>
          <w:rFonts w:ascii="Arial" w:hAnsi="Arial" w:cs="Arial"/>
          <w:sz w:val="22"/>
          <w:szCs w:val="22"/>
          <w:lang w:val="en-US"/>
        </w:rPr>
        <w:t xml:space="preserve">Following the needs assessment, targeted training programs and demonstrations were planned in the selected panchayats to address the identified knowledge gaps. </w:t>
      </w:r>
    </w:p>
    <w:p w14:paraId="52B61894" w14:textId="530C1E91" w:rsidR="006D08C1" w:rsidRPr="00F901B1" w:rsidRDefault="00F901B1" w:rsidP="00F901B1">
      <w:pPr>
        <w:pStyle w:val="ListParagraph"/>
        <w:numPr>
          <w:ilvl w:val="0"/>
          <w:numId w:val="1"/>
        </w:numPr>
        <w:jc w:val="both"/>
        <w:rPr>
          <w:rFonts w:ascii="Arial" w:hAnsi="Arial" w:cs="Arial"/>
          <w:b/>
          <w:sz w:val="22"/>
          <w:szCs w:val="22"/>
          <w:lang w:val="en-US"/>
        </w:rPr>
      </w:pPr>
      <w:r w:rsidRPr="00F901B1">
        <w:rPr>
          <w:rFonts w:ascii="Arial" w:hAnsi="Arial" w:cs="Arial"/>
          <w:b/>
          <w:sz w:val="22"/>
          <w:szCs w:val="22"/>
          <w:lang w:val="en-US"/>
        </w:rPr>
        <w:t>RESULT AND DISCUSSION</w:t>
      </w:r>
    </w:p>
    <w:p w14:paraId="71705C4C" w14:textId="6B4DA56A" w:rsidR="006D08C1" w:rsidRPr="006D08C1" w:rsidRDefault="006D08C1" w:rsidP="006D08C1">
      <w:pPr>
        <w:ind w:firstLine="720"/>
        <w:jc w:val="both"/>
        <w:rPr>
          <w:rFonts w:ascii="Arial" w:hAnsi="Arial" w:cs="Arial"/>
          <w:sz w:val="22"/>
          <w:szCs w:val="22"/>
          <w:lang w:val="en-US"/>
        </w:rPr>
      </w:pPr>
      <w:r w:rsidRPr="006D08C1">
        <w:rPr>
          <w:rFonts w:ascii="Arial" w:hAnsi="Arial" w:cs="Arial"/>
          <w:sz w:val="22"/>
          <w:szCs w:val="22"/>
          <w:lang w:val="en-US"/>
        </w:rPr>
        <w:lastRenderedPageBreak/>
        <w:t xml:space="preserve">The data presented in stacked bar chart (1-10 &amp; 12-13) and bar chart 11 reveals considerable variation in socio-economic survey, pea production technology aspect survey and climate change experience survey across different Panchayats. The </w:t>
      </w:r>
      <w:proofErr w:type="spellStart"/>
      <w:r w:rsidRPr="006D08C1">
        <w:rPr>
          <w:rFonts w:ascii="Arial" w:hAnsi="Arial" w:cs="Arial"/>
          <w:sz w:val="22"/>
          <w:szCs w:val="22"/>
          <w:lang w:val="en-US"/>
        </w:rPr>
        <w:t>headwise</w:t>
      </w:r>
      <w:proofErr w:type="spellEnd"/>
      <w:r w:rsidRPr="006D08C1">
        <w:rPr>
          <w:rFonts w:ascii="Arial" w:hAnsi="Arial" w:cs="Arial"/>
          <w:sz w:val="22"/>
          <w:szCs w:val="22"/>
          <w:lang w:val="en-US"/>
        </w:rPr>
        <w:t xml:space="preserve"> detail description is given below.</w:t>
      </w:r>
    </w:p>
    <w:p w14:paraId="3B2BCCE5" w14:textId="72E54148"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3.1 </w:t>
      </w:r>
      <w:r w:rsidR="006D08C1" w:rsidRPr="006D08C1">
        <w:rPr>
          <w:rFonts w:ascii="Arial" w:hAnsi="Arial" w:cs="Arial"/>
          <w:b/>
          <w:sz w:val="22"/>
          <w:szCs w:val="22"/>
          <w:lang w:val="en-US"/>
        </w:rPr>
        <w:t>Socio-economic Survey</w:t>
      </w:r>
    </w:p>
    <w:p w14:paraId="776CF3C9" w14:textId="6205C9DB" w:rsidR="006D08C1" w:rsidRPr="006D08C1" w:rsidRDefault="006D08C1" w:rsidP="006D08C1">
      <w:pPr>
        <w:jc w:val="both"/>
        <w:rPr>
          <w:rFonts w:ascii="Arial" w:hAnsi="Arial" w:cs="Arial"/>
          <w:sz w:val="22"/>
          <w:szCs w:val="22"/>
          <w:lang w:val="en-US"/>
        </w:rPr>
      </w:pPr>
      <w:r w:rsidRPr="006D08C1">
        <w:rPr>
          <w:rFonts w:ascii="Arial" w:hAnsi="Arial" w:cs="Arial"/>
          <w:b/>
          <w:sz w:val="22"/>
          <w:szCs w:val="22"/>
          <w:lang w:val="en-US"/>
        </w:rPr>
        <w:tab/>
      </w:r>
      <w:r w:rsidRPr="006D08C1">
        <w:rPr>
          <w:rFonts w:ascii="Arial" w:hAnsi="Arial" w:cs="Arial"/>
          <w:sz w:val="22"/>
          <w:szCs w:val="22"/>
          <w:lang w:val="en-US"/>
        </w:rPr>
        <w:t xml:space="preserve">Under socio-economic survey, two aspects were covered viz. categorization of farmers based on the land holding and field </w:t>
      </w:r>
      <w:proofErr w:type="spellStart"/>
      <w:r w:rsidRPr="006D08C1">
        <w:rPr>
          <w:rFonts w:ascii="Arial" w:hAnsi="Arial" w:cs="Arial"/>
          <w:sz w:val="22"/>
          <w:szCs w:val="22"/>
          <w:lang w:val="en-US"/>
        </w:rPr>
        <w:t>preparationary</w:t>
      </w:r>
      <w:proofErr w:type="spellEnd"/>
      <w:r w:rsidRPr="006D08C1">
        <w:rPr>
          <w:rFonts w:ascii="Arial" w:hAnsi="Arial" w:cs="Arial"/>
          <w:sz w:val="22"/>
          <w:szCs w:val="22"/>
          <w:lang w:val="en-US"/>
        </w:rPr>
        <w:t xml:space="preserve"> practices.</w:t>
      </w:r>
    </w:p>
    <w:p w14:paraId="29D168C5" w14:textId="1BFF2EF0"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3.1.1 </w:t>
      </w:r>
      <w:r w:rsidR="006D08C1" w:rsidRPr="006D08C1">
        <w:rPr>
          <w:rFonts w:ascii="Arial" w:hAnsi="Arial" w:cs="Arial"/>
          <w:b/>
          <w:sz w:val="22"/>
          <w:szCs w:val="22"/>
          <w:lang w:val="en-US"/>
        </w:rPr>
        <w:t>Farmers Category</w:t>
      </w:r>
    </w:p>
    <w:p w14:paraId="61AD260E" w14:textId="77777777" w:rsidR="006D08C1" w:rsidRPr="006D08C1" w:rsidRDefault="006D08C1" w:rsidP="006D08C1">
      <w:pPr>
        <w:ind w:firstLine="720"/>
        <w:jc w:val="both"/>
        <w:rPr>
          <w:rFonts w:ascii="Arial" w:hAnsi="Arial" w:cs="Arial"/>
          <w:b/>
          <w:sz w:val="22"/>
          <w:szCs w:val="22"/>
          <w:lang w:val="en-US"/>
        </w:rPr>
      </w:pPr>
      <w:r w:rsidRPr="006D08C1">
        <w:rPr>
          <w:rFonts w:ascii="Arial" w:hAnsi="Arial" w:cs="Arial"/>
          <w:sz w:val="22"/>
          <w:szCs w:val="22"/>
          <w:lang w:val="en-US"/>
        </w:rPr>
        <w:t xml:space="preserve">The stacked bar chart 1 illustrates the randomly selected </w:t>
      </w:r>
      <w:proofErr w:type="gramStart"/>
      <w:r w:rsidRPr="006D08C1">
        <w:rPr>
          <w:rFonts w:ascii="Arial" w:hAnsi="Arial" w:cs="Arial"/>
          <w:sz w:val="22"/>
          <w:szCs w:val="22"/>
          <w:lang w:val="en-US"/>
        </w:rPr>
        <w:t>respondents</w:t>
      </w:r>
      <w:proofErr w:type="gramEnd"/>
      <w:r w:rsidRPr="006D08C1">
        <w:rPr>
          <w:rFonts w:ascii="Arial" w:hAnsi="Arial" w:cs="Arial"/>
          <w:sz w:val="22"/>
          <w:szCs w:val="22"/>
          <w:lang w:val="en-US"/>
        </w:rPr>
        <w:t xml:space="preserve"> farmers across ten selected panchayats in the Seraj Valley of Mandi district, Himachal Pradesh were categorized under marginal farmers, small farmers, large farmers and non-respondents depending upon their land holding and response to question. The data highlights a clear predominance of marginal farmers in all panchayats, with the highest numbers observed in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b/>
          <w:sz w:val="22"/>
          <w:szCs w:val="22"/>
          <w:lang w:val="en-US"/>
        </w:rPr>
        <w:t xml:space="preserve"> </w:t>
      </w:r>
      <w:r w:rsidRPr="006D08C1">
        <w:rPr>
          <w:rFonts w:ascii="Arial" w:hAnsi="Arial" w:cs="Arial"/>
          <w:sz w:val="22"/>
          <w:szCs w:val="22"/>
          <w:lang w:val="en-US"/>
        </w:rPr>
        <w:t xml:space="preserve">(100%), followed closely by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w:t>
      </w:r>
      <w:r w:rsidRPr="006D08C1">
        <w:rPr>
          <w:rFonts w:ascii="Arial" w:hAnsi="Arial" w:cs="Arial"/>
          <w:b/>
          <w:sz w:val="22"/>
          <w:szCs w:val="22"/>
          <w:lang w:val="en-US"/>
        </w:rPr>
        <w:t xml:space="preserve"> </w:t>
      </w:r>
    </w:p>
    <w:p w14:paraId="4A99D4C8"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Small farmers were present in very limited numbers, with minor representation in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Dhar,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No large farmers were recorded in any of the surveyed panchayats, indicating the prevalence of small landholdings in the region. This aligns with the agricultural census data of GOI, 2016 which shows that highest percentage share in marginal category (68.5%) followed by small (17.6%), semi-medium (9.6%), medium (3.8%) and large category (0.6%).</w:t>
      </w:r>
    </w:p>
    <w:p w14:paraId="0A84D380"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The “Not Responded” category was significantly higher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where 64% of the selected farmers did not participate, followed by Thana,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Dhar,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which may reflect barriers such as migration, low awareness, or hesitation to participate in formal assessments. Some panchayats, such as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had full participation with no non-respondents.</w:t>
      </w:r>
    </w:p>
    <w:p w14:paraId="733D2DF6" w14:textId="3BF45665"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This data suggests a need for focused extension efforts and training programs targeting marginal farmers, who form the backbone of vegetable cultivation in the region. The variation in response rates also indicates the need for improved farmer engagement strategies in certain panchayats. These findings support the need for customized interventions to improve productivity and climate resilience among the primary farming population in the Seraj Valley.</w:t>
      </w:r>
    </w:p>
    <w:p w14:paraId="0D191BF9" w14:textId="06D51010"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3.1.2 </w:t>
      </w:r>
      <w:r w:rsidR="006D08C1" w:rsidRPr="006D08C1">
        <w:rPr>
          <w:rFonts w:ascii="Arial" w:hAnsi="Arial" w:cs="Arial"/>
          <w:b/>
          <w:sz w:val="22"/>
          <w:szCs w:val="22"/>
          <w:lang w:val="en-US"/>
        </w:rPr>
        <w:t xml:space="preserve">Field </w:t>
      </w:r>
      <w:proofErr w:type="spellStart"/>
      <w:r w:rsidR="006D08C1" w:rsidRPr="006D08C1">
        <w:rPr>
          <w:rFonts w:ascii="Arial" w:hAnsi="Arial" w:cs="Arial"/>
          <w:b/>
          <w:sz w:val="22"/>
          <w:szCs w:val="22"/>
          <w:lang w:val="en-US"/>
        </w:rPr>
        <w:t>Preparationary</w:t>
      </w:r>
      <w:proofErr w:type="spellEnd"/>
      <w:r w:rsidR="006D08C1" w:rsidRPr="006D08C1">
        <w:rPr>
          <w:rFonts w:ascii="Arial" w:hAnsi="Arial" w:cs="Arial"/>
          <w:b/>
          <w:sz w:val="22"/>
          <w:szCs w:val="22"/>
          <w:lang w:val="en-US"/>
        </w:rPr>
        <w:t xml:space="preserve"> Practices</w:t>
      </w:r>
    </w:p>
    <w:p w14:paraId="1752DEA0"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The stacked bar chart 2 illustrates the distribution of field preparation methods adopted by farmers across ten panchayats in the Seraj Valley of Mandi district, Himachal Pradesh. The methods include: Traditional Method (Bullock-driven), Modern Method (Power Tillers), Both Traditional and Modern. Farmers reluctant to respond to question were categorized under not responded.</w:t>
      </w:r>
    </w:p>
    <w:p w14:paraId="61335852"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A significant number of farmers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(88%), Thana (96%)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(68%) rely predominantly on traditional bullock-drawn field preparation. This reflects the continued dependence on animal-based agriculture in the hill regions, due to limited accessibility and affordability of mechanization.</w:t>
      </w:r>
    </w:p>
    <w:p w14:paraId="09D02479"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lastRenderedPageBreak/>
        <w:t xml:space="preserve">Use of modern methods is highest in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(92%),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(72%) and Chatri (72%), indicating growing adoption of mechanized tools. During the last five decades, India has made considerable progress in farm mechanization and it helped in saving of inputs, increased cropping intensity, reduced cost of operation (Mehta et al., 2023).</w:t>
      </w:r>
    </w:p>
    <w:p w14:paraId="1113F1E7"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Farmers in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(92%)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(20%) report using both traditional and modern methods, suggesting a transitional phase in these areas where farmers are balancing traditional wisdom with new technologies.</w:t>
      </w:r>
    </w:p>
    <w:p w14:paraId="4533EA62"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Notable non-response rates were recorded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(4%),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(16%) and Tunga Dhar (12%), which may reflect communication gaps, disinterest, or lack of clarity among respondents.</w:t>
      </w:r>
    </w:p>
    <w:p w14:paraId="491BE9AE" w14:textId="46DE2187" w:rsidR="006D08C1" w:rsidRPr="006D08C1" w:rsidRDefault="006D08C1" w:rsidP="00956BED">
      <w:pPr>
        <w:ind w:firstLine="720"/>
        <w:jc w:val="both"/>
        <w:rPr>
          <w:rFonts w:ascii="Arial" w:hAnsi="Arial" w:cs="Arial"/>
          <w:b/>
          <w:sz w:val="22"/>
          <w:szCs w:val="22"/>
          <w:lang w:val="en-US"/>
        </w:rPr>
      </w:pPr>
      <w:r w:rsidRPr="006D08C1">
        <w:rPr>
          <w:rFonts w:ascii="Arial" w:hAnsi="Arial" w:cs="Arial"/>
          <w:sz w:val="22"/>
          <w:szCs w:val="22"/>
          <w:lang w:val="en-US"/>
        </w:rPr>
        <w:t>The data suggests a gradual but significant shift towards mechanization, especially in accessible panchayats. However, traditional practices still dominate in less developed or remote areas. The dual-method usage in some panchayats reflects adaptability and openness to new practices. These insights underline the importance of targeted training and demonstration programs</w:t>
      </w:r>
      <w:r w:rsidRPr="006D08C1">
        <w:rPr>
          <w:rFonts w:ascii="Arial" w:hAnsi="Arial" w:cs="Arial"/>
          <w:b/>
          <w:sz w:val="22"/>
          <w:szCs w:val="22"/>
          <w:lang w:val="en-US"/>
        </w:rPr>
        <w:t>,</w:t>
      </w:r>
      <w:r w:rsidRPr="006D08C1">
        <w:rPr>
          <w:rFonts w:ascii="Arial" w:hAnsi="Arial" w:cs="Arial"/>
          <w:sz w:val="22"/>
          <w:szCs w:val="22"/>
          <w:lang w:val="en-US"/>
        </w:rPr>
        <w:t xml:space="preserve"> tailored to the mechanization readiness of each panchayat. </w:t>
      </w:r>
    </w:p>
    <w:p w14:paraId="4EE09C17" w14:textId="5B4C7FCF"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 </w:t>
      </w:r>
      <w:r w:rsidR="006D08C1" w:rsidRPr="006D08C1">
        <w:rPr>
          <w:rFonts w:ascii="Arial" w:hAnsi="Arial" w:cs="Arial"/>
          <w:b/>
          <w:sz w:val="22"/>
          <w:szCs w:val="22"/>
          <w:lang w:val="en-US"/>
        </w:rPr>
        <w:t>Pea Production Technology Aspect Survey:</w:t>
      </w:r>
    </w:p>
    <w:p w14:paraId="01893F6F" w14:textId="3B3A4E64"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Under this category survey on aspects like knowledge level on recommended varieties/ use of recommended varieties, seed rate, seed treatment, fertilizer application, irrigation practices, weed management, disease management, yield, income and crop rotation.</w:t>
      </w:r>
    </w:p>
    <w:p w14:paraId="58BF81C2" w14:textId="42DF9559"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3.2.1 </w:t>
      </w:r>
      <w:r w:rsidR="006D08C1" w:rsidRPr="006D08C1">
        <w:rPr>
          <w:rFonts w:ascii="Arial" w:hAnsi="Arial" w:cs="Arial"/>
          <w:b/>
          <w:sz w:val="22"/>
          <w:szCs w:val="22"/>
          <w:lang w:val="en-US"/>
        </w:rPr>
        <w:t>Knowledge Level on Recommended Varieties/ Use of Recommended Varieties</w:t>
      </w:r>
    </w:p>
    <w:p w14:paraId="45E1C801"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exhibits the </w:t>
      </w:r>
      <w:r w:rsidRPr="006D08C1">
        <w:rPr>
          <w:rFonts w:ascii="Arial" w:hAnsi="Arial" w:cs="Arial"/>
          <w:bCs/>
          <w:sz w:val="22"/>
          <w:szCs w:val="22"/>
          <w:lang w:val="en-US"/>
        </w:rPr>
        <w:t>highest adoption of recommended varieties</w:t>
      </w:r>
      <w:r w:rsidRPr="006D08C1">
        <w:rPr>
          <w:rFonts w:ascii="Arial" w:hAnsi="Arial" w:cs="Arial"/>
          <w:sz w:val="22"/>
          <w:szCs w:val="22"/>
          <w:lang w:val="en-US"/>
        </w:rPr>
        <w:t xml:space="preserve">, with </w:t>
      </w:r>
      <w:r w:rsidRPr="006D08C1">
        <w:rPr>
          <w:rFonts w:ascii="Arial" w:hAnsi="Arial" w:cs="Arial"/>
          <w:bCs/>
          <w:sz w:val="22"/>
          <w:szCs w:val="22"/>
          <w:lang w:val="en-US"/>
        </w:rPr>
        <w:t>48% of respondents</w:t>
      </w:r>
      <w:r w:rsidRPr="006D08C1">
        <w:rPr>
          <w:rFonts w:ascii="Arial" w:hAnsi="Arial" w:cs="Arial"/>
          <w:sz w:val="22"/>
          <w:szCs w:val="22"/>
          <w:lang w:val="en-US"/>
        </w:rPr>
        <w:t xml:space="preserve"> reported use of recommended varieties. This suggests the area has favorable awareness, access, and environmental compatibility for improved varieties, positioning it as a promising Panchayat for </w:t>
      </w:r>
      <w:r w:rsidRPr="006D08C1">
        <w:rPr>
          <w:rFonts w:ascii="Arial" w:hAnsi="Arial" w:cs="Arial"/>
          <w:bCs/>
          <w:sz w:val="22"/>
          <w:szCs w:val="22"/>
          <w:lang w:val="en-US"/>
        </w:rPr>
        <w:t>scaling up successful varietal interventions</w:t>
      </w:r>
      <w:r w:rsidRPr="006D08C1">
        <w:rPr>
          <w:rFonts w:ascii="Arial" w:hAnsi="Arial" w:cs="Arial"/>
          <w:sz w:val="22"/>
          <w:szCs w:val="22"/>
          <w:lang w:val="en-US"/>
        </w:rPr>
        <w:t xml:space="preserve">. Similarly,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(40%)</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(24%)</w:t>
      </w:r>
      <w:r w:rsidRPr="006D08C1">
        <w:rPr>
          <w:rFonts w:ascii="Arial" w:hAnsi="Arial" w:cs="Arial"/>
          <w:sz w:val="22"/>
          <w:szCs w:val="22"/>
          <w:lang w:val="en-US"/>
        </w:rPr>
        <w:t xml:space="preserve"> show </w:t>
      </w:r>
      <w:r w:rsidRPr="006D08C1">
        <w:rPr>
          <w:rFonts w:ascii="Arial" w:hAnsi="Arial" w:cs="Arial"/>
          <w:bCs/>
          <w:sz w:val="22"/>
          <w:szCs w:val="22"/>
          <w:lang w:val="en-US"/>
        </w:rPr>
        <w:t>moderate levels of high-use adoption</w:t>
      </w:r>
      <w:r w:rsidRPr="006D08C1">
        <w:rPr>
          <w:rFonts w:ascii="Arial" w:hAnsi="Arial" w:cs="Arial"/>
          <w:sz w:val="22"/>
          <w:szCs w:val="22"/>
          <w:lang w:val="en-US"/>
        </w:rPr>
        <w:t>, likely indicating moderate exposure to extension services and seed distribution systems.</w:t>
      </w:r>
    </w:p>
    <w:p w14:paraId="01C2AC54"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 the other hand,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presents a concerning scenario</w:t>
      </w:r>
      <w:r w:rsidRPr="006D08C1">
        <w:rPr>
          <w:rFonts w:ascii="Arial" w:hAnsi="Arial" w:cs="Arial"/>
          <w:sz w:val="22"/>
          <w:szCs w:val="22"/>
          <w:lang w:val="en-US"/>
        </w:rPr>
        <w:t xml:space="preserve">, with </w:t>
      </w:r>
      <w:r w:rsidRPr="006D08C1">
        <w:rPr>
          <w:rFonts w:ascii="Arial" w:hAnsi="Arial" w:cs="Arial"/>
          <w:bCs/>
          <w:sz w:val="22"/>
          <w:szCs w:val="22"/>
          <w:lang w:val="en-US"/>
        </w:rPr>
        <w:t>92% of respondents using low-level or non-recommended varieties</w:t>
      </w:r>
      <w:r w:rsidRPr="006D08C1">
        <w:rPr>
          <w:rFonts w:ascii="Arial" w:hAnsi="Arial" w:cs="Arial"/>
          <w:sz w:val="22"/>
          <w:szCs w:val="22"/>
          <w:lang w:val="en-US"/>
        </w:rPr>
        <w:t xml:space="preserve">. This may reflect </w:t>
      </w:r>
      <w:r w:rsidRPr="006D08C1">
        <w:rPr>
          <w:rFonts w:ascii="Arial" w:hAnsi="Arial" w:cs="Arial"/>
          <w:bCs/>
          <w:sz w:val="22"/>
          <w:szCs w:val="22"/>
          <w:lang w:val="en-US"/>
        </w:rPr>
        <w:t>poor varietal suitability, environmental constraints</w:t>
      </w:r>
      <w:r w:rsidRPr="006D08C1">
        <w:rPr>
          <w:rFonts w:ascii="Arial" w:hAnsi="Arial" w:cs="Arial"/>
          <w:sz w:val="22"/>
          <w:szCs w:val="22"/>
          <w:lang w:val="en-US"/>
        </w:rPr>
        <w:t xml:space="preserve"> or </w:t>
      </w:r>
      <w:r w:rsidRPr="006D08C1">
        <w:rPr>
          <w:rFonts w:ascii="Arial" w:hAnsi="Arial" w:cs="Arial"/>
          <w:bCs/>
          <w:sz w:val="22"/>
          <w:szCs w:val="22"/>
          <w:lang w:val="en-US"/>
        </w:rPr>
        <w:t>limited access to quality seeds</w:t>
      </w:r>
      <w:r w:rsidRPr="006D08C1">
        <w:rPr>
          <w:rFonts w:ascii="Arial" w:hAnsi="Arial" w:cs="Arial"/>
          <w:sz w:val="22"/>
          <w:szCs w:val="22"/>
          <w:lang w:val="en-US"/>
        </w:rPr>
        <w:t xml:space="preserve"> (Ali &amp; Gupta, 2012). The situation is comparable in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(92%)</w:t>
      </w:r>
      <w:r w:rsidRPr="006D08C1">
        <w:rPr>
          <w:rFonts w:ascii="Arial" w:hAnsi="Arial" w:cs="Arial"/>
          <w:sz w:val="22"/>
          <w:szCs w:val="22"/>
          <w:lang w:val="en-US"/>
        </w:rPr>
        <w:t xml:space="preserve"> and </w:t>
      </w:r>
      <w:r w:rsidRPr="006D08C1">
        <w:rPr>
          <w:rFonts w:ascii="Arial" w:hAnsi="Arial" w:cs="Arial"/>
          <w:bCs/>
          <w:sz w:val="22"/>
          <w:szCs w:val="22"/>
          <w:lang w:val="en-US"/>
        </w:rPr>
        <w:t>Thana (72%)</w:t>
      </w:r>
      <w:r w:rsidRPr="006D08C1">
        <w:rPr>
          <w:rFonts w:ascii="Arial" w:hAnsi="Arial" w:cs="Arial"/>
          <w:sz w:val="22"/>
          <w:szCs w:val="22"/>
          <w:lang w:val="en-US"/>
        </w:rPr>
        <w:t xml:space="preserve">, where a </w:t>
      </w:r>
      <w:r w:rsidRPr="006D08C1">
        <w:rPr>
          <w:rFonts w:ascii="Arial" w:hAnsi="Arial" w:cs="Arial"/>
          <w:bCs/>
          <w:sz w:val="22"/>
          <w:szCs w:val="22"/>
          <w:lang w:val="en-US"/>
        </w:rPr>
        <w:t>high proportion of low-level usage</w:t>
      </w:r>
      <w:r w:rsidRPr="006D08C1">
        <w:rPr>
          <w:rFonts w:ascii="Arial" w:hAnsi="Arial" w:cs="Arial"/>
          <w:sz w:val="22"/>
          <w:szCs w:val="22"/>
          <w:lang w:val="en-US"/>
        </w:rPr>
        <w:t xml:space="preserve"> points to significant gaps in varietal awareness, farmer training or local adaptability.</w:t>
      </w:r>
    </w:p>
    <w:p w14:paraId="20E73D2A" w14:textId="10EEE676" w:rsidR="00956BED" w:rsidRPr="006D08C1" w:rsidRDefault="006D08C1" w:rsidP="00F901B1">
      <w:pPr>
        <w:ind w:firstLine="720"/>
        <w:jc w:val="both"/>
        <w:rPr>
          <w:rFonts w:ascii="Arial" w:hAnsi="Arial" w:cs="Arial"/>
          <w:sz w:val="22"/>
          <w:szCs w:val="22"/>
          <w:lang w:val="en-US"/>
        </w:rPr>
      </w:pPr>
      <w:r w:rsidRPr="006D08C1">
        <w:rPr>
          <w:rFonts w:ascii="Arial" w:hAnsi="Arial" w:cs="Arial"/>
          <w:sz w:val="22"/>
          <w:szCs w:val="22"/>
          <w:lang w:val="en-US"/>
        </w:rPr>
        <w:t xml:space="preserve">Additionally, </w:t>
      </w:r>
      <w:r w:rsidRPr="006D08C1">
        <w:rPr>
          <w:rFonts w:ascii="Arial" w:hAnsi="Arial" w:cs="Arial"/>
          <w:bCs/>
          <w:sz w:val="22"/>
          <w:szCs w:val="22"/>
          <w:lang w:val="en-US"/>
        </w:rPr>
        <w:t>Tunga Dhar has a 36% non-response rate</w:t>
      </w:r>
      <w:r w:rsidRPr="006D08C1">
        <w:rPr>
          <w:rFonts w:ascii="Arial" w:hAnsi="Arial" w:cs="Arial"/>
          <w:sz w:val="22"/>
          <w:szCs w:val="22"/>
          <w:lang w:val="en-US"/>
        </w:rPr>
        <w:t xml:space="preserve">, which could point to </w:t>
      </w:r>
      <w:r w:rsidRPr="006D08C1">
        <w:rPr>
          <w:rFonts w:ascii="Arial" w:hAnsi="Arial" w:cs="Arial"/>
          <w:bCs/>
          <w:sz w:val="22"/>
          <w:szCs w:val="22"/>
          <w:lang w:val="en-US"/>
        </w:rPr>
        <w:t>issues in data collection</w:t>
      </w:r>
      <w:r w:rsidRPr="006D08C1">
        <w:rPr>
          <w:rFonts w:ascii="Arial" w:hAnsi="Arial" w:cs="Arial"/>
          <w:sz w:val="22"/>
          <w:szCs w:val="22"/>
          <w:lang w:val="en-US"/>
        </w:rPr>
        <w:t xml:space="preserve">, lack of interest, or </w:t>
      </w:r>
      <w:r w:rsidRPr="006D08C1">
        <w:rPr>
          <w:rFonts w:ascii="Arial" w:hAnsi="Arial" w:cs="Arial"/>
          <w:bCs/>
          <w:sz w:val="22"/>
          <w:szCs w:val="22"/>
          <w:lang w:val="en-US"/>
        </w:rPr>
        <w:t>limited community engagement or knowledge</w:t>
      </w:r>
      <w:r w:rsidRPr="006D08C1">
        <w:rPr>
          <w:rFonts w:ascii="Arial" w:hAnsi="Arial" w:cs="Arial"/>
          <w:sz w:val="22"/>
          <w:szCs w:val="22"/>
          <w:lang w:val="en-US"/>
        </w:rPr>
        <w:t xml:space="preserve"> regarding varietal practices.</w:t>
      </w:r>
    </w:p>
    <w:p w14:paraId="3AA476C6" w14:textId="58A9BC96" w:rsidR="006D08C1" w:rsidRPr="006D08C1" w:rsidRDefault="00A90D7A" w:rsidP="006D08C1">
      <w:pPr>
        <w:jc w:val="both"/>
        <w:rPr>
          <w:rFonts w:ascii="Arial" w:hAnsi="Arial" w:cs="Arial"/>
          <w:sz w:val="22"/>
          <w:szCs w:val="22"/>
          <w:lang w:val="en-US"/>
        </w:rPr>
      </w:pPr>
      <w:r>
        <w:rPr>
          <w:rFonts w:ascii="Arial" w:hAnsi="Arial" w:cs="Arial"/>
          <w:b/>
          <w:sz w:val="22"/>
          <w:szCs w:val="22"/>
          <w:lang w:val="en-US"/>
        </w:rPr>
        <w:t xml:space="preserve">3.2.2 </w:t>
      </w:r>
      <w:r w:rsidR="006D08C1" w:rsidRPr="006D08C1">
        <w:rPr>
          <w:rFonts w:ascii="Arial" w:hAnsi="Arial" w:cs="Arial"/>
          <w:b/>
          <w:sz w:val="22"/>
          <w:szCs w:val="22"/>
          <w:lang w:val="en-US"/>
        </w:rPr>
        <w:t xml:space="preserve">Seed Rate </w:t>
      </w:r>
    </w:p>
    <w:p w14:paraId="526D4ABE"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Most Panchayats </w:t>
      </w: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Thunag</w:t>
      </w:r>
      <w:proofErr w:type="spellEnd"/>
      <w:r w:rsidRPr="006D08C1">
        <w:rPr>
          <w:rFonts w:ascii="Arial" w:hAnsi="Arial" w:cs="Arial"/>
          <w:sz w:val="22"/>
          <w:szCs w:val="22"/>
          <w:lang w:val="en-US"/>
        </w:rPr>
        <w:t xml:space="preserve"> reported the </w:t>
      </w:r>
      <w:r w:rsidRPr="006D08C1">
        <w:rPr>
          <w:rFonts w:ascii="Arial" w:hAnsi="Arial" w:cs="Arial"/>
          <w:bCs/>
          <w:sz w:val="22"/>
          <w:szCs w:val="22"/>
          <w:lang w:val="en-US"/>
        </w:rPr>
        <w:t>highest values under the Medium Level category</w:t>
      </w:r>
      <w:r w:rsidRPr="006D08C1">
        <w:rPr>
          <w:rFonts w:ascii="Arial" w:hAnsi="Arial" w:cs="Arial"/>
          <w:sz w:val="22"/>
          <w:szCs w:val="22"/>
          <w:lang w:val="en-US"/>
        </w:rPr>
        <w:t xml:space="preserve">, indicating a considerable number of farmers in these locations are using seed rates that are close to the agronomically </w:t>
      </w:r>
      <w:r w:rsidRPr="006D08C1">
        <w:rPr>
          <w:rFonts w:ascii="Arial" w:hAnsi="Arial" w:cs="Arial"/>
          <w:sz w:val="22"/>
          <w:szCs w:val="22"/>
          <w:lang w:val="en-US"/>
        </w:rPr>
        <w:lastRenderedPageBreak/>
        <w:t xml:space="preserve">recommended dose. This suggests a positive trend toward informed decision-making and local adaptation. </w:t>
      </w:r>
    </w:p>
    <w:p w14:paraId="45D9396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In contrast,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Dhar,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sz w:val="22"/>
          <w:szCs w:val="22"/>
          <w:lang w:val="en-US"/>
        </w:rPr>
        <w:t xml:space="preserve"> have </w:t>
      </w:r>
      <w:r w:rsidRPr="006D08C1">
        <w:rPr>
          <w:rFonts w:ascii="Arial" w:hAnsi="Arial" w:cs="Arial"/>
          <w:bCs/>
          <w:sz w:val="22"/>
          <w:szCs w:val="22"/>
          <w:lang w:val="en-US"/>
        </w:rPr>
        <w:t xml:space="preserve">high values in the </w:t>
      </w:r>
      <w:proofErr w:type="gramStart"/>
      <w:r w:rsidRPr="006D08C1">
        <w:rPr>
          <w:rFonts w:ascii="Arial" w:hAnsi="Arial" w:cs="Arial"/>
          <w:bCs/>
          <w:sz w:val="22"/>
          <w:szCs w:val="22"/>
          <w:lang w:val="en-US"/>
        </w:rPr>
        <w:t>High Level</w:t>
      </w:r>
      <w:proofErr w:type="gramEnd"/>
      <w:r w:rsidRPr="006D08C1">
        <w:rPr>
          <w:rFonts w:ascii="Arial" w:hAnsi="Arial" w:cs="Arial"/>
          <w:bCs/>
          <w:sz w:val="22"/>
          <w:szCs w:val="22"/>
          <w:lang w:val="en-US"/>
        </w:rPr>
        <w:t xml:space="preserve"> category</w:t>
      </w:r>
      <w:r w:rsidRPr="006D08C1">
        <w:rPr>
          <w:rFonts w:ascii="Arial" w:hAnsi="Arial" w:cs="Arial"/>
          <w:sz w:val="22"/>
          <w:szCs w:val="22"/>
          <w:lang w:val="en-US"/>
        </w:rPr>
        <w:t xml:space="preserve">, representing exact adherence to recommended seed rates. This indicates effective knowledge dissemination and likely access to quality extension services. </w:t>
      </w:r>
    </w:p>
    <w:p w14:paraId="397D2C12"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sz w:val="22"/>
          <w:szCs w:val="22"/>
          <w:lang w:val="en-US"/>
        </w:rPr>
        <w:t xml:space="preserve"> showed </w:t>
      </w:r>
      <w:r w:rsidRPr="006D08C1">
        <w:rPr>
          <w:rFonts w:ascii="Arial" w:hAnsi="Arial" w:cs="Arial"/>
          <w:bCs/>
          <w:sz w:val="22"/>
          <w:szCs w:val="22"/>
          <w:lang w:val="en-US"/>
        </w:rPr>
        <w:t xml:space="preserve">zero values under the </w:t>
      </w:r>
      <w:proofErr w:type="gramStart"/>
      <w:r w:rsidRPr="006D08C1">
        <w:rPr>
          <w:rFonts w:ascii="Arial" w:hAnsi="Arial" w:cs="Arial"/>
          <w:bCs/>
          <w:sz w:val="22"/>
          <w:szCs w:val="22"/>
          <w:lang w:val="en-US"/>
        </w:rPr>
        <w:t>low level</w:t>
      </w:r>
      <w:proofErr w:type="gramEnd"/>
      <w:r w:rsidRPr="006D08C1">
        <w:rPr>
          <w:rFonts w:ascii="Arial" w:hAnsi="Arial" w:cs="Arial"/>
          <w:bCs/>
          <w:sz w:val="22"/>
          <w:szCs w:val="22"/>
          <w:lang w:val="en-US"/>
        </w:rPr>
        <w:t xml:space="preserve"> category</w:t>
      </w:r>
      <w:r w:rsidRPr="006D08C1">
        <w:rPr>
          <w:rFonts w:ascii="Arial" w:hAnsi="Arial" w:cs="Arial"/>
          <w:sz w:val="22"/>
          <w:szCs w:val="22"/>
          <w:lang w:val="en-US"/>
        </w:rPr>
        <w:t xml:space="preserve">, which is encouraging as it reflects that </w:t>
      </w:r>
      <w:r w:rsidRPr="006D08C1">
        <w:rPr>
          <w:rFonts w:ascii="Arial" w:hAnsi="Arial" w:cs="Arial"/>
          <w:bCs/>
          <w:sz w:val="22"/>
          <w:szCs w:val="22"/>
          <w:lang w:val="en-US"/>
        </w:rPr>
        <w:t>no farmers are applying seed rates that are far from the recommended dosage</w:t>
      </w:r>
      <w:r w:rsidRPr="006D08C1">
        <w:rPr>
          <w:rFonts w:ascii="Arial" w:hAnsi="Arial" w:cs="Arial"/>
          <w:sz w:val="22"/>
          <w:szCs w:val="22"/>
          <w:lang w:val="en-US"/>
        </w:rPr>
        <w:t xml:space="preserve">. </w:t>
      </w:r>
    </w:p>
    <w:p w14:paraId="121072BA"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bCs/>
          <w:sz w:val="22"/>
          <w:szCs w:val="22"/>
          <w:lang w:val="en-US"/>
        </w:rPr>
        <w:t>Not responded</w:t>
      </w:r>
      <w:r w:rsidRPr="006D08C1">
        <w:rPr>
          <w:rFonts w:ascii="Arial" w:hAnsi="Arial" w:cs="Arial"/>
          <w:sz w:val="22"/>
          <w:szCs w:val="22"/>
          <w:lang w:val="en-US"/>
        </w:rPr>
        <w:t xml:space="preserve"> values are mostly negligible, highlighting high survey response reliability. However,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(4.00%)</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(8.00%)</w:t>
      </w:r>
      <w:r w:rsidRPr="006D08C1">
        <w:rPr>
          <w:rFonts w:ascii="Arial" w:hAnsi="Arial" w:cs="Arial"/>
          <w:sz w:val="22"/>
          <w:szCs w:val="22"/>
          <w:lang w:val="en-US"/>
        </w:rPr>
        <w:t xml:space="preserve"> did record some non-responses, which might be attributed to seasonal migration, absence during the survey period, or hesitancy in sharing information issues often noted in participatory rural appraisals in hill regions.</w:t>
      </w:r>
    </w:p>
    <w:p w14:paraId="1C0E084A" w14:textId="18C00C31"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3.2.3 </w:t>
      </w:r>
      <w:r w:rsidR="006D08C1" w:rsidRPr="006D08C1">
        <w:rPr>
          <w:rFonts w:ascii="Arial" w:hAnsi="Arial" w:cs="Arial"/>
          <w:b/>
          <w:sz w:val="22"/>
          <w:szCs w:val="22"/>
          <w:lang w:val="en-US"/>
        </w:rPr>
        <w:t>Seed Treatment</w:t>
      </w:r>
    </w:p>
    <w:p w14:paraId="6160B3A1"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Most Panchayats, especially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sz w:val="22"/>
          <w:szCs w:val="22"/>
          <w:lang w:val="en-US"/>
        </w:rPr>
        <w:t xml:space="preserve">, </w:t>
      </w:r>
      <w:r w:rsidRPr="006D08C1">
        <w:rPr>
          <w:rFonts w:ascii="Arial" w:hAnsi="Arial" w:cs="Arial"/>
          <w:bCs/>
          <w:sz w:val="22"/>
          <w:szCs w:val="22"/>
          <w:lang w:val="en-US"/>
        </w:rPr>
        <w:t>Thana</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Shikawri</w:t>
      </w:r>
      <w:proofErr w:type="spellEnd"/>
      <w:r w:rsidRPr="006D08C1">
        <w:rPr>
          <w:rFonts w:ascii="Arial" w:hAnsi="Arial" w:cs="Arial"/>
          <w:sz w:val="22"/>
          <w:szCs w:val="22"/>
          <w:lang w:val="en-US"/>
        </w:rPr>
        <w:t xml:space="preserve">, report over </w:t>
      </w:r>
      <w:r w:rsidRPr="006D08C1">
        <w:rPr>
          <w:rFonts w:ascii="Arial" w:hAnsi="Arial" w:cs="Arial"/>
          <w:bCs/>
          <w:sz w:val="22"/>
          <w:szCs w:val="22"/>
          <w:lang w:val="en-US"/>
        </w:rPr>
        <w:t>80%</w:t>
      </w:r>
      <w:r w:rsidRPr="006D08C1">
        <w:rPr>
          <w:rFonts w:ascii="Arial" w:hAnsi="Arial" w:cs="Arial"/>
          <w:sz w:val="22"/>
          <w:szCs w:val="22"/>
          <w:lang w:val="en-US"/>
        </w:rPr>
        <w:t xml:space="preserve"> seed treatment under </w:t>
      </w:r>
      <w:r w:rsidRPr="006D08C1">
        <w:rPr>
          <w:rFonts w:ascii="Arial" w:hAnsi="Arial" w:cs="Arial"/>
          <w:bCs/>
          <w:sz w:val="22"/>
          <w:szCs w:val="22"/>
          <w:lang w:val="en-US"/>
        </w:rPr>
        <w:t>Low-Level</w:t>
      </w:r>
      <w:r w:rsidRPr="006D08C1">
        <w:rPr>
          <w:rFonts w:ascii="Arial" w:hAnsi="Arial" w:cs="Arial"/>
          <w:sz w:val="22"/>
          <w:szCs w:val="22"/>
          <w:lang w:val="en-US"/>
        </w:rPr>
        <w:t>. This suggests limited use of scientifically recommended seed treatment methods like fungicides, bio-agents, or micronutrient coating.</w:t>
      </w:r>
      <w:r w:rsidRPr="006D08C1">
        <w:rPr>
          <w:rFonts w:ascii="Arial" w:hAnsi="Arial" w:cs="Arial"/>
          <w:sz w:val="22"/>
          <w:szCs w:val="22"/>
          <w:lang w:val="en-US"/>
        </w:rPr>
        <w:br/>
        <w:t xml:space="preserve">  </w:t>
      </w:r>
      <w:r w:rsidRPr="006D08C1">
        <w:rPr>
          <w:rFonts w:ascii="Arial" w:hAnsi="Arial" w:cs="Arial"/>
          <w:sz w:val="22"/>
          <w:szCs w:val="22"/>
          <w:lang w:val="en-US"/>
        </w:rPr>
        <w:tab/>
        <w:t xml:space="preserve">Seed treatment is absent in 6 of 10 villages and remains below 20% in all others, except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(20%)</w:t>
      </w:r>
      <w:r w:rsidRPr="006D08C1">
        <w:rPr>
          <w:rFonts w:ascii="Arial" w:hAnsi="Arial" w:cs="Arial"/>
          <w:sz w:val="22"/>
          <w:szCs w:val="22"/>
          <w:lang w:val="en-US"/>
        </w:rPr>
        <w:t>. This could imply a gap in extension services or resistance to adoption of advanced techniques like polymer coating, inoculation with rhizobium or Trichoderma and Multi-step treatments with pesticides.</w:t>
      </w:r>
    </w:p>
    <w:p w14:paraId="55D822E5"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Villages like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(40%)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(56%)</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Dhar (36%)</w:t>
      </w:r>
      <w:r w:rsidRPr="006D08C1">
        <w:rPr>
          <w:rFonts w:ascii="Arial" w:hAnsi="Arial" w:cs="Arial"/>
          <w:sz w:val="22"/>
          <w:szCs w:val="22"/>
          <w:lang w:val="en-US"/>
        </w:rPr>
        <w:t xml:space="preserve"> showed a balanced share of </w:t>
      </w:r>
      <w:r w:rsidRPr="006D08C1">
        <w:rPr>
          <w:rFonts w:ascii="Arial" w:hAnsi="Arial" w:cs="Arial"/>
          <w:bCs/>
          <w:sz w:val="22"/>
          <w:szCs w:val="22"/>
          <w:lang w:val="en-US"/>
        </w:rPr>
        <w:t>Medium-Level</w:t>
      </w:r>
      <w:r w:rsidRPr="006D08C1">
        <w:rPr>
          <w:rFonts w:ascii="Arial" w:hAnsi="Arial" w:cs="Arial"/>
          <w:sz w:val="22"/>
          <w:szCs w:val="22"/>
          <w:lang w:val="en-US"/>
        </w:rPr>
        <w:t xml:space="preserve"> treatment. These regions might be receiving partial support through government schemes, awareness programs, or access to cooperative societies that supply treated seeds.</w:t>
      </w:r>
    </w:p>
    <w:p w14:paraId="5FBF8B3F"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sz w:val="22"/>
          <w:szCs w:val="22"/>
          <w:lang w:val="en-US"/>
        </w:rPr>
        <w:t xml:space="preserve"> is the only village where </w:t>
      </w:r>
      <w:r w:rsidRPr="006D08C1">
        <w:rPr>
          <w:rFonts w:ascii="Arial" w:hAnsi="Arial" w:cs="Arial"/>
          <w:bCs/>
          <w:sz w:val="22"/>
          <w:szCs w:val="22"/>
          <w:lang w:val="en-US"/>
        </w:rPr>
        <w:t>12%</w:t>
      </w:r>
      <w:r w:rsidRPr="006D08C1">
        <w:rPr>
          <w:rFonts w:ascii="Arial" w:hAnsi="Arial" w:cs="Arial"/>
          <w:sz w:val="22"/>
          <w:szCs w:val="22"/>
          <w:lang w:val="en-US"/>
        </w:rPr>
        <w:t xml:space="preserve"> of the respondents did not disclose their seed treatment practices. This might reflect uncertainty or lack of knowledge, reluctance to participate in surveys and possible data collection or classification issues.</w:t>
      </w:r>
    </w:p>
    <w:p w14:paraId="13F3AECC" w14:textId="16EE1598"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3.2.4 </w:t>
      </w:r>
      <w:r w:rsidR="006D08C1" w:rsidRPr="006D08C1">
        <w:rPr>
          <w:rFonts w:ascii="Arial" w:hAnsi="Arial" w:cs="Arial"/>
          <w:b/>
          <w:sz w:val="22"/>
          <w:szCs w:val="22"/>
          <w:lang w:val="en-US"/>
        </w:rPr>
        <w:t>Fertilizer Application</w:t>
      </w:r>
      <w:r w:rsidR="006D08C1" w:rsidRPr="006D08C1">
        <w:rPr>
          <w:rFonts w:ascii="Arial" w:hAnsi="Arial" w:cs="Arial"/>
          <w:sz w:val="22"/>
          <w:szCs w:val="22"/>
          <w:lang w:val="en-US"/>
        </w:rPr>
        <w:t xml:space="preserve"> </w:t>
      </w:r>
    </w:p>
    <w:p w14:paraId="06859298"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Knowledge level on fertilizer application is a critical indicator of the farmers capacity to optimize nutrient use and ensure sustainable crop production.</w:t>
      </w:r>
    </w:p>
    <w:p w14:paraId="4D557376"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(92%),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(96%),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(100%) and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(80%) show very high levels of knowledge.</w:t>
      </w:r>
      <w:r w:rsidRPr="006D08C1">
        <w:rPr>
          <w:rFonts w:ascii="Arial" w:hAnsi="Arial" w:cs="Arial"/>
          <w:b/>
          <w:sz w:val="22"/>
          <w:szCs w:val="22"/>
          <w:lang w:val="en-US"/>
        </w:rPr>
        <w:t xml:space="preserve"> </w:t>
      </w:r>
      <w:r w:rsidRPr="006D08C1">
        <w:rPr>
          <w:rFonts w:ascii="Arial" w:hAnsi="Arial" w:cs="Arial"/>
          <w:sz w:val="22"/>
          <w:szCs w:val="22"/>
          <w:lang w:val="en-US"/>
        </w:rPr>
        <w:t>These locations likely benefit from higher literacy rates and proactive extension support.</w:t>
      </w:r>
    </w:p>
    <w:p w14:paraId="623B5014"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Locations like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(52%),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(52%),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Dhar (72%),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(68%),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(64%)</w:t>
      </w:r>
      <w:r w:rsidRPr="006D08C1">
        <w:rPr>
          <w:rFonts w:ascii="Arial" w:hAnsi="Arial" w:cs="Arial"/>
          <w:b/>
          <w:sz w:val="22"/>
          <w:szCs w:val="22"/>
          <w:lang w:val="en-US"/>
        </w:rPr>
        <w:t xml:space="preserve"> </w:t>
      </w:r>
      <w:r w:rsidRPr="006D08C1">
        <w:rPr>
          <w:rFonts w:ascii="Arial" w:hAnsi="Arial" w:cs="Arial"/>
          <w:sz w:val="22"/>
          <w:szCs w:val="22"/>
          <w:lang w:val="en-US"/>
        </w:rPr>
        <w:t xml:space="preserve">and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(80%) fall into the medium knowledge category. These regions may have partial awareness of fertilizer types, but lack of clarity on dosage or timing; reliance on traditional practices,</w:t>
      </w:r>
      <w:r w:rsidRPr="006D08C1">
        <w:rPr>
          <w:rFonts w:ascii="Arial" w:hAnsi="Arial" w:cs="Arial"/>
          <w:b/>
          <w:sz w:val="22"/>
          <w:szCs w:val="22"/>
          <w:lang w:val="en-US"/>
        </w:rPr>
        <w:t xml:space="preserve"> </w:t>
      </w:r>
      <w:r w:rsidRPr="006D08C1">
        <w:rPr>
          <w:rFonts w:ascii="Arial" w:hAnsi="Arial" w:cs="Arial"/>
          <w:sz w:val="22"/>
          <w:szCs w:val="22"/>
          <w:lang w:val="en-US"/>
        </w:rPr>
        <w:t>with limited formal guidance; influence of</w:t>
      </w:r>
      <w:r w:rsidRPr="006D08C1">
        <w:rPr>
          <w:rFonts w:ascii="Arial" w:hAnsi="Arial" w:cs="Arial"/>
          <w:b/>
          <w:bCs/>
          <w:sz w:val="22"/>
          <w:szCs w:val="22"/>
          <w:lang w:val="en-US"/>
        </w:rPr>
        <w:t xml:space="preserve"> </w:t>
      </w:r>
      <w:r w:rsidRPr="006D08C1">
        <w:rPr>
          <w:rFonts w:ascii="Arial" w:hAnsi="Arial" w:cs="Arial"/>
          <w:bCs/>
          <w:sz w:val="22"/>
          <w:szCs w:val="22"/>
          <w:lang w:val="en-US"/>
        </w:rPr>
        <w:t>farmer-to-farmer</w:t>
      </w:r>
      <w:r w:rsidRPr="006D08C1">
        <w:rPr>
          <w:rFonts w:ascii="Arial" w:hAnsi="Arial" w:cs="Arial"/>
          <w:b/>
          <w:bCs/>
          <w:sz w:val="22"/>
          <w:szCs w:val="22"/>
          <w:lang w:val="en-US"/>
        </w:rPr>
        <w:t xml:space="preserve"> </w:t>
      </w:r>
      <w:r w:rsidRPr="006D08C1">
        <w:rPr>
          <w:rFonts w:ascii="Arial" w:hAnsi="Arial" w:cs="Arial"/>
          <w:sz w:val="22"/>
          <w:szCs w:val="22"/>
          <w:lang w:val="en-US"/>
        </w:rPr>
        <w:t>communication rather than institutional recommendations. Medium knowledge groups often apply fertilizers without soil test-based recommendations, leading to suboptimal yields or soil degradation.</w:t>
      </w:r>
    </w:p>
    <w:p w14:paraId="187C03C8"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lastRenderedPageBreak/>
        <w:t xml:space="preserve">Thana (88%),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(48%),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(28%),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(32%) reflect substantial low-level knowledge. In such areas, farmers may face limited access to training or advisory support. In low knowledge zones, there is often misuse of nitrogen fertilizers and neglect of micronutrients, which exacerbates soil nutrient imbalance.</w:t>
      </w:r>
    </w:p>
    <w:p w14:paraId="5647C326" w14:textId="46BF16AD" w:rsidR="006D08C1" w:rsidRPr="006D08C1" w:rsidRDefault="006D08C1" w:rsidP="00A90D7A">
      <w:pPr>
        <w:ind w:firstLine="720"/>
        <w:jc w:val="both"/>
        <w:rPr>
          <w:rFonts w:ascii="Arial" w:hAnsi="Arial" w:cs="Arial"/>
          <w:sz w:val="22"/>
          <w:szCs w:val="22"/>
          <w:lang w:val="en-US"/>
        </w:rPr>
      </w:pPr>
      <w:r w:rsidRPr="006D08C1">
        <w:rPr>
          <w:rFonts w:ascii="Arial" w:hAnsi="Arial" w:cs="Arial"/>
          <w:sz w:val="22"/>
          <w:szCs w:val="22"/>
          <w:lang w:val="en-US"/>
        </w:rPr>
        <w:t>Only Chatri (4%) did not respond. This might suggest survey fatigue or ambiguity in understanding the question or gaps in enumerator communication or classification.</w:t>
      </w:r>
    </w:p>
    <w:p w14:paraId="1A166951" w14:textId="60091247"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3.2.5 </w:t>
      </w:r>
      <w:r w:rsidR="006D08C1" w:rsidRPr="006D08C1">
        <w:rPr>
          <w:rFonts w:ascii="Arial" w:hAnsi="Arial" w:cs="Arial"/>
          <w:b/>
          <w:sz w:val="22"/>
          <w:szCs w:val="22"/>
          <w:lang w:val="en-US"/>
        </w:rPr>
        <w:t>Spacing Knowledge Level</w:t>
      </w:r>
    </w:p>
    <w:p w14:paraId="68D2FA1A"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Proper spacing in crop planting is essential for optimizing plant population, nutrient use, light interception, and ultimately, crop yield and resource efficiency. The current dataset highlights substantial variation in spacing knowledge among farmers across different Panchayats.</w:t>
      </w:r>
    </w:p>
    <w:p w14:paraId="00D1A1B3"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Panchayats like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(92%)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(96%)</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(80%)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(100%)</w:t>
      </w:r>
      <w:r w:rsidRPr="006D08C1">
        <w:rPr>
          <w:rFonts w:ascii="Arial" w:hAnsi="Arial" w:cs="Arial"/>
          <w:sz w:val="22"/>
          <w:szCs w:val="22"/>
          <w:lang w:val="en-US"/>
        </w:rPr>
        <w:t xml:space="preserve"> and </w:t>
      </w:r>
      <w:r w:rsidRPr="006D08C1">
        <w:rPr>
          <w:rFonts w:ascii="Arial" w:hAnsi="Arial" w:cs="Arial"/>
          <w:bCs/>
          <w:sz w:val="22"/>
          <w:szCs w:val="22"/>
          <w:lang w:val="en-US"/>
        </w:rPr>
        <w:t>Tunga Dhar (24%)</w:t>
      </w:r>
      <w:r w:rsidRPr="006D08C1">
        <w:rPr>
          <w:rFonts w:ascii="Arial" w:hAnsi="Arial" w:cs="Arial"/>
          <w:sz w:val="22"/>
          <w:szCs w:val="22"/>
          <w:lang w:val="en-US"/>
        </w:rPr>
        <w:t xml:space="preserve"> demonstrated </w:t>
      </w:r>
      <w:r w:rsidRPr="006D08C1">
        <w:rPr>
          <w:rFonts w:ascii="Arial" w:hAnsi="Arial" w:cs="Arial"/>
          <w:bCs/>
          <w:sz w:val="22"/>
          <w:szCs w:val="22"/>
          <w:lang w:val="en-US"/>
        </w:rPr>
        <w:t>high levels of spacing knowledge</w:t>
      </w:r>
      <w:r w:rsidRPr="006D08C1">
        <w:rPr>
          <w:rFonts w:ascii="Arial" w:hAnsi="Arial" w:cs="Arial"/>
          <w:sz w:val="22"/>
          <w:szCs w:val="22"/>
          <w:lang w:val="en-US"/>
        </w:rPr>
        <w:t xml:space="preserve"> indicating high extension support likely through </w:t>
      </w:r>
      <w:r w:rsidRPr="006D08C1">
        <w:rPr>
          <w:rFonts w:ascii="Arial" w:hAnsi="Arial" w:cs="Arial"/>
          <w:bCs/>
          <w:sz w:val="22"/>
          <w:szCs w:val="22"/>
          <w:lang w:val="en-US"/>
        </w:rPr>
        <w:t>Krishi Vigyan Kendras (KVKs)</w:t>
      </w:r>
      <w:r w:rsidRPr="006D08C1">
        <w:rPr>
          <w:rFonts w:ascii="Arial" w:hAnsi="Arial" w:cs="Arial"/>
          <w:sz w:val="22"/>
          <w:szCs w:val="22"/>
          <w:lang w:val="en-US"/>
        </w:rPr>
        <w:t xml:space="preserve"> or demonstration programs.</w:t>
      </w:r>
    </w:p>
    <w:p w14:paraId="0534F2DF"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(52%)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(52%)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Dhar (72%)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(68%)</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(80%)</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(64%)</w:t>
      </w:r>
      <w:r w:rsidRPr="006D08C1">
        <w:rPr>
          <w:rFonts w:ascii="Arial" w:hAnsi="Arial" w:cs="Arial"/>
          <w:sz w:val="22"/>
          <w:szCs w:val="22"/>
          <w:lang w:val="en-US"/>
        </w:rPr>
        <w:t xml:space="preserve"> reflect </w:t>
      </w:r>
      <w:r w:rsidRPr="006D08C1">
        <w:rPr>
          <w:rFonts w:ascii="Arial" w:hAnsi="Arial" w:cs="Arial"/>
          <w:bCs/>
          <w:sz w:val="22"/>
          <w:szCs w:val="22"/>
          <w:lang w:val="en-US"/>
        </w:rPr>
        <w:t>moderate awareness</w:t>
      </w:r>
      <w:r w:rsidRPr="006D08C1">
        <w:rPr>
          <w:rFonts w:ascii="Arial" w:hAnsi="Arial" w:cs="Arial"/>
          <w:sz w:val="22"/>
          <w:szCs w:val="22"/>
          <w:lang w:val="en-US"/>
        </w:rPr>
        <w:t xml:space="preserve">. Farmers here may understand </w:t>
      </w:r>
      <w:r w:rsidRPr="006D08C1">
        <w:rPr>
          <w:rFonts w:ascii="Arial" w:hAnsi="Arial" w:cs="Arial"/>
          <w:bCs/>
          <w:sz w:val="22"/>
          <w:szCs w:val="22"/>
          <w:lang w:val="en-US"/>
        </w:rPr>
        <w:t>general spacing guidelines</w:t>
      </w:r>
      <w:r w:rsidRPr="006D08C1">
        <w:rPr>
          <w:rFonts w:ascii="Arial" w:hAnsi="Arial" w:cs="Arial"/>
          <w:sz w:val="22"/>
          <w:szCs w:val="22"/>
          <w:lang w:val="en-US"/>
        </w:rPr>
        <w:t xml:space="preserve">, but </w:t>
      </w:r>
      <w:r w:rsidRPr="006D08C1">
        <w:rPr>
          <w:rFonts w:ascii="Arial" w:hAnsi="Arial" w:cs="Arial"/>
          <w:bCs/>
          <w:sz w:val="22"/>
          <w:szCs w:val="22"/>
          <w:lang w:val="en-US"/>
        </w:rPr>
        <w:t>lack specificity</w:t>
      </w:r>
      <w:r w:rsidRPr="006D08C1">
        <w:rPr>
          <w:rFonts w:ascii="Arial" w:hAnsi="Arial" w:cs="Arial"/>
          <w:sz w:val="22"/>
          <w:szCs w:val="22"/>
          <w:lang w:val="en-US"/>
        </w:rPr>
        <w:t xml:space="preserve"> for crop or variety.</w:t>
      </w:r>
    </w:p>
    <w:p w14:paraId="5B561A3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Notably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(80%)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(36%)</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(32%)</w:t>
      </w:r>
      <w:r w:rsidRPr="006D08C1">
        <w:rPr>
          <w:rFonts w:ascii="Arial" w:hAnsi="Arial" w:cs="Arial"/>
          <w:sz w:val="22"/>
          <w:szCs w:val="22"/>
          <w:lang w:val="en-US"/>
        </w:rPr>
        <w:t xml:space="preserve">, </w:t>
      </w:r>
      <w:r w:rsidRPr="006D08C1">
        <w:rPr>
          <w:rFonts w:ascii="Arial" w:hAnsi="Arial" w:cs="Arial"/>
          <w:bCs/>
          <w:sz w:val="22"/>
          <w:szCs w:val="22"/>
          <w:lang w:val="en-US"/>
        </w:rPr>
        <w:t>Tunga Dhar (24%)</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(20%)</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(16%)</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Baggi (16%)</w:t>
      </w:r>
      <w:r w:rsidRPr="006D08C1">
        <w:rPr>
          <w:rFonts w:ascii="Arial" w:hAnsi="Arial" w:cs="Arial"/>
          <w:sz w:val="22"/>
          <w:szCs w:val="22"/>
          <w:lang w:val="en-US"/>
        </w:rPr>
        <w:t xml:space="preserve"> showed </w:t>
      </w:r>
      <w:r w:rsidRPr="006D08C1">
        <w:rPr>
          <w:rFonts w:ascii="Arial" w:hAnsi="Arial" w:cs="Arial"/>
          <w:bCs/>
          <w:sz w:val="22"/>
          <w:szCs w:val="22"/>
          <w:lang w:val="en-US"/>
        </w:rPr>
        <w:t>a substantial segment of farmers with low spacing knowledge</w:t>
      </w:r>
      <w:r w:rsidRPr="006D08C1">
        <w:rPr>
          <w:rFonts w:ascii="Arial" w:hAnsi="Arial" w:cs="Arial"/>
          <w:sz w:val="22"/>
          <w:szCs w:val="22"/>
          <w:lang w:val="en-US"/>
        </w:rPr>
        <w:t>. Improper spacing not only affects plant architecture but also contributes to increased pest and disease incidence due to poor aeration.</w:t>
      </w:r>
    </w:p>
    <w:p w14:paraId="6FD19648" w14:textId="55243468"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w:t>
      </w:r>
      <w:r w:rsidRPr="006D08C1">
        <w:rPr>
          <w:rFonts w:ascii="Arial" w:hAnsi="Arial" w:cs="Arial"/>
          <w:bCs/>
          <w:sz w:val="22"/>
          <w:szCs w:val="22"/>
          <w:lang w:val="en-US"/>
        </w:rPr>
        <w:t>Chatri (4%)</w:t>
      </w:r>
      <w:r w:rsidRPr="006D08C1">
        <w:rPr>
          <w:rFonts w:ascii="Arial" w:hAnsi="Arial" w:cs="Arial"/>
          <w:sz w:val="22"/>
          <w:szCs w:val="22"/>
          <w:lang w:val="en-US"/>
        </w:rPr>
        <w:t xml:space="preserve"> recorded non-response. Possible explanations include farmer hesitation due to </w:t>
      </w:r>
      <w:r w:rsidRPr="006D08C1">
        <w:rPr>
          <w:rFonts w:ascii="Arial" w:hAnsi="Arial" w:cs="Arial"/>
          <w:bCs/>
          <w:sz w:val="22"/>
          <w:szCs w:val="22"/>
          <w:lang w:val="en-US"/>
        </w:rPr>
        <w:t>survey fatigue or confusion</w:t>
      </w:r>
      <w:r w:rsidRPr="006D08C1">
        <w:rPr>
          <w:rFonts w:ascii="Arial" w:hAnsi="Arial" w:cs="Arial"/>
          <w:sz w:val="22"/>
          <w:szCs w:val="22"/>
          <w:lang w:val="en-US"/>
        </w:rPr>
        <w:t>.</w:t>
      </w:r>
    </w:p>
    <w:p w14:paraId="567F4BA8" w14:textId="0DB1787F"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3.2.6 </w:t>
      </w:r>
      <w:r w:rsidR="006D08C1" w:rsidRPr="006D08C1">
        <w:rPr>
          <w:rFonts w:ascii="Arial" w:hAnsi="Arial" w:cs="Arial"/>
          <w:b/>
          <w:sz w:val="22"/>
          <w:szCs w:val="22"/>
          <w:lang w:val="en-US"/>
        </w:rPr>
        <w:t>Irrigation Practices</w:t>
      </w:r>
    </w:p>
    <w:p w14:paraId="6C863D7A"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This dataset categorizes farmer responses into irrigated, rainfed, and not responded. Irrigation is critical for improving crop productivity, especially in rainfed zones, and its adoption is linked to infrastructure availability, water source reliability, and policy support.</w:t>
      </w:r>
    </w:p>
    <w:p w14:paraId="74F15C2A" w14:textId="77777777" w:rsidR="006D08C1" w:rsidRPr="006D08C1" w:rsidRDefault="006D08C1" w:rsidP="00956BED">
      <w:pPr>
        <w:ind w:firstLine="720"/>
        <w:jc w:val="both"/>
        <w:rPr>
          <w:rFonts w:ascii="Arial" w:hAnsi="Arial" w:cs="Arial"/>
          <w:bCs/>
          <w:sz w:val="22"/>
          <w:szCs w:val="22"/>
          <w:lang w:val="en-US"/>
        </w:rPr>
      </w:pPr>
      <w:r w:rsidRPr="006D08C1">
        <w:rPr>
          <w:rFonts w:ascii="Arial" w:hAnsi="Arial" w:cs="Arial"/>
          <w:bCs/>
          <w:sz w:val="22"/>
          <w:szCs w:val="22"/>
          <w:lang w:val="en-US"/>
        </w:rPr>
        <w:t xml:space="preserve">Irrigated farming prevalence above 30% was reported in panchayats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(44%), </w:t>
      </w: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(32%)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(32%). </w:t>
      </w:r>
      <w:r w:rsidRPr="006D08C1">
        <w:rPr>
          <w:rFonts w:ascii="Arial" w:hAnsi="Arial" w:cs="Arial"/>
          <w:sz w:val="22"/>
          <w:szCs w:val="22"/>
          <w:lang w:val="en-US"/>
        </w:rPr>
        <w:t xml:space="preserve">These areas show </w:t>
      </w:r>
      <w:r w:rsidRPr="006D08C1">
        <w:rPr>
          <w:rFonts w:ascii="Arial" w:hAnsi="Arial" w:cs="Arial"/>
          <w:bCs/>
          <w:sz w:val="22"/>
          <w:szCs w:val="22"/>
          <w:lang w:val="en-US"/>
        </w:rPr>
        <w:t>moderate irrigation infrastructure or practices</w:t>
      </w:r>
      <w:r w:rsidRPr="006D08C1">
        <w:rPr>
          <w:rFonts w:ascii="Arial" w:hAnsi="Arial" w:cs="Arial"/>
          <w:sz w:val="22"/>
          <w:szCs w:val="22"/>
          <w:lang w:val="en-US"/>
        </w:rPr>
        <w:t xml:space="preserve">, possibly due to </w:t>
      </w:r>
      <w:r w:rsidRPr="006D08C1">
        <w:rPr>
          <w:rFonts w:ascii="Arial" w:hAnsi="Arial" w:cs="Arial"/>
          <w:bCs/>
          <w:sz w:val="22"/>
          <w:szCs w:val="22"/>
          <w:lang w:val="en-US"/>
        </w:rPr>
        <w:t>proximity to water sources</w:t>
      </w:r>
      <w:r w:rsidRPr="006D08C1">
        <w:rPr>
          <w:rFonts w:ascii="Arial" w:hAnsi="Arial" w:cs="Arial"/>
          <w:sz w:val="22"/>
          <w:szCs w:val="22"/>
          <w:lang w:val="en-US"/>
        </w:rPr>
        <w:t xml:space="preserve"> like springs, tanks, or streams and awareness of </w:t>
      </w:r>
      <w:r w:rsidRPr="006D08C1">
        <w:rPr>
          <w:rFonts w:ascii="Arial" w:hAnsi="Arial" w:cs="Arial"/>
          <w:bCs/>
          <w:sz w:val="22"/>
          <w:szCs w:val="22"/>
          <w:lang w:val="en-US"/>
        </w:rPr>
        <w:t>micro-irrigation or farm pond use</w:t>
      </w:r>
      <w:r w:rsidRPr="006D08C1">
        <w:rPr>
          <w:rFonts w:ascii="Arial" w:hAnsi="Arial" w:cs="Arial"/>
          <w:sz w:val="22"/>
          <w:szCs w:val="22"/>
          <w:lang w:val="en-US"/>
        </w:rPr>
        <w:t>.</w:t>
      </w:r>
    </w:p>
    <w:p w14:paraId="6A69B85B" w14:textId="77777777" w:rsidR="006D08C1" w:rsidRPr="006D08C1" w:rsidRDefault="006D08C1" w:rsidP="00956BED">
      <w:pPr>
        <w:ind w:firstLine="720"/>
        <w:jc w:val="both"/>
        <w:rPr>
          <w:rFonts w:ascii="Arial" w:hAnsi="Arial" w:cs="Arial"/>
          <w:bCs/>
          <w:sz w:val="22"/>
          <w:szCs w:val="22"/>
          <w:lang w:val="en-US"/>
        </w:rPr>
      </w:pPr>
      <w:r w:rsidRPr="006D08C1">
        <w:rPr>
          <w:rFonts w:ascii="Arial" w:hAnsi="Arial" w:cs="Arial"/>
          <w:bCs/>
          <w:sz w:val="22"/>
          <w:szCs w:val="22"/>
          <w:lang w:val="en-US"/>
        </w:rPr>
        <w:t>Predominantly Rainfed above 75 %</w:t>
      </w:r>
      <w:r w:rsidRPr="006D08C1">
        <w:rPr>
          <w:rFonts w:ascii="Arial" w:hAnsi="Arial" w:cs="Arial"/>
          <w:b/>
          <w:bCs/>
          <w:sz w:val="22"/>
          <w:szCs w:val="22"/>
          <w:lang w:val="en-US"/>
        </w:rPr>
        <w:t xml:space="preserve"> </w:t>
      </w:r>
      <w:r w:rsidRPr="006D08C1">
        <w:rPr>
          <w:rFonts w:ascii="Arial" w:hAnsi="Arial" w:cs="Arial"/>
          <w:bCs/>
          <w:sz w:val="22"/>
          <w:szCs w:val="22"/>
          <w:lang w:val="en-US"/>
        </w:rPr>
        <w:t>was reported in panchayats</w:t>
      </w:r>
      <w:r w:rsidRPr="006D08C1">
        <w:rPr>
          <w:rFonts w:ascii="Arial" w:hAnsi="Arial" w:cs="Arial"/>
          <w:b/>
          <w:bCs/>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(100%),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(92%),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Dhar (92%),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(80%) and Chatri (76%).</w:t>
      </w:r>
    </w:p>
    <w:p w14:paraId="74D27A0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These Panchayats depend heavily on rainfall, reflecting </w:t>
      </w:r>
      <w:r w:rsidRPr="006D08C1">
        <w:rPr>
          <w:rFonts w:ascii="Arial" w:hAnsi="Arial" w:cs="Arial"/>
          <w:bCs/>
          <w:sz w:val="22"/>
          <w:szCs w:val="22"/>
          <w:lang w:val="en-US"/>
        </w:rPr>
        <w:t>absence of perennial irrigation sources</w:t>
      </w:r>
      <w:r w:rsidRPr="006D08C1">
        <w:rPr>
          <w:rFonts w:ascii="Arial" w:hAnsi="Arial" w:cs="Arial"/>
          <w:sz w:val="22"/>
          <w:szCs w:val="22"/>
          <w:lang w:val="en-US"/>
        </w:rPr>
        <w:t>, f</w:t>
      </w:r>
      <w:r w:rsidRPr="006D08C1">
        <w:rPr>
          <w:rFonts w:ascii="Arial" w:hAnsi="Arial" w:cs="Arial"/>
          <w:bCs/>
          <w:sz w:val="22"/>
          <w:szCs w:val="22"/>
          <w:lang w:val="en-US"/>
        </w:rPr>
        <w:t>ragmented landholding patterns</w:t>
      </w:r>
      <w:r w:rsidRPr="006D08C1">
        <w:rPr>
          <w:rFonts w:ascii="Arial" w:hAnsi="Arial" w:cs="Arial"/>
          <w:sz w:val="22"/>
          <w:szCs w:val="22"/>
          <w:lang w:val="en-US"/>
        </w:rPr>
        <w:t xml:space="preserve">, making irrigation infrastructure uneconomical and limited uptake of </w:t>
      </w:r>
      <w:r w:rsidRPr="006D08C1">
        <w:rPr>
          <w:rFonts w:ascii="Arial" w:hAnsi="Arial" w:cs="Arial"/>
          <w:bCs/>
          <w:sz w:val="22"/>
          <w:szCs w:val="22"/>
          <w:lang w:val="en-US"/>
        </w:rPr>
        <w:t>rainwater harvesting or watershed development</w:t>
      </w:r>
      <w:r w:rsidRPr="006D08C1">
        <w:rPr>
          <w:rFonts w:ascii="Arial" w:hAnsi="Arial" w:cs="Arial"/>
          <w:sz w:val="22"/>
          <w:szCs w:val="22"/>
          <w:lang w:val="en-US"/>
        </w:rPr>
        <w:t xml:space="preserve"> projects. Rainfed agriculture dominates in Himalayan and tribal regions due to topographic constraints and limited irrigation investment.</w:t>
      </w:r>
    </w:p>
    <w:p w14:paraId="49A18D15" w14:textId="77777777" w:rsidR="006D08C1" w:rsidRDefault="006D08C1" w:rsidP="00956BED">
      <w:pPr>
        <w:ind w:firstLine="720"/>
        <w:jc w:val="both"/>
        <w:rPr>
          <w:rFonts w:ascii="Arial" w:hAnsi="Arial" w:cs="Arial"/>
          <w:sz w:val="22"/>
          <w:szCs w:val="22"/>
          <w:lang w:val="en-US"/>
        </w:rPr>
      </w:pPr>
      <w:r w:rsidRPr="006D08C1">
        <w:rPr>
          <w:rFonts w:ascii="Arial" w:hAnsi="Arial" w:cs="Arial"/>
          <w:b/>
          <w:bCs/>
          <w:sz w:val="22"/>
          <w:szCs w:val="22"/>
          <w:lang w:val="en-US"/>
        </w:rPr>
        <w:t xml:space="preserve"> </w:t>
      </w:r>
      <w:r w:rsidRPr="006D08C1">
        <w:rPr>
          <w:rFonts w:ascii="Arial" w:hAnsi="Arial" w:cs="Arial"/>
          <w:bCs/>
          <w:sz w:val="22"/>
          <w:szCs w:val="22"/>
          <w:lang w:val="en-US"/>
        </w:rPr>
        <w:t xml:space="preserve">Highest non response on question was from </w:t>
      </w:r>
      <w:r w:rsidRPr="006D08C1">
        <w:rPr>
          <w:rFonts w:ascii="Arial" w:hAnsi="Arial" w:cs="Arial"/>
          <w:sz w:val="22"/>
          <w:szCs w:val="22"/>
          <w:lang w:val="en-US"/>
        </w:rPr>
        <w:t xml:space="preserve">Panchayat </w:t>
      </w:r>
      <w:r w:rsidRPr="006D08C1">
        <w:rPr>
          <w:rFonts w:ascii="Arial" w:hAnsi="Arial" w:cs="Arial"/>
          <w:bCs/>
          <w:sz w:val="22"/>
          <w:szCs w:val="22"/>
          <w:lang w:val="en-US"/>
        </w:rPr>
        <w:t xml:space="preserve">Thana (36%) followed by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(12%)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(12%)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(12%)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(8%)</w:t>
      </w:r>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Baggi (4%)</w:t>
      </w:r>
      <w:r w:rsidRPr="006D08C1">
        <w:rPr>
          <w:rFonts w:ascii="Arial" w:hAnsi="Arial" w:cs="Arial"/>
          <w:sz w:val="22"/>
          <w:szCs w:val="22"/>
          <w:lang w:val="en-US"/>
        </w:rPr>
        <w:t>.</w:t>
      </w:r>
    </w:p>
    <w:p w14:paraId="124F2AC0" w14:textId="77777777" w:rsidR="00A90D7A" w:rsidRDefault="00A90D7A" w:rsidP="00956BED">
      <w:pPr>
        <w:ind w:firstLine="720"/>
        <w:jc w:val="both"/>
        <w:rPr>
          <w:rFonts w:ascii="Arial" w:hAnsi="Arial" w:cs="Arial"/>
          <w:sz w:val="22"/>
          <w:szCs w:val="22"/>
          <w:lang w:val="en-US"/>
        </w:rPr>
      </w:pPr>
    </w:p>
    <w:p w14:paraId="4899F980" w14:textId="77777777" w:rsidR="00A90D7A" w:rsidRPr="006D08C1" w:rsidRDefault="00A90D7A" w:rsidP="00956BED">
      <w:pPr>
        <w:ind w:firstLine="720"/>
        <w:jc w:val="both"/>
        <w:rPr>
          <w:rFonts w:ascii="Arial" w:hAnsi="Arial" w:cs="Arial"/>
          <w:sz w:val="22"/>
          <w:szCs w:val="22"/>
          <w:lang w:val="en-US"/>
        </w:rPr>
      </w:pPr>
    </w:p>
    <w:p w14:paraId="55AE2D61" w14:textId="77777777" w:rsidR="006D08C1" w:rsidRPr="006D08C1" w:rsidRDefault="006D08C1" w:rsidP="006D08C1">
      <w:pPr>
        <w:jc w:val="both"/>
        <w:rPr>
          <w:rFonts w:ascii="Arial" w:hAnsi="Arial" w:cs="Arial"/>
          <w:b/>
          <w:sz w:val="22"/>
          <w:szCs w:val="22"/>
          <w:lang w:val="en-US"/>
        </w:rPr>
      </w:pPr>
    </w:p>
    <w:p w14:paraId="160FB869" w14:textId="0E15B148"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3.2.7 </w:t>
      </w:r>
      <w:r w:rsidR="006D08C1" w:rsidRPr="006D08C1">
        <w:rPr>
          <w:rFonts w:ascii="Arial" w:hAnsi="Arial" w:cs="Arial"/>
          <w:b/>
          <w:sz w:val="22"/>
          <w:szCs w:val="22"/>
          <w:lang w:val="en-US"/>
        </w:rPr>
        <w:t>Weed Management Knowledge Levels</w:t>
      </w:r>
    </w:p>
    <w:p w14:paraId="74224346"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The data reflects farmer preferences and knowledge levels regarding </w:t>
      </w:r>
      <w:r w:rsidRPr="006D08C1">
        <w:rPr>
          <w:rFonts w:ascii="Arial" w:hAnsi="Arial" w:cs="Arial"/>
          <w:bCs/>
          <w:sz w:val="22"/>
          <w:szCs w:val="22"/>
          <w:lang w:val="en-US"/>
        </w:rPr>
        <w:t>weed management</w:t>
      </w:r>
      <w:r w:rsidRPr="006D08C1">
        <w:rPr>
          <w:rFonts w:ascii="Arial" w:hAnsi="Arial" w:cs="Arial"/>
          <w:sz w:val="22"/>
          <w:szCs w:val="22"/>
          <w:lang w:val="en-US"/>
        </w:rPr>
        <w:t xml:space="preserve">, categorized as </w:t>
      </w:r>
      <w:r w:rsidRPr="006D08C1">
        <w:rPr>
          <w:rFonts w:ascii="Arial" w:hAnsi="Arial" w:cs="Arial"/>
          <w:bCs/>
          <w:sz w:val="22"/>
          <w:szCs w:val="22"/>
          <w:lang w:val="en-US"/>
        </w:rPr>
        <w:t>manual/low</w:t>
      </w:r>
      <w:r w:rsidRPr="006D08C1">
        <w:rPr>
          <w:rFonts w:ascii="Arial" w:hAnsi="Arial" w:cs="Arial"/>
          <w:sz w:val="22"/>
          <w:szCs w:val="22"/>
          <w:lang w:val="en-US"/>
        </w:rPr>
        <w:t xml:space="preserve"> knowledge, </w:t>
      </w:r>
      <w:r w:rsidRPr="006D08C1">
        <w:rPr>
          <w:rFonts w:ascii="Arial" w:hAnsi="Arial" w:cs="Arial"/>
          <w:bCs/>
          <w:sz w:val="22"/>
          <w:szCs w:val="22"/>
          <w:lang w:val="en-US"/>
        </w:rPr>
        <w:t>chemical/medium knowledge, both/high knowledge</w:t>
      </w:r>
      <w:r w:rsidRPr="006D08C1">
        <w:rPr>
          <w:rFonts w:ascii="Arial" w:hAnsi="Arial" w:cs="Arial"/>
          <w:sz w:val="22"/>
          <w:szCs w:val="22"/>
          <w:lang w:val="en-US"/>
        </w:rPr>
        <w:t xml:space="preserve"> and </w:t>
      </w:r>
      <w:r w:rsidRPr="006D08C1">
        <w:rPr>
          <w:rFonts w:ascii="Arial" w:hAnsi="Arial" w:cs="Arial"/>
          <w:bCs/>
          <w:sz w:val="22"/>
          <w:szCs w:val="22"/>
          <w:lang w:val="en-US"/>
        </w:rPr>
        <w:t>not responded</w:t>
      </w:r>
      <w:r w:rsidRPr="006D08C1">
        <w:rPr>
          <w:rFonts w:ascii="Arial" w:hAnsi="Arial" w:cs="Arial"/>
          <w:sz w:val="22"/>
          <w:szCs w:val="22"/>
          <w:lang w:val="en-US"/>
        </w:rPr>
        <w:t>.</w:t>
      </w:r>
    </w:p>
    <w:p w14:paraId="617BB7EF"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Most Panchayats viz.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(92%),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(92%)</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(96%)</w:t>
      </w:r>
      <w:r w:rsidRPr="006D08C1">
        <w:rPr>
          <w:rFonts w:ascii="Arial" w:hAnsi="Arial" w:cs="Arial"/>
          <w:sz w:val="22"/>
          <w:szCs w:val="22"/>
          <w:lang w:val="en-US"/>
        </w:rPr>
        <w:t xml:space="preserve">, </w:t>
      </w:r>
      <w:r w:rsidRPr="006D08C1">
        <w:rPr>
          <w:rFonts w:ascii="Arial" w:hAnsi="Arial" w:cs="Arial"/>
          <w:bCs/>
          <w:sz w:val="22"/>
          <w:szCs w:val="22"/>
          <w:lang w:val="en-US"/>
        </w:rPr>
        <w:t>Thana (88%)</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(84%)</w:t>
      </w:r>
      <w:r w:rsidRPr="006D08C1">
        <w:rPr>
          <w:rFonts w:ascii="Arial" w:hAnsi="Arial" w:cs="Arial"/>
          <w:sz w:val="22"/>
          <w:szCs w:val="22"/>
          <w:lang w:val="en-US"/>
        </w:rPr>
        <w:t xml:space="preserve"> and </w:t>
      </w:r>
      <w:proofErr w:type="spellStart"/>
      <w:r w:rsidRPr="006D08C1">
        <w:rPr>
          <w:rFonts w:ascii="Arial" w:hAnsi="Arial" w:cs="Arial"/>
          <w:sz w:val="22"/>
          <w:szCs w:val="22"/>
          <w:lang w:val="en-US"/>
        </w:rPr>
        <w:t>Tungadhar</w:t>
      </w:r>
      <w:proofErr w:type="spellEnd"/>
      <w:r w:rsidRPr="006D08C1">
        <w:rPr>
          <w:rFonts w:ascii="Arial" w:hAnsi="Arial" w:cs="Arial"/>
          <w:sz w:val="22"/>
          <w:szCs w:val="22"/>
          <w:lang w:val="en-US"/>
        </w:rPr>
        <w:t xml:space="preserve"> (84%) still rely </w:t>
      </w:r>
      <w:r w:rsidRPr="006D08C1">
        <w:rPr>
          <w:rFonts w:ascii="Arial" w:hAnsi="Arial" w:cs="Arial"/>
          <w:bCs/>
          <w:sz w:val="22"/>
          <w:szCs w:val="22"/>
          <w:lang w:val="en-US"/>
        </w:rPr>
        <w:t>heavily on manual</w:t>
      </w:r>
      <w:r w:rsidRPr="006D08C1">
        <w:rPr>
          <w:rFonts w:ascii="Arial" w:hAnsi="Arial" w:cs="Arial"/>
          <w:sz w:val="22"/>
          <w:szCs w:val="22"/>
          <w:lang w:val="en-US"/>
        </w:rPr>
        <w:t xml:space="preserve"> which indicates </w:t>
      </w:r>
      <w:r w:rsidRPr="006D08C1">
        <w:rPr>
          <w:rFonts w:ascii="Arial" w:hAnsi="Arial" w:cs="Arial"/>
          <w:bCs/>
          <w:sz w:val="22"/>
          <w:szCs w:val="22"/>
          <w:lang w:val="en-US"/>
        </w:rPr>
        <w:t>traditional knowledge dependence</w:t>
      </w:r>
      <w:r w:rsidRPr="006D08C1">
        <w:rPr>
          <w:rFonts w:ascii="Arial" w:hAnsi="Arial" w:cs="Arial"/>
          <w:sz w:val="22"/>
          <w:szCs w:val="22"/>
          <w:lang w:val="en-US"/>
        </w:rPr>
        <w:t xml:space="preserve">, </w:t>
      </w:r>
      <w:r w:rsidRPr="006D08C1">
        <w:rPr>
          <w:rFonts w:ascii="Arial" w:hAnsi="Arial" w:cs="Arial"/>
          <w:bCs/>
          <w:sz w:val="22"/>
          <w:szCs w:val="22"/>
          <w:lang w:val="en-US"/>
        </w:rPr>
        <w:t>limited herbicide access</w:t>
      </w:r>
      <w:r w:rsidRPr="006D08C1">
        <w:rPr>
          <w:rFonts w:ascii="Arial" w:hAnsi="Arial" w:cs="Arial"/>
          <w:sz w:val="22"/>
          <w:szCs w:val="22"/>
          <w:lang w:val="en-US"/>
        </w:rPr>
        <w:t xml:space="preserve">, or </w:t>
      </w:r>
      <w:r w:rsidRPr="006D08C1">
        <w:rPr>
          <w:rFonts w:ascii="Arial" w:hAnsi="Arial" w:cs="Arial"/>
          <w:bCs/>
          <w:sz w:val="22"/>
          <w:szCs w:val="22"/>
          <w:lang w:val="en-US"/>
        </w:rPr>
        <w:t>cultural preferences</w:t>
      </w:r>
      <w:r w:rsidRPr="006D08C1">
        <w:rPr>
          <w:rFonts w:ascii="Arial" w:hAnsi="Arial" w:cs="Arial"/>
          <w:sz w:val="22"/>
          <w:szCs w:val="22"/>
          <w:lang w:val="en-US"/>
        </w:rPr>
        <w:t xml:space="preserve">. Manual weeding is </w:t>
      </w:r>
      <w:r w:rsidRPr="006D08C1">
        <w:rPr>
          <w:rFonts w:ascii="Arial" w:hAnsi="Arial" w:cs="Arial"/>
          <w:bCs/>
          <w:sz w:val="22"/>
          <w:szCs w:val="22"/>
          <w:lang w:val="en-US"/>
        </w:rPr>
        <w:t>labor-intensive</w:t>
      </w:r>
      <w:r w:rsidRPr="006D08C1">
        <w:rPr>
          <w:rFonts w:ascii="Arial" w:hAnsi="Arial" w:cs="Arial"/>
          <w:sz w:val="22"/>
          <w:szCs w:val="22"/>
          <w:lang w:val="en-US"/>
        </w:rPr>
        <w:t xml:space="preserve"> and may lead to reduced efficiency during peak season. Most hill-region farmers rely on manual weed control due to terrain, labor availability, and poor chemical access.</w:t>
      </w:r>
    </w:p>
    <w:p w14:paraId="624C2E0E"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(28%)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(28%) show significant use of both methods, reflecting higher awareness or exposure to training. These may be priority sites for piloting integrated weed management (IWM) approaches. </w:t>
      </w:r>
    </w:p>
    <w:p w14:paraId="1F8FADF3"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Moderate use of chemical methods reported only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(12%),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(20%),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(28%), Thana (4%), Tunga Dhar (4%) and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(4%). Chemical use is relatively rare which is due to cost concerns, fear of side effects, or lack of knowledge. </w:t>
      </w:r>
    </w:p>
    <w:p w14:paraId="3397DEA2" w14:textId="68FB5019"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Non-Response Rates were high in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(16%),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Baggi</w:t>
      </w:r>
      <w:proofErr w:type="spellEnd"/>
      <w:r w:rsidRPr="006D08C1">
        <w:rPr>
          <w:rFonts w:ascii="Arial" w:hAnsi="Arial" w:cs="Arial"/>
          <w:sz w:val="22"/>
          <w:szCs w:val="22"/>
          <w:lang w:val="en-US"/>
        </w:rPr>
        <w:t xml:space="preserve"> (16%),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(12%) &amp;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Dhar (12%) which suggests knowledge gaps or hesitance in reporting herbicide use, potentially due to regulatory concerns or community norms.</w:t>
      </w:r>
    </w:p>
    <w:p w14:paraId="6444ADD0" w14:textId="0C2F2E10"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3.2.8 </w:t>
      </w:r>
      <w:r w:rsidR="006D08C1" w:rsidRPr="006D08C1">
        <w:rPr>
          <w:rFonts w:ascii="Arial" w:hAnsi="Arial" w:cs="Arial"/>
          <w:b/>
          <w:sz w:val="22"/>
          <w:szCs w:val="22"/>
          <w:lang w:val="en-US"/>
        </w:rPr>
        <w:t>Disease Management Knowledge Levels</w:t>
      </w:r>
    </w:p>
    <w:p w14:paraId="39CCF0E9"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The dataset given in stacked bar diagram 10 presents self-reported levels of knowledge about disease management among farmers in ten panchayats of the Seraj Valley, divided into Low, Medium, and High levels, with a small percentage of Not Responded.</w:t>
      </w:r>
    </w:p>
    <w:p w14:paraId="0642E726"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(88%),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(84%), and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(44%) report low levels of knowledge indicating limited access to training, extension services, or possibly the presence of traditional or outdated practices.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and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may require targeted training programs, considering their extremely low "High Knowledge" percentages (0%). Sahu and Mishra, (2013) concluded that disease knowledge improves where farmers receive personalized climate and crop advisories.</w:t>
      </w:r>
    </w:p>
    <w:p w14:paraId="4FAA61BD" w14:textId="043815A3" w:rsidR="006D08C1" w:rsidRPr="006D08C1" w:rsidRDefault="006D08C1" w:rsidP="00956BED">
      <w:pPr>
        <w:ind w:firstLine="720"/>
        <w:jc w:val="both"/>
        <w:rPr>
          <w:rFonts w:ascii="Arial" w:hAnsi="Arial" w:cs="Arial"/>
          <w:bCs/>
          <w:iCs/>
          <w:sz w:val="22"/>
          <w:szCs w:val="22"/>
          <w:lang w:val="en-US"/>
        </w:rPr>
      </w:pPr>
      <w:r w:rsidRPr="006D08C1">
        <w:rPr>
          <w:rFonts w:ascii="Arial" w:hAnsi="Arial" w:cs="Arial"/>
          <w:iCs/>
          <w:sz w:val="22"/>
          <w:szCs w:val="22"/>
          <w:lang w:val="en-US"/>
        </w:rPr>
        <w:t xml:space="preserve">Medium knowledge is most prevalent is </w:t>
      </w:r>
      <w:r w:rsidRPr="006D08C1">
        <w:rPr>
          <w:rFonts w:ascii="Arial" w:hAnsi="Arial" w:cs="Arial"/>
          <w:bCs/>
          <w:iCs/>
          <w:sz w:val="22"/>
          <w:szCs w:val="22"/>
          <w:lang w:val="en-US"/>
        </w:rPr>
        <w:t xml:space="preserve">most common level in many panchayats viz. </w:t>
      </w:r>
      <w:proofErr w:type="spellStart"/>
      <w:r w:rsidRPr="006D08C1">
        <w:rPr>
          <w:rFonts w:ascii="Arial" w:hAnsi="Arial" w:cs="Arial"/>
          <w:iCs/>
          <w:sz w:val="22"/>
          <w:szCs w:val="22"/>
          <w:lang w:val="en-US"/>
        </w:rPr>
        <w:t>Shikawri</w:t>
      </w:r>
      <w:proofErr w:type="spellEnd"/>
      <w:r w:rsidRPr="006D08C1">
        <w:rPr>
          <w:rFonts w:ascii="Arial" w:hAnsi="Arial" w:cs="Arial"/>
          <w:iCs/>
          <w:sz w:val="22"/>
          <w:szCs w:val="22"/>
          <w:lang w:val="en-US"/>
        </w:rPr>
        <w:t xml:space="preserve"> (64%)</w:t>
      </w:r>
      <w:r w:rsidRPr="006D08C1">
        <w:rPr>
          <w:rFonts w:ascii="Arial" w:hAnsi="Arial" w:cs="Arial"/>
          <w:b/>
          <w:bCs/>
          <w:iCs/>
          <w:sz w:val="22"/>
          <w:szCs w:val="22"/>
          <w:lang w:val="en-US"/>
        </w:rPr>
        <w:t xml:space="preserve">, </w:t>
      </w:r>
      <w:r w:rsidRPr="006D08C1">
        <w:rPr>
          <w:rFonts w:ascii="Arial" w:hAnsi="Arial" w:cs="Arial"/>
          <w:iCs/>
          <w:sz w:val="22"/>
          <w:szCs w:val="22"/>
          <w:lang w:val="en-US"/>
        </w:rPr>
        <w:t>Thana (60%)</w:t>
      </w:r>
      <w:r w:rsidRPr="006D08C1">
        <w:rPr>
          <w:rFonts w:ascii="Arial" w:hAnsi="Arial" w:cs="Arial"/>
          <w:b/>
          <w:bCs/>
          <w:iCs/>
          <w:sz w:val="22"/>
          <w:szCs w:val="22"/>
          <w:lang w:val="en-US"/>
        </w:rPr>
        <w:t xml:space="preserve">, </w:t>
      </w:r>
      <w:proofErr w:type="spellStart"/>
      <w:r w:rsidRPr="006D08C1">
        <w:rPr>
          <w:rFonts w:ascii="Arial" w:hAnsi="Arial" w:cs="Arial"/>
          <w:iCs/>
          <w:sz w:val="22"/>
          <w:szCs w:val="22"/>
          <w:lang w:val="en-US"/>
        </w:rPr>
        <w:t>Tunga</w:t>
      </w:r>
      <w:proofErr w:type="spellEnd"/>
      <w:r w:rsidRPr="006D08C1">
        <w:rPr>
          <w:rFonts w:ascii="Arial" w:hAnsi="Arial" w:cs="Arial"/>
          <w:iCs/>
          <w:sz w:val="22"/>
          <w:szCs w:val="22"/>
          <w:lang w:val="en-US"/>
        </w:rPr>
        <w:t xml:space="preserve"> Dhar (72%)</w:t>
      </w:r>
      <w:r w:rsidRPr="006D08C1">
        <w:rPr>
          <w:rFonts w:ascii="Arial" w:hAnsi="Arial" w:cs="Arial"/>
          <w:b/>
          <w:bCs/>
          <w:iCs/>
          <w:sz w:val="22"/>
          <w:szCs w:val="22"/>
          <w:lang w:val="en-US"/>
        </w:rPr>
        <w:t xml:space="preserve">, </w:t>
      </w:r>
      <w:proofErr w:type="spellStart"/>
      <w:r w:rsidRPr="006D08C1">
        <w:rPr>
          <w:rFonts w:ascii="Arial" w:hAnsi="Arial" w:cs="Arial"/>
          <w:iCs/>
          <w:sz w:val="22"/>
          <w:szCs w:val="22"/>
          <w:lang w:val="en-US"/>
        </w:rPr>
        <w:t>Shilli</w:t>
      </w:r>
      <w:proofErr w:type="spellEnd"/>
      <w:r w:rsidRPr="006D08C1">
        <w:rPr>
          <w:rFonts w:ascii="Arial" w:hAnsi="Arial" w:cs="Arial"/>
          <w:iCs/>
          <w:sz w:val="22"/>
          <w:szCs w:val="22"/>
          <w:lang w:val="en-US"/>
        </w:rPr>
        <w:t xml:space="preserve"> </w:t>
      </w:r>
      <w:proofErr w:type="spellStart"/>
      <w:r w:rsidRPr="006D08C1">
        <w:rPr>
          <w:rFonts w:ascii="Arial" w:hAnsi="Arial" w:cs="Arial"/>
          <w:iCs/>
          <w:sz w:val="22"/>
          <w:szCs w:val="22"/>
          <w:lang w:val="en-US"/>
        </w:rPr>
        <w:t>Baggi</w:t>
      </w:r>
      <w:proofErr w:type="spellEnd"/>
      <w:r w:rsidRPr="006D08C1">
        <w:rPr>
          <w:rFonts w:ascii="Arial" w:hAnsi="Arial" w:cs="Arial"/>
          <w:iCs/>
          <w:sz w:val="22"/>
          <w:szCs w:val="22"/>
          <w:lang w:val="en-US"/>
        </w:rPr>
        <w:t xml:space="preserve"> (72%)</w:t>
      </w:r>
      <w:r w:rsidRPr="006D08C1">
        <w:rPr>
          <w:rFonts w:ascii="Arial" w:hAnsi="Arial" w:cs="Arial"/>
          <w:b/>
          <w:bCs/>
          <w:iCs/>
          <w:sz w:val="22"/>
          <w:szCs w:val="22"/>
          <w:lang w:val="en-US"/>
        </w:rPr>
        <w:t xml:space="preserve">, </w:t>
      </w:r>
      <w:r w:rsidRPr="006D08C1">
        <w:rPr>
          <w:rFonts w:ascii="Arial" w:hAnsi="Arial" w:cs="Arial"/>
          <w:bCs/>
          <w:iCs/>
          <w:sz w:val="22"/>
          <w:szCs w:val="22"/>
          <w:lang w:val="en-US"/>
        </w:rPr>
        <w:t>and</w:t>
      </w:r>
      <w:r w:rsidRPr="006D08C1">
        <w:rPr>
          <w:rFonts w:ascii="Arial" w:hAnsi="Arial" w:cs="Arial"/>
          <w:b/>
          <w:bCs/>
          <w:iCs/>
          <w:sz w:val="22"/>
          <w:szCs w:val="22"/>
          <w:lang w:val="en-US"/>
        </w:rPr>
        <w:t xml:space="preserve"> </w:t>
      </w:r>
      <w:proofErr w:type="spellStart"/>
      <w:r w:rsidRPr="006D08C1">
        <w:rPr>
          <w:rFonts w:ascii="Arial" w:hAnsi="Arial" w:cs="Arial"/>
          <w:iCs/>
          <w:sz w:val="22"/>
          <w:szCs w:val="22"/>
          <w:lang w:val="en-US"/>
        </w:rPr>
        <w:t>Dhim</w:t>
      </w:r>
      <w:proofErr w:type="spellEnd"/>
      <w:r w:rsidRPr="006D08C1">
        <w:rPr>
          <w:rFonts w:ascii="Arial" w:hAnsi="Arial" w:cs="Arial"/>
          <w:iCs/>
          <w:sz w:val="22"/>
          <w:szCs w:val="22"/>
          <w:lang w:val="en-US"/>
        </w:rPr>
        <w:t xml:space="preserve"> </w:t>
      </w:r>
      <w:proofErr w:type="spellStart"/>
      <w:r w:rsidRPr="006D08C1">
        <w:rPr>
          <w:rFonts w:ascii="Arial" w:hAnsi="Arial" w:cs="Arial"/>
          <w:iCs/>
          <w:sz w:val="22"/>
          <w:szCs w:val="22"/>
          <w:lang w:val="en-US"/>
        </w:rPr>
        <w:t>Kataru</w:t>
      </w:r>
      <w:proofErr w:type="spellEnd"/>
      <w:r w:rsidRPr="006D08C1">
        <w:rPr>
          <w:rFonts w:ascii="Arial" w:hAnsi="Arial" w:cs="Arial"/>
          <w:iCs/>
          <w:sz w:val="22"/>
          <w:szCs w:val="22"/>
          <w:lang w:val="en-US"/>
        </w:rPr>
        <w:t xml:space="preserve"> (80%</w:t>
      </w:r>
      <w:r w:rsidR="00A90D7A" w:rsidRPr="006D08C1">
        <w:rPr>
          <w:rFonts w:ascii="Arial" w:hAnsi="Arial" w:cs="Arial"/>
          <w:iCs/>
          <w:sz w:val="22"/>
          <w:szCs w:val="22"/>
          <w:lang w:val="en-US"/>
        </w:rPr>
        <w:t>)</w:t>
      </w:r>
      <w:r w:rsidR="00A90D7A" w:rsidRPr="006D08C1">
        <w:rPr>
          <w:rFonts w:ascii="Arial" w:hAnsi="Arial" w:cs="Arial"/>
          <w:b/>
          <w:bCs/>
          <w:iCs/>
          <w:sz w:val="22"/>
          <w:szCs w:val="22"/>
          <w:lang w:val="en-US"/>
        </w:rPr>
        <w:t>,</w:t>
      </w:r>
      <w:r w:rsidR="00A90D7A" w:rsidRPr="006D08C1">
        <w:rPr>
          <w:rFonts w:ascii="Arial" w:hAnsi="Arial" w:cs="Arial"/>
          <w:bCs/>
          <w:iCs/>
          <w:sz w:val="22"/>
          <w:szCs w:val="22"/>
          <w:lang w:val="en-US"/>
        </w:rPr>
        <w:t xml:space="preserve"> suggests</w:t>
      </w:r>
      <w:r w:rsidRPr="006D08C1">
        <w:rPr>
          <w:rFonts w:ascii="Arial" w:hAnsi="Arial" w:cs="Arial"/>
          <w:bCs/>
          <w:iCs/>
          <w:sz w:val="22"/>
          <w:szCs w:val="22"/>
          <w:lang w:val="en-US"/>
        </w:rPr>
        <w:t xml:space="preserve"> </w:t>
      </w:r>
      <w:r w:rsidRPr="006D08C1">
        <w:rPr>
          <w:rFonts w:ascii="Arial" w:hAnsi="Arial" w:cs="Arial"/>
          <w:iCs/>
          <w:sz w:val="22"/>
          <w:szCs w:val="22"/>
          <w:lang w:val="en-US"/>
        </w:rPr>
        <w:t>some awareness or exposure</w:t>
      </w:r>
      <w:r w:rsidRPr="006D08C1">
        <w:rPr>
          <w:rFonts w:ascii="Arial" w:hAnsi="Arial" w:cs="Arial"/>
          <w:b/>
          <w:bCs/>
          <w:iCs/>
          <w:sz w:val="22"/>
          <w:szCs w:val="22"/>
          <w:lang w:val="en-US"/>
        </w:rPr>
        <w:t xml:space="preserve"> </w:t>
      </w:r>
      <w:r w:rsidRPr="006D08C1">
        <w:rPr>
          <w:rFonts w:ascii="Arial" w:hAnsi="Arial" w:cs="Arial"/>
          <w:bCs/>
          <w:iCs/>
          <w:sz w:val="22"/>
          <w:szCs w:val="22"/>
          <w:lang w:val="en-US"/>
        </w:rPr>
        <w:t>to disease management, likely via informal sources or NGO/government campaigns. Hill farmers often have</w:t>
      </w:r>
      <w:r w:rsidRPr="006D08C1">
        <w:rPr>
          <w:rFonts w:ascii="Arial" w:hAnsi="Arial" w:cs="Arial"/>
          <w:b/>
          <w:bCs/>
          <w:iCs/>
          <w:sz w:val="22"/>
          <w:szCs w:val="22"/>
          <w:lang w:val="en-US"/>
        </w:rPr>
        <w:t xml:space="preserve"> </w:t>
      </w:r>
      <w:r w:rsidRPr="006D08C1">
        <w:rPr>
          <w:rFonts w:ascii="Arial" w:hAnsi="Arial" w:cs="Arial"/>
          <w:iCs/>
          <w:sz w:val="22"/>
          <w:szCs w:val="22"/>
          <w:lang w:val="en-US"/>
        </w:rPr>
        <w:t>medium awareness</w:t>
      </w:r>
      <w:r w:rsidRPr="006D08C1">
        <w:rPr>
          <w:rFonts w:ascii="Arial" w:hAnsi="Arial" w:cs="Arial"/>
          <w:b/>
          <w:bCs/>
          <w:iCs/>
          <w:sz w:val="22"/>
          <w:szCs w:val="22"/>
          <w:lang w:val="en-US"/>
        </w:rPr>
        <w:t xml:space="preserve"> </w:t>
      </w:r>
      <w:r w:rsidRPr="006D08C1">
        <w:rPr>
          <w:rFonts w:ascii="Arial" w:hAnsi="Arial" w:cs="Arial"/>
          <w:bCs/>
          <w:iCs/>
          <w:sz w:val="22"/>
          <w:szCs w:val="22"/>
          <w:lang w:val="en-US"/>
        </w:rPr>
        <w:t>but lack</w:t>
      </w:r>
      <w:r w:rsidRPr="006D08C1">
        <w:rPr>
          <w:rFonts w:ascii="Arial" w:hAnsi="Arial" w:cs="Arial"/>
          <w:b/>
          <w:bCs/>
          <w:iCs/>
          <w:sz w:val="22"/>
          <w:szCs w:val="22"/>
          <w:lang w:val="en-US"/>
        </w:rPr>
        <w:t xml:space="preserve"> </w:t>
      </w:r>
      <w:r w:rsidRPr="006D08C1">
        <w:rPr>
          <w:rFonts w:ascii="Arial" w:hAnsi="Arial" w:cs="Arial"/>
          <w:iCs/>
          <w:sz w:val="22"/>
          <w:szCs w:val="22"/>
          <w:lang w:val="en-US"/>
        </w:rPr>
        <w:t>practical training</w:t>
      </w:r>
      <w:r w:rsidRPr="006D08C1">
        <w:rPr>
          <w:rFonts w:ascii="Arial" w:hAnsi="Arial" w:cs="Arial"/>
          <w:bCs/>
          <w:iCs/>
          <w:sz w:val="22"/>
          <w:szCs w:val="22"/>
          <w:lang w:val="en-US"/>
        </w:rPr>
        <w:t>,</w:t>
      </w:r>
      <w:r w:rsidRPr="006D08C1">
        <w:rPr>
          <w:rFonts w:ascii="Arial" w:hAnsi="Arial" w:cs="Arial"/>
          <w:b/>
          <w:bCs/>
          <w:iCs/>
          <w:sz w:val="22"/>
          <w:szCs w:val="22"/>
          <w:lang w:val="en-US"/>
        </w:rPr>
        <w:t xml:space="preserve"> </w:t>
      </w:r>
      <w:r w:rsidRPr="006D08C1">
        <w:rPr>
          <w:rFonts w:ascii="Arial" w:hAnsi="Arial" w:cs="Arial"/>
          <w:bCs/>
          <w:iCs/>
          <w:sz w:val="22"/>
          <w:szCs w:val="22"/>
          <w:lang w:val="en-US"/>
        </w:rPr>
        <w:t>leading to misdiagnosis or delayed action in disease control.</w:t>
      </w:r>
    </w:p>
    <w:p w14:paraId="56746DB2" w14:textId="77777777" w:rsidR="006D08C1" w:rsidRPr="006D08C1" w:rsidRDefault="006D08C1" w:rsidP="00956BED">
      <w:pPr>
        <w:ind w:firstLine="720"/>
        <w:jc w:val="both"/>
        <w:rPr>
          <w:rFonts w:ascii="Arial" w:hAnsi="Arial" w:cs="Arial"/>
          <w:b/>
          <w:bCs/>
          <w:sz w:val="22"/>
          <w:szCs w:val="22"/>
          <w:lang w:val="en-US"/>
        </w:rPr>
      </w:pP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(16%)</w:t>
      </w:r>
      <w:r w:rsidRPr="006D08C1">
        <w:rPr>
          <w:rFonts w:ascii="Arial" w:hAnsi="Arial" w:cs="Arial"/>
          <w:b/>
          <w:bCs/>
          <w:sz w:val="22"/>
          <w:szCs w:val="22"/>
          <w:lang w:val="en-US"/>
        </w:rPr>
        <w:t xml:space="preserve">, </w:t>
      </w: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Dhar (12%)</w:t>
      </w:r>
      <w:r w:rsidRPr="006D08C1">
        <w:rPr>
          <w:rFonts w:ascii="Arial" w:hAnsi="Arial" w:cs="Arial"/>
          <w:b/>
          <w:bCs/>
          <w:sz w:val="22"/>
          <w:szCs w:val="22"/>
          <w:lang w:val="en-US"/>
        </w:rPr>
        <w:t xml:space="preserve">,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(12%),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(8%)</w:t>
      </w:r>
      <w:r w:rsidRPr="006D08C1">
        <w:rPr>
          <w:rFonts w:ascii="Arial" w:hAnsi="Arial" w:cs="Arial"/>
          <w:b/>
          <w:bCs/>
          <w:sz w:val="22"/>
          <w:szCs w:val="22"/>
          <w:lang w:val="en-US"/>
        </w:rPr>
        <w:t xml:space="preserve"> </w:t>
      </w:r>
      <w:r w:rsidRPr="006D08C1">
        <w:rPr>
          <w:rFonts w:ascii="Arial" w:hAnsi="Arial" w:cs="Arial"/>
          <w:sz w:val="22"/>
          <w:szCs w:val="22"/>
          <w:lang w:val="en-US"/>
        </w:rPr>
        <w:t>show relatively higher levels of knowledge. These could be linked to</w:t>
      </w:r>
      <w:r w:rsidRPr="006D08C1">
        <w:rPr>
          <w:rFonts w:ascii="Arial" w:hAnsi="Arial" w:cs="Arial"/>
          <w:b/>
          <w:bCs/>
          <w:sz w:val="22"/>
          <w:szCs w:val="22"/>
          <w:lang w:val="en-US"/>
        </w:rPr>
        <w:t xml:space="preserve"> </w:t>
      </w:r>
      <w:r w:rsidRPr="006D08C1">
        <w:rPr>
          <w:rFonts w:ascii="Arial" w:hAnsi="Arial" w:cs="Arial"/>
          <w:sz w:val="22"/>
          <w:szCs w:val="22"/>
          <w:lang w:val="en-US"/>
        </w:rPr>
        <w:t>active agricultural extension</w:t>
      </w:r>
      <w:r w:rsidRPr="006D08C1">
        <w:rPr>
          <w:rFonts w:ascii="Arial" w:hAnsi="Arial" w:cs="Arial"/>
          <w:b/>
          <w:bCs/>
          <w:sz w:val="22"/>
          <w:szCs w:val="22"/>
          <w:lang w:val="en-US"/>
        </w:rPr>
        <w:t xml:space="preserve">, </w:t>
      </w:r>
      <w:r w:rsidRPr="006D08C1">
        <w:rPr>
          <w:rFonts w:ascii="Arial" w:hAnsi="Arial" w:cs="Arial"/>
          <w:sz w:val="22"/>
          <w:szCs w:val="22"/>
          <w:lang w:val="en-US"/>
        </w:rPr>
        <w:t>demonstration plots</w:t>
      </w:r>
      <w:r w:rsidRPr="006D08C1">
        <w:rPr>
          <w:rFonts w:ascii="Arial" w:hAnsi="Arial" w:cs="Arial"/>
          <w:b/>
          <w:bCs/>
          <w:sz w:val="22"/>
          <w:szCs w:val="22"/>
          <w:lang w:val="en-US"/>
        </w:rPr>
        <w:t xml:space="preserve">, </w:t>
      </w:r>
      <w:r w:rsidRPr="006D08C1">
        <w:rPr>
          <w:rFonts w:ascii="Arial" w:hAnsi="Arial" w:cs="Arial"/>
          <w:sz w:val="22"/>
          <w:szCs w:val="22"/>
          <w:lang w:val="en-US"/>
        </w:rPr>
        <w:t>or personal farming experience with disease outbreaks</w:t>
      </w:r>
      <w:r w:rsidRPr="006D08C1">
        <w:rPr>
          <w:rFonts w:ascii="Arial" w:hAnsi="Arial" w:cs="Arial"/>
          <w:b/>
          <w:bCs/>
          <w:sz w:val="22"/>
          <w:szCs w:val="22"/>
          <w:lang w:val="en-US"/>
        </w:rPr>
        <w:t>.</w:t>
      </w:r>
    </w:p>
    <w:p w14:paraId="4BA11DEE"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lastRenderedPageBreak/>
        <w:t>Chiuni</w:t>
      </w:r>
      <w:proofErr w:type="spellEnd"/>
      <w:r w:rsidRPr="006D08C1">
        <w:rPr>
          <w:rFonts w:ascii="Arial" w:hAnsi="Arial" w:cs="Arial"/>
          <w:sz w:val="22"/>
          <w:szCs w:val="22"/>
          <w:lang w:val="en-US"/>
        </w:rPr>
        <w:t xml:space="preserve"> stands out</w:t>
      </w:r>
      <w:r w:rsidRPr="006D08C1">
        <w:rPr>
          <w:rFonts w:ascii="Arial" w:hAnsi="Arial" w:cs="Arial"/>
          <w:b/>
          <w:bCs/>
          <w:sz w:val="22"/>
          <w:szCs w:val="22"/>
          <w:lang w:val="en-US"/>
        </w:rPr>
        <w:t xml:space="preserve"> </w:t>
      </w:r>
      <w:r w:rsidRPr="006D08C1">
        <w:rPr>
          <w:rFonts w:ascii="Arial" w:hAnsi="Arial" w:cs="Arial"/>
          <w:sz w:val="22"/>
          <w:szCs w:val="22"/>
          <w:lang w:val="en-US"/>
        </w:rPr>
        <w:t>with</w:t>
      </w:r>
      <w:r w:rsidRPr="006D08C1">
        <w:rPr>
          <w:rFonts w:ascii="Arial" w:hAnsi="Arial" w:cs="Arial"/>
          <w:b/>
          <w:bCs/>
          <w:sz w:val="22"/>
          <w:szCs w:val="22"/>
          <w:lang w:val="en-US"/>
        </w:rPr>
        <w:t xml:space="preserve"> </w:t>
      </w:r>
      <w:r w:rsidRPr="006D08C1">
        <w:rPr>
          <w:rFonts w:ascii="Arial" w:hAnsi="Arial" w:cs="Arial"/>
          <w:sz w:val="22"/>
          <w:szCs w:val="22"/>
          <w:lang w:val="en-US"/>
        </w:rPr>
        <w:t>0% low knowledge and 16% high</w:t>
      </w:r>
      <w:r w:rsidRPr="006D08C1">
        <w:rPr>
          <w:rFonts w:ascii="Arial" w:hAnsi="Arial" w:cs="Arial"/>
          <w:b/>
          <w:bCs/>
          <w:sz w:val="22"/>
          <w:szCs w:val="22"/>
          <w:lang w:val="en-US"/>
        </w:rPr>
        <w:t xml:space="preserve">, </w:t>
      </w:r>
      <w:r w:rsidRPr="006D08C1">
        <w:rPr>
          <w:rFonts w:ascii="Arial" w:hAnsi="Arial" w:cs="Arial"/>
          <w:sz w:val="22"/>
          <w:szCs w:val="22"/>
          <w:lang w:val="en-US"/>
        </w:rPr>
        <w:t>reflecting potential early adopter behavior or better access to advisory services.</w:t>
      </w:r>
    </w:p>
    <w:p w14:paraId="2610D675" w14:textId="0C3CB284" w:rsidR="006D08C1" w:rsidRPr="006D08C1" w:rsidRDefault="006D08C1" w:rsidP="00956BED">
      <w:pPr>
        <w:ind w:firstLine="720"/>
        <w:jc w:val="both"/>
        <w:rPr>
          <w:rFonts w:ascii="Arial" w:hAnsi="Arial" w:cs="Arial"/>
          <w:bCs/>
          <w:sz w:val="22"/>
          <w:szCs w:val="22"/>
          <w:lang w:val="en-US"/>
        </w:rPr>
      </w:pPr>
      <w:r w:rsidRPr="006D08C1">
        <w:rPr>
          <w:rFonts w:ascii="Arial" w:hAnsi="Arial" w:cs="Arial"/>
          <w:sz w:val="22"/>
          <w:szCs w:val="22"/>
          <w:lang w:val="en-US"/>
        </w:rPr>
        <w:t>Minimal non-response except</w:t>
      </w:r>
      <w:r w:rsidRPr="006D08C1">
        <w:rPr>
          <w:rFonts w:ascii="Arial" w:hAnsi="Arial" w:cs="Arial"/>
          <w:b/>
          <w:bCs/>
          <w:sz w:val="22"/>
          <w:szCs w:val="22"/>
          <w:lang w:val="en-US"/>
        </w:rPr>
        <w:t xml:space="preserve">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(8%)</w:t>
      </w:r>
      <w:r w:rsidRPr="006D08C1">
        <w:rPr>
          <w:rFonts w:ascii="Arial" w:hAnsi="Arial" w:cs="Arial"/>
          <w:b/>
          <w:bCs/>
          <w:sz w:val="22"/>
          <w:szCs w:val="22"/>
          <w:lang w:val="en-US"/>
        </w:rPr>
        <w:t xml:space="preserve"> </w:t>
      </w:r>
      <w:r w:rsidRPr="006D08C1">
        <w:rPr>
          <w:rFonts w:ascii="Arial" w:hAnsi="Arial" w:cs="Arial"/>
          <w:sz w:val="22"/>
          <w:szCs w:val="22"/>
          <w:lang w:val="en-US"/>
        </w:rPr>
        <w:t xml:space="preserve">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(8%)</w:t>
      </w:r>
      <w:r w:rsidRPr="006D08C1">
        <w:rPr>
          <w:rFonts w:ascii="Arial" w:hAnsi="Arial" w:cs="Arial"/>
          <w:b/>
          <w:bCs/>
          <w:sz w:val="22"/>
          <w:szCs w:val="22"/>
          <w:lang w:val="en-US"/>
        </w:rPr>
        <w:t xml:space="preserve"> </w:t>
      </w:r>
      <w:r w:rsidRPr="006D08C1">
        <w:rPr>
          <w:rFonts w:ascii="Arial" w:hAnsi="Arial" w:cs="Arial"/>
          <w:sz w:val="22"/>
          <w:szCs w:val="22"/>
          <w:lang w:val="en-US"/>
        </w:rPr>
        <w:t>indicative of either</w:t>
      </w:r>
      <w:r w:rsidRPr="006D08C1">
        <w:rPr>
          <w:rFonts w:ascii="Arial" w:hAnsi="Arial" w:cs="Arial"/>
          <w:b/>
          <w:bCs/>
          <w:sz w:val="22"/>
          <w:szCs w:val="22"/>
          <w:lang w:val="en-US"/>
        </w:rPr>
        <w:t xml:space="preserve"> </w:t>
      </w:r>
      <w:r w:rsidRPr="006D08C1">
        <w:rPr>
          <w:rFonts w:ascii="Arial" w:hAnsi="Arial" w:cs="Arial"/>
          <w:sz w:val="22"/>
          <w:szCs w:val="22"/>
          <w:lang w:val="en-US"/>
        </w:rPr>
        <w:t>uncertainty</w:t>
      </w:r>
      <w:r w:rsidRPr="006D08C1">
        <w:rPr>
          <w:rFonts w:ascii="Arial" w:hAnsi="Arial" w:cs="Arial"/>
          <w:b/>
          <w:bCs/>
          <w:sz w:val="22"/>
          <w:szCs w:val="22"/>
          <w:lang w:val="en-US"/>
        </w:rPr>
        <w:t xml:space="preserve"> </w:t>
      </w:r>
      <w:r w:rsidRPr="006D08C1">
        <w:rPr>
          <w:rFonts w:ascii="Arial" w:hAnsi="Arial" w:cs="Arial"/>
          <w:sz w:val="22"/>
          <w:szCs w:val="22"/>
          <w:lang w:val="en-US"/>
        </w:rPr>
        <w:t>or</w:t>
      </w:r>
      <w:r w:rsidRPr="006D08C1">
        <w:rPr>
          <w:rFonts w:ascii="Arial" w:hAnsi="Arial" w:cs="Arial"/>
          <w:b/>
          <w:bCs/>
          <w:sz w:val="22"/>
          <w:szCs w:val="22"/>
          <w:lang w:val="en-US"/>
        </w:rPr>
        <w:t xml:space="preserve"> </w:t>
      </w:r>
      <w:r w:rsidRPr="006D08C1">
        <w:rPr>
          <w:rFonts w:ascii="Arial" w:hAnsi="Arial" w:cs="Arial"/>
          <w:sz w:val="22"/>
          <w:szCs w:val="22"/>
          <w:lang w:val="en-US"/>
        </w:rPr>
        <w:t>hesitance in self-assessment</w:t>
      </w:r>
      <w:r w:rsidRPr="006D08C1">
        <w:rPr>
          <w:rFonts w:ascii="Arial" w:hAnsi="Arial" w:cs="Arial"/>
          <w:b/>
          <w:bCs/>
          <w:sz w:val="22"/>
          <w:szCs w:val="22"/>
          <w:lang w:val="en-US"/>
        </w:rPr>
        <w:t>.</w:t>
      </w:r>
    </w:p>
    <w:p w14:paraId="6F000CDC" w14:textId="61064FDD" w:rsidR="006D08C1" w:rsidRPr="006D08C1" w:rsidRDefault="00A90D7A" w:rsidP="006D08C1">
      <w:pPr>
        <w:jc w:val="both"/>
        <w:rPr>
          <w:rFonts w:ascii="Arial" w:hAnsi="Arial" w:cs="Arial"/>
          <w:b/>
          <w:sz w:val="22"/>
          <w:szCs w:val="22"/>
          <w:lang w:val="en-US"/>
        </w:rPr>
      </w:pPr>
      <w:r>
        <w:rPr>
          <w:rFonts w:ascii="Arial" w:hAnsi="Arial" w:cs="Arial"/>
          <w:b/>
          <w:sz w:val="22"/>
          <w:szCs w:val="22"/>
          <w:lang w:val="en-US"/>
        </w:rPr>
        <w:t xml:space="preserve">3.2.9 </w:t>
      </w:r>
      <w:r w:rsidR="006D08C1" w:rsidRPr="006D08C1">
        <w:rPr>
          <w:rFonts w:ascii="Arial" w:hAnsi="Arial" w:cs="Arial"/>
          <w:b/>
          <w:sz w:val="22"/>
          <w:szCs w:val="22"/>
          <w:lang w:val="en-US"/>
        </w:rPr>
        <w:t>Yield and Income Level</w:t>
      </w:r>
    </w:p>
    <w:p w14:paraId="6FFA4343"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The bar diagrams 11 presents data on pea yield and income levels across ten panchayats of the Seraj Valley. It classifies the percentage of respondents under four categories: Low, Medium, High, and Not Responded for both yield and income.</w:t>
      </w:r>
    </w:p>
    <w:p w14:paraId="6EF35E8B"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Chatri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Thana,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w:t>
      </w:r>
      <w:proofErr w:type="spellStart"/>
      <w:r w:rsidRPr="006D08C1">
        <w:rPr>
          <w:rFonts w:ascii="Arial" w:hAnsi="Arial" w:cs="Arial"/>
          <w:sz w:val="22"/>
          <w:szCs w:val="22"/>
          <w:lang w:val="en-US"/>
        </w:rPr>
        <w:t>Shilli</w:t>
      </w:r>
      <w:proofErr w:type="spellEnd"/>
      <w:r w:rsidRPr="006D08C1">
        <w:rPr>
          <w:rFonts w:ascii="Arial" w:hAnsi="Arial" w:cs="Arial"/>
          <w:sz w:val="22"/>
          <w:szCs w:val="22"/>
          <w:lang w:val="en-US"/>
        </w:rPr>
        <w:t xml:space="preserve"> Baggi exhibit over 80% of farmers reporting low yield and low income. These findings suggest a strong positive correlation between poor yield and low income—consistent with empirical evidence from Indian hill farming contexts.</w:t>
      </w:r>
    </w:p>
    <w:p w14:paraId="097EE86B"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(88% low yield and low income) is one of the most critical locations, indicating lack of diversification, irrigation access, or market integration. Low-input farming in hill areas often yields poor returns unless supported by sustainable intensification practices.</w:t>
      </w:r>
    </w:p>
    <w:p w14:paraId="64A71654" w14:textId="77777777" w:rsidR="006D08C1" w:rsidRPr="006D08C1" w:rsidRDefault="006D08C1" w:rsidP="00956BED">
      <w:pPr>
        <w:ind w:firstLine="720"/>
        <w:jc w:val="both"/>
        <w:rPr>
          <w:rFonts w:ascii="Arial" w:hAnsi="Arial" w:cs="Arial"/>
          <w:sz w:val="22"/>
          <w:szCs w:val="22"/>
          <w:lang w:val="en-US"/>
        </w:rPr>
      </w:pPr>
      <w:proofErr w:type="spellStart"/>
      <w:r w:rsidRPr="006D08C1">
        <w:rPr>
          <w:rFonts w:ascii="Arial" w:hAnsi="Arial" w:cs="Arial"/>
          <w:sz w:val="22"/>
          <w:szCs w:val="22"/>
          <w:lang w:val="en-US"/>
        </w:rPr>
        <w:t>Tunga</w:t>
      </w:r>
      <w:proofErr w:type="spellEnd"/>
      <w:r w:rsidRPr="006D08C1">
        <w:rPr>
          <w:rFonts w:ascii="Arial" w:hAnsi="Arial" w:cs="Arial"/>
          <w:sz w:val="22"/>
          <w:szCs w:val="22"/>
          <w:lang w:val="en-US"/>
        </w:rPr>
        <w:t xml:space="preserve"> Dhar (24%-20%),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(28%-28%) show a more balanced productivity pattern. These areas possibly benefit from better </w:t>
      </w:r>
      <w:proofErr w:type="spellStart"/>
      <w:r w:rsidRPr="006D08C1">
        <w:rPr>
          <w:rFonts w:ascii="Arial" w:hAnsi="Arial" w:cs="Arial"/>
          <w:sz w:val="22"/>
          <w:szCs w:val="22"/>
          <w:lang w:val="en-US"/>
        </w:rPr>
        <w:t>agro</w:t>
      </w:r>
      <w:proofErr w:type="spellEnd"/>
      <w:r w:rsidRPr="006D08C1">
        <w:rPr>
          <w:rFonts w:ascii="Arial" w:hAnsi="Arial" w:cs="Arial"/>
          <w:sz w:val="22"/>
          <w:szCs w:val="22"/>
          <w:lang w:val="en-US"/>
        </w:rPr>
        <w:t>-techniques, soil health, or community-level extension services.</w:t>
      </w:r>
    </w:p>
    <w:p w14:paraId="79107CF6" w14:textId="5A4E5D99"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Tunga Dhar (20% yield, 16% income)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(4% yield, 16% income) indicate respondents achieving high returns. </w:t>
      </w:r>
      <w:r w:rsidR="00386813" w:rsidRPr="00F901B1">
        <w:rPr>
          <w:rFonts w:ascii="Arial" w:hAnsi="Arial" w:cs="Arial"/>
          <w:sz w:val="22"/>
          <w:szCs w:val="22"/>
          <w:lang w:val="en-US"/>
        </w:rPr>
        <w:t xml:space="preserve">Production expansion results higher household income </w:t>
      </w:r>
      <w:r w:rsidR="00A84D8A" w:rsidRPr="00F901B1">
        <w:rPr>
          <w:rFonts w:ascii="Arial" w:hAnsi="Arial" w:cs="Arial"/>
          <w:sz w:val="22"/>
          <w:szCs w:val="22"/>
          <w:lang w:val="en-US"/>
        </w:rPr>
        <w:t>was also reported by Li Fan et al</w:t>
      </w:r>
      <w:r w:rsidRPr="006D08C1">
        <w:rPr>
          <w:rFonts w:ascii="Arial" w:hAnsi="Arial" w:cs="Arial"/>
          <w:sz w:val="22"/>
          <w:szCs w:val="22"/>
          <w:lang w:val="en-US"/>
        </w:rPr>
        <w:t>.</w:t>
      </w:r>
      <w:r w:rsidR="00A84D8A" w:rsidRPr="00F901B1">
        <w:rPr>
          <w:rFonts w:ascii="Arial" w:hAnsi="Arial" w:cs="Arial"/>
          <w:sz w:val="22"/>
          <w:szCs w:val="22"/>
          <w:lang w:val="en-US"/>
        </w:rPr>
        <w:t>,</w:t>
      </w:r>
      <w:r w:rsidRPr="006D08C1">
        <w:rPr>
          <w:rFonts w:ascii="Arial" w:hAnsi="Arial" w:cs="Arial"/>
          <w:sz w:val="22"/>
          <w:szCs w:val="22"/>
          <w:lang w:val="en-US"/>
        </w:rPr>
        <w:t xml:space="preserve"> (20</w:t>
      </w:r>
      <w:r w:rsidR="00A84D8A" w:rsidRPr="00F901B1">
        <w:rPr>
          <w:rFonts w:ascii="Arial" w:hAnsi="Arial" w:cs="Arial"/>
          <w:sz w:val="22"/>
          <w:szCs w:val="22"/>
          <w:lang w:val="en-US"/>
        </w:rPr>
        <w:t>2</w:t>
      </w:r>
      <w:r w:rsidRPr="006D08C1">
        <w:rPr>
          <w:rFonts w:ascii="Arial" w:hAnsi="Arial" w:cs="Arial"/>
          <w:sz w:val="22"/>
          <w:szCs w:val="22"/>
          <w:lang w:val="en-US"/>
        </w:rPr>
        <w:t>5).</w:t>
      </w:r>
    </w:p>
    <w:p w14:paraId="21BC0A14" w14:textId="4A32B0F8" w:rsidR="006D08C1" w:rsidRPr="006D08C1" w:rsidRDefault="006D08C1" w:rsidP="00A90D7A">
      <w:pPr>
        <w:ind w:firstLine="720"/>
        <w:jc w:val="both"/>
        <w:rPr>
          <w:rFonts w:ascii="Arial" w:hAnsi="Arial" w:cs="Arial"/>
          <w:sz w:val="22"/>
          <w:szCs w:val="22"/>
          <w:lang w:val="en-US"/>
        </w:rPr>
      </w:pPr>
      <w:r w:rsidRPr="006D08C1">
        <w:rPr>
          <w:rFonts w:ascii="Arial" w:hAnsi="Arial" w:cs="Arial"/>
          <w:sz w:val="22"/>
          <w:szCs w:val="22"/>
          <w:lang w:val="en-US"/>
        </w:rPr>
        <w:t xml:space="preserve">High non-response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(20% yield),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(12%), Thana (8%-8%) likely reflects data collection challenges, marginal farmer hesitation, or poor record-keeping.</w:t>
      </w:r>
    </w:p>
    <w:p w14:paraId="0ECF7AD7" w14:textId="07D5280C" w:rsidR="006D08C1" w:rsidRPr="006D08C1" w:rsidRDefault="0072072C" w:rsidP="006D08C1">
      <w:pPr>
        <w:jc w:val="both"/>
        <w:rPr>
          <w:rFonts w:ascii="Arial" w:hAnsi="Arial" w:cs="Arial"/>
          <w:b/>
          <w:sz w:val="22"/>
          <w:szCs w:val="22"/>
          <w:lang w:val="en-US"/>
        </w:rPr>
      </w:pPr>
      <w:r>
        <w:rPr>
          <w:rFonts w:ascii="Arial" w:hAnsi="Arial" w:cs="Arial"/>
          <w:b/>
          <w:sz w:val="22"/>
          <w:szCs w:val="22"/>
          <w:lang w:val="en-US"/>
        </w:rPr>
        <w:t xml:space="preserve">3.2.10 </w:t>
      </w:r>
      <w:r w:rsidR="006D08C1" w:rsidRPr="006D08C1">
        <w:rPr>
          <w:rFonts w:ascii="Arial" w:hAnsi="Arial" w:cs="Arial"/>
          <w:b/>
          <w:sz w:val="22"/>
          <w:szCs w:val="22"/>
          <w:lang w:val="en-US"/>
        </w:rPr>
        <w:t xml:space="preserve">Crop Rotation Practices </w:t>
      </w:r>
    </w:p>
    <w:p w14:paraId="48A83A36"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Crop rotation is a key agroecological practice that enhances soil fertility, prevents pest buildup, and contributes to sustainable agriculture.  </w:t>
      </w:r>
      <w:r w:rsidRPr="006D08C1">
        <w:rPr>
          <w:rFonts w:ascii="Arial" w:hAnsi="Arial" w:cs="Arial"/>
          <w:bCs/>
          <w:sz w:val="22"/>
          <w:szCs w:val="22"/>
          <w:lang w:val="en-US"/>
        </w:rPr>
        <w:t>Majority (86%) of farmers</w:t>
      </w:r>
      <w:r w:rsidRPr="006D08C1">
        <w:rPr>
          <w:rFonts w:ascii="Arial" w:hAnsi="Arial" w:cs="Arial"/>
          <w:sz w:val="22"/>
          <w:szCs w:val="22"/>
          <w:lang w:val="en-US"/>
        </w:rPr>
        <w:t xml:space="preserve"> across locations reportedly follow crop rotation—indicating a high level of </w:t>
      </w:r>
      <w:r w:rsidRPr="006D08C1">
        <w:rPr>
          <w:rFonts w:ascii="Arial" w:hAnsi="Arial" w:cs="Arial"/>
          <w:bCs/>
          <w:sz w:val="22"/>
          <w:szCs w:val="22"/>
          <w:lang w:val="en-US"/>
        </w:rPr>
        <w:t>adoption</w:t>
      </w:r>
      <w:r w:rsidRPr="006D08C1">
        <w:rPr>
          <w:rFonts w:ascii="Arial" w:hAnsi="Arial" w:cs="Arial"/>
          <w:sz w:val="22"/>
          <w:szCs w:val="22"/>
          <w:lang w:val="en-US"/>
        </w:rPr>
        <w:t xml:space="preserve">.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Chatri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Bagra</w:t>
      </w:r>
      <w:proofErr w:type="spellEnd"/>
      <w:r w:rsidRPr="006D08C1">
        <w:rPr>
          <w:rFonts w:ascii="Arial" w:hAnsi="Arial" w:cs="Arial"/>
          <w:bCs/>
          <w:sz w:val="22"/>
          <w:szCs w:val="22"/>
          <w:lang w:val="en-US"/>
        </w:rPr>
        <w:t xml:space="preserve"> Thach and </w:t>
      </w:r>
      <w:proofErr w:type="spellStart"/>
      <w:r w:rsidRPr="006D08C1">
        <w:rPr>
          <w:rFonts w:ascii="Arial" w:hAnsi="Arial" w:cs="Arial"/>
          <w:bCs/>
          <w:sz w:val="22"/>
          <w:szCs w:val="22"/>
          <w:lang w:val="en-US"/>
        </w:rPr>
        <w:t>Dhim</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Kataru</w:t>
      </w:r>
      <w:proofErr w:type="spellEnd"/>
      <w:r w:rsidRPr="006D08C1">
        <w:rPr>
          <w:rFonts w:ascii="Arial" w:hAnsi="Arial" w:cs="Arial"/>
          <w:bCs/>
          <w:sz w:val="22"/>
          <w:szCs w:val="22"/>
          <w:lang w:val="en-US"/>
        </w:rPr>
        <w:t xml:space="preserve"> have high adoption rate.</w:t>
      </w:r>
      <w:r w:rsidRPr="006D08C1">
        <w:rPr>
          <w:rFonts w:ascii="Arial" w:hAnsi="Arial" w:cs="Arial"/>
          <w:b/>
          <w:bCs/>
          <w:sz w:val="22"/>
          <w:szCs w:val="22"/>
          <w:lang w:val="en-US"/>
        </w:rPr>
        <w:t xml:space="preserve"> </w:t>
      </w:r>
      <w:r w:rsidRPr="006D08C1">
        <w:rPr>
          <w:rFonts w:ascii="Arial" w:hAnsi="Arial" w:cs="Arial"/>
          <w:sz w:val="22"/>
          <w:szCs w:val="22"/>
          <w:lang w:val="en-US"/>
        </w:rPr>
        <w:t xml:space="preserve">Crop rotation may be practiced in these regions due to its diverse advantages. </w:t>
      </w:r>
      <w:proofErr w:type="spellStart"/>
      <w:r w:rsidRPr="006D08C1">
        <w:rPr>
          <w:rFonts w:ascii="Arial" w:hAnsi="Arial" w:cs="Arial"/>
          <w:sz w:val="22"/>
          <w:szCs w:val="22"/>
          <w:lang w:val="en-US"/>
        </w:rPr>
        <w:t>Beillouin</w:t>
      </w:r>
      <w:proofErr w:type="spellEnd"/>
      <w:r w:rsidRPr="006D08C1">
        <w:rPr>
          <w:rFonts w:ascii="Arial" w:hAnsi="Arial" w:cs="Arial"/>
          <w:sz w:val="22"/>
          <w:szCs w:val="22"/>
          <w:lang w:val="en-US"/>
        </w:rPr>
        <w:t xml:space="preserve"> et al., 2019 reported global evidence showing that crop rotation improves yields, soil health, reduces pests and adoption varies by region depending on awareness and support.</w:t>
      </w:r>
    </w:p>
    <w:p w14:paraId="78CDF49E" w14:textId="77777777" w:rsidR="006D08C1" w:rsidRPr="006D08C1" w:rsidRDefault="006D08C1" w:rsidP="00956BED">
      <w:pPr>
        <w:ind w:firstLine="720"/>
        <w:jc w:val="both"/>
        <w:rPr>
          <w:rFonts w:ascii="Arial" w:hAnsi="Arial" w:cs="Arial"/>
          <w:b/>
          <w:sz w:val="22"/>
          <w:szCs w:val="22"/>
          <w:lang w:val="en-US"/>
        </w:rPr>
      </w:pPr>
      <w:proofErr w:type="spellStart"/>
      <w:r w:rsidRPr="006D08C1">
        <w:rPr>
          <w:rFonts w:ascii="Arial" w:hAnsi="Arial" w:cs="Arial"/>
          <w:bCs/>
          <w:sz w:val="22"/>
          <w:szCs w:val="22"/>
          <w:lang w:val="en-US"/>
        </w:rPr>
        <w:t>Bagga</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Chanogi</w:t>
      </w:r>
      <w:proofErr w:type="spellEnd"/>
      <w:r w:rsidRPr="006D08C1">
        <w:rPr>
          <w:rFonts w:ascii="Arial" w:hAnsi="Arial" w:cs="Arial"/>
          <w:bCs/>
          <w:sz w:val="22"/>
          <w:szCs w:val="22"/>
          <w:lang w:val="en-US"/>
        </w:rPr>
        <w:t xml:space="preserve">, Thana, </w:t>
      </w:r>
      <w:proofErr w:type="spellStart"/>
      <w:r w:rsidRPr="006D08C1">
        <w:rPr>
          <w:rFonts w:ascii="Arial" w:hAnsi="Arial" w:cs="Arial"/>
          <w:bCs/>
          <w:sz w:val="22"/>
          <w:szCs w:val="22"/>
          <w:lang w:val="en-US"/>
        </w:rPr>
        <w:t>Tunga</w:t>
      </w:r>
      <w:proofErr w:type="spellEnd"/>
      <w:r w:rsidRPr="006D08C1">
        <w:rPr>
          <w:rFonts w:ascii="Arial" w:hAnsi="Arial" w:cs="Arial"/>
          <w:bCs/>
          <w:sz w:val="22"/>
          <w:szCs w:val="22"/>
          <w:lang w:val="en-US"/>
        </w:rPr>
        <w:t xml:space="preserve"> Dhar have moderate adoption.</w:t>
      </w:r>
      <w:r w:rsidRPr="006D08C1">
        <w:rPr>
          <w:rFonts w:ascii="Arial" w:hAnsi="Arial" w:cs="Arial"/>
          <w:sz w:val="22"/>
          <w:szCs w:val="22"/>
          <w:lang w:val="en-US"/>
        </w:rPr>
        <w:t xml:space="preserve"> These may have partial coverage or transitional adoption—further support could help achieve universal practice.</w:t>
      </w:r>
    </w:p>
    <w:p w14:paraId="102E4AC9"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Only </w:t>
      </w:r>
      <w:r w:rsidRPr="006D08C1">
        <w:rPr>
          <w:rFonts w:ascii="Arial" w:hAnsi="Arial" w:cs="Arial"/>
          <w:bCs/>
          <w:sz w:val="22"/>
          <w:szCs w:val="22"/>
          <w:lang w:val="en-US"/>
        </w:rPr>
        <w:t>one location</w:t>
      </w:r>
      <w:r w:rsidRPr="006D08C1">
        <w:rPr>
          <w:rFonts w:ascii="Arial" w:hAnsi="Arial" w:cs="Arial"/>
          <w:sz w:val="22"/>
          <w:szCs w:val="22"/>
          <w:lang w:val="en-US"/>
        </w:rPr>
        <w:t xml:space="preserve">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shows a significantly </w:t>
      </w:r>
      <w:r w:rsidRPr="006D08C1">
        <w:rPr>
          <w:rFonts w:ascii="Arial" w:hAnsi="Arial" w:cs="Arial"/>
          <w:bCs/>
          <w:sz w:val="22"/>
          <w:szCs w:val="22"/>
          <w:lang w:val="en-US"/>
        </w:rPr>
        <w:t>low adoption</w:t>
      </w:r>
      <w:r w:rsidRPr="006D08C1">
        <w:rPr>
          <w:rFonts w:ascii="Arial" w:hAnsi="Arial" w:cs="Arial"/>
          <w:sz w:val="22"/>
          <w:szCs w:val="22"/>
          <w:lang w:val="en-US"/>
        </w:rPr>
        <w:t xml:space="preserve"> rate of </w:t>
      </w:r>
      <w:r w:rsidRPr="006D08C1">
        <w:rPr>
          <w:rFonts w:ascii="Arial" w:hAnsi="Arial" w:cs="Arial"/>
          <w:bCs/>
          <w:sz w:val="22"/>
          <w:szCs w:val="22"/>
          <w:lang w:val="en-US"/>
        </w:rPr>
        <w:t>44%</w:t>
      </w:r>
      <w:r w:rsidRPr="006D08C1">
        <w:rPr>
          <w:rFonts w:ascii="Arial" w:hAnsi="Arial" w:cs="Arial"/>
          <w:sz w:val="22"/>
          <w:szCs w:val="22"/>
          <w:lang w:val="en-US"/>
        </w:rPr>
        <w:t xml:space="preserve">, with </w:t>
      </w:r>
      <w:r w:rsidRPr="006D08C1">
        <w:rPr>
          <w:rFonts w:ascii="Arial" w:hAnsi="Arial" w:cs="Arial"/>
          <w:bCs/>
          <w:sz w:val="22"/>
          <w:szCs w:val="22"/>
          <w:lang w:val="en-US"/>
        </w:rPr>
        <w:t>56% not following</w:t>
      </w:r>
      <w:r w:rsidRPr="006D08C1">
        <w:rPr>
          <w:rFonts w:ascii="Arial" w:hAnsi="Arial" w:cs="Arial"/>
          <w:sz w:val="22"/>
          <w:szCs w:val="22"/>
          <w:lang w:val="en-US"/>
        </w:rPr>
        <w:t xml:space="preserve"> crop rotation. Smaller landholders sometimes avoid crop rotation due to short-term yield focus.</w:t>
      </w:r>
    </w:p>
    <w:p w14:paraId="5AF7BE62" w14:textId="77777777" w:rsidR="006D08C1" w:rsidRPr="006D08C1" w:rsidRDefault="006D08C1" w:rsidP="00956BED">
      <w:pPr>
        <w:ind w:firstLine="720"/>
        <w:jc w:val="both"/>
        <w:rPr>
          <w:rFonts w:ascii="Arial" w:hAnsi="Arial" w:cs="Arial"/>
          <w:sz w:val="22"/>
          <w:szCs w:val="22"/>
          <w:lang w:val="en-US"/>
        </w:rPr>
      </w:pPr>
      <w:r w:rsidRPr="006D08C1">
        <w:rPr>
          <w:rFonts w:ascii="Arial" w:hAnsi="Arial" w:cs="Arial"/>
          <w:sz w:val="22"/>
          <w:szCs w:val="22"/>
          <w:lang w:val="en-US"/>
        </w:rPr>
        <w:t xml:space="preserve">Tunga Dhar (12%)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(8%) and Chatri (8%) have moderate non-response, possibly reflecting survey fatigue, misunderstanding, or lack of decision-making autonomy among respondents. </w:t>
      </w:r>
    </w:p>
    <w:p w14:paraId="24A2A129" w14:textId="01745C2E" w:rsidR="006D08C1" w:rsidRPr="006D08C1" w:rsidRDefault="006D08C1" w:rsidP="00956BED">
      <w:pPr>
        <w:ind w:firstLine="720"/>
        <w:jc w:val="both"/>
        <w:rPr>
          <w:rFonts w:ascii="Arial" w:hAnsi="Arial" w:cs="Arial"/>
          <w:sz w:val="22"/>
          <w:szCs w:val="22"/>
          <w:lang w:val="en-US"/>
        </w:rPr>
      </w:pPr>
      <w:r w:rsidRPr="006D08C1">
        <w:rPr>
          <w:rFonts w:ascii="Arial" w:hAnsi="Arial" w:cs="Arial"/>
          <w:bCs/>
          <w:sz w:val="22"/>
          <w:szCs w:val="22"/>
          <w:lang w:val="en-US"/>
        </w:rPr>
        <w:lastRenderedPageBreak/>
        <w:t>Zero non-response</w:t>
      </w:r>
      <w:r w:rsidRPr="006D08C1">
        <w:rPr>
          <w:rFonts w:ascii="Arial" w:hAnsi="Arial" w:cs="Arial"/>
          <w:sz w:val="22"/>
          <w:szCs w:val="22"/>
          <w:lang w:val="en-US"/>
        </w:rPr>
        <w:t xml:space="preserve"> in </w:t>
      </w:r>
      <w:proofErr w:type="spellStart"/>
      <w:r w:rsidRPr="006D08C1">
        <w:rPr>
          <w:rFonts w:ascii="Arial" w:hAnsi="Arial" w:cs="Arial"/>
          <w:bCs/>
          <w:sz w:val="22"/>
          <w:szCs w:val="22"/>
          <w:lang w:val="en-US"/>
        </w:rPr>
        <w:t>Shikawri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Chiuni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Thunag</w:t>
      </w:r>
      <w:proofErr w:type="spellEnd"/>
      <w:r w:rsidRPr="006D08C1">
        <w:rPr>
          <w:rFonts w:ascii="Arial" w:hAnsi="Arial" w:cs="Arial"/>
          <w:sz w:val="22"/>
          <w:szCs w:val="22"/>
          <w:lang w:val="en-US"/>
        </w:rPr>
        <w:t xml:space="preserve"> and </w:t>
      </w:r>
      <w:proofErr w:type="spellStart"/>
      <w:r w:rsidRPr="006D08C1">
        <w:rPr>
          <w:rFonts w:ascii="Arial" w:hAnsi="Arial" w:cs="Arial"/>
          <w:bCs/>
          <w:sz w:val="22"/>
          <w:szCs w:val="22"/>
          <w:lang w:val="en-US"/>
        </w:rPr>
        <w:t>Shilli</w:t>
      </w:r>
      <w:proofErr w:type="spellEnd"/>
      <w:r w:rsidRPr="006D08C1">
        <w:rPr>
          <w:rFonts w:ascii="Arial" w:hAnsi="Arial" w:cs="Arial"/>
          <w:bCs/>
          <w:sz w:val="22"/>
          <w:szCs w:val="22"/>
          <w:lang w:val="en-US"/>
        </w:rPr>
        <w:t xml:space="preserve"> </w:t>
      </w:r>
      <w:proofErr w:type="spellStart"/>
      <w:r w:rsidRPr="006D08C1">
        <w:rPr>
          <w:rFonts w:ascii="Arial" w:hAnsi="Arial" w:cs="Arial"/>
          <w:bCs/>
          <w:sz w:val="22"/>
          <w:szCs w:val="22"/>
          <w:lang w:val="en-US"/>
        </w:rPr>
        <w:t>Baggi</w:t>
      </w:r>
      <w:proofErr w:type="spellEnd"/>
      <w:r w:rsidRPr="006D08C1">
        <w:rPr>
          <w:rFonts w:ascii="Arial" w:hAnsi="Arial" w:cs="Arial"/>
          <w:sz w:val="22"/>
          <w:szCs w:val="22"/>
          <w:lang w:val="en-US"/>
        </w:rPr>
        <w:t>, indicating strong clarity or participation in these villages.</w:t>
      </w:r>
    </w:p>
    <w:p w14:paraId="0E0D54ED" w14:textId="0B4FFF6E" w:rsidR="006D08C1" w:rsidRPr="006D08C1" w:rsidRDefault="0072072C" w:rsidP="006D08C1">
      <w:pPr>
        <w:jc w:val="both"/>
        <w:rPr>
          <w:rFonts w:ascii="Arial" w:hAnsi="Arial" w:cs="Arial"/>
          <w:b/>
          <w:sz w:val="22"/>
          <w:szCs w:val="22"/>
          <w:lang w:val="en-US"/>
        </w:rPr>
      </w:pPr>
      <w:r>
        <w:rPr>
          <w:rFonts w:ascii="Arial" w:hAnsi="Arial" w:cs="Arial"/>
          <w:b/>
          <w:sz w:val="22"/>
          <w:szCs w:val="22"/>
          <w:lang w:val="en-US"/>
        </w:rPr>
        <w:t xml:space="preserve">3.3 </w:t>
      </w:r>
      <w:r w:rsidR="006D08C1" w:rsidRPr="006D08C1">
        <w:rPr>
          <w:rFonts w:ascii="Arial" w:hAnsi="Arial" w:cs="Arial"/>
          <w:b/>
          <w:sz w:val="22"/>
          <w:szCs w:val="22"/>
          <w:lang w:val="en-US"/>
        </w:rPr>
        <w:t>Climate Change Experience</w:t>
      </w:r>
    </w:p>
    <w:p w14:paraId="307FAFF6" w14:textId="77777777" w:rsidR="006D08C1" w:rsidRPr="006D08C1" w:rsidRDefault="006D08C1" w:rsidP="003354C6">
      <w:pPr>
        <w:ind w:firstLine="720"/>
        <w:jc w:val="both"/>
        <w:rPr>
          <w:rFonts w:ascii="Arial" w:hAnsi="Arial" w:cs="Arial"/>
          <w:sz w:val="22"/>
          <w:szCs w:val="22"/>
          <w:lang w:val="en-US"/>
        </w:rPr>
      </w:pPr>
      <w:r w:rsidRPr="006D08C1">
        <w:rPr>
          <w:rFonts w:ascii="Arial" w:hAnsi="Arial" w:cs="Arial"/>
          <w:sz w:val="22"/>
          <w:szCs w:val="22"/>
          <w:lang w:val="en-US"/>
        </w:rPr>
        <w:t xml:space="preserve">Stacked bar diagram 13 data </w:t>
      </w:r>
      <w:proofErr w:type="gramStart"/>
      <w:r w:rsidRPr="006D08C1">
        <w:rPr>
          <w:rFonts w:ascii="Arial" w:hAnsi="Arial" w:cs="Arial"/>
          <w:sz w:val="22"/>
          <w:szCs w:val="22"/>
          <w:lang w:val="en-US"/>
        </w:rPr>
        <w:t>reflects</w:t>
      </w:r>
      <w:proofErr w:type="gramEnd"/>
      <w:r w:rsidRPr="006D08C1">
        <w:rPr>
          <w:rFonts w:ascii="Arial" w:hAnsi="Arial" w:cs="Arial"/>
          <w:sz w:val="22"/>
          <w:szCs w:val="22"/>
          <w:lang w:val="en-US"/>
        </w:rPr>
        <w:t xml:space="preserve"> the heterogeneity of climate change perception across Seraj Valley’s rural landscape. It suggests that exposure, education, traditional knowledge, and vulnerability shape how rural communities perceive climate change. The dataset reflects perception-based responses on climate change experience across ten rural locations. It was based on the indirect question of sowing time of today and ten years back. If answer was same time of sowing then categorized under not experienced climate change otherwise experienced. The key trends were 50% of locations reported no climate change in past ten years. Only 3 locations viz.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and </w:t>
      </w:r>
      <w:proofErr w:type="spellStart"/>
      <w:r w:rsidRPr="006D08C1">
        <w:rPr>
          <w:rFonts w:ascii="Arial" w:hAnsi="Arial" w:cs="Arial"/>
          <w:sz w:val="22"/>
          <w:szCs w:val="22"/>
          <w:lang w:val="en-US"/>
        </w:rPr>
        <w:t>Bagra</w:t>
      </w:r>
      <w:proofErr w:type="spellEnd"/>
      <w:r w:rsidRPr="006D08C1">
        <w:rPr>
          <w:rFonts w:ascii="Arial" w:hAnsi="Arial" w:cs="Arial"/>
          <w:sz w:val="22"/>
          <w:szCs w:val="22"/>
          <w:lang w:val="en-US"/>
        </w:rPr>
        <w:t xml:space="preserve"> Thach had more than 50% of respondents acknowledging climate change in past ten years. High non-response rates up to 40% suggest data uncertainty or possibly limited understanding or engagement or survey design limitation or cognitive dissonance or fear in acknowledging climate change and lack of perceived link between climate and local effects.</w:t>
      </w:r>
    </w:p>
    <w:p w14:paraId="2D8E3C1F" w14:textId="77777777" w:rsidR="006D08C1" w:rsidRPr="006D08C1" w:rsidRDefault="006D08C1" w:rsidP="003354C6">
      <w:pPr>
        <w:ind w:firstLine="720"/>
        <w:jc w:val="both"/>
        <w:rPr>
          <w:rFonts w:ascii="Arial" w:hAnsi="Arial" w:cs="Arial"/>
          <w:sz w:val="22"/>
          <w:szCs w:val="22"/>
          <w:lang w:val="en-US"/>
        </w:rPr>
      </w:pPr>
      <w:r w:rsidRPr="006D08C1">
        <w:rPr>
          <w:rFonts w:ascii="Arial" w:hAnsi="Arial" w:cs="Arial"/>
          <w:sz w:val="22"/>
          <w:szCs w:val="22"/>
          <w:lang w:val="en-US"/>
        </w:rPr>
        <w:t xml:space="preserve">Low Awareness and High Non-Response were reported in </w:t>
      </w:r>
      <w:proofErr w:type="spellStart"/>
      <w:r w:rsidRPr="006D08C1">
        <w:rPr>
          <w:rFonts w:ascii="Arial" w:hAnsi="Arial" w:cs="Arial"/>
          <w:sz w:val="22"/>
          <w:szCs w:val="22"/>
          <w:lang w:val="en-US"/>
        </w:rPr>
        <w:t>Bagga</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Chanogi</w:t>
      </w:r>
      <w:proofErr w:type="spellEnd"/>
      <w:r w:rsidRPr="006D08C1">
        <w:rPr>
          <w:rFonts w:ascii="Arial" w:hAnsi="Arial" w:cs="Arial"/>
          <w:sz w:val="22"/>
          <w:szCs w:val="22"/>
          <w:lang w:val="en-US"/>
        </w:rPr>
        <w:t xml:space="preserve"> (40%), </w:t>
      </w:r>
      <w:proofErr w:type="spellStart"/>
      <w:r w:rsidRPr="006D08C1">
        <w:rPr>
          <w:rFonts w:ascii="Arial" w:hAnsi="Arial" w:cs="Arial"/>
          <w:sz w:val="22"/>
          <w:szCs w:val="22"/>
          <w:lang w:val="en-US"/>
        </w:rPr>
        <w:t>Shikawri</w:t>
      </w:r>
      <w:proofErr w:type="spellEnd"/>
      <w:r w:rsidRPr="006D08C1">
        <w:rPr>
          <w:rFonts w:ascii="Arial" w:hAnsi="Arial" w:cs="Arial"/>
          <w:sz w:val="22"/>
          <w:szCs w:val="22"/>
          <w:lang w:val="en-US"/>
        </w:rPr>
        <w:t xml:space="preserve"> (20%) and Tunga Dhar Panchayat (28%). Studies show that rural populations in developing countries often under-report climate change experiences due to lack of meteorological information access, reliance on traditional knowledge systems, and perceiving climate variability as normal weather patterns.  </w:t>
      </w:r>
    </w:p>
    <w:p w14:paraId="44A53D3D" w14:textId="77777777" w:rsidR="006D08C1" w:rsidRPr="006D08C1" w:rsidRDefault="006D08C1" w:rsidP="003354C6">
      <w:pPr>
        <w:ind w:firstLine="720"/>
        <w:jc w:val="both"/>
        <w:rPr>
          <w:rFonts w:ascii="Arial" w:hAnsi="Arial" w:cs="Arial"/>
          <w:sz w:val="22"/>
          <w:szCs w:val="22"/>
          <w:lang w:val="en-US"/>
        </w:rPr>
      </w:pPr>
      <w:r w:rsidRPr="006D08C1">
        <w:rPr>
          <w:rFonts w:ascii="Arial" w:hAnsi="Arial" w:cs="Arial"/>
          <w:sz w:val="22"/>
          <w:szCs w:val="22"/>
          <w:lang w:val="en-US"/>
        </w:rPr>
        <w:t xml:space="preserve">High awareness in vulnerable areas was </w:t>
      </w:r>
      <w:proofErr w:type="spellStart"/>
      <w:r w:rsidRPr="006D08C1">
        <w:rPr>
          <w:rFonts w:ascii="Arial" w:hAnsi="Arial" w:cs="Arial"/>
          <w:sz w:val="22"/>
          <w:szCs w:val="22"/>
          <w:lang w:val="en-US"/>
        </w:rPr>
        <w:t>Thunag</w:t>
      </w:r>
      <w:proofErr w:type="spellEnd"/>
      <w:r w:rsidRPr="006D08C1">
        <w:rPr>
          <w:rFonts w:ascii="Arial" w:hAnsi="Arial" w:cs="Arial"/>
          <w:sz w:val="22"/>
          <w:szCs w:val="22"/>
          <w:lang w:val="en-US"/>
        </w:rPr>
        <w:t xml:space="preserve"> – 92% and </w:t>
      </w:r>
      <w:proofErr w:type="spellStart"/>
      <w:r w:rsidRPr="006D08C1">
        <w:rPr>
          <w:rFonts w:ascii="Arial" w:hAnsi="Arial" w:cs="Arial"/>
          <w:sz w:val="22"/>
          <w:szCs w:val="22"/>
          <w:lang w:val="en-US"/>
        </w:rPr>
        <w:t>Dhim</w:t>
      </w:r>
      <w:proofErr w:type="spellEnd"/>
      <w:r w:rsidRPr="006D08C1">
        <w:rPr>
          <w:rFonts w:ascii="Arial" w:hAnsi="Arial" w:cs="Arial"/>
          <w:sz w:val="22"/>
          <w:szCs w:val="22"/>
          <w:lang w:val="en-US"/>
        </w:rPr>
        <w:t xml:space="preserve"> </w:t>
      </w:r>
      <w:proofErr w:type="spellStart"/>
      <w:r w:rsidRPr="006D08C1">
        <w:rPr>
          <w:rFonts w:ascii="Arial" w:hAnsi="Arial" w:cs="Arial"/>
          <w:sz w:val="22"/>
          <w:szCs w:val="22"/>
          <w:lang w:val="en-US"/>
        </w:rPr>
        <w:t>Kataru</w:t>
      </w:r>
      <w:proofErr w:type="spellEnd"/>
      <w:r w:rsidRPr="006D08C1">
        <w:rPr>
          <w:rFonts w:ascii="Arial" w:hAnsi="Arial" w:cs="Arial"/>
          <w:sz w:val="22"/>
          <w:szCs w:val="22"/>
          <w:lang w:val="en-US"/>
        </w:rPr>
        <w:t xml:space="preserve"> – 68%. These areas may be more vulnerable to climate anomalies, such as irregular snowfall/rainfall, increased incidence of crop failure and seasonal shifts. The mountain regions in South Asia are particularly climate-sensitive, and residents are more likely to observe impacts firsthand.</w:t>
      </w:r>
    </w:p>
    <w:p w14:paraId="1355CB88" w14:textId="677B41C7" w:rsidR="0025258F" w:rsidRPr="0025258F" w:rsidRDefault="006D08C1" w:rsidP="0025258F">
      <w:pPr>
        <w:ind w:firstLine="720"/>
        <w:jc w:val="both"/>
        <w:rPr>
          <w:rStyle w:val="ff2"/>
          <w:rFonts w:ascii="Arial" w:hAnsi="Arial" w:cs="Arial"/>
          <w:sz w:val="22"/>
          <w:szCs w:val="22"/>
          <w:lang w:val="en-US"/>
        </w:rPr>
      </w:pPr>
      <w:r w:rsidRPr="006D08C1">
        <w:rPr>
          <w:rFonts w:ascii="Arial" w:hAnsi="Arial" w:cs="Arial"/>
          <w:sz w:val="22"/>
          <w:szCs w:val="22"/>
          <w:lang w:val="en-US"/>
        </w:rPr>
        <w:t xml:space="preserve">Locations like Chatri (36% experienced, 56% not experienced) and </w:t>
      </w:r>
      <w:proofErr w:type="spellStart"/>
      <w:r w:rsidRPr="006D08C1">
        <w:rPr>
          <w:rFonts w:ascii="Arial" w:hAnsi="Arial" w:cs="Arial"/>
          <w:sz w:val="22"/>
          <w:szCs w:val="22"/>
          <w:lang w:val="en-US"/>
        </w:rPr>
        <w:t>Chiuni</w:t>
      </w:r>
      <w:proofErr w:type="spellEnd"/>
      <w:r w:rsidRPr="006D08C1">
        <w:rPr>
          <w:rFonts w:ascii="Arial" w:hAnsi="Arial" w:cs="Arial"/>
          <w:sz w:val="22"/>
          <w:szCs w:val="22"/>
          <w:lang w:val="en-US"/>
        </w:rPr>
        <w:t xml:space="preserve"> (40%-40%) show balanced awareness—possibly due to access to agricultural advisories, education, and farming experience which influenced perception among farmers. Banerjee, 2015 also highlighted rural India’s climate awareness heterogeneity, influenced by education, exposure, and vulnerability.</w:t>
      </w:r>
    </w:p>
    <w:p w14:paraId="5D6DCF3C" w14:textId="77777777" w:rsidR="0025258F" w:rsidRPr="006D08C1" w:rsidRDefault="0025258F" w:rsidP="0025258F">
      <w:pPr>
        <w:spacing w:before="100" w:beforeAutospacing="1" w:after="100" w:afterAutospacing="1" w:line="240" w:lineRule="auto"/>
        <w:jc w:val="both"/>
        <w:rPr>
          <w:rFonts w:ascii="Arial" w:eastAsia="Times New Roman" w:hAnsi="Arial" w:cs="Arial"/>
          <w:sz w:val="22"/>
          <w:szCs w:val="22"/>
        </w:rPr>
      </w:pPr>
      <w:r w:rsidRPr="00F901B1">
        <w:rPr>
          <w:rFonts w:ascii="Arial" w:hAnsi="Arial" w:cs="Arial"/>
          <w:noProof/>
          <w:sz w:val="22"/>
          <w:szCs w:val="22"/>
          <w:lang w:val="en-US"/>
        </w:rPr>
        <w:drawing>
          <wp:inline distT="0" distB="0" distL="0" distR="0" wp14:anchorId="14EF1374" wp14:editId="32CA0665">
            <wp:extent cx="5476875" cy="2752725"/>
            <wp:effectExtent l="0" t="0" r="9525" b="9525"/>
            <wp:docPr id="185988312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B41ECA" w14:textId="77777777" w:rsidR="0025258F" w:rsidRPr="006D08C1" w:rsidRDefault="0025258F" w:rsidP="0025258F">
      <w:pPr>
        <w:jc w:val="both"/>
        <w:rPr>
          <w:rFonts w:ascii="Arial" w:hAnsi="Arial" w:cs="Arial"/>
          <w:sz w:val="22"/>
          <w:szCs w:val="22"/>
          <w:lang w:val="en-US"/>
        </w:rPr>
      </w:pPr>
    </w:p>
    <w:p w14:paraId="110E1E1A" w14:textId="77777777" w:rsidR="0025258F" w:rsidRPr="006D08C1" w:rsidRDefault="0025258F" w:rsidP="0025258F">
      <w:pPr>
        <w:jc w:val="both"/>
        <w:rPr>
          <w:rFonts w:ascii="Arial" w:hAnsi="Arial" w:cs="Arial"/>
          <w:sz w:val="22"/>
          <w:szCs w:val="22"/>
          <w:lang w:val="en-US"/>
        </w:rPr>
      </w:pPr>
    </w:p>
    <w:p w14:paraId="65A58271"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0B642A32" wp14:editId="1CB385AA">
            <wp:extent cx="5953125" cy="3124200"/>
            <wp:effectExtent l="0" t="0" r="9525" b="0"/>
            <wp:docPr id="135666789"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8A0F55"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2E1B7D26" wp14:editId="5162F27F">
            <wp:extent cx="5953125" cy="3476625"/>
            <wp:effectExtent l="0" t="0" r="9525" b="9525"/>
            <wp:docPr id="206304793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7AE108" w14:textId="77777777" w:rsidR="0025258F" w:rsidRPr="006D08C1" w:rsidRDefault="0025258F" w:rsidP="0025258F">
      <w:pPr>
        <w:jc w:val="both"/>
        <w:rPr>
          <w:rFonts w:ascii="Arial" w:hAnsi="Arial" w:cs="Arial"/>
          <w:b/>
          <w:sz w:val="22"/>
          <w:szCs w:val="22"/>
          <w:lang w:val="en-US"/>
        </w:rPr>
      </w:pPr>
    </w:p>
    <w:p w14:paraId="6517CFBD" w14:textId="77777777" w:rsidR="0025258F" w:rsidRPr="006D08C1" w:rsidRDefault="0025258F" w:rsidP="0025258F">
      <w:pPr>
        <w:jc w:val="both"/>
        <w:rPr>
          <w:rFonts w:ascii="Arial" w:hAnsi="Arial" w:cs="Arial"/>
          <w:b/>
          <w:sz w:val="22"/>
          <w:szCs w:val="22"/>
          <w:lang w:val="en-US"/>
        </w:rPr>
      </w:pPr>
    </w:p>
    <w:p w14:paraId="5D896BB6" w14:textId="77777777" w:rsidR="0025258F" w:rsidRPr="006D08C1" w:rsidRDefault="0025258F" w:rsidP="0025258F">
      <w:pPr>
        <w:jc w:val="both"/>
        <w:rPr>
          <w:rFonts w:ascii="Arial" w:hAnsi="Arial" w:cs="Arial"/>
          <w:sz w:val="22"/>
          <w:szCs w:val="22"/>
          <w:lang w:val="en-US"/>
        </w:rPr>
      </w:pPr>
    </w:p>
    <w:p w14:paraId="7BF60E17" w14:textId="77777777" w:rsidR="0025258F" w:rsidRPr="006D08C1" w:rsidRDefault="0025258F" w:rsidP="0025258F">
      <w:pPr>
        <w:jc w:val="both"/>
        <w:rPr>
          <w:rFonts w:ascii="Arial" w:hAnsi="Arial" w:cs="Arial"/>
          <w:sz w:val="22"/>
          <w:szCs w:val="22"/>
          <w:lang w:val="en-US"/>
        </w:rPr>
      </w:pPr>
    </w:p>
    <w:p w14:paraId="2987748E"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7163F691" wp14:editId="703BF132">
            <wp:extent cx="5495925" cy="2905125"/>
            <wp:effectExtent l="0" t="0" r="9525" b="9525"/>
            <wp:docPr id="982151709"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8F2A27" w14:textId="77777777" w:rsidR="0025258F" w:rsidRPr="006D08C1" w:rsidRDefault="0025258F" w:rsidP="0025258F">
      <w:pPr>
        <w:jc w:val="both"/>
        <w:rPr>
          <w:rFonts w:ascii="Arial" w:hAnsi="Arial" w:cs="Arial"/>
          <w:b/>
          <w:sz w:val="22"/>
          <w:szCs w:val="22"/>
          <w:lang w:val="en-US"/>
        </w:rPr>
      </w:pPr>
    </w:p>
    <w:p w14:paraId="2B50E758"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79F89EB6" wp14:editId="359D88DC">
            <wp:extent cx="5438775" cy="2609850"/>
            <wp:effectExtent l="0" t="0" r="9525" b="0"/>
            <wp:docPr id="895821860"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C7F841" w14:textId="77777777" w:rsidR="0025258F" w:rsidRPr="006D08C1" w:rsidRDefault="0025258F" w:rsidP="0025258F">
      <w:pPr>
        <w:jc w:val="both"/>
        <w:rPr>
          <w:rFonts w:ascii="Arial" w:hAnsi="Arial" w:cs="Arial"/>
          <w:b/>
          <w:sz w:val="22"/>
          <w:szCs w:val="22"/>
          <w:lang w:val="en-US"/>
        </w:rPr>
      </w:pPr>
    </w:p>
    <w:p w14:paraId="678BB4EC"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22CB1C10" wp14:editId="40627AAB">
            <wp:extent cx="5591175" cy="2495550"/>
            <wp:effectExtent l="0" t="0" r="9525" b="0"/>
            <wp:docPr id="80919861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A89D5E" w14:textId="77777777" w:rsidR="0025258F" w:rsidRPr="006D08C1" w:rsidRDefault="0025258F" w:rsidP="0025258F">
      <w:pPr>
        <w:jc w:val="both"/>
        <w:rPr>
          <w:rFonts w:ascii="Arial" w:hAnsi="Arial" w:cs="Arial"/>
          <w:b/>
          <w:sz w:val="22"/>
          <w:szCs w:val="22"/>
          <w:lang w:val="en-US"/>
        </w:rPr>
      </w:pPr>
    </w:p>
    <w:p w14:paraId="60AA24F8" w14:textId="77777777" w:rsidR="0025258F" w:rsidRPr="006D08C1" w:rsidRDefault="0025258F" w:rsidP="0025258F">
      <w:pPr>
        <w:jc w:val="both"/>
        <w:rPr>
          <w:rFonts w:ascii="Arial" w:hAnsi="Arial" w:cs="Arial"/>
          <w:sz w:val="22"/>
          <w:szCs w:val="22"/>
          <w:lang w:val="en-US"/>
        </w:rPr>
      </w:pPr>
    </w:p>
    <w:p w14:paraId="7A5927D0" w14:textId="77777777" w:rsidR="0025258F" w:rsidRPr="006D08C1" w:rsidRDefault="0025258F" w:rsidP="0025258F">
      <w:pPr>
        <w:jc w:val="both"/>
        <w:rPr>
          <w:rFonts w:ascii="Arial" w:hAnsi="Arial" w:cs="Arial"/>
          <w:b/>
          <w:sz w:val="22"/>
          <w:szCs w:val="22"/>
          <w:lang w:val="en-US"/>
        </w:rPr>
      </w:pPr>
    </w:p>
    <w:p w14:paraId="49596214"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58AAFFD1" wp14:editId="3324E638">
            <wp:extent cx="5972175" cy="2752725"/>
            <wp:effectExtent l="0" t="0" r="9525" b="9525"/>
            <wp:docPr id="17378668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147B80" w14:textId="77777777" w:rsidR="0025258F" w:rsidRPr="006D08C1" w:rsidRDefault="0025258F" w:rsidP="0025258F">
      <w:pPr>
        <w:jc w:val="both"/>
        <w:rPr>
          <w:rFonts w:ascii="Arial" w:hAnsi="Arial" w:cs="Arial"/>
          <w:sz w:val="22"/>
          <w:szCs w:val="22"/>
          <w:lang w:val="en-US"/>
        </w:rPr>
      </w:pPr>
    </w:p>
    <w:p w14:paraId="7DD295FE" w14:textId="77777777" w:rsidR="0025258F" w:rsidRPr="006D08C1" w:rsidRDefault="0025258F" w:rsidP="0025258F">
      <w:pPr>
        <w:jc w:val="both"/>
        <w:rPr>
          <w:rFonts w:ascii="Arial" w:hAnsi="Arial" w:cs="Arial"/>
          <w:b/>
          <w:sz w:val="22"/>
          <w:szCs w:val="22"/>
          <w:lang w:val="en-US"/>
        </w:rPr>
      </w:pPr>
    </w:p>
    <w:p w14:paraId="12D12FD5"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29A0BE66" wp14:editId="16B5108B">
            <wp:extent cx="5972175" cy="2752725"/>
            <wp:effectExtent l="0" t="0" r="9525" b="9525"/>
            <wp:docPr id="1964427915"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24A9E9" w14:textId="77777777" w:rsidR="0025258F" w:rsidRPr="006D08C1" w:rsidRDefault="0025258F" w:rsidP="0025258F">
      <w:pPr>
        <w:jc w:val="both"/>
        <w:rPr>
          <w:rFonts w:ascii="Arial" w:hAnsi="Arial" w:cs="Arial"/>
          <w:b/>
          <w:sz w:val="22"/>
          <w:szCs w:val="22"/>
          <w:lang w:val="en-US"/>
        </w:rPr>
      </w:pPr>
    </w:p>
    <w:p w14:paraId="5F973DF0" w14:textId="77777777" w:rsidR="0025258F" w:rsidRPr="006D08C1" w:rsidRDefault="0025258F" w:rsidP="0025258F">
      <w:pPr>
        <w:jc w:val="both"/>
        <w:rPr>
          <w:rFonts w:ascii="Arial" w:hAnsi="Arial" w:cs="Arial"/>
          <w:b/>
          <w:sz w:val="22"/>
          <w:szCs w:val="22"/>
          <w:lang w:val="en-US"/>
        </w:rPr>
      </w:pPr>
    </w:p>
    <w:p w14:paraId="4830086A" w14:textId="77777777" w:rsidR="0025258F" w:rsidRPr="006D08C1" w:rsidRDefault="0025258F" w:rsidP="0025258F">
      <w:pPr>
        <w:jc w:val="both"/>
        <w:rPr>
          <w:rFonts w:ascii="Arial" w:hAnsi="Arial" w:cs="Arial"/>
          <w:sz w:val="22"/>
          <w:szCs w:val="22"/>
          <w:lang w:val="en-US"/>
        </w:rPr>
      </w:pPr>
    </w:p>
    <w:p w14:paraId="75BF9762"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3B4874E5" wp14:editId="621E9D9A">
            <wp:extent cx="5667375" cy="2638425"/>
            <wp:effectExtent l="0" t="0" r="9525" b="9525"/>
            <wp:docPr id="145849172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1F7260" w14:textId="77777777" w:rsidR="0025258F" w:rsidRPr="006D08C1" w:rsidRDefault="0025258F" w:rsidP="0025258F">
      <w:pPr>
        <w:jc w:val="both"/>
        <w:rPr>
          <w:rFonts w:ascii="Arial" w:hAnsi="Arial" w:cs="Arial"/>
          <w:b/>
          <w:sz w:val="22"/>
          <w:szCs w:val="22"/>
          <w:lang w:val="en-US"/>
        </w:rPr>
      </w:pPr>
    </w:p>
    <w:p w14:paraId="1B73BCBF" w14:textId="77777777" w:rsidR="0025258F" w:rsidRPr="006D08C1" w:rsidRDefault="0025258F" w:rsidP="0025258F">
      <w:pPr>
        <w:jc w:val="both"/>
        <w:rPr>
          <w:rFonts w:ascii="Arial" w:hAnsi="Arial" w:cs="Arial"/>
          <w:sz w:val="22"/>
          <w:szCs w:val="22"/>
          <w:lang w:val="en-US"/>
        </w:rPr>
      </w:pPr>
    </w:p>
    <w:p w14:paraId="421CA621"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10871E2D" wp14:editId="468642A3">
            <wp:extent cx="5705475" cy="2419350"/>
            <wp:effectExtent l="0" t="0" r="9525" b="0"/>
            <wp:docPr id="129241175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1E2969" w14:textId="77777777" w:rsidR="0025258F" w:rsidRPr="006D08C1" w:rsidRDefault="0025258F" w:rsidP="0025258F">
      <w:pPr>
        <w:jc w:val="both"/>
        <w:rPr>
          <w:rFonts w:ascii="Arial" w:hAnsi="Arial" w:cs="Arial"/>
          <w:b/>
          <w:sz w:val="22"/>
          <w:szCs w:val="22"/>
          <w:lang w:val="en-US"/>
        </w:rPr>
      </w:pPr>
    </w:p>
    <w:p w14:paraId="002790CB" w14:textId="77777777" w:rsidR="0025258F" w:rsidRPr="006D08C1" w:rsidRDefault="0025258F" w:rsidP="0025258F">
      <w:pPr>
        <w:jc w:val="both"/>
        <w:rPr>
          <w:rFonts w:ascii="Arial" w:hAnsi="Arial" w:cs="Arial"/>
          <w:b/>
          <w:sz w:val="22"/>
          <w:szCs w:val="22"/>
          <w:lang w:val="en-US"/>
        </w:rPr>
      </w:pPr>
    </w:p>
    <w:p w14:paraId="08EA6197" w14:textId="77777777" w:rsidR="0025258F" w:rsidRPr="006D08C1" w:rsidRDefault="0025258F" w:rsidP="0025258F">
      <w:pPr>
        <w:jc w:val="both"/>
        <w:rPr>
          <w:rFonts w:ascii="Arial" w:hAnsi="Arial" w:cs="Arial"/>
          <w:sz w:val="22"/>
          <w:szCs w:val="22"/>
          <w:lang w:val="en-US"/>
        </w:rPr>
      </w:pPr>
    </w:p>
    <w:p w14:paraId="22AE86EB" w14:textId="77777777" w:rsidR="0025258F" w:rsidRPr="006D08C1" w:rsidRDefault="0025258F" w:rsidP="0025258F">
      <w:pPr>
        <w:jc w:val="both"/>
        <w:rPr>
          <w:rFonts w:ascii="Arial" w:hAnsi="Arial" w:cs="Arial"/>
          <w:b/>
          <w:sz w:val="22"/>
          <w:szCs w:val="22"/>
          <w:lang w:val="en-US"/>
        </w:rPr>
      </w:pPr>
    </w:p>
    <w:p w14:paraId="1C7ABBE8"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73EE0C6A" wp14:editId="2EC56C45">
            <wp:extent cx="5686425" cy="3038475"/>
            <wp:effectExtent l="0" t="0" r="9525" b="9525"/>
            <wp:docPr id="28204533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877602" w14:textId="77777777" w:rsidR="0025258F" w:rsidRPr="006D08C1" w:rsidRDefault="0025258F" w:rsidP="0025258F">
      <w:pPr>
        <w:jc w:val="both"/>
        <w:rPr>
          <w:rFonts w:ascii="Arial" w:hAnsi="Arial" w:cs="Arial"/>
          <w:b/>
          <w:sz w:val="22"/>
          <w:szCs w:val="22"/>
          <w:lang w:val="en-US"/>
        </w:rPr>
      </w:pPr>
    </w:p>
    <w:p w14:paraId="06C6E7D6" w14:textId="77777777" w:rsidR="0025258F" w:rsidRPr="006D08C1" w:rsidRDefault="0025258F" w:rsidP="0025258F">
      <w:pPr>
        <w:jc w:val="both"/>
        <w:rPr>
          <w:rFonts w:ascii="Arial" w:hAnsi="Arial" w:cs="Arial"/>
          <w:b/>
          <w:sz w:val="22"/>
          <w:szCs w:val="22"/>
          <w:lang w:val="en-US"/>
        </w:rPr>
      </w:pPr>
    </w:p>
    <w:p w14:paraId="17B8A1F2" w14:textId="77777777" w:rsidR="0025258F" w:rsidRPr="006D08C1" w:rsidRDefault="0025258F" w:rsidP="0025258F">
      <w:pPr>
        <w:jc w:val="both"/>
        <w:rPr>
          <w:rFonts w:ascii="Arial" w:hAnsi="Arial" w:cs="Arial"/>
          <w:b/>
          <w:sz w:val="22"/>
          <w:szCs w:val="22"/>
          <w:lang w:val="en-US"/>
        </w:rPr>
      </w:pPr>
    </w:p>
    <w:p w14:paraId="21298EA8" w14:textId="77777777" w:rsidR="0025258F" w:rsidRPr="006D08C1" w:rsidRDefault="0025258F" w:rsidP="0025258F">
      <w:pPr>
        <w:jc w:val="both"/>
        <w:rPr>
          <w:rFonts w:ascii="Arial" w:hAnsi="Arial" w:cs="Arial"/>
          <w:sz w:val="22"/>
          <w:szCs w:val="22"/>
          <w:lang w:val="en-US"/>
        </w:rPr>
      </w:pPr>
    </w:p>
    <w:p w14:paraId="525274AC"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drawing>
          <wp:inline distT="0" distB="0" distL="0" distR="0" wp14:anchorId="7304AB2E" wp14:editId="3C8DFDD8">
            <wp:extent cx="5610225" cy="2809875"/>
            <wp:effectExtent l="0" t="0" r="9525" b="9525"/>
            <wp:docPr id="78120340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52BE11" w14:textId="77777777" w:rsidR="0025258F" w:rsidRPr="006D08C1" w:rsidRDefault="0025258F" w:rsidP="0025258F">
      <w:pPr>
        <w:jc w:val="both"/>
        <w:rPr>
          <w:rFonts w:ascii="Arial" w:hAnsi="Arial" w:cs="Arial"/>
          <w:b/>
          <w:sz w:val="22"/>
          <w:szCs w:val="22"/>
          <w:lang w:val="en-US"/>
        </w:rPr>
      </w:pPr>
    </w:p>
    <w:p w14:paraId="41527096" w14:textId="77777777" w:rsidR="0025258F" w:rsidRPr="006D08C1" w:rsidRDefault="0025258F" w:rsidP="0025258F">
      <w:pPr>
        <w:jc w:val="both"/>
        <w:rPr>
          <w:rFonts w:ascii="Arial" w:hAnsi="Arial" w:cs="Arial"/>
          <w:sz w:val="22"/>
          <w:szCs w:val="22"/>
          <w:lang w:val="en-US"/>
        </w:rPr>
      </w:pPr>
    </w:p>
    <w:p w14:paraId="12B5FF3D" w14:textId="77777777" w:rsidR="0025258F" w:rsidRPr="006D08C1" w:rsidRDefault="0025258F" w:rsidP="0025258F">
      <w:pPr>
        <w:jc w:val="both"/>
        <w:rPr>
          <w:rFonts w:ascii="Arial" w:hAnsi="Arial" w:cs="Arial"/>
          <w:sz w:val="22"/>
          <w:szCs w:val="22"/>
          <w:lang w:val="en-US"/>
        </w:rPr>
      </w:pPr>
      <w:r w:rsidRPr="00F901B1">
        <w:rPr>
          <w:rFonts w:ascii="Arial" w:hAnsi="Arial" w:cs="Arial"/>
          <w:noProof/>
          <w:sz w:val="22"/>
          <w:szCs w:val="22"/>
          <w:lang w:val="en-US"/>
        </w:rPr>
        <w:lastRenderedPageBreak/>
        <w:drawing>
          <wp:inline distT="0" distB="0" distL="0" distR="0" wp14:anchorId="3967AE22" wp14:editId="3CE2F0D8">
            <wp:extent cx="5734050" cy="2609850"/>
            <wp:effectExtent l="0" t="0" r="0" b="0"/>
            <wp:docPr id="132816234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7C74B7" w14:textId="77777777" w:rsidR="0025258F" w:rsidRPr="006D08C1" w:rsidRDefault="0025258F" w:rsidP="0025258F">
      <w:pPr>
        <w:jc w:val="both"/>
        <w:rPr>
          <w:rFonts w:ascii="Arial" w:hAnsi="Arial" w:cs="Arial"/>
          <w:sz w:val="22"/>
          <w:szCs w:val="22"/>
          <w:lang w:val="en-US"/>
        </w:rPr>
      </w:pPr>
    </w:p>
    <w:p w14:paraId="1D923085" w14:textId="72440C39" w:rsidR="006D08C1" w:rsidRPr="006D08C1" w:rsidRDefault="0025258F" w:rsidP="006D08C1">
      <w:pPr>
        <w:jc w:val="both"/>
        <w:rPr>
          <w:rFonts w:ascii="Arial" w:hAnsi="Arial" w:cs="Arial"/>
          <w:sz w:val="22"/>
          <w:szCs w:val="22"/>
        </w:rPr>
      </w:pPr>
      <w:r w:rsidRPr="006D08C1">
        <w:rPr>
          <w:rFonts w:ascii="Arial" w:hAnsi="Arial" w:cs="Arial"/>
          <w:b/>
          <w:bCs/>
          <w:sz w:val="22"/>
          <w:szCs w:val="22"/>
        </w:rPr>
        <w:t>CONCLUSION</w:t>
      </w:r>
    </w:p>
    <w:p w14:paraId="0C5C0D9A" w14:textId="77777777"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The survey of ten panchayats in the Seraj Valley of Mandi District, Himachal Pradesh, provides critical insights into the socio-agricultural dynamics, adoption of pea production technologies, and farmer perceptions. The overwhelming dominance of marginal farmers reflects the structural constraints of hilly agriculture, necessitating tailored interventions that address their specific needs. While there are encouraging trends in seed rate and crop rotation adoption, major gaps remain in seed treatment, disease management, and irrigation access. The uneven distribution of knowledge and technology adoption across panchayats underscores the need for decentralized, panchayat-specific extension strategies.</w:t>
      </w:r>
    </w:p>
    <w:p w14:paraId="428271A9" w14:textId="77777777"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 xml:space="preserve">High-performing panchayats such as </w:t>
      </w:r>
      <w:proofErr w:type="spellStart"/>
      <w:r w:rsidRPr="006D08C1">
        <w:rPr>
          <w:rFonts w:ascii="Arial" w:hAnsi="Arial" w:cs="Arial"/>
          <w:sz w:val="22"/>
          <w:szCs w:val="22"/>
        </w:rPr>
        <w:t>Dhim</w:t>
      </w:r>
      <w:proofErr w:type="spellEnd"/>
      <w:r w:rsidRPr="006D08C1">
        <w:rPr>
          <w:rFonts w:ascii="Arial" w:hAnsi="Arial" w:cs="Arial"/>
          <w:sz w:val="22"/>
          <w:szCs w:val="22"/>
        </w:rPr>
        <w:t xml:space="preserve"> </w:t>
      </w:r>
      <w:proofErr w:type="spellStart"/>
      <w:r w:rsidRPr="006D08C1">
        <w:rPr>
          <w:rFonts w:ascii="Arial" w:hAnsi="Arial" w:cs="Arial"/>
          <w:sz w:val="22"/>
          <w:szCs w:val="22"/>
        </w:rPr>
        <w:t>Kataru</w:t>
      </w:r>
      <w:proofErr w:type="spellEnd"/>
      <w:r w:rsidRPr="006D08C1">
        <w:rPr>
          <w:rFonts w:ascii="Arial" w:hAnsi="Arial" w:cs="Arial"/>
          <w:sz w:val="22"/>
          <w:szCs w:val="22"/>
        </w:rPr>
        <w:t xml:space="preserve"> and </w:t>
      </w:r>
      <w:proofErr w:type="spellStart"/>
      <w:r w:rsidRPr="006D08C1">
        <w:rPr>
          <w:rFonts w:ascii="Arial" w:hAnsi="Arial" w:cs="Arial"/>
          <w:sz w:val="22"/>
          <w:szCs w:val="22"/>
        </w:rPr>
        <w:t>Thunag</w:t>
      </w:r>
      <w:proofErr w:type="spellEnd"/>
      <w:r w:rsidRPr="006D08C1">
        <w:rPr>
          <w:rFonts w:ascii="Arial" w:hAnsi="Arial" w:cs="Arial"/>
          <w:sz w:val="22"/>
          <w:szCs w:val="22"/>
        </w:rPr>
        <w:t xml:space="preserve"> demonstrate the potential impact of effective awareness, input access, and extension linkages. Conversely, areas like </w:t>
      </w:r>
      <w:proofErr w:type="spellStart"/>
      <w:r w:rsidRPr="006D08C1">
        <w:rPr>
          <w:rFonts w:ascii="Arial" w:hAnsi="Arial" w:cs="Arial"/>
          <w:sz w:val="22"/>
          <w:szCs w:val="22"/>
        </w:rPr>
        <w:t>Chiuni</w:t>
      </w:r>
      <w:proofErr w:type="spellEnd"/>
      <w:r w:rsidRPr="006D08C1">
        <w:rPr>
          <w:rFonts w:ascii="Arial" w:hAnsi="Arial" w:cs="Arial"/>
          <w:sz w:val="22"/>
          <w:szCs w:val="22"/>
        </w:rPr>
        <w:t xml:space="preserve"> and Thana exhibit significant constraints due to poor infrastructure, knowledge gaps, and non-responsiveness. The limited mechanization and continued reliance on traditional practices in remote areas further highlight the challenges of accessibility and affordability.</w:t>
      </w:r>
    </w:p>
    <w:p w14:paraId="214F3A63" w14:textId="77777777"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Moreover, while some farmers recognize shifting climatic patterns, widespread low perception or non-responsiveness to climate change indicates a need for climate education and integration of adaptive practices. The direct relationship observed between low yield and low income highlights the urgent need for interventions that improve productivity through better agronomic practices, input use, and market linkages.</w:t>
      </w:r>
    </w:p>
    <w:p w14:paraId="765865C3" w14:textId="748181B3" w:rsidR="006D08C1" w:rsidRPr="006D08C1" w:rsidRDefault="006D08C1" w:rsidP="003354C6">
      <w:pPr>
        <w:ind w:firstLine="720"/>
        <w:jc w:val="both"/>
        <w:rPr>
          <w:rFonts w:ascii="Arial" w:hAnsi="Arial" w:cs="Arial"/>
          <w:sz w:val="22"/>
          <w:szCs w:val="22"/>
        </w:rPr>
      </w:pPr>
      <w:r w:rsidRPr="006D08C1">
        <w:rPr>
          <w:rFonts w:ascii="Arial" w:hAnsi="Arial" w:cs="Arial"/>
          <w:sz w:val="22"/>
          <w:szCs w:val="22"/>
        </w:rPr>
        <w:t>In conclusion, the findings call for a comprehensive and location-specific approach focusing on capacity building, improved input delivery, demonstration of best practices, and climate-resilient technologies. Strengthening local extension systems and ensuring equitable resource access can significantly enhance the livelihoods and resilience of small and marginal farmers in the Seraj Valley.</w:t>
      </w:r>
    </w:p>
    <w:p w14:paraId="5936DC01" w14:textId="1A4E2D1F" w:rsidR="002275A7" w:rsidRDefault="002275A7" w:rsidP="0025258F">
      <w:pPr>
        <w:ind w:firstLine="720"/>
        <w:jc w:val="both"/>
        <w:rPr>
          <w:rFonts w:ascii="Arial" w:hAnsi="Arial" w:cs="Arial"/>
          <w:sz w:val="22"/>
          <w:szCs w:val="22"/>
          <w:lang w:val="en-US"/>
        </w:rPr>
      </w:pPr>
    </w:p>
    <w:p w14:paraId="4425C631" w14:textId="78312E06" w:rsidR="005A549D" w:rsidRDefault="005A549D" w:rsidP="0025258F">
      <w:pPr>
        <w:ind w:firstLine="720"/>
        <w:jc w:val="both"/>
        <w:rPr>
          <w:rFonts w:ascii="Arial" w:hAnsi="Arial" w:cs="Arial"/>
          <w:sz w:val="22"/>
          <w:szCs w:val="22"/>
          <w:lang w:val="en-US"/>
        </w:rPr>
      </w:pPr>
    </w:p>
    <w:p w14:paraId="11BF8F6C" w14:textId="77777777" w:rsidR="005A549D" w:rsidRDefault="005A549D" w:rsidP="0025258F">
      <w:pPr>
        <w:ind w:firstLine="720"/>
        <w:jc w:val="both"/>
        <w:rPr>
          <w:rFonts w:ascii="Arial" w:hAnsi="Arial" w:cs="Arial"/>
          <w:sz w:val="22"/>
          <w:szCs w:val="22"/>
          <w:lang w:val="en-US"/>
        </w:rPr>
      </w:pPr>
      <w:bookmarkStart w:id="0" w:name="_GoBack"/>
      <w:bookmarkEnd w:id="0"/>
    </w:p>
    <w:p w14:paraId="56A3ED6D" w14:textId="77777777" w:rsidR="002275A7" w:rsidRPr="002275A7" w:rsidRDefault="002275A7" w:rsidP="002275A7">
      <w:pPr>
        <w:spacing w:after="200" w:line="276" w:lineRule="auto"/>
        <w:rPr>
          <w:rFonts w:ascii="Arial" w:eastAsia="Times New Roman" w:hAnsi="Arial" w:cs="Arial"/>
          <w:b/>
          <w:bCs/>
          <w:kern w:val="0"/>
          <w:sz w:val="22"/>
          <w:szCs w:val="22"/>
          <w:lang w:val="en-GB" w:eastAsia="en-GB"/>
          <w14:ligatures w14:val="none"/>
        </w:rPr>
      </w:pPr>
      <w:r w:rsidRPr="002275A7">
        <w:rPr>
          <w:rFonts w:ascii="Arial" w:eastAsia="Times New Roman" w:hAnsi="Arial" w:cs="Arial"/>
          <w:b/>
          <w:bCs/>
          <w:kern w:val="0"/>
          <w:sz w:val="22"/>
          <w:szCs w:val="22"/>
          <w:lang w:val="en-GB" w:eastAsia="en-GB"/>
          <w14:ligatures w14:val="none"/>
        </w:rPr>
        <w:t>COMPETING INTERESTS DISCLAIMER:</w:t>
      </w:r>
    </w:p>
    <w:p w14:paraId="69D863B5" w14:textId="77777777" w:rsidR="002275A7" w:rsidRPr="002275A7" w:rsidRDefault="002275A7" w:rsidP="002275A7">
      <w:pPr>
        <w:spacing w:after="200" w:line="276" w:lineRule="auto"/>
        <w:rPr>
          <w:rFonts w:ascii="Calibri" w:eastAsia="Times New Roman" w:hAnsi="Calibri" w:cs="Times New Roman"/>
          <w:kern w:val="0"/>
          <w:sz w:val="22"/>
          <w:szCs w:val="22"/>
          <w:lang w:val="en-GB" w:eastAsia="en-GB"/>
          <w14:ligatures w14:val="none"/>
        </w:rPr>
      </w:pPr>
      <w:r w:rsidRPr="002275A7">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E5D6C48" w14:textId="77777777" w:rsidR="002275A7" w:rsidRPr="006D08C1" w:rsidRDefault="002275A7" w:rsidP="0025258F">
      <w:pPr>
        <w:ind w:firstLine="720"/>
        <w:jc w:val="both"/>
        <w:rPr>
          <w:rFonts w:ascii="Arial" w:hAnsi="Arial" w:cs="Arial"/>
          <w:sz w:val="22"/>
          <w:szCs w:val="22"/>
          <w:lang w:val="en-US"/>
        </w:rPr>
      </w:pPr>
    </w:p>
    <w:p w14:paraId="3256BE20" w14:textId="6B742A0E" w:rsidR="006D08C1" w:rsidRPr="006D08C1" w:rsidRDefault="0025258F" w:rsidP="006D08C1">
      <w:pPr>
        <w:jc w:val="both"/>
        <w:rPr>
          <w:rFonts w:ascii="Arial" w:hAnsi="Arial" w:cs="Arial"/>
          <w:b/>
          <w:sz w:val="22"/>
          <w:szCs w:val="22"/>
          <w:lang w:val="en-US"/>
        </w:rPr>
      </w:pPr>
      <w:r w:rsidRPr="006D08C1">
        <w:rPr>
          <w:rFonts w:ascii="Arial" w:hAnsi="Arial" w:cs="Arial"/>
          <w:b/>
          <w:sz w:val="22"/>
          <w:szCs w:val="22"/>
          <w:lang w:val="en-US"/>
        </w:rPr>
        <w:t>REFERENCES</w:t>
      </w:r>
    </w:p>
    <w:p w14:paraId="01E125E5" w14:textId="294B2659" w:rsidR="003354C6" w:rsidRPr="00F901B1" w:rsidRDefault="003354C6" w:rsidP="003354C6">
      <w:pPr>
        <w:spacing w:before="100" w:beforeAutospacing="1" w:after="100" w:afterAutospacing="1" w:line="240" w:lineRule="auto"/>
        <w:jc w:val="both"/>
        <w:rPr>
          <w:rFonts w:ascii="Arial" w:eastAsia="Times New Roman" w:hAnsi="Arial" w:cs="Arial"/>
          <w:sz w:val="22"/>
          <w:szCs w:val="22"/>
        </w:rPr>
      </w:pPr>
      <w:r w:rsidRPr="00F901B1">
        <w:rPr>
          <w:rFonts w:ascii="Arial" w:eastAsia="Times New Roman" w:hAnsi="Arial" w:cs="Arial"/>
          <w:bCs/>
          <w:sz w:val="22"/>
          <w:szCs w:val="22"/>
        </w:rPr>
        <w:t>Ali, M., &amp; Gupta, S. (2012).</w:t>
      </w:r>
      <w:r w:rsidRPr="00F901B1">
        <w:rPr>
          <w:rFonts w:ascii="Arial" w:eastAsia="Times New Roman" w:hAnsi="Arial" w:cs="Arial"/>
          <w:sz w:val="22"/>
          <w:szCs w:val="22"/>
        </w:rPr>
        <w:t xml:space="preserve"> Carrying capacity of Indian agriculture: </w:t>
      </w:r>
      <w:r w:rsidR="00EA437F" w:rsidRPr="00F901B1">
        <w:rPr>
          <w:rFonts w:ascii="Arial" w:eastAsia="Times New Roman" w:hAnsi="Arial" w:cs="Arial"/>
          <w:sz w:val="22"/>
          <w:szCs w:val="22"/>
        </w:rPr>
        <w:t>P</w:t>
      </w:r>
      <w:r w:rsidRPr="00F901B1">
        <w:rPr>
          <w:rFonts w:ascii="Arial" w:eastAsia="Times New Roman" w:hAnsi="Arial" w:cs="Arial"/>
          <w:sz w:val="22"/>
          <w:szCs w:val="22"/>
        </w:rPr>
        <w:t xml:space="preserve">ulse crops. </w:t>
      </w:r>
      <w:r w:rsidRPr="00F901B1">
        <w:rPr>
          <w:rFonts w:ascii="Arial" w:eastAsia="Times New Roman" w:hAnsi="Arial" w:cs="Arial"/>
          <w:i/>
          <w:iCs/>
          <w:sz w:val="22"/>
          <w:szCs w:val="22"/>
        </w:rPr>
        <w:t>Current Science</w:t>
      </w:r>
      <w:r w:rsidRPr="00F901B1">
        <w:rPr>
          <w:rFonts w:ascii="Arial" w:eastAsia="Times New Roman" w:hAnsi="Arial" w:cs="Arial"/>
          <w:sz w:val="22"/>
          <w:szCs w:val="22"/>
        </w:rPr>
        <w:t>, 102(6)</w:t>
      </w:r>
      <w:r w:rsidR="00EA437F" w:rsidRPr="00F901B1">
        <w:rPr>
          <w:rFonts w:ascii="Arial" w:eastAsia="Times New Roman" w:hAnsi="Arial" w:cs="Arial"/>
          <w:sz w:val="22"/>
          <w:szCs w:val="22"/>
        </w:rPr>
        <w:t>,</w:t>
      </w:r>
      <w:r w:rsidRPr="00F901B1">
        <w:rPr>
          <w:rFonts w:ascii="Arial" w:eastAsia="Times New Roman" w:hAnsi="Arial" w:cs="Arial"/>
          <w:sz w:val="22"/>
          <w:szCs w:val="22"/>
        </w:rPr>
        <w:t xml:space="preserve"> 874–881.</w:t>
      </w:r>
    </w:p>
    <w:p w14:paraId="35776CE7" w14:textId="246763CD" w:rsidR="003354C6" w:rsidRPr="00F901B1" w:rsidRDefault="003354C6" w:rsidP="003354C6">
      <w:pPr>
        <w:spacing w:before="100" w:beforeAutospacing="1" w:after="100" w:afterAutospacing="1" w:line="240" w:lineRule="auto"/>
        <w:jc w:val="both"/>
        <w:rPr>
          <w:rFonts w:ascii="Arial" w:eastAsia="Times New Roman" w:hAnsi="Arial" w:cs="Arial"/>
          <w:sz w:val="22"/>
          <w:szCs w:val="22"/>
        </w:rPr>
      </w:pPr>
      <w:r w:rsidRPr="00F901B1">
        <w:rPr>
          <w:rFonts w:ascii="Arial" w:hAnsi="Arial" w:cs="Arial"/>
          <w:sz w:val="22"/>
          <w:szCs w:val="22"/>
        </w:rPr>
        <w:t xml:space="preserve">Banerjee, R. R. (2015). </w:t>
      </w:r>
      <w:r w:rsidRPr="00F901B1">
        <w:rPr>
          <w:rStyle w:val="Emphasis"/>
          <w:rFonts w:ascii="Arial" w:hAnsi="Arial" w:cs="Arial"/>
          <w:i w:val="0"/>
          <w:iCs w:val="0"/>
          <w:sz w:val="22"/>
          <w:szCs w:val="22"/>
        </w:rPr>
        <w:t>Farmers’ perception of climate change, impact and adaptation strategies: a case study of four villages in the semi-arid regions of India</w:t>
      </w:r>
      <w:r w:rsidRPr="00F901B1">
        <w:rPr>
          <w:rFonts w:ascii="Arial" w:hAnsi="Arial" w:cs="Arial"/>
          <w:i/>
          <w:iCs/>
          <w:sz w:val="22"/>
          <w:szCs w:val="22"/>
        </w:rPr>
        <w:t>.</w:t>
      </w:r>
      <w:r w:rsidRPr="00F901B1">
        <w:rPr>
          <w:rFonts w:ascii="Arial" w:hAnsi="Arial" w:cs="Arial"/>
          <w:sz w:val="22"/>
          <w:szCs w:val="22"/>
        </w:rPr>
        <w:t xml:space="preserve"> </w:t>
      </w:r>
      <w:r w:rsidRPr="00F901B1">
        <w:rPr>
          <w:rFonts w:ascii="Arial" w:hAnsi="Arial" w:cs="Arial"/>
          <w:i/>
          <w:iCs/>
          <w:sz w:val="22"/>
          <w:szCs w:val="22"/>
        </w:rPr>
        <w:t>Natural Hazards</w:t>
      </w:r>
      <w:r w:rsidRPr="00F901B1">
        <w:rPr>
          <w:rFonts w:ascii="Arial" w:hAnsi="Arial" w:cs="Arial"/>
          <w:sz w:val="22"/>
          <w:szCs w:val="22"/>
        </w:rPr>
        <w:t>, 75(3), 2829–2845.</w:t>
      </w:r>
      <w:r w:rsidR="00585E2E" w:rsidRPr="00F901B1">
        <w:rPr>
          <w:rFonts w:ascii="Arial" w:hAnsi="Arial" w:cs="Arial"/>
          <w:color w:val="333333"/>
          <w:sz w:val="22"/>
          <w:szCs w:val="22"/>
          <w:shd w:val="clear" w:color="auto" w:fill="FFFFFF"/>
        </w:rPr>
        <w:t xml:space="preserve"> </w:t>
      </w:r>
      <w:r w:rsidR="00585E2E" w:rsidRPr="00F901B1">
        <w:rPr>
          <w:rFonts w:ascii="Arial" w:hAnsi="Arial" w:cs="Arial"/>
          <w:sz w:val="22"/>
          <w:szCs w:val="22"/>
        </w:rPr>
        <w:t>DOI: 10.1007/s11069-014-1466-z</w:t>
      </w:r>
    </w:p>
    <w:p w14:paraId="4199A1ED" w14:textId="071AE0DB" w:rsidR="003354C6" w:rsidRPr="00F901B1" w:rsidRDefault="003354C6" w:rsidP="003354C6">
      <w:pPr>
        <w:spacing w:before="100" w:beforeAutospacing="1" w:after="100" w:afterAutospacing="1" w:line="240" w:lineRule="auto"/>
        <w:jc w:val="both"/>
        <w:rPr>
          <w:rFonts w:ascii="Arial" w:hAnsi="Arial" w:cs="Arial"/>
          <w:sz w:val="22"/>
          <w:szCs w:val="22"/>
        </w:rPr>
      </w:pPr>
      <w:proofErr w:type="spellStart"/>
      <w:r w:rsidRPr="00F901B1">
        <w:rPr>
          <w:rFonts w:ascii="Arial" w:hAnsi="Arial" w:cs="Arial"/>
          <w:sz w:val="22"/>
          <w:szCs w:val="22"/>
        </w:rPr>
        <w:t>Beillouin</w:t>
      </w:r>
      <w:proofErr w:type="spellEnd"/>
      <w:r w:rsidRPr="00F901B1">
        <w:rPr>
          <w:rFonts w:ascii="Arial" w:hAnsi="Arial" w:cs="Arial"/>
          <w:sz w:val="22"/>
          <w:szCs w:val="22"/>
        </w:rPr>
        <w:t xml:space="preserve">, D., Ben-Ari, T., &amp; Makowski, D. (2019). </w:t>
      </w:r>
      <w:r w:rsidRPr="00F901B1">
        <w:rPr>
          <w:rStyle w:val="Emphasis"/>
          <w:rFonts w:ascii="Arial" w:hAnsi="Arial" w:cs="Arial"/>
          <w:i w:val="0"/>
          <w:iCs w:val="0"/>
          <w:sz w:val="22"/>
          <w:szCs w:val="22"/>
        </w:rPr>
        <w:t>Evidence map of crop diversification strategies at the global scale</w:t>
      </w:r>
      <w:r w:rsidRPr="00F901B1">
        <w:rPr>
          <w:rFonts w:ascii="Arial" w:hAnsi="Arial" w:cs="Arial"/>
          <w:i/>
          <w:iCs/>
          <w:sz w:val="22"/>
          <w:szCs w:val="22"/>
        </w:rPr>
        <w:t>.</w:t>
      </w:r>
      <w:r w:rsidRPr="00F901B1">
        <w:rPr>
          <w:rFonts w:ascii="Arial" w:hAnsi="Arial" w:cs="Arial"/>
          <w:sz w:val="22"/>
          <w:szCs w:val="22"/>
        </w:rPr>
        <w:t xml:space="preserve"> </w:t>
      </w:r>
      <w:r w:rsidRPr="00F901B1">
        <w:rPr>
          <w:rFonts w:ascii="Arial" w:hAnsi="Arial" w:cs="Arial"/>
          <w:i/>
          <w:iCs/>
          <w:sz w:val="22"/>
          <w:szCs w:val="22"/>
        </w:rPr>
        <w:t>Environmental Research Letters,</w:t>
      </w:r>
      <w:r w:rsidRPr="00F901B1">
        <w:rPr>
          <w:rFonts w:ascii="Arial" w:hAnsi="Arial" w:cs="Arial"/>
          <w:sz w:val="22"/>
          <w:szCs w:val="22"/>
        </w:rPr>
        <w:t xml:space="preserve"> 14(12), 123001.</w:t>
      </w:r>
      <w:r w:rsidR="00585E2E" w:rsidRPr="00F901B1">
        <w:rPr>
          <w:rFonts w:ascii="Arial" w:hAnsi="Arial" w:cs="Arial"/>
          <w:b/>
          <w:bCs/>
          <w:color w:val="333333"/>
          <w:sz w:val="22"/>
          <w:szCs w:val="22"/>
          <w:bdr w:val="none" w:sz="0" w:space="0" w:color="auto" w:frame="1"/>
        </w:rPr>
        <w:t xml:space="preserve"> </w:t>
      </w:r>
      <w:r w:rsidR="00585E2E" w:rsidRPr="00F901B1">
        <w:rPr>
          <w:rFonts w:ascii="Arial" w:hAnsi="Arial" w:cs="Arial"/>
          <w:sz w:val="22"/>
          <w:szCs w:val="22"/>
        </w:rPr>
        <w:t>DOI 10.1088/1748-9326/ab4449</w:t>
      </w:r>
    </w:p>
    <w:p w14:paraId="5A5F1282" w14:textId="7F01085E" w:rsidR="003354C6" w:rsidRPr="00F901B1" w:rsidRDefault="003354C6" w:rsidP="003354C6">
      <w:pPr>
        <w:pStyle w:val="NormalWeb"/>
        <w:contextualSpacing/>
        <w:jc w:val="both"/>
        <w:rPr>
          <w:rFonts w:ascii="Arial" w:hAnsi="Arial" w:cs="Arial"/>
          <w:sz w:val="22"/>
          <w:szCs w:val="22"/>
        </w:rPr>
      </w:pPr>
      <w:r w:rsidRPr="00F901B1">
        <w:rPr>
          <w:rFonts w:ascii="Arial" w:hAnsi="Arial" w:cs="Arial"/>
          <w:sz w:val="22"/>
          <w:szCs w:val="22"/>
        </w:rPr>
        <w:t>GOI, (2016). Government of India. Department of Agriculture, Cooperation &amp; Farmers Welfare.</w:t>
      </w:r>
      <w:r w:rsidR="00EA437F" w:rsidRPr="00F901B1">
        <w:rPr>
          <w:rFonts w:ascii="Arial" w:hAnsi="Arial" w:cs="Arial"/>
          <w:sz w:val="22"/>
          <w:szCs w:val="22"/>
        </w:rPr>
        <w:t xml:space="preserve"> </w:t>
      </w:r>
      <w:r w:rsidRPr="00F901B1">
        <w:rPr>
          <w:rStyle w:val="Emphasis"/>
          <w:rFonts w:ascii="Arial" w:eastAsiaTheme="majorEastAsia" w:hAnsi="Arial" w:cs="Arial"/>
          <w:sz w:val="22"/>
          <w:szCs w:val="22"/>
        </w:rPr>
        <w:t>Agricultural Census</w:t>
      </w:r>
      <w:r w:rsidR="00052757" w:rsidRPr="00F901B1">
        <w:rPr>
          <w:rStyle w:val="Emphasis"/>
          <w:rFonts w:ascii="Arial" w:eastAsiaTheme="majorEastAsia" w:hAnsi="Arial" w:cs="Arial"/>
          <w:sz w:val="22"/>
          <w:szCs w:val="22"/>
        </w:rPr>
        <w:t>,</w:t>
      </w:r>
      <w:r w:rsidRPr="00F901B1">
        <w:rPr>
          <w:rStyle w:val="Emphasis"/>
          <w:rFonts w:ascii="Arial" w:eastAsiaTheme="majorEastAsia" w:hAnsi="Arial" w:cs="Arial"/>
          <w:sz w:val="22"/>
          <w:szCs w:val="22"/>
        </w:rPr>
        <w:t xml:space="preserve"> 2015-16</w:t>
      </w:r>
      <w:r w:rsidRPr="00F901B1">
        <w:rPr>
          <w:rFonts w:ascii="Arial" w:hAnsi="Arial" w:cs="Arial"/>
          <w:sz w:val="22"/>
          <w:szCs w:val="22"/>
        </w:rPr>
        <w:t xml:space="preserve">. </w:t>
      </w:r>
    </w:p>
    <w:p w14:paraId="6FE9C1F5" w14:textId="77777777" w:rsidR="00A84D8A" w:rsidRPr="00F901B1" w:rsidRDefault="00A84D8A" w:rsidP="003354C6">
      <w:pPr>
        <w:pStyle w:val="NormalWeb"/>
        <w:contextualSpacing/>
        <w:jc w:val="both"/>
        <w:rPr>
          <w:rFonts w:ascii="Arial" w:hAnsi="Arial" w:cs="Arial"/>
          <w:sz w:val="22"/>
          <w:szCs w:val="22"/>
        </w:rPr>
      </w:pPr>
    </w:p>
    <w:p w14:paraId="07806A4E" w14:textId="4A3DFCD1" w:rsidR="00052757" w:rsidRPr="00F901B1" w:rsidRDefault="00A84D8A" w:rsidP="00052757">
      <w:pPr>
        <w:pStyle w:val="NormalWeb"/>
        <w:contextualSpacing/>
        <w:jc w:val="both"/>
        <w:rPr>
          <w:rFonts w:ascii="Arial" w:hAnsi="Arial" w:cs="Arial"/>
          <w:color w:val="323E4F" w:themeColor="text2" w:themeShade="BF"/>
          <w:sz w:val="22"/>
          <w:szCs w:val="22"/>
          <w:lang w:val="en-IN"/>
        </w:rPr>
      </w:pPr>
      <w:r w:rsidRPr="00F901B1">
        <w:rPr>
          <w:rFonts w:ascii="Arial" w:hAnsi="Arial" w:cs="Arial"/>
          <w:sz w:val="22"/>
          <w:szCs w:val="22"/>
        </w:rPr>
        <w:t>Li Fan</w:t>
      </w:r>
      <w:r w:rsidR="00052757" w:rsidRPr="00F901B1">
        <w:rPr>
          <w:rFonts w:ascii="Arial" w:hAnsi="Arial" w:cs="Arial"/>
          <w:sz w:val="22"/>
          <w:szCs w:val="22"/>
        </w:rPr>
        <w:t xml:space="preserve">, Pan Xinyi, Liu </w:t>
      </w:r>
      <w:proofErr w:type="spellStart"/>
      <w:r w:rsidR="00052757" w:rsidRPr="00F901B1">
        <w:rPr>
          <w:rFonts w:ascii="Arial" w:hAnsi="Arial" w:cs="Arial"/>
          <w:sz w:val="22"/>
          <w:szCs w:val="22"/>
        </w:rPr>
        <w:t>Yinxi</w:t>
      </w:r>
      <w:proofErr w:type="spellEnd"/>
      <w:r w:rsidR="00052757" w:rsidRPr="00F901B1">
        <w:rPr>
          <w:rFonts w:ascii="Arial" w:hAnsi="Arial" w:cs="Arial"/>
          <w:sz w:val="22"/>
          <w:szCs w:val="22"/>
        </w:rPr>
        <w:t xml:space="preserve"> and Wu Jian. (2025). </w:t>
      </w:r>
      <w:r w:rsidR="00052757" w:rsidRPr="00F901B1">
        <w:rPr>
          <w:rFonts w:ascii="Arial" w:hAnsi="Arial" w:cs="Arial"/>
          <w:sz w:val="22"/>
          <w:szCs w:val="22"/>
          <w:lang w:val="en-IN"/>
        </w:rPr>
        <w:t xml:space="preserve">Agricultural Technology Extension and Farmers’ Income: Evidence from China. </w:t>
      </w:r>
      <w:r w:rsidR="00052757" w:rsidRPr="00F901B1">
        <w:rPr>
          <w:rFonts w:ascii="Arial" w:hAnsi="Arial" w:cs="Arial"/>
          <w:i/>
          <w:iCs/>
          <w:sz w:val="22"/>
          <w:szCs w:val="22"/>
          <w:lang w:val="en-IN"/>
        </w:rPr>
        <w:t>Economies</w:t>
      </w:r>
      <w:r w:rsidR="00052757" w:rsidRPr="00F901B1">
        <w:rPr>
          <w:rFonts w:ascii="Arial" w:hAnsi="Arial" w:cs="Arial"/>
          <w:sz w:val="22"/>
          <w:szCs w:val="22"/>
          <w:lang w:val="en-IN"/>
        </w:rPr>
        <w:t>, </w:t>
      </w:r>
      <w:r w:rsidR="00052757" w:rsidRPr="00F901B1">
        <w:rPr>
          <w:rFonts w:ascii="Arial" w:hAnsi="Arial" w:cs="Arial"/>
          <w:i/>
          <w:iCs/>
          <w:sz w:val="22"/>
          <w:szCs w:val="22"/>
          <w:lang w:val="en-IN"/>
        </w:rPr>
        <w:t>13</w:t>
      </w:r>
      <w:r w:rsidR="00052757" w:rsidRPr="00F901B1">
        <w:rPr>
          <w:rFonts w:ascii="Arial" w:hAnsi="Arial" w:cs="Arial"/>
          <w:sz w:val="22"/>
          <w:szCs w:val="22"/>
          <w:lang w:val="en-IN"/>
        </w:rPr>
        <w:t>(11), 331. </w:t>
      </w:r>
      <w:hyperlink r:id="rId20" w:history="1">
        <w:r w:rsidR="00052757" w:rsidRPr="00F901B1">
          <w:rPr>
            <w:rStyle w:val="Hyperlink"/>
            <w:rFonts w:ascii="Arial" w:hAnsi="Arial" w:cs="Arial"/>
            <w:color w:val="323E4F" w:themeColor="text2" w:themeShade="BF"/>
            <w:sz w:val="22"/>
            <w:szCs w:val="22"/>
            <w:u w:val="none"/>
            <w:lang w:val="en-IN"/>
          </w:rPr>
          <w:t>DOI: 10.3390/economies13110331</w:t>
        </w:r>
      </w:hyperlink>
    </w:p>
    <w:p w14:paraId="0C55EA29" w14:textId="77777777" w:rsidR="003354C6" w:rsidRPr="00F901B1" w:rsidRDefault="003354C6" w:rsidP="003354C6">
      <w:pPr>
        <w:pStyle w:val="NormalWeb"/>
        <w:contextualSpacing/>
        <w:jc w:val="both"/>
        <w:rPr>
          <w:rFonts w:ascii="Arial" w:hAnsi="Arial" w:cs="Arial"/>
          <w:sz w:val="22"/>
          <w:szCs w:val="22"/>
        </w:rPr>
      </w:pPr>
    </w:p>
    <w:p w14:paraId="5704CDB5" w14:textId="77777777" w:rsidR="003354C6" w:rsidRPr="00F901B1" w:rsidRDefault="003354C6" w:rsidP="003354C6">
      <w:pPr>
        <w:pStyle w:val="NormalWeb"/>
        <w:jc w:val="both"/>
        <w:rPr>
          <w:rFonts w:ascii="Arial" w:hAnsi="Arial" w:cs="Arial"/>
          <w:sz w:val="22"/>
          <w:szCs w:val="22"/>
        </w:rPr>
      </w:pPr>
      <w:r w:rsidRPr="00F901B1">
        <w:rPr>
          <w:rFonts w:ascii="Arial" w:hAnsi="Arial" w:cs="Arial"/>
          <w:sz w:val="22"/>
          <w:szCs w:val="22"/>
        </w:rPr>
        <w:t xml:space="preserve">Mehta, C.R., </w:t>
      </w:r>
      <w:proofErr w:type="spellStart"/>
      <w:r w:rsidRPr="00F901B1">
        <w:rPr>
          <w:rFonts w:ascii="Arial" w:hAnsi="Arial" w:cs="Arial"/>
          <w:sz w:val="22"/>
          <w:szCs w:val="22"/>
        </w:rPr>
        <w:t>Bangale</w:t>
      </w:r>
      <w:proofErr w:type="spellEnd"/>
      <w:r w:rsidRPr="00F901B1">
        <w:rPr>
          <w:rFonts w:ascii="Arial" w:hAnsi="Arial" w:cs="Arial"/>
          <w:sz w:val="22"/>
          <w:szCs w:val="22"/>
        </w:rPr>
        <w:t xml:space="preserve"> R., Chandel N.S. and Kumar M. 2023. </w:t>
      </w:r>
      <w:r w:rsidRPr="00F901B1">
        <w:rPr>
          <w:rStyle w:val="Emphasis"/>
          <w:rFonts w:ascii="Arial" w:eastAsiaTheme="majorEastAsia" w:hAnsi="Arial" w:cs="Arial"/>
          <w:i w:val="0"/>
          <w:iCs w:val="0"/>
          <w:sz w:val="22"/>
          <w:szCs w:val="22"/>
        </w:rPr>
        <w:t>Farm mechanization in India: Status and Way Forward</w:t>
      </w:r>
      <w:r w:rsidRPr="00F901B1">
        <w:rPr>
          <w:rFonts w:ascii="Arial" w:hAnsi="Arial" w:cs="Arial"/>
          <w:i/>
          <w:iCs/>
          <w:sz w:val="22"/>
          <w:szCs w:val="22"/>
        </w:rPr>
        <w:t>.</w:t>
      </w:r>
      <w:r w:rsidRPr="00F901B1">
        <w:rPr>
          <w:rFonts w:ascii="Arial" w:hAnsi="Arial" w:cs="Arial"/>
          <w:sz w:val="22"/>
          <w:szCs w:val="22"/>
        </w:rPr>
        <w:t xml:space="preserve"> </w:t>
      </w:r>
      <w:r w:rsidRPr="00F901B1">
        <w:rPr>
          <w:rFonts w:ascii="Arial" w:hAnsi="Arial" w:cs="Arial"/>
          <w:i/>
          <w:iCs/>
          <w:sz w:val="22"/>
          <w:szCs w:val="22"/>
        </w:rPr>
        <w:t xml:space="preserve">Agricultural </w:t>
      </w:r>
      <w:proofErr w:type="spellStart"/>
      <w:r w:rsidRPr="00F901B1">
        <w:rPr>
          <w:rFonts w:ascii="Arial" w:hAnsi="Arial" w:cs="Arial"/>
          <w:i/>
          <w:iCs/>
          <w:sz w:val="22"/>
          <w:szCs w:val="22"/>
        </w:rPr>
        <w:t>Mechanisation</w:t>
      </w:r>
      <w:proofErr w:type="spellEnd"/>
      <w:r w:rsidRPr="00F901B1">
        <w:rPr>
          <w:rFonts w:ascii="Arial" w:hAnsi="Arial" w:cs="Arial"/>
          <w:i/>
          <w:iCs/>
          <w:sz w:val="22"/>
          <w:szCs w:val="22"/>
        </w:rPr>
        <w:t xml:space="preserve"> in Asia, Africa and Latin America</w:t>
      </w:r>
      <w:r w:rsidRPr="00F901B1">
        <w:rPr>
          <w:rFonts w:ascii="Arial" w:hAnsi="Arial" w:cs="Arial"/>
          <w:sz w:val="22"/>
          <w:szCs w:val="22"/>
        </w:rPr>
        <w:t>, 54(2), 75-88.</w:t>
      </w:r>
    </w:p>
    <w:p w14:paraId="6E54760A" w14:textId="31B0D59C" w:rsidR="003354C6" w:rsidRPr="00F901B1" w:rsidRDefault="003354C6" w:rsidP="003354C6">
      <w:pPr>
        <w:pStyle w:val="Heading1"/>
        <w:shd w:val="clear" w:color="auto" w:fill="FFFFFF"/>
        <w:spacing w:before="0" w:after="0"/>
        <w:jc w:val="both"/>
        <w:rPr>
          <w:rFonts w:ascii="Arial" w:hAnsi="Arial" w:cs="Arial"/>
          <w:b/>
          <w:bCs/>
          <w:color w:val="auto"/>
          <w:sz w:val="22"/>
          <w:szCs w:val="22"/>
        </w:rPr>
      </w:pPr>
      <w:r w:rsidRPr="00F901B1">
        <w:rPr>
          <w:rFonts w:ascii="Arial" w:hAnsi="Arial" w:cs="Arial"/>
          <w:color w:val="auto"/>
          <w:sz w:val="22"/>
          <w:szCs w:val="22"/>
        </w:rPr>
        <w:t xml:space="preserve">Rawal J and Ansari MA. 2019. Extension Needs of Vegetable Growers: A Study in Kumaon Region of Uttarakhand. </w:t>
      </w:r>
      <w:r w:rsidRPr="00F901B1">
        <w:rPr>
          <w:rFonts w:ascii="Arial" w:hAnsi="Arial" w:cs="Arial"/>
          <w:i/>
          <w:iCs/>
          <w:color w:val="auto"/>
          <w:sz w:val="22"/>
          <w:szCs w:val="22"/>
        </w:rPr>
        <w:t>Asian Journal of Agricultural Extension Economics and Sociology</w:t>
      </w:r>
      <w:r w:rsidR="007B1EBF" w:rsidRPr="00F901B1">
        <w:rPr>
          <w:rFonts w:ascii="Arial" w:hAnsi="Arial" w:cs="Arial"/>
          <w:color w:val="auto"/>
          <w:sz w:val="22"/>
          <w:szCs w:val="22"/>
        </w:rPr>
        <w:t>,</w:t>
      </w:r>
      <w:r w:rsidRPr="00F901B1">
        <w:rPr>
          <w:rFonts w:ascii="Arial" w:hAnsi="Arial" w:cs="Arial"/>
          <w:color w:val="auto"/>
          <w:sz w:val="22"/>
          <w:szCs w:val="22"/>
        </w:rPr>
        <w:t xml:space="preserve"> 36(4)1-10.</w:t>
      </w:r>
      <w:r w:rsidR="007B1EBF" w:rsidRPr="00F901B1">
        <w:rPr>
          <w:rFonts w:ascii="Arial" w:hAnsi="Arial" w:cs="Arial"/>
          <w:color w:val="auto"/>
          <w:sz w:val="22"/>
          <w:szCs w:val="22"/>
        </w:rPr>
        <w:t xml:space="preserve"> DOI:</w:t>
      </w:r>
      <w:hyperlink r:id="rId21" w:tgtFrame="_blank" w:history="1">
        <w:r w:rsidR="007B1EBF" w:rsidRPr="00F901B1">
          <w:rPr>
            <w:rStyle w:val="Hyperlink"/>
            <w:rFonts w:ascii="Arial" w:hAnsi="Arial" w:cs="Arial"/>
            <w:color w:val="auto"/>
            <w:sz w:val="22"/>
            <w:szCs w:val="22"/>
            <w:u w:val="none"/>
          </w:rPr>
          <w:t>10.9734/AJAEES/2019/v36i430248</w:t>
        </w:r>
      </w:hyperlink>
    </w:p>
    <w:p w14:paraId="5C8747EA" w14:textId="02A6A9E2" w:rsidR="003354C6" w:rsidRPr="00F901B1" w:rsidRDefault="003354C6" w:rsidP="003354C6">
      <w:pPr>
        <w:spacing w:before="100" w:beforeAutospacing="1" w:after="100" w:afterAutospacing="1" w:line="240" w:lineRule="auto"/>
        <w:jc w:val="both"/>
        <w:rPr>
          <w:rFonts w:ascii="Arial" w:eastAsia="Times New Roman" w:hAnsi="Arial" w:cs="Arial"/>
          <w:sz w:val="22"/>
          <w:szCs w:val="22"/>
        </w:rPr>
      </w:pPr>
      <w:r w:rsidRPr="00F901B1">
        <w:rPr>
          <w:rFonts w:ascii="Arial" w:eastAsia="Times New Roman" w:hAnsi="Arial" w:cs="Arial"/>
          <w:bCs/>
          <w:sz w:val="22"/>
          <w:szCs w:val="22"/>
        </w:rPr>
        <w:t>Sahu &amp; Mishra (2013).</w:t>
      </w:r>
      <w:r w:rsidRPr="00F901B1">
        <w:rPr>
          <w:rFonts w:ascii="Arial" w:eastAsia="Times New Roman" w:hAnsi="Arial" w:cs="Arial"/>
          <w:sz w:val="22"/>
          <w:szCs w:val="22"/>
        </w:rPr>
        <w:t xml:space="preserve"> </w:t>
      </w:r>
      <w:r w:rsidRPr="00F901B1">
        <w:rPr>
          <w:rFonts w:ascii="Arial" w:eastAsia="Times New Roman" w:hAnsi="Arial" w:cs="Arial"/>
          <w:iCs/>
          <w:sz w:val="22"/>
          <w:szCs w:val="22"/>
        </w:rPr>
        <w:t>Analysis of perception and adaptation to climate change among farmers in Odisha</w:t>
      </w:r>
      <w:r w:rsidRPr="00F901B1">
        <w:rPr>
          <w:rFonts w:ascii="Arial" w:eastAsia="Times New Roman" w:hAnsi="Arial" w:cs="Arial"/>
          <w:sz w:val="22"/>
          <w:szCs w:val="22"/>
        </w:rPr>
        <w:t>.</w:t>
      </w:r>
      <w:r w:rsidR="007B1EBF" w:rsidRPr="00F901B1">
        <w:rPr>
          <w:rFonts w:ascii="Arial" w:eastAsia="Times New Roman" w:hAnsi="Arial" w:cs="Arial"/>
          <w:sz w:val="22"/>
          <w:szCs w:val="22"/>
        </w:rPr>
        <w:t xml:space="preserve"> </w:t>
      </w:r>
      <w:r w:rsidRPr="00F901B1">
        <w:rPr>
          <w:rFonts w:ascii="Arial" w:eastAsia="Times New Roman" w:hAnsi="Arial" w:cs="Arial"/>
          <w:i/>
          <w:iCs/>
          <w:sz w:val="22"/>
          <w:szCs w:val="22"/>
        </w:rPr>
        <w:t>APCBEE Procedia</w:t>
      </w:r>
      <w:r w:rsidR="007B1EBF" w:rsidRPr="00F901B1">
        <w:rPr>
          <w:rFonts w:ascii="Arial" w:eastAsia="Times New Roman" w:hAnsi="Arial" w:cs="Arial"/>
          <w:i/>
          <w:iCs/>
          <w:sz w:val="22"/>
          <w:szCs w:val="22"/>
        </w:rPr>
        <w:t>,</w:t>
      </w:r>
      <w:r w:rsidRPr="00F901B1">
        <w:rPr>
          <w:rFonts w:ascii="Arial" w:eastAsia="Times New Roman" w:hAnsi="Arial" w:cs="Arial"/>
          <w:sz w:val="22"/>
          <w:szCs w:val="22"/>
        </w:rPr>
        <w:t xml:space="preserve"> 13(6): 123–127.</w:t>
      </w:r>
      <w:r w:rsidR="007B1EBF" w:rsidRPr="00F901B1">
        <w:rPr>
          <w:rFonts w:ascii="Arial" w:eastAsia="Times New Roman" w:hAnsi="Arial" w:cs="Arial"/>
          <w:sz w:val="22"/>
          <w:szCs w:val="22"/>
        </w:rPr>
        <w:t xml:space="preserve"> DOI:</w:t>
      </w:r>
      <w:hyperlink r:id="rId22" w:tgtFrame="_blank" w:history="1">
        <w:r w:rsidR="007B1EBF" w:rsidRPr="00F901B1">
          <w:rPr>
            <w:rStyle w:val="Hyperlink"/>
            <w:rFonts w:ascii="Arial" w:eastAsia="Times New Roman" w:hAnsi="Arial" w:cs="Arial"/>
            <w:color w:val="auto"/>
            <w:sz w:val="22"/>
            <w:szCs w:val="22"/>
            <w:u w:val="none"/>
          </w:rPr>
          <w:t>10.1016/j.apcbee.2013.05.022</w:t>
        </w:r>
      </w:hyperlink>
    </w:p>
    <w:p w14:paraId="0DDC3DFB" w14:textId="693E6D8D" w:rsidR="0025258F" w:rsidRDefault="003354C6" w:rsidP="003354C6">
      <w:pPr>
        <w:spacing w:before="100" w:beforeAutospacing="1" w:after="100" w:afterAutospacing="1" w:line="240" w:lineRule="auto"/>
        <w:jc w:val="both"/>
        <w:rPr>
          <w:rFonts w:ascii="Arial" w:hAnsi="Arial" w:cs="Arial"/>
          <w:sz w:val="22"/>
          <w:szCs w:val="22"/>
          <w:shd w:val="clear" w:color="auto" w:fill="FFFFFF"/>
        </w:rPr>
      </w:pPr>
      <w:r w:rsidRPr="00F901B1">
        <w:rPr>
          <w:rFonts w:ascii="Arial" w:hAnsi="Arial" w:cs="Arial"/>
          <w:sz w:val="22"/>
          <w:szCs w:val="22"/>
        </w:rPr>
        <w:t xml:space="preserve">Tiwari A K and Tiwari JK. 2013. Constraints in adoption of Modern Vegetable Cultivation in </w:t>
      </w:r>
      <w:r w:rsidRPr="00F901B1">
        <w:rPr>
          <w:rFonts w:ascii="Arial" w:eastAsia="Times New Roman" w:hAnsi="Arial" w:cs="Arial"/>
          <w:sz w:val="22"/>
          <w:szCs w:val="22"/>
        </w:rPr>
        <w:t xml:space="preserve">Bastar Plateau. </w:t>
      </w:r>
      <w:r w:rsidRPr="00F901B1">
        <w:rPr>
          <w:rFonts w:ascii="Arial" w:hAnsi="Arial" w:cs="Arial"/>
          <w:sz w:val="22"/>
          <w:szCs w:val="22"/>
          <w:shd w:val="clear" w:color="auto" w:fill="FFFFFF"/>
        </w:rPr>
        <w:t>Int</w:t>
      </w:r>
      <w:r w:rsidR="007B1EBF" w:rsidRPr="00F901B1">
        <w:rPr>
          <w:rFonts w:ascii="Arial" w:hAnsi="Arial" w:cs="Arial"/>
          <w:sz w:val="22"/>
          <w:szCs w:val="22"/>
          <w:shd w:val="clear" w:color="auto" w:fill="FFFFFF"/>
        </w:rPr>
        <w:t xml:space="preserve">ernational </w:t>
      </w:r>
      <w:r w:rsidRPr="00F901B1">
        <w:rPr>
          <w:rFonts w:ascii="Arial" w:hAnsi="Arial" w:cs="Arial"/>
          <w:sz w:val="22"/>
          <w:szCs w:val="22"/>
          <w:shd w:val="clear" w:color="auto" w:fill="FFFFFF"/>
        </w:rPr>
        <w:t>J</w:t>
      </w:r>
      <w:r w:rsidR="007B1EBF" w:rsidRPr="00F901B1">
        <w:rPr>
          <w:rFonts w:ascii="Arial" w:hAnsi="Arial" w:cs="Arial"/>
          <w:sz w:val="22"/>
          <w:szCs w:val="22"/>
          <w:shd w:val="clear" w:color="auto" w:fill="FFFFFF"/>
        </w:rPr>
        <w:t xml:space="preserve">ournal of </w:t>
      </w:r>
      <w:r w:rsidRPr="00F901B1">
        <w:rPr>
          <w:rFonts w:ascii="Arial" w:hAnsi="Arial" w:cs="Arial"/>
          <w:sz w:val="22"/>
          <w:szCs w:val="22"/>
          <w:shd w:val="clear" w:color="auto" w:fill="FFFFFF"/>
        </w:rPr>
        <w:t>Curr</w:t>
      </w:r>
      <w:r w:rsidR="007B1EBF" w:rsidRPr="00F901B1">
        <w:rPr>
          <w:rFonts w:ascii="Arial" w:hAnsi="Arial" w:cs="Arial"/>
          <w:sz w:val="22"/>
          <w:szCs w:val="22"/>
          <w:shd w:val="clear" w:color="auto" w:fill="FFFFFF"/>
        </w:rPr>
        <w:t xml:space="preserve">ent </w:t>
      </w:r>
      <w:r w:rsidRPr="00F901B1">
        <w:rPr>
          <w:rFonts w:ascii="Arial" w:hAnsi="Arial" w:cs="Arial"/>
          <w:sz w:val="22"/>
          <w:szCs w:val="22"/>
          <w:shd w:val="clear" w:color="auto" w:fill="FFFFFF"/>
        </w:rPr>
        <w:t>Microbiol</w:t>
      </w:r>
      <w:r w:rsidR="007B1EBF" w:rsidRPr="00F901B1">
        <w:rPr>
          <w:rFonts w:ascii="Arial" w:hAnsi="Arial" w:cs="Arial"/>
          <w:sz w:val="22"/>
          <w:szCs w:val="22"/>
          <w:shd w:val="clear" w:color="auto" w:fill="FFFFFF"/>
        </w:rPr>
        <w:t xml:space="preserve">ogy and </w:t>
      </w:r>
      <w:r w:rsidRPr="00F901B1">
        <w:rPr>
          <w:rFonts w:ascii="Arial" w:hAnsi="Arial" w:cs="Arial"/>
          <w:sz w:val="22"/>
          <w:szCs w:val="22"/>
          <w:shd w:val="clear" w:color="auto" w:fill="FFFFFF"/>
        </w:rPr>
        <w:t>App</w:t>
      </w:r>
      <w:r w:rsidR="007B1EBF" w:rsidRPr="00F901B1">
        <w:rPr>
          <w:rFonts w:ascii="Arial" w:hAnsi="Arial" w:cs="Arial"/>
          <w:sz w:val="22"/>
          <w:szCs w:val="22"/>
          <w:shd w:val="clear" w:color="auto" w:fill="FFFFFF"/>
        </w:rPr>
        <w:t xml:space="preserve">lied </w:t>
      </w:r>
      <w:r w:rsidRPr="00F901B1">
        <w:rPr>
          <w:rFonts w:ascii="Arial" w:hAnsi="Arial" w:cs="Arial"/>
          <w:sz w:val="22"/>
          <w:szCs w:val="22"/>
          <w:shd w:val="clear" w:color="auto" w:fill="FFFFFF"/>
        </w:rPr>
        <w:t>Sci</w:t>
      </w:r>
      <w:r w:rsidR="007B1EBF" w:rsidRPr="00F901B1">
        <w:rPr>
          <w:rFonts w:ascii="Arial" w:hAnsi="Arial" w:cs="Arial"/>
          <w:sz w:val="22"/>
          <w:szCs w:val="22"/>
          <w:shd w:val="clear" w:color="auto" w:fill="FFFFFF"/>
        </w:rPr>
        <w:t xml:space="preserve">ences. </w:t>
      </w:r>
      <w:r w:rsidRPr="00F901B1">
        <w:rPr>
          <w:rFonts w:ascii="Arial" w:hAnsi="Arial" w:cs="Arial"/>
          <w:sz w:val="22"/>
          <w:szCs w:val="22"/>
          <w:shd w:val="clear" w:color="auto" w:fill="FFFFFF"/>
        </w:rPr>
        <w:t>7</w:t>
      </w:r>
      <w:r w:rsidRPr="00F901B1">
        <w:rPr>
          <w:rStyle w:val="ff2"/>
          <w:rFonts w:ascii="Arial" w:hAnsi="Arial" w:cs="Arial"/>
          <w:sz w:val="22"/>
          <w:szCs w:val="22"/>
          <w:shd w:val="clear" w:color="auto" w:fill="FFFFFF"/>
        </w:rPr>
        <w:t>(1): 820-826</w:t>
      </w:r>
      <w:r w:rsidR="007B1EBF" w:rsidRPr="00F901B1">
        <w:rPr>
          <w:rStyle w:val="ff2"/>
          <w:rFonts w:ascii="Arial" w:hAnsi="Arial" w:cs="Arial"/>
          <w:sz w:val="22"/>
          <w:szCs w:val="22"/>
          <w:shd w:val="clear" w:color="auto" w:fill="FFFFFF"/>
        </w:rPr>
        <w:t xml:space="preserve">. </w:t>
      </w:r>
      <w:r w:rsidR="007B1EBF" w:rsidRPr="00F901B1">
        <w:rPr>
          <w:rFonts w:ascii="Arial" w:hAnsi="Arial" w:cs="Arial"/>
          <w:sz w:val="22"/>
          <w:szCs w:val="22"/>
          <w:shd w:val="clear" w:color="auto" w:fill="FFFFFF"/>
        </w:rPr>
        <w:t>DOI:</w:t>
      </w:r>
      <w:hyperlink r:id="rId23" w:tgtFrame="_blank" w:history="1">
        <w:r w:rsidR="007B1EBF" w:rsidRPr="00F901B1">
          <w:rPr>
            <w:rStyle w:val="Hyperlink"/>
            <w:rFonts w:ascii="Arial" w:hAnsi="Arial" w:cs="Arial"/>
            <w:color w:val="auto"/>
            <w:sz w:val="22"/>
            <w:szCs w:val="22"/>
            <w:u w:val="none"/>
            <w:shd w:val="clear" w:color="auto" w:fill="FFFFFF"/>
          </w:rPr>
          <w:t>10.20546/ijcmas.2018.701.100</w:t>
        </w:r>
      </w:hyperlink>
    </w:p>
    <w:p w14:paraId="71704381"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310DC51A"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11F67E2A"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5D490FD3"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p w14:paraId="7724A8CD" w14:textId="77777777" w:rsidR="0025258F" w:rsidRDefault="0025258F" w:rsidP="003354C6">
      <w:pPr>
        <w:spacing w:before="100" w:beforeAutospacing="1" w:after="100" w:afterAutospacing="1" w:line="240" w:lineRule="auto"/>
        <w:jc w:val="both"/>
        <w:rPr>
          <w:rFonts w:ascii="Arial" w:hAnsi="Arial" w:cs="Arial"/>
          <w:sz w:val="22"/>
          <w:szCs w:val="22"/>
          <w:shd w:val="clear" w:color="auto" w:fill="FFFFFF"/>
        </w:rPr>
      </w:pPr>
    </w:p>
    <w:sectPr w:rsidR="0025258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E4DFF" w14:textId="77777777" w:rsidR="00325048" w:rsidRDefault="00325048" w:rsidP="005A549D">
      <w:pPr>
        <w:spacing w:after="0" w:line="240" w:lineRule="auto"/>
      </w:pPr>
      <w:r>
        <w:separator/>
      </w:r>
    </w:p>
  </w:endnote>
  <w:endnote w:type="continuationSeparator" w:id="0">
    <w:p w14:paraId="67CE155D" w14:textId="77777777" w:rsidR="00325048" w:rsidRDefault="00325048" w:rsidP="005A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3398" w14:textId="77777777" w:rsidR="005A549D" w:rsidRDefault="005A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9F45" w14:textId="77777777" w:rsidR="005A549D" w:rsidRDefault="005A5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F57E" w14:textId="77777777" w:rsidR="005A549D" w:rsidRDefault="005A5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B6D10" w14:textId="77777777" w:rsidR="00325048" w:rsidRDefault="00325048" w:rsidP="005A549D">
      <w:pPr>
        <w:spacing w:after="0" w:line="240" w:lineRule="auto"/>
      </w:pPr>
      <w:r>
        <w:separator/>
      </w:r>
    </w:p>
  </w:footnote>
  <w:footnote w:type="continuationSeparator" w:id="0">
    <w:p w14:paraId="7DA509D0" w14:textId="77777777" w:rsidR="00325048" w:rsidRDefault="00325048" w:rsidP="005A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E63" w14:textId="22AD37A0" w:rsidR="005A549D" w:rsidRDefault="005A549D">
    <w:pPr>
      <w:pStyle w:val="Header"/>
    </w:pPr>
    <w:r>
      <w:rPr>
        <w:noProof/>
      </w:rPr>
      <w:pict w14:anchorId="60511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104E" w14:textId="52D233F7" w:rsidR="005A549D" w:rsidRDefault="005A549D">
    <w:pPr>
      <w:pStyle w:val="Header"/>
    </w:pPr>
    <w:r>
      <w:rPr>
        <w:noProof/>
      </w:rPr>
      <w:pict w14:anchorId="373DA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5013" w14:textId="6D9B31A3" w:rsidR="005A549D" w:rsidRDefault="005A549D">
    <w:pPr>
      <w:pStyle w:val="Header"/>
    </w:pPr>
    <w:r>
      <w:rPr>
        <w:noProof/>
      </w:rPr>
      <w:pict w14:anchorId="4F82F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2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115F2"/>
    <w:multiLevelType w:val="hybridMultilevel"/>
    <w:tmpl w:val="740C7E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54"/>
    <w:rsid w:val="00052757"/>
    <w:rsid w:val="0008442A"/>
    <w:rsid w:val="0010568F"/>
    <w:rsid w:val="001364A9"/>
    <w:rsid w:val="002275A7"/>
    <w:rsid w:val="0025258F"/>
    <w:rsid w:val="00325048"/>
    <w:rsid w:val="003354C6"/>
    <w:rsid w:val="00386813"/>
    <w:rsid w:val="00461E31"/>
    <w:rsid w:val="00585E2E"/>
    <w:rsid w:val="005A549D"/>
    <w:rsid w:val="006D08C1"/>
    <w:rsid w:val="0072072C"/>
    <w:rsid w:val="007B1EBF"/>
    <w:rsid w:val="008A0D54"/>
    <w:rsid w:val="00956BED"/>
    <w:rsid w:val="00A84D8A"/>
    <w:rsid w:val="00A90D7A"/>
    <w:rsid w:val="00B21C56"/>
    <w:rsid w:val="00B26CDE"/>
    <w:rsid w:val="00B7148C"/>
    <w:rsid w:val="00D022CA"/>
    <w:rsid w:val="00D414B5"/>
    <w:rsid w:val="00D62916"/>
    <w:rsid w:val="00E0667C"/>
    <w:rsid w:val="00EA0355"/>
    <w:rsid w:val="00EA437F"/>
    <w:rsid w:val="00F50401"/>
    <w:rsid w:val="00F71888"/>
    <w:rsid w:val="00F90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C875C"/>
  <w15:chartTrackingRefBased/>
  <w15:docId w15:val="{5C34633D-8D3E-442E-B967-DB4685DF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D54"/>
    <w:rPr>
      <w:rFonts w:eastAsiaTheme="majorEastAsia" w:cstheme="majorBidi"/>
      <w:color w:val="272727" w:themeColor="text1" w:themeTint="D8"/>
    </w:rPr>
  </w:style>
  <w:style w:type="paragraph" w:styleId="Title">
    <w:name w:val="Title"/>
    <w:basedOn w:val="Normal"/>
    <w:next w:val="Normal"/>
    <w:link w:val="TitleChar"/>
    <w:uiPriority w:val="10"/>
    <w:qFormat/>
    <w:rsid w:val="008A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D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D54"/>
    <w:pPr>
      <w:spacing w:before="160"/>
      <w:jc w:val="center"/>
    </w:pPr>
    <w:rPr>
      <w:i/>
      <w:iCs/>
      <w:color w:val="404040" w:themeColor="text1" w:themeTint="BF"/>
    </w:rPr>
  </w:style>
  <w:style w:type="character" w:customStyle="1" w:styleId="QuoteChar">
    <w:name w:val="Quote Char"/>
    <w:basedOn w:val="DefaultParagraphFont"/>
    <w:link w:val="Quote"/>
    <w:uiPriority w:val="29"/>
    <w:rsid w:val="008A0D54"/>
    <w:rPr>
      <w:i/>
      <w:iCs/>
      <w:color w:val="404040" w:themeColor="text1" w:themeTint="BF"/>
    </w:rPr>
  </w:style>
  <w:style w:type="paragraph" w:styleId="ListParagraph">
    <w:name w:val="List Paragraph"/>
    <w:basedOn w:val="Normal"/>
    <w:uiPriority w:val="34"/>
    <w:qFormat/>
    <w:rsid w:val="008A0D54"/>
    <w:pPr>
      <w:ind w:left="720"/>
      <w:contextualSpacing/>
    </w:pPr>
  </w:style>
  <w:style w:type="character" w:styleId="IntenseEmphasis">
    <w:name w:val="Intense Emphasis"/>
    <w:basedOn w:val="DefaultParagraphFont"/>
    <w:uiPriority w:val="21"/>
    <w:qFormat/>
    <w:rsid w:val="008A0D54"/>
    <w:rPr>
      <w:i/>
      <w:iCs/>
      <w:color w:val="2F5496" w:themeColor="accent1" w:themeShade="BF"/>
    </w:rPr>
  </w:style>
  <w:style w:type="paragraph" w:styleId="IntenseQuote">
    <w:name w:val="Intense Quote"/>
    <w:basedOn w:val="Normal"/>
    <w:next w:val="Normal"/>
    <w:link w:val="IntenseQuoteChar"/>
    <w:uiPriority w:val="30"/>
    <w:qFormat/>
    <w:rsid w:val="008A0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D54"/>
    <w:rPr>
      <w:i/>
      <w:iCs/>
      <w:color w:val="2F5496" w:themeColor="accent1" w:themeShade="BF"/>
    </w:rPr>
  </w:style>
  <w:style w:type="character" w:styleId="IntenseReference">
    <w:name w:val="Intense Reference"/>
    <w:basedOn w:val="DefaultParagraphFont"/>
    <w:uiPriority w:val="32"/>
    <w:qFormat/>
    <w:rsid w:val="008A0D54"/>
    <w:rPr>
      <w:b/>
      <w:bCs/>
      <w:smallCaps/>
      <w:color w:val="2F5496" w:themeColor="accent1" w:themeShade="BF"/>
      <w:spacing w:val="5"/>
    </w:rPr>
  </w:style>
  <w:style w:type="table" w:styleId="TableGrid">
    <w:name w:val="Table Grid"/>
    <w:basedOn w:val="TableNormal"/>
    <w:uiPriority w:val="39"/>
    <w:rsid w:val="006D0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54C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3354C6"/>
    <w:rPr>
      <w:b/>
      <w:bCs/>
    </w:rPr>
  </w:style>
  <w:style w:type="character" w:styleId="Emphasis">
    <w:name w:val="Emphasis"/>
    <w:basedOn w:val="DefaultParagraphFont"/>
    <w:uiPriority w:val="20"/>
    <w:qFormat/>
    <w:rsid w:val="003354C6"/>
    <w:rPr>
      <w:i/>
      <w:iCs/>
    </w:rPr>
  </w:style>
  <w:style w:type="character" w:customStyle="1" w:styleId="ff2">
    <w:name w:val="ff2"/>
    <w:basedOn w:val="DefaultParagraphFont"/>
    <w:rsid w:val="003354C6"/>
  </w:style>
  <w:style w:type="character" w:styleId="Hyperlink">
    <w:name w:val="Hyperlink"/>
    <w:basedOn w:val="DefaultParagraphFont"/>
    <w:uiPriority w:val="99"/>
    <w:unhideWhenUsed/>
    <w:rsid w:val="00052757"/>
    <w:rPr>
      <w:color w:val="0563C1" w:themeColor="hyperlink"/>
      <w:u w:val="single"/>
    </w:rPr>
  </w:style>
  <w:style w:type="character" w:styleId="UnresolvedMention">
    <w:name w:val="Unresolved Mention"/>
    <w:basedOn w:val="DefaultParagraphFont"/>
    <w:uiPriority w:val="99"/>
    <w:semiHidden/>
    <w:unhideWhenUsed/>
    <w:rsid w:val="00052757"/>
    <w:rPr>
      <w:color w:val="605E5C"/>
      <w:shd w:val="clear" w:color="auto" w:fill="E1DFDD"/>
    </w:rPr>
  </w:style>
  <w:style w:type="paragraph" w:styleId="Header">
    <w:name w:val="header"/>
    <w:basedOn w:val="Normal"/>
    <w:link w:val="HeaderChar"/>
    <w:uiPriority w:val="99"/>
    <w:unhideWhenUsed/>
    <w:rsid w:val="005A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9D"/>
  </w:style>
  <w:style w:type="paragraph" w:styleId="Footer">
    <w:name w:val="footer"/>
    <w:basedOn w:val="Normal"/>
    <w:link w:val="FooterChar"/>
    <w:uiPriority w:val="99"/>
    <w:unhideWhenUsed/>
    <w:rsid w:val="005A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AJAEES/2019/v36i430248"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3390/economies1311033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20546/ijcmas.2018.701.100" TargetMode="External"/><Relationship Id="rId28"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016/j.apcbee.2013.05.022"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esktop%2023-08-2024\National%20Symposium%20December%202022\Avera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baseline="0">
                <a:effectLst/>
              </a:rPr>
              <a:t>Stacked Bar Chart 1 :Respondent Farmer Category (%) in                    </a:t>
            </a:r>
          </a:p>
          <a:p>
            <a:pPr>
              <a:defRPr/>
            </a:pPr>
            <a:r>
              <a:rPr lang="en-US" sz="1400" b="1" i="0" baseline="0">
                <a:effectLst/>
              </a:rPr>
              <a:t>             Different Panchayats</a:t>
            </a:r>
            <a:endParaRPr lang="en-US" sz="1400">
              <a:effectLst/>
            </a:endParaRPr>
          </a:p>
        </c:rich>
      </c:tx>
      <c:layout>
        <c:manualLayout>
          <c:xMode val="edge"/>
          <c:yMode val="edge"/>
          <c:x val="0.11639588801399825"/>
          <c:y val="2.3148148148148147E-2"/>
        </c:manualLayout>
      </c:layout>
      <c:overlay val="0"/>
    </c:title>
    <c:autoTitleDeleted val="0"/>
    <c:plotArea>
      <c:layout/>
      <c:barChart>
        <c:barDir val="col"/>
        <c:grouping val="percentStacked"/>
        <c:varyColors val="0"/>
        <c:ser>
          <c:idx val="0"/>
          <c:order val="0"/>
          <c:tx>
            <c:strRef>
              <c:f>Sheet3!$D$226</c:f>
              <c:strCache>
                <c:ptCount val="1"/>
                <c:pt idx="0">
                  <c:v>Marginal</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Sheet3!$D$227:$D$236</c:f>
              <c:numCache>
                <c:formatCode>General</c:formatCode>
                <c:ptCount val="10"/>
                <c:pt idx="0">
                  <c:v>36</c:v>
                </c:pt>
                <c:pt idx="1">
                  <c:v>84</c:v>
                </c:pt>
                <c:pt idx="2">
                  <c:v>76</c:v>
                </c:pt>
                <c:pt idx="3">
                  <c:v>60</c:v>
                </c:pt>
                <c:pt idx="4">
                  <c:v>48</c:v>
                </c:pt>
                <c:pt idx="5">
                  <c:v>92</c:v>
                </c:pt>
                <c:pt idx="6">
                  <c:v>64</c:v>
                </c:pt>
                <c:pt idx="7">
                  <c:v>96</c:v>
                </c:pt>
                <c:pt idx="8">
                  <c:v>100</c:v>
                </c:pt>
                <c:pt idx="9">
                  <c:v>100</c:v>
                </c:pt>
              </c:numCache>
            </c:numRef>
          </c:val>
          <c:extLst>
            <c:ext xmlns:c16="http://schemas.microsoft.com/office/drawing/2014/chart" uri="{C3380CC4-5D6E-409C-BE32-E72D297353CC}">
              <c16:uniqueId val="{00000000-9A29-4A25-BBAF-9DB225D48B8F}"/>
            </c:ext>
          </c:extLst>
        </c:ser>
        <c:ser>
          <c:idx val="1"/>
          <c:order val="1"/>
          <c:tx>
            <c:strRef>
              <c:f>Sheet3!$E$226</c:f>
              <c:strCache>
                <c:ptCount val="1"/>
                <c:pt idx="0">
                  <c:v>Small</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Sheet3!$E$227:$E$236</c:f>
              <c:numCache>
                <c:formatCode>General</c:formatCode>
                <c:ptCount val="10"/>
                <c:pt idx="0">
                  <c:v>0</c:v>
                </c:pt>
                <c:pt idx="1">
                  <c:v>0</c:v>
                </c:pt>
                <c:pt idx="2">
                  <c:v>12</c:v>
                </c:pt>
                <c:pt idx="3">
                  <c:v>0</c:v>
                </c:pt>
                <c:pt idx="4">
                  <c:v>4</c:v>
                </c:pt>
                <c:pt idx="5">
                  <c:v>0</c:v>
                </c:pt>
                <c:pt idx="6">
                  <c:v>8</c:v>
                </c:pt>
                <c:pt idx="7">
                  <c:v>4</c:v>
                </c:pt>
                <c:pt idx="8">
                  <c:v>0</c:v>
                </c:pt>
                <c:pt idx="9">
                  <c:v>0</c:v>
                </c:pt>
              </c:numCache>
            </c:numRef>
          </c:val>
          <c:extLst>
            <c:ext xmlns:c16="http://schemas.microsoft.com/office/drawing/2014/chart" uri="{C3380CC4-5D6E-409C-BE32-E72D297353CC}">
              <c16:uniqueId val="{00000001-9A29-4A25-BBAF-9DB225D48B8F}"/>
            </c:ext>
          </c:extLst>
        </c:ser>
        <c:ser>
          <c:idx val="2"/>
          <c:order val="2"/>
          <c:tx>
            <c:strRef>
              <c:f>Sheet3!$F$226</c:f>
              <c:strCache>
                <c:ptCount val="1"/>
                <c:pt idx="0">
                  <c:v>Large</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Sheet3!$F$227:$F$236</c:f>
              <c:numCache>
                <c:formatCode>General</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2-9A29-4A25-BBAF-9DB225D48B8F}"/>
            </c:ext>
          </c:extLst>
        </c:ser>
        <c:ser>
          <c:idx val="3"/>
          <c:order val="3"/>
          <c:tx>
            <c:strRef>
              <c:f>Sheet3!$G$226</c:f>
              <c:strCache>
                <c:ptCount val="1"/>
                <c:pt idx="0">
                  <c:v>Non-Respondent</c:v>
                </c:pt>
              </c:strCache>
            </c:strRef>
          </c:tx>
          <c:invertIfNegative val="0"/>
          <c:cat>
            <c:strRef>
              <c:f>Sheet3!$C$227:$C$236</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Sheet3!$G$227:$G$236</c:f>
              <c:numCache>
                <c:formatCode>General</c:formatCode>
                <c:ptCount val="10"/>
                <c:pt idx="0">
                  <c:v>64</c:v>
                </c:pt>
                <c:pt idx="1">
                  <c:v>16</c:v>
                </c:pt>
                <c:pt idx="2">
                  <c:v>12</c:v>
                </c:pt>
                <c:pt idx="3">
                  <c:v>40</c:v>
                </c:pt>
                <c:pt idx="4">
                  <c:v>48</c:v>
                </c:pt>
                <c:pt idx="5">
                  <c:v>8</c:v>
                </c:pt>
                <c:pt idx="6">
                  <c:v>28</c:v>
                </c:pt>
                <c:pt idx="7">
                  <c:v>0</c:v>
                </c:pt>
                <c:pt idx="8">
                  <c:v>0</c:v>
                </c:pt>
                <c:pt idx="9">
                  <c:v>0</c:v>
                </c:pt>
              </c:numCache>
            </c:numRef>
          </c:val>
          <c:extLst>
            <c:ext xmlns:c16="http://schemas.microsoft.com/office/drawing/2014/chart" uri="{C3380CC4-5D6E-409C-BE32-E72D297353CC}">
              <c16:uniqueId val="{00000003-9A29-4A25-BBAF-9DB225D48B8F}"/>
            </c:ext>
          </c:extLst>
        </c:ser>
        <c:dLbls>
          <c:showLegendKey val="0"/>
          <c:showVal val="0"/>
          <c:showCatName val="0"/>
          <c:showSerName val="0"/>
          <c:showPercent val="0"/>
          <c:showBubbleSize val="0"/>
        </c:dLbls>
        <c:gapWidth val="150"/>
        <c:overlap val="100"/>
        <c:axId val="193775488"/>
        <c:axId val="44462080"/>
      </c:barChart>
      <c:catAx>
        <c:axId val="193775488"/>
        <c:scaling>
          <c:orientation val="minMax"/>
        </c:scaling>
        <c:delete val="0"/>
        <c:axPos val="b"/>
        <c:title>
          <c:tx>
            <c:rich>
              <a:bodyPr/>
              <a:lstStyle/>
              <a:p>
                <a:pPr>
                  <a:defRPr/>
                </a:pPr>
                <a:r>
                  <a:rPr lang="en-US" sz="1200" b="1" i="0" u="none" strike="noStrike" baseline="0">
                    <a:effectLst/>
                  </a:rPr>
                  <a:t>Gram Panchayats</a:t>
                </a:r>
                <a:endParaRPr lang="en-US" sz="1200"/>
              </a:p>
            </c:rich>
          </c:tx>
          <c:overlay val="0"/>
        </c:title>
        <c:numFmt formatCode="General" sourceLinked="0"/>
        <c:majorTickMark val="out"/>
        <c:minorTickMark val="none"/>
        <c:tickLblPos val="nextTo"/>
        <c:crossAx val="44462080"/>
        <c:crosses val="autoZero"/>
        <c:auto val="1"/>
        <c:lblAlgn val="ctr"/>
        <c:lblOffset val="100"/>
        <c:noMultiLvlLbl val="0"/>
      </c:catAx>
      <c:valAx>
        <c:axId val="44462080"/>
        <c:scaling>
          <c:orientation val="minMax"/>
        </c:scaling>
        <c:delete val="0"/>
        <c:axPos val="l"/>
        <c:majorGridlines/>
        <c:title>
          <c:tx>
            <c:rich>
              <a:bodyPr rot="-5400000" vert="horz"/>
              <a:lstStyle/>
              <a:p>
                <a:pPr>
                  <a:defRPr/>
                </a:pPr>
                <a:r>
                  <a:rPr lang="en-US" sz="1000" b="1" i="0" baseline="0">
                    <a:effectLst/>
                  </a:rPr>
                  <a:t>Number of Respondants (%)</a:t>
                </a:r>
                <a:endParaRPr lang="en-US" sz="1000">
                  <a:effectLst/>
                </a:endParaRPr>
              </a:p>
            </c:rich>
          </c:tx>
          <c:overlay val="0"/>
        </c:title>
        <c:numFmt formatCode="0%" sourceLinked="1"/>
        <c:majorTickMark val="out"/>
        <c:minorTickMark val="none"/>
        <c:tickLblPos val="nextTo"/>
        <c:crossAx val="193775488"/>
        <c:crosses val="autoZero"/>
        <c:crossBetween val="between"/>
      </c:valAx>
    </c:plotArea>
    <c:legend>
      <c:legendPos val="r"/>
      <c:layout>
        <c:manualLayout>
          <c:xMode val="edge"/>
          <c:yMode val="edge"/>
          <c:x val="0.79336497645438386"/>
          <c:y val="0.25849154272382618"/>
          <c:w val="0.19986021277826554"/>
          <c:h val="0.33486876640419949"/>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10: Farmers Disease Management Knowledge Level in</a:t>
            </a:r>
            <a:r>
              <a:rPr lang="en-US" sz="1400" baseline="0"/>
              <a:t> Different Panchayat</a:t>
            </a:r>
            <a:endParaRPr lang="en-US" sz="1400"/>
          </a:p>
        </c:rich>
      </c:tx>
      <c:overlay val="0"/>
    </c:title>
    <c:autoTitleDeleted val="0"/>
    <c:plotArea>
      <c:layout/>
      <c:barChart>
        <c:barDir val="col"/>
        <c:grouping val="percentStacked"/>
        <c:varyColors val="0"/>
        <c:ser>
          <c:idx val="0"/>
          <c:order val="0"/>
          <c:tx>
            <c:strRef>
              <c:f>Sheet3!$D$130</c:f>
              <c:strCache>
                <c:ptCount val="1"/>
                <c:pt idx="0">
                  <c:v> Low</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Sheet3!$D$131:$D$140</c:f>
              <c:numCache>
                <c:formatCode>General</c:formatCode>
                <c:ptCount val="10"/>
                <c:pt idx="0">
                  <c:v>44</c:v>
                </c:pt>
                <c:pt idx="1">
                  <c:v>88</c:v>
                </c:pt>
                <c:pt idx="2">
                  <c:v>36</c:v>
                </c:pt>
                <c:pt idx="3">
                  <c:v>40</c:v>
                </c:pt>
                <c:pt idx="4">
                  <c:v>16</c:v>
                </c:pt>
                <c:pt idx="5">
                  <c:v>84</c:v>
                </c:pt>
                <c:pt idx="6">
                  <c:v>16</c:v>
                </c:pt>
                <c:pt idx="7">
                  <c:v>12</c:v>
                </c:pt>
                <c:pt idx="8">
                  <c:v>24</c:v>
                </c:pt>
                <c:pt idx="9">
                  <c:v>28</c:v>
                </c:pt>
              </c:numCache>
            </c:numRef>
          </c:val>
          <c:extLst>
            <c:ext xmlns:c16="http://schemas.microsoft.com/office/drawing/2014/chart" uri="{C3380CC4-5D6E-409C-BE32-E72D297353CC}">
              <c16:uniqueId val="{00000000-B2CE-4AA9-AFAD-4A31E95EB0C7}"/>
            </c:ext>
          </c:extLst>
        </c:ser>
        <c:ser>
          <c:idx val="1"/>
          <c:order val="1"/>
          <c:tx>
            <c:strRef>
              <c:f>Sheet3!$E$130</c:f>
              <c:strCache>
                <c:ptCount val="1"/>
                <c:pt idx="0">
                  <c:v> Medium</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Sheet3!$E$131:$E$140</c:f>
              <c:numCache>
                <c:formatCode>General</c:formatCode>
                <c:ptCount val="10"/>
                <c:pt idx="0">
                  <c:v>56</c:v>
                </c:pt>
                <c:pt idx="1">
                  <c:v>4</c:v>
                </c:pt>
                <c:pt idx="2">
                  <c:v>64</c:v>
                </c:pt>
                <c:pt idx="3">
                  <c:v>60</c:v>
                </c:pt>
                <c:pt idx="4">
                  <c:v>72</c:v>
                </c:pt>
                <c:pt idx="5">
                  <c:v>16</c:v>
                </c:pt>
                <c:pt idx="6">
                  <c:v>68</c:v>
                </c:pt>
                <c:pt idx="7">
                  <c:v>80</c:v>
                </c:pt>
                <c:pt idx="8">
                  <c:v>64</c:v>
                </c:pt>
                <c:pt idx="9">
                  <c:v>72</c:v>
                </c:pt>
              </c:numCache>
            </c:numRef>
          </c:val>
          <c:extLst>
            <c:ext xmlns:c16="http://schemas.microsoft.com/office/drawing/2014/chart" uri="{C3380CC4-5D6E-409C-BE32-E72D297353CC}">
              <c16:uniqueId val="{00000001-B2CE-4AA9-AFAD-4A31E95EB0C7}"/>
            </c:ext>
          </c:extLst>
        </c:ser>
        <c:ser>
          <c:idx val="2"/>
          <c:order val="2"/>
          <c:tx>
            <c:strRef>
              <c:f>Sheet3!$F$130</c:f>
              <c:strCache>
                <c:ptCount val="1"/>
                <c:pt idx="0">
                  <c:v>High</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Sheet3!$F$131:$F$140</c:f>
              <c:numCache>
                <c:formatCode>General</c:formatCode>
                <c:ptCount val="10"/>
                <c:pt idx="0">
                  <c:v>0</c:v>
                </c:pt>
                <c:pt idx="1">
                  <c:v>0</c:v>
                </c:pt>
                <c:pt idx="2">
                  <c:v>0</c:v>
                </c:pt>
                <c:pt idx="3">
                  <c:v>0</c:v>
                </c:pt>
                <c:pt idx="4">
                  <c:v>12</c:v>
                </c:pt>
                <c:pt idx="5">
                  <c:v>0</c:v>
                </c:pt>
                <c:pt idx="6">
                  <c:v>16</c:v>
                </c:pt>
                <c:pt idx="7">
                  <c:v>8</c:v>
                </c:pt>
                <c:pt idx="8">
                  <c:v>12</c:v>
                </c:pt>
                <c:pt idx="9">
                  <c:v>0</c:v>
                </c:pt>
              </c:numCache>
            </c:numRef>
          </c:val>
          <c:extLst>
            <c:ext xmlns:c16="http://schemas.microsoft.com/office/drawing/2014/chart" uri="{C3380CC4-5D6E-409C-BE32-E72D297353CC}">
              <c16:uniqueId val="{00000002-B2CE-4AA9-AFAD-4A31E95EB0C7}"/>
            </c:ext>
          </c:extLst>
        </c:ser>
        <c:ser>
          <c:idx val="3"/>
          <c:order val="3"/>
          <c:tx>
            <c:strRef>
              <c:f>Sheet3!$G$130</c:f>
              <c:strCache>
                <c:ptCount val="1"/>
                <c:pt idx="0">
                  <c:v>Not Responded</c:v>
                </c:pt>
              </c:strCache>
            </c:strRef>
          </c:tx>
          <c:invertIfNegative val="0"/>
          <c:cat>
            <c:strRef>
              <c:f>Sheet3!$C$131:$C$140</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Sheet3!$G$131:$G$140</c:f>
              <c:numCache>
                <c:formatCode>General</c:formatCode>
                <c:ptCount val="10"/>
                <c:pt idx="0">
                  <c:v>0</c:v>
                </c:pt>
                <c:pt idx="1">
                  <c:v>8</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B2CE-4AA9-AFAD-4A31E95EB0C7}"/>
            </c:ext>
          </c:extLst>
        </c:ser>
        <c:dLbls>
          <c:showLegendKey val="0"/>
          <c:showVal val="0"/>
          <c:showCatName val="0"/>
          <c:showSerName val="0"/>
          <c:showPercent val="0"/>
          <c:showBubbleSize val="0"/>
        </c:dLbls>
        <c:gapWidth val="150"/>
        <c:overlap val="100"/>
        <c:axId val="133228800"/>
        <c:axId val="133276032"/>
      </c:barChart>
      <c:catAx>
        <c:axId val="133228800"/>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3276032"/>
        <c:crosses val="autoZero"/>
        <c:auto val="1"/>
        <c:lblAlgn val="ctr"/>
        <c:lblOffset val="100"/>
        <c:noMultiLvlLbl val="0"/>
      </c:catAx>
      <c:valAx>
        <c:axId val="133276032"/>
        <c:scaling>
          <c:orientation val="minMax"/>
        </c:scaling>
        <c:delete val="0"/>
        <c:axPos val="l"/>
        <c:majorGridlines/>
        <c:title>
          <c:tx>
            <c:rich>
              <a:bodyPr rot="-5400000" vert="horz"/>
              <a:lstStyle/>
              <a:p>
                <a:pPr>
                  <a:defRPr/>
                </a:pPr>
                <a:r>
                  <a:rPr lang="en-US"/>
                  <a:t>Percentage</a:t>
                </a:r>
                <a:r>
                  <a:rPr lang="en-US" baseline="0"/>
                  <a:t> of Respondants</a:t>
                </a:r>
                <a:endParaRPr lang="en-US"/>
              </a:p>
            </c:rich>
          </c:tx>
          <c:layout>
            <c:manualLayout>
              <c:xMode val="edge"/>
              <c:yMode val="edge"/>
              <c:x val="2.3504273504273504E-2"/>
              <c:y val="0.1949988567140202"/>
            </c:manualLayout>
          </c:layout>
          <c:overlay val="0"/>
        </c:title>
        <c:numFmt formatCode="0%" sourceLinked="1"/>
        <c:majorTickMark val="out"/>
        <c:minorTickMark val="none"/>
        <c:tickLblPos val="nextTo"/>
        <c:crossAx val="133228800"/>
        <c:crosses val="autoZero"/>
        <c:crossBetween val="between"/>
      </c:valAx>
    </c:plotArea>
    <c:legend>
      <c:legendPos val="r"/>
      <c:layout>
        <c:manualLayout>
          <c:xMode val="edge"/>
          <c:yMode val="edge"/>
          <c:x val="0.806777538457917"/>
          <c:y val="0.27721821230679505"/>
          <c:w val="0.19008336962364009"/>
          <c:h val="0.33486876640419949"/>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Bar Diagram 11: Combined Yield and Income Levels</a:t>
            </a:r>
            <a:r>
              <a:rPr lang="en-US" sz="1400" baseline="0"/>
              <a:t> in Different Panchayat</a:t>
            </a:r>
            <a:endParaRPr lang="en-US" sz="1400"/>
          </a:p>
        </c:rich>
      </c:tx>
      <c:layout>
        <c:manualLayout>
          <c:xMode val="edge"/>
          <c:yMode val="edge"/>
          <c:x val="6.1871256477555689E-2"/>
          <c:y val="2.7778871391076114E-3"/>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Sheet3!$D$208:$D$209</c:f>
              <c:strCache>
                <c:ptCount val="1"/>
                <c:pt idx="0">
                  <c:v>Yield Level   Low</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Sheet3!$D$210:$D$219</c:f>
              <c:numCache>
                <c:formatCode>General</c:formatCode>
                <c:ptCount val="10"/>
                <c:pt idx="0">
                  <c:v>64</c:v>
                </c:pt>
                <c:pt idx="1">
                  <c:v>92</c:v>
                </c:pt>
                <c:pt idx="2">
                  <c:v>80</c:v>
                </c:pt>
                <c:pt idx="3">
                  <c:v>80</c:v>
                </c:pt>
                <c:pt idx="4">
                  <c:v>48</c:v>
                </c:pt>
                <c:pt idx="5">
                  <c:v>88</c:v>
                </c:pt>
                <c:pt idx="6">
                  <c:v>88</c:v>
                </c:pt>
                <c:pt idx="7">
                  <c:v>64</c:v>
                </c:pt>
                <c:pt idx="8">
                  <c:v>92</c:v>
                </c:pt>
                <c:pt idx="9">
                  <c:v>92</c:v>
                </c:pt>
              </c:numCache>
            </c:numRef>
          </c:val>
          <c:extLst>
            <c:ext xmlns:c16="http://schemas.microsoft.com/office/drawing/2014/chart" uri="{C3380CC4-5D6E-409C-BE32-E72D297353CC}">
              <c16:uniqueId val="{00000000-66A0-48CD-A245-78BA88731D6B}"/>
            </c:ext>
          </c:extLst>
        </c:ser>
        <c:ser>
          <c:idx val="1"/>
          <c:order val="1"/>
          <c:tx>
            <c:strRef>
              <c:f>Sheet3!$E$208:$E$209</c:f>
              <c:strCache>
                <c:ptCount val="1"/>
                <c:pt idx="0">
                  <c:v>Income low</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Sheet3!$E$210:$E$219</c:f>
              <c:numCache>
                <c:formatCode>General</c:formatCode>
                <c:ptCount val="10"/>
                <c:pt idx="0">
                  <c:v>92</c:v>
                </c:pt>
                <c:pt idx="1">
                  <c:v>88</c:v>
                </c:pt>
                <c:pt idx="2">
                  <c:v>92</c:v>
                </c:pt>
                <c:pt idx="3">
                  <c:v>88</c:v>
                </c:pt>
                <c:pt idx="4">
                  <c:v>60</c:v>
                </c:pt>
                <c:pt idx="5">
                  <c:v>72</c:v>
                </c:pt>
                <c:pt idx="6">
                  <c:v>88</c:v>
                </c:pt>
                <c:pt idx="7">
                  <c:v>52</c:v>
                </c:pt>
                <c:pt idx="8">
                  <c:v>96</c:v>
                </c:pt>
                <c:pt idx="9">
                  <c:v>92</c:v>
                </c:pt>
              </c:numCache>
            </c:numRef>
          </c:val>
          <c:extLst>
            <c:ext xmlns:c16="http://schemas.microsoft.com/office/drawing/2014/chart" uri="{C3380CC4-5D6E-409C-BE32-E72D297353CC}">
              <c16:uniqueId val="{00000001-66A0-48CD-A245-78BA88731D6B}"/>
            </c:ext>
          </c:extLst>
        </c:ser>
        <c:ser>
          <c:idx val="2"/>
          <c:order val="2"/>
          <c:tx>
            <c:strRef>
              <c:f>Sheet3!$F$208:$F$209</c:f>
              <c:strCache>
                <c:ptCount val="1"/>
                <c:pt idx="0">
                  <c:v>Yield Level   Medium</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Sheet3!$F$210:$F$219</c:f>
              <c:numCache>
                <c:formatCode>General</c:formatCode>
                <c:ptCount val="10"/>
                <c:pt idx="0">
                  <c:v>16</c:v>
                </c:pt>
                <c:pt idx="1">
                  <c:v>0</c:v>
                </c:pt>
                <c:pt idx="2">
                  <c:v>12</c:v>
                </c:pt>
                <c:pt idx="3">
                  <c:v>12</c:v>
                </c:pt>
                <c:pt idx="4">
                  <c:v>24</c:v>
                </c:pt>
                <c:pt idx="5">
                  <c:v>4</c:v>
                </c:pt>
                <c:pt idx="6">
                  <c:v>0</c:v>
                </c:pt>
                <c:pt idx="7">
                  <c:v>28</c:v>
                </c:pt>
                <c:pt idx="8">
                  <c:v>8</c:v>
                </c:pt>
                <c:pt idx="9">
                  <c:v>4</c:v>
                </c:pt>
              </c:numCache>
            </c:numRef>
          </c:val>
          <c:extLst>
            <c:ext xmlns:c16="http://schemas.microsoft.com/office/drawing/2014/chart" uri="{C3380CC4-5D6E-409C-BE32-E72D297353CC}">
              <c16:uniqueId val="{00000002-66A0-48CD-A245-78BA88731D6B}"/>
            </c:ext>
          </c:extLst>
        </c:ser>
        <c:ser>
          <c:idx val="3"/>
          <c:order val="3"/>
          <c:tx>
            <c:strRef>
              <c:f>Sheet3!$G$208:$G$209</c:f>
              <c:strCache>
                <c:ptCount val="1"/>
                <c:pt idx="0">
                  <c:v>Income Medium</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Sheet3!$G$210:$G$219</c:f>
              <c:numCache>
                <c:formatCode>General</c:formatCode>
                <c:ptCount val="10"/>
                <c:pt idx="0">
                  <c:v>8</c:v>
                </c:pt>
                <c:pt idx="1">
                  <c:v>4</c:v>
                </c:pt>
                <c:pt idx="2">
                  <c:v>4</c:v>
                </c:pt>
                <c:pt idx="3">
                  <c:v>4</c:v>
                </c:pt>
                <c:pt idx="4">
                  <c:v>20</c:v>
                </c:pt>
                <c:pt idx="5">
                  <c:v>8</c:v>
                </c:pt>
                <c:pt idx="6">
                  <c:v>0</c:v>
                </c:pt>
                <c:pt idx="7">
                  <c:v>28</c:v>
                </c:pt>
                <c:pt idx="8">
                  <c:v>4</c:v>
                </c:pt>
                <c:pt idx="9">
                  <c:v>4</c:v>
                </c:pt>
              </c:numCache>
            </c:numRef>
          </c:val>
          <c:extLst>
            <c:ext xmlns:c16="http://schemas.microsoft.com/office/drawing/2014/chart" uri="{C3380CC4-5D6E-409C-BE32-E72D297353CC}">
              <c16:uniqueId val="{00000003-66A0-48CD-A245-78BA88731D6B}"/>
            </c:ext>
          </c:extLst>
        </c:ser>
        <c:ser>
          <c:idx val="4"/>
          <c:order val="4"/>
          <c:tx>
            <c:strRef>
              <c:f>Sheet3!$H$208:$H$209</c:f>
              <c:strCache>
                <c:ptCount val="1"/>
                <c:pt idx="0">
                  <c:v>Yield Level  High</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Sheet3!$H$210:$H$219</c:f>
              <c:numCache>
                <c:formatCode>General</c:formatCode>
                <c:ptCount val="10"/>
                <c:pt idx="0">
                  <c:v>0</c:v>
                </c:pt>
                <c:pt idx="1">
                  <c:v>0</c:v>
                </c:pt>
                <c:pt idx="2">
                  <c:v>4</c:v>
                </c:pt>
                <c:pt idx="3">
                  <c:v>0</c:v>
                </c:pt>
                <c:pt idx="4">
                  <c:v>20</c:v>
                </c:pt>
                <c:pt idx="5">
                  <c:v>4</c:v>
                </c:pt>
                <c:pt idx="6">
                  <c:v>0</c:v>
                </c:pt>
                <c:pt idx="7">
                  <c:v>4</c:v>
                </c:pt>
                <c:pt idx="8">
                  <c:v>0</c:v>
                </c:pt>
                <c:pt idx="9">
                  <c:v>0</c:v>
                </c:pt>
              </c:numCache>
            </c:numRef>
          </c:val>
          <c:extLst>
            <c:ext xmlns:c16="http://schemas.microsoft.com/office/drawing/2014/chart" uri="{C3380CC4-5D6E-409C-BE32-E72D297353CC}">
              <c16:uniqueId val="{00000004-66A0-48CD-A245-78BA88731D6B}"/>
            </c:ext>
          </c:extLst>
        </c:ser>
        <c:ser>
          <c:idx val="5"/>
          <c:order val="5"/>
          <c:tx>
            <c:strRef>
              <c:f>Sheet3!$I$208:$I$209</c:f>
              <c:strCache>
                <c:ptCount val="1"/>
                <c:pt idx="0">
                  <c:v>Income High</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Sheet3!$I$210:$I$219</c:f>
              <c:numCache>
                <c:formatCode>General</c:formatCode>
                <c:ptCount val="10"/>
                <c:pt idx="0">
                  <c:v>0</c:v>
                </c:pt>
                <c:pt idx="1">
                  <c:v>8</c:v>
                </c:pt>
                <c:pt idx="2">
                  <c:v>4</c:v>
                </c:pt>
                <c:pt idx="3">
                  <c:v>0</c:v>
                </c:pt>
                <c:pt idx="4">
                  <c:v>16</c:v>
                </c:pt>
                <c:pt idx="5">
                  <c:v>12</c:v>
                </c:pt>
                <c:pt idx="6">
                  <c:v>0</c:v>
                </c:pt>
                <c:pt idx="7">
                  <c:v>16</c:v>
                </c:pt>
                <c:pt idx="8">
                  <c:v>0</c:v>
                </c:pt>
                <c:pt idx="9">
                  <c:v>0</c:v>
                </c:pt>
              </c:numCache>
            </c:numRef>
          </c:val>
          <c:extLst>
            <c:ext xmlns:c16="http://schemas.microsoft.com/office/drawing/2014/chart" uri="{C3380CC4-5D6E-409C-BE32-E72D297353CC}">
              <c16:uniqueId val="{00000005-66A0-48CD-A245-78BA88731D6B}"/>
            </c:ext>
          </c:extLst>
        </c:ser>
        <c:ser>
          <c:idx val="6"/>
          <c:order val="6"/>
          <c:tx>
            <c:strRef>
              <c:f>Sheet3!$J$208:$J$209</c:f>
              <c:strCache>
                <c:ptCount val="1"/>
                <c:pt idx="0">
                  <c:v>Yield Level  Not Responded</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Sheet3!$J$210:$J$219</c:f>
              <c:numCache>
                <c:formatCode>General</c:formatCode>
                <c:ptCount val="10"/>
                <c:pt idx="0">
                  <c:v>20</c:v>
                </c:pt>
                <c:pt idx="1">
                  <c:v>8</c:v>
                </c:pt>
                <c:pt idx="2">
                  <c:v>4</c:v>
                </c:pt>
                <c:pt idx="3">
                  <c:v>8</c:v>
                </c:pt>
                <c:pt idx="4">
                  <c:v>8</c:v>
                </c:pt>
                <c:pt idx="5">
                  <c:v>4</c:v>
                </c:pt>
                <c:pt idx="6">
                  <c:v>12</c:v>
                </c:pt>
                <c:pt idx="7">
                  <c:v>4</c:v>
                </c:pt>
                <c:pt idx="8">
                  <c:v>0</c:v>
                </c:pt>
                <c:pt idx="9">
                  <c:v>4</c:v>
                </c:pt>
              </c:numCache>
            </c:numRef>
          </c:val>
          <c:extLst>
            <c:ext xmlns:c16="http://schemas.microsoft.com/office/drawing/2014/chart" uri="{C3380CC4-5D6E-409C-BE32-E72D297353CC}">
              <c16:uniqueId val="{00000006-66A0-48CD-A245-78BA88731D6B}"/>
            </c:ext>
          </c:extLst>
        </c:ser>
        <c:ser>
          <c:idx val="7"/>
          <c:order val="7"/>
          <c:tx>
            <c:strRef>
              <c:f>Sheet3!$K$208:$K$209</c:f>
              <c:strCache>
                <c:ptCount val="1"/>
                <c:pt idx="0">
                  <c:v>Income Not Responded</c:v>
                </c:pt>
              </c:strCache>
            </c:strRef>
          </c:tx>
          <c:invertIfNegative val="0"/>
          <c:cat>
            <c:strRef>
              <c:f>Sheet3!$C$210:$C$219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Sheet3!$K$210:$K$219</c:f>
              <c:numCache>
                <c:formatCode>General</c:formatCode>
                <c:ptCount val="10"/>
                <c:pt idx="0">
                  <c:v>0</c:v>
                </c:pt>
                <c:pt idx="1">
                  <c:v>0</c:v>
                </c:pt>
                <c:pt idx="2">
                  <c:v>0</c:v>
                </c:pt>
                <c:pt idx="3">
                  <c:v>8</c:v>
                </c:pt>
                <c:pt idx="4">
                  <c:v>4</c:v>
                </c:pt>
                <c:pt idx="5">
                  <c:v>8</c:v>
                </c:pt>
                <c:pt idx="6">
                  <c:v>0</c:v>
                </c:pt>
                <c:pt idx="7">
                  <c:v>4</c:v>
                </c:pt>
                <c:pt idx="8">
                  <c:v>0</c:v>
                </c:pt>
                <c:pt idx="9">
                  <c:v>4</c:v>
                </c:pt>
              </c:numCache>
            </c:numRef>
          </c:val>
          <c:extLst>
            <c:ext xmlns:c16="http://schemas.microsoft.com/office/drawing/2014/chart" uri="{C3380CC4-5D6E-409C-BE32-E72D297353CC}">
              <c16:uniqueId val="{00000007-66A0-48CD-A245-78BA88731D6B}"/>
            </c:ext>
          </c:extLst>
        </c:ser>
        <c:dLbls>
          <c:showLegendKey val="0"/>
          <c:showVal val="0"/>
          <c:showCatName val="0"/>
          <c:showSerName val="0"/>
          <c:showPercent val="0"/>
          <c:showBubbleSize val="0"/>
        </c:dLbls>
        <c:gapWidth val="150"/>
        <c:shape val="box"/>
        <c:axId val="133339008"/>
        <c:axId val="133369856"/>
        <c:axId val="0"/>
      </c:bar3DChart>
      <c:catAx>
        <c:axId val="133339008"/>
        <c:scaling>
          <c:orientation val="minMax"/>
        </c:scaling>
        <c:delete val="0"/>
        <c:axPos val="b"/>
        <c:title>
          <c:tx>
            <c:rich>
              <a:bodyPr/>
              <a:lstStyle/>
              <a:p>
                <a:pPr>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crossAx val="133369856"/>
        <c:crosses val="autoZero"/>
        <c:auto val="1"/>
        <c:lblAlgn val="ctr"/>
        <c:lblOffset val="100"/>
        <c:noMultiLvlLbl val="0"/>
      </c:catAx>
      <c:valAx>
        <c:axId val="13336985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General" sourceLinked="1"/>
        <c:majorTickMark val="out"/>
        <c:minorTickMark val="none"/>
        <c:tickLblPos val="nextTo"/>
        <c:crossAx val="133339008"/>
        <c:crosses val="autoZero"/>
        <c:crossBetween val="between"/>
      </c:valAx>
    </c:plotArea>
    <c:legend>
      <c:legendPos val="r"/>
      <c:layout>
        <c:manualLayout>
          <c:xMode val="edge"/>
          <c:yMode val="edge"/>
          <c:x val="0.72576586580523583"/>
          <c:y val="0.1916784776902887"/>
          <c:w val="0.27102900598963592"/>
          <c:h val="0.77127296587926508"/>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Diagram 12: Crop Rotation Practiced</a:t>
            </a:r>
            <a:r>
              <a:rPr lang="en-US" sz="1400" baseline="0"/>
              <a:t> in Different Panchayats</a:t>
            </a:r>
            <a:endParaRPr lang="en-US" sz="1400"/>
          </a:p>
        </c:rich>
      </c:tx>
      <c:layout>
        <c:manualLayout>
          <c:xMode val="edge"/>
          <c:yMode val="edge"/>
          <c:x val="9.86956099086648E-2"/>
          <c:y val="3.2407407407407406E-2"/>
        </c:manualLayout>
      </c:layout>
      <c:overlay val="0"/>
    </c:title>
    <c:autoTitleDeleted val="0"/>
    <c:plotArea>
      <c:layout/>
      <c:barChart>
        <c:barDir val="col"/>
        <c:grouping val="percentStacked"/>
        <c:varyColors val="0"/>
        <c:ser>
          <c:idx val="0"/>
          <c:order val="0"/>
          <c:tx>
            <c:strRef>
              <c:f>Sheet3!$D$177</c:f>
              <c:strCache>
                <c:ptCount val="1"/>
                <c:pt idx="0">
                  <c:v>Follow</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Sheet3!$D$178:$D$187</c:f>
              <c:numCache>
                <c:formatCode>General</c:formatCode>
                <c:ptCount val="10"/>
                <c:pt idx="0">
                  <c:v>88</c:v>
                </c:pt>
                <c:pt idx="1">
                  <c:v>92</c:v>
                </c:pt>
                <c:pt idx="2">
                  <c:v>100</c:v>
                </c:pt>
                <c:pt idx="3">
                  <c:v>72</c:v>
                </c:pt>
                <c:pt idx="4">
                  <c:v>80</c:v>
                </c:pt>
                <c:pt idx="5">
                  <c:v>92</c:v>
                </c:pt>
                <c:pt idx="6">
                  <c:v>44</c:v>
                </c:pt>
                <c:pt idx="7">
                  <c:v>92</c:v>
                </c:pt>
                <c:pt idx="8">
                  <c:v>96</c:v>
                </c:pt>
                <c:pt idx="9">
                  <c:v>100</c:v>
                </c:pt>
              </c:numCache>
            </c:numRef>
          </c:val>
          <c:extLst>
            <c:ext xmlns:c16="http://schemas.microsoft.com/office/drawing/2014/chart" uri="{C3380CC4-5D6E-409C-BE32-E72D297353CC}">
              <c16:uniqueId val="{00000000-3B42-4643-A898-784F22596A59}"/>
            </c:ext>
          </c:extLst>
        </c:ser>
        <c:ser>
          <c:idx val="1"/>
          <c:order val="1"/>
          <c:tx>
            <c:strRef>
              <c:f>Sheet3!$E$177</c:f>
              <c:strCache>
                <c:ptCount val="1"/>
                <c:pt idx="0">
                  <c:v>Don't Follow</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Sheet3!$E$178:$E$187</c:f>
              <c:numCache>
                <c:formatCode>General</c:formatCode>
                <c:ptCount val="10"/>
                <c:pt idx="0">
                  <c:v>8</c:v>
                </c:pt>
                <c:pt idx="1">
                  <c:v>0</c:v>
                </c:pt>
                <c:pt idx="2">
                  <c:v>0</c:v>
                </c:pt>
                <c:pt idx="3">
                  <c:v>24</c:v>
                </c:pt>
                <c:pt idx="4">
                  <c:v>8</c:v>
                </c:pt>
                <c:pt idx="5">
                  <c:v>0</c:v>
                </c:pt>
                <c:pt idx="6">
                  <c:v>56</c:v>
                </c:pt>
                <c:pt idx="7">
                  <c:v>4</c:v>
                </c:pt>
                <c:pt idx="8">
                  <c:v>4</c:v>
                </c:pt>
                <c:pt idx="9">
                  <c:v>0</c:v>
                </c:pt>
              </c:numCache>
            </c:numRef>
          </c:val>
          <c:extLst>
            <c:ext xmlns:c16="http://schemas.microsoft.com/office/drawing/2014/chart" uri="{C3380CC4-5D6E-409C-BE32-E72D297353CC}">
              <c16:uniqueId val="{00000001-3B42-4643-A898-784F22596A59}"/>
            </c:ext>
          </c:extLst>
        </c:ser>
        <c:ser>
          <c:idx val="2"/>
          <c:order val="2"/>
          <c:tx>
            <c:strRef>
              <c:f>Sheet3!$F$177</c:f>
              <c:strCache>
                <c:ptCount val="1"/>
                <c:pt idx="0">
                  <c:v>Not Responded</c:v>
                </c:pt>
              </c:strCache>
            </c:strRef>
          </c:tx>
          <c:invertIfNegative val="0"/>
          <c:cat>
            <c:strRef>
              <c:f>Sheet3!$C$178:$C$187</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Sheet3!$F$178:$F$187</c:f>
              <c:numCache>
                <c:formatCode>General</c:formatCode>
                <c:ptCount val="10"/>
                <c:pt idx="0">
                  <c:v>4</c:v>
                </c:pt>
                <c:pt idx="1">
                  <c:v>8</c:v>
                </c:pt>
                <c:pt idx="2">
                  <c:v>0</c:v>
                </c:pt>
                <c:pt idx="3">
                  <c:v>4</c:v>
                </c:pt>
                <c:pt idx="4">
                  <c:v>12</c:v>
                </c:pt>
                <c:pt idx="5">
                  <c:v>8</c:v>
                </c:pt>
                <c:pt idx="6">
                  <c:v>0</c:v>
                </c:pt>
                <c:pt idx="7">
                  <c:v>4</c:v>
                </c:pt>
                <c:pt idx="8">
                  <c:v>0</c:v>
                </c:pt>
                <c:pt idx="9">
                  <c:v>0</c:v>
                </c:pt>
              </c:numCache>
            </c:numRef>
          </c:val>
          <c:extLst>
            <c:ext xmlns:c16="http://schemas.microsoft.com/office/drawing/2014/chart" uri="{C3380CC4-5D6E-409C-BE32-E72D297353CC}">
              <c16:uniqueId val="{00000002-3B42-4643-A898-784F22596A59}"/>
            </c:ext>
          </c:extLst>
        </c:ser>
        <c:dLbls>
          <c:showLegendKey val="0"/>
          <c:showVal val="0"/>
          <c:showCatName val="0"/>
          <c:showSerName val="0"/>
          <c:showPercent val="0"/>
          <c:showBubbleSize val="0"/>
        </c:dLbls>
        <c:gapWidth val="150"/>
        <c:overlap val="100"/>
        <c:axId val="133417984"/>
        <c:axId val="133424256"/>
      </c:barChart>
      <c:catAx>
        <c:axId val="133417984"/>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3424256"/>
        <c:crosses val="autoZero"/>
        <c:auto val="1"/>
        <c:lblAlgn val="ctr"/>
        <c:lblOffset val="100"/>
        <c:noMultiLvlLbl val="0"/>
      </c:catAx>
      <c:valAx>
        <c:axId val="13342425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133417984"/>
        <c:crosses val="autoZero"/>
        <c:crossBetween val="between"/>
      </c:valAx>
    </c:plotArea>
    <c:legend>
      <c:legendPos val="r"/>
      <c:layout>
        <c:manualLayout>
          <c:xMode val="edge"/>
          <c:yMode val="edge"/>
          <c:x val="0.80581941750034869"/>
          <c:y val="0.29334791484397782"/>
          <c:w val="0.19191279833982106"/>
          <c:h val="0.25115157480314959"/>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Diagram 13: Climate Change Experienced</a:t>
            </a:r>
            <a:r>
              <a:rPr lang="en-US" sz="1400" baseline="0"/>
              <a:t> by </a:t>
            </a:r>
          </a:p>
          <a:p>
            <a:pPr>
              <a:defRPr/>
            </a:pPr>
            <a:r>
              <a:rPr lang="en-US" sz="1400" baseline="0"/>
              <a:t>                                               Farmers in Different Panchayats</a:t>
            </a:r>
            <a:endParaRPr lang="en-US" sz="1400"/>
          </a:p>
        </c:rich>
      </c:tx>
      <c:layout>
        <c:manualLayout>
          <c:xMode val="edge"/>
          <c:yMode val="edge"/>
          <c:x val="2.2838929133858259E-2"/>
          <c:y val="2.7680434682506791E-2"/>
        </c:manualLayout>
      </c:layout>
      <c:overlay val="0"/>
    </c:title>
    <c:autoTitleDeleted val="0"/>
    <c:plotArea>
      <c:layout/>
      <c:barChart>
        <c:barDir val="col"/>
        <c:grouping val="percentStacked"/>
        <c:varyColors val="0"/>
        <c:ser>
          <c:idx val="0"/>
          <c:order val="0"/>
          <c:tx>
            <c:strRef>
              <c:f>Sheet3!$D$193</c:f>
              <c:strCache>
                <c:ptCount val="1"/>
                <c:pt idx="0">
                  <c:v>Experienced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Sheet3!$D$194:$D$203</c:f>
              <c:numCache>
                <c:formatCode>General</c:formatCode>
                <c:ptCount val="10"/>
                <c:pt idx="0">
                  <c:v>0</c:v>
                </c:pt>
                <c:pt idx="1">
                  <c:v>36</c:v>
                </c:pt>
                <c:pt idx="2">
                  <c:v>0</c:v>
                </c:pt>
                <c:pt idx="3">
                  <c:v>0</c:v>
                </c:pt>
                <c:pt idx="4">
                  <c:v>0</c:v>
                </c:pt>
                <c:pt idx="5">
                  <c:v>52</c:v>
                </c:pt>
                <c:pt idx="6">
                  <c:v>40</c:v>
                </c:pt>
                <c:pt idx="7">
                  <c:v>68</c:v>
                </c:pt>
                <c:pt idx="8">
                  <c:v>92</c:v>
                </c:pt>
                <c:pt idx="9">
                  <c:v>0</c:v>
                </c:pt>
              </c:numCache>
            </c:numRef>
          </c:val>
          <c:extLst>
            <c:ext xmlns:c16="http://schemas.microsoft.com/office/drawing/2014/chart" uri="{C3380CC4-5D6E-409C-BE32-E72D297353CC}">
              <c16:uniqueId val="{00000000-FC49-42E7-B1BC-859A094311F6}"/>
            </c:ext>
          </c:extLst>
        </c:ser>
        <c:ser>
          <c:idx val="1"/>
          <c:order val="1"/>
          <c:tx>
            <c:strRef>
              <c:f>Sheet3!$E$193</c:f>
              <c:strCache>
                <c:ptCount val="1"/>
                <c:pt idx="0">
                  <c:v>Not Experienced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Sheet3!$E$194:$E$203</c:f>
              <c:numCache>
                <c:formatCode>General</c:formatCode>
                <c:ptCount val="10"/>
                <c:pt idx="0">
                  <c:v>60</c:v>
                </c:pt>
                <c:pt idx="1">
                  <c:v>56</c:v>
                </c:pt>
                <c:pt idx="2">
                  <c:v>80</c:v>
                </c:pt>
                <c:pt idx="3">
                  <c:v>100</c:v>
                </c:pt>
                <c:pt idx="4">
                  <c:v>72</c:v>
                </c:pt>
                <c:pt idx="5">
                  <c:v>36</c:v>
                </c:pt>
                <c:pt idx="6">
                  <c:v>40</c:v>
                </c:pt>
                <c:pt idx="7">
                  <c:v>20</c:v>
                </c:pt>
                <c:pt idx="8">
                  <c:v>0</c:v>
                </c:pt>
                <c:pt idx="9">
                  <c:v>92</c:v>
                </c:pt>
              </c:numCache>
            </c:numRef>
          </c:val>
          <c:extLst>
            <c:ext xmlns:c16="http://schemas.microsoft.com/office/drawing/2014/chart" uri="{C3380CC4-5D6E-409C-BE32-E72D297353CC}">
              <c16:uniqueId val="{00000001-FC49-42E7-B1BC-859A094311F6}"/>
            </c:ext>
          </c:extLst>
        </c:ser>
        <c:ser>
          <c:idx val="2"/>
          <c:order val="2"/>
          <c:tx>
            <c:strRef>
              <c:f>Sheet3!$F$193</c:f>
              <c:strCache>
                <c:ptCount val="1"/>
                <c:pt idx="0">
                  <c:v>Not Responded</c:v>
                </c:pt>
              </c:strCache>
            </c:strRef>
          </c:tx>
          <c:invertIfNegative val="0"/>
          <c:cat>
            <c:strRef>
              <c:f>Sheet3!$C$194:$C$203</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Sheet3!$F$194:$F$203</c:f>
              <c:numCache>
                <c:formatCode>General</c:formatCode>
                <c:ptCount val="10"/>
                <c:pt idx="0">
                  <c:v>40</c:v>
                </c:pt>
                <c:pt idx="1">
                  <c:v>8</c:v>
                </c:pt>
                <c:pt idx="2">
                  <c:v>20</c:v>
                </c:pt>
                <c:pt idx="3">
                  <c:v>0</c:v>
                </c:pt>
                <c:pt idx="4">
                  <c:v>28</c:v>
                </c:pt>
                <c:pt idx="5">
                  <c:v>0</c:v>
                </c:pt>
                <c:pt idx="6">
                  <c:v>20</c:v>
                </c:pt>
                <c:pt idx="7">
                  <c:v>12</c:v>
                </c:pt>
                <c:pt idx="8">
                  <c:v>8</c:v>
                </c:pt>
                <c:pt idx="9">
                  <c:v>8</c:v>
                </c:pt>
              </c:numCache>
            </c:numRef>
          </c:val>
          <c:extLst>
            <c:ext xmlns:c16="http://schemas.microsoft.com/office/drawing/2014/chart" uri="{C3380CC4-5D6E-409C-BE32-E72D297353CC}">
              <c16:uniqueId val="{00000002-FC49-42E7-B1BC-859A094311F6}"/>
            </c:ext>
          </c:extLst>
        </c:ser>
        <c:dLbls>
          <c:showLegendKey val="0"/>
          <c:showVal val="0"/>
          <c:showCatName val="0"/>
          <c:showSerName val="0"/>
          <c:showPercent val="0"/>
          <c:showBubbleSize val="0"/>
        </c:dLbls>
        <c:gapWidth val="150"/>
        <c:overlap val="100"/>
        <c:axId val="142197504"/>
        <c:axId val="142199424"/>
      </c:barChart>
      <c:catAx>
        <c:axId val="142197504"/>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42199424"/>
        <c:crosses val="autoZero"/>
        <c:auto val="1"/>
        <c:lblAlgn val="ctr"/>
        <c:lblOffset val="100"/>
        <c:noMultiLvlLbl val="0"/>
      </c:catAx>
      <c:valAx>
        <c:axId val="142199424"/>
        <c:scaling>
          <c:orientation val="minMax"/>
        </c:scaling>
        <c:delete val="0"/>
        <c:axPos val="l"/>
        <c:majorGridlines/>
        <c:title>
          <c:tx>
            <c:rich>
              <a:bodyPr rot="-5400000" vert="horz"/>
              <a:lstStyle/>
              <a:p>
                <a:pPr>
                  <a:defRPr/>
                </a:pPr>
                <a:r>
                  <a:rPr lang="en-US"/>
                  <a:t>Percentage</a:t>
                </a:r>
                <a:r>
                  <a:rPr lang="en-US" baseline="0"/>
                  <a:t> of Respondants</a:t>
                </a:r>
                <a:endParaRPr lang="en-US"/>
              </a:p>
            </c:rich>
          </c:tx>
          <c:layout>
            <c:manualLayout>
              <c:xMode val="edge"/>
              <c:yMode val="edge"/>
              <c:x val="2.7777777777777776E-2"/>
              <c:y val="0.23278944298629339"/>
            </c:manualLayout>
          </c:layout>
          <c:overlay val="0"/>
        </c:title>
        <c:numFmt formatCode="0%" sourceLinked="1"/>
        <c:majorTickMark val="out"/>
        <c:minorTickMark val="none"/>
        <c:tickLblPos val="nextTo"/>
        <c:crossAx val="142197504"/>
        <c:crosses val="autoZero"/>
        <c:crossBetween val="between"/>
      </c:valAx>
    </c:plotArea>
    <c:legend>
      <c:legendPos val="r"/>
      <c:layout>
        <c:manualLayout>
          <c:xMode val="edge"/>
          <c:yMode val="edge"/>
          <c:x val="0.7632224409448819"/>
          <c:y val="0.26794254884806068"/>
          <c:w val="0.23399978127734034"/>
          <c:h val="0.2511515748031495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a:t>
            </a:r>
            <a:r>
              <a:rPr lang="en-US" sz="1400" baseline="0"/>
              <a:t> Bar Chart</a:t>
            </a:r>
            <a:r>
              <a:rPr lang="en-US" sz="1400"/>
              <a:t> 2: Field Preparation Methods Used by </a:t>
            </a:r>
          </a:p>
          <a:p>
            <a:pPr>
              <a:defRPr/>
            </a:pPr>
            <a:r>
              <a:rPr lang="en-US" sz="1400"/>
              <a:t>                                 Farmers in Different Panchayats </a:t>
            </a:r>
          </a:p>
        </c:rich>
      </c:tx>
      <c:layout>
        <c:manualLayout>
          <c:xMode val="edge"/>
          <c:yMode val="edge"/>
          <c:x val="0.11138247987457943"/>
          <c:y val="3.9867109634551492E-2"/>
        </c:manualLayout>
      </c:layout>
      <c:overlay val="0"/>
    </c:title>
    <c:autoTitleDeleted val="0"/>
    <c:plotArea>
      <c:layout/>
      <c:barChart>
        <c:barDir val="col"/>
        <c:grouping val="percentStacked"/>
        <c:varyColors val="0"/>
        <c:ser>
          <c:idx val="0"/>
          <c:order val="0"/>
          <c:tx>
            <c:strRef>
              <c:f>Sheet3!$D$4</c:f>
              <c:strCache>
                <c:ptCount val="1"/>
                <c:pt idx="0">
                  <c:v>Traditional/ Bullock</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Sheet3!$D$5:$D$14</c:f>
              <c:numCache>
                <c:formatCode>General</c:formatCode>
                <c:ptCount val="10"/>
                <c:pt idx="0">
                  <c:v>88</c:v>
                </c:pt>
                <c:pt idx="1">
                  <c:v>0</c:v>
                </c:pt>
                <c:pt idx="2">
                  <c:v>60</c:v>
                </c:pt>
                <c:pt idx="3">
                  <c:v>96</c:v>
                </c:pt>
                <c:pt idx="4">
                  <c:v>32</c:v>
                </c:pt>
                <c:pt idx="5">
                  <c:v>36</c:v>
                </c:pt>
                <c:pt idx="6">
                  <c:v>68</c:v>
                </c:pt>
                <c:pt idx="7">
                  <c:v>4</c:v>
                </c:pt>
                <c:pt idx="8">
                  <c:v>0</c:v>
                </c:pt>
                <c:pt idx="9">
                  <c:v>20</c:v>
                </c:pt>
              </c:numCache>
            </c:numRef>
          </c:val>
          <c:extLst>
            <c:ext xmlns:c16="http://schemas.microsoft.com/office/drawing/2014/chart" uri="{C3380CC4-5D6E-409C-BE32-E72D297353CC}">
              <c16:uniqueId val="{00000000-AAF1-4CAF-8652-00A89935886A}"/>
            </c:ext>
          </c:extLst>
        </c:ser>
        <c:ser>
          <c:idx val="1"/>
          <c:order val="1"/>
          <c:tx>
            <c:strRef>
              <c:f>Sheet3!$E$4</c:f>
              <c:strCache>
                <c:ptCount val="1"/>
                <c:pt idx="0">
                  <c:v>Modern/ Power Tiller</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Sheet3!$E$5:$E$14</c:f>
              <c:numCache>
                <c:formatCode>General</c:formatCode>
                <c:ptCount val="10"/>
                <c:pt idx="0">
                  <c:v>4</c:v>
                </c:pt>
                <c:pt idx="1">
                  <c:v>72</c:v>
                </c:pt>
                <c:pt idx="2">
                  <c:v>36</c:v>
                </c:pt>
                <c:pt idx="3">
                  <c:v>0</c:v>
                </c:pt>
                <c:pt idx="4">
                  <c:v>56</c:v>
                </c:pt>
                <c:pt idx="5">
                  <c:v>64</c:v>
                </c:pt>
                <c:pt idx="6">
                  <c:v>4</c:v>
                </c:pt>
                <c:pt idx="7">
                  <c:v>4</c:v>
                </c:pt>
                <c:pt idx="8">
                  <c:v>92</c:v>
                </c:pt>
                <c:pt idx="9">
                  <c:v>72</c:v>
                </c:pt>
              </c:numCache>
            </c:numRef>
          </c:val>
          <c:extLst>
            <c:ext xmlns:c16="http://schemas.microsoft.com/office/drawing/2014/chart" uri="{C3380CC4-5D6E-409C-BE32-E72D297353CC}">
              <c16:uniqueId val="{00000001-AAF1-4CAF-8652-00A89935886A}"/>
            </c:ext>
          </c:extLst>
        </c:ser>
        <c:ser>
          <c:idx val="2"/>
          <c:order val="2"/>
          <c:tx>
            <c:strRef>
              <c:f>Sheet3!$F$4</c:f>
              <c:strCache>
                <c:ptCount val="1"/>
                <c:pt idx="0">
                  <c:v>Both</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Sheet3!$F$5:$F$14</c:f>
              <c:numCache>
                <c:formatCode>General</c:formatCode>
                <c:ptCount val="10"/>
                <c:pt idx="0">
                  <c:v>4</c:v>
                </c:pt>
                <c:pt idx="1">
                  <c:v>12</c:v>
                </c:pt>
                <c:pt idx="2">
                  <c:v>0</c:v>
                </c:pt>
                <c:pt idx="3">
                  <c:v>0</c:v>
                </c:pt>
                <c:pt idx="4">
                  <c:v>0</c:v>
                </c:pt>
                <c:pt idx="5">
                  <c:v>0</c:v>
                </c:pt>
                <c:pt idx="6">
                  <c:v>20</c:v>
                </c:pt>
                <c:pt idx="7">
                  <c:v>92</c:v>
                </c:pt>
                <c:pt idx="8">
                  <c:v>0</c:v>
                </c:pt>
                <c:pt idx="9">
                  <c:v>8</c:v>
                </c:pt>
              </c:numCache>
            </c:numRef>
          </c:val>
          <c:extLst>
            <c:ext xmlns:c16="http://schemas.microsoft.com/office/drawing/2014/chart" uri="{C3380CC4-5D6E-409C-BE32-E72D297353CC}">
              <c16:uniqueId val="{00000002-AAF1-4CAF-8652-00A89935886A}"/>
            </c:ext>
          </c:extLst>
        </c:ser>
        <c:ser>
          <c:idx val="3"/>
          <c:order val="3"/>
          <c:tx>
            <c:strRef>
              <c:f>Sheet3!$G$4</c:f>
              <c:strCache>
                <c:ptCount val="1"/>
                <c:pt idx="0">
                  <c:v>Not Responded</c:v>
                </c:pt>
              </c:strCache>
            </c:strRef>
          </c:tx>
          <c:invertIfNegative val="0"/>
          <c:cat>
            <c:strRef>
              <c:f>Sheet3!$C$5:$C$14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Sheet3!$G$5:$G$14</c:f>
              <c:numCache>
                <c:formatCode>General</c:formatCode>
                <c:ptCount val="10"/>
                <c:pt idx="0">
                  <c:v>4</c:v>
                </c:pt>
                <c:pt idx="1">
                  <c:v>16</c:v>
                </c:pt>
                <c:pt idx="2">
                  <c:v>4</c:v>
                </c:pt>
                <c:pt idx="3">
                  <c:v>4</c:v>
                </c:pt>
                <c:pt idx="4">
                  <c:v>12</c:v>
                </c:pt>
                <c:pt idx="5">
                  <c:v>0</c:v>
                </c:pt>
                <c:pt idx="6">
                  <c:v>8</c:v>
                </c:pt>
                <c:pt idx="7">
                  <c:v>0</c:v>
                </c:pt>
                <c:pt idx="8">
                  <c:v>8</c:v>
                </c:pt>
                <c:pt idx="9">
                  <c:v>0</c:v>
                </c:pt>
              </c:numCache>
            </c:numRef>
          </c:val>
          <c:extLst>
            <c:ext xmlns:c16="http://schemas.microsoft.com/office/drawing/2014/chart" uri="{C3380CC4-5D6E-409C-BE32-E72D297353CC}">
              <c16:uniqueId val="{00000003-AAF1-4CAF-8652-00A89935886A}"/>
            </c:ext>
          </c:extLst>
        </c:ser>
        <c:dLbls>
          <c:showLegendKey val="0"/>
          <c:showVal val="0"/>
          <c:showCatName val="0"/>
          <c:showSerName val="0"/>
          <c:showPercent val="0"/>
          <c:showBubbleSize val="0"/>
        </c:dLbls>
        <c:gapWidth val="150"/>
        <c:overlap val="100"/>
        <c:axId val="46920064"/>
        <c:axId val="46921984"/>
      </c:barChart>
      <c:catAx>
        <c:axId val="46920064"/>
        <c:scaling>
          <c:orientation val="minMax"/>
        </c:scaling>
        <c:delete val="0"/>
        <c:axPos val="b"/>
        <c:title>
          <c:tx>
            <c:rich>
              <a:bodyPr/>
              <a:lstStyle/>
              <a:p>
                <a:pPr>
                  <a:defRPr/>
                </a:pPr>
                <a:r>
                  <a:rPr lang="en-US" sz="1200" baseline="0"/>
                  <a:t> Gram Panchayats</a:t>
                </a:r>
                <a:endParaRPr lang="en-US" sz="1200"/>
              </a:p>
            </c:rich>
          </c:tx>
          <c:overlay val="0"/>
        </c:title>
        <c:numFmt formatCode="General" sourceLinked="0"/>
        <c:majorTickMark val="out"/>
        <c:minorTickMark val="none"/>
        <c:tickLblPos val="nextTo"/>
        <c:crossAx val="46921984"/>
        <c:crosses val="autoZero"/>
        <c:auto val="1"/>
        <c:lblAlgn val="ctr"/>
        <c:lblOffset val="100"/>
        <c:noMultiLvlLbl val="0"/>
      </c:catAx>
      <c:valAx>
        <c:axId val="46921984"/>
        <c:scaling>
          <c:orientation val="minMax"/>
        </c:scaling>
        <c:delete val="0"/>
        <c:axPos val="l"/>
        <c:majorGridlines/>
        <c:title>
          <c:tx>
            <c:rich>
              <a:bodyPr rot="-5400000" vert="horz"/>
              <a:lstStyle/>
              <a:p>
                <a:pPr>
                  <a:defRPr/>
                </a:pPr>
                <a:r>
                  <a:rPr lang="en-US" baseline="0"/>
                  <a:t>Percentage of  Respondants </a:t>
                </a:r>
              </a:p>
            </c:rich>
          </c:tx>
          <c:overlay val="0"/>
        </c:title>
        <c:numFmt formatCode="0%" sourceLinked="1"/>
        <c:majorTickMark val="out"/>
        <c:minorTickMark val="none"/>
        <c:tickLblPos val="nextTo"/>
        <c:crossAx val="46920064"/>
        <c:crosses val="autoZero"/>
        <c:crossBetween val="between"/>
      </c:valAx>
    </c:plotArea>
    <c:legend>
      <c:legendPos val="r"/>
      <c:layout>
        <c:manualLayout>
          <c:xMode val="edge"/>
          <c:yMode val="edge"/>
          <c:x val="0.75781866209031568"/>
          <c:y val="0.22426930578631799"/>
          <c:w val="0.21681405208964263"/>
          <c:h val="0.4075086485748914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3:Recommended Variety Use </a:t>
            </a:r>
          </a:p>
          <a:p>
            <a:pPr>
              <a:defRPr/>
            </a:pPr>
            <a:r>
              <a:rPr lang="en-US" sz="1400"/>
              <a:t>                        Knowledge Level %</a:t>
            </a:r>
          </a:p>
        </c:rich>
      </c:tx>
      <c:layout>
        <c:manualLayout>
          <c:xMode val="edge"/>
          <c:yMode val="edge"/>
          <c:x val="8.2655871582174065E-2"/>
          <c:y val="1.7502365049897221E-2"/>
        </c:manualLayout>
      </c:layout>
      <c:overlay val="0"/>
    </c:title>
    <c:autoTitleDeleted val="0"/>
    <c:plotArea>
      <c:layout/>
      <c:barChart>
        <c:barDir val="col"/>
        <c:grouping val="percentStacked"/>
        <c:varyColors val="0"/>
        <c:ser>
          <c:idx val="0"/>
          <c:order val="0"/>
          <c:tx>
            <c:strRef>
              <c:f>Sheet3!$D$19</c:f>
              <c:strCache>
                <c:ptCount val="1"/>
                <c:pt idx="0">
                  <c:v>Low Level/Not Recommended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Sheet3!$D$20:$D$29</c:f>
              <c:numCache>
                <c:formatCode>General</c:formatCode>
                <c:ptCount val="10"/>
                <c:pt idx="0">
                  <c:v>36</c:v>
                </c:pt>
                <c:pt idx="1">
                  <c:v>60</c:v>
                </c:pt>
                <c:pt idx="2">
                  <c:v>64</c:v>
                </c:pt>
                <c:pt idx="3">
                  <c:v>60</c:v>
                </c:pt>
                <c:pt idx="4">
                  <c:v>72</c:v>
                </c:pt>
                <c:pt idx="5">
                  <c:v>28</c:v>
                </c:pt>
                <c:pt idx="6">
                  <c:v>36</c:v>
                </c:pt>
                <c:pt idx="7">
                  <c:v>44</c:v>
                </c:pt>
                <c:pt idx="8">
                  <c:v>52</c:v>
                </c:pt>
                <c:pt idx="9">
                  <c:v>92</c:v>
                </c:pt>
              </c:numCache>
            </c:numRef>
          </c:val>
          <c:extLst>
            <c:ext xmlns:c16="http://schemas.microsoft.com/office/drawing/2014/chart" uri="{C3380CC4-5D6E-409C-BE32-E72D297353CC}">
              <c16:uniqueId val="{00000000-12FA-4F55-BCFD-DD06EAE5E5D6}"/>
            </c:ext>
          </c:extLst>
        </c:ser>
        <c:ser>
          <c:idx val="1"/>
          <c:order val="1"/>
          <c:tx>
            <c:strRef>
              <c:f>Sheet3!$E$19</c:f>
              <c:strCache>
                <c:ptCount val="1"/>
                <c:pt idx="0">
                  <c:v>Both/ Medium Level</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Sheet3!$E$20:$E$29</c:f>
              <c:numCache>
                <c:formatCode>General</c:formatCode>
                <c:ptCount val="10"/>
                <c:pt idx="0">
                  <c:v>48</c:v>
                </c:pt>
                <c:pt idx="1">
                  <c:v>25</c:v>
                </c:pt>
                <c:pt idx="2">
                  <c:v>8</c:v>
                </c:pt>
                <c:pt idx="3">
                  <c:v>0</c:v>
                </c:pt>
                <c:pt idx="4">
                  <c:v>16</c:v>
                </c:pt>
                <c:pt idx="5">
                  <c:v>20</c:v>
                </c:pt>
                <c:pt idx="6">
                  <c:v>48</c:v>
                </c:pt>
                <c:pt idx="7">
                  <c:v>40</c:v>
                </c:pt>
                <c:pt idx="8">
                  <c:v>0</c:v>
                </c:pt>
                <c:pt idx="9">
                  <c:v>0</c:v>
                </c:pt>
              </c:numCache>
            </c:numRef>
          </c:val>
          <c:extLst>
            <c:ext xmlns:c16="http://schemas.microsoft.com/office/drawing/2014/chart" uri="{C3380CC4-5D6E-409C-BE32-E72D297353CC}">
              <c16:uniqueId val="{00000001-12FA-4F55-BCFD-DD06EAE5E5D6}"/>
            </c:ext>
          </c:extLst>
        </c:ser>
        <c:ser>
          <c:idx val="2"/>
          <c:order val="2"/>
          <c:tx>
            <c:strRef>
              <c:f>Sheet3!$F$19</c:f>
              <c:strCache>
                <c:ptCount val="1"/>
                <c:pt idx="0">
                  <c:v>High Level/Recommended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Sheet3!$F$20:$F$29</c:f>
              <c:numCache>
                <c:formatCode>General</c:formatCode>
                <c:ptCount val="10"/>
                <c:pt idx="0">
                  <c:v>8</c:v>
                </c:pt>
                <c:pt idx="1">
                  <c:v>25</c:v>
                </c:pt>
                <c:pt idx="2">
                  <c:v>24</c:v>
                </c:pt>
                <c:pt idx="3">
                  <c:v>40</c:v>
                </c:pt>
                <c:pt idx="4">
                  <c:v>12</c:v>
                </c:pt>
                <c:pt idx="5">
                  <c:v>16</c:v>
                </c:pt>
                <c:pt idx="6">
                  <c:v>16</c:v>
                </c:pt>
                <c:pt idx="7">
                  <c:v>12</c:v>
                </c:pt>
                <c:pt idx="8">
                  <c:v>48</c:v>
                </c:pt>
                <c:pt idx="9">
                  <c:v>0</c:v>
                </c:pt>
              </c:numCache>
            </c:numRef>
          </c:val>
          <c:extLst>
            <c:ext xmlns:c16="http://schemas.microsoft.com/office/drawing/2014/chart" uri="{C3380CC4-5D6E-409C-BE32-E72D297353CC}">
              <c16:uniqueId val="{00000002-12FA-4F55-BCFD-DD06EAE5E5D6}"/>
            </c:ext>
          </c:extLst>
        </c:ser>
        <c:ser>
          <c:idx val="3"/>
          <c:order val="3"/>
          <c:tx>
            <c:strRef>
              <c:f>Sheet3!$G$19</c:f>
              <c:strCache>
                <c:ptCount val="1"/>
                <c:pt idx="0">
                  <c:v>Not Responded</c:v>
                </c:pt>
              </c:strCache>
            </c:strRef>
          </c:tx>
          <c:invertIfNegative val="0"/>
          <c:cat>
            <c:strRef>
              <c:f>Sheet3!$C$20:$C$29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Sheet3!$G$20:$G$29</c:f>
              <c:numCache>
                <c:formatCode>General</c:formatCode>
                <c:ptCount val="10"/>
                <c:pt idx="0">
                  <c:v>8</c:v>
                </c:pt>
                <c:pt idx="1">
                  <c:v>0</c:v>
                </c:pt>
                <c:pt idx="2">
                  <c:v>4</c:v>
                </c:pt>
                <c:pt idx="3">
                  <c:v>0</c:v>
                </c:pt>
                <c:pt idx="4">
                  <c:v>0</c:v>
                </c:pt>
                <c:pt idx="5">
                  <c:v>36</c:v>
                </c:pt>
                <c:pt idx="6">
                  <c:v>0</c:v>
                </c:pt>
                <c:pt idx="7">
                  <c:v>4</c:v>
                </c:pt>
                <c:pt idx="8">
                  <c:v>0</c:v>
                </c:pt>
                <c:pt idx="9">
                  <c:v>8</c:v>
                </c:pt>
              </c:numCache>
            </c:numRef>
          </c:val>
          <c:extLst>
            <c:ext xmlns:c16="http://schemas.microsoft.com/office/drawing/2014/chart" uri="{C3380CC4-5D6E-409C-BE32-E72D297353CC}">
              <c16:uniqueId val="{00000003-12FA-4F55-BCFD-DD06EAE5E5D6}"/>
            </c:ext>
          </c:extLst>
        </c:ser>
        <c:dLbls>
          <c:showLegendKey val="0"/>
          <c:showVal val="0"/>
          <c:showCatName val="0"/>
          <c:showSerName val="0"/>
          <c:showPercent val="0"/>
          <c:showBubbleSize val="0"/>
        </c:dLbls>
        <c:gapWidth val="150"/>
        <c:overlap val="100"/>
        <c:axId val="47143552"/>
        <c:axId val="47145728"/>
      </c:barChart>
      <c:catAx>
        <c:axId val="47143552"/>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47145728"/>
        <c:crosses val="autoZero"/>
        <c:auto val="1"/>
        <c:lblAlgn val="ctr"/>
        <c:lblOffset val="100"/>
        <c:noMultiLvlLbl val="0"/>
      </c:catAx>
      <c:valAx>
        <c:axId val="47145728"/>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47143552"/>
        <c:crosses val="autoZero"/>
        <c:crossBetween val="between"/>
      </c:valAx>
    </c:plotArea>
    <c:legend>
      <c:legendPos val="r"/>
      <c:layout>
        <c:manualLayout>
          <c:xMode val="edge"/>
          <c:yMode val="edge"/>
          <c:x val="0.64166666666666672"/>
          <c:y val="0.18364975211431905"/>
          <c:w val="0.34166666666666667"/>
          <c:h val="0.4521449402158063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4: Farmers Seed Rate Knowledge Level % in      </a:t>
            </a:r>
          </a:p>
          <a:p>
            <a:pPr>
              <a:defRPr/>
            </a:pPr>
            <a:r>
              <a:rPr lang="en-US" sz="1400"/>
              <a:t>   Different Panchayats</a:t>
            </a:r>
          </a:p>
        </c:rich>
      </c:tx>
      <c:layout>
        <c:manualLayout>
          <c:xMode val="edge"/>
          <c:yMode val="edge"/>
          <c:x val="2.5180446194225721E-2"/>
          <c:y val="1.3888888888888888E-2"/>
        </c:manualLayout>
      </c:layout>
      <c:overlay val="0"/>
    </c:title>
    <c:autoTitleDeleted val="0"/>
    <c:plotArea>
      <c:layout/>
      <c:barChart>
        <c:barDir val="col"/>
        <c:grouping val="percentStacked"/>
        <c:varyColors val="0"/>
        <c:ser>
          <c:idx val="0"/>
          <c:order val="0"/>
          <c:tx>
            <c:strRef>
              <c:f>Sheet3!$D$34</c:f>
              <c:strCache>
                <c:ptCount val="1"/>
                <c:pt idx="0">
                  <c:v>Low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Sheet3!$D$35:$D$44</c:f>
              <c:numCache>
                <c:formatCode>General</c:formatCode>
                <c:ptCount val="10"/>
                <c:pt idx="0">
                  <c:v>8</c:v>
                </c:pt>
                <c:pt idx="1">
                  <c:v>0</c:v>
                </c:pt>
                <c:pt idx="2">
                  <c:v>0</c:v>
                </c:pt>
                <c:pt idx="3">
                  <c:v>16</c:v>
                </c:pt>
                <c:pt idx="4">
                  <c:v>0</c:v>
                </c:pt>
                <c:pt idx="5">
                  <c:v>0</c:v>
                </c:pt>
                <c:pt idx="6">
                  <c:v>24</c:v>
                </c:pt>
                <c:pt idx="7">
                  <c:v>0</c:v>
                </c:pt>
                <c:pt idx="8">
                  <c:v>0</c:v>
                </c:pt>
                <c:pt idx="9">
                  <c:v>4</c:v>
                </c:pt>
              </c:numCache>
            </c:numRef>
          </c:val>
          <c:extLst>
            <c:ext xmlns:c16="http://schemas.microsoft.com/office/drawing/2014/chart" uri="{C3380CC4-5D6E-409C-BE32-E72D297353CC}">
              <c16:uniqueId val="{00000000-76CC-441F-8696-2F068E0C2260}"/>
            </c:ext>
          </c:extLst>
        </c:ser>
        <c:ser>
          <c:idx val="1"/>
          <c:order val="1"/>
          <c:tx>
            <c:strRef>
              <c:f>Sheet3!$E$34</c:f>
              <c:strCache>
                <c:ptCount val="1"/>
                <c:pt idx="0">
                  <c:v>Medium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Sheet3!$E$35:$E$44</c:f>
              <c:numCache>
                <c:formatCode>General</c:formatCode>
                <c:ptCount val="10"/>
                <c:pt idx="0">
                  <c:v>84</c:v>
                </c:pt>
                <c:pt idx="1">
                  <c:v>40</c:v>
                </c:pt>
                <c:pt idx="2">
                  <c:v>68</c:v>
                </c:pt>
                <c:pt idx="3">
                  <c:v>36</c:v>
                </c:pt>
                <c:pt idx="4">
                  <c:v>32</c:v>
                </c:pt>
                <c:pt idx="5">
                  <c:v>40</c:v>
                </c:pt>
                <c:pt idx="6">
                  <c:v>68</c:v>
                </c:pt>
                <c:pt idx="7">
                  <c:v>12</c:v>
                </c:pt>
                <c:pt idx="8">
                  <c:v>72</c:v>
                </c:pt>
                <c:pt idx="9">
                  <c:v>8</c:v>
                </c:pt>
              </c:numCache>
            </c:numRef>
          </c:val>
          <c:extLst>
            <c:ext xmlns:c16="http://schemas.microsoft.com/office/drawing/2014/chart" uri="{C3380CC4-5D6E-409C-BE32-E72D297353CC}">
              <c16:uniqueId val="{00000001-76CC-441F-8696-2F068E0C2260}"/>
            </c:ext>
          </c:extLst>
        </c:ser>
        <c:ser>
          <c:idx val="2"/>
          <c:order val="2"/>
          <c:tx>
            <c:strRef>
              <c:f>Sheet3!$F$34</c:f>
              <c:strCache>
                <c:ptCount val="1"/>
                <c:pt idx="0">
                  <c:v>High Level</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Sheet3!$F$35:$F$44</c:f>
              <c:numCache>
                <c:formatCode>General</c:formatCode>
                <c:ptCount val="10"/>
                <c:pt idx="0">
                  <c:v>8</c:v>
                </c:pt>
                <c:pt idx="1">
                  <c:v>56</c:v>
                </c:pt>
                <c:pt idx="2">
                  <c:v>32</c:v>
                </c:pt>
                <c:pt idx="3">
                  <c:v>48</c:v>
                </c:pt>
                <c:pt idx="4">
                  <c:v>68</c:v>
                </c:pt>
                <c:pt idx="5">
                  <c:v>60</c:v>
                </c:pt>
                <c:pt idx="6">
                  <c:v>0</c:v>
                </c:pt>
                <c:pt idx="7">
                  <c:v>88</c:v>
                </c:pt>
                <c:pt idx="8">
                  <c:v>28</c:v>
                </c:pt>
                <c:pt idx="9">
                  <c:v>88</c:v>
                </c:pt>
              </c:numCache>
            </c:numRef>
          </c:val>
          <c:extLst>
            <c:ext xmlns:c16="http://schemas.microsoft.com/office/drawing/2014/chart" uri="{C3380CC4-5D6E-409C-BE32-E72D297353CC}">
              <c16:uniqueId val="{00000002-76CC-441F-8696-2F068E0C2260}"/>
            </c:ext>
          </c:extLst>
        </c:ser>
        <c:ser>
          <c:idx val="3"/>
          <c:order val="3"/>
          <c:tx>
            <c:strRef>
              <c:f>Sheet3!$G$34</c:f>
              <c:strCache>
                <c:ptCount val="1"/>
                <c:pt idx="0">
                  <c:v>Not Responded</c:v>
                </c:pt>
              </c:strCache>
            </c:strRef>
          </c:tx>
          <c:invertIfNegative val="0"/>
          <c:cat>
            <c:strRef>
              <c:f>Sheet3!$C$35:$C$44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Sheet3!$G$35:$G$44</c:f>
              <c:numCache>
                <c:formatCode>General</c:formatCode>
                <c:ptCount val="10"/>
                <c:pt idx="0">
                  <c:v>0</c:v>
                </c:pt>
                <c:pt idx="1">
                  <c:v>4</c:v>
                </c:pt>
                <c:pt idx="2">
                  <c:v>0</c:v>
                </c:pt>
                <c:pt idx="3">
                  <c:v>0</c:v>
                </c:pt>
                <c:pt idx="4">
                  <c:v>0</c:v>
                </c:pt>
                <c:pt idx="5">
                  <c:v>0</c:v>
                </c:pt>
                <c:pt idx="6">
                  <c:v>8</c:v>
                </c:pt>
                <c:pt idx="7">
                  <c:v>0</c:v>
                </c:pt>
                <c:pt idx="8">
                  <c:v>0</c:v>
                </c:pt>
                <c:pt idx="9">
                  <c:v>0</c:v>
                </c:pt>
              </c:numCache>
            </c:numRef>
          </c:val>
          <c:extLst>
            <c:ext xmlns:c16="http://schemas.microsoft.com/office/drawing/2014/chart" uri="{C3380CC4-5D6E-409C-BE32-E72D297353CC}">
              <c16:uniqueId val="{00000003-76CC-441F-8696-2F068E0C2260}"/>
            </c:ext>
          </c:extLst>
        </c:ser>
        <c:dLbls>
          <c:showLegendKey val="0"/>
          <c:showVal val="0"/>
          <c:showCatName val="0"/>
          <c:showSerName val="0"/>
          <c:showPercent val="0"/>
          <c:showBubbleSize val="0"/>
        </c:dLbls>
        <c:gapWidth val="150"/>
        <c:overlap val="100"/>
        <c:axId val="47182976"/>
        <c:axId val="47184896"/>
      </c:barChart>
      <c:catAx>
        <c:axId val="47182976"/>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47184896"/>
        <c:crosses val="autoZero"/>
        <c:auto val="1"/>
        <c:lblAlgn val="ctr"/>
        <c:lblOffset val="100"/>
        <c:noMultiLvlLbl val="0"/>
      </c:catAx>
      <c:valAx>
        <c:axId val="47184896"/>
        <c:scaling>
          <c:orientation val="minMax"/>
        </c:scaling>
        <c:delete val="0"/>
        <c:axPos val="l"/>
        <c:majorGridlines/>
        <c:title>
          <c:tx>
            <c:rich>
              <a:bodyPr rot="-5400000" vert="horz"/>
              <a:lstStyle/>
              <a:p>
                <a:pPr>
                  <a:defRPr/>
                </a:pPr>
                <a:r>
                  <a:rPr lang="en-US"/>
                  <a:t>Number</a:t>
                </a:r>
                <a:r>
                  <a:rPr lang="en-US" baseline="0"/>
                  <a:t> of Respondants (%)</a:t>
                </a:r>
                <a:endParaRPr lang="en-US"/>
              </a:p>
            </c:rich>
          </c:tx>
          <c:overlay val="0"/>
        </c:title>
        <c:numFmt formatCode="0%" sourceLinked="1"/>
        <c:majorTickMark val="out"/>
        <c:minorTickMark val="none"/>
        <c:tickLblPos val="nextTo"/>
        <c:crossAx val="47182976"/>
        <c:crosses val="autoZero"/>
        <c:crossBetween val="between"/>
      </c:valAx>
    </c:plotArea>
    <c:legend>
      <c:legendPos val="r"/>
      <c:layout>
        <c:manualLayout>
          <c:xMode val="edge"/>
          <c:yMode val="edge"/>
          <c:x val="0.80932707355242561"/>
          <c:y val="0.24944043452901721"/>
          <c:w val="0.16673936884649981"/>
          <c:h val="0.2995099525602777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Slacked Bar Chart 5:Farmers Seed Treatment Knowledge Level  </a:t>
            </a:r>
          </a:p>
          <a:p>
            <a:pPr>
              <a:defRPr/>
            </a:pPr>
            <a:r>
              <a:rPr lang="en-US" sz="1400"/>
              <a:t>       % in Different Panchayats</a:t>
            </a:r>
          </a:p>
        </c:rich>
      </c:tx>
      <c:overlay val="0"/>
    </c:title>
    <c:autoTitleDeleted val="0"/>
    <c:plotArea>
      <c:layout/>
      <c:barChart>
        <c:barDir val="col"/>
        <c:grouping val="percentStacked"/>
        <c:varyColors val="0"/>
        <c:ser>
          <c:idx val="0"/>
          <c:order val="0"/>
          <c:tx>
            <c:strRef>
              <c:f>Sheet3!$D$49</c:f>
              <c:strCache>
                <c:ptCount val="1"/>
                <c:pt idx="0">
                  <c:v>Low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Sheet3!$D$50:$D$59</c:f>
              <c:numCache>
                <c:formatCode>General</c:formatCode>
                <c:ptCount val="10"/>
                <c:pt idx="0">
                  <c:v>72</c:v>
                </c:pt>
                <c:pt idx="1">
                  <c:v>48</c:v>
                </c:pt>
                <c:pt idx="2">
                  <c:v>84</c:v>
                </c:pt>
                <c:pt idx="3">
                  <c:v>88</c:v>
                </c:pt>
                <c:pt idx="4">
                  <c:v>60</c:v>
                </c:pt>
                <c:pt idx="5">
                  <c:v>100</c:v>
                </c:pt>
                <c:pt idx="6">
                  <c:v>80</c:v>
                </c:pt>
                <c:pt idx="7">
                  <c:v>64</c:v>
                </c:pt>
                <c:pt idx="8">
                  <c:v>28</c:v>
                </c:pt>
                <c:pt idx="9">
                  <c:v>100</c:v>
                </c:pt>
              </c:numCache>
            </c:numRef>
          </c:val>
          <c:extLst>
            <c:ext xmlns:c16="http://schemas.microsoft.com/office/drawing/2014/chart" uri="{C3380CC4-5D6E-409C-BE32-E72D297353CC}">
              <c16:uniqueId val="{00000000-315F-4549-89BC-EF59A6ACFF11}"/>
            </c:ext>
          </c:extLst>
        </c:ser>
        <c:ser>
          <c:idx val="1"/>
          <c:order val="1"/>
          <c:tx>
            <c:strRef>
              <c:f>Sheet3!$E$49</c:f>
              <c:strCache>
                <c:ptCount val="1"/>
                <c:pt idx="0">
                  <c:v>Medium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Sheet3!$E$50:$E$59</c:f>
              <c:numCache>
                <c:formatCode>General</c:formatCode>
                <c:ptCount val="10"/>
                <c:pt idx="0">
                  <c:v>24</c:v>
                </c:pt>
                <c:pt idx="1">
                  <c:v>40</c:v>
                </c:pt>
                <c:pt idx="2">
                  <c:v>16</c:v>
                </c:pt>
                <c:pt idx="3">
                  <c:v>12</c:v>
                </c:pt>
                <c:pt idx="4">
                  <c:v>36</c:v>
                </c:pt>
                <c:pt idx="5">
                  <c:v>0</c:v>
                </c:pt>
                <c:pt idx="6">
                  <c:v>0</c:v>
                </c:pt>
                <c:pt idx="7">
                  <c:v>24</c:v>
                </c:pt>
                <c:pt idx="8">
                  <c:v>56</c:v>
                </c:pt>
                <c:pt idx="9">
                  <c:v>0</c:v>
                </c:pt>
              </c:numCache>
            </c:numRef>
          </c:val>
          <c:extLst>
            <c:ext xmlns:c16="http://schemas.microsoft.com/office/drawing/2014/chart" uri="{C3380CC4-5D6E-409C-BE32-E72D297353CC}">
              <c16:uniqueId val="{00000001-315F-4549-89BC-EF59A6ACFF11}"/>
            </c:ext>
          </c:extLst>
        </c:ser>
        <c:ser>
          <c:idx val="2"/>
          <c:order val="2"/>
          <c:tx>
            <c:strRef>
              <c:f>Sheet3!$F$49</c:f>
              <c:strCache>
                <c:ptCount val="1"/>
                <c:pt idx="0">
                  <c:v>High Level</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Sheet3!$F$50:$F$59</c:f>
              <c:numCache>
                <c:formatCode>General</c:formatCode>
                <c:ptCount val="10"/>
                <c:pt idx="0">
                  <c:v>4</c:v>
                </c:pt>
                <c:pt idx="1">
                  <c:v>12</c:v>
                </c:pt>
                <c:pt idx="2">
                  <c:v>0</c:v>
                </c:pt>
                <c:pt idx="3">
                  <c:v>0</c:v>
                </c:pt>
                <c:pt idx="4">
                  <c:v>4</c:v>
                </c:pt>
                <c:pt idx="5">
                  <c:v>0</c:v>
                </c:pt>
                <c:pt idx="6">
                  <c:v>20</c:v>
                </c:pt>
                <c:pt idx="7">
                  <c:v>0</c:v>
                </c:pt>
                <c:pt idx="8">
                  <c:v>16</c:v>
                </c:pt>
                <c:pt idx="9">
                  <c:v>0</c:v>
                </c:pt>
              </c:numCache>
            </c:numRef>
          </c:val>
          <c:extLst>
            <c:ext xmlns:c16="http://schemas.microsoft.com/office/drawing/2014/chart" uri="{C3380CC4-5D6E-409C-BE32-E72D297353CC}">
              <c16:uniqueId val="{00000002-315F-4549-89BC-EF59A6ACFF11}"/>
            </c:ext>
          </c:extLst>
        </c:ser>
        <c:ser>
          <c:idx val="3"/>
          <c:order val="3"/>
          <c:tx>
            <c:strRef>
              <c:f>Sheet3!$G$49</c:f>
              <c:strCache>
                <c:ptCount val="1"/>
                <c:pt idx="0">
                  <c:v>Not Responded</c:v>
                </c:pt>
              </c:strCache>
            </c:strRef>
          </c:tx>
          <c:invertIfNegative val="0"/>
          <c:cat>
            <c:strRef>
              <c:f>Sheet3!$C$50:$C$59</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Sheet3!$G$50:$G$59</c:f>
              <c:numCache>
                <c:formatCode>General</c:formatCode>
                <c:ptCount val="10"/>
                <c:pt idx="0">
                  <c:v>0</c:v>
                </c:pt>
                <c:pt idx="1">
                  <c:v>0</c:v>
                </c:pt>
                <c:pt idx="2">
                  <c:v>0</c:v>
                </c:pt>
                <c:pt idx="3">
                  <c:v>0</c:v>
                </c:pt>
                <c:pt idx="4">
                  <c:v>0</c:v>
                </c:pt>
                <c:pt idx="5">
                  <c:v>0</c:v>
                </c:pt>
                <c:pt idx="6">
                  <c:v>0</c:v>
                </c:pt>
                <c:pt idx="7">
                  <c:v>12</c:v>
                </c:pt>
                <c:pt idx="8">
                  <c:v>0</c:v>
                </c:pt>
                <c:pt idx="9">
                  <c:v>0</c:v>
                </c:pt>
              </c:numCache>
            </c:numRef>
          </c:val>
          <c:extLst>
            <c:ext xmlns:c16="http://schemas.microsoft.com/office/drawing/2014/chart" uri="{C3380CC4-5D6E-409C-BE32-E72D297353CC}">
              <c16:uniqueId val="{00000003-315F-4549-89BC-EF59A6ACFF11}"/>
            </c:ext>
          </c:extLst>
        </c:ser>
        <c:dLbls>
          <c:showLegendKey val="0"/>
          <c:showVal val="0"/>
          <c:showCatName val="0"/>
          <c:showSerName val="0"/>
          <c:showPercent val="0"/>
          <c:showBubbleSize val="0"/>
        </c:dLbls>
        <c:gapWidth val="150"/>
        <c:overlap val="100"/>
        <c:axId val="47263104"/>
        <c:axId val="47265280"/>
      </c:barChart>
      <c:catAx>
        <c:axId val="47263104"/>
        <c:scaling>
          <c:orientation val="minMax"/>
        </c:scaling>
        <c:delete val="0"/>
        <c:axPos val="b"/>
        <c:title>
          <c:tx>
            <c:rich>
              <a:bodyPr/>
              <a:lstStyle/>
              <a:p>
                <a:pPr>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crossAx val="47265280"/>
        <c:crosses val="autoZero"/>
        <c:auto val="1"/>
        <c:lblAlgn val="ctr"/>
        <c:lblOffset val="100"/>
        <c:noMultiLvlLbl val="0"/>
      </c:catAx>
      <c:valAx>
        <c:axId val="47265280"/>
        <c:scaling>
          <c:orientation val="minMax"/>
        </c:scaling>
        <c:delete val="0"/>
        <c:axPos val="l"/>
        <c:majorGridlines/>
        <c:title>
          <c:tx>
            <c:rich>
              <a:bodyPr rot="-5400000" vert="horz"/>
              <a:lstStyle/>
              <a:p>
                <a:pPr>
                  <a:defRPr/>
                </a:pPr>
                <a:r>
                  <a:rPr lang="en-US"/>
                  <a:t>Percentage of Respondant</a:t>
                </a:r>
                <a:r>
                  <a:rPr lang="en-US" baseline="0"/>
                  <a:t> </a:t>
                </a:r>
                <a:endParaRPr lang="en-US"/>
              </a:p>
            </c:rich>
          </c:tx>
          <c:overlay val="0"/>
        </c:title>
        <c:numFmt formatCode="0%" sourceLinked="1"/>
        <c:majorTickMark val="out"/>
        <c:minorTickMark val="none"/>
        <c:tickLblPos val="nextTo"/>
        <c:crossAx val="47263104"/>
        <c:crosses val="autoZero"/>
        <c:crossBetween val="between"/>
      </c:valAx>
    </c:plotArea>
    <c:legend>
      <c:legendPos val="r"/>
      <c:layout>
        <c:manualLayout>
          <c:xMode val="edge"/>
          <c:yMode val="edge"/>
          <c:x val="0.7585837707786528"/>
          <c:y val="0.26312117235345583"/>
          <c:w val="0.22197178477690288"/>
          <c:h val="0.3348687664041994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6:Farmers Fertilizer Application </a:t>
            </a:r>
          </a:p>
          <a:p>
            <a:pPr>
              <a:defRPr/>
            </a:pPr>
            <a:r>
              <a:rPr lang="en-US" sz="1400"/>
              <a:t>             Knowledge Level (%) in Different</a:t>
            </a:r>
            <a:r>
              <a:rPr lang="en-US" sz="1400" baseline="0"/>
              <a:t> Panchayat</a:t>
            </a:r>
            <a:endParaRPr lang="en-US" sz="1400"/>
          </a:p>
        </c:rich>
      </c:tx>
      <c:layout>
        <c:manualLayout>
          <c:xMode val="edge"/>
          <c:yMode val="edge"/>
          <c:x val="0.12718487112187898"/>
          <c:y val="3.5302564509411133E-2"/>
        </c:manualLayout>
      </c:layout>
      <c:overlay val="0"/>
    </c:title>
    <c:autoTitleDeleted val="0"/>
    <c:plotArea>
      <c:layout/>
      <c:barChart>
        <c:barDir val="col"/>
        <c:grouping val="percentStacked"/>
        <c:varyColors val="0"/>
        <c:ser>
          <c:idx val="0"/>
          <c:order val="0"/>
          <c:tx>
            <c:strRef>
              <c:f>Sheet3!$D$65</c:f>
              <c:strCache>
                <c:ptCount val="1"/>
                <c:pt idx="0">
                  <c:v>Low</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Sheet3!$D$66:$D$75</c:f>
              <c:numCache>
                <c:formatCode>General</c:formatCode>
                <c:ptCount val="10"/>
                <c:pt idx="0">
                  <c:v>12</c:v>
                </c:pt>
                <c:pt idx="1">
                  <c:v>0</c:v>
                </c:pt>
                <c:pt idx="2">
                  <c:v>12</c:v>
                </c:pt>
                <c:pt idx="3">
                  <c:v>88</c:v>
                </c:pt>
                <c:pt idx="4">
                  <c:v>4</c:v>
                </c:pt>
                <c:pt idx="5">
                  <c:v>32</c:v>
                </c:pt>
                <c:pt idx="6">
                  <c:v>28</c:v>
                </c:pt>
                <c:pt idx="7">
                  <c:v>0</c:v>
                </c:pt>
                <c:pt idx="8">
                  <c:v>48</c:v>
                </c:pt>
                <c:pt idx="9">
                  <c:v>4</c:v>
                </c:pt>
              </c:numCache>
            </c:numRef>
          </c:val>
          <c:extLst>
            <c:ext xmlns:c16="http://schemas.microsoft.com/office/drawing/2014/chart" uri="{C3380CC4-5D6E-409C-BE32-E72D297353CC}">
              <c16:uniqueId val="{00000000-659C-411D-8847-C65B10826D97}"/>
            </c:ext>
          </c:extLst>
        </c:ser>
        <c:ser>
          <c:idx val="1"/>
          <c:order val="1"/>
          <c:tx>
            <c:strRef>
              <c:f>Sheet3!$E$65</c:f>
              <c:strCache>
                <c:ptCount val="1"/>
                <c:pt idx="0">
                  <c:v>Medium</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Sheet3!$E$66:$E$75</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extLst>
            <c:ext xmlns:c16="http://schemas.microsoft.com/office/drawing/2014/chart" uri="{C3380CC4-5D6E-409C-BE32-E72D297353CC}">
              <c16:uniqueId val="{00000001-659C-411D-8847-C65B10826D97}"/>
            </c:ext>
          </c:extLst>
        </c:ser>
        <c:ser>
          <c:idx val="2"/>
          <c:order val="2"/>
          <c:tx>
            <c:strRef>
              <c:f>Sheet3!$F$65</c:f>
              <c:strCache>
                <c:ptCount val="1"/>
                <c:pt idx="0">
                  <c:v>High</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Sheet3!$F$66:$F$75</c:f>
              <c:numCache>
                <c:formatCode>General</c:formatCode>
                <c:ptCount val="10"/>
                <c:pt idx="0">
                  <c:v>36</c:v>
                </c:pt>
                <c:pt idx="1">
                  <c:v>0</c:v>
                </c:pt>
                <c:pt idx="2">
                  <c:v>8</c:v>
                </c:pt>
                <c:pt idx="3">
                  <c:v>4</c:v>
                </c:pt>
                <c:pt idx="4">
                  <c:v>24</c:v>
                </c:pt>
                <c:pt idx="5">
                  <c:v>4</c:v>
                </c:pt>
                <c:pt idx="6">
                  <c:v>4</c:v>
                </c:pt>
                <c:pt idx="7">
                  <c:v>0</c:v>
                </c:pt>
                <c:pt idx="8">
                  <c:v>0</c:v>
                </c:pt>
                <c:pt idx="9">
                  <c:v>4</c:v>
                </c:pt>
              </c:numCache>
            </c:numRef>
          </c:val>
          <c:extLst>
            <c:ext xmlns:c16="http://schemas.microsoft.com/office/drawing/2014/chart" uri="{C3380CC4-5D6E-409C-BE32-E72D297353CC}">
              <c16:uniqueId val="{00000002-659C-411D-8847-C65B10826D97}"/>
            </c:ext>
          </c:extLst>
        </c:ser>
        <c:ser>
          <c:idx val="3"/>
          <c:order val="3"/>
          <c:tx>
            <c:strRef>
              <c:f>Sheet3!$G$65</c:f>
              <c:strCache>
                <c:ptCount val="1"/>
                <c:pt idx="0">
                  <c:v>Not Responded</c:v>
                </c:pt>
              </c:strCache>
            </c:strRef>
          </c:tx>
          <c:invertIfNegative val="0"/>
          <c:cat>
            <c:strRef>
              <c:f>Sheet3!$C$66:$C$75</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Sheet3!$G$66:$G$75</c:f>
              <c:numCache>
                <c:formatCode>General</c:formatCode>
                <c:ptCount val="10"/>
                <c:pt idx="0">
                  <c:v>0</c:v>
                </c:pt>
                <c:pt idx="1">
                  <c:v>4</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659C-411D-8847-C65B10826D97}"/>
            </c:ext>
          </c:extLst>
        </c:ser>
        <c:dLbls>
          <c:showLegendKey val="0"/>
          <c:showVal val="0"/>
          <c:showCatName val="0"/>
          <c:showSerName val="0"/>
          <c:showPercent val="0"/>
          <c:showBubbleSize val="0"/>
        </c:dLbls>
        <c:gapWidth val="150"/>
        <c:overlap val="100"/>
        <c:axId val="47286144"/>
        <c:axId val="130482176"/>
      </c:barChart>
      <c:catAx>
        <c:axId val="47286144"/>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0482176"/>
        <c:crosses val="autoZero"/>
        <c:auto val="1"/>
        <c:lblAlgn val="ctr"/>
        <c:lblOffset val="100"/>
        <c:noMultiLvlLbl val="0"/>
      </c:catAx>
      <c:valAx>
        <c:axId val="13048217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47286144"/>
        <c:crosses val="autoZero"/>
        <c:crossBetween val="between"/>
      </c:valAx>
    </c:plotArea>
    <c:legend>
      <c:legendPos val="r"/>
      <c:layout>
        <c:manualLayout>
          <c:xMode val="edge"/>
          <c:yMode val="edge"/>
          <c:x val="0.76969488188976387"/>
          <c:y val="0.25386191309419653"/>
          <c:w val="0.22197178477690288"/>
          <c:h val="0.3348687664041994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7: Farmers  knowledge Level on</a:t>
            </a:r>
            <a:r>
              <a:rPr lang="en-US" sz="1400" baseline="0"/>
              <a:t> Spacing in Different Panchayats</a:t>
            </a:r>
            <a:endParaRPr lang="en-US" sz="1400"/>
          </a:p>
        </c:rich>
      </c:tx>
      <c:layout>
        <c:manualLayout>
          <c:xMode val="edge"/>
          <c:yMode val="edge"/>
          <c:x val="0.15584711286089242"/>
          <c:y val="2.7777777777777776E-2"/>
        </c:manualLayout>
      </c:layout>
      <c:overlay val="0"/>
    </c:title>
    <c:autoTitleDeleted val="0"/>
    <c:plotArea>
      <c:layout/>
      <c:barChart>
        <c:barDir val="col"/>
        <c:grouping val="percentStacked"/>
        <c:varyColors val="0"/>
        <c:ser>
          <c:idx val="0"/>
          <c:order val="0"/>
          <c:tx>
            <c:strRef>
              <c:f>Sheet3!$D$82</c:f>
              <c:strCache>
                <c:ptCount val="1"/>
                <c:pt idx="0">
                  <c:v>Low</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Sheet3!$D$83:$D$92</c:f>
              <c:numCache>
                <c:formatCode>General</c:formatCode>
                <c:ptCount val="10"/>
                <c:pt idx="0">
                  <c:v>36</c:v>
                </c:pt>
                <c:pt idx="1">
                  <c:v>20</c:v>
                </c:pt>
                <c:pt idx="2">
                  <c:v>4</c:v>
                </c:pt>
                <c:pt idx="3">
                  <c:v>12</c:v>
                </c:pt>
                <c:pt idx="4">
                  <c:v>24</c:v>
                </c:pt>
                <c:pt idx="5">
                  <c:v>80</c:v>
                </c:pt>
                <c:pt idx="6">
                  <c:v>16</c:v>
                </c:pt>
                <c:pt idx="7">
                  <c:v>12</c:v>
                </c:pt>
                <c:pt idx="8">
                  <c:v>32</c:v>
                </c:pt>
                <c:pt idx="9">
                  <c:v>16</c:v>
                </c:pt>
              </c:numCache>
            </c:numRef>
          </c:val>
          <c:extLst>
            <c:ext xmlns:c16="http://schemas.microsoft.com/office/drawing/2014/chart" uri="{C3380CC4-5D6E-409C-BE32-E72D297353CC}">
              <c16:uniqueId val="{00000000-2345-44F5-8F56-51016B7D9F0F}"/>
            </c:ext>
          </c:extLst>
        </c:ser>
        <c:ser>
          <c:idx val="1"/>
          <c:order val="1"/>
          <c:tx>
            <c:strRef>
              <c:f>Sheet3!$E$82</c:f>
              <c:strCache>
                <c:ptCount val="1"/>
                <c:pt idx="0">
                  <c:v>Medium</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Sheet3!$E$83:$E$92</c:f>
              <c:numCache>
                <c:formatCode>General</c:formatCode>
                <c:ptCount val="10"/>
                <c:pt idx="0">
                  <c:v>52</c:v>
                </c:pt>
                <c:pt idx="1">
                  <c:v>96</c:v>
                </c:pt>
                <c:pt idx="2">
                  <c:v>80</c:v>
                </c:pt>
                <c:pt idx="3">
                  <c:v>8</c:v>
                </c:pt>
                <c:pt idx="4">
                  <c:v>72</c:v>
                </c:pt>
                <c:pt idx="5">
                  <c:v>64</c:v>
                </c:pt>
                <c:pt idx="6">
                  <c:v>68</c:v>
                </c:pt>
                <c:pt idx="7">
                  <c:v>100</c:v>
                </c:pt>
                <c:pt idx="8">
                  <c:v>52</c:v>
                </c:pt>
                <c:pt idx="9">
                  <c:v>92</c:v>
                </c:pt>
              </c:numCache>
            </c:numRef>
          </c:val>
          <c:extLst>
            <c:ext xmlns:c16="http://schemas.microsoft.com/office/drawing/2014/chart" uri="{C3380CC4-5D6E-409C-BE32-E72D297353CC}">
              <c16:uniqueId val="{00000001-2345-44F5-8F56-51016B7D9F0F}"/>
            </c:ext>
          </c:extLst>
        </c:ser>
        <c:ser>
          <c:idx val="2"/>
          <c:order val="2"/>
          <c:tx>
            <c:strRef>
              <c:f>Sheet3!$F$82</c:f>
              <c:strCache>
                <c:ptCount val="1"/>
                <c:pt idx="0">
                  <c:v>High</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Sheet3!$F$83:$F$92</c:f>
              <c:numCache>
                <c:formatCode>General</c:formatCode>
                <c:ptCount val="10"/>
                <c:pt idx="0">
                  <c:v>36</c:v>
                </c:pt>
                <c:pt idx="1">
                  <c:v>0</c:v>
                </c:pt>
                <c:pt idx="2">
                  <c:v>8</c:v>
                </c:pt>
                <c:pt idx="3">
                  <c:v>4</c:v>
                </c:pt>
                <c:pt idx="4">
                  <c:v>24</c:v>
                </c:pt>
                <c:pt idx="5">
                  <c:v>4</c:v>
                </c:pt>
                <c:pt idx="6">
                  <c:v>4</c:v>
                </c:pt>
                <c:pt idx="7">
                  <c:v>0</c:v>
                </c:pt>
                <c:pt idx="8">
                  <c:v>0</c:v>
                </c:pt>
                <c:pt idx="9">
                  <c:v>4</c:v>
                </c:pt>
              </c:numCache>
            </c:numRef>
          </c:val>
          <c:extLst>
            <c:ext xmlns:c16="http://schemas.microsoft.com/office/drawing/2014/chart" uri="{C3380CC4-5D6E-409C-BE32-E72D297353CC}">
              <c16:uniqueId val="{00000002-2345-44F5-8F56-51016B7D9F0F}"/>
            </c:ext>
          </c:extLst>
        </c:ser>
        <c:ser>
          <c:idx val="3"/>
          <c:order val="3"/>
          <c:tx>
            <c:strRef>
              <c:f>Sheet3!$G$82</c:f>
              <c:strCache>
                <c:ptCount val="1"/>
                <c:pt idx="0">
                  <c:v>Not Responded</c:v>
                </c:pt>
              </c:strCache>
            </c:strRef>
          </c:tx>
          <c:invertIfNegative val="0"/>
          <c:cat>
            <c:strRef>
              <c:f>Sheet3!$C$83:$C$92</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Sheet3!$G$83:$G$92</c:f>
              <c:numCache>
                <c:formatCode>General</c:formatCode>
                <c:ptCount val="10"/>
                <c:pt idx="0">
                  <c:v>0</c:v>
                </c:pt>
                <c:pt idx="1">
                  <c:v>4</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3-2345-44F5-8F56-51016B7D9F0F}"/>
            </c:ext>
          </c:extLst>
        </c:ser>
        <c:dLbls>
          <c:showLegendKey val="0"/>
          <c:showVal val="0"/>
          <c:showCatName val="0"/>
          <c:showSerName val="0"/>
          <c:showPercent val="0"/>
          <c:showBubbleSize val="0"/>
        </c:dLbls>
        <c:gapWidth val="150"/>
        <c:overlap val="100"/>
        <c:axId val="132764032"/>
        <c:axId val="132765952"/>
      </c:barChart>
      <c:catAx>
        <c:axId val="132764032"/>
        <c:scaling>
          <c:orientation val="minMax"/>
        </c:scaling>
        <c:delete val="0"/>
        <c:axPos val="b"/>
        <c:title>
          <c:tx>
            <c:rich>
              <a:bodyPr/>
              <a:lstStyle/>
              <a:p>
                <a:pPr>
                  <a:defRPr/>
                </a:pPr>
                <a:r>
                  <a:rPr lang="en-US" sz="1200" b="1" i="0" baseline="0">
                    <a:effectLst/>
                  </a:rPr>
                  <a:t> Gram Panchayats</a:t>
                </a:r>
                <a:endParaRPr lang="en-US" sz="1200">
                  <a:effectLst/>
                </a:endParaRPr>
              </a:p>
            </c:rich>
          </c:tx>
          <c:overlay val="0"/>
        </c:title>
        <c:numFmt formatCode="General" sourceLinked="0"/>
        <c:majorTickMark val="out"/>
        <c:minorTickMark val="none"/>
        <c:tickLblPos val="nextTo"/>
        <c:crossAx val="132765952"/>
        <c:crosses val="autoZero"/>
        <c:auto val="1"/>
        <c:lblAlgn val="ctr"/>
        <c:lblOffset val="100"/>
        <c:noMultiLvlLbl val="0"/>
      </c:catAx>
      <c:valAx>
        <c:axId val="132765952"/>
        <c:scaling>
          <c:orientation val="minMax"/>
        </c:scaling>
        <c:delete val="0"/>
        <c:axPos val="l"/>
        <c:majorGridlines/>
        <c:title>
          <c:tx>
            <c:rich>
              <a:bodyPr rot="-5400000" vert="horz"/>
              <a:lstStyle/>
              <a:p>
                <a:pPr>
                  <a:defRPr/>
                </a:pPr>
                <a:r>
                  <a:rPr lang="en-US"/>
                  <a:t>Percentage</a:t>
                </a:r>
                <a:r>
                  <a:rPr lang="en-US" baseline="0"/>
                  <a:t> of Respondant</a:t>
                </a:r>
                <a:endParaRPr lang="en-US"/>
              </a:p>
            </c:rich>
          </c:tx>
          <c:overlay val="0"/>
        </c:title>
        <c:numFmt formatCode="0%" sourceLinked="1"/>
        <c:majorTickMark val="out"/>
        <c:minorTickMark val="none"/>
        <c:tickLblPos val="nextTo"/>
        <c:crossAx val="132764032"/>
        <c:crosses val="autoZero"/>
        <c:crossBetween val="between"/>
      </c:valAx>
    </c:plotArea>
    <c:legend>
      <c:legendPos val="r"/>
      <c:layout>
        <c:manualLayout>
          <c:xMode val="edge"/>
          <c:yMode val="edge"/>
          <c:x val="0.76413932633420834"/>
          <c:y val="0.26775080198308543"/>
          <c:w val="0.22197178477690288"/>
          <c:h val="0.33486876640419949"/>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Stacked Bar Chart 8: Irrigation Practices</a:t>
            </a:r>
            <a:r>
              <a:rPr lang="en-US" sz="1400" baseline="0"/>
              <a:t> in Different Panchayats</a:t>
            </a:r>
            <a:endParaRPr lang="en-US" sz="1400"/>
          </a:p>
        </c:rich>
      </c:tx>
      <c:layout>
        <c:manualLayout>
          <c:xMode val="edge"/>
          <c:yMode val="edge"/>
          <c:x val="5.1141019513135946E-2"/>
          <c:y val="0"/>
        </c:manualLayout>
      </c:layout>
      <c:overlay val="0"/>
    </c:title>
    <c:autoTitleDeleted val="0"/>
    <c:plotArea>
      <c:layout/>
      <c:barChart>
        <c:barDir val="col"/>
        <c:grouping val="percentStacked"/>
        <c:varyColors val="0"/>
        <c:ser>
          <c:idx val="0"/>
          <c:order val="0"/>
          <c:tx>
            <c:strRef>
              <c:f>Sheet3!$D$98</c:f>
              <c:strCache>
                <c:ptCount val="1"/>
                <c:pt idx="0">
                  <c:v>Irrigated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Sheet3!$D$99:$D$108</c:f>
              <c:numCache>
                <c:formatCode>General</c:formatCode>
                <c:ptCount val="10"/>
                <c:pt idx="0">
                  <c:v>32</c:v>
                </c:pt>
                <c:pt idx="1">
                  <c:v>12</c:v>
                </c:pt>
                <c:pt idx="2">
                  <c:v>0</c:v>
                </c:pt>
                <c:pt idx="3">
                  <c:v>16</c:v>
                </c:pt>
                <c:pt idx="4">
                  <c:v>8</c:v>
                </c:pt>
                <c:pt idx="5">
                  <c:v>4</c:v>
                </c:pt>
                <c:pt idx="6">
                  <c:v>0</c:v>
                </c:pt>
                <c:pt idx="7">
                  <c:v>32</c:v>
                </c:pt>
                <c:pt idx="8">
                  <c:v>20</c:v>
                </c:pt>
                <c:pt idx="9">
                  <c:v>44</c:v>
                </c:pt>
              </c:numCache>
            </c:numRef>
          </c:val>
          <c:extLst>
            <c:ext xmlns:c16="http://schemas.microsoft.com/office/drawing/2014/chart" uri="{C3380CC4-5D6E-409C-BE32-E72D297353CC}">
              <c16:uniqueId val="{00000000-343D-402D-A387-12C641FFCD5B}"/>
            </c:ext>
          </c:extLst>
        </c:ser>
        <c:ser>
          <c:idx val="1"/>
          <c:order val="1"/>
          <c:tx>
            <c:strRef>
              <c:f>Sheet3!$E$98</c:f>
              <c:strCache>
                <c:ptCount val="1"/>
                <c:pt idx="0">
                  <c:v>Rainfed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Sheet3!$E$99:$E$108</c:f>
              <c:numCache>
                <c:formatCode>General</c:formatCode>
                <c:ptCount val="10"/>
                <c:pt idx="0">
                  <c:v>68</c:v>
                </c:pt>
                <c:pt idx="1">
                  <c:v>76</c:v>
                </c:pt>
                <c:pt idx="2">
                  <c:v>100</c:v>
                </c:pt>
                <c:pt idx="3">
                  <c:v>48</c:v>
                </c:pt>
                <c:pt idx="4">
                  <c:v>92</c:v>
                </c:pt>
                <c:pt idx="5">
                  <c:v>80</c:v>
                </c:pt>
                <c:pt idx="6">
                  <c:v>92</c:v>
                </c:pt>
                <c:pt idx="7">
                  <c:v>56</c:v>
                </c:pt>
                <c:pt idx="8">
                  <c:v>68</c:v>
                </c:pt>
                <c:pt idx="9">
                  <c:v>52</c:v>
                </c:pt>
              </c:numCache>
            </c:numRef>
          </c:val>
          <c:extLst>
            <c:ext xmlns:c16="http://schemas.microsoft.com/office/drawing/2014/chart" uri="{C3380CC4-5D6E-409C-BE32-E72D297353CC}">
              <c16:uniqueId val="{00000001-343D-402D-A387-12C641FFCD5B}"/>
            </c:ext>
          </c:extLst>
        </c:ser>
        <c:ser>
          <c:idx val="2"/>
          <c:order val="2"/>
          <c:tx>
            <c:strRef>
              <c:f>Sheet3!$F$98</c:f>
              <c:strCache>
                <c:ptCount val="1"/>
                <c:pt idx="0">
                  <c:v>Not Responded</c:v>
                </c:pt>
              </c:strCache>
            </c:strRef>
          </c:tx>
          <c:invertIfNegative val="0"/>
          <c:cat>
            <c:strRef>
              <c:f>Sheet3!$C$99:$C$108</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Sheet3!$F$99:$F$108</c:f>
              <c:numCache>
                <c:formatCode>General</c:formatCode>
                <c:ptCount val="10"/>
                <c:pt idx="0">
                  <c:v>0</c:v>
                </c:pt>
                <c:pt idx="1">
                  <c:v>12</c:v>
                </c:pt>
                <c:pt idx="2">
                  <c:v>0</c:v>
                </c:pt>
                <c:pt idx="3">
                  <c:v>36</c:v>
                </c:pt>
                <c:pt idx="4">
                  <c:v>0</c:v>
                </c:pt>
                <c:pt idx="5">
                  <c:v>16</c:v>
                </c:pt>
                <c:pt idx="6">
                  <c:v>8</c:v>
                </c:pt>
                <c:pt idx="7">
                  <c:v>12</c:v>
                </c:pt>
                <c:pt idx="8">
                  <c:v>12</c:v>
                </c:pt>
                <c:pt idx="9">
                  <c:v>4</c:v>
                </c:pt>
              </c:numCache>
            </c:numRef>
          </c:val>
          <c:extLst>
            <c:ext xmlns:c16="http://schemas.microsoft.com/office/drawing/2014/chart" uri="{C3380CC4-5D6E-409C-BE32-E72D297353CC}">
              <c16:uniqueId val="{00000002-343D-402D-A387-12C641FFCD5B}"/>
            </c:ext>
          </c:extLst>
        </c:ser>
        <c:dLbls>
          <c:showLegendKey val="0"/>
          <c:showVal val="0"/>
          <c:showCatName val="0"/>
          <c:showSerName val="0"/>
          <c:showPercent val="0"/>
          <c:showBubbleSize val="0"/>
        </c:dLbls>
        <c:gapWidth val="150"/>
        <c:overlap val="100"/>
        <c:axId val="132965888"/>
        <c:axId val="132967808"/>
      </c:barChart>
      <c:catAx>
        <c:axId val="132965888"/>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2967808"/>
        <c:crosses val="autoZero"/>
        <c:auto val="1"/>
        <c:lblAlgn val="ctr"/>
        <c:lblOffset val="100"/>
        <c:noMultiLvlLbl val="0"/>
      </c:catAx>
      <c:valAx>
        <c:axId val="132967808"/>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132965888"/>
        <c:crosses val="autoZero"/>
        <c:crossBetween val="between"/>
      </c:valAx>
    </c:plotArea>
    <c:legend>
      <c:legendPos val="r"/>
      <c:layout>
        <c:manualLayout>
          <c:xMode val="edge"/>
          <c:yMode val="edge"/>
          <c:x val="0.76136154855643057"/>
          <c:y val="0.27257217847769027"/>
          <c:w val="0.22197178477690288"/>
          <c:h val="0.25115157480314959"/>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Stacked Bar Chart 9: Farmers  Weed Management knowledge level in Different Panchayats</a:t>
            </a:r>
            <a:endParaRPr lang="en-US" sz="1400" b="1"/>
          </a:p>
        </c:rich>
      </c:tx>
      <c:layout>
        <c:manualLayout>
          <c:xMode val="edge"/>
          <c:yMode val="edge"/>
          <c:x val="0.10755475790245321"/>
          <c:y val="1.3888888888888888E-2"/>
        </c:manualLayout>
      </c:layout>
      <c:overlay val="0"/>
    </c:title>
    <c:autoTitleDeleted val="0"/>
    <c:plotArea>
      <c:layout/>
      <c:barChart>
        <c:barDir val="col"/>
        <c:grouping val="percentStacked"/>
        <c:varyColors val="0"/>
        <c:ser>
          <c:idx val="0"/>
          <c:order val="0"/>
          <c:tx>
            <c:strRef>
              <c:f>Sheet3!$D$114</c:f>
              <c:strCache>
                <c:ptCount val="1"/>
                <c:pt idx="0">
                  <c:v>Manual/ Low</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Sheet3!$D$115:$D$124</c:f>
              <c:numCache>
                <c:formatCode>General</c:formatCode>
                <c:ptCount val="10"/>
                <c:pt idx="0">
                  <c:v>48</c:v>
                </c:pt>
                <c:pt idx="1">
                  <c:v>92</c:v>
                </c:pt>
                <c:pt idx="2">
                  <c:v>92</c:v>
                </c:pt>
                <c:pt idx="3">
                  <c:v>88</c:v>
                </c:pt>
                <c:pt idx="4">
                  <c:v>84</c:v>
                </c:pt>
                <c:pt idx="5">
                  <c:v>72</c:v>
                </c:pt>
                <c:pt idx="6">
                  <c:v>56</c:v>
                </c:pt>
                <c:pt idx="7">
                  <c:v>68</c:v>
                </c:pt>
                <c:pt idx="8">
                  <c:v>96</c:v>
                </c:pt>
                <c:pt idx="9">
                  <c:v>84</c:v>
                </c:pt>
              </c:numCache>
            </c:numRef>
          </c:val>
          <c:extLst>
            <c:ext xmlns:c16="http://schemas.microsoft.com/office/drawing/2014/chart" uri="{C3380CC4-5D6E-409C-BE32-E72D297353CC}">
              <c16:uniqueId val="{00000000-35F7-484B-94C4-553BB5083E72}"/>
            </c:ext>
          </c:extLst>
        </c:ser>
        <c:ser>
          <c:idx val="1"/>
          <c:order val="1"/>
          <c:tx>
            <c:strRef>
              <c:f>Sheet3!$E$114</c:f>
              <c:strCache>
                <c:ptCount val="1"/>
                <c:pt idx="0">
                  <c:v>Both/High</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Sheet3!$E$115:$E$124</c:f>
              <c:numCache>
                <c:formatCode>General</c:formatCode>
                <c:ptCount val="10"/>
                <c:pt idx="0">
                  <c:v>28</c:v>
                </c:pt>
                <c:pt idx="1">
                  <c:v>0</c:v>
                </c:pt>
                <c:pt idx="2">
                  <c:v>0</c:v>
                </c:pt>
                <c:pt idx="3">
                  <c:v>0</c:v>
                </c:pt>
                <c:pt idx="4">
                  <c:v>0</c:v>
                </c:pt>
                <c:pt idx="5">
                  <c:v>0</c:v>
                </c:pt>
                <c:pt idx="6">
                  <c:v>28</c:v>
                </c:pt>
                <c:pt idx="7">
                  <c:v>0</c:v>
                </c:pt>
                <c:pt idx="8">
                  <c:v>0</c:v>
                </c:pt>
                <c:pt idx="9">
                  <c:v>0</c:v>
                </c:pt>
              </c:numCache>
            </c:numRef>
          </c:val>
          <c:extLst>
            <c:ext xmlns:c16="http://schemas.microsoft.com/office/drawing/2014/chart" uri="{C3380CC4-5D6E-409C-BE32-E72D297353CC}">
              <c16:uniqueId val="{00000001-35F7-484B-94C4-553BB5083E72}"/>
            </c:ext>
          </c:extLst>
        </c:ser>
        <c:ser>
          <c:idx val="2"/>
          <c:order val="2"/>
          <c:tx>
            <c:strRef>
              <c:f>Sheet3!$F$114</c:f>
              <c:strCache>
                <c:ptCount val="1"/>
                <c:pt idx="0">
                  <c:v>Chemical/ Medium</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Sheet3!$F$115:$F$124</c:f>
              <c:numCache>
                <c:formatCode>General</c:formatCode>
                <c:ptCount val="10"/>
                <c:pt idx="0">
                  <c:v>12</c:v>
                </c:pt>
                <c:pt idx="1">
                  <c:v>0</c:v>
                </c:pt>
                <c:pt idx="2">
                  <c:v>0</c:v>
                </c:pt>
                <c:pt idx="3">
                  <c:v>4</c:v>
                </c:pt>
                <c:pt idx="4">
                  <c:v>4</c:v>
                </c:pt>
                <c:pt idx="5">
                  <c:v>20</c:v>
                </c:pt>
                <c:pt idx="6">
                  <c:v>0</c:v>
                </c:pt>
                <c:pt idx="7">
                  <c:v>28</c:v>
                </c:pt>
                <c:pt idx="8">
                  <c:v>4</c:v>
                </c:pt>
                <c:pt idx="9">
                  <c:v>0</c:v>
                </c:pt>
              </c:numCache>
            </c:numRef>
          </c:val>
          <c:extLst>
            <c:ext xmlns:c16="http://schemas.microsoft.com/office/drawing/2014/chart" uri="{C3380CC4-5D6E-409C-BE32-E72D297353CC}">
              <c16:uniqueId val="{00000002-35F7-484B-94C4-553BB5083E72}"/>
            </c:ext>
          </c:extLst>
        </c:ser>
        <c:ser>
          <c:idx val="3"/>
          <c:order val="3"/>
          <c:tx>
            <c:strRef>
              <c:f>Sheet3!$G$114</c:f>
              <c:strCache>
                <c:ptCount val="1"/>
                <c:pt idx="0">
                  <c:v>Not Responded</c:v>
                </c:pt>
              </c:strCache>
            </c:strRef>
          </c:tx>
          <c:invertIfNegative val="0"/>
          <c:cat>
            <c:strRef>
              <c:f>Sheet3!$C$115:$C$124</c:f>
              <c:strCache>
                <c:ptCount val="10"/>
                <c:pt idx="0">
                  <c:v>Bagga Chanogi</c:v>
                </c:pt>
                <c:pt idx="1">
                  <c:v>Chatri</c:v>
                </c:pt>
                <c:pt idx="2">
                  <c:v>Shikawri</c:v>
                </c:pt>
                <c:pt idx="3">
                  <c:v>Thana</c:v>
                </c:pt>
                <c:pt idx="4">
                  <c:v>Tunga Dhar</c:v>
                </c:pt>
                <c:pt idx="5">
                  <c:v>Bagra Thach</c:v>
                </c:pt>
                <c:pt idx="6">
                  <c:v>Chiuni</c:v>
                </c:pt>
                <c:pt idx="7">
                  <c:v>Dhim Kataru</c:v>
                </c:pt>
                <c:pt idx="8">
                  <c:v>Thunag</c:v>
                </c:pt>
                <c:pt idx="9">
                  <c:v>Shilli Baggi</c:v>
                </c:pt>
              </c:strCache>
            </c:strRef>
          </c:cat>
          <c:val>
            <c:numRef>
              <c:f>Sheet3!$G$115:$G$124</c:f>
              <c:numCache>
                <c:formatCode>General</c:formatCode>
                <c:ptCount val="10"/>
                <c:pt idx="0">
                  <c:v>12</c:v>
                </c:pt>
                <c:pt idx="1">
                  <c:v>8</c:v>
                </c:pt>
                <c:pt idx="2">
                  <c:v>8</c:v>
                </c:pt>
                <c:pt idx="3">
                  <c:v>8</c:v>
                </c:pt>
                <c:pt idx="4">
                  <c:v>12</c:v>
                </c:pt>
                <c:pt idx="5">
                  <c:v>8</c:v>
                </c:pt>
                <c:pt idx="6">
                  <c:v>16</c:v>
                </c:pt>
                <c:pt idx="7">
                  <c:v>4</c:v>
                </c:pt>
                <c:pt idx="8">
                  <c:v>0</c:v>
                </c:pt>
                <c:pt idx="9">
                  <c:v>16</c:v>
                </c:pt>
              </c:numCache>
            </c:numRef>
          </c:val>
          <c:extLst>
            <c:ext xmlns:c16="http://schemas.microsoft.com/office/drawing/2014/chart" uri="{C3380CC4-5D6E-409C-BE32-E72D297353CC}">
              <c16:uniqueId val="{00000003-35F7-484B-94C4-553BB5083E72}"/>
            </c:ext>
          </c:extLst>
        </c:ser>
        <c:dLbls>
          <c:showLegendKey val="0"/>
          <c:showVal val="0"/>
          <c:showCatName val="0"/>
          <c:showSerName val="0"/>
          <c:showPercent val="0"/>
          <c:showBubbleSize val="0"/>
        </c:dLbls>
        <c:gapWidth val="150"/>
        <c:overlap val="100"/>
        <c:axId val="133206016"/>
        <c:axId val="133207936"/>
      </c:barChart>
      <c:catAx>
        <c:axId val="133206016"/>
        <c:scaling>
          <c:orientation val="minMax"/>
        </c:scaling>
        <c:delete val="0"/>
        <c:axPos val="b"/>
        <c:title>
          <c:tx>
            <c:rich>
              <a:bodyPr/>
              <a:lstStyle/>
              <a:p>
                <a:pPr>
                  <a:defRPr/>
                </a:pPr>
                <a:r>
                  <a:rPr lang="en-US" sz="1200" b="1" i="0" baseline="0">
                    <a:effectLst/>
                  </a:rPr>
                  <a:t>Gram Panchayats</a:t>
                </a:r>
                <a:endParaRPr lang="en-US" sz="1200">
                  <a:effectLst/>
                </a:endParaRPr>
              </a:p>
            </c:rich>
          </c:tx>
          <c:overlay val="0"/>
        </c:title>
        <c:numFmt formatCode="General" sourceLinked="0"/>
        <c:majorTickMark val="out"/>
        <c:minorTickMark val="none"/>
        <c:tickLblPos val="nextTo"/>
        <c:crossAx val="133207936"/>
        <c:crosses val="autoZero"/>
        <c:auto val="1"/>
        <c:lblAlgn val="ctr"/>
        <c:lblOffset val="100"/>
        <c:noMultiLvlLbl val="0"/>
      </c:catAx>
      <c:valAx>
        <c:axId val="133207936"/>
        <c:scaling>
          <c:orientation val="minMax"/>
        </c:scaling>
        <c:delete val="0"/>
        <c:axPos val="l"/>
        <c:majorGridlines/>
        <c:title>
          <c:tx>
            <c:rich>
              <a:bodyPr rot="-5400000" vert="horz"/>
              <a:lstStyle/>
              <a:p>
                <a:pPr>
                  <a:defRPr/>
                </a:pPr>
                <a:r>
                  <a:rPr lang="en-US"/>
                  <a:t>Percentage</a:t>
                </a:r>
                <a:r>
                  <a:rPr lang="en-US" baseline="0"/>
                  <a:t> of Respondants</a:t>
                </a:r>
                <a:endParaRPr lang="en-US"/>
              </a:p>
            </c:rich>
          </c:tx>
          <c:overlay val="0"/>
        </c:title>
        <c:numFmt formatCode="0%" sourceLinked="1"/>
        <c:majorTickMark val="out"/>
        <c:minorTickMark val="none"/>
        <c:tickLblPos val="nextTo"/>
        <c:crossAx val="133206016"/>
        <c:crosses val="autoZero"/>
        <c:crossBetween val="between"/>
      </c:valAx>
    </c:plotArea>
    <c:legend>
      <c:legendPos val="r"/>
      <c:layout>
        <c:manualLayout>
          <c:xMode val="edge"/>
          <c:yMode val="edge"/>
          <c:x val="0.79290908861111464"/>
          <c:y val="0.24460265383493729"/>
          <c:w val="0.20709091138888538"/>
          <c:h val="0.3348687664041994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19</Pages>
  <Words>5010</Words>
  <Characters>28558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Rajeev Kumar</dc:creator>
  <cp:keywords/>
  <dc:description/>
  <cp:lastModifiedBy>SDI 1084</cp:lastModifiedBy>
  <cp:revision>12</cp:revision>
  <dcterms:created xsi:type="dcterms:W3CDTF">2026-03-20T06:22:00Z</dcterms:created>
  <dcterms:modified xsi:type="dcterms:W3CDTF">2026-03-21T09:16:00Z</dcterms:modified>
</cp:coreProperties>
</file>