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E704A" w14:textId="77777777" w:rsidR="00C20B70" w:rsidRDefault="00C20B70" w:rsidP="004B6C5C">
      <w:pPr>
        <w:spacing w:line="360" w:lineRule="auto"/>
        <w:jc w:val="both"/>
        <w:rPr>
          <w:rFonts w:ascii="Times New Roman" w:hAnsi="Times New Roman" w:cs="Times New Roman"/>
          <w:b/>
          <w:bCs/>
          <w:sz w:val="24"/>
          <w:szCs w:val="24"/>
        </w:rPr>
      </w:pPr>
      <w:r w:rsidRPr="00C20B70">
        <w:rPr>
          <w:rFonts w:ascii="Times New Roman" w:hAnsi="Times New Roman" w:cs="Times New Roman"/>
          <w:b/>
          <w:bCs/>
          <w:sz w:val="24"/>
          <w:szCs w:val="24"/>
        </w:rPr>
        <w:t xml:space="preserve">Case report </w:t>
      </w:r>
    </w:p>
    <w:p w14:paraId="2B336D9B" w14:textId="77B02593" w:rsidR="00B969AB" w:rsidRPr="004B6C5C" w:rsidRDefault="005F4CE7" w:rsidP="004B6C5C">
      <w:pPr>
        <w:spacing w:line="360" w:lineRule="auto"/>
        <w:jc w:val="both"/>
        <w:rPr>
          <w:rFonts w:ascii="Times New Roman" w:hAnsi="Times New Roman" w:cs="Times New Roman"/>
          <w:b/>
          <w:bCs/>
          <w:sz w:val="24"/>
          <w:szCs w:val="24"/>
        </w:rPr>
      </w:pPr>
      <w:r w:rsidRPr="004B6C5C">
        <w:rPr>
          <w:rFonts w:ascii="Times New Roman" w:hAnsi="Times New Roman" w:cs="Times New Roman"/>
          <w:b/>
          <w:bCs/>
          <w:sz w:val="24"/>
          <w:szCs w:val="24"/>
        </w:rPr>
        <w:t>METFORMIN INDUCED LACTIC ACIDOSIS: A CASE REPORT</w:t>
      </w:r>
    </w:p>
    <w:p w14:paraId="093EB5C6" w14:textId="77777777" w:rsidR="000218ED" w:rsidRDefault="000218ED" w:rsidP="004B6C5C">
      <w:pPr>
        <w:spacing w:line="360" w:lineRule="auto"/>
        <w:rPr>
          <w:rFonts w:ascii="Times New Roman" w:hAnsi="Times New Roman" w:cs="Times New Roman"/>
          <w:sz w:val="24"/>
          <w:szCs w:val="24"/>
        </w:rPr>
      </w:pPr>
    </w:p>
    <w:p w14:paraId="6B0CF1DD" w14:textId="4537D04B" w:rsidR="00910405" w:rsidRDefault="00910405" w:rsidP="004B6C5C">
      <w:pPr>
        <w:spacing w:line="360" w:lineRule="auto"/>
        <w:rPr>
          <w:rFonts w:ascii="Times New Roman" w:hAnsi="Times New Roman" w:cs="Times New Roman"/>
          <w:sz w:val="24"/>
          <w:szCs w:val="24"/>
        </w:rPr>
      </w:pPr>
      <w:bookmarkStart w:id="0" w:name="_GoBack"/>
      <w:bookmarkEnd w:id="0"/>
      <w:proofErr w:type="gramStart"/>
      <w:r w:rsidRPr="004B6C5C">
        <w:rPr>
          <w:rFonts w:ascii="Times New Roman" w:hAnsi="Times New Roman" w:cs="Times New Roman"/>
          <w:sz w:val="24"/>
          <w:szCs w:val="24"/>
        </w:rPr>
        <w:t>ABSTRACT :</w:t>
      </w:r>
      <w:proofErr w:type="gramEnd"/>
      <w:r w:rsidRPr="004B6C5C">
        <w:rPr>
          <w:rFonts w:ascii="Times New Roman" w:hAnsi="Times New Roman" w:cs="Times New Roman"/>
          <w:sz w:val="24"/>
          <w:szCs w:val="24"/>
        </w:rPr>
        <w:t xml:space="preserve"> </w:t>
      </w:r>
    </w:p>
    <w:p w14:paraId="5B358EF3" w14:textId="417845C4" w:rsidR="00EA27B1" w:rsidRPr="00EA27B1" w:rsidRDefault="00EA27B1" w:rsidP="00795FC4">
      <w:pPr>
        <w:spacing w:line="360" w:lineRule="auto"/>
        <w:jc w:val="both"/>
        <w:rPr>
          <w:rFonts w:ascii="Times New Roman" w:hAnsi="Times New Roman" w:cs="Times New Roman"/>
          <w:sz w:val="24"/>
          <w:szCs w:val="24"/>
        </w:rPr>
      </w:pPr>
      <w:r w:rsidRPr="00EA27B1">
        <w:rPr>
          <w:rFonts w:ascii="Times New Roman" w:hAnsi="Times New Roman" w:cs="Times New Roman"/>
          <w:sz w:val="24"/>
          <w:szCs w:val="24"/>
        </w:rPr>
        <w:t>Elevated lactate levels and high anion gap metabolic acidosis are hallmarks of Metformin-associated lactic acidosis, a rare but potentially fatal complication of Metformin therapy. Although the incidence of MALA is low, it carries a significantly high mortality rate, particularly in cases where diagnosis and treatment are delayed. Early recognition is therefore essential to improve clinical outcomes and reduce the risk of fatality.</w:t>
      </w:r>
    </w:p>
    <w:p w14:paraId="30B9EA01" w14:textId="77777777" w:rsidR="00EA27B1" w:rsidRPr="00EA27B1" w:rsidRDefault="00EA27B1" w:rsidP="00795FC4">
      <w:pPr>
        <w:spacing w:line="360" w:lineRule="auto"/>
        <w:jc w:val="both"/>
        <w:rPr>
          <w:rFonts w:ascii="Times New Roman" w:hAnsi="Times New Roman" w:cs="Times New Roman"/>
          <w:sz w:val="24"/>
          <w:szCs w:val="24"/>
        </w:rPr>
      </w:pPr>
      <w:r w:rsidRPr="00EA27B1">
        <w:rPr>
          <w:rFonts w:ascii="Times New Roman" w:hAnsi="Times New Roman" w:cs="Times New Roman"/>
          <w:sz w:val="24"/>
          <w:szCs w:val="24"/>
        </w:rPr>
        <w:t>MALA is most commonly associated with underlying conditions such as sepsis, hypoxia, or renal impairment, all of which can impair lactate clearance and exacerbate metabolic disturbances. However, it is important to note that MALA can also occur in the absence of these traditional risk factors, making diagnosis more challenging. This highlights the need for clinicians to maintain a high index of suspicion even in atypical presentations.</w:t>
      </w:r>
    </w:p>
    <w:p w14:paraId="6752E727" w14:textId="77777777" w:rsidR="00EA27B1" w:rsidRPr="00EA27B1" w:rsidRDefault="00EA27B1" w:rsidP="00795FC4">
      <w:pPr>
        <w:spacing w:line="360" w:lineRule="auto"/>
        <w:jc w:val="both"/>
        <w:rPr>
          <w:rFonts w:ascii="Times New Roman" w:hAnsi="Times New Roman" w:cs="Times New Roman"/>
          <w:sz w:val="24"/>
          <w:szCs w:val="24"/>
        </w:rPr>
      </w:pPr>
      <w:r w:rsidRPr="00EA27B1">
        <w:rPr>
          <w:rFonts w:ascii="Times New Roman" w:hAnsi="Times New Roman" w:cs="Times New Roman"/>
          <w:sz w:val="24"/>
          <w:szCs w:val="24"/>
        </w:rPr>
        <w:t>In this case, a patient with type 2 diabetes mellitus who had been receiving long-term metformin therapy presented with symptoms including nausea, vomiting, and altered mental status following a short episode of fever. Despite having normal renal function, laboratory investigations revealed severe metabolic acidosis, with a blood pH of less than 7.2 and markedly elevated lactate levels. These findings are consistent with a diagnosis of MALA, suggesting that metformin accumulation or altered metabolism may have contributed to the condition.</w:t>
      </w:r>
    </w:p>
    <w:p w14:paraId="727AA53F" w14:textId="3E19489E" w:rsidR="00EA27B1" w:rsidRPr="00EA27B1" w:rsidRDefault="00EA27B1" w:rsidP="00795FC4">
      <w:pPr>
        <w:spacing w:line="360" w:lineRule="auto"/>
        <w:jc w:val="both"/>
        <w:rPr>
          <w:rFonts w:ascii="Times New Roman" w:hAnsi="Times New Roman" w:cs="Times New Roman"/>
          <w:sz w:val="24"/>
          <w:szCs w:val="24"/>
        </w:rPr>
      </w:pPr>
      <w:r w:rsidRPr="00EA27B1">
        <w:rPr>
          <w:rFonts w:ascii="Times New Roman" w:hAnsi="Times New Roman" w:cs="Times New Roman"/>
          <w:sz w:val="24"/>
          <w:szCs w:val="24"/>
        </w:rPr>
        <w:t>The probable cause of the patient’s metabolic disturbance was attributed to metformin, despite the absence of common predisposing factors such as renal dysfunction. This case underscores the importance of recognising that MALA can develop even in patients who appear clinically stable and do not exhibit typical risk factors. Timely identification and intervention are therefore critical in preventing severe complications and improving patient outcome</w:t>
      </w:r>
      <w:r>
        <w:rPr>
          <w:rFonts w:ascii="Times New Roman" w:hAnsi="Times New Roman" w:cs="Times New Roman"/>
          <w:sz w:val="24"/>
          <w:szCs w:val="24"/>
        </w:rPr>
        <w:t>.</w:t>
      </w:r>
    </w:p>
    <w:p w14:paraId="659DAB4D" w14:textId="77777777" w:rsidR="00EA27B1" w:rsidRPr="004B6C5C" w:rsidRDefault="00EA27B1" w:rsidP="004B6C5C">
      <w:pPr>
        <w:spacing w:line="360" w:lineRule="auto"/>
        <w:rPr>
          <w:rFonts w:ascii="Times New Roman" w:hAnsi="Times New Roman" w:cs="Times New Roman"/>
          <w:sz w:val="24"/>
          <w:szCs w:val="24"/>
        </w:rPr>
      </w:pPr>
    </w:p>
    <w:p w14:paraId="32A4C8F5" w14:textId="77777777" w:rsidR="00B969AB" w:rsidRPr="004B6C5C" w:rsidRDefault="005F4CE7" w:rsidP="004B6C5C">
      <w:pPr>
        <w:spacing w:line="360" w:lineRule="auto"/>
        <w:rPr>
          <w:rFonts w:ascii="Times New Roman" w:hAnsi="Times New Roman" w:cs="Times New Roman"/>
          <w:sz w:val="24"/>
          <w:szCs w:val="24"/>
        </w:rPr>
      </w:pPr>
      <w:r w:rsidRPr="004B6C5C">
        <w:rPr>
          <w:rFonts w:ascii="Times New Roman" w:hAnsi="Times New Roman" w:cs="Times New Roman"/>
          <w:sz w:val="24"/>
          <w:szCs w:val="24"/>
        </w:rPr>
        <w:t>INTRODUCTION:</w:t>
      </w:r>
    </w:p>
    <w:p w14:paraId="5E927D9B" w14:textId="55162BD3" w:rsidR="007F6D1F" w:rsidRPr="004B6C5C" w:rsidRDefault="007F6D1F" w:rsidP="00C014BF">
      <w:pPr>
        <w:spacing w:line="360" w:lineRule="auto"/>
        <w:jc w:val="both"/>
        <w:rPr>
          <w:rFonts w:ascii="Times New Roman" w:hAnsi="Times New Roman" w:cs="Times New Roman"/>
          <w:sz w:val="24"/>
          <w:szCs w:val="24"/>
        </w:rPr>
      </w:pPr>
      <w:r w:rsidRPr="004B6C5C">
        <w:rPr>
          <w:rFonts w:ascii="Times New Roman" w:hAnsi="Times New Roman" w:cs="Times New Roman"/>
          <w:sz w:val="24"/>
          <w:szCs w:val="24"/>
        </w:rPr>
        <w:t xml:space="preserve"> The first-line medications for type II diabetes is a biguanide</w:t>
      </w:r>
      <w:r w:rsidR="00B461E9" w:rsidRPr="004B6C5C">
        <w:rPr>
          <w:rFonts w:ascii="Times New Roman" w:hAnsi="Times New Roman" w:cs="Times New Roman"/>
          <w:sz w:val="24"/>
          <w:szCs w:val="24"/>
        </w:rPr>
        <w:t xml:space="preserve"> - Metformin</w:t>
      </w:r>
      <w:r w:rsidR="00B461E9" w:rsidRPr="004B6C5C">
        <w:rPr>
          <w:rFonts w:ascii="Times New Roman" w:hAnsi="Times New Roman" w:cs="Times New Roman"/>
          <w:color w:val="EE0000"/>
          <w:sz w:val="24"/>
          <w:szCs w:val="24"/>
          <w:vertAlign w:val="superscript"/>
        </w:rPr>
        <w:t xml:space="preserve"> </w:t>
      </w:r>
      <w:r w:rsidRPr="004B6C5C">
        <w:rPr>
          <w:rFonts w:ascii="Times New Roman" w:hAnsi="Times New Roman" w:cs="Times New Roman"/>
          <w:sz w:val="24"/>
          <w:szCs w:val="24"/>
          <w:vertAlign w:val="superscript"/>
        </w:rPr>
        <w:t>1</w:t>
      </w:r>
      <w:r w:rsidR="00C014BF">
        <w:rPr>
          <w:rFonts w:ascii="Times New Roman" w:hAnsi="Times New Roman" w:cs="Times New Roman"/>
          <w:sz w:val="24"/>
          <w:szCs w:val="24"/>
        </w:rPr>
        <w:t>.</w:t>
      </w:r>
      <w:r w:rsidR="00C014BF" w:rsidRPr="00C014BF">
        <w:t xml:space="preserve"> </w:t>
      </w:r>
      <w:r w:rsidR="00C014BF" w:rsidRPr="00C014BF">
        <w:rPr>
          <w:rFonts w:ascii="Times New Roman" w:hAnsi="Times New Roman" w:cs="Times New Roman"/>
          <w:sz w:val="24"/>
          <w:szCs w:val="24"/>
        </w:rPr>
        <w:t xml:space="preserve">This drug plays a critical function in maintaining blood glucose levels through multiple mechanisms. Primarily, </w:t>
      </w:r>
      <w:r w:rsidR="00C014BF" w:rsidRPr="00C014BF">
        <w:rPr>
          <w:rFonts w:ascii="Times New Roman" w:hAnsi="Times New Roman" w:cs="Times New Roman"/>
          <w:sz w:val="24"/>
          <w:szCs w:val="24"/>
        </w:rPr>
        <w:lastRenderedPageBreak/>
        <w:t>metformin improves the uptake of glucose in muscles and fat cells due to enhanced sensitivity to insulin in these body parts. In addition, metformin helps to reduce the level of glucose produced in the liver, where it acts to suppress the process of gluconeogenesis, which is responsible for elevated fasting blood glucose levels in patients with type II diabetes. Furthermore, metformin decreases the absorption of glucose from the intestine,</w:t>
      </w:r>
      <w:r w:rsidR="00C014BF">
        <w:rPr>
          <w:rFonts w:ascii="Times New Roman" w:hAnsi="Times New Roman" w:cs="Times New Roman"/>
          <w:sz w:val="24"/>
          <w:szCs w:val="24"/>
        </w:rPr>
        <w:t xml:space="preserve"> </w:t>
      </w:r>
      <w:r w:rsidR="00C014BF" w:rsidRPr="00C014BF">
        <w:rPr>
          <w:rFonts w:ascii="Times New Roman" w:hAnsi="Times New Roman" w:cs="Times New Roman"/>
          <w:sz w:val="24"/>
          <w:szCs w:val="24"/>
        </w:rPr>
        <w:t xml:space="preserve">thereby limiting postprandial spikes in blood sugar levels. Due to these combined actions, metformin is widely regarded as an effective and reliable pharmacological therapy for managing type II </w:t>
      </w:r>
      <w:proofErr w:type="gramStart"/>
      <w:r w:rsidR="00C014BF" w:rsidRPr="00C014BF">
        <w:rPr>
          <w:rFonts w:ascii="Times New Roman" w:hAnsi="Times New Roman" w:cs="Times New Roman"/>
          <w:sz w:val="24"/>
          <w:szCs w:val="24"/>
        </w:rPr>
        <w:t>diabetes</w:t>
      </w:r>
      <w:r w:rsidRPr="004B6C5C">
        <w:rPr>
          <w:rFonts w:ascii="Times New Roman" w:hAnsi="Times New Roman" w:cs="Times New Roman"/>
          <w:sz w:val="24"/>
          <w:szCs w:val="24"/>
          <w:vertAlign w:val="superscript"/>
        </w:rPr>
        <w:t xml:space="preserve"> </w:t>
      </w:r>
      <w:r w:rsidR="00C014BF">
        <w:rPr>
          <w:rFonts w:ascii="Times New Roman" w:hAnsi="Times New Roman" w:cs="Times New Roman"/>
          <w:sz w:val="24"/>
          <w:szCs w:val="24"/>
        </w:rPr>
        <w:t>.</w:t>
      </w:r>
      <w:r w:rsidRPr="004B6C5C">
        <w:rPr>
          <w:rFonts w:ascii="Times New Roman" w:hAnsi="Times New Roman" w:cs="Times New Roman"/>
          <w:sz w:val="24"/>
          <w:szCs w:val="24"/>
        </w:rPr>
        <w:t>It</w:t>
      </w:r>
      <w:proofErr w:type="gramEnd"/>
      <w:r w:rsidRPr="004B6C5C">
        <w:rPr>
          <w:rFonts w:ascii="Times New Roman" w:hAnsi="Times New Roman" w:cs="Times New Roman"/>
          <w:sz w:val="24"/>
          <w:szCs w:val="24"/>
        </w:rPr>
        <w:t xml:space="preserve"> lowers blood glucose levels by improving insulin sensitivity, reducing the liver's synthesis of glucose, and decreasing intestinal absorption. Most people concur that metformin is a medication with a</w:t>
      </w:r>
      <w:r w:rsidR="00B461E9" w:rsidRPr="004B6C5C">
        <w:rPr>
          <w:rFonts w:ascii="Times New Roman" w:hAnsi="Times New Roman" w:cs="Times New Roman"/>
          <w:sz w:val="24"/>
          <w:szCs w:val="24"/>
        </w:rPr>
        <w:t>n excellent safety record, acceptable tolerability and dosage schedule.</w:t>
      </w:r>
      <w:r w:rsidRPr="004B6C5C">
        <w:rPr>
          <w:rFonts w:ascii="Times New Roman" w:hAnsi="Times New Roman" w:cs="Times New Roman"/>
          <w:sz w:val="24"/>
          <w:szCs w:val="24"/>
        </w:rPr>
        <w:t xml:space="preserve"> </w:t>
      </w:r>
      <w:r w:rsidR="00C014BF" w:rsidRPr="00C014BF">
        <w:rPr>
          <w:rFonts w:ascii="Times New Roman" w:hAnsi="Times New Roman" w:cs="Times New Roman"/>
          <w:sz w:val="24"/>
          <w:szCs w:val="24"/>
        </w:rPr>
        <w:t>It is generally associated with mild gastrointestinal side effects such as nausea or diarrhoea, which are often transient.</w:t>
      </w:r>
      <w:r w:rsidR="00C014BF">
        <w:rPr>
          <w:rFonts w:ascii="Times New Roman" w:hAnsi="Times New Roman" w:cs="Times New Roman"/>
          <w:sz w:val="24"/>
          <w:szCs w:val="24"/>
        </w:rPr>
        <w:t xml:space="preserve"> </w:t>
      </w:r>
      <w:r w:rsidRPr="00C014BF">
        <w:rPr>
          <w:rFonts w:ascii="Times New Roman" w:hAnsi="Times New Roman" w:cs="Times New Roman"/>
          <w:sz w:val="24"/>
          <w:szCs w:val="24"/>
        </w:rPr>
        <w:t>A</w:t>
      </w:r>
      <w:r w:rsidRPr="004B6C5C">
        <w:rPr>
          <w:rFonts w:ascii="Times New Roman" w:hAnsi="Times New Roman" w:cs="Times New Roman"/>
          <w:sz w:val="24"/>
          <w:szCs w:val="24"/>
        </w:rPr>
        <w:t xml:space="preserve"> substantial buildup of lactic acid in the blood is a defining feature of metformin-associated lactic acidosis, a rare but potentially harmful side effect of the drug metformin</w:t>
      </w:r>
      <w:r w:rsidRPr="004B6C5C">
        <w:rPr>
          <w:rFonts w:ascii="Times New Roman" w:hAnsi="Times New Roman" w:cs="Times New Roman"/>
          <w:sz w:val="24"/>
          <w:szCs w:val="24"/>
          <w:vertAlign w:val="superscript"/>
        </w:rPr>
        <w:t>. 2</w:t>
      </w:r>
    </w:p>
    <w:p w14:paraId="428173E7" w14:textId="22A4ABEF" w:rsidR="00D21CFC" w:rsidRDefault="00A148D4" w:rsidP="00C014BF">
      <w:pPr>
        <w:spacing w:line="360" w:lineRule="auto"/>
        <w:jc w:val="both"/>
        <w:rPr>
          <w:rFonts w:ascii="Times New Roman" w:hAnsi="Times New Roman" w:cs="Times New Roman"/>
          <w:sz w:val="24"/>
          <w:szCs w:val="24"/>
          <w:vertAlign w:val="superscript"/>
        </w:rPr>
      </w:pPr>
      <w:r w:rsidRPr="004B6C5C">
        <w:rPr>
          <w:rFonts w:ascii="Times New Roman" w:hAnsi="Times New Roman" w:cs="Times New Roman"/>
          <w:sz w:val="24"/>
          <w:szCs w:val="24"/>
        </w:rPr>
        <w:t>Metformin-associated lactic acidosis (MALA), a rare side effect of altered lactate and hydrogen metabolism, is characterised by pH &lt; 7.35 and lactate &gt; 5.0 mmol/L when metformin is used or overdosed</w:t>
      </w:r>
      <w:r w:rsidR="00CC7B91" w:rsidRPr="004B6C5C">
        <w:rPr>
          <w:rFonts w:ascii="Times New Roman" w:hAnsi="Times New Roman" w:cs="Times New Roman"/>
          <w:sz w:val="24"/>
          <w:szCs w:val="24"/>
        </w:rPr>
        <w:t>.</w:t>
      </w:r>
      <w:r w:rsidRPr="004B6C5C">
        <w:rPr>
          <w:rFonts w:ascii="Times New Roman" w:hAnsi="Times New Roman" w:cs="Times New Roman"/>
          <w:sz w:val="24"/>
          <w:szCs w:val="24"/>
        </w:rPr>
        <w:t xml:space="preserve"> </w:t>
      </w:r>
      <w:r w:rsidR="00C014BF" w:rsidRPr="00C014BF">
        <w:rPr>
          <w:rFonts w:ascii="Times New Roman" w:hAnsi="Times New Roman" w:cs="Times New Roman"/>
          <w:sz w:val="24"/>
          <w:szCs w:val="24"/>
        </w:rPr>
        <w:t xml:space="preserve">Although the incidence of MALA is extremely low, it carries a high mortality rate of approximately 50%, making it a critical condition requiring urgent medical attention. Epidemiological data indicate that this issue occurs approximately 0.05 times per 1,000 patient years, further highlighting its rarity but also its clinical significance. </w:t>
      </w:r>
      <w:r w:rsidR="00C014BF">
        <w:rPr>
          <w:rFonts w:ascii="Times New Roman" w:hAnsi="Times New Roman" w:cs="Times New Roman"/>
          <w:sz w:val="24"/>
          <w:szCs w:val="24"/>
          <w:vertAlign w:val="superscript"/>
        </w:rPr>
        <w:t>3</w:t>
      </w:r>
    </w:p>
    <w:p w14:paraId="7680853D" w14:textId="6A77BCA0" w:rsidR="00EA27B1" w:rsidRPr="00EA27B1" w:rsidRDefault="00EA27B1" w:rsidP="00C014BF">
      <w:pPr>
        <w:spacing w:line="360" w:lineRule="auto"/>
        <w:jc w:val="both"/>
        <w:rPr>
          <w:rFonts w:ascii="Times New Roman" w:hAnsi="Times New Roman" w:cs="Times New Roman"/>
          <w:sz w:val="24"/>
          <w:szCs w:val="24"/>
        </w:rPr>
      </w:pPr>
      <w:r w:rsidRPr="00EA27B1">
        <w:rPr>
          <w:rFonts w:ascii="Times New Roman" w:hAnsi="Times New Roman" w:cs="Times New Roman"/>
          <w:sz w:val="24"/>
          <w:szCs w:val="24"/>
        </w:rPr>
        <w:t xml:space="preserve">Several factors contribute to hyperlactatemia in cases of Metformin-associated lactic acidosis. Supratherapeutic levels of Metformin inhibit Complex I of the mitochondrial respiratory chain, disrupting oxidative phosphorylation and reducing ATP production, which forces cells to rely more on anaerobic metabolism and increases lactate production. In addition, metformin inhibits pyruvate carboxylase, reducing the conversion of pyruvate into glucose and promoting its conversion into lactate, thereby further contributing to lactate accumulation. The impairment of oxidative phosphorylation and pyruvate utilisation leads to decreased ATP levels, which in turn raises adenosine monophosphate (AMP) concentrations. Elevated AMP inhibits fructose-1,6-bisphosphatase, a key rate-limiting enzyme in gluconeogenesis, thereby suppressing hepatic glucose production and reducing the liver’s capacity to clear lactate from the bloodstream. Furthermore, metformin inhibits glucose-6-phosphatase, preventing glycogen breakdown and limiting endogenous glucose availability. The combined effects of reduced gluconeogenesis and glycogenolysis, along with increased glucose utilisation and dependence </w:t>
      </w:r>
      <w:r w:rsidRPr="00EA27B1">
        <w:rPr>
          <w:rFonts w:ascii="Times New Roman" w:hAnsi="Times New Roman" w:cs="Times New Roman"/>
          <w:sz w:val="24"/>
          <w:szCs w:val="24"/>
        </w:rPr>
        <w:lastRenderedPageBreak/>
        <w:t>on glycolysis, create a metabolic environment that favours lactate accumulation. Although metformin is generally considered a euglycemic agent, these metabolic disturbances may, in some cases of MALA, result in hypoglycaemia⁴.</w:t>
      </w:r>
    </w:p>
    <w:p w14:paraId="7F4CD43A" w14:textId="77777777" w:rsidR="00B969AB" w:rsidRPr="004B6C5C" w:rsidRDefault="005F4CE7" w:rsidP="004B6C5C">
      <w:pPr>
        <w:spacing w:line="360" w:lineRule="auto"/>
        <w:rPr>
          <w:rFonts w:ascii="Times New Roman" w:hAnsi="Times New Roman" w:cs="Times New Roman"/>
          <w:sz w:val="24"/>
          <w:szCs w:val="24"/>
        </w:rPr>
      </w:pPr>
      <w:r w:rsidRPr="004B6C5C">
        <w:rPr>
          <w:rFonts w:ascii="Times New Roman" w:hAnsi="Times New Roman" w:cs="Times New Roman"/>
          <w:sz w:val="24"/>
          <w:szCs w:val="24"/>
        </w:rPr>
        <w:t>CASE HISTORY:</w:t>
      </w:r>
    </w:p>
    <w:p w14:paraId="4910AABD" w14:textId="77777777" w:rsidR="009F5291" w:rsidRPr="009F5291" w:rsidRDefault="009F5291" w:rsidP="009F5291">
      <w:pPr>
        <w:spacing w:line="360" w:lineRule="auto"/>
        <w:jc w:val="both"/>
        <w:rPr>
          <w:rFonts w:ascii="Times New Roman" w:hAnsi="Times New Roman" w:cs="Times New Roman"/>
          <w:sz w:val="24"/>
          <w:szCs w:val="24"/>
        </w:rPr>
      </w:pPr>
      <w:r w:rsidRPr="009F5291">
        <w:rPr>
          <w:rFonts w:ascii="Times New Roman" w:hAnsi="Times New Roman" w:cs="Times New Roman"/>
          <w:sz w:val="24"/>
          <w:szCs w:val="24"/>
        </w:rPr>
        <w:t>A 61-year-old woman was admitted with a 3-day history of fever accompanied by lower respiratory tract symptoms, including cough with expectoration. She also presented with additional symptoms of nausea, vomiting, myalgia, dysuria, and headache. On clinical examination, she was diagnosed with a lower respiratory tract infection along with a urinary tract infection. She was therefore commenced on empirical intravenous antibiotics and supportive treatment. Following this management, the patient showed clear clinical improvement, and a repeat urine routine examination returned normal results.</w:t>
      </w:r>
    </w:p>
    <w:p w14:paraId="1F72E369" w14:textId="77777777" w:rsidR="009F5291" w:rsidRPr="009F5291" w:rsidRDefault="009F5291" w:rsidP="009F5291">
      <w:pPr>
        <w:spacing w:line="360" w:lineRule="auto"/>
        <w:jc w:val="both"/>
        <w:rPr>
          <w:rFonts w:ascii="Times New Roman" w:hAnsi="Times New Roman" w:cs="Times New Roman"/>
          <w:sz w:val="24"/>
          <w:szCs w:val="24"/>
        </w:rPr>
      </w:pPr>
      <w:r w:rsidRPr="009F5291">
        <w:rPr>
          <w:rFonts w:ascii="Times New Roman" w:hAnsi="Times New Roman" w:cs="Times New Roman"/>
          <w:sz w:val="24"/>
          <w:szCs w:val="24"/>
        </w:rPr>
        <w:t>Despite the resolution of her infective symptoms, she continued to experience persistent severe vomiting and epigastric pain, which raised concern for a possible drug-related cause of her ongoing symptoms. A detailed review of her medication chart revealed that she was taking Metformin 1000 mg and vildagliptin 50 mg once daily. In view of her clinical presentation and medication history, a diagnosis of Metformin-associated lactic acidosis was suspected, and serum lactate levels were subsequently measured. The investigation showed an elevated serum lactate level of 21.1 mg/dL (normal range: 4.5–19.8 mg/dL), which supported the suspected diagnosis.</w:t>
      </w:r>
    </w:p>
    <w:p w14:paraId="158B0951" w14:textId="77777777" w:rsidR="009F5291" w:rsidRPr="009F5291" w:rsidRDefault="009F5291" w:rsidP="009F5291">
      <w:pPr>
        <w:spacing w:line="360" w:lineRule="auto"/>
        <w:jc w:val="both"/>
        <w:rPr>
          <w:rFonts w:ascii="Times New Roman" w:hAnsi="Times New Roman" w:cs="Times New Roman"/>
          <w:sz w:val="24"/>
          <w:szCs w:val="24"/>
        </w:rPr>
      </w:pPr>
      <w:r w:rsidRPr="009F5291">
        <w:rPr>
          <w:rFonts w:ascii="Times New Roman" w:hAnsi="Times New Roman" w:cs="Times New Roman"/>
          <w:sz w:val="24"/>
          <w:szCs w:val="24"/>
        </w:rPr>
        <w:t>Following this finding, her oral hypoglycaemic agents were immediately discontinued, and she was commenced on insulin therapy with close monitoring of blood glucose levels to ensure glycaemic control. After the withdrawal of metformin and initiation of insulin, the patient’s symptoms gradually improved. Her serum lactate levels also showed significant reduction, decreasing to 7.8 mg/dL over the course of treatment. She remained clinically stable and continued to improve without further complications. The patient was subsequently discharged in good condition, with appropriate follow-up arranged. At follow-up review, she remained well with no recurrence of symptoms, indicating successful resolution and effective management of the condition.</w:t>
      </w:r>
    </w:p>
    <w:p w14:paraId="72635CD8" w14:textId="77777777" w:rsidR="00EA27B1" w:rsidRDefault="00EA27B1" w:rsidP="004B6C5C">
      <w:pPr>
        <w:spacing w:line="360" w:lineRule="auto"/>
        <w:jc w:val="both"/>
        <w:rPr>
          <w:rFonts w:ascii="Times New Roman" w:hAnsi="Times New Roman" w:cs="Times New Roman"/>
          <w:sz w:val="24"/>
          <w:szCs w:val="24"/>
        </w:rPr>
      </w:pPr>
    </w:p>
    <w:p w14:paraId="55F5B798" w14:textId="4C1F9351" w:rsidR="00B969AB" w:rsidRPr="004B6C5C" w:rsidRDefault="005F4CE7" w:rsidP="004B6C5C">
      <w:pPr>
        <w:spacing w:line="360" w:lineRule="auto"/>
        <w:jc w:val="both"/>
        <w:rPr>
          <w:rFonts w:ascii="Times New Roman" w:hAnsi="Times New Roman" w:cs="Times New Roman"/>
          <w:sz w:val="24"/>
          <w:szCs w:val="24"/>
        </w:rPr>
      </w:pPr>
      <w:r w:rsidRPr="004B6C5C">
        <w:rPr>
          <w:rFonts w:ascii="Times New Roman" w:hAnsi="Times New Roman" w:cs="Times New Roman"/>
          <w:sz w:val="24"/>
          <w:szCs w:val="24"/>
        </w:rPr>
        <w:t xml:space="preserve">DISCUSSION: </w:t>
      </w:r>
    </w:p>
    <w:p w14:paraId="27F9D7AF" w14:textId="0AA97C49" w:rsidR="00BC3540" w:rsidRPr="004B6C5C" w:rsidRDefault="00BC3540"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lastRenderedPageBreak/>
        <w:t xml:space="preserve">Although metformin is frequently used to treat diabetes, lactic acidosis is a </w:t>
      </w:r>
      <w:r w:rsidR="00AD7237" w:rsidRPr="004B6C5C">
        <w:rPr>
          <w:color w:val="000000"/>
          <w:shd w:val="clear" w:color="auto" w:fill="FFFFFF"/>
        </w:rPr>
        <w:t>rare but serious</w:t>
      </w:r>
      <w:r w:rsidRPr="004B6C5C">
        <w:rPr>
          <w:color w:val="000000"/>
          <w:shd w:val="clear" w:color="auto" w:fill="FFFFFF"/>
        </w:rPr>
        <w:t xml:space="preserve"> side effect. MALA can occur in people for a variety of reasons, including acute illness that causes tissue hypoxia, vomiting, diarrhoea, kidney damage, and taking too much Metformin. It is believed that during MALA development, a positive feedback mechanism influences one or more of these parameters. By measuring the metformin concentrations in patients with MALA, the severity of the condition can be assessed. </w:t>
      </w:r>
      <w:r w:rsidRPr="004B6C5C">
        <w:rPr>
          <w:color w:val="000000"/>
          <w:shd w:val="clear" w:color="auto" w:fill="FFFFFF"/>
          <w:vertAlign w:val="superscript"/>
        </w:rPr>
        <w:t>5</w:t>
      </w:r>
    </w:p>
    <w:p w14:paraId="07509139" w14:textId="77777777" w:rsidR="00551B23" w:rsidRPr="004B6C5C" w:rsidRDefault="009D3A9D"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Similar to the symptoms experienced by our patient, a case report by Hiroki Kinoshita et al. found that the most common symptoms of MALA are related to the gastrointestinal tract, including nausea, vomiting, and diarrhoea. These are followed by altered mental status, shortness of breath, hypothermia, and hypotension.</w:t>
      </w:r>
      <w:r w:rsidR="00551B23" w:rsidRPr="004B6C5C">
        <w:rPr>
          <w:color w:val="000000"/>
          <w:shd w:val="clear" w:color="auto" w:fill="FFFFFF"/>
          <w:vertAlign w:val="superscript"/>
        </w:rPr>
        <w:t>6</w:t>
      </w:r>
    </w:p>
    <w:p w14:paraId="79359080" w14:textId="4C81AEB3" w:rsidR="00B969AB" w:rsidRPr="004B6C5C" w:rsidRDefault="009D3A9D"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 xml:space="preserve">Mohammed Taha et al.'s case report. Renal replacement therapy was necessary due to the patient's severe </w:t>
      </w:r>
      <w:proofErr w:type="spellStart"/>
      <w:r w:rsidRPr="004B6C5C">
        <w:rPr>
          <w:color w:val="000000"/>
          <w:shd w:val="clear" w:color="auto" w:fill="FFFFFF"/>
        </w:rPr>
        <w:t>acidemia</w:t>
      </w:r>
      <w:proofErr w:type="spellEnd"/>
      <w:r w:rsidRPr="004B6C5C">
        <w:rPr>
          <w:color w:val="000000"/>
          <w:shd w:val="clear" w:color="auto" w:fill="FFFFFF"/>
        </w:rPr>
        <w:t xml:space="preserve"> and shock, which was consistent with MALA; stopping metformin + CRRT (continuous renal replacement therapy) resulted in a quick correction. With just supportive care and drug withdrawal, our patient's condition improved.</w:t>
      </w:r>
      <w:r w:rsidR="00551B23" w:rsidRPr="004B6C5C">
        <w:rPr>
          <w:color w:val="000000"/>
          <w:shd w:val="clear" w:color="auto" w:fill="FFFFFF"/>
          <w:vertAlign w:val="superscript"/>
        </w:rPr>
        <w:t>5</w:t>
      </w:r>
    </w:p>
    <w:p w14:paraId="01805ADF" w14:textId="4C9A4A13" w:rsidR="008A494F" w:rsidRPr="004B6C5C" w:rsidRDefault="008A494F" w:rsidP="004B6C5C">
      <w:pPr>
        <w:pStyle w:val="NormalWeb"/>
        <w:spacing w:before="450" w:line="360" w:lineRule="auto"/>
        <w:jc w:val="both"/>
        <w:rPr>
          <w:color w:val="000000"/>
          <w:shd w:val="clear" w:color="auto" w:fill="FFFFFF"/>
          <w:vertAlign w:val="superscript"/>
        </w:rPr>
      </w:pPr>
      <w:r w:rsidRPr="004B6C5C">
        <w:rPr>
          <w:color w:val="000000"/>
          <w:shd w:val="clear" w:color="auto" w:fill="FFFFFF"/>
        </w:rPr>
        <w:t xml:space="preserve">The case report by Rabia Mahmood et al. describes a critically ill metformin user who had sepsis-associated AKI, severe high-anion-gap metabolic acidosis, and noticeably elevated lactate that necessitated vasopressors and CRRT—all signs of MALA. Our 61-year-old patient with LRTI/UTI, however, had very mild hyperlactatemia (2.34→0.87 mmol/L), no </w:t>
      </w:r>
      <w:proofErr w:type="spellStart"/>
      <w:r w:rsidRPr="004B6C5C">
        <w:rPr>
          <w:color w:val="000000"/>
          <w:shd w:val="clear" w:color="auto" w:fill="FFFFFF"/>
        </w:rPr>
        <w:t>acidemia</w:t>
      </w:r>
      <w:proofErr w:type="spellEnd"/>
      <w:r w:rsidRPr="004B6C5C">
        <w:rPr>
          <w:color w:val="000000"/>
          <w:shd w:val="clear" w:color="auto" w:fill="FFFFFF"/>
        </w:rPr>
        <w:t xml:space="preserve"> or renal failure, and she recovered well after receiving supportive care and temporarily stopping oral hypoglycemics.</w:t>
      </w:r>
      <w:r w:rsidRPr="004B6C5C">
        <w:rPr>
          <w:color w:val="000000"/>
          <w:shd w:val="clear" w:color="auto" w:fill="FFFFFF"/>
          <w:vertAlign w:val="superscript"/>
        </w:rPr>
        <w:t>7</w:t>
      </w:r>
    </w:p>
    <w:p w14:paraId="5F223E24" w14:textId="77777777" w:rsidR="00B969AB" w:rsidRPr="004B6C5C" w:rsidRDefault="005F4CE7" w:rsidP="004B6C5C">
      <w:pPr>
        <w:pStyle w:val="NormalWeb"/>
        <w:spacing w:before="450" w:beforeAutospacing="0" w:after="0" w:afterAutospacing="0" w:line="360" w:lineRule="auto"/>
        <w:jc w:val="both"/>
        <w:rPr>
          <w:color w:val="000000"/>
          <w:shd w:val="clear" w:color="auto" w:fill="FFFFFF"/>
        </w:rPr>
      </w:pPr>
      <w:proofErr w:type="gramStart"/>
      <w:r w:rsidRPr="004B6C5C">
        <w:rPr>
          <w:color w:val="000000"/>
          <w:shd w:val="clear" w:color="auto" w:fill="FFFFFF"/>
        </w:rPr>
        <w:t>CONCLUSION :</w:t>
      </w:r>
      <w:proofErr w:type="gramEnd"/>
      <w:r w:rsidRPr="004B6C5C">
        <w:rPr>
          <w:color w:val="000000"/>
          <w:shd w:val="clear" w:color="auto" w:fill="FFFFFF"/>
        </w:rPr>
        <w:t xml:space="preserve"> </w:t>
      </w:r>
    </w:p>
    <w:p w14:paraId="30C839F3" w14:textId="0E8C2F2E" w:rsidR="00EA27B1" w:rsidRDefault="00EA27B1" w:rsidP="00EA27B1">
      <w:pPr>
        <w:pStyle w:val="NormalWeb"/>
        <w:shd w:val="clear" w:color="auto" w:fill="FFFFFF"/>
        <w:spacing w:before="166" w:after="166" w:line="360" w:lineRule="auto"/>
        <w:jc w:val="both"/>
        <w:rPr>
          <w:color w:val="000000"/>
        </w:rPr>
      </w:pPr>
      <w:r w:rsidRPr="00EA27B1">
        <w:rPr>
          <w:color w:val="000000"/>
        </w:rPr>
        <w:t xml:space="preserve">This patient’s mild elevation in lactate during the acute infection resolved rapidly following discontinuation of Metformin and the provision of appropriate supportive care, indicating that the hyperlactatemia was transient in nature. This suggests that the rise in lactate levels was more likely triggered by the acute illness rather than underlying renal impairment or severe hypoxia, which are more commonly associated with persistent metabolic disturbances. The patient’s normal renal function and quick recovery further support this conclusion. This case highlights the importance of recognising that even mild or temporary illnesses can influence lactate metabolism in patients receiving metformin therapy. Therefore, clinicians should remain cautious and consider temporarily discontinuing metformin during periods of acute </w:t>
      </w:r>
      <w:r w:rsidRPr="00EA27B1">
        <w:rPr>
          <w:color w:val="000000"/>
        </w:rPr>
        <w:lastRenderedPageBreak/>
        <w:t>illness. Such an approach can help reduce the risk of developing complications such as Metformin-associated lactic acidosis and ensure improved patient safety and clinical outcomes.</w:t>
      </w:r>
    </w:p>
    <w:p w14:paraId="7761937F" w14:textId="0C63E856" w:rsidR="00B03548" w:rsidRPr="004B6C5C" w:rsidRDefault="00B03548" w:rsidP="00EA27B1">
      <w:pPr>
        <w:pStyle w:val="NormalWeb"/>
        <w:shd w:val="clear" w:color="auto" w:fill="FFFFFF"/>
        <w:spacing w:before="166" w:after="166" w:line="360" w:lineRule="auto"/>
        <w:jc w:val="both"/>
        <w:rPr>
          <w:color w:val="000000"/>
        </w:rPr>
      </w:pPr>
      <w:r w:rsidRPr="004B6C5C">
        <w:rPr>
          <w:color w:val="000000"/>
        </w:rPr>
        <w:t>COMPETING INTERESTS DISCLAIMER:</w:t>
      </w:r>
    </w:p>
    <w:p w14:paraId="756477F4" w14:textId="77777777" w:rsidR="00B03548" w:rsidRPr="004B6C5C" w:rsidRDefault="00B03548" w:rsidP="004B6C5C">
      <w:pPr>
        <w:pStyle w:val="NormalWeb"/>
        <w:shd w:val="clear" w:color="auto" w:fill="FFFFFF"/>
        <w:spacing w:before="166" w:after="166" w:line="360" w:lineRule="auto"/>
        <w:jc w:val="both"/>
        <w:rPr>
          <w:color w:val="000000"/>
        </w:rPr>
      </w:pPr>
      <w:r w:rsidRPr="004B6C5C">
        <w:rPr>
          <w:color w:val="000000"/>
        </w:rPr>
        <w:t>Authors have declared that they have no known competing financial interests or non-financial interests or personal relationships that could have appeared to influence the work reported in this paper.</w:t>
      </w:r>
    </w:p>
    <w:p w14:paraId="2A5ABF8E" w14:textId="4E9635A1" w:rsidR="00B03548" w:rsidRPr="004B6C5C" w:rsidRDefault="00B03548" w:rsidP="004B6C5C">
      <w:pPr>
        <w:pStyle w:val="NormalWeb"/>
        <w:shd w:val="clear" w:color="auto" w:fill="FFFFFF"/>
        <w:spacing w:before="166" w:after="166" w:line="360" w:lineRule="auto"/>
        <w:jc w:val="both"/>
        <w:rPr>
          <w:color w:val="000000"/>
        </w:rPr>
      </w:pPr>
      <w:r w:rsidRPr="004B6C5C">
        <w:rPr>
          <w:color w:val="000000"/>
        </w:rPr>
        <w:t>CONSENT</w:t>
      </w:r>
    </w:p>
    <w:p w14:paraId="7673846C" w14:textId="77777777" w:rsidR="00B03548" w:rsidRPr="004B6C5C" w:rsidRDefault="00B03548" w:rsidP="004B6C5C">
      <w:pPr>
        <w:pStyle w:val="NormalWeb"/>
        <w:shd w:val="clear" w:color="auto" w:fill="FFFFFF"/>
        <w:spacing w:before="166" w:after="166" w:line="360" w:lineRule="auto"/>
        <w:jc w:val="both"/>
        <w:rPr>
          <w:color w:val="000000"/>
        </w:rPr>
      </w:pPr>
      <w:r w:rsidRPr="004B6C5C">
        <w:rPr>
          <w:color w:val="000000"/>
        </w:rPr>
        <w:t>The author has obtained consent to conduct the study.</w:t>
      </w:r>
    </w:p>
    <w:p w14:paraId="48AC1B45" w14:textId="78B50FD1" w:rsidR="00B03548" w:rsidRPr="004B6C5C" w:rsidRDefault="00B03548" w:rsidP="004B6C5C">
      <w:pPr>
        <w:pStyle w:val="NormalWeb"/>
        <w:shd w:val="clear" w:color="auto" w:fill="FFFFFF"/>
        <w:spacing w:before="166" w:after="166" w:line="360" w:lineRule="auto"/>
        <w:jc w:val="both"/>
        <w:rPr>
          <w:color w:val="000000"/>
        </w:rPr>
      </w:pPr>
      <w:r w:rsidRPr="004B6C5C">
        <w:rPr>
          <w:color w:val="000000"/>
        </w:rPr>
        <w:t>ETHICAL APPROVAL</w:t>
      </w:r>
    </w:p>
    <w:p w14:paraId="27C0B979" w14:textId="32FA9E26" w:rsidR="00B03548" w:rsidRPr="004B6C5C" w:rsidRDefault="00B03548" w:rsidP="004B6C5C">
      <w:pPr>
        <w:pStyle w:val="NormalWeb"/>
        <w:shd w:val="clear" w:color="auto" w:fill="FFFFFF"/>
        <w:spacing w:before="166" w:after="166" w:line="360" w:lineRule="auto"/>
        <w:jc w:val="both"/>
        <w:rPr>
          <w:color w:val="000000"/>
        </w:rPr>
      </w:pPr>
      <w:r w:rsidRPr="004B6C5C">
        <w:rPr>
          <w:color w:val="000000"/>
        </w:rPr>
        <w:t>It is not applicable</w:t>
      </w:r>
    </w:p>
    <w:p w14:paraId="27981A78" w14:textId="77777777" w:rsidR="00B03548" w:rsidRPr="004B6C5C" w:rsidRDefault="00B03548" w:rsidP="004B6C5C">
      <w:pPr>
        <w:pStyle w:val="NormalWeb"/>
        <w:shd w:val="clear" w:color="auto" w:fill="FFFFFF"/>
        <w:spacing w:before="166" w:after="166" w:line="360" w:lineRule="auto"/>
        <w:jc w:val="both"/>
        <w:rPr>
          <w:color w:val="000000"/>
        </w:rPr>
      </w:pPr>
      <w:r w:rsidRPr="004B6C5C">
        <w:rPr>
          <w:color w:val="000000"/>
        </w:rPr>
        <w:t>DISCLAIMER (ARTIFICIAL INTELLIGENCE):</w:t>
      </w:r>
    </w:p>
    <w:p w14:paraId="64DAB871" w14:textId="177B8549" w:rsidR="00B969AB" w:rsidRPr="004B6C5C" w:rsidRDefault="00B03548" w:rsidP="004B6C5C">
      <w:pPr>
        <w:pStyle w:val="NormalWeb"/>
        <w:shd w:val="clear" w:color="auto" w:fill="FFFFFF"/>
        <w:spacing w:before="166" w:beforeAutospacing="0" w:after="166" w:afterAutospacing="0" w:line="360" w:lineRule="auto"/>
        <w:jc w:val="both"/>
        <w:rPr>
          <w:color w:val="000000"/>
        </w:rPr>
      </w:pPr>
      <w:r w:rsidRPr="004B6C5C">
        <w:rPr>
          <w:color w:val="000000"/>
        </w:rPr>
        <w:t>Author(s) hereby declare that NO generative AI technologies such as Large Language Models (ChatGPT, COPILOT, etc.) and text-to-image generators have been used during the writing or editing of this manuscript.</w:t>
      </w:r>
    </w:p>
    <w:p w14:paraId="35E2B772" w14:textId="77777777" w:rsidR="00B969AB" w:rsidRPr="004B6C5C" w:rsidRDefault="005F4CE7" w:rsidP="004B6C5C">
      <w:pPr>
        <w:pStyle w:val="NormalWeb"/>
        <w:shd w:val="clear" w:color="auto" w:fill="FFFFFF"/>
        <w:spacing w:before="166" w:beforeAutospacing="0" w:after="166" w:afterAutospacing="0" w:line="360" w:lineRule="auto"/>
        <w:jc w:val="both"/>
        <w:rPr>
          <w:color w:val="000000"/>
        </w:rPr>
      </w:pPr>
      <w:r w:rsidRPr="004B6C5C">
        <w:rPr>
          <w:color w:val="000000"/>
        </w:rPr>
        <w:t>REFERENCE:</w:t>
      </w:r>
    </w:p>
    <w:p w14:paraId="55A45592" w14:textId="06E71177" w:rsidR="00B969AB" w:rsidRPr="004B6C5C" w:rsidRDefault="005F4CE7" w:rsidP="004B6C5C">
      <w:pPr>
        <w:pStyle w:val="NormalWeb"/>
        <w:shd w:val="clear" w:color="auto" w:fill="FFFFFF"/>
        <w:spacing w:before="166" w:beforeAutospacing="0" w:after="166" w:afterAutospacing="0" w:line="360" w:lineRule="auto"/>
        <w:jc w:val="both"/>
        <w:rPr>
          <w:color w:val="000000"/>
        </w:rPr>
      </w:pPr>
      <w:r w:rsidRPr="004B6C5C">
        <w:rPr>
          <w:color w:val="000000"/>
          <w:lang w:val="en-US"/>
        </w:rPr>
        <w:t>1.</w:t>
      </w:r>
      <w:r w:rsidR="00A07D52" w:rsidRPr="004B6C5C">
        <w:rPr>
          <w:rFonts w:ascii="Arial" w:eastAsia="Calibri" w:hAnsi="Arial" w:cs="Arial"/>
          <w:color w:val="111827"/>
          <w:kern w:val="2"/>
          <w:lang w:eastAsia="en-US" w:bidi="ar-SA"/>
          <w14:ligatures w14:val="standardContextual"/>
        </w:rPr>
        <w:t xml:space="preserve"> </w:t>
      </w:r>
      <w:r w:rsidR="00A07D52" w:rsidRPr="004B6C5C">
        <w:rPr>
          <w:color w:val="000000"/>
        </w:rPr>
        <w:t xml:space="preserve">PubChem [Internet]. Bethesda (MD): National Library of Medicine (US), National </w:t>
      </w:r>
      <w:proofErr w:type="spellStart"/>
      <w:r w:rsidR="00A07D52" w:rsidRPr="004B6C5C">
        <w:rPr>
          <w:color w:val="000000"/>
        </w:rPr>
        <w:t>Center</w:t>
      </w:r>
      <w:proofErr w:type="spellEnd"/>
      <w:r w:rsidR="00A07D52" w:rsidRPr="004B6C5C">
        <w:rPr>
          <w:color w:val="000000"/>
        </w:rPr>
        <w:t xml:space="preserve"> for Biotechnology Information; 2004-. PubChem Compound Summary for CID 4091, Metformin. </w:t>
      </w:r>
    </w:p>
    <w:p w14:paraId="1C73B4FB" w14:textId="2779499A" w:rsidR="00B969AB" w:rsidRPr="004B6C5C" w:rsidRDefault="005F4CE7" w:rsidP="004B6C5C">
      <w:pPr>
        <w:pStyle w:val="NormalWeb"/>
        <w:shd w:val="clear" w:color="auto" w:fill="FFFFFF"/>
        <w:spacing w:before="166" w:beforeAutospacing="0" w:after="166" w:afterAutospacing="0" w:line="360" w:lineRule="auto"/>
        <w:jc w:val="both"/>
        <w:rPr>
          <w:color w:val="000000"/>
          <w:lang w:val="en-US"/>
        </w:rPr>
      </w:pPr>
      <w:r w:rsidRPr="004B6C5C">
        <w:rPr>
          <w:color w:val="000000"/>
          <w:lang w:val="en-US"/>
        </w:rPr>
        <w:t>2.</w:t>
      </w:r>
      <w:r w:rsidR="006F79FB" w:rsidRPr="004B6C5C">
        <w:rPr>
          <w:rFonts w:ascii="Calibri" w:eastAsia="Calibri" w:hAnsi="Calibri" w:cs="Kartika"/>
          <w:kern w:val="2"/>
          <w:lang w:eastAsia="en-US" w:bidi="ar-SA"/>
          <w14:ligatures w14:val="standardContextual"/>
        </w:rPr>
        <w:t xml:space="preserve"> </w:t>
      </w:r>
      <w:proofErr w:type="spellStart"/>
      <w:r w:rsidR="006F79FB" w:rsidRPr="004B6C5C">
        <w:rPr>
          <w:color w:val="000000"/>
        </w:rPr>
        <w:t>Kularathne</w:t>
      </w:r>
      <w:proofErr w:type="spellEnd"/>
      <w:r w:rsidR="006F79FB" w:rsidRPr="004B6C5C">
        <w:rPr>
          <w:color w:val="000000"/>
        </w:rPr>
        <w:t xml:space="preserve"> Y, Goh S, </w:t>
      </w:r>
      <w:proofErr w:type="spellStart"/>
      <w:r w:rsidR="006F79FB" w:rsidRPr="004B6C5C">
        <w:rPr>
          <w:color w:val="000000"/>
        </w:rPr>
        <w:t>Pothiawala</w:t>
      </w:r>
      <w:proofErr w:type="spellEnd"/>
      <w:r w:rsidR="006F79FB" w:rsidRPr="004B6C5C">
        <w:rPr>
          <w:color w:val="000000"/>
        </w:rPr>
        <w:t xml:space="preserve"> S. A rare case report of combined metformin-associated lactic acidosis and diabetic ketoacidosis. </w:t>
      </w:r>
      <w:r w:rsidR="006F79FB" w:rsidRPr="004B6C5C">
        <w:rPr>
          <w:i/>
          <w:iCs/>
          <w:color w:val="000000"/>
        </w:rPr>
        <w:t>Egypt J Intern Med</w:t>
      </w:r>
      <w:r w:rsidR="006F79FB" w:rsidRPr="004B6C5C">
        <w:rPr>
          <w:color w:val="000000"/>
        </w:rPr>
        <w:t>. 2022;34(1):61. doi:10.1186/s43162-022-00161-5</w:t>
      </w:r>
    </w:p>
    <w:p w14:paraId="0F4CFB37" w14:textId="09A72F99" w:rsidR="002F763B" w:rsidRPr="004B6C5C" w:rsidRDefault="005F4CE7" w:rsidP="004B6C5C">
      <w:pPr>
        <w:pStyle w:val="NormalWeb"/>
        <w:shd w:val="clear" w:color="auto" w:fill="FFFFFF"/>
        <w:spacing w:before="166" w:beforeAutospacing="0" w:after="166" w:afterAutospacing="0" w:line="360" w:lineRule="auto"/>
        <w:jc w:val="both"/>
        <w:rPr>
          <w:color w:val="000000"/>
          <w:lang w:val="en-US"/>
        </w:rPr>
      </w:pPr>
      <w:r w:rsidRPr="004B6C5C">
        <w:rPr>
          <w:color w:val="000000"/>
          <w:lang w:val="en-US"/>
        </w:rPr>
        <w:t>3.</w:t>
      </w:r>
      <w:r w:rsidR="002F763B" w:rsidRPr="004B6C5C">
        <w:rPr>
          <w:rFonts w:ascii="Segoe UI" w:eastAsia="Calibri" w:hAnsi="Segoe UI" w:cs="Segoe UI"/>
          <w:color w:val="212121"/>
          <w:kern w:val="2"/>
          <w:shd w:val="clear" w:color="auto" w:fill="FFFFFF"/>
          <w:lang w:eastAsia="en-US" w:bidi="ar-SA"/>
          <w14:ligatures w14:val="standardContextual"/>
        </w:rPr>
        <w:t xml:space="preserve"> </w:t>
      </w:r>
      <w:r w:rsidR="002F763B" w:rsidRPr="004B6C5C">
        <w:rPr>
          <w:color w:val="000000"/>
        </w:rPr>
        <w:t>Silvestre J, Carvalho S, Mendes V, et al. Metformin-induced lactic acidosis: a case series. </w:t>
      </w:r>
      <w:r w:rsidR="002F763B" w:rsidRPr="004B6C5C">
        <w:rPr>
          <w:i/>
          <w:iCs/>
          <w:color w:val="000000"/>
        </w:rPr>
        <w:t>J Med Case Rep</w:t>
      </w:r>
      <w:r w:rsidR="002F763B" w:rsidRPr="004B6C5C">
        <w:rPr>
          <w:color w:val="000000"/>
        </w:rPr>
        <w:t xml:space="preserve">. </w:t>
      </w:r>
      <w:proofErr w:type="gramStart"/>
      <w:r w:rsidR="002F763B" w:rsidRPr="004B6C5C">
        <w:rPr>
          <w:color w:val="000000"/>
        </w:rPr>
        <w:t>2007;1:126</w:t>
      </w:r>
      <w:proofErr w:type="gramEnd"/>
      <w:r w:rsidR="002F763B" w:rsidRPr="004B6C5C">
        <w:rPr>
          <w:color w:val="000000"/>
        </w:rPr>
        <w:t>. Published 2007 Oct 31. doi:10.1186/1752-1947-1-126</w:t>
      </w:r>
    </w:p>
    <w:p w14:paraId="06B29EE9" w14:textId="20444F98" w:rsidR="00B969AB" w:rsidRPr="004B6C5C" w:rsidRDefault="005F4CE7" w:rsidP="004B6C5C">
      <w:pPr>
        <w:pStyle w:val="NormalWeb"/>
        <w:shd w:val="clear" w:color="auto" w:fill="FFFFFF"/>
        <w:spacing w:before="166" w:beforeAutospacing="0" w:after="166" w:afterAutospacing="0" w:line="360" w:lineRule="auto"/>
        <w:jc w:val="both"/>
        <w:rPr>
          <w:color w:val="000000"/>
        </w:rPr>
      </w:pPr>
      <w:r w:rsidRPr="004B6C5C">
        <w:rPr>
          <w:color w:val="000000"/>
          <w:lang w:val="en-US"/>
        </w:rPr>
        <w:t>4.</w:t>
      </w:r>
      <w:r w:rsidR="00A07D52" w:rsidRPr="004B6C5C">
        <w:rPr>
          <w:rFonts w:ascii="Courier New" w:eastAsia="Calibri" w:hAnsi="Courier New" w:cs="Courier New"/>
          <w:color w:val="222222"/>
          <w:kern w:val="2"/>
          <w:shd w:val="clear" w:color="auto" w:fill="FFFFFF"/>
          <w:lang w:eastAsia="en-US" w:bidi="ar-SA"/>
          <w14:ligatures w14:val="standardContextual"/>
        </w:rPr>
        <w:t xml:space="preserve"> </w:t>
      </w:r>
      <w:proofErr w:type="spellStart"/>
      <w:r w:rsidR="00A07D52" w:rsidRPr="004B6C5C">
        <w:rPr>
          <w:color w:val="000000"/>
        </w:rPr>
        <w:t>Dyatlova</w:t>
      </w:r>
      <w:proofErr w:type="spellEnd"/>
      <w:r w:rsidR="00A07D52" w:rsidRPr="004B6C5C">
        <w:rPr>
          <w:color w:val="000000"/>
        </w:rPr>
        <w:t xml:space="preserve"> N, </w:t>
      </w:r>
      <w:proofErr w:type="spellStart"/>
      <w:r w:rsidR="00A07D52" w:rsidRPr="004B6C5C">
        <w:rPr>
          <w:color w:val="000000"/>
        </w:rPr>
        <w:t>Tobarran</w:t>
      </w:r>
      <w:proofErr w:type="spellEnd"/>
      <w:r w:rsidR="00A07D52" w:rsidRPr="004B6C5C">
        <w:rPr>
          <w:color w:val="000000"/>
        </w:rPr>
        <w:t xml:space="preserve"> NV, Kannan L, et al. Metformin-Associated Lactic Acidosis (MALA) [Updated 2023 Apr 17]. In: </w:t>
      </w:r>
      <w:proofErr w:type="spellStart"/>
      <w:r w:rsidR="00A07D52" w:rsidRPr="004B6C5C">
        <w:rPr>
          <w:color w:val="000000"/>
        </w:rPr>
        <w:t>StatPearls</w:t>
      </w:r>
      <w:proofErr w:type="spellEnd"/>
      <w:r w:rsidR="00A07D52" w:rsidRPr="004B6C5C">
        <w:rPr>
          <w:color w:val="000000"/>
        </w:rPr>
        <w:t xml:space="preserve"> [Internet]. Treasure Island (FL): </w:t>
      </w:r>
      <w:proofErr w:type="spellStart"/>
      <w:r w:rsidR="00A07D52" w:rsidRPr="004B6C5C">
        <w:rPr>
          <w:color w:val="000000"/>
        </w:rPr>
        <w:t>StatPearls</w:t>
      </w:r>
      <w:proofErr w:type="spellEnd"/>
      <w:r w:rsidR="00A07D52" w:rsidRPr="004B6C5C">
        <w:rPr>
          <w:color w:val="000000"/>
        </w:rPr>
        <w:t xml:space="preserve"> Publishing; 2025 Jan-.</w:t>
      </w:r>
    </w:p>
    <w:p w14:paraId="0D8702ED" w14:textId="77777777" w:rsidR="00B969AB" w:rsidRPr="004B6C5C" w:rsidRDefault="005F4CE7" w:rsidP="004B6C5C">
      <w:pPr>
        <w:pStyle w:val="NormalWeb"/>
        <w:shd w:val="clear" w:color="auto" w:fill="FFFFFF"/>
        <w:spacing w:before="166" w:beforeAutospacing="0" w:after="166" w:afterAutospacing="0" w:line="360" w:lineRule="auto"/>
        <w:jc w:val="both"/>
        <w:rPr>
          <w:color w:val="000000"/>
        </w:rPr>
      </w:pPr>
      <w:r w:rsidRPr="004B6C5C">
        <w:rPr>
          <w:color w:val="000000"/>
          <w:lang w:val="en-US"/>
        </w:rPr>
        <w:lastRenderedPageBreak/>
        <w:t xml:space="preserve">5.Taha M, Azhary A, Hajhamed NM, Sir Alkhatim WA, Bakheit AM, Ahmed AE. 2024. A case report of metformin-associated lactic acidosis. Clin Case Rep. </w:t>
      </w:r>
      <w:proofErr w:type="gramStart"/>
      <w:r w:rsidRPr="004B6C5C">
        <w:rPr>
          <w:color w:val="000000"/>
          <w:lang w:val="en-US"/>
        </w:rPr>
        <w:t>12:e</w:t>
      </w:r>
      <w:proofErr w:type="gramEnd"/>
      <w:r w:rsidRPr="004B6C5C">
        <w:rPr>
          <w:color w:val="000000"/>
          <w:lang w:val="en-US"/>
        </w:rPr>
        <w:t>9255. doi:10.1002/ccr3.9255.</w:t>
      </w:r>
    </w:p>
    <w:p w14:paraId="0F87ED02" w14:textId="77777777" w:rsidR="00B969AB" w:rsidRPr="004B6C5C" w:rsidRDefault="005F4CE7" w:rsidP="004B6C5C">
      <w:pPr>
        <w:pStyle w:val="NormalWeb"/>
        <w:shd w:val="clear" w:color="auto" w:fill="FFFFFF"/>
        <w:spacing w:before="166" w:beforeAutospacing="0" w:after="166" w:afterAutospacing="0" w:line="360" w:lineRule="auto"/>
        <w:jc w:val="both"/>
        <w:rPr>
          <w:color w:val="000000"/>
          <w:lang w:val="en-US"/>
        </w:rPr>
      </w:pPr>
      <w:r w:rsidRPr="004B6C5C">
        <w:rPr>
          <w:color w:val="000000"/>
          <w:lang w:val="en-US"/>
        </w:rPr>
        <w:t>6.Kinoshita H, Yanai M, Ariyoshi K, Ando M, Tamura R. 2022. A patient with metformin-associated lactic acidosis successfully treated with continuous renal replacement therapy: a case report. J Med Case Rep. 16(1):123.</w:t>
      </w:r>
    </w:p>
    <w:p w14:paraId="0705FFFC" w14:textId="2E1EB1AB" w:rsidR="006F79FB" w:rsidRPr="004B6C5C" w:rsidRDefault="006F79FB" w:rsidP="004B6C5C">
      <w:pPr>
        <w:pStyle w:val="NormalWeb"/>
        <w:shd w:val="clear" w:color="auto" w:fill="FFFFFF"/>
        <w:spacing w:before="166" w:beforeAutospacing="0" w:after="166" w:afterAutospacing="0" w:line="360" w:lineRule="auto"/>
        <w:jc w:val="both"/>
        <w:rPr>
          <w:color w:val="000000"/>
        </w:rPr>
      </w:pPr>
      <w:r w:rsidRPr="004B6C5C">
        <w:rPr>
          <w:color w:val="000000"/>
          <w:lang w:val="en-US"/>
        </w:rPr>
        <w:t>7.</w:t>
      </w:r>
      <w:r w:rsidRPr="004B6C5C">
        <w:rPr>
          <w:color w:val="000000"/>
        </w:rPr>
        <w:t xml:space="preserve"> Mahmood R, </w:t>
      </w:r>
      <w:proofErr w:type="spellStart"/>
      <w:r w:rsidRPr="004B6C5C">
        <w:rPr>
          <w:color w:val="000000"/>
        </w:rPr>
        <w:t>Maccourtney</w:t>
      </w:r>
      <w:proofErr w:type="spellEnd"/>
      <w:r w:rsidRPr="004B6C5C">
        <w:rPr>
          <w:color w:val="000000"/>
        </w:rPr>
        <w:t xml:space="preserve"> D, Vashi M, Mohamed A. A Case of Metformin-Associated Lactic Acidosis. Cureus. 2023 Apr 27;15(4</w:t>
      </w:r>
      <w:proofErr w:type="gramStart"/>
      <w:r w:rsidRPr="004B6C5C">
        <w:rPr>
          <w:color w:val="000000"/>
        </w:rPr>
        <w:t>):e</w:t>
      </w:r>
      <w:proofErr w:type="gramEnd"/>
      <w:r w:rsidRPr="004B6C5C">
        <w:rPr>
          <w:color w:val="000000"/>
        </w:rPr>
        <w:t xml:space="preserve">38222. </w:t>
      </w:r>
      <w:proofErr w:type="spellStart"/>
      <w:r w:rsidRPr="004B6C5C">
        <w:rPr>
          <w:color w:val="000000"/>
        </w:rPr>
        <w:t>doi</w:t>
      </w:r>
      <w:proofErr w:type="spellEnd"/>
      <w:r w:rsidRPr="004B6C5C">
        <w:rPr>
          <w:color w:val="000000"/>
        </w:rPr>
        <w:t>: 10.7759/cureus.38222. PMID: 37252492; PMCID: PMC10224792.</w:t>
      </w:r>
    </w:p>
    <w:p w14:paraId="6C9C0DF6" w14:textId="77777777" w:rsidR="00B969AB" w:rsidRPr="004B6C5C" w:rsidRDefault="00B969AB" w:rsidP="004B6C5C">
      <w:pPr>
        <w:pStyle w:val="NormalWeb"/>
        <w:shd w:val="clear" w:color="auto" w:fill="FFFFFF"/>
        <w:spacing w:before="166" w:beforeAutospacing="0" w:after="166" w:afterAutospacing="0" w:line="360" w:lineRule="auto"/>
        <w:jc w:val="both"/>
        <w:rPr>
          <w:color w:val="000000"/>
        </w:rPr>
      </w:pPr>
    </w:p>
    <w:sectPr w:rsidR="00B969AB" w:rsidRPr="004B6C5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522C" w14:textId="77777777" w:rsidR="008E6217" w:rsidRDefault="008E6217" w:rsidP="004B6C5C">
      <w:pPr>
        <w:spacing w:after="0" w:line="240" w:lineRule="auto"/>
      </w:pPr>
      <w:r>
        <w:separator/>
      </w:r>
    </w:p>
  </w:endnote>
  <w:endnote w:type="continuationSeparator" w:id="0">
    <w:p w14:paraId="24D6DC47" w14:textId="77777777" w:rsidR="008E6217" w:rsidRDefault="008E6217" w:rsidP="004B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457D2" w14:textId="77777777" w:rsidR="000218ED" w:rsidRDefault="00021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2D6A" w14:textId="77777777" w:rsidR="000218ED" w:rsidRDefault="00021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8108" w14:textId="77777777" w:rsidR="000218ED" w:rsidRDefault="00021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C696" w14:textId="77777777" w:rsidR="008E6217" w:rsidRDefault="008E6217" w:rsidP="004B6C5C">
      <w:pPr>
        <w:spacing w:after="0" w:line="240" w:lineRule="auto"/>
      </w:pPr>
      <w:r>
        <w:separator/>
      </w:r>
    </w:p>
  </w:footnote>
  <w:footnote w:type="continuationSeparator" w:id="0">
    <w:p w14:paraId="7A98C6BD" w14:textId="77777777" w:rsidR="008E6217" w:rsidRDefault="008E6217" w:rsidP="004B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0DB7" w14:textId="5EAE512D" w:rsidR="000218ED" w:rsidRDefault="000218ED">
    <w:pPr>
      <w:pStyle w:val="Header"/>
    </w:pPr>
    <w:r>
      <w:rPr>
        <w:noProof/>
      </w:rPr>
      <w:pict w14:anchorId="5EE0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9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75FB" w14:textId="68FEB395" w:rsidR="000218ED" w:rsidRDefault="000218ED">
    <w:pPr>
      <w:pStyle w:val="Header"/>
    </w:pPr>
    <w:r>
      <w:rPr>
        <w:noProof/>
      </w:rPr>
      <w:pict w14:anchorId="2CC6F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98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68AD" w14:textId="1EE3051B" w:rsidR="000218ED" w:rsidRDefault="000218ED">
    <w:pPr>
      <w:pStyle w:val="Header"/>
    </w:pPr>
    <w:r>
      <w:rPr>
        <w:noProof/>
      </w:rPr>
      <w:pict w14:anchorId="4DED2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9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0A0E8B"/>
    <w:multiLevelType w:val="hybridMultilevel"/>
    <w:tmpl w:val="79E47FC0"/>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AB"/>
    <w:rsid w:val="000218ED"/>
    <w:rsid w:val="00067FF0"/>
    <w:rsid w:val="00124638"/>
    <w:rsid w:val="001C79DD"/>
    <w:rsid w:val="001D32A8"/>
    <w:rsid w:val="001D7488"/>
    <w:rsid w:val="00204A0D"/>
    <w:rsid w:val="0024173A"/>
    <w:rsid w:val="002719F4"/>
    <w:rsid w:val="002E20D9"/>
    <w:rsid w:val="002F763B"/>
    <w:rsid w:val="00356C7A"/>
    <w:rsid w:val="00374DBA"/>
    <w:rsid w:val="004147B1"/>
    <w:rsid w:val="004B6C5C"/>
    <w:rsid w:val="004F7678"/>
    <w:rsid w:val="00551229"/>
    <w:rsid w:val="00551B23"/>
    <w:rsid w:val="005F4CE7"/>
    <w:rsid w:val="0060648A"/>
    <w:rsid w:val="00611359"/>
    <w:rsid w:val="006437DD"/>
    <w:rsid w:val="00656099"/>
    <w:rsid w:val="00677829"/>
    <w:rsid w:val="00690B52"/>
    <w:rsid w:val="006F79FB"/>
    <w:rsid w:val="00712C31"/>
    <w:rsid w:val="00795FC4"/>
    <w:rsid w:val="007F3CFB"/>
    <w:rsid w:val="007F6D1F"/>
    <w:rsid w:val="00816B76"/>
    <w:rsid w:val="008348F9"/>
    <w:rsid w:val="00846332"/>
    <w:rsid w:val="008A07C9"/>
    <w:rsid w:val="008A494F"/>
    <w:rsid w:val="008E6217"/>
    <w:rsid w:val="00910405"/>
    <w:rsid w:val="009231CE"/>
    <w:rsid w:val="009D3A9D"/>
    <w:rsid w:val="009E24FF"/>
    <w:rsid w:val="009F5291"/>
    <w:rsid w:val="00A07D52"/>
    <w:rsid w:val="00A116E1"/>
    <w:rsid w:val="00A148D4"/>
    <w:rsid w:val="00A35F3E"/>
    <w:rsid w:val="00AA2DD9"/>
    <w:rsid w:val="00AD7237"/>
    <w:rsid w:val="00B03548"/>
    <w:rsid w:val="00B34164"/>
    <w:rsid w:val="00B461E9"/>
    <w:rsid w:val="00B526E1"/>
    <w:rsid w:val="00B94051"/>
    <w:rsid w:val="00B969AB"/>
    <w:rsid w:val="00BC3540"/>
    <w:rsid w:val="00BF434B"/>
    <w:rsid w:val="00C014BF"/>
    <w:rsid w:val="00C20B70"/>
    <w:rsid w:val="00CC7B91"/>
    <w:rsid w:val="00D21CFC"/>
    <w:rsid w:val="00D90F4D"/>
    <w:rsid w:val="00D91F8A"/>
    <w:rsid w:val="00DD03A3"/>
    <w:rsid w:val="00DD1FD8"/>
    <w:rsid w:val="00DF1698"/>
    <w:rsid w:val="00E43C4C"/>
    <w:rsid w:val="00EA27B1"/>
    <w:rsid w:val="00ED4E3F"/>
    <w:rsid w:val="00F02AD8"/>
    <w:rsid w:val="00F13DB5"/>
    <w:rsid w:val="00F66A40"/>
    <w:rsid w:val="00FA4801"/>
    <w:rsid w:val="00FA6A33"/>
    <w:rsid w:val="00FC213E"/>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2A9CCD"/>
  <w15:docId w15:val="{B3973571-0E35-484C-BA63-4EEDAFAA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Kartika"/>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ml-IN"/>
      <w14:ligatures w14:val="none"/>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bidi="ml-IN"/>
      <w14:ligatures w14:val="none"/>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bidi="ml-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customStyle="1" w:styleId="bkciteavail">
    <w:name w:val="bk_cite_avail"/>
    <w:basedOn w:val="DefaultParagraphFont"/>
  </w:style>
  <w:style w:type="character" w:customStyle="1" w:styleId="Heading2Char">
    <w:name w:val="Heading 2 Char"/>
    <w:basedOn w:val="DefaultParagraphFont"/>
    <w:link w:val="Heading2"/>
    <w:uiPriority w:val="9"/>
    <w:rPr>
      <w:rFonts w:ascii="Times New Roman" w:eastAsia="Times New Roman" w:hAnsi="Times New Roman" w:cs="Times New Roman"/>
      <w:b/>
      <w:bCs/>
      <w:kern w:val="0"/>
      <w:sz w:val="36"/>
      <w:szCs w:val="36"/>
      <w:lang w:eastAsia="en-IN" w:bidi="ml-IN"/>
      <w14:ligatures w14:val="none"/>
    </w:rPr>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eastAsia="en-IN" w:bidi="ml-IN"/>
      <w14:ligatures w14:val="none"/>
    </w:rPr>
  </w:style>
  <w:style w:type="character" w:customStyle="1" w:styleId="Heading4Char">
    <w:name w:val="Heading 4 Char"/>
    <w:basedOn w:val="DefaultParagraphFont"/>
    <w:link w:val="Heading4"/>
    <w:uiPriority w:val="9"/>
    <w:rPr>
      <w:rFonts w:ascii="Times New Roman" w:eastAsia="Times New Roman" w:hAnsi="Times New Roman" w:cs="Times New Roman"/>
      <w:b/>
      <w:bCs/>
      <w:kern w:val="0"/>
      <w:sz w:val="24"/>
      <w:szCs w:val="24"/>
      <w:lang w:eastAsia="en-IN" w:bidi="ml-IN"/>
      <w14:ligatures w14:val="none"/>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A07D52"/>
    <w:rPr>
      <w:color w:val="605E5C"/>
      <w:shd w:val="clear" w:color="auto" w:fill="E1DFDD"/>
    </w:rPr>
  </w:style>
  <w:style w:type="paragraph" w:styleId="Header">
    <w:name w:val="header"/>
    <w:basedOn w:val="Normal"/>
    <w:link w:val="HeaderChar"/>
    <w:uiPriority w:val="99"/>
    <w:unhideWhenUsed/>
    <w:rsid w:val="004B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5C"/>
  </w:style>
  <w:style w:type="paragraph" w:styleId="Footer">
    <w:name w:val="footer"/>
    <w:basedOn w:val="Normal"/>
    <w:link w:val="FooterChar"/>
    <w:uiPriority w:val="99"/>
    <w:unhideWhenUsed/>
    <w:rsid w:val="004B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aiswarya wilson</dc:creator>
  <cp:lastModifiedBy>SDI 1084</cp:lastModifiedBy>
  <cp:revision>7</cp:revision>
  <dcterms:created xsi:type="dcterms:W3CDTF">2026-04-12T05:19:00Z</dcterms:created>
  <dcterms:modified xsi:type="dcterms:W3CDTF">2026-04-13T10:44:00Z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3bd38a868919481ab4ee32e2f53c2488</vt:lpwstr>
  </property>
</Properties>
</file>