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FA04" w14:textId="06EDBE45" w:rsidR="00A04380" w:rsidRDefault="00A04380" w:rsidP="00A04380">
      <w:pPr>
        <w:pStyle w:val="Heading1"/>
        <w:jc w:val="center"/>
        <w:rPr>
          <w:rFonts w:ascii="Times New Roman" w:hAnsi="Times New Roman" w:cs="Times New Roman"/>
          <w:b/>
          <w:bCs/>
          <w:sz w:val="36"/>
          <w:szCs w:val="36"/>
        </w:rPr>
      </w:pPr>
      <w:bookmarkStart w:id="0" w:name="_Hlk225349332"/>
      <w:r w:rsidRPr="00172722">
        <w:rPr>
          <w:rFonts w:ascii="Times New Roman" w:hAnsi="Times New Roman" w:cs="Times New Roman"/>
          <w:b/>
          <w:bCs/>
          <w:sz w:val="36"/>
          <w:szCs w:val="36"/>
        </w:rPr>
        <w:t>POSTERIOR CIRCULATION STROKE WITH CERVICAL NEOPLASIA IN A HYPERTENSION</w:t>
      </w:r>
    </w:p>
    <w:bookmarkEnd w:id="0"/>
    <w:p w14:paraId="5910F440" w14:textId="77777777" w:rsidR="00222EB2" w:rsidRPr="00222EB2" w:rsidRDefault="00222EB2" w:rsidP="00222EB2"/>
    <w:p w14:paraId="7FC0E73C" w14:textId="77777777" w:rsidR="00DD5A50" w:rsidRPr="00172722" w:rsidRDefault="00DD5A50">
      <w:pPr>
        <w:rPr>
          <w:rFonts w:ascii="Times New Roman" w:hAnsi="Times New Roman" w:cs="Times New Roman"/>
        </w:rPr>
      </w:pPr>
    </w:p>
    <w:p w14:paraId="14C5C4B8" w14:textId="69A90573" w:rsidR="00DD5A50" w:rsidRPr="00172722" w:rsidRDefault="00DD5A50" w:rsidP="00A04380">
      <w:pPr>
        <w:pStyle w:val="Heading2"/>
        <w:rPr>
          <w:rFonts w:ascii="Times New Roman" w:hAnsi="Times New Roman" w:cs="Times New Roman"/>
        </w:rPr>
      </w:pPr>
      <w:r w:rsidRPr="00172722">
        <w:rPr>
          <w:rFonts w:ascii="Times New Roman" w:hAnsi="Times New Roman" w:cs="Times New Roman"/>
        </w:rPr>
        <w:t>Abstract</w:t>
      </w:r>
    </w:p>
    <w:p w14:paraId="16C4B3D1" w14:textId="77777777" w:rsidR="00C1055D" w:rsidRDefault="00DD5A50">
      <w:pPr>
        <w:rPr>
          <w:rFonts w:ascii="Times New Roman" w:hAnsi="Times New Roman" w:cs="Times New Roman"/>
        </w:rPr>
      </w:pPr>
      <w:r w:rsidRPr="00172722">
        <w:rPr>
          <w:rFonts w:ascii="Times New Roman" w:hAnsi="Times New Roman" w:cs="Times New Roman"/>
        </w:rPr>
        <w:t>Posterior circulation strokes account for 20% of ischemic events, often presenting with altered sensorium, dysphagia, and limb weakness. Coexisting spinal pathology complicates diagnosis, necessitating multimodal imaging.</w:t>
      </w:r>
    </w:p>
    <w:p w14:paraId="02187561" w14:textId="303906C0" w:rsidR="00DD5A50" w:rsidRPr="00172722" w:rsidRDefault="00DD5A50">
      <w:pPr>
        <w:rPr>
          <w:rFonts w:ascii="Times New Roman" w:hAnsi="Times New Roman" w:cs="Times New Roman"/>
        </w:rPr>
      </w:pPr>
      <w:r w:rsidRPr="00172722">
        <w:rPr>
          <w:rFonts w:ascii="Times New Roman" w:hAnsi="Times New Roman" w:cs="Times New Roman"/>
        </w:rPr>
        <w:t>Case Study</w:t>
      </w:r>
    </w:p>
    <w:p w14:paraId="7F2B03AD" w14:textId="6B980A08" w:rsidR="00C1055D" w:rsidRDefault="00DD5A50">
      <w:pPr>
        <w:rPr>
          <w:rFonts w:ascii="Times New Roman" w:hAnsi="Times New Roman" w:cs="Times New Roman"/>
        </w:rPr>
      </w:pPr>
      <w:r w:rsidRPr="00172722">
        <w:rPr>
          <w:rFonts w:ascii="Times New Roman" w:hAnsi="Times New Roman" w:cs="Times New Roman"/>
        </w:rPr>
        <w:t xml:space="preserve">A 68-year-old hypertensive female (on amlodipine 5 mg OD) presented with 15-day history of altered sensorium, drowsiness, anorexia, dysphagia, and bilateral lower limb weakness. Vitals: BP 130/80 mmHg, PR 74 bpm, </w:t>
      </w:r>
      <w:proofErr w:type="spellStart"/>
      <w:r w:rsidRPr="00172722">
        <w:rPr>
          <w:rFonts w:ascii="Times New Roman" w:hAnsi="Times New Roman" w:cs="Times New Roman"/>
        </w:rPr>
        <w:t>SpO</w:t>
      </w:r>
      <w:proofErr w:type="spellEnd"/>
      <w:r w:rsidRPr="00172722">
        <w:rPr>
          <w:rFonts w:ascii="Times New Roman" w:hAnsi="Times New Roman" w:cs="Times New Roman"/>
        </w:rPr>
        <w:t>₂ 98%. Progress notes showed tachycardia (PR 106-116 bpm) and desaturation (</w:t>
      </w:r>
      <w:proofErr w:type="spellStart"/>
      <w:r w:rsidRPr="00172722">
        <w:rPr>
          <w:rFonts w:ascii="Times New Roman" w:hAnsi="Times New Roman" w:cs="Times New Roman"/>
        </w:rPr>
        <w:t>SpO</w:t>
      </w:r>
      <w:proofErr w:type="spellEnd"/>
      <w:r w:rsidRPr="00172722">
        <w:rPr>
          <w:rFonts w:ascii="Times New Roman" w:hAnsi="Times New Roman" w:cs="Times New Roman"/>
        </w:rPr>
        <w:t>₂ 90-98%). Labs revealed leukocytosis (WBC 17,450/mm³, neutrophils 90%), CRP 13.4 mg/L, hypokalemia (K⁺ 3.3 m</w:t>
      </w:r>
      <w:r w:rsidR="00AA5829">
        <w:rPr>
          <w:rFonts w:ascii="Times New Roman" w:hAnsi="Times New Roman" w:cs="Times New Roman"/>
        </w:rPr>
        <w:t xml:space="preserve"> </w:t>
      </w:r>
      <w:r w:rsidRPr="00172722">
        <w:rPr>
          <w:rFonts w:ascii="Times New Roman" w:hAnsi="Times New Roman" w:cs="Times New Roman"/>
        </w:rPr>
        <w:t>Eq/L). CSF: protein 157.4 mg/dl, 40 lymphocytes/mm³. MRI brain confirmed acute posterior circulation infarction (DWI hyperintensities); cervical spine showed neoplastic lesion with neural compression.</w:t>
      </w:r>
      <w:r w:rsidR="00C1055D">
        <w:rPr>
          <w:rFonts w:ascii="Times New Roman" w:hAnsi="Times New Roman" w:cs="Times New Roman"/>
        </w:rPr>
        <w:t xml:space="preserve"> </w:t>
      </w:r>
    </w:p>
    <w:p w14:paraId="7F5BB5FE" w14:textId="40B51D1F" w:rsidR="00DD5A50" w:rsidRPr="00172722" w:rsidRDefault="00DD5A50">
      <w:pPr>
        <w:rPr>
          <w:rFonts w:ascii="Times New Roman" w:hAnsi="Times New Roman" w:cs="Times New Roman"/>
        </w:rPr>
      </w:pPr>
      <w:r w:rsidRPr="00172722">
        <w:rPr>
          <w:rFonts w:ascii="Times New Roman" w:hAnsi="Times New Roman" w:cs="Times New Roman"/>
        </w:rPr>
        <w:t>Management and Results</w:t>
      </w:r>
    </w:p>
    <w:p w14:paraId="24969A95" w14:textId="77777777" w:rsidR="00C1055D" w:rsidRDefault="00DD5A50">
      <w:pPr>
        <w:rPr>
          <w:rFonts w:ascii="Times New Roman" w:hAnsi="Times New Roman" w:cs="Times New Roman"/>
        </w:rPr>
      </w:pPr>
      <w:r w:rsidRPr="00172722">
        <w:rPr>
          <w:rFonts w:ascii="Times New Roman" w:hAnsi="Times New Roman" w:cs="Times New Roman"/>
        </w:rPr>
        <w:t xml:space="preserve">Provisional diagnosis: posterior circulation stroke, cervical dystonia from neoplasia, infection, hypertension. Therapy included IV antibiotics (ceftriaxone 1g BD, piperacillin-tazobactam 4.5g TDS, metronidazole), methylprednisolone 1g OD, aspirin 75 mg, atorvastatin 40 mg, amlodipine 2.5 mg, and supportive care (pantoprazole, ondansetron, fluids, lactulose). Vitals stabilized (BP 140/80-160/100 mmHg, </w:t>
      </w:r>
      <w:proofErr w:type="spellStart"/>
      <w:r w:rsidRPr="00172722">
        <w:rPr>
          <w:rFonts w:ascii="Times New Roman" w:hAnsi="Times New Roman" w:cs="Times New Roman"/>
        </w:rPr>
        <w:t>SpO</w:t>
      </w:r>
      <w:proofErr w:type="spellEnd"/>
      <w:r w:rsidRPr="00172722">
        <w:rPr>
          <w:rFonts w:ascii="Times New Roman" w:hAnsi="Times New Roman" w:cs="Times New Roman"/>
        </w:rPr>
        <w:t>₂ improved), with resolving drowsiness.</w:t>
      </w:r>
      <w:r w:rsidR="00C1055D">
        <w:rPr>
          <w:rFonts w:ascii="Times New Roman" w:hAnsi="Times New Roman" w:cs="Times New Roman"/>
        </w:rPr>
        <w:t xml:space="preserve"> </w:t>
      </w:r>
    </w:p>
    <w:p w14:paraId="7C61D479" w14:textId="4DD94E1D" w:rsidR="00DD5A50" w:rsidRPr="00172722" w:rsidRDefault="00DD5A50">
      <w:pPr>
        <w:rPr>
          <w:rFonts w:ascii="Times New Roman" w:hAnsi="Times New Roman" w:cs="Times New Roman"/>
        </w:rPr>
      </w:pPr>
      <w:r w:rsidRPr="00172722">
        <w:rPr>
          <w:rFonts w:ascii="Times New Roman" w:hAnsi="Times New Roman" w:cs="Times New Roman"/>
        </w:rPr>
        <w:t>Conclusion</w:t>
      </w:r>
    </w:p>
    <w:p w14:paraId="502118D2" w14:textId="77777777" w:rsidR="00DD5A50" w:rsidRPr="00172722" w:rsidRDefault="00DD5A50">
      <w:pPr>
        <w:rPr>
          <w:rFonts w:ascii="Times New Roman" w:hAnsi="Times New Roman" w:cs="Times New Roman"/>
        </w:rPr>
      </w:pPr>
      <w:r w:rsidRPr="00172722">
        <w:rPr>
          <w:rFonts w:ascii="Times New Roman" w:hAnsi="Times New Roman" w:cs="Times New Roman"/>
        </w:rPr>
        <w:t>Timely MRI-guided diagnosis and aggressive neuroinfectious management yielded favorable short-term outcomes, emphasizing integrated care for multifocal neurological crises in the elderly.</w:t>
      </w:r>
    </w:p>
    <w:p w14:paraId="7582A713" w14:textId="77777777" w:rsidR="00DD5A50" w:rsidRPr="00172722" w:rsidRDefault="00DD5A50">
      <w:pPr>
        <w:rPr>
          <w:rFonts w:ascii="Times New Roman" w:hAnsi="Times New Roman" w:cs="Times New Roman"/>
        </w:rPr>
      </w:pPr>
    </w:p>
    <w:p w14:paraId="1E018CCB" w14:textId="2D55CB38" w:rsidR="00A04380" w:rsidRPr="00172722" w:rsidRDefault="00A04380" w:rsidP="00A04380">
      <w:pPr>
        <w:pStyle w:val="Heading2"/>
        <w:rPr>
          <w:rFonts w:ascii="Times New Roman" w:hAnsi="Times New Roman" w:cs="Times New Roman"/>
        </w:rPr>
      </w:pPr>
      <w:r w:rsidRPr="00172722">
        <w:rPr>
          <w:rFonts w:ascii="Times New Roman" w:hAnsi="Times New Roman" w:cs="Times New Roman"/>
        </w:rPr>
        <w:t>INTRODUCTION</w:t>
      </w:r>
    </w:p>
    <w:p w14:paraId="3A9B7AE3" w14:textId="77777777" w:rsidR="001E0580" w:rsidRPr="00172722" w:rsidRDefault="001E0580" w:rsidP="001E0580">
      <w:pPr>
        <w:rPr>
          <w:rFonts w:ascii="Times New Roman" w:hAnsi="Times New Roman" w:cs="Times New Roman"/>
        </w:rPr>
      </w:pPr>
    </w:p>
    <w:p w14:paraId="5709E1B4" w14:textId="77777777" w:rsidR="00F70FDF" w:rsidRPr="00172722" w:rsidRDefault="001E0580" w:rsidP="005C2E2A">
      <w:pPr>
        <w:rPr>
          <w:rFonts w:ascii="Times New Roman" w:hAnsi="Times New Roman" w:cs="Times New Roman"/>
        </w:rPr>
      </w:pPr>
      <w:r w:rsidRPr="00172722">
        <w:rPr>
          <w:rFonts w:ascii="Times New Roman" w:hAnsi="Times New Roman" w:cs="Times New Roman"/>
        </w:rPr>
        <w:t xml:space="preserve">Posterior circulation strokes represent 20-25% of all ischemic events, primarily involving the vertebrobasilar system supplying the brainstem, cerebellum, thalamus, and occipital lobes, often </w:t>
      </w:r>
      <w:r w:rsidRPr="00172722">
        <w:rPr>
          <w:rFonts w:ascii="Times New Roman" w:hAnsi="Times New Roman" w:cs="Times New Roman"/>
        </w:rPr>
        <w:lastRenderedPageBreak/>
        <w:t xml:space="preserve">presenting with vertigo, dysphagia, altered sensorium, and limb ataxia that mimic other </w:t>
      </w:r>
      <w:proofErr w:type="gramStart"/>
      <w:r w:rsidRPr="00172722">
        <w:rPr>
          <w:rFonts w:ascii="Times New Roman" w:hAnsi="Times New Roman" w:cs="Times New Roman"/>
        </w:rPr>
        <w:t>pathologies.</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6]</w:t>
      </w:r>
      <w:r w:rsidR="005C2E2A" w:rsidRPr="00172722">
        <w:rPr>
          <w:rFonts w:ascii="Times New Roman" w:hAnsi="Times New Roman" w:cs="Times New Roman"/>
          <w:vertAlign w:val="superscript"/>
        </w:rPr>
        <w:br/>
      </w:r>
      <w:r w:rsidR="005C2E2A" w:rsidRPr="00172722">
        <w:rPr>
          <w:rFonts w:ascii="Times New Roman" w:hAnsi="Times New Roman" w:cs="Times New Roman"/>
        </w:rPr>
        <w:t>Cervical cancer remains a significant public health concern among adult women, particularly in developing countries. While organized and repeated cytology-based screening programs have considerably reduced the burden of cervical cancer in developed nations, the incidence in developing regions continues to remain high due to the lack of effective screening strategies.</w:t>
      </w:r>
    </w:p>
    <w:p w14:paraId="3ADAB93F" w14:textId="59A2D673" w:rsidR="005C2E2A" w:rsidRPr="00172722" w:rsidRDefault="005C2E2A" w:rsidP="005C2E2A">
      <w:pPr>
        <w:rPr>
          <w:rFonts w:ascii="Times New Roman" w:hAnsi="Times New Roman" w:cs="Times New Roman"/>
        </w:rPr>
      </w:pPr>
      <w:r w:rsidRPr="00172722">
        <w:rPr>
          <w:rFonts w:ascii="Times New Roman" w:hAnsi="Times New Roman" w:cs="Times New Roman"/>
        </w:rPr>
        <w:t>Screening refers to the use of a simple and cost-effective test applied to a large population of asymptomatic individuals to identify those who are likely or unlikely to have the disease. Individuals who test positive are then referred for further diagnostic evaluation and appropriate treatment. The primary goal of cervical cancer screening is to decrease both the incidence and mortality of the disease by detecting and managing precancerous lesions at an early stage.</w:t>
      </w:r>
    </w:p>
    <w:p w14:paraId="06DBFBF4" w14:textId="77777777" w:rsidR="005C2E2A" w:rsidRPr="00172722" w:rsidRDefault="005C2E2A" w:rsidP="005C2E2A">
      <w:pPr>
        <w:rPr>
          <w:rFonts w:ascii="Times New Roman" w:hAnsi="Times New Roman" w:cs="Times New Roman"/>
        </w:rPr>
      </w:pPr>
      <w:r w:rsidRPr="00172722">
        <w:rPr>
          <w:rFonts w:ascii="Times New Roman" w:hAnsi="Times New Roman" w:cs="Times New Roman"/>
        </w:rPr>
        <w:t>It is well established that invasive cervical cancer develops from pre-existing, slowly progressing intraepithelial dysplastic lesions. The immediate precursor of invasive squamous carcinoma is a high-grade squamous intraepithelial lesion (HSIL), also referred to as cervical intraepithelial neoplasia grades 2 and 3 (CIN 2–3). Approximately one-third to one-half of these lesions may progress to cervical cancer over a period of 10–15 years. In contrast, most low-grade squamous intraepithelial lesions (LSILs) tend to regress spontaneously. Adenocarcinoma in situ (AIS) is recognized as the precursor lesion for invasive adenocarcinoma.</w:t>
      </w:r>
      <w:r w:rsidRPr="00172722">
        <w:rPr>
          <w:rFonts w:ascii="Times New Roman" w:hAnsi="Times New Roman" w:cs="Times New Roman"/>
        </w:rPr>
        <w:br/>
        <w:t>The effectiveness of cervical cancer screening is ultimately demonstrated by its ability to reduce both the incidence and mortality of cervical cancer in a cost-effective way. A key requirement for successful screening is the availability of an appropriate test with sufficient sensitivity and specificity to accurately detect precancerous lesions, along with consistent and reproducible results. Ideally, such a test should be affordable, simple to perform, easy to administer, free from significant side effects or complications, minimally painful, and culturally acceptable.</w:t>
      </w:r>
    </w:p>
    <w:p w14:paraId="79C62A02" w14:textId="09AA004F" w:rsidR="001E0580" w:rsidRPr="00172722" w:rsidRDefault="005C2E2A" w:rsidP="005C2E2A">
      <w:pPr>
        <w:rPr>
          <w:rFonts w:ascii="Times New Roman" w:hAnsi="Times New Roman" w:cs="Times New Roman"/>
          <w:vertAlign w:val="superscript"/>
        </w:rPr>
      </w:pPr>
      <w:r w:rsidRPr="00172722">
        <w:rPr>
          <w:rFonts w:ascii="Times New Roman" w:hAnsi="Times New Roman" w:cs="Times New Roman"/>
        </w:rPr>
        <w:t xml:space="preserve">Conventional cervical cytology remains the most commonly used screening method. Other approaches, including liquid-based cytology, human papillomavirus (HPV) testing, visual inspection with 3–5% acetic acid (VIA), magnified visual inspection with acetic acid (VIAM), and visual inspection with </w:t>
      </w:r>
      <w:proofErr w:type="spellStart"/>
      <w:r w:rsidRPr="00172722">
        <w:rPr>
          <w:rFonts w:ascii="Times New Roman" w:hAnsi="Times New Roman" w:cs="Times New Roman"/>
        </w:rPr>
        <w:t>Lugol’s</w:t>
      </w:r>
      <w:proofErr w:type="spellEnd"/>
      <w:r w:rsidRPr="00172722">
        <w:rPr>
          <w:rFonts w:ascii="Times New Roman" w:hAnsi="Times New Roman" w:cs="Times New Roman"/>
        </w:rPr>
        <w:t xml:space="preserve"> iodine (VILI), have also been studied, though to a lesser extent. Overall, most screening methods—particularly visual techniques—are more effective in detecting squamous lesions, while they have limited effectiveness in identifying glandular precursor lesions. This limitation is mainly due to challenges in sampling and visualizing the endocervical canal, as well as limited expertise in recognizing adenocarcinoma in situ (AIS</w:t>
      </w:r>
      <w:proofErr w:type="gramStart"/>
      <w:r w:rsidRPr="00172722">
        <w:rPr>
          <w:rFonts w:ascii="Times New Roman" w:hAnsi="Times New Roman" w:cs="Times New Roman"/>
        </w:rPr>
        <w:t>)</w:t>
      </w:r>
      <w:r w:rsidR="00F70FDF" w:rsidRPr="00172722">
        <w:rPr>
          <w:rFonts w:ascii="Times New Roman" w:hAnsi="Times New Roman" w:cs="Times New Roman"/>
        </w:rPr>
        <w:t>.</w:t>
      </w:r>
      <w:r w:rsidR="00F70FDF" w:rsidRPr="00172722">
        <w:rPr>
          <w:rFonts w:ascii="Times New Roman" w:hAnsi="Times New Roman" w:cs="Times New Roman"/>
          <w:vertAlign w:val="superscript"/>
        </w:rPr>
        <w:t>[</w:t>
      </w:r>
      <w:proofErr w:type="gramEnd"/>
      <w:r w:rsidR="00F70FDF" w:rsidRPr="00172722">
        <w:rPr>
          <w:rFonts w:ascii="Times New Roman" w:hAnsi="Times New Roman" w:cs="Times New Roman"/>
          <w:vertAlign w:val="superscript"/>
        </w:rPr>
        <w:t>8]</w:t>
      </w:r>
    </w:p>
    <w:p w14:paraId="42467CDF" w14:textId="77777777" w:rsidR="001E0580" w:rsidRPr="00172722" w:rsidRDefault="001E0580" w:rsidP="001E0580">
      <w:pPr>
        <w:rPr>
          <w:rFonts w:ascii="Times New Roman" w:hAnsi="Times New Roman" w:cs="Times New Roman"/>
        </w:rPr>
      </w:pPr>
    </w:p>
    <w:p w14:paraId="25315174" w14:textId="2DF6AF6C" w:rsidR="001E0580" w:rsidRPr="00172722" w:rsidRDefault="001E0580" w:rsidP="001E0580">
      <w:pPr>
        <w:rPr>
          <w:rFonts w:ascii="Times New Roman" w:hAnsi="Times New Roman" w:cs="Times New Roman"/>
          <w:b/>
          <w:bCs/>
        </w:rPr>
      </w:pPr>
      <w:r w:rsidRPr="00172722">
        <w:rPr>
          <w:rFonts w:ascii="Times New Roman" w:hAnsi="Times New Roman" w:cs="Times New Roman"/>
          <w:b/>
          <w:bCs/>
        </w:rPr>
        <w:t>Etiology</w:t>
      </w:r>
    </w:p>
    <w:p w14:paraId="22C82709" w14:textId="42C5CF6A" w:rsidR="00F70FDF" w:rsidRPr="00172722" w:rsidRDefault="001E0580" w:rsidP="00F70FDF">
      <w:pPr>
        <w:rPr>
          <w:rFonts w:ascii="Times New Roman" w:hAnsi="Times New Roman" w:cs="Times New Roman"/>
        </w:rPr>
      </w:pPr>
      <w:r w:rsidRPr="00172722">
        <w:rPr>
          <w:rFonts w:ascii="Times New Roman" w:hAnsi="Times New Roman" w:cs="Times New Roman"/>
        </w:rPr>
        <w:t>Major etiologies include large artery atherosclerosis (most common, 40-60% of cases), particularly vertebrobasilar stenosis from hypertension; cardio</w:t>
      </w:r>
      <w:r w:rsidR="00AA5829">
        <w:rPr>
          <w:rFonts w:ascii="Times New Roman" w:hAnsi="Times New Roman" w:cs="Times New Roman"/>
        </w:rPr>
        <w:t xml:space="preserve"> </w:t>
      </w:r>
      <w:r w:rsidRPr="00172722">
        <w:rPr>
          <w:rFonts w:ascii="Times New Roman" w:hAnsi="Times New Roman" w:cs="Times New Roman"/>
        </w:rPr>
        <w:t xml:space="preserve">embolism (20-30%) from atrial fibrillation or valvular disease; small vessel occlusion; and arterial dissection, especially in </w:t>
      </w:r>
      <w:r w:rsidRPr="00172722">
        <w:rPr>
          <w:rFonts w:ascii="Times New Roman" w:hAnsi="Times New Roman" w:cs="Times New Roman"/>
        </w:rPr>
        <w:lastRenderedPageBreak/>
        <w:t xml:space="preserve">younger </w:t>
      </w:r>
      <w:proofErr w:type="gramStart"/>
      <w:r w:rsidRPr="00172722">
        <w:rPr>
          <w:rFonts w:ascii="Times New Roman" w:hAnsi="Times New Roman" w:cs="Times New Roman"/>
        </w:rPr>
        <w:t>patients.</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 xml:space="preserve">2] </w:t>
      </w:r>
      <w:r w:rsidRPr="00172722">
        <w:rPr>
          <w:rFonts w:ascii="Times New Roman" w:hAnsi="Times New Roman" w:cs="Times New Roman"/>
        </w:rPr>
        <w:t xml:space="preserve">Less frequent causes encompass hypercoagulable states, vasculitis, and malignancy-associated thrombosis. Hypertension emerges as the predominant risk factor (60-80% prevalence), followed by diabetes, dyslipidemia, and smoking, with South Asian cohorts showing earlier onset and large-artery </w:t>
      </w:r>
      <w:proofErr w:type="gramStart"/>
      <w:r w:rsidRPr="00172722">
        <w:rPr>
          <w:rFonts w:ascii="Times New Roman" w:hAnsi="Times New Roman" w:cs="Times New Roman"/>
        </w:rPr>
        <w:t>predominance.</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1,5]</w:t>
      </w:r>
      <w:r w:rsidR="00F70FDF" w:rsidRPr="00172722">
        <w:rPr>
          <w:rFonts w:ascii="Times New Roman" w:hAnsi="Times New Roman" w:cs="Times New Roman"/>
          <w:vertAlign w:val="superscript"/>
        </w:rPr>
        <w:br/>
      </w:r>
      <w:r w:rsidR="00F70FDF" w:rsidRPr="00172722">
        <w:rPr>
          <w:rFonts w:ascii="Times New Roman" w:hAnsi="Times New Roman" w:cs="Times New Roman"/>
        </w:rPr>
        <w:t>Early epidemiological research indicated a strong association between cervical neoplasia and sexual behavior, particularly factors such as having multiple sexual partners and initiating sexual activity at a young age. Another important risk factor identified was exposure to a “high-risk” partner—someone with a history of multiple sexual relationships or a partner associated with genital neoplasia.</w:t>
      </w:r>
    </w:p>
    <w:p w14:paraId="738E3D97" w14:textId="77777777" w:rsidR="00F70FDF" w:rsidRPr="00172722" w:rsidRDefault="00F70FDF" w:rsidP="00F70FDF">
      <w:pPr>
        <w:rPr>
          <w:rFonts w:ascii="Times New Roman" w:hAnsi="Times New Roman" w:cs="Times New Roman"/>
        </w:rPr>
      </w:pPr>
      <w:r w:rsidRPr="00172722">
        <w:rPr>
          <w:rFonts w:ascii="Times New Roman" w:hAnsi="Times New Roman" w:cs="Times New Roman"/>
        </w:rPr>
        <w:t>Over the past two decades, researchers have explored various sexually transmitted agents as potential causes, including components of semen and several viruses such as Epstein–Barr virus, cytomegalovirus, and herpes simplex virus type II (HSV). However, these investigations did not provide conclusive evidence. In particular, the absence of consistent detection of HSV DNA, RNA, or proteins in most neoplastic lesions, along with inconclusive findings from prospective studies, suggests that HSV does not play a major causal role in cervical cancer.</w:t>
      </w:r>
    </w:p>
    <w:p w14:paraId="0571207B" w14:textId="2D9E6766" w:rsidR="001E0580" w:rsidRPr="00172722" w:rsidRDefault="00F70FDF" w:rsidP="001E0580">
      <w:pPr>
        <w:rPr>
          <w:rFonts w:ascii="Times New Roman" w:hAnsi="Times New Roman" w:cs="Times New Roman"/>
          <w:vertAlign w:val="superscript"/>
        </w:rPr>
      </w:pPr>
      <w:r w:rsidRPr="00172722">
        <w:rPr>
          <w:rFonts w:ascii="Times New Roman" w:hAnsi="Times New Roman" w:cs="Times New Roman"/>
        </w:rPr>
        <w:t xml:space="preserve">In contrast, human papillomaviruses (HPVs) have been identified as the primary etiological agents. High-risk HPV types are detected in more than 90% of cervical cancer cases and possess oncogenic proteins, specifically E6 and E7, which contribute to cellular transformation and cancer </w:t>
      </w:r>
      <w:proofErr w:type="gramStart"/>
      <w:r w:rsidRPr="00172722">
        <w:rPr>
          <w:rFonts w:ascii="Times New Roman" w:hAnsi="Times New Roman" w:cs="Times New Roman"/>
        </w:rPr>
        <w:t>development.</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9]</w:t>
      </w:r>
    </w:p>
    <w:p w14:paraId="34360C0D" w14:textId="77777777" w:rsidR="001E0580" w:rsidRPr="00172722" w:rsidRDefault="001E0580" w:rsidP="001E0580">
      <w:pPr>
        <w:rPr>
          <w:rFonts w:ascii="Times New Roman" w:hAnsi="Times New Roman" w:cs="Times New Roman"/>
          <w:b/>
          <w:bCs/>
        </w:rPr>
      </w:pPr>
      <w:r w:rsidRPr="00172722">
        <w:rPr>
          <w:rFonts w:ascii="Times New Roman" w:hAnsi="Times New Roman" w:cs="Times New Roman"/>
          <w:b/>
          <w:bCs/>
        </w:rPr>
        <w:t>Pathology</w:t>
      </w:r>
    </w:p>
    <w:p w14:paraId="6A82C232" w14:textId="5263F633" w:rsidR="001E0580" w:rsidRPr="00172722" w:rsidRDefault="001E0580" w:rsidP="001E0580">
      <w:pPr>
        <w:rPr>
          <w:rFonts w:ascii="Times New Roman" w:hAnsi="Times New Roman" w:cs="Times New Roman"/>
        </w:rPr>
      </w:pPr>
      <w:r w:rsidRPr="00172722">
        <w:rPr>
          <w:rFonts w:ascii="Times New Roman" w:hAnsi="Times New Roman" w:cs="Times New Roman"/>
        </w:rPr>
        <w:t>Pathologically, acute infarction manifests as cytotoxic edema on diffusion-weighted MRI (DWI hyperintensities), with &gt;90% sensitivity within 6 hours, distinguishing it from hemorrhage or tumor.</w:t>
      </w:r>
      <w:r w:rsidRPr="00172722">
        <w:rPr>
          <w:rFonts w:ascii="Times New Roman" w:hAnsi="Times New Roman" w:cs="Times New Roman"/>
          <w:vertAlign w:val="superscript"/>
        </w:rPr>
        <w:t xml:space="preserve">[6] </w:t>
      </w:r>
      <w:r w:rsidRPr="00172722">
        <w:rPr>
          <w:rFonts w:ascii="Times New Roman" w:hAnsi="Times New Roman" w:cs="Times New Roman"/>
        </w:rPr>
        <w:t>Cervical neoplasia—often metastatic carcinoma, meningioma, or chordoma—exacerbates deficits via spinal cord compression at C1-C7, inducing dystonia, myelopathy, and dysphagia through anterior horn cell involvement or vertebral artery impingement, elevating stroke risk 2-5x via Trousseau hypercoagulability.</w:t>
      </w:r>
      <w:r w:rsidRPr="00172722">
        <w:rPr>
          <w:rFonts w:ascii="Times New Roman" w:hAnsi="Times New Roman" w:cs="Times New Roman"/>
          <w:vertAlign w:val="superscript"/>
        </w:rPr>
        <w:t>[3,4]</w:t>
      </w:r>
      <w:r w:rsidRPr="00172722">
        <w:rPr>
          <w:rFonts w:ascii="Times New Roman" w:hAnsi="Times New Roman" w:cs="Times New Roman"/>
        </w:rPr>
        <w:t xml:space="preserve"> Concurrent CSF lymphocytic pleocytosis signals neuroinflammation, complicating management.</w:t>
      </w:r>
    </w:p>
    <w:p w14:paraId="3C6DCCC3" w14:textId="77777777" w:rsidR="001E0580" w:rsidRPr="00172722" w:rsidRDefault="001E0580" w:rsidP="001E0580">
      <w:pPr>
        <w:rPr>
          <w:rFonts w:ascii="Times New Roman" w:hAnsi="Times New Roman" w:cs="Times New Roman"/>
        </w:rPr>
      </w:pPr>
    </w:p>
    <w:p w14:paraId="16549384" w14:textId="38F294DB" w:rsidR="008665BE" w:rsidRPr="00172722" w:rsidRDefault="00A04380" w:rsidP="00A04380">
      <w:pPr>
        <w:pStyle w:val="Heading2"/>
        <w:rPr>
          <w:rFonts w:ascii="Times New Roman" w:hAnsi="Times New Roman" w:cs="Times New Roman"/>
          <w:b/>
          <w:bCs/>
        </w:rPr>
      </w:pPr>
      <w:r w:rsidRPr="00172722">
        <w:rPr>
          <w:rFonts w:ascii="Times New Roman" w:hAnsi="Times New Roman" w:cs="Times New Roman"/>
          <w:b/>
          <w:bCs/>
        </w:rPr>
        <w:t>CASE STUDY</w:t>
      </w:r>
    </w:p>
    <w:p w14:paraId="7E66851F" w14:textId="61BA2055" w:rsidR="00F0539C" w:rsidRPr="00172722" w:rsidRDefault="00F0539C" w:rsidP="00A04380">
      <w:pPr>
        <w:rPr>
          <w:rFonts w:ascii="Times New Roman" w:hAnsi="Times New Roman" w:cs="Times New Roman"/>
        </w:rPr>
      </w:pPr>
      <w:r w:rsidRPr="00172722">
        <w:rPr>
          <w:rFonts w:ascii="Times New Roman" w:hAnsi="Times New Roman" w:cs="Times New Roman"/>
        </w:rPr>
        <w:t xml:space="preserve">An elderly female patient with a two-year history of well-controlled hypertension on low-dose amlodipine presented to the emergency department with a 15-day progression of altered sensorium, excessive daytime drowsiness, markedly diminished appetite, progressive dysphagia, and bilateral lower limb weakness that had rendered her increasingly bedbound. On initial assessment, she appeared moderately built and adequately nourished, maintaining consciousness and orientation to person, place, and time. Her baseline vital signs reflected relative stability: blood pressure measured 130/80 mmHg, pulse rate remained regular at 74 beats per minute, peripheral oxygen saturation stood at 98% breathing room air, and random capillary blood </w:t>
      </w:r>
      <w:r w:rsidRPr="00172722">
        <w:rPr>
          <w:rFonts w:ascii="Times New Roman" w:hAnsi="Times New Roman" w:cs="Times New Roman"/>
        </w:rPr>
        <w:lastRenderedPageBreak/>
        <w:t>glucose registered a mild elevation at 146 mg/dL. A comprehensive general physical examination yielded unremarkable findings across the cardiovascular system—normal first and second heart sounds without murmurs—respiratory system with bilateral air entry and no adventitious sounds, and per abdomen soft and non-tender without organomegaly or masses.</w:t>
      </w:r>
      <w:r w:rsidR="00AA5829">
        <w:rPr>
          <w:rFonts w:ascii="Times New Roman" w:hAnsi="Times New Roman" w:cs="Times New Roman"/>
        </w:rPr>
        <w:t xml:space="preserve"> </w:t>
      </w:r>
      <w:r w:rsidRPr="00172722">
        <w:rPr>
          <w:rFonts w:ascii="Times New Roman" w:hAnsi="Times New Roman" w:cs="Times New Roman"/>
        </w:rPr>
        <w:t xml:space="preserve">As the hospital course unfolded over the ensuing seven days, serial physician progress notes meticulously documented her clinical trajectory, revealing subtle yet concerning evolution. On admission day 1, drowsiness had become prominent alongside tachycardia climbing to 112 beats per minute and oxygen saturation dipping marginally to 95% on room air. Subsequent daily evaluations captured persistent tachycardia ranging from 106 to 116 beats per minute, intermittent mild hypoxemia nadir at 90% despite supplemental oxygen considerations, and labile hypertension peaking at 160/100 mmHg, suggestive of neurogenic autonomic dysregulation. The constellation of symptoms—medullary-pattern dysphagia impairing oral intake, pyramidal lower limb weakness with subtle up-going </w:t>
      </w:r>
      <w:proofErr w:type="spellStart"/>
      <w:r w:rsidRPr="00172722">
        <w:rPr>
          <w:rFonts w:ascii="Times New Roman" w:hAnsi="Times New Roman" w:cs="Times New Roman"/>
        </w:rPr>
        <w:t>plantars</w:t>
      </w:r>
      <w:proofErr w:type="spellEnd"/>
      <w:r w:rsidRPr="00172722">
        <w:rPr>
          <w:rFonts w:ascii="Times New Roman" w:hAnsi="Times New Roman" w:cs="Times New Roman"/>
        </w:rPr>
        <w:t xml:space="preserve">, and episodic cervical dystonic posturing—pointed toward multifocal neurological involvement spanning brainstem ischemia and </w:t>
      </w:r>
      <w:proofErr w:type="spellStart"/>
      <w:r w:rsidRPr="00172722">
        <w:rPr>
          <w:rFonts w:ascii="Times New Roman" w:hAnsi="Times New Roman" w:cs="Times New Roman"/>
        </w:rPr>
        <w:t>cervicomedullary</w:t>
      </w:r>
      <w:proofErr w:type="spellEnd"/>
      <w:r w:rsidRPr="00172722">
        <w:rPr>
          <w:rFonts w:ascii="Times New Roman" w:hAnsi="Times New Roman" w:cs="Times New Roman"/>
        </w:rPr>
        <w:t xml:space="preserve"> compression.</w:t>
      </w:r>
      <w:r w:rsidR="00AA5829">
        <w:rPr>
          <w:rFonts w:ascii="Times New Roman" w:hAnsi="Times New Roman" w:cs="Times New Roman"/>
        </w:rPr>
        <w:t xml:space="preserve"> </w:t>
      </w:r>
      <w:r w:rsidRPr="00172722">
        <w:rPr>
          <w:rFonts w:ascii="Times New Roman" w:hAnsi="Times New Roman" w:cs="Times New Roman"/>
        </w:rPr>
        <w:t>Diagnostic neuroimaging provided definitive clarity. Magnetic resonance imaging of the brain demonstrated acute ischemic infarction confined to the posterior circulation territory, characterized by restricted diffusion hyperintensities on DWI sequences involving the vertebrobasilar distribution, without evidence of hemorrhagic transformation or mass effect—hallmarks of atherothrombotic occlusion in a hypertensive patient.</w:t>
      </w:r>
    </w:p>
    <w:p w14:paraId="38A76723" w14:textId="6D5559E5" w:rsidR="006E7B7F" w:rsidRPr="00172722" w:rsidRDefault="00A04380" w:rsidP="00A04380">
      <w:pPr>
        <w:rPr>
          <w:rFonts w:ascii="Times New Roman" w:hAnsi="Times New Roman" w:cs="Times New Roman"/>
          <w:b/>
          <w:bCs/>
        </w:rPr>
      </w:pPr>
      <w:r w:rsidRPr="00172722">
        <w:rPr>
          <w:rFonts w:ascii="Times New Roman" w:hAnsi="Times New Roman" w:cs="Times New Roman"/>
          <w:b/>
          <w:bCs/>
        </w:rPr>
        <w:t>Laboratory parameters</w:t>
      </w:r>
    </w:p>
    <w:p w14:paraId="46554D2D" w14:textId="77777777" w:rsidR="00AA5829" w:rsidRDefault="008665BE">
      <w:pPr>
        <w:rPr>
          <w:rFonts w:ascii="Times New Roman" w:hAnsi="Times New Roman" w:cs="Times New Roman"/>
        </w:rPr>
      </w:pPr>
      <w:r w:rsidRPr="00172722">
        <w:rPr>
          <w:rFonts w:ascii="Times New Roman" w:hAnsi="Times New Roman" w:cs="Times New Roman"/>
        </w:rPr>
        <w:t xml:space="preserve">Hematological evaluation revealed mild normocytic anemia (hemoglobin 12.1 g/dL), marked leukocytosis (17,450 cells/mm³) driven by neutrophilia (90%), and normal platelets, pointing toward an infectious or inflammatory process; erythrocyte sedimentation rate was mildly elevated at 14 mm/hr. Inflammatory marker C-reactive protein was raised at 13.4 mg/L. Electrolytes showed mild hypokalemia (3.3 </w:t>
      </w:r>
      <w:proofErr w:type="spellStart"/>
      <w:r w:rsidRPr="00172722">
        <w:rPr>
          <w:rFonts w:ascii="Times New Roman" w:hAnsi="Times New Roman" w:cs="Times New Roman"/>
        </w:rPr>
        <w:t>mEq</w:t>
      </w:r>
      <w:proofErr w:type="spellEnd"/>
      <w:r w:rsidRPr="00172722">
        <w:rPr>
          <w:rFonts w:ascii="Times New Roman" w:hAnsi="Times New Roman" w:cs="Times New Roman"/>
        </w:rPr>
        <w:t xml:space="preserve">/L) with normal sodium and chloride. Renal and liver function tests were unremarkable, as was routine urinalysis. Cerebrospinal fluid analysis was notable for elevated protein (157.4 mg/dL), lymphocytic pleocytosis (40 cells/mm³), normal glucose, negative Gram stain, and low adenosine deaminase, suggestive of a non-tubercular inflammatory </w:t>
      </w:r>
      <w:proofErr w:type="spellStart"/>
      <w:r w:rsidRPr="00172722">
        <w:rPr>
          <w:rFonts w:ascii="Times New Roman" w:hAnsi="Times New Roman" w:cs="Times New Roman"/>
        </w:rPr>
        <w:t>neuropathy.Magnetic</w:t>
      </w:r>
      <w:proofErr w:type="spellEnd"/>
      <w:r w:rsidRPr="00172722">
        <w:rPr>
          <w:rFonts w:ascii="Times New Roman" w:hAnsi="Times New Roman" w:cs="Times New Roman"/>
        </w:rPr>
        <w:t xml:space="preserve"> resonance imaging of the brain confirmed acute ischemic infarction in the posterior circulation territory with diffusion-weighted hyperintensities but no hemorrhage, while cervical spine imaging disclosed a neoplastic lesion exerting mass effect on adjacent neural structures.</w:t>
      </w:r>
    </w:p>
    <w:p w14:paraId="0118BEA8" w14:textId="77777777" w:rsidR="00AA5829" w:rsidRDefault="00AA5829">
      <w:pPr>
        <w:rPr>
          <w:rFonts w:ascii="Times New Roman" w:hAnsi="Times New Roman" w:cs="Times New Roman"/>
        </w:rPr>
      </w:pPr>
    </w:p>
    <w:p w14:paraId="5C4AA3D0" w14:textId="5675AB69" w:rsidR="00172722" w:rsidRPr="00172722" w:rsidRDefault="00AA5829">
      <w:pPr>
        <w:rPr>
          <w:rFonts w:ascii="Times New Roman" w:hAnsi="Times New Roman" w:cs="Times New Roman"/>
        </w:rPr>
      </w:pPr>
      <w:r>
        <w:rPr>
          <w:rFonts w:ascii="Times New Roman" w:hAnsi="Times New Roman" w:cs="Times New Roman"/>
        </w:rPr>
        <w:t xml:space="preserve">Table 1. </w:t>
      </w:r>
      <w:r w:rsidR="00F351F0" w:rsidRPr="00172722">
        <w:rPr>
          <w:rFonts w:ascii="Times New Roman" w:hAnsi="Times New Roman" w:cs="Times New Roman"/>
        </w:rPr>
        <w:t>Hematological</w:t>
      </w:r>
      <w:r w:rsidR="003B7E9B">
        <w:rPr>
          <w:rFonts w:ascii="Times New Roman" w:hAnsi="Times New Roman" w:cs="Times New Roman"/>
        </w:rPr>
        <w:t xml:space="preserve"> Parameters</w:t>
      </w:r>
      <w:r w:rsidR="00F351F0" w:rsidRPr="00172722">
        <w:rPr>
          <w:rFonts w:ascii="Times New Roman" w:hAnsi="Times New Roman" w:cs="Times New Roman"/>
        </w:rPr>
        <w:t xml:space="preserve"> </w:t>
      </w:r>
      <w:r w:rsidR="00F351F0">
        <w:rPr>
          <w:rFonts w:ascii="Times New Roman" w:hAnsi="Times New Roman" w:cs="Times New Roman"/>
        </w:rPr>
        <w:t>Estimation</w:t>
      </w:r>
      <w:r w:rsidR="00172722">
        <w:rPr>
          <w:rFonts w:ascii="Times New Roman" w:hAnsi="Times New Roman" w:cs="Times New Roman"/>
        </w:rPr>
        <w:br/>
      </w:r>
    </w:p>
    <w:tbl>
      <w:tblPr>
        <w:tblStyle w:val="TableGrid"/>
        <w:tblW w:w="0" w:type="auto"/>
        <w:tblLook w:val="04A0" w:firstRow="1" w:lastRow="0" w:firstColumn="1" w:lastColumn="0" w:noHBand="0" w:noVBand="1"/>
      </w:tblPr>
      <w:tblGrid>
        <w:gridCol w:w="3116"/>
        <w:gridCol w:w="3117"/>
        <w:gridCol w:w="3117"/>
      </w:tblGrid>
      <w:tr w:rsidR="0020540A" w14:paraId="0FF70D1E" w14:textId="77777777" w:rsidTr="0020540A">
        <w:tc>
          <w:tcPr>
            <w:tcW w:w="3116" w:type="dxa"/>
          </w:tcPr>
          <w:p w14:paraId="6DEED696" w14:textId="2E31B19F" w:rsidR="0020540A" w:rsidRPr="0020540A" w:rsidRDefault="0020540A">
            <w:pPr>
              <w:rPr>
                <w:rFonts w:ascii="Times New Roman" w:hAnsi="Times New Roman" w:cs="Times New Roman"/>
                <w:b/>
                <w:bCs/>
              </w:rPr>
            </w:pPr>
            <w:r w:rsidRPr="0020540A">
              <w:rPr>
                <w:rFonts w:ascii="Times New Roman" w:hAnsi="Times New Roman" w:cs="Times New Roman"/>
                <w:b/>
                <w:bCs/>
              </w:rPr>
              <w:t>TEST</w:t>
            </w:r>
          </w:p>
        </w:tc>
        <w:tc>
          <w:tcPr>
            <w:tcW w:w="3117" w:type="dxa"/>
          </w:tcPr>
          <w:p w14:paraId="7EAB2A88" w14:textId="2C5EFA57" w:rsidR="0020540A" w:rsidRPr="0020540A" w:rsidRDefault="0020540A">
            <w:pPr>
              <w:rPr>
                <w:rFonts w:ascii="Times New Roman" w:hAnsi="Times New Roman" w:cs="Times New Roman"/>
                <w:b/>
                <w:bCs/>
              </w:rPr>
            </w:pPr>
            <w:r w:rsidRPr="0020540A">
              <w:rPr>
                <w:rFonts w:ascii="Times New Roman" w:hAnsi="Times New Roman" w:cs="Times New Roman"/>
                <w:b/>
                <w:bCs/>
              </w:rPr>
              <w:t>RESULT</w:t>
            </w:r>
          </w:p>
        </w:tc>
        <w:tc>
          <w:tcPr>
            <w:tcW w:w="3117" w:type="dxa"/>
          </w:tcPr>
          <w:p w14:paraId="078B8EEF" w14:textId="56B6ABD2" w:rsidR="0020540A" w:rsidRPr="0020540A" w:rsidRDefault="0020540A">
            <w:pPr>
              <w:rPr>
                <w:rFonts w:ascii="Times New Roman" w:hAnsi="Times New Roman" w:cs="Times New Roman"/>
                <w:b/>
                <w:bCs/>
              </w:rPr>
            </w:pPr>
            <w:r w:rsidRPr="0020540A">
              <w:rPr>
                <w:rFonts w:ascii="Times New Roman" w:hAnsi="Times New Roman" w:cs="Times New Roman"/>
                <w:b/>
                <w:bCs/>
              </w:rPr>
              <w:t>NOTE</w:t>
            </w:r>
          </w:p>
        </w:tc>
      </w:tr>
      <w:tr w:rsidR="00172722" w14:paraId="32D23D81" w14:textId="77777777" w:rsidTr="0020540A">
        <w:tc>
          <w:tcPr>
            <w:tcW w:w="3116" w:type="dxa"/>
          </w:tcPr>
          <w:p w14:paraId="64E22A92" w14:textId="24500A0B" w:rsidR="00172722" w:rsidRDefault="00172722">
            <w:pPr>
              <w:rPr>
                <w:rFonts w:ascii="Times New Roman" w:hAnsi="Times New Roman" w:cs="Times New Roman"/>
              </w:rPr>
            </w:pPr>
            <w:r>
              <w:rPr>
                <w:rFonts w:ascii="Times New Roman" w:hAnsi="Times New Roman" w:cs="Times New Roman"/>
              </w:rPr>
              <w:t>H</w:t>
            </w:r>
            <w:r w:rsidRPr="00172722">
              <w:rPr>
                <w:rFonts w:ascii="Times New Roman" w:hAnsi="Times New Roman" w:cs="Times New Roman"/>
              </w:rPr>
              <w:t xml:space="preserve">emoglobin </w:t>
            </w:r>
          </w:p>
        </w:tc>
        <w:tc>
          <w:tcPr>
            <w:tcW w:w="3117" w:type="dxa"/>
          </w:tcPr>
          <w:p w14:paraId="53880053" w14:textId="1736683D" w:rsidR="00172722" w:rsidRDefault="00172722">
            <w:pPr>
              <w:rPr>
                <w:rFonts w:ascii="Times New Roman" w:hAnsi="Times New Roman" w:cs="Times New Roman"/>
              </w:rPr>
            </w:pPr>
            <w:r w:rsidRPr="00172722">
              <w:rPr>
                <w:rFonts w:ascii="Times New Roman" w:hAnsi="Times New Roman" w:cs="Times New Roman"/>
              </w:rPr>
              <w:t>12.1 g/dL</w:t>
            </w:r>
          </w:p>
        </w:tc>
        <w:tc>
          <w:tcPr>
            <w:tcW w:w="3117" w:type="dxa"/>
          </w:tcPr>
          <w:p w14:paraId="23814F77" w14:textId="24ECB2C8" w:rsidR="00172722" w:rsidRDefault="00172722">
            <w:pPr>
              <w:rPr>
                <w:rFonts w:ascii="Times New Roman" w:hAnsi="Times New Roman" w:cs="Times New Roman"/>
              </w:rPr>
            </w:pPr>
            <w:r>
              <w:rPr>
                <w:rFonts w:ascii="Times New Roman" w:hAnsi="Times New Roman" w:cs="Times New Roman"/>
              </w:rPr>
              <w:t>E</w:t>
            </w:r>
            <w:r w:rsidRPr="00172722">
              <w:rPr>
                <w:rFonts w:ascii="Times New Roman" w:hAnsi="Times New Roman" w:cs="Times New Roman"/>
              </w:rPr>
              <w:t>levated</w:t>
            </w:r>
          </w:p>
        </w:tc>
      </w:tr>
      <w:tr w:rsidR="00172722" w14:paraId="34E924DF" w14:textId="77777777" w:rsidTr="0020540A">
        <w:tc>
          <w:tcPr>
            <w:tcW w:w="3116" w:type="dxa"/>
          </w:tcPr>
          <w:p w14:paraId="66555368" w14:textId="22390A4A" w:rsidR="00172722" w:rsidRDefault="00172722">
            <w:pPr>
              <w:rPr>
                <w:rFonts w:ascii="Times New Roman" w:hAnsi="Times New Roman" w:cs="Times New Roman"/>
              </w:rPr>
            </w:pPr>
            <w:r w:rsidRPr="00172722">
              <w:rPr>
                <w:rFonts w:ascii="Times New Roman" w:hAnsi="Times New Roman" w:cs="Times New Roman"/>
              </w:rPr>
              <w:t xml:space="preserve">WBC </w:t>
            </w:r>
          </w:p>
        </w:tc>
        <w:tc>
          <w:tcPr>
            <w:tcW w:w="3117" w:type="dxa"/>
          </w:tcPr>
          <w:p w14:paraId="726DA035" w14:textId="2481AEC3" w:rsidR="00172722" w:rsidRPr="00172722" w:rsidRDefault="00172722">
            <w:pPr>
              <w:rPr>
                <w:rFonts w:ascii="Times New Roman" w:hAnsi="Times New Roman" w:cs="Times New Roman"/>
              </w:rPr>
            </w:pPr>
            <w:r w:rsidRPr="00172722">
              <w:rPr>
                <w:rFonts w:ascii="Times New Roman" w:hAnsi="Times New Roman" w:cs="Times New Roman"/>
              </w:rPr>
              <w:t>17,450 cells/mm³</w:t>
            </w:r>
          </w:p>
        </w:tc>
        <w:tc>
          <w:tcPr>
            <w:tcW w:w="3117" w:type="dxa"/>
          </w:tcPr>
          <w:p w14:paraId="72A812E1" w14:textId="014C804B" w:rsidR="00172722" w:rsidRDefault="00172722">
            <w:pPr>
              <w:rPr>
                <w:rFonts w:ascii="Times New Roman" w:hAnsi="Times New Roman" w:cs="Times New Roman"/>
              </w:rPr>
            </w:pPr>
            <w:r w:rsidRPr="00172722">
              <w:rPr>
                <w:rFonts w:ascii="Times New Roman" w:hAnsi="Times New Roman" w:cs="Times New Roman"/>
              </w:rPr>
              <w:t>Increased</w:t>
            </w:r>
          </w:p>
        </w:tc>
      </w:tr>
      <w:tr w:rsidR="00172722" w14:paraId="1C311153" w14:textId="77777777" w:rsidTr="0020540A">
        <w:tc>
          <w:tcPr>
            <w:tcW w:w="3116" w:type="dxa"/>
          </w:tcPr>
          <w:p w14:paraId="468E5D52" w14:textId="32A2A10D" w:rsidR="00172722" w:rsidRDefault="00172722" w:rsidP="00172722">
            <w:pPr>
              <w:rPr>
                <w:rFonts w:ascii="Times New Roman" w:hAnsi="Times New Roman" w:cs="Times New Roman"/>
              </w:rPr>
            </w:pPr>
            <w:r w:rsidRPr="00172722">
              <w:rPr>
                <w:rFonts w:ascii="Times New Roman" w:hAnsi="Times New Roman" w:cs="Times New Roman"/>
              </w:rPr>
              <w:lastRenderedPageBreak/>
              <w:t xml:space="preserve">CRP  </w:t>
            </w:r>
            <w:r>
              <w:rPr>
                <w:rFonts w:ascii="Times New Roman" w:hAnsi="Times New Roman" w:cs="Times New Roman"/>
              </w:rPr>
              <w:t xml:space="preserve"> </w:t>
            </w:r>
          </w:p>
        </w:tc>
        <w:tc>
          <w:tcPr>
            <w:tcW w:w="3117" w:type="dxa"/>
          </w:tcPr>
          <w:p w14:paraId="5E9EFC5D" w14:textId="5BA8B427" w:rsidR="00172722" w:rsidRDefault="00172722" w:rsidP="00172722">
            <w:pPr>
              <w:rPr>
                <w:rFonts w:ascii="Times New Roman" w:hAnsi="Times New Roman" w:cs="Times New Roman"/>
              </w:rPr>
            </w:pPr>
            <w:r w:rsidRPr="00172722">
              <w:rPr>
                <w:rFonts w:ascii="Times New Roman" w:hAnsi="Times New Roman" w:cs="Times New Roman"/>
              </w:rPr>
              <w:t>13.4 mg/L</w:t>
            </w:r>
          </w:p>
        </w:tc>
        <w:tc>
          <w:tcPr>
            <w:tcW w:w="3117" w:type="dxa"/>
          </w:tcPr>
          <w:p w14:paraId="14445301" w14:textId="47CC4A89" w:rsidR="00172722" w:rsidRDefault="0020540A" w:rsidP="00172722">
            <w:pPr>
              <w:rPr>
                <w:rFonts w:ascii="Times New Roman" w:hAnsi="Times New Roman" w:cs="Times New Roman"/>
              </w:rPr>
            </w:pPr>
            <w:r>
              <w:rPr>
                <w:rFonts w:ascii="Times New Roman" w:hAnsi="Times New Roman" w:cs="Times New Roman"/>
              </w:rPr>
              <w:t>E</w:t>
            </w:r>
            <w:r w:rsidR="00172722" w:rsidRPr="00172722">
              <w:rPr>
                <w:rFonts w:ascii="Times New Roman" w:hAnsi="Times New Roman" w:cs="Times New Roman"/>
              </w:rPr>
              <w:t>levated</w:t>
            </w:r>
          </w:p>
        </w:tc>
      </w:tr>
      <w:tr w:rsidR="00172722" w14:paraId="3C459468" w14:textId="77777777" w:rsidTr="0020540A">
        <w:tc>
          <w:tcPr>
            <w:tcW w:w="3116" w:type="dxa"/>
          </w:tcPr>
          <w:p w14:paraId="21726D54" w14:textId="75DA7EF5" w:rsidR="00172722" w:rsidRDefault="00172722" w:rsidP="00172722">
            <w:pPr>
              <w:rPr>
                <w:rFonts w:ascii="Times New Roman" w:hAnsi="Times New Roman" w:cs="Times New Roman"/>
              </w:rPr>
            </w:pPr>
            <w:r w:rsidRPr="00172722">
              <w:rPr>
                <w:rFonts w:ascii="Times New Roman" w:hAnsi="Times New Roman" w:cs="Times New Roman"/>
              </w:rPr>
              <w:t xml:space="preserve">C-reactive protein  </w:t>
            </w:r>
          </w:p>
        </w:tc>
        <w:tc>
          <w:tcPr>
            <w:tcW w:w="3117" w:type="dxa"/>
          </w:tcPr>
          <w:p w14:paraId="3DD8F0A1" w14:textId="32D50366" w:rsidR="00172722" w:rsidRDefault="00172722" w:rsidP="00172722">
            <w:pPr>
              <w:rPr>
                <w:rFonts w:ascii="Times New Roman" w:hAnsi="Times New Roman" w:cs="Times New Roman"/>
              </w:rPr>
            </w:pPr>
            <w:r w:rsidRPr="00172722">
              <w:rPr>
                <w:rFonts w:ascii="Times New Roman" w:hAnsi="Times New Roman" w:cs="Times New Roman"/>
              </w:rPr>
              <w:t>13.4 mg/L</w:t>
            </w:r>
          </w:p>
        </w:tc>
        <w:tc>
          <w:tcPr>
            <w:tcW w:w="3117" w:type="dxa"/>
          </w:tcPr>
          <w:p w14:paraId="46942468" w14:textId="5A457CE8" w:rsidR="00172722" w:rsidRDefault="00172722" w:rsidP="00172722">
            <w:pPr>
              <w:rPr>
                <w:rFonts w:ascii="Times New Roman" w:hAnsi="Times New Roman" w:cs="Times New Roman"/>
              </w:rPr>
            </w:pPr>
            <w:r w:rsidRPr="00172722">
              <w:rPr>
                <w:rFonts w:ascii="Times New Roman" w:hAnsi="Times New Roman" w:cs="Times New Roman"/>
              </w:rPr>
              <w:t>Increased</w:t>
            </w:r>
          </w:p>
        </w:tc>
      </w:tr>
      <w:tr w:rsidR="00172722" w14:paraId="45262F29" w14:textId="77777777" w:rsidTr="0020540A">
        <w:tc>
          <w:tcPr>
            <w:tcW w:w="3116" w:type="dxa"/>
          </w:tcPr>
          <w:p w14:paraId="545B1F77" w14:textId="2D29D88A" w:rsidR="00172722" w:rsidRDefault="00172722" w:rsidP="00172722">
            <w:pPr>
              <w:rPr>
                <w:rFonts w:ascii="Times New Roman" w:hAnsi="Times New Roman" w:cs="Times New Roman"/>
              </w:rPr>
            </w:pPr>
            <w:r w:rsidRPr="00172722">
              <w:rPr>
                <w:rFonts w:ascii="Times New Roman" w:hAnsi="Times New Roman" w:cs="Times New Roman"/>
              </w:rPr>
              <w:t xml:space="preserve">Protein </w:t>
            </w:r>
          </w:p>
        </w:tc>
        <w:tc>
          <w:tcPr>
            <w:tcW w:w="3117" w:type="dxa"/>
          </w:tcPr>
          <w:p w14:paraId="46D2EF39" w14:textId="49D64D7C" w:rsidR="00172722" w:rsidRDefault="00172722" w:rsidP="00172722">
            <w:pPr>
              <w:rPr>
                <w:rFonts w:ascii="Times New Roman" w:hAnsi="Times New Roman" w:cs="Times New Roman"/>
              </w:rPr>
            </w:pPr>
            <w:r w:rsidRPr="00172722">
              <w:rPr>
                <w:rFonts w:ascii="Times New Roman" w:hAnsi="Times New Roman" w:cs="Times New Roman"/>
              </w:rPr>
              <w:t xml:space="preserve">157.4 mg/dL  </w:t>
            </w:r>
          </w:p>
        </w:tc>
        <w:tc>
          <w:tcPr>
            <w:tcW w:w="3117" w:type="dxa"/>
          </w:tcPr>
          <w:p w14:paraId="25303321" w14:textId="516AD816" w:rsidR="00172722" w:rsidRDefault="0020540A" w:rsidP="00172722">
            <w:pPr>
              <w:rPr>
                <w:rFonts w:ascii="Times New Roman" w:hAnsi="Times New Roman" w:cs="Times New Roman"/>
              </w:rPr>
            </w:pPr>
            <w:r>
              <w:rPr>
                <w:rFonts w:ascii="Times New Roman" w:hAnsi="Times New Roman" w:cs="Times New Roman"/>
              </w:rPr>
              <w:t>E</w:t>
            </w:r>
            <w:r w:rsidR="00172722" w:rsidRPr="00172722">
              <w:rPr>
                <w:rFonts w:ascii="Times New Roman" w:hAnsi="Times New Roman" w:cs="Times New Roman"/>
              </w:rPr>
              <w:t>levated</w:t>
            </w:r>
          </w:p>
        </w:tc>
      </w:tr>
      <w:tr w:rsidR="0020540A" w14:paraId="126A5B50" w14:textId="77777777" w:rsidTr="0020540A">
        <w:tc>
          <w:tcPr>
            <w:tcW w:w="3116" w:type="dxa"/>
          </w:tcPr>
          <w:p w14:paraId="11837CB6" w14:textId="7E8A4E4F" w:rsidR="0020540A" w:rsidRPr="00172722" w:rsidRDefault="0020540A" w:rsidP="00172722">
            <w:pPr>
              <w:rPr>
                <w:rFonts w:ascii="Times New Roman" w:hAnsi="Times New Roman" w:cs="Times New Roman"/>
              </w:rPr>
            </w:pPr>
            <w:r w:rsidRPr="0020540A">
              <w:rPr>
                <w:rFonts w:ascii="Times New Roman" w:hAnsi="Times New Roman" w:cs="Times New Roman"/>
              </w:rPr>
              <w:t xml:space="preserve">Cell count </w:t>
            </w:r>
          </w:p>
        </w:tc>
        <w:tc>
          <w:tcPr>
            <w:tcW w:w="3117" w:type="dxa"/>
          </w:tcPr>
          <w:p w14:paraId="7C540B0F" w14:textId="1145FD26" w:rsidR="0020540A" w:rsidRPr="00172722" w:rsidRDefault="0020540A" w:rsidP="00172722">
            <w:pPr>
              <w:rPr>
                <w:rFonts w:ascii="Times New Roman" w:hAnsi="Times New Roman" w:cs="Times New Roman"/>
              </w:rPr>
            </w:pPr>
            <w:r w:rsidRPr="0020540A">
              <w:rPr>
                <w:rFonts w:ascii="Times New Roman" w:hAnsi="Times New Roman" w:cs="Times New Roman"/>
              </w:rPr>
              <w:t>40 cells/</w:t>
            </w:r>
            <w:proofErr w:type="spellStart"/>
            <w:r w:rsidRPr="0020540A">
              <w:rPr>
                <w:rFonts w:ascii="Times New Roman" w:hAnsi="Times New Roman" w:cs="Times New Roman"/>
              </w:rPr>
              <w:t>cumm</w:t>
            </w:r>
            <w:proofErr w:type="spellEnd"/>
          </w:p>
        </w:tc>
        <w:tc>
          <w:tcPr>
            <w:tcW w:w="3117" w:type="dxa"/>
          </w:tcPr>
          <w:p w14:paraId="3F394073" w14:textId="27CB8A92" w:rsidR="0020540A" w:rsidRPr="00172722" w:rsidRDefault="0020540A" w:rsidP="00172722">
            <w:pPr>
              <w:rPr>
                <w:rFonts w:ascii="Times New Roman" w:hAnsi="Times New Roman" w:cs="Times New Roman"/>
              </w:rPr>
            </w:pPr>
            <w:r w:rsidRPr="00172722">
              <w:rPr>
                <w:rFonts w:ascii="Times New Roman" w:hAnsi="Times New Roman" w:cs="Times New Roman"/>
              </w:rPr>
              <w:t>Increased</w:t>
            </w:r>
          </w:p>
        </w:tc>
      </w:tr>
      <w:tr w:rsidR="00172722" w14:paraId="5160C622" w14:textId="77777777" w:rsidTr="0020540A">
        <w:tc>
          <w:tcPr>
            <w:tcW w:w="3116" w:type="dxa"/>
          </w:tcPr>
          <w:p w14:paraId="64EC1E3F" w14:textId="7FAAD938" w:rsidR="00172722" w:rsidRDefault="00172722" w:rsidP="00172722">
            <w:pPr>
              <w:rPr>
                <w:rFonts w:ascii="Times New Roman" w:hAnsi="Times New Roman" w:cs="Times New Roman"/>
              </w:rPr>
            </w:pPr>
            <w:r w:rsidRPr="00172722">
              <w:rPr>
                <w:rFonts w:ascii="Times New Roman" w:hAnsi="Times New Roman" w:cs="Times New Roman"/>
              </w:rPr>
              <w:t xml:space="preserve">Potassium  </w:t>
            </w:r>
          </w:p>
        </w:tc>
        <w:tc>
          <w:tcPr>
            <w:tcW w:w="3117" w:type="dxa"/>
          </w:tcPr>
          <w:p w14:paraId="5151355F" w14:textId="5BCB95C1" w:rsidR="00172722" w:rsidRDefault="00172722" w:rsidP="00172722">
            <w:pPr>
              <w:rPr>
                <w:rFonts w:ascii="Times New Roman" w:hAnsi="Times New Roman" w:cs="Times New Roman"/>
              </w:rPr>
            </w:pPr>
            <w:r w:rsidRPr="00172722">
              <w:rPr>
                <w:rFonts w:ascii="Times New Roman" w:hAnsi="Times New Roman" w:cs="Times New Roman"/>
              </w:rPr>
              <w:t xml:space="preserve">3.3 </w:t>
            </w:r>
            <w:proofErr w:type="spellStart"/>
            <w:r w:rsidRPr="00172722">
              <w:rPr>
                <w:rFonts w:ascii="Times New Roman" w:hAnsi="Times New Roman" w:cs="Times New Roman"/>
              </w:rPr>
              <w:t>mEq</w:t>
            </w:r>
            <w:proofErr w:type="spellEnd"/>
            <w:r w:rsidRPr="00172722">
              <w:rPr>
                <w:rFonts w:ascii="Times New Roman" w:hAnsi="Times New Roman" w:cs="Times New Roman"/>
              </w:rPr>
              <w:t>/L</w:t>
            </w:r>
          </w:p>
        </w:tc>
        <w:tc>
          <w:tcPr>
            <w:tcW w:w="3117" w:type="dxa"/>
          </w:tcPr>
          <w:p w14:paraId="3379593A" w14:textId="0B4EFF20" w:rsidR="00172722" w:rsidRDefault="0020540A" w:rsidP="00172722">
            <w:pPr>
              <w:rPr>
                <w:rFonts w:ascii="Times New Roman" w:hAnsi="Times New Roman" w:cs="Times New Roman"/>
              </w:rPr>
            </w:pPr>
            <w:r>
              <w:rPr>
                <w:rFonts w:ascii="Times New Roman" w:hAnsi="Times New Roman" w:cs="Times New Roman"/>
              </w:rPr>
              <w:t>D</w:t>
            </w:r>
            <w:r w:rsidRPr="00172722">
              <w:rPr>
                <w:rFonts w:ascii="Times New Roman" w:hAnsi="Times New Roman" w:cs="Times New Roman"/>
              </w:rPr>
              <w:t>ecreased</w:t>
            </w:r>
          </w:p>
        </w:tc>
      </w:tr>
      <w:tr w:rsidR="00172722" w14:paraId="6C0073FC" w14:textId="77777777" w:rsidTr="0020540A">
        <w:tc>
          <w:tcPr>
            <w:tcW w:w="3116" w:type="dxa"/>
          </w:tcPr>
          <w:p w14:paraId="089DEBCF" w14:textId="776F6A9E" w:rsidR="00172722" w:rsidRDefault="0020540A" w:rsidP="00172722">
            <w:pPr>
              <w:rPr>
                <w:rFonts w:ascii="Times New Roman" w:hAnsi="Times New Roman" w:cs="Times New Roman"/>
              </w:rPr>
            </w:pPr>
            <w:r w:rsidRPr="0020540A">
              <w:rPr>
                <w:rFonts w:ascii="Times New Roman" w:hAnsi="Times New Roman" w:cs="Times New Roman"/>
              </w:rPr>
              <w:t>Lymphocyte</w:t>
            </w:r>
          </w:p>
        </w:tc>
        <w:tc>
          <w:tcPr>
            <w:tcW w:w="3117" w:type="dxa"/>
          </w:tcPr>
          <w:p w14:paraId="2D6C156E" w14:textId="046E54E4" w:rsidR="00172722" w:rsidRDefault="0020540A" w:rsidP="00172722">
            <w:pPr>
              <w:rPr>
                <w:rFonts w:ascii="Times New Roman" w:hAnsi="Times New Roman" w:cs="Times New Roman"/>
              </w:rPr>
            </w:pPr>
            <w:r>
              <w:rPr>
                <w:rFonts w:ascii="Times New Roman" w:hAnsi="Times New Roman" w:cs="Times New Roman"/>
              </w:rPr>
              <w:t>6%</w:t>
            </w:r>
          </w:p>
        </w:tc>
        <w:tc>
          <w:tcPr>
            <w:tcW w:w="3117" w:type="dxa"/>
          </w:tcPr>
          <w:p w14:paraId="267EDD67" w14:textId="64F44D86" w:rsidR="00172722" w:rsidRDefault="0020540A" w:rsidP="00172722">
            <w:pPr>
              <w:rPr>
                <w:rFonts w:ascii="Times New Roman" w:hAnsi="Times New Roman" w:cs="Times New Roman"/>
              </w:rPr>
            </w:pPr>
            <w:r>
              <w:rPr>
                <w:rFonts w:ascii="Times New Roman" w:hAnsi="Times New Roman" w:cs="Times New Roman"/>
              </w:rPr>
              <w:t>D</w:t>
            </w:r>
            <w:r w:rsidRPr="00172722">
              <w:rPr>
                <w:rFonts w:ascii="Times New Roman" w:hAnsi="Times New Roman" w:cs="Times New Roman"/>
              </w:rPr>
              <w:t>ecreased</w:t>
            </w:r>
          </w:p>
        </w:tc>
      </w:tr>
      <w:tr w:rsidR="0020540A" w14:paraId="38632186" w14:textId="77777777" w:rsidTr="0020540A">
        <w:tc>
          <w:tcPr>
            <w:tcW w:w="3116" w:type="dxa"/>
          </w:tcPr>
          <w:p w14:paraId="7343B01F" w14:textId="2C23F8D0" w:rsidR="0020540A" w:rsidRPr="0020540A" w:rsidRDefault="0020540A" w:rsidP="00172722">
            <w:pPr>
              <w:rPr>
                <w:rFonts w:ascii="Times New Roman" w:hAnsi="Times New Roman" w:cs="Times New Roman"/>
              </w:rPr>
            </w:pPr>
            <w:r w:rsidRPr="0020540A">
              <w:rPr>
                <w:rFonts w:ascii="Times New Roman" w:hAnsi="Times New Roman" w:cs="Times New Roman"/>
              </w:rPr>
              <w:t>Neutrophils</w:t>
            </w:r>
          </w:p>
        </w:tc>
        <w:tc>
          <w:tcPr>
            <w:tcW w:w="3117" w:type="dxa"/>
          </w:tcPr>
          <w:p w14:paraId="06C88402" w14:textId="605BB750" w:rsidR="0020540A" w:rsidRPr="0020540A" w:rsidRDefault="0020540A" w:rsidP="00172722">
            <w:pPr>
              <w:rPr>
                <w:rFonts w:ascii="Times New Roman" w:hAnsi="Times New Roman" w:cs="Times New Roman"/>
              </w:rPr>
            </w:pPr>
            <w:r>
              <w:rPr>
                <w:rFonts w:ascii="Times New Roman" w:hAnsi="Times New Roman" w:cs="Times New Roman"/>
              </w:rPr>
              <w:t>90%</w:t>
            </w:r>
          </w:p>
        </w:tc>
        <w:tc>
          <w:tcPr>
            <w:tcW w:w="3117" w:type="dxa"/>
          </w:tcPr>
          <w:p w14:paraId="557D062F" w14:textId="1E7D3023" w:rsidR="0020540A" w:rsidRDefault="0020540A" w:rsidP="00172722">
            <w:pPr>
              <w:rPr>
                <w:rFonts w:ascii="Times New Roman" w:hAnsi="Times New Roman" w:cs="Times New Roman"/>
              </w:rPr>
            </w:pPr>
            <w:r w:rsidRPr="00172722">
              <w:rPr>
                <w:rFonts w:ascii="Times New Roman" w:hAnsi="Times New Roman" w:cs="Times New Roman"/>
              </w:rPr>
              <w:t>Increased</w:t>
            </w:r>
          </w:p>
        </w:tc>
      </w:tr>
    </w:tbl>
    <w:p w14:paraId="389AE807" w14:textId="3E4AF29F" w:rsidR="006E7B7F" w:rsidRPr="00172722" w:rsidRDefault="006E7B7F">
      <w:pPr>
        <w:rPr>
          <w:rFonts w:ascii="Times New Roman" w:hAnsi="Times New Roman" w:cs="Times New Roman"/>
        </w:rPr>
      </w:pPr>
    </w:p>
    <w:p w14:paraId="75DDFDA0" w14:textId="77777777" w:rsidR="00BB522C" w:rsidRPr="00172722" w:rsidRDefault="008665BE">
      <w:pPr>
        <w:rPr>
          <w:rFonts w:ascii="Times New Roman" w:hAnsi="Times New Roman" w:cs="Times New Roman"/>
          <w:b/>
          <w:bCs/>
        </w:rPr>
      </w:pPr>
      <w:r w:rsidRPr="00172722">
        <w:rPr>
          <w:rFonts w:ascii="Times New Roman" w:hAnsi="Times New Roman" w:cs="Times New Roman"/>
          <w:b/>
          <w:bCs/>
        </w:rPr>
        <w:t>Treatment</w:t>
      </w:r>
    </w:p>
    <w:p w14:paraId="4CC10AB8" w14:textId="2AD9855D" w:rsidR="00DD5A50" w:rsidRPr="00172722" w:rsidRDefault="008665BE">
      <w:pPr>
        <w:rPr>
          <w:rFonts w:ascii="Times New Roman" w:hAnsi="Times New Roman" w:cs="Times New Roman"/>
        </w:rPr>
      </w:pPr>
      <w:r w:rsidRPr="00172722">
        <w:rPr>
          <w:rFonts w:ascii="Times New Roman" w:hAnsi="Times New Roman" w:cs="Times New Roman"/>
        </w:rPr>
        <w:t>Management encompassed broad-spectrum intravenous antibiotics including ceftriaxone, amoxicillin-clavulanate, metronidazole, and piperacillin-tazobactam to address presumed sepsis; high-dose methylprednisolone for neuroinflammation; antiplatelet therapy with aspirin and statin for secondary stroke prevention; dose-adjusted antihypertensive; and supportive measures such as proton-pump inhibition, antiemetics, lactulose for bowel regulation, paracetamol for analgesia, and intravenous hydration. The regimen led to gradual clinical improvement, with resolution of drowsiness, stabilization of vital signs, and no procedural complications.</w:t>
      </w:r>
    </w:p>
    <w:p w14:paraId="23CD80E4" w14:textId="77777777" w:rsidR="00BB522C" w:rsidRPr="00172722" w:rsidRDefault="00BB522C">
      <w:pPr>
        <w:rPr>
          <w:rFonts w:ascii="Times New Roman" w:hAnsi="Times New Roman" w:cs="Times New Roman"/>
        </w:rPr>
      </w:pPr>
    </w:p>
    <w:p w14:paraId="637CFE2B" w14:textId="5828444C" w:rsidR="00090CBF" w:rsidRPr="00172722" w:rsidRDefault="00A04380" w:rsidP="00A04380">
      <w:pPr>
        <w:pStyle w:val="Heading2"/>
        <w:rPr>
          <w:rFonts w:ascii="Times New Roman" w:hAnsi="Times New Roman" w:cs="Times New Roman"/>
          <w:b/>
          <w:bCs/>
        </w:rPr>
      </w:pPr>
      <w:r w:rsidRPr="00172722">
        <w:rPr>
          <w:rFonts w:ascii="Times New Roman" w:hAnsi="Times New Roman" w:cs="Times New Roman"/>
          <w:b/>
          <w:bCs/>
        </w:rPr>
        <w:t>DISCUSSION</w:t>
      </w:r>
    </w:p>
    <w:p w14:paraId="78FE6B01" w14:textId="7ED7206D" w:rsidR="00E530A0" w:rsidRPr="00172722" w:rsidRDefault="00090CBF">
      <w:pPr>
        <w:rPr>
          <w:rFonts w:ascii="Times New Roman" w:hAnsi="Times New Roman" w:cs="Times New Roman"/>
        </w:rPr>
      </w:pPr>
      <w:r w:rsidRPr="00172722">
        <w:rPr>
          <w:rFonts w:ascii="Times New Roman" w:hAnsi="Times New Roman" w:cs="Times New Roman"/>
        </w:rPr>
        <w:t xml:space="preserve"> </w:t>
      </w:r>
      <w:r w:rsidR="00F0539C" w:rsidRPr="00172722">
        <w:rPr>
          <w:rFonts w:ascii="Times New Roman" w:hAnsi="Times New Roman" w:cs="Times New Roman"/>
        </w:rPr>
        <w:t>This case exemplifies the diagnostic complexity of posterior circulation stroke coexisting with cervical neoplasia in an elderly hypertensive patient, where overlapping brainstem and spinal pathologies mimic a unitary process. Posterior circulation infarcts, comprising 20-25% of ischemic strokes, classically manifest with protean symptoms like altered sensorium and dysphagia due to vertebrobasilar hypoperfusion, as evidenced by DWI hyperintensities confirming acute ischemia.</w:t>
      </w:r>
      <w:r w:rsidR="00F0539C" w:rsidRPr="00172722">
        <w:rPr>
          <w:rFonts w:ascii="Times New Roman" w:hAnsi="Times New Roman" w:cs="Times New Roman"/>
          <w:vertAlign w:val="superscript"/>
        </w:rPr>
        <w:t>[1]</w:t>
      </w:r>
      <w:r w:rsidR="00F0539C" w:rsidRPr="00172722">
        <w:rPr>
          <w:rFonts w:ascii="Times New Roman" w:hAnsi="Times New Roman" w:cs="Times New Roman"/>
        </w:rPr>
        <w:t xml:space="preserve"> The neoplastic cervical lesion introduced confounding myelopathy—explaining lower limb weakness and dystonia through cord compression—a recognized stroke risk multiplier via Trousseau hypercoagulability.</w:t>
      </w:r>
      <w:r w:rsidR="00F0539C" w:rsidRPr="00172722">
        <w:rPr>
          <w:rFonts w:ascii="Times New Roman" w:hAnsi="Times New Roman" w:cs="Times New Roman"/>
          <w:vertAlign w:val="superscript"/>
        </w:rPr>
        <w:t>[5]</w:t>
      </w:r>
      <w:r w:rsidR="00F0539C" w:rsidRPr="00172722">
        <w:rPr>
          <w:rFonts w:ascii="Times New Roman" w:hAnsi="Times New Roman" w:cs="Times New Roman"/>
        </w:rPr>
        <w:t>Hypertension served as the pivotal risk factor, promoting endothelial atherothrombosis while labile vitals signaled neurogenic dysregulation familiar in vertebrobasilar events.</w:t>
      </w:r>
      <w:r w:rsidR="00F0539C" w:rsidRPr="00172722">
        <w:rPr>
          <w:rFonts w:ascii="Times New Roman" w:hAnsi="Times New Roman" w:cs="Times New Roman"/>
          <w:vertAlign w:val="superscript"/>
        </w:rPr>
        <w:t>[6]</w:t>
      </w:r>
      <w:r w:rsidR="00F0539C" w:rsidRPr="00172722">
        <w:rPr>
          <w:rFonts w:ascii="Times New Roman" w:hAnsi="Times New Roman" w:cs="Times New Roman"/>
        </w:rPr>
        <w:t xml:space="preserve"> Empirical broad-spectrum antibiotics addressed leukocytosis-driven sepsis risk from dysphagia-related aspiration, while high-dose methylprednisolone effectively reduced perilesional edema, highlighting steroids' adjunctive role beyond thrombolysis windows.</w:t>
      </w:r>
      <w:r w:rsidR="00F0539C" w:rsidRPr="00172722">
        <w:rPr>
          <w:rFonts w:ascii="Times New Roman" w:hAnsi="Times New Roman" w:cs="Times New Roman"/>
          <w:vertAlign w:val="superscript"/>
        </w:rPr>
        <w:t>[3]</w:t>
      </w:r>
      <w:r w:rsidR="00F0539C" w:rsidRPr="00172722">
        <w:rPr>
          <w:rFonts w:ascii="Times New Roman" w:hAnsi="Times New Roman" w:cs="Times New Roman"/>
        </w:rPr>
        <w:t xml:space="preserve"> Rapid improvement within seven days underscores multimodal therapy's efficacy: antiplatelets/statins for vascular protection, antimicrobials for infection, and supportive care preventing secondary </w:t>
      </w:r>
      <w:proofErr w:type="spellStart"/>
      <w:r w:rsidR="00F0539C" w:rsidRPr="00172722">
        <w:rPr>
          <w:rFonts w:ascii="Times New Roman" w:hAnsi="Times New Roman" w:cs="Times New Roman"/>
        </w:rPr>
        <w:t>complications.Key</w:t>
      </w:r>
      <w:proofErr w:type="spellEnd"/>
      <w:r w:rsidR="00F0539C" w:rsidRPr="00172722">
        <w:rPr>
          <w:rFonts w:ascii="Times New Roman" w:hAnsi="Times New Roman" w:cs="Times New Roman"/>
        </w:rPr>
        <w:t xml:space="preserve"> learning points include mandatory neuroimaging in elderly patients with subacute </w:t>
      </w:r>
      <w:proofErr w:type="spellStart"/>
      <w:r w:rsidR="00F0539C" w:rsidRPr="00172722">
        <w:rPr>
          <w:rFonts w:ascii="Times New Roman" w:hAnsi="Times New Roman" w:cs="Times New Roman"/>
        </w:rPr>
        <w:t>neuroprogression</w:t>
      </w:r>
      <w:proofErr w:type="spellEnd"/>
      <w:r w:rsidR="00F0539C" w:rsidRPr="00172722">
        <w:rPr>
          <w:rFonts w:ascii="Times New Roman" w:hAnsi="Times New Roman" w:cs="Times New Roman"/>
        </w:rPr>
        <w:t xml:space="preserve">, as clinical localization alone fails to disentangle vascular versus compressive etiologies. This case reinforces guideline-directed management yielding favorable short-term outcomes, though long-term oncology evaluation for the spinal neoplasm remains imperative to prevent </w:t>
      </w:r>
      <w:proofErr w:type="gramStart"/>
      <w:r w:rsidR="00F0539C" w:rsidRPr="00172722">
        <w:rPr>
          <w:rFonts w:ascii="Times New Roman" w:hAnsi="Times New Roman" w:cs="Times New Roman"/>
        </w:rPr>
        <w:t>recurrence.</w:t>
      </w:r>
      <w:r w:rsidR="00F0539C" w:rsidRPr="00172722">
        <w:rPr>
          <w:rFonts w:ascii="Times New Roman" w:hAnsi="Times New Roman" w:cs="Times New Roman"/>
          <w:vertAlign w:val="superscript"/>
        </w:rPr>
        <w:t>[</w:t>
      </w:r>
      <w:proofErr w:type="gramEnd"/>
      <w:r w:rsidR="00F0539C" w:rsidRPr="00172722">
        <w:rPr>
          <w:rFonts w:ascii="Times New Roman" w:hAnsi="Times New Roman" w:cs="Times New Roman"/>
          <w:vertAlign w:val="superscript"/>
        </w:rPr>
        <w:t>2,4]</w:t>
      </w:r>
    </w:p>
    <w:p w14:paraId="0CFAD5AB" w14:textId="3822904A" w:rsidR="00E530A0" w:rsidRPr="00172722" w:rsidRDefault="00A04380" w:rsidP="00A04380">
      <w:pPr>
        <w:pStyle w:val="Heading2"/>
        <w:rPr>
          <w:rFonts w:ascii="Times New Roman" w:hAnsi="Times New Roman" w:cs="Times New Roman"/>
        </w:rPr>
      </w:pPr>
      <w:r w:rsidRPr="00172722">
        <w:rPr>
          <w:rFonts w:ascii="Times New Roman" w:hAnsi="Times New Roman" w:cs="Times New Roman"/>
        </w:rPr>
        <w:lastRenderedPageBreak/>
        <w:t>CONCLUSION</w:t>
      </w:r>
    </w:p>
    <w:p w14:paraId="447F416A" w14:textId="7ADC8DA8" w:rsidR="00BB522C" w:rsidRPr="00172722" w:rsidRDefault="00090CBF">
      <w:pPr>
        <w:rPr>
          <w:rFonts w:ascii="Times New Roman" w:hAnsi="Times New Roman" w:cs="Times New Roman"/>
        </w:rPr>
      </w:pPr>
      <w:r w:rsidRPr="00172722">
        <w:rPr>
          <w:rFonts w:ascii="Times New Roman" w:hAnsi="Times New Roman" w:cs="Times New Roman"/>
        </w:rPr>
        <w:t>This case highlights the critical role of urgent neuroimaging in multifocal neurological deficits among hypertensive elderly patients, where stroke and spinal pathology coexist with infection. Aggressive, guideline-directed intervention achieved short-term stabilization, reinforcing the need for integrated neurology, infectious disease, and oncology care to optimize outcomes and prevent recurrence.</w:t>
      </w:r>
      <w:r w:rsidR="00F0539C" w:rsidRPr="00172722">
        <w:rPr>
          <w:rFonts w:ascii="Times New Roman" w:hAnsi="Times New Roman" w:cs="Times New Roman"/>
        </w:rPr>
        <w:br/>
        <w:t xml:space="preserve"> This case exemplifies the intricate diagnostic challenge posed by concurrent posterior circulation stroke and cervical neoplasia in an elderly hypertensive patient, where vertebrobasilar ischemia and spinal cord compression produced indistinguishable sensorimotor deficits including altered sensorium, dysphagia, and lower limb weakness. Urgent MRI with diffusion-weighted imaging emerged as the diagnostic cornerstone, unequivocally delineating acute infarction alongside neoplastic myelopathy—a critical distinction given cancer's 2-5x stroke risk amplification through hypercoagulability. Comprehensive multimodal management proved transformative: antiplatelet therapy and statins ensured secondary vascular prevention; empirical broad-spectrum antibiotics mitigated aspiration sepsis; high-dose methylprednisolone rapidly alleviated perilesional edema; and meticulous supportive care prevented complications. Within seven days, remarkable recovery ensued—normalized sensorium, stable vitals, and substantial motor gain—underscoring the narrow therapeutic window where aggressive intervention averts irreversible deficits. These findings mandate comprehensive neuroimaging for subacute </w:t>
      </w:r>
      <w:proofErr w:type="spellStart"/>
      <w:r w:rsidR="00F0539C" w:rsidRPr="00172722">
        <w:rPr>
          <w:rFonts w:ascii="Times New Roman" w:hAnsi="Times New Roman" w:cs="Times New Roman"/>
        </w:rPr>
        <w:t>neuroprogression</w:t>
      </w:r>
      <w:proofErr w:type="spellEnd"/>
      <w:r w:rsidR="00F0539C" w:rsidRPr="00172722">
        <w:rPr>
          <w:rFonts w:ascii="Times New Roman" w:hAnsi="Times New Roman" w:cs="Times New Roman"/>
        </w:rPr>
        <w:t xml:space="preserve"> in vascular risk cohorts and reinforce guideline-directed, layered pharmacotherapy yielding superior short-term outcomes, though vigilant long-term oncological surveillance remains essential to forestall neoplastic progression and stroke recurrence.</w:t>
      </w:r>
    </w:p>
    <w:p w14:paraId="71FED57C" w14:textId="77777777" w:rsidR="00E530A0" w:rsidRDefault="00E530A0"/>
    <w:p w14:paraId="35CA1E00" w14:textId="06A059E2" w:rsidR="00E530A0" w:rsidRPr="00A04380" w:rsidRDefault="00A04380" w:rsidP="00A04380">
      <w:pPr>
        <w:pStyle w:val="Heading2"/>
      </w:pPr>
      <w:r w:rsidRPr="00A04380">
        <w:t xml:space="preserve">REFERENCE </w:t>
      </w:r>
    </w:p>
    <w:p w14:paraId="0DD25F70" w14:textId="77777777" w:rsidR="001E0580" w:rsidRDefault="001E0580" w:rsidP="00E530A0">
      <w:pPr>
        <w:pStyle w:val="ListParagraph"/>
        <w:numPr>
          <w:ilvl w:val="0"/>
          <w:numId w:val="1"/>
        </w:numPr>
      </w:pPr>
      <w:proofErr w:type="spellStart"/>
      <w:r w:rsidRPr="001E0580">
        <w:t>Bogousslavsky</w:t>
      </w:r>
      <w:proofErr w:type="spellEnd"/>
      <w:r w:rsidRPr="001E0580">
        <w:t xml:space="preserve"> J, </w:t>
      </w:r>
      <w:proofErr w:type="spellStart"/>
      <w:r w:rsidRPr="001E0580">
        <w:t>Cachin</w:t>
      </w:r>
      <w:proofErr w:type="spellEnd"/>
      <w:r w:rsidRPr="001E0580">
        <w:t xml:space="preserve"> C, </w:t>
      </w:r>
      <w:proofErr w:type="spellStart"/>
      <w:r w:rsidRPr="001E0580">
        <w:t>Regli</w:t>
      </w:r>
      <w:proofErr w:type="spellEnd"/>
      <w:r w:rsidRPr="001E0580">
        <w:t xml:space="preserve"> F, et al. Cardiac sources of embolism and cerebral infarction—clinical consequences and vascular concomitants: the Lausanne Stroke Registry. Neurology. 1991;41(6):855-859. </w:t>
      </w:r>
    </w:p>
    <w:p w14:paraId="2707DA15" w14:textId="77777777" w:rsidR="001E0580" w:rsidRDefault="001E0580" w:rsidP="00E530A0">
      <w:pPr>
        <w:pStyle w:val="ListParagraph"/>
        <w:numPr>
          <w:ilvl w:val="0"/>
          <w:numId w:val="1"/>
        </w:numPr>
      </w:pPr>
      <w:proofErr w:type="spellStart"/>
      <w:r w:rsidRPr="001E0580">
        <w:t>Fiebach</w:t>
      </w:r>
      <w:proofErr w:type="spellEnd"/>
      <w:r w:rsidRPr="001E0580">
        <w:t xml:space="preserve"> JB, </w:t>
      </w:r>
      <w:proofErr w:type="spellStart"/>
      <w:r w:rsidRPr="001E0580">
        <w:t>Schellinger</w:t>
      </w:r>
      <w:proofErr w:type="spellEnd"/>
      <w:r w:rsidRPr="001E0580">
        <w:t xml:space="preserve"> PD, Jansen O, et al. CT and diffusion-weighted MR imaging in randomized stroke treatment: the PROACT II trial. Stroke. 2002;33(4):1145-1150. </w:t>
      </w:r>
    </w:p>
    <w:p w14:paraId="16C8675C" w14:textId="77777777" w:rsidR="001E0580" w:rsidRDefault="001E0580" w:rsidP="00E530A0">
      <w:pPr>
        <w:pStyle w:val="ListParagraph"/>
        <w:numPr>
          <w:ilvl w:val="0"/>
          <w:numId w:val="1"/>
        </w:numPr>
      </w:pPr>
      <w:r w:rsidRPr="001E0580">
        <w:t>Newman-</w:t>
      </w:r>
      <w:proofErr w:type="spellStart"/>
      <w:r w:rsidRPr="001E0580">
        <w:t>Toker</w:t>
      </w:r>
      <w:proofErr w:type="spellEnd"/>
      <w:r w:rsidRPr="001E0580">
        <w:t xml:space="preserve"> DE, </w:t>
      </w:r>
      <w:proofErr w:type="spellStart"/>
      <w:r w:rsidRPr="001E0580">
        <w:t>Keralvesh</w:t>
      </w:r>
      <w:proofErr w:type="spellEnd"/>
      <w:r w:rsidRPr="001E0580">
        <w:t xml:space="preserve"> R, </w:t>
      </w:r>
      <w:proofErr w:type="spellStart"/>
      <w:r w:rsidRPr="001E0580">
        <w:t>Shankaran</w:t>
      </w:r>
      <w:proofErr w:type="spellEnd"/>
      <w:r w:rsidRPr="001E0580">
        <w:t xml:space="preserve"> S, et al. Posterior circulation </w:t>
      </w:r>
      <w:proofErr w:type="spellStart"/>
      <w:r w:rsidRPr="001E0580">
        <w:t>ischaemic</w:t>
      </w:r>
      <w:proofErr w:type="spellEnd"/>
      <w:r w:rsidRPr="001E0580">
        <w:t xml:space="preserve"> stroke. BMJ. 2014;</w:t>
      </w:r>
      <w:proofErr w:type="gramStart"/>
      <w:r w:rsidRPr="001E0580">
        <w:t>348:g</w:t>
      </w:r>
      <w:proofErr w:type="gramEnd"/>
      <w:r w:rsidRPr="001E0580">
        <w:t xml:space="preserve">3175. </w:t>
      </w:r>
    </w:p>
    <w:p w14:paraId="1CC3B0B6" w14:textId="77777777" w:rsidR="001E0580" w:rsidRDefault="001E0580" w:rsidP="00E530A0">
      <w:pPr>
        <w:pStyle w:val="ListParagraph"/>
        <w:numPr>
          <w:ilvl w:val="0"/>
          <w:numId w:val="1"/>
        </w:numPr>
      </w:pPr>
      <w:r w:rsidRPr="001E0580">
        <w:t xml:space="preserve">Caplan LR. Ischemic Posterior Circulation Stroke: A Review of Anatomy, Clinical Presentations and Management. Front Neurol. </w:t>
      </w:r>
      <w:proofErr w:type="gramStart"/>
      <w:r w:rsidRPr="001E0580">
        <w:t>2014;5:30</w:t>
      </w:r>
      <w:proofErr w:type="gramEnd"/>
      <w:r w:rsidRPr="001E0580">
        <w:t xml:space="preserve">. </w:t>
      </w:r>
    </w:p>
    <w:p w14:paraId="3DD00357" w14:textId="77777777" w:rsidR="001E0580" w:rsidRDefault="001E0580" w:rsidP="00E530A0">
      <w:pPr>
        <w:pStyle w:val="ListParagraph"/>
        <w:numPr>
          <w:ilvl w:val="0"/>
          <w:numId w:val="1"/>
        </w:numPr>
      </w:pPr>
      <w:r w:rsidRPr="00F351F0">
        <w:rPr>
          <w:lang w:val="es-US"/>
        </w:rPr>
        <w:t xml:space="preserve">Lee JJ, </w:t>
      </w:r>
      <w:proofErr w:type="spellStart"/>
      <w:r w:rsidRPr="00F351F0">
        <w:rPr>
          <w:lang w:val="es-US"/>
        </w:rPr>
        <w:t>Yu</w:t>
      </w:r>
      <w:proofErr w:type="spellEnd"/>
      <w:r w:rsidRPr="00F351F0">
        <w:rPr>
          <w:lang w:val="es-US"/>
        </w:rPr>
        <w:t xml:space="preserve"> CC, Wu SR, et al. </w:t>
      </w:r>
      <w:r w:rsidRPr="001E0580">
        <w:t xml:space="preserve">Increased risk of ischemic stroke in cervical cancer patients: a nationwide population-based study. </w:t>
      </w:r>
      <w:proofErr w:type="spellStart"/>
      <w:r w:rsidRPr="001E0580">
        <w:t>PLoS</w:t>
      </w:r>
      <w:proofErr w:type="spellEnd"/>
      <w:r w:rsidRPr="001E0580">
        <w:t xml:space="preserve"> One. 2013;8(3</w:t>
      </w:r>
      <w:proofErr w:type="gramStart"/>
      <w:r w:rsidRPr="001E0580">
        <w:t>):e</w:t>
      </w:r>
      <w:proofErr w:type="gramEnd"/>
      <w:r w:rsidRPr="001E0580">
        <w:t xml:space="preserve">56237. </w:t>
      </w:r>
    </w:p>
    <w:p w14:paraId="675295FF" w14:textId="45934522" w:rsidR="006304D8" w:rsidRDefault="001E0580" w:rsidP="00E530A0">
      <w:pPr>
        <w:pStyle w:val="ListParagraph"/>
        <w:numPr>
          <w:ilvl w:val="0"/>
          <w:numId w:val="1"/>
        </w:numPr>
      </w:pPr>
      <w:r w:rsidRPr="001E0580">
        <w:t xml:space="preserve">Pai S, et al. Etiologies and Risk Factors of Anterior and Posterior Circulation Strokes: A Comparative Study. </w:t>
      </w:r>
      <w:proofErr w:type="spellStart"/>
      <w:r w:rsidRPr="001E0580">
        <w:t>Cureus</w:t>
      </w:r>
      <w:proofErr w:type="spellEnd"/>
      <w:r w:rsidRPr="001E0580">
        <w:t>. 2024;16(8</w:t>
      </w:r>
      <w:proofErr w:type="gramStart"/>
      <w:r w:rsidRPr="001E0580">
        <w:t>):e</w:t>
      </w:r>
      <w:proofErr w:type="gramEnd"/>
      <w:r w:rsidRPr="001E0580">
        <w:t xml:space="preserve">11375. </w:t>
      </w:r>
      <w:proofErr w:type="spellStart"/>
      <w:r w:rsidR="00C369AF">
        <w:t>Bogousslavsky</w:t>
      </w:r>
      <w:proofErr w:type="spellEnd"/>
      <w:r w:rsidR="00C369AF">
        <w:t xml:space="preserve"> J, Van </w:t>
      </w:r>
      <w:proofErr w:type="spellStart"/>
      <w:r w:rsidR="00C369AF">
        <w:t>Melle</w:t>
      </w:r>
      <w:proofErr w:type="spellEnd"/>
      <w:r w:rsidR="00C369AF">
        <w:t xml:space="preserve"> G, </w:t>
      </w:r>
      <w:proofErr w:type="spellStart"/>
      <w:r w:rsidR="00C369AF">
        <w:t>Regli</w:t>
      </w:r>
      <w:proofErr w:type="spellEnd"/>
      <w:r w:rsidR="00C369AF">
        <w:t xml:space="preserve"> F. </w:t>
      </w:r>
      <w:r w:rsidR="00C369AF">
        <w:lastRenderedPageBreak/>
        <w:t>Stroke in pregnancy: report on an unselected series of 267 consecu</w:t>
      </w:r>
      <w:bookmarkStart w:id="1" w:name="_GoBack"/>
      <w:bookmarkEnd w:id="1"/>
      <w:r w:rsidR="00C369AF">
        <w:t>tive patients. Neurology. 1991;41(6):855-9.</w:t>
      </w:r>
    </w:p>
    <w:p w14:paraId="6AE59BFC" w14:textId="77777777" w:rsidR="00F70FDF" w:rsidRDefault="00C369AF" w:rsidP="005C2E2A">
      <w:pPr>
        <w:pStyle w:val="ListParagraph"/>
        <w:numPr>
          <w:ilvl w:val="0"/>
          <w:numId w:val="1"/>
        </w:numPr>
      </w:pPr>
      <w:proofErr w:type="spellStart"/>
      <w:r>
        <w:t>Fiebach</w:t>
      </w:r>
      <w:proofErr w:type="spellEnd"/>
      <w:r>
        <w:t xml:space="preserve"> JB, </w:t>
      </w:r>
      <w:proofErr w:type="spellStart"/>
      <w:r>
        <w:t>Schellinger</w:t>
      </w:r>
      <w:proofErr w:type="spellEnd"/>
      <w:r>
        <w:t xml:space="preserve"> PD, Jansen O, et al. CT and diffusion-weighted MR imaging in randomized stroke treatment: the PROACT II trial. Stroke. 2002;33(4):1145-50.</w:t>
      </w:r>
    </w:p>
    <w:p w14:paraId="05B10685" w14:textId="7353D722" w:rsidR="00F70FDF" w:rsidRDefault="00F70FDF" w:rsidP="00F70FDF">
      <w:pPr>
        <w:pStyle w:val="ListParagraph"/>
        <w:numPr>
          <w:ilvl w:val="0"/>
          <w:numId w:val="1"/>
        </w:numPr>
      </w:pPr>
      <w:proofErr w:type="spellStart"/>
      <w:r w:rsidRPr="00F70FDF">
        <w:t>Sankaranarayanan</w:t>
      </w:r>
      <w:proofErr w:type="spellEnd"/>
      <w:r w:rsidRPr="00F70FDF">
        <w:t xml:space="preserve"> R </w:t>
      </w:r>
      <w:r w:rsidRPr="00F70FDF">
        <w:rPr>
          <w:i/>
          <w:iCs/>
        </w:rPr>
        <w:t>et</w:t>
      </w:r>
      <w:r w:rsidRPr="00F70FDF">
        <w:t xml:space="preserve"> </w:t>
      </w:r>
      <w:r w:rsidRPr="00F70FDF">
        <w:rPr>
          <w:i/>
          <w:iCs/>
        </w:rPr>
        <w:t>al</w:t>
      </w:r>
      <w:r w:rsidRPr="00F70FDF">
        <w:t xml:space="preserve">, a critical assessment of screening methods for cervical neoplasia. </w:t>
      </w:r>
      <w:proofErr w:type="spellStart"/>
      <w:r w:rsidRPr="00F70FDF">
        <w:t>doi</w:t>
      </w:r>
      <w:proofErr w:type="spellEnd"/>
      <w:r w:rsidRPr="00F70FDF">
        <w:t>: 10.1016/j.ijgo.2005.01.009f</w:t>
      </w:r>
      <w:r>
        <w:t>.</w:t>
      </w:r>
    </w:p>
    <w:p w14:paraId="552B57A9" w14:textId="13A6EBCE" w:rsidR="00833A6A" w:rsidRDefault="00F70FDF" w:rsidP="00F70FDF">
      <w:pPr>
        <w:pStyle w:val="ListParagraph"/>
        <w:numPr>
          <w:ilvl w:val="0"/>
          <w:numId w:val="1"/>
        </w:numPr>
      </w:pPr>
      <w:r w:rsidRPr="00F70FDF">
        <w:t xml:space="preserve">Arends MJ et al, </w:t>
      </w:r>
      <w:proofErr w:type="spellStart"/>
      <w:r w:rsidRPr="00F70FDF">
        <w:t>Aetiology</w:t>
      </w:r>
      <w:proofErr w:type="spellEnd"/>
      <w:r w:rsidRPr="00F70FDF">
        <w:t xml:space="preserve">, pathogenesis, and pathology of cervical neoplasia. </w:t>
      </w:r>
      <w:proofErr w:type="spellStart"/>
      <w:r w:rsidRPr="00F70FDF">
        <w:t>doi</w:t>
      </w:r>
      <w:proofErr w:type="spellEnd"/>
      <w:r w:rsidRPr="00F70FDF">
        <w:t>: 10.1136/jcp.51.2.96</w:t>
      </w:r>
    </w:p>
    <w:p w14:paraId="6CE3F4F0" w14:textId="77777777" w:rsidR="00833A6A" w:rsidRDefault="00833A6A"/>
    <w:p w14:paraId="12B48ADC" w14:textId="77777777" w:rsidR="00833A6A" w:rsidRDefault="00833A6A"/>
    <w:p w14:paraId="09921AE8" w14:textId="7FF38E2E" w:rsidR="00833A6A" w:rsidRDefault="00833A6A"/>
    <w:sectPr w:rsidR="00833A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4445" w14:textId="77777777" w:rsidR="00892754" w:rsidRDefault="00892754" w:rsidP="0026174C">
      <w:pPr>
        <w:spacing w:after="0" w:line="240" w:lineRule="auto"/>
      </w:pPr>
      <w:r>
        <w:separator/>
      </w:r>
    </w:p>
  </w:endnote>
  <w:endnote w:type="continuationSeparator" w:id="0">
    <w:p w14:paraId="77C34ACC" w14:textId="77777777" w:rsidR="00892754" w:rsidRDefault="00892754" w:rsidP="0026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7C2B" w14:textId="77777777" w:rsidR="0026174C" w:rsidRDefault="00261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5166" w14:textId="77777777" w:rsidR="0026174C" w:rsidRDefault="00261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6A36" w14:textId="77777777" w:rsidR="0026174C" w:rsidRDefault="0026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84082" w14:textId="77777777" w:rsidR="00892754" w:rsidRDefault="00892754" w:rsidP="0026174C">
      <w:pPr>
        <w:spacing w:after="0" w:line="240" w:lineRule="auto"/>
      </w:pPr>
      <w:r>
        <w:separator/>
      </w:r>
    </w:p>
  </w:footnote>
  <w:footnote w:type="continuationSeparator" w:id="0">
    <w:p w14:paraId="27751604" w14:textId="77777777" w:rsidR="00892754" w:rsidRDefault="00892754" w:rsidP="0026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C682" w14:textId="3C224734" w:rsidR="0026174C" w:rsidRDefault="0026174C">
    <w:pPr>
      <w:pStyle w:val="Header"/>
    </w:pPr>
    <w:r>
      <w:rPr>
        <w:noProof/>
      </w:rPr>
      <w:pict w14:anchorId="583D2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8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81FC" w14:textId="29CEF768" w:rsidR="0026174C" w:rsidRDefault="0026174C">
    <w:pPr>
      <w:pStyle w:val="Header"/>
    </w:pPr>
    <w:r>
      <w:rPr>
        <w:noProof/>
      </w:rPr>
      <w:pict w14:anchorId="7F097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8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2EA2" w14:textId="2FFF6C0E" w:rsidR="0026174C" w:rsidRDefault="0026174C">
    <w:pPr>
      <w:pStyle w:val="Header"/>
    </w:pPr>
    <w:r>
      <w:rPr>
        <w:noProof/>
      </w:rPr>
      <w:pict w14:anchorId="582F7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8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E00FF"/>
    <w:multiLevelType w:val="hybridMultilevel"/>
    <w:tmpl w:val="A7F6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NDUzNTIyMjAwMTVR0lEKTi0uzszPAykwrAUA5tOxciwAAAA="/>
  </w:docVars>
  <w:rsids>
    <w:rsidRoot w:val="00DD5A50"/>
    <w:rsid w:val="00090CBF"/>
    <w:rsid w:val="00172722"/>
    <w:rsid w:val="001E0580"/>
    <w:rsid w:val="0020540A"/>
    <w:rsid w:val="00222EB2"/>
    <w:rsid w:val="00237850"/>
    <w:rsid w:val="0026174C"/>
    <w:rsid w:val="003B7E9B"/>
    <w:rsid w:val="005C2E2A"/>
    <w:rsid w:val="006304D8"/>
    <w:rsid w:val="006E7B7F"/>
    <w:rsid w:val="006F072F"/>
    <w:rsid w:val="00746D8E"/>
    <w:rsid w:val="007B4F68"/>
    <w:rsid w:val="00833A6A"/>
    <w:rsid w:val="008665BE"/>
    <w:rsid w:val="00892754"/>
    <w:rsid w:val="008E0432"/>
    <w:rsid w:val="00A04380"/>
    <w:rsid w:val="00AA5829"/>
    <w:rsid w:val="00B35FB4"/>
    <w:rsid w:val="00BB522C"/>
    <w:rsid w:val="00C1055D"/>
    <w:rsid w:val="00C369AF"/>
    <w:rsid w:val="00C54A12"/>
    <w:rsid w:val="00C56027"/>
    <w:rsid w:val="00D1256B"/>
    <w:rsid w:val="00D31151"/>
    <w:rsid w:val="00DD5A50"/>
    <w:rsid w:val="00E530A0"/>
    <w:rsid w:val="00F0539C"/>
    <w:rsid w:val="00F351F0"/>
    <w:rsid w:val="00F70FDF"/>
    <w:rsid w:val="00FF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A115E5"/>
  <w15:chartTrackingRefBased/>
  <w15:docId w15:val="{509B2DD9-83B4-9E40-94B0-94F2770F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50"/>
    <w:rPr>
      <w:rFonts w:eastAsiaTheme="majorEastAsia" w:cstheme="majorBidi"/>
      <w:color w:val="272727" w:themeColor="text1" w:themeTint="D8"/>
    </w:rPr>
  </w:style>
  <w:style w:type="paragraph" w:styleId="Title">
    <w:name w:val="Title"/>
    <w:basedOn w:val="Normal"/>
    <w:next w:val="Normal"/>
    <w:link w:val="TitleChar"/>
    <w:uiPriority w:val="10"/>
    <w:qFormat/>
    <w:rsid w:val="00DD5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A50"/>
    <w:pPr>
      <w:spacing w:before="160"/>
      <w:jc w:val="center"/>
    </w:pPr>
    <w:rPr>
      <w:i/>
      <w:iCs/>
      <w:color w:val="404040" w:themeColor="text1" w:themeTint="BF"/>
    </w:rPr>
  </w:style>
  <w:style w:type="character" w:customStyle="1" w:styleId="QuoteChar">
    <w:name w:val="Quote Char"/>
    <w:basedOn w:val="DefaultParagraphFont"/>
    <w:link w:val="Quote"/>
    <w:uiPriority w:val="29"/>
    <w:rsid w:val="00DD5A50"/>
    <w:rPr>
      <w:i/>
      <w:iCs/>
      <w:color w:val="404040" w:themeColor="text1" w:themeTint="BF"/>
    </w:rPr>
  </w:style>
  <w:style w:type="paragraph" w:styleId="ListParagraph">
    <w:name w:val="List Paragraph"/>
    <w:basedOn w:val="Normal"/>
    <w:uiPriority w:val="34"/>
    <w:qFormat/>
    <w:rsid w:val="00DD5A50"/>
    <w:pPr>
      <w:ind w:left="720"/>
      <w:contextualSpacing/>
    </w:pPr>
  </w:style>
  <w:style w:type="character" w:styleId="IntenseEmphasis">
    <w:name w:val="Intense Emphasis"/>
    <w:basedOn w:val="DefaultParagraphFont"/>
    <w:uiPriority w:val="21"/>
    <w:qFormat/>
    <w:rsid w:val="00DD5A50"/>
    <w:rPr>
      <w:i/>
      <w:iCs/>
      <w:color w:val="0F4761" w:themeColor="accent1" w:themeShade="BF"/>
    </w:rPr>
  </w:style>
  <w:style w:type="paragraph" w:styleId="IntenseQuote">
    <w:name w:val="Intense Quote"/>
    <w:basedOn w:val="Normal"/>
    <w:next w:val="Normal"/>
    <w:link w:val="IntenseQuoteChar"/>
    <w:uiPriority w:val="30"/>
    <w:qFormat/>
    <w:rsid w:val="00DD5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A50"/>
    <w:rPr>
      <w:i/>
      <w:iCs/>
      <w:color w:val="0F4761" w:themeColor="accent1" w:themeShade="BF"/>
    </w:rPr>
  </w:style>
  <w:style w:type="character" w:styleId="IntenseReference">
    <w:name w:val="Intense Reference"/>
    <w:basedOn w:val="DefaultParagraphFont"/>
    <w:uiPriority w:val="32"/>
    <w:qFormat/>
    <w:rsid w:val="00DD5A50"/>
    <w:rPr>
      <w:b/>
      <w:bCs/>
      <w:smallCaps/>
      <w:color w:val="0F4761" w:themeColor="accent1" w:themeShade="BF"/>
      <w:spacing w:val="5"/>
    </w:rPr>
  </w:style>
  <w:style w:type="table" w:styleId="TableGrid">
    <w:name w:val="Table Grid"/>
    <w:basedOn w:val="TableNormal"/>
    <w:uiPriority w:val="39"/>
    <w:rsid w:val="0017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EB2"/>
    <w:rPr>
      <w:color w:val="467886" w:themeColor="hyperlink"/>
      <w:u w:val="single"/>
    </w:rPr>
  </w:style>
  <w:style w:type="character" w:styleId="UnresolvedMention">
    <w:name w:val="Unresolved Mention"/>
    <w:basedOn w:val="DefaultParagraphFont"/>
    <w:uiPriority w:val="99"/>
    <w:semiHidden/>
    <w:unhideWhenUsed/>
    <w:rsid w:val="00222EB2"/>
    <w:rPr>
      <w:color w:val="605E5C"/>
      <w:shd w:val="clear" w:color="auto" w:fill="E1DFDD"/>
    </w:rPr>
  </w:style>
  <w:style w:type="paragraph" w:styleId="Header">
    <w:name w:val="header"/>
    <w:basedOn w:val="Normal"/>
    <w:link w:val="HeaderChar"/>
    <w:uiPriority w:val="99"/>
    <w:unhideWhenUsed/>
    <w:rsid w:val="0026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74C"/>
  </w:style>
  <w:style w:type="paragraph" w:styleId="Footer">
    <w:name w:val="footer"/>
    <w:basedOn w:val="Normal"/>
    <w:link w:val="FooterChar"/>
    <w:uiPriority w:val="99"/>
    <w:unhideWhenUsed/>
    <w:rsid w:val="0026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Aneena Sabu</dc:creator>
  <cp:keywords/>
  <dc:description/>
  <cp:lastModifiedBy>SDI 1166</cp:lastModifiedBy>
  <cp:revision>9</cp:revision>
  <dcterms:created xsi:type="dcterms:W3CDTF">2026-03-25T10:41:00Z</dcterms:created>
  <dcterms:modified xsi:type="dcterms:W3CDTF">2026-03-26T10:28:00Z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6e32dd62-e848-4db7-a953-cac1ad735fc8</vt:lpwstr>
  </property>
</Properties>
</file>