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5262" w14:textId="6478622F" w:rsidR="00C11961" w:rsidRDefault="002774E1" w:rsidP="007447F7">
      <w:pPr>
        <w:jc w:val="center"/>
        <w:rPr>
          <w:rFonts w:ascii="Arial" w:hAnsi="Arial" w:cs="Arial"/>
          <w:b/>
          <w:bCs/>
          <w:sz w:val="36"/>
          <w:szCs w:val="36"/>
        </w:rPr>
      </w:pPr>
      <w:r w:rsidRPr="00BD1B7F">
        <w:rPr>
          <w:rFonts w:ascii="Arial" w:hAnsi="Arial" w:cs="Arial"/>
          <w:b/>
          <w:bCs/>
          <w:sz w:val="36"/>
          <w:szCs w:val="36"/>
        </w:rPr>
        <w:t>Simulating</w:t>
      </w:r>
      <w:r w:rsidR="00C11961" w:rsidRPr="00BD1B7F">
        <w:rPr>
          <w:rFonts w:ascii="Arial" w:hAnsi="Arial" w:cs="Arial"/>
          <w:b/>
          <w:bCs/>
          <w:sz w:val="36"/>
          <w:szCs w:val="36"/>
        </w:rPr>
        <w:t xml:space="preserve"> Surface Runoff Response to Land Use Change Using </w:t>
      </w:r>
      <w:proofErr w:type="spellStart"/>
      <w:r w:rsidR="00C11961" w:rsidRPr="00BD1B7F">
        <w:rPr>
          <w:rFonts w:ascii="Arial" w:hAnsi="Arial" w:cs="Arial"/>
          <w:b/>
          <w:bCs/>
          <w:sz w:val="36"/>
          <w:szCs w:val="36"/>
        </w:rPr>
        <w:t>ArcSWAT</w:t>
      </w:r>
      <w:proofErr w:type="spellEnd"/>
      <w:r w:rsidRPr="00BD1B7F">
        <w:rPr>
          <w:rFonts w:ascii="Arial" w:hAnsi="Arial" w:cs="Arial"/>
          <w:b/>
          <w:bCs/>
          <w:sz w:val="36"/>
          <w:szCs w:val="36"/>
        </w:rPr>
        <w:t xml:space="preserve"> in </w:t>
      </w:r>
      <w:proofErr w:type="spellStart"/>
      <w:r w:rsidRPr="00BD1B7F">
        <w:rPr>
          <w:rFonts w:ascii="Arial" w:hAnsi="Arial" w:cs="Arial"/>
          <w:b/>
          <w:bCs/>
          <w:sz w:val="36"/>
          <w:szCs w:val="36"/>
        </w:rPr>
        <w:t>Jonk</w:t>
      </w:r>
      <w:proofErr w:type="spellEnd"/>
      <w:r w:rsidRPr="00BD1B7F">
        <w:rPr>
          <w:rFonts w:ascii="Arial" w:hAnsi="Arial" w:cs="Arial"/>
          <w:b/>
          <w:bCs/>
          <w:sz w:val="36"/>
          <w:szCs w:val="36"/>
        </w:rPr>
        <w:t xml:space="preserve"> </w:t>
      </w:r>
      <w:proofErr w:type="spellStart"/>
      <w:r w:rsidRPr="00BD1B7F">
        <w:rPr>
          <w:rFonts w:ascii="Arial" w:hAnsi="Arial" w:cs="Arial"/>
          <w:b/>
          <w:bCs/>
          <w:sz w:val="36"/>
          <w:szCs w:val="36"/>
        </w:rPr>
        <w:t>Subbasin</w:t>
      </w:r>
      <w:proofErr w:type="spellEnd"/>
    </w:p>
    <w:p w14:paraId="34A3C341" w14:textId="77777777" w:rsidR="00BC3AFF" w:rsidRPr="00BD1B7F" w:rsidRDefault="00BC3AFF" w:rsidP="007447F7">
      <w:pPr>
        <w:jc w:val="center"/>
        <w:rPr>
          <w:rFonts w:ascii="Arial" w:hAnsi="Arial" w:cs="Arial"/>
          <w:b/>
          <w:bCs/>
          <w:sz w:val="36"/>
          <w:szCs w:val="36"/>
        </w:rPr>
      </w:pPr>
    </w:p>
    <w:p w14:paraId="7B032B61" w14:textId="77777777" w:rsidR="00BC3AFF" w:rsidRPr="00BD1B7F" w:rsidRDefault="00BC3AFF" w:rsidP="00510976">
      <w:pPr>
        <w:rPr>
          <w:rFonts w:ascii="Arial" w:hAnsi="Arial" w:cs="Arial"/>
          <w:sz w:val="20"/>
          <w:szCs w:val="20"/>
        </w:rPr>
      </w:pPr>
      <w:bookmarkStart w:id="0" w:name="_GoBack"/>
      <w:bookmarkEnd w:id="0"/>
    </w:p>
    <w:p w14:paraId="7E6F922E" w14:textId="3BDD4E2D" w:rsidR="007F3CE1" w:rsidRPr="00BD1B7F" w:rsidRDefault="007F3CE1" w:rsidP="007447F7">
      <w:pPr>
        <w:spacing w:line="276" w:lineRule="auto"/>
        <w:rPr>
          <w:rFonts w:ascii="Arial" w:hAnsi="Arial" w:cs="Arial"/>
          <w:b/>
          <w:bCs/>
        </w:rPr>
      </w:pPr>
      <w:r w:rsidRPr="00BD1B7F">
        <w:rPr>
          <w:rFonts w:ascii="Arial" w:hAnsi="Arial" w:cs="Arial"/>
          <w:b/>
          <w:bCs/>
        </w:rPr>
        <w:t>Abstract</w:t>
      </w:r>
    </w:p>
    <w:p w14:paraId="1947DE6F" w14:textId="1292AF1C"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Land use and land cover (LULC) changes are widely recognized as key drivers of hydrological variability, particularly in tropical regions where observational data are often limited. The present study evaluates the influence of long-term LULC transformations on surface runoff dynamics in the </w:t>
      </w:r>
      <w:proofErr w:type="spellStart"/>
      <w:r w:rsidRPr="00BD1B7F">
        <w:rPr>
          <w:rFonts w:ascii="Arial" w:hAnsi="Arial" w:cs="Arial"/>
        </w:rPr>
        <w:t>Jonk</w:t>
      </w:r>
      <w:proofErr w:type="spellEnd"/>
      <w:r w:rsidRPr="00BD1B7F">
        <w:rPr>
          <w:rFonts w:ascii="Arial" w:hAnsi="Arial" w:cs="Arial"/>
        </w:rPr>
        <w:t xml:space="preserve"> sub-basin of the Mahanadi River basin using the</w:t>
      </w:r>
      <w:r w:rsidR="00C24C8A" w:rsidRPr="00BD1B7F">
        <w:rPr>
          <w:rFonts w:ascii="Arial" w:hAnsi="Arial" w:cs="Arial"/>
        </w:rPr>
        <w:t xml:space="preserve"> Arc</w:t>
      </w:r>
      <w:r w:rsidRPr="00BD1B7F">
        <w:rPr>
          <w:rFonts w:ascii="Arial" w:hAnsi="Arial" w:cs="Arial"/>
        </w:rPr>
        <w:t xml:space="preserve"> Soil and Water Assessment Tool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Multi-temporal spatial datasets, including satellite-derived LULC maps, soil information, and a Digital Elevation Model (DEM), were integrated with hydro-meteorological data for the period 1991–2020. The watershed was delineated into 11 sub-watersheds and further discretized into 277 Hydrological Response Units (HRUs) to represent spatial heterogeneity.</w:t>
      </w:r>
    </w:p>
    <w:p w14:paraId="752CF534" w14:textId="77777777" w:rsidR="007F3CE1" w:rsidRPr="00BD1B7F" w:rsidRDefault="007F3CE1" w:rsidP="007447F7">
      <w:pPr>
        <w:spacing w:line="276" w:lineRule="auto"/>
        <w:ind w:firstLine="720"/>
        <w:jc w:val="both"/>
        <w:rPr>
          <w:rFonts w:ascii="Arial" w:hAnsi="Arial" w:cs="Arial"/>
        </w:rPr>
      </w:pPr>
      <w:r w:rsidRPr="00BD1B7F">
        <w:rPr>
          <w:rFonts w:ascii="Arial" w:hAnsi="Arial" w:cs="Arial"/>
        </w:rPr>
        <w:t>Model calibration (1993–2010) and validation (2011–2020) showed strong performance with R² = 0.83 and NSE = 0.82, indicating reliable simulation of streamflow. Analysis of LULC changes revealed a significant expansion of agricultural and built-up areas, accompanied by a decline in forest cover. These changes resulted in increased Curve Number values and reduced infiltration capacity, ultimately leading to a 9–11% increase in mean annual surface runoff. The study highlights the critical role of anthropogenic land transformations in altering watershed hydrology and emphasizes the need for sustainable land management strategies in data-scarce regions.</w:t>
      </w:r>
    </w:p>
    <w:p w14:paraId="02CB339B" w14:textId="31F1E8A7" w:rsidR="007F3CE1" w:rsidRPr="00BD1B7F" w:rsidRDefault="007F3CE1" w:rsidP="007447F7">
      <w:pPr>
        <w:spacing w:line="276" w:lineRule="auto"/>
        <w:jc w:val="both"/>
        <w:rPr>
          <w:rFonts w:ascii="Arial" w:hAnsi="Arial" w:cs="Arial"/>
        </w:rPr>
      </w:pPr>
      <w:r w:rsidRPr="00BD1B7F">
        <w:rPr>
          <w:rFonts w:ascii="Arial" w:hAnsi="Arial" w:cs="Arial"/>
          <w:i/>
          <w:iCs/>
        </w:rPr>
        <w:t>Keywords</w:t>
      </w:r>
      <w:r w:rsidRPr="00BD1B7F">
        <w:rPr>
          <w:rFonts w:ascii="Arial" w:hAnsi="Arial" w:cs="Arial"/>
        </w:rPr>
        <w:t xml:space="preserve">: LULC change, </w:t>
      </w:r>
      <w:bookmarkStart w:id="1" w:name="_Hlk226819647"/>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w:t>
      </w:r>
      <w:bookmarkEnd w:id="1"/>
      <w:r w:rsidRPr="00BD1B7F">
        <w:rPr>
          <w:rFonts w:ascii="Arial" w:hAnsi="Arial" w:cs="Arial"/>
        </w:rPr>
        <w:t xml:space="preserve">, surface runoff, hydrological </w:t>
      </w:r>
      <w:proofErr w:type="spellStart"/>
      <w:r w:rsidRPr="00BD1B7F">
        <w:rPr>
          <w:rFonts w:ascii="Arial" w:hAnsi="Arial" w:cs="Arial"/>
        </w:rPr>
        <w:t>modeling</w:t>
      </w:r>
      <w:proofErr w:type="spellEnd"/>
      <w:r w:rsidRPr="00BD1B7F">
        <w:rPr>
          <w:rFonts w:ascii="Arial" w:hAnsi="Arial" w:cs="Arial"/>
        </w:rPr>
        <w:t>, tropical watershed</w:t>
      </w:r>
    </w:p>
    <w:p w14:paraId="48877C80" w14:textId="77777777" w:rsidR="007F3CE1" w:rsidRPr="00BD1B7F" w:rsidRDefault="007F3CE1" w:rsidP="007447F7">
      <w:pPr>
        <w:spacing w:line="276" w:lineRule="auto"/>
        <w:jc w:val="both"/>
        <w:rPr>
          <w:rFonts w:ascii="Arial" w:hAnsi="Arial" w:cs="Arial"/>
          <w:b/>
          <w:bCs/>
        </w:rPr>
      </w:pPr>
      <w:r w:rsidRPr="00BD1B7F">
        <w:rPr>
          <w:rFonts w:ascii="Arial" w:hAnsi="Arial" w:cs="Arial"/>
          <w:b/>
          <w:bCs/>
        </w:rPr>
        <w:t>1. Introduction</w:t>
      </w:r>
    </w:p>
    <w:p w14:paraId="10C02760" w14:textId="77777777" w:rsidR="007F3CE1" w:rsidRPr="00BD1B7F" w:rsidRDefault="007F3CE1" w:rsidP="007447F7">
      <w:pPr>
        <w:spacing w:line="276" w:lineRule="auto"/>
        <w:ind w:firstLine="720"/>
        <w:jc w:val="both"/>
        <w:rPr>
          <w:rFonts w:ascii="Arial" w:hAnsi="Arial" w:cs="Arial"/>
        </w:rPr>
      </w:pPr>
      <w:r w:rsidRPr="00BD1B7F">
        <w:rPr>
          <w:rFonts w:ascii="Arial" w:hAnsi="Arial" w:cs="Arial"/>
        </w:rPr>
        <w:t>Rapid population growth and socio-economic development have significantly accelerated land use transformations across the globe, particularly in developing countries such as India where dependence on land resources is high. The expansion of agriculture, deforestation, and urbanization has altered natural landscapes, thereby influencing hydrological processes at multiple spatial and temporal scales. Among these processes, surface runoff plays a crucial role in determining water availability, flood potential, and soil erosion dynamics within a watershed system.</w:t>
      </w:r>
    </w:p>
    <w:p w14:paraId="36B3556F" w14:textId="4B77709B"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Changes in LULC directly affect the physical characteristics of the land surface, including vegetation cover, soil structure, and permeability. Forested areas generally enhance infiltration and evapotranspiration while reducing surface runoff, whereas agricultural and built-up areas tend to increase runoff due to soil </w:t>
      </w:r>
      <w:r w:rsidRPr="00BD1B7F">
        <w:rPr>
          <w:rFonts w:ascii="Arial" w:hAnsi="Arial" w:cs="Arial"/>
        </w:rPr>
        <w:lastRenderedPageBreak/>
        <w:t>compaction and reduced infiltration capacity. Over time, such transformations can significantly modify the hydrological response of a basin, leading to increased flood risks, reduced groundwater recharge, and degradation of water resources. Several studies have highlighted the sensitivity of runoff processes to land use changes, particularly in monsoon-dominated regions where rainfall intensity is high</w:t>
      </w:r>
      <w:r w:rsidR="00C11961" w:rsidRPr="00BD1B7F">
        <w:rPr>
          <w:rFonts w:ascii="Arial" w:hAnsi="Arial" w:cs="Arial"/>
        </w:rPr>
        <w:t xml:space="preserve"> (</w:t>
      </w:r>
      <w:r w:rsidR="00C11961" w:rsidRPr="00BD1B7F">
        <w:rPr>
          <w:rFonts w:ascii="Arial" w:hAnsi="Arial" w:cs="Arial"/>
          <w:color w:val="222222"/>
          <w:shd w:val="clear" w:color="auto" w:fill="FFFFFF"/>
        </w:rPr>
        <w:t>Mishra et al</w:t>
      </w:r>
      <w:r w:rsidRPr="00BD1B7F">
        <w:rPr>
          <w:rFonts w:ascii="Arial" w:hAnsi="Arial" w:cs="Arial"/>
        </w:rPr>
        <w:t>.</w:t>
      </w:r>
      <w:r w:rsidR="00C11961" w:rsidRPr="00BD1B7F">
        <w:rPr>
          <w:rFonts w:ascii="Arial" w:hAnsi="Arial" w:cs="Arial"/>
        </w:rPr>
        <w:t>, 2024)</w:t>
      </w:r>
    </w:p>
    <w:p w14:paraId="18E148B6" w14:textId="1E651381"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In data-scarce regions, where long-term hydrological observations are limited, physically based models such as the </w:t>
      </w:r>
      <w:r w:rsidR="00C24C8A" w:rsidRPr="00BD1B7F">
        <w:rPr>
          <w:rFonts w:ascii="Arial" w:hAnsi="Arial" w:cs="Arial"/>
        </w:rPr>
        <w:t xml:space="preserve">Arc </w:t>
      </w:r>
      <w:r w:rsidRPr="00BD1B7F">
        <w:rPr>
          <w:rFonts w:ascii="Arial" w:hAnsi="Arial" w:cs="Arial"/>
        </w:rPr>
        <w:t>Soil and Water Assessment Tool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provide an effective approach to simulate watershed processes.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has been widely applied for assessing the impacts of land use and climate variability on hydrological responses due to its capability to integrate spatial and temporal datasets. The </w:t>
      </w:r>
      <w:proofErr w:type="spellStart"/>
      <w:r w:rsidRPr="00BD1B7F">
        <w:rPr>
          <w:rFonts w:ascii="Arial" w:hAnsi="Arial" w:cs="Arial"/>
        </w:rPr>
        <w:t>Jonk</w:t>
      </w:r>
      <w:proofErr w:type="spellEnd"/>
      <w:r w:rsidRPr="00BD1B7F">
        <w:rPr>
          <w:rFonts w:ascii="Arial" w:hAnsi="Arial" w:cs="Arial"/>
        </w:rPr>
        <w:t xml:space="preserve"> sub-basin, a tributary of the Mahanadi River, represents a typical tropical watershed undergoing rapid land transformation. Despite its importance, limited studies have quantified the long-term hydrological impacts of LULC changes in this basin.</w:t>
      </w:r>
    </w:p>
    <w:p w14:paraId="73BE366D" w14:textId="3D358B0D" w:rsidR="001C19B2" w:rsidRPr="00BD1B7F" w:rsidRDefault="007F3CE1" w:rsidP="007447F7">
      <w:pPr>
        <w:spacing w:line="276" w:lineRule="auto"/>
        <w:ind w:firstLine="720"/>
        <w:jc w:val="both"/>
        <w:rPr>
          <w:rFonts w:ascii="Arial" w:hAnsi="Arial" w:cs="Arial"/>
        </w:rPr>
      </w:pPr>
      <w:r w:rsidRPr="00BD1B7F">
        <w:rPr>
          <w:rFonts w:ascii="Arial" w:hAnsi="Arial" w:cs="Arial"/>
        </w:rPr>
        <w:t xml:space="preserve">Therefore, the present study aims to </w:t>
      </w:r>
      <w:proofErr w:type="spellStart"/>
      <w:r w:rsidRPr="00BD1B7F">
        <w:rPr>
          <w:rFonts w:ascii="Arial" w:hAnsi="Arial" w:cs="Arial"/>
        </w:rPr>
        <w:t>analyze</w:t>
      </w:r>
      <w:proofErr w:type="spellEnd"/>
      <w:r w:rsidRPr="00BD1B7F">
        <w:rPr>
          <w:rFonts w:ascii="Arial" w:hAnsi="Arial" w:cs="Arial"/>
        </w:rPr>
        <w:t xml:space="preserve"> the impact of decadal LULC changes on surface runoff dynamics using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w:t>
      </w:r>
      <w:proofErr w:type="spellStart"/>
      <w:r w:rsidRPr="00BD1B7F">
        <w:rPr>
          <w:rFonts w:ascii="Arial" w:hAnsi="Arial" w:cs="Arial"/>
        </w:rPr>
        <w:t>modeling</w:t>
      </w:r>
      <w:proofErr w:type="spellEnd"/>
      <w:r w:rsidRPr="00BD1B7F">
        <w:rPr>
          <w:rFonts w:ascii="Arial" w:hAnsi="Arial" w:cs="Arial"/>
        </w:rPr>
        <w:t>. The findings provide valuable insights into the interaction between land transformation and hydrological processes and support sustainable watershed management in data-limited environments.</w:t>
      </w:r>
    </w:p>
    <w:p w14:paraId="20995611" w14:textId="22246BA9" w:rsidR="007F3CE1" w:rsidRPr="00BD1B7F" w:rsidRDefault="007F3CE1" w:rsidP="007447F7">
      <w:pPr>
        <w:spacing w:line="276" w:lineRule="auto"/>
        <w:jc w:val="both"/>
        <w:rPr>
          <w:rFonts w:ascii="Arial" w:hAnsi="Arial" w:cs="Arial"/>
          <w:b/>
          <w:bCs/>
        </w:rPr>
      </w:pPr>
      <w:r w:rsidRPr="00BD1B7F">
        <w:rPr>
          <w:rFonts w:ascii="Arial" w:hAnsi="Arial" w:cs="Arial"/>
          <w:b/>
          <w:bCs/>
        </w:rPr>
        <w:t xml:space="preserve"> </w:t>
      </w:r>
      <w:r w:rsidR="001C19B2" w:rsidRPr="00BD1B7F">
        <w:rPr>
          <w:rFonts w:ascii="Arial" w:hAnsi="Arial" w:cs="Arial"/>
          <w:b/>
          <w:bCs/>
        </w:rPr>
        <w:t xml:space="preserve">2. </w:t>
      </w:r>
      <w:r w:rsidRPr="00BD1B7F">
        <w:rPr>
          <w:rFonts w:ascii="Arial" w:hAnsi="Arial" w:cs="Arial"/>
          <w:b/>
          <w:bCs/>
        </w:rPr>
        <w:t>Materials and Methods</w:t>
      </w:r>
    </w:p>
    <w:p w14:paraId="35879854" w14:textId="35F6B2EC"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2.1 </w:t>
      </w:r>
      <w:r w:rsidR="007F3CE1" w:rsidRPr="00BD1B7F">
        <w:rPr>
          <w:rFonts w:ascii="Arial" w:hAnsi="Arial" w:cs="Arial"/>
          <w:b/>
          <w:bCs/>
        </w:rPr>
        <w:t>Study Area</w:t>
      </w:r>
    </w:p>
    <w:p w14:paraId="2DEB934D" w14:textId="6A1D2FC5"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The </w:t>
      </w:r>
      <w:proofErr w:type="spellStart"/>
      <w:r w:rsidRPr="00BD1B7F">
        <w:rPr>
          <w:rFonts w:ascii="Arial" w:hAnsi="Arial" w:cs="Arial"/>
        </w:rPr>
        <w:t>Jonk</w:t>
      </w:r>
      <w:proofErr w:type="spellEnd"/>
      <w:r w:rsidRPr="00BD1B7F">
        <w:rPr>
          <w:rFonts w:ascii="Arial" w:hAnsi="Arial" w:cs="Arial"/>
        </w:rPr>
        <w:t xml:space="preserve"> sub-basin, located in eastern-central India, covers an area of approximately 3330 km² and lies between latitudes 20°28′N to 21°42′N and longitudes 82°25′E to 82°34′E. The basin exhibits diverse topography, with elevations ranging from 203 m to 868 m above mean sea level. </w:t>
      </w:r>
      <w:r w:rsidR="00C23DED" w:rsidRPr="00BD1B7F">
        <w:rPr>
          <w:rFonts w:ascii="Arial" w:hAnsi="Arial" w:cs="Arial"/>
          <w:bCs/>
        </w:rPr>
        <w:t>The</w:t>
      </w:r>
      <w:r w:rsidR="00C23DED" w:rsidRPr="00BD1B7F">
        <w:rPr>
          <w:rFonts w:ascii="Arial" w:hAnsi="Arial" w:cs="Arial"/>
          <w:bCs/>
          <w:spacing w:val="1"/>
        </w:rPr>
        <w:t xml:space="preserve"> </w:t>
      </w:r>
      <w:proofErr w:type="spellStart"/>
      <w:r w:rsidR="00C23DED" w:rsidRPr="00BD1B7F">
        <w:rPr>
          <w:rFonts w:ascii="Arial" w:hAnsi="Arial" w:cs="Arial"/>
          <w:bCs/>
        </w:rPr>
        <w:t>Jonk</w:t>
      </w:r>
      <w:proofErr w:type="spellEnd"/>
      <w:r w:rsidR="00C23DED" w:rsidRPr="00BD1B7F">
        <w:rPr>
          <w:rFonts w:ascii="Arial" w:hAnsi="Arial" w:cs="Arial"/>
          <w:bCs/>
        </w:rPr>
        <w:t xml:space="preserve"> river originates from the </w:t>
      </w:r>
      <w:proofErr w:type="spellStart"/>
      <w:r w:rsidR="00C23DED" w:rsidRPr="00BD1B7F">
        <w:rPr>
          <w:rFonts w:ascii="Arial" w:hAnsi="Arial" w:cs="Arial"/>
          <w:bCs/>
        </w:rPr>
        <w:t>Khariar</w:t>
      </w:r>
      <w:proofErr w:type="spellEnd"/>
      <w:r w:rsidR="00C23DED" w:rsidRPr="00BD1B7F">
        <w:rPr>
          <w:rFonts w:ascii="Arial" w:hAnsi="Arial" w:cs="Arial"/>
          <w:bCs/>
        </w:rPr>
        <w:t xml:space="preserve"> Hills, </w:t>
      </w:r>
      <w:proofErr w:type="spellStart"/>
      <w:r w:rsidR="00C23DED" w:rsidRPr="00BD1B7F">
        <w:rPr>
          <w:rFonts w:ascii="Arial" w:hAnsi="Arial" w:cs="Arial"/>
          <w:bCs/>
        </w:rPr>
        <w:t>Nuapada</w:t>
      </w:r>
      <w:proofErr w:type="spellEnd"/>
      <w:r w:rsidR="00C23DED" w:rsidRPr="00BD1B7F">
        <w:rPr>
          <w:rFonts w:ascii="Arial" w:hAnsi="Arial" w:cs="Arial"/>
          <w:bCs/>
        </w:rPr>
        <w:t xml:space="preserve"> district of Odisha and flows through </w:t>
      </w:r>
      <w:proofErr w:type="spellStart"/>
      <w:r w:rsidR="00C23DED" w:rsidRPr="00BD1B7F">
        <w:rPr>
          <w:rFonts w:ascii="Arial" w:hAnsi="Arial" w:cs="Arial"/>
          <w:bCs/>
        </w:rPr>
        <w:t>Mahasamund</w:t>
      </w:r>
      <w:proofErr w:type="spellEnd"/>
      <w:r w:rsidR="00C23DED" w:rsidRPr="00BD1B7F">
        <w:rPr>
          <w:rFonts w:ascii="Arial" w:hAnsi="Arial" w:cs="Arial"/>
          <w:bCs/>
        </w:rPr>
        <w:t xml:space="preserve">, </w:t>
      </w:r>
      <w:proofErr w:type="spellStart"/>
      <w:r w:rsidR="00C23DED" w:rsidRPr="00BD1B7F">
        <w:rPr>
          <w:rFonts w:ascii="Arial" w:hAnsi="Arial" w:cs="Arial"/>
          <w:bCs/>
        </w:rPr>
        <w:t>Gariyaband</w:t>
      </w:r>
      <w:proofErr w:type="spellEnd"/>
      <w:r w:rsidR="00C23DED" w:rsidRPr="00BD1B7F">
        <w:rPr>
          <w:rFonts w:ascii="Arial" w:hAnsi="Arial" w:cs="Arial"/>
          <w:bCs/>
        </w:rPr>
        <w:t xml:space="preserve"> and meets Mahanadi River at </w:t>
      </w:r>
      <w:proofErr w:type="spellStart"/>
      <w:r w:rsidR="00C23DED" w:rsidRPr="00BD1B7F">
        <w:rPr>
          <w:rFonts w:ascii="Arial" w:hAnsi="Arial" w:cs="Arial"/>
          <w:bCs/>
        </w:rPr>
        <w:t>Shivrinarayan</w:t>
      </w:r>
      <w:proofErr w:type="spellEnd"/>
      <w:r w:rsidR="00C23DED" w:rsidRPr="00BD1B7F">
        <w:rPr>
          <w:rFonts w:ascii="Arial" w:hAnsi="Arial" w:cs="Arial"/>
          <w:bCs/>
        </w:rPr>
        <w:t xml:space="preserve"> of </w:t>
      </w:r>
      <w:proofErr w:type="spellStart"/>
      <w:r w:rsidR="00C23DED" w:rsidRPr="00BD1B7F">
        <w:rPr>
          <w:rFonts w:ascii="Arial" w:hAnsi="Arial" w:cs="Arial"/>
          <w:bCs/>
        </w:rPr>
        <w:t>Balodabazar</w:t>
      </w:r>
      <w:proofErr w:type="spellEnd"/>
      <w:r w:rsidR="00C23DED" w:rsidRPr="00BD1B7F">
        <w:rPr>
          <w:rFonts w:ascii="Arial" w:hAnsi="Arial" w:cs="Arial"/>
          <w:bCs/>
        </w:rPr>
        <w:t xml:space="preserve"> district of </w:t>
      </w:r>
      <w:proofErr w:type="spellStart"/>
      <w:r w:rsidR="00C23DED" w:rsidRPr="00BD1B7F">
        <w:rPr>
          <w:rFonts w:ascii="Arial" w:hAnsi="Arial" w:cs="Arial"/>
          <w:bCs/>
        </w:rPr>
        <w:t>Chhattisgarh</w:t>
      </w:r>
      <w:r w:rsidR="00C23DED" w:rsidRPr="00BD1B7F">
        <w:rPr>
          <w:rFonts w:ascii="Arial" w:hAnsi="Arial" w:cs="Arial"/>
        </w:rPr>
        <w:t>.</w:t>
      </w:r>
      <w:r w:rsidRPr="00BD1B7F">
        <w:rPr>
          <w:rFonts w:ascii="Arial" w:hAnsi="Arial" w:cs="Arial"/>
        </w:rPr>
        <w:t>The</w:t>
      </w:r>
      <w:proofErr w:type="spellEnd"/>
      <w:r w:rsidRPr="00BD1B7F">
        <w:rPr>
          <w:rFonts w:ascii="Arial" w:hAnsi="Arial" w:cs="Arial"/>
        </w:rPr>
        <w:t xml:space="preserve"> northern region is predominantly hilly, whereas the southern portion consists of relatively flat plains, resulting in spatial variability in runoff generation.</w:t>
      </w:r>
    </w:p>
    <w:p w14:paraId="5A56F562" w14:textId="77777777" w:rsidR="007447F7" w:rsidRPr="00BD1B7F" w:rsidRDefault="007447F7" w:rsidP="007447F7">
      <w:pPr>
        <w:spacing w:line="276" w:lineRule="auto"/>
        <w:jc w:val="center"/>
        <w:rPr>
          <w:rFonts w:ascii="Arial" w:hAnsi="Arial" w:cs="Arial"/>
          <w:b/>
        </w:rPr>
      </w:pPr>
    </w:p>
    <w:p w14:paraId="54D33DE7" w14:textId="77777777" w:rsidR="007447F7" w:rsidRPr="00BD1B7F" w:rsidRDefault="007447F7" w:rsidP="007447F7">
      <w:pPr>
        <w:spacing w:line="276" w:lineRule="auto"/>
        <w:jc w:val="center"/>
        <w:rPr>
          <w:rFonts w:ascii="Arial" w:hAnsi="Arial" w:cs="Arial"/>
          <w:b/>
        </w:rPr>
      </w:pPr>
    </w:p>
    <w:p w14:paraId="1AD0234D" w14:textId="0C8FF54A" w:rsidR="007447F7" w:rsidRPr="00BD1B7F" w:rsidRDefault="007447F7" w:rsidP="007447F7">
      <w:pPr>
        <w:spacing w:line="276" w:lineRule="auto"/>
        <w:jc w:val="center"/>
        <w:rPr>
          <w:rFonts w:ascii="Arial" w:hAnsi="Arial" w:cs="Arial"/>
          <w:b/>
        </w:rPr>
      </w:pPr>
      <w:r w:rsidRPr="00BD1B7F">
        <w:rPr>
          <w:rFonts w:ascii="Arial" w:hAnsi="Arial" w:cs="Arial"/>
          <w:noProof/>
        </w:rPr>
        <w:lastRenderedPageBreak/>
        <w:drawing>
          <wp:anchor distT="0" distB="0" distL="114300" distR="114300" simplePos="0" relativeHeight="251659264" behindDoc="0" locked="0" layoutInCell="1" allowOverlap="1" wp14:anchorId="508C3E20" wp14:editId="48EADDAF">
            <wp:simplePos x="0" y="0"/>
            <wp:positionH relativeFrom="column">
              <wp:posOffset>396540</wp:posOffset>
            </wp:positionH>
            <wp:positionV relativeFrom="page">
              <wp:posOffset>1086485</wp:posOffset>
            </wp:positionV>
            <wp:extent cx="4323715" cy="4183380"/>
            <wp:effectExtent l="0" t="0" r="635" b="7620"/>
            <wp:wrapTopAndBottom/>
            <wp:docPr id="130521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3715" cy="4183380"/>
                    </a:xfrm>
                    <a:prstGeom prst="rect">
                      <a:avLst/>
                    </a:prstGeom>
                    <a:noFill/>
                  </pic:spPr>
                </pic:pic>
              </a:graphicData>
            </a:graphic>
            <wp14:sizeRelH relativeFrom="margin">
              <wp14:pctWidth>0</wp14:pctWidth>
            </wp14:sizeRelH>
            <wp14:sizeRelV relativeFrom="margin">
              <wp14:pctHeight>0</wp14:pctHeight>
            </wp14:sizeRelV>
          </wp:anchor>
        </w:drawing>
      </w:r>
    </w:p>
    <w:p w14:paraId="5E181D40" w14:textId="321C8E68" w:rsidR="007F3CE1" w:rsidRPr="00BD1B7F" w:rsidRDefault="007447F7" w:rsidP="007447F7">
      <w:pPr>
        <w:spacing w:line="276" w:lineRule="auto"/>
        <w:jc w:val="center"/>
        <w:rPr>
          <w:rFonts w:ascii="Arial" w:hAnsi="Arial" w:cs="Arial"/>
          <w:b/>
          <w:sz w:val="20"/>
          <w:szCs w:val="20"/>
        </w:rPr>
      </w:pPr>
      <w:r w:rsidRPr="00BD1B7F">
        <w:rPr>
          <w:rFonts w:ascii="Arial" w:hAnsi="Arial" w:cs="Arial"/>
          <w:b/>
          <w:sz w:val="20"/>
          <w:szCs w:val="20"/>
        </w:rPr>
        <w:t>F</w:t>
      </w:r>
      <w:r w:rsidR="00453FBB" w:rsidRPr="00BD1B7F">
        <w:rPr>
          <w:rFonts w:ascii="Arial" w:hAnsi="Arial" w:cs="Arial"/>
          <w:b/>
          <w:sz w:val="20"/>
          <w:szCs w:val="20"/>
        </w:rPr>
        <w:t>ig.1: Location map of the study area</w:t>
      </w:r>
    </w:p>
    <w:p w14:paraId="417EC112" w14:textId="3364928E" w:rsidR="007F3CE1" w:rsidRPr="00BD1B7F" w:rsidRDefault="007F3CE1" w:rsidP="007447F7">
      <w:pPr>
        <w:spacing w:line="276" w:lineRule="auto"/>
        <w:ind w:firstLine="720"/>
        <w:jc w:val="both"/>
        <w:rPr>
          <w:rFonts w:ascii="Arial" w:hAnsi="Arial" w:cs="Arial"/>
        </w:rPr>
      </w:pPr>
      <w:r w:rsidRPr="00BD1B7F">
        <w:rPr>
          <w:rFonts w:ascii="Arial" w:hAnsi="Arial" w:cs="Arial"/>
        </w:rPr>
        <w:t>The climate of the basin is tropical monsoon type, characterized by an average annual rainfall of approximately 1237 mm, with nearly 80% occurring during the monsoon season (June to September). Temperature variations are significant, with hot summers and mild winters. The dominant land use is agriculture, followed by forest and settlements. Soil types in the region are mainly clay loam and sandy loam, which play a critical role in influencing infiltration and runoff processes.</w:t>
      </w:r>
    </w:p>
    <w:p w14:paraId="3F8B9467" w14:textId="7E5531AD"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2.2 </w:t>
      </w:r>
      <w:r w:rsidR="007F3CE1" w:rsidRPr="00BD1B7F">
        <w:rPr>
          <w:rFonts w:ascii="Arial" w:hAnsi="Arial" w:cs="Arial"/>
          <w:b/>
          <w:bCs/>
        </w:rPr>
        <w:t>Data Collection and Processing</w:t>
      </w:r>
    </w:p>
    <w:p w14:paraId="68C8F74D" w14:textId="622975B0" w:rsidR="007F3CE1" w:rsidRPr="00BD1B7F" w:rsidRDefault="007F3CE1" w:rsidP="007447F7">
      <w:pPr>
        <w:spacing w:line="276" w:lineRule="auto"/>
        <w:ind w:firstLine="720"/>
        <w:jc w:val="both"/>
        <w:rPr>
          <w:rFonts w:ascii="Arial" w:hAnsi="Arial" w:cs="Arial"/>
        </w:rPr>
      </w:pPr>
      <w:r w:rsidRPr="00BD1B7F">
        <w:rPr>
          <w:rFonts w:ascii="Arial" w:hAnsi="Arial" w:cs="Arial"/>
        </w:rPr>
        <w:t>A comprehensive dataset was compiled, including hydro-meteorological, topographic, soil, and land use data. Daily rainfall and temperature data for the period 1991–2021 were obtained from the Central Water Commission, while additional climatic variables were sourced from the NASA POWER database. A 30 m resolution SRTM DEM was used to derive watershed characteristics such as slope, drainage network, and flow direction.</w:t>
      </w:r>
    </w:p>
    <w:p w14:paraId="4B89227F" w14:textId="7547512C" w:rsidR="007447F7" w:rsidRPr="00BD1B7F" w:rsidRDefault="007F3CE1" w:rsidP="007447F7">
      <w:pPr>
        <w:spacing w:line="276" w:lineRule="auto"/>
        <w:ind w:firstLine="720"/>
        <w:jc w:val="both"/>
        <w:rPr>
          <w:rFonts w:ascii="Arial" w:hAnsi="Arial" w:cs="Arial"/>
        </w:rPr>
      </w:pPr>
      <w:r w:rsidRPr="00BD1B7F">
        <w:rPr>
          <w:rFonts w:ascii="Arial" w:hAnsi="Arial" w:cs="Arial"/>
        </w:rPr>
        <w:t>LULC maps were generated from satellite imagery for different time periods to capture decadal changes. Soil data were obtained from national databases. All datasets were processed within a GIS environment to ensure spatial consistency, including projection transformation, resolution matching, and data cleaning.</w:t>
      </w:r>
    </w:p>
    <w:p w14:paraId="4440DAE3" w14:textId="22B31714" w:rsidR="00EA252C" w:rsidRPr="00BD1B7F" w:rsidRDefault="00EA252C" w:rsidP="007447F7">
      <w:pPr>
        <w:spacing w:line="276" w:lineRule="auto"/>
        <w:jc w:val="center"/>
        <w:rPr>
          <w:rFonts w:ascii="Arial" w:hAnsi="Arial" w:cs="Arial"/>
          <w:b/>
          <w:bCs/>
          <w:sz w:val="20"/>
          <w:szCs w:val="20"/>
        </w:rPr>
      </w:pPr>
      <w:r w:rsidRPr="00BD1B7F">
        <w:rPr>
          <w:rFonts w:ascii="Arial" w:hAnsi="Arial" w:cs="Arial"/>
          <w:b/>
          <w:bCs/>
          <w:sz w:val="20"/>
          <w:szCs w:val="20"/>
        </w:rPr>
        <w:lastRenderedPageBreak/>
        <w:t>Table</w:t>
      </w:r>
      <w:r w:rsidR="00453FBB" w:rsidRPr="00BD1B7F">
        <w:rPr>
          <w:rFonts w:ascii="Arial" w:hAnsi="Arial" w:cs="Arial"/>
          <w:b/>
          <w:bCs/>
          <w:sz w:val="20"/>
          <w:szCs w:val="20"/>
        </w:rPr>
        <w:t xml:space="preserve"> 1</w:t>
      </w:r>
      <w:r w:rsidRPr="00BD1B7F">
        <w:rPr>
          <w:rFonts w:ascii="Arial" w:hAnsi="Arial" w:cs="Arial"/>
          <w:b/>
          <w:bCs/>
          <w:sz w:val="20"/>
          <w:szCs w:val="20"/>
        </w:rPr>
        <w:t xml:space="preserve">: Data Sources </w:t>
      </w:r>
      <w:r w:rsidR="00A577E9" w:rsidRPr="00BD1B7F">
        <w:rPr>
          <w:rFonts w:ascii="Arial" w:hAnsi="Arial" w:cs="Arial"/>
          <w:b/>
          <w:bCs/>
          <w:sz w:val="20"/>
          <w:szCs w:val="20"/>
        </w:rPr>
        <w:t xml:space="preserve">used in </w:t>
      </w:r>
      <w:proofErr w:type="spellStart"/>
      <w:r w:rsidR="00A577E9" w:rsidRPr="00BD1B7F">
        <w:rPr>
          <w:rFonts w:ascii="Arial" w:hAnsi="Arial" w:cs="Arial"/>
          <w:b/>
          <w:bCs/>
          <w:sz w:val="20"/>
          <w:szCs w:val="20"/>
        </w:rPr>
        <w:t>ArcSWAT</w:t>
      </w:r>
      <w:proofErr w:type="spellEnd"/>
      <w:r w:rsidR="00A577E9" w:rsidRPr="00BD1B7F">
        <w:rPr>
          <w:rFonts w:ascii="Arial" w:hAnsi="Arial" w:cs="Arial"/>
          <w:b/>
          <w:bCs/>
          <w:sz w:val="20"/>
          <w:szCs w:val="20"/>
        </w:rPr>
        <w:t xml:space="preserve">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gridCol w:w="1710"/>
        <w:gridCol w:w="5583"/>
      </w:tblGrid>
      <w:tr w:rsidR="00EA252C" w:rsidRPr="00BD1B7F" w14:paraId="61853C50" w14:textId="77777777" w:rsidTr="00EA252C">
        <w:trPr>
          <w:tblHeader/>
          <w:tblCellSpacing w:w="15" w:type="dxa"/>
        </w:trPr>
        <w:tc>
          <w:tcPr>
            <w:tcW w:w="670" w:type="dxa"/>
            <w:tcBorders>
              <w:top w:val="single" w:sz="4" w:space="0" w:color="auto"/>
              <w:bottom w:val="single" w:sz="4" w:space="0" w:color="auto"/>
            </w:tcBorders>
            <w:vAlign w:val="center"/>
            <w:hideMark/>
          </w:tcPr>
          <w:p w14:paraId="071A1002" w14:textId="77777777" w:rsidR="00EA252C" w:rsidRPr="00BD1B7F" w:rsidRDefault="00EA252C" w:rsidP="007447F7">
            <w:pPr>
              <w:spacing w:line="276" w:lineRule="auto"/>
              <w:jc w:val="both"/>
              <w:rPr>
                <w:rFonts w:ascii="Arial" w:hAnsi="Arial" w:cs="Arial"/>
              </w:rPr>
            </w:pPr>
            <w:r w:rsidRPr="00BD1B7F">
              <w:rPr>
                <w:rFonts w:ascii="Arial" w:hAnsi="Arial" w:cs="Arial"/>
              </w:rPr>
              <w:t>S. No.</w:t>
            </w:r>
          </w:p>
        </w:tc>
        <w:tc>
          <w:tcPr>
            <w:tcW w:w="1680" w:type="dxa"/>
            <w:tcBorders>
              <w:top w:val="single" w:sz="4" w:space="0" w:color="auto"/>
              <w:bottom w:val="single" w:sz="4" w:space="0" w:color="auto"/>
            </w:tcBorders>
            <w:vAlign w:val="center"/>
            <w:hideMark/>
          </w:tcPr>
          <w:p w14:paraId="0DE4D287" w14:textId="77777777" w:rsidR="00EA252C" w:rsidRPr="00BD1B7F" w:rsidRDefault="00EA252C" w:rsidP="007447F7">
            <w:pPr>
              <w:spacing w:line="276" w:lineRule="auto"/>
              <w:jc w:val="both"/>
              <w:rPr>
                <w:rFonts w:ascii="Arial" w:hAnsi="Arial" w:cs="Arial"/>
              </w:rPr>
            </w:pPr>
            <w:r w:rsidRPr="00BD1B7F">
              <w:rPr>
                <w:rFonts w:ascii="Arial" w:hAnsi="Arial" w:cs="Arial"/>
              </w:rPr>
              <w:t>Variable</w:t>
            </w:r>
          </w:p>
        </w:tc>
        <w:tc>
          <w:tcPr>
            <w:tcW w:w="5538" w:type="dxa"/>
            <w:tcBorders>
              <w:top w:val="single" w:sz="4" w:space="0" w:color="auto"/>
              <w:bottom w:val="single" w:sz="4" w:space="0" w:color="auto"/>
            </w:tcBorders>
            <w:vAlign w:val="center"/>
            <w:hideMark/>
          </w:tcPr>
          <w:p w14:paraId="1E6D488E" w14:textId="77777777" w:rsidR="00EA252C" w:rsidRPr="00BD1B7F" w:rsidRDefault="00EA252C" w:rsidP="007447F7">
            <w:pPr>
              <w:spacing w:line="276" w:lineRule="auto"/>
              <w:jc w:val="both"/>
              <w:rPr>
                <w:rFonts w:ascii="Arial" w:hAnsi="Arial" w:cs="Arial"/>
              </w:rPr>
            </w:pPr>
            <w:r w:rsidRPr="00BD1B7F">
              <w:rPr>
                <w:rFonts w:ascii="Arial" w:hAnsi="Arial" w:cs="Arial"/>
              </w:rPr>
              <w:t>Data Source and Methodology</w:t>
            </w:r>
          </w:p>
        </w:tc>
      </w:tr>
      <w:tr w:rsidR="00EA252C" w:rsidRPr="00BD1B7F" w14:paraId="72DCE21C" w14:textId="77777777" w:rsidTr="00EA252C">
        <w:trPr>
          <w:tblCellSpacing w:w="15" w:type="dxa"/>
        </w:trPr>
        <w:tc>
          <w:tcPr>
            <w:tcW w:w="670" w:type="dxa"/>
            <w:vAlign w:val="center"/>
            <w:hideMark/>
          </w:tcPr>
          <w:p w14:paraId="4F67A2E7" w14:textId="77777777" w:rsidR="00EA252C" w:rsidRPr="00BD1B7F" w:rsidRDefault="00EA252C" w:rsidP="007447F7">
            <w:pPr>
              <w:spacing w:line="276" w:lineRule="auto"/>
              <w:jc w:val="both"/>
              <w:rPr>
                <w:rFonts w:ascii="Arial" w:hAnsi="Arial" w:cs="Arial"/>
              </w:rPr>
            </w:pPr>
            <w:r w:rsidRPr="00BD1B7F">
              <w:rPr>
                <w:rFonts w:ascii="Arial" w:hAnsi="Arial" w:cs="Arial"/>
              </w:rPr>
              <w:t>1.</w:t>
            </w:r>
          </w:p>
        </w:tc>
        <w:tc>
          <w:tcPr>
            <w:tcW w:w="1680" w:type="dxa"/>
            <w:vAlign w:val="center"/>
            <w:hideMark/>
          </w:tcPr>
          <w:p w14:paraId="55E14997" w14:textId="77777777" w:rsidR="00EA252C" w:rsidRPr="00BD1B7F" w:rsidRDefault="00EA252C" w:rsidP="007447F7">
            <w:pPr>
              <w:spacing w:line="276" w:lineRule="auto"/>
              <w:jc w:val="both"/>
              <w:rPr>
                <w:rFonts w:ascii="Arial" w:hAnsi="Arial" w:cs="Arial"/>
              </w:rPr>
            </w:pPr>
            <w:r w:rsidRPr="00BD1B7F">
              <w:rPr>
                <w:rFonts w:ascii="Arial" w:hAnsi="Arial" w:cs="Arial"/>
              </w:rPr>
              <w:t>Remote Sensing Data</w:t>
            </w:r>
          </w:p>
        </w:tc>
        <w:tc>
          <w:tcPr>
            <w:tcW w:w="5538" w:type="dxa"/>
            <w:vAlign w:val="center"/>
            <w:hideMark/>
          </w:tcPr>
          <w:p w14:paraId="3ED0FF3F" w14:textId="77777777" w:rsidR="00EA252C" w:rsidRPr="00BD1B7F" w:rsidRDefault="00EA252C" w:rsidP="007447F7">
            <w:pPr>
              <w:spacing w:line="276" w:lineRule="auto"/>
              <w:jc w:val="both"/>
              <w:rPr>
                <w:rFonts w:ascii="Arial" w:hAnsi="Arial" w:cs="Arial"/>
              </w:rPr>
            </w:pPr>
            <w:r w:rsidRPr="00BD1B7F">
              <w:rPr>
                <w:rFonts w:ascii="Arial" w:hAnsi="Arial" w:cs="Arial"/>
              </w:rPr>
              <w:t>Digital Elevation Model (DEM) derived from Shuttle Radar Topography Mission (SRTM).</w:t>
            </w:r>
          </w:p>
        </w:tc>
      </w:tr>
      <w:tr w:rsidR="00EA252C" w:rsidRPr="00BD1B7F" w14:paraId="397C3D3F" w14:textId="77777777" w:rsidTr="00EA252C">
        <w:trPr>
          <w:tblCellSpacing w:w="15" w:type="dxa"/>
        </w:trPr>
        <w:tc>
          <w:tcPr>
            <w:tcW w:w="670" w:type="dxa"/>
            <w:vAlign w:val="center"/>
            <w:hideMark/>
          </w:tcPr>
          <w:p w14:paraId="1EDB3E4A" w14:textId="77777777" w:rsidR="00EA252C" w:rsidRPr="00BD1B7F" w:rsidRDefault="00EA252C" w:rsidP="007447F7">
            <w:pPr>
              <w:spacing w:line="276" w:lineRule="auto"/>
              <w:jc w:val="both"/>
              <w:rPr>
                <w:rFonts w:ascii="Arial" w:hAnsi="Arial" w:cs="Arial"/>
              </w:rPr>
            </w:pPr>
            <w:r w:rsidRPr="00BD1B7F">
              <w:rPr>
                <w:rFonts w:ascii="Arial" w:hAnsi="Arial" w:cs="Arial"/>
              </w:rPr>
              <w:t>2.</w:t>
            </w:r>
          </w:p>
        </w:tc>
        <w:tc>
          <w:tcPr>
            <w:tcW w:w="1680" w:type="dxa"/>
            <w:vAlign w:val="center"/>
            <w:hideMark/>
          </w:tcPr>
          <w:p w14:paraId="5BF168EF" w14:textId="77777777" w:rsidR="00EA252C" w:rsidRPr="00BD1B7F" w:rsidRDefault="00EA252C" w:rsidP="007447F7">
            <w:pPr>
              <w:spacing w:line="276" w:lineRule="auto"/>
              <w:jc w:val="both"/>
              <w:rPr>
                <w:rFonts w:ascii="Arial" w:hAnsi="Arial" w:cs="Arial"/>
              </w:rPr>
            </w:pPr>
            <w:r w:rsidRPr="00BD1B7F">
              <w:rPr>
                <w:rFonts w:ascii="Arial" w:hAnsi="Arial" w:cs="Arial"/>
              </w:rPr>
              <w:t>Land Use/Land Cover (LULC)</w:t>
            </w:r>
          </w:p>
        </w:tc>
        <w:tc>
          <w:tcPr>
            <w:tcW w:w="5538" w:type="dxa"/>
            <w:vAlign w:val="center"/>
            <w:hideMark/>
          </w:tcPr>
          <w:p w14:paraId="575380AC" w14:textId="77777777" w:rsidR="00EA252C" w:rsidRPr="00BD1B7F" w:rsidRDefault="00EA252C" w:rsidP="007447F7">
            <w:pPr>
              <w:spacing w:line="276" w:lineRule="auto"/>
              <w:jc w:val="both"/>
              <w:rPr>
                <w:rFonts w:ascii="Arial" w:hAnsi="Arial" w:cs="Arial"/>
              </w:rPr>
            </w:pPr>
            <w:r w:rsidRPr="00BD1B7F">
              <w:rPr>
                <w:rFonts w:ascii="Arial" w:hAnsi="Arial" w:cs="Arial"/>
              </w:rPr>
              <w:t>Satellite imagery obtained from USGS Earth Explorer; LULC maps prepared using classification techniques in ArcGIS.</w:t>
            </w:r>
          </w:p>
        </w:tc>
      </w:tr>
      <w:tr w:rsidR="00EA252C" w:rsidRPr="00BD1B7F" w14:paraId="7A13B3C2" w14:textId="77777777" w:rsidTr="00EA252C">
        <w:trPr>
          <w:tblCellSpacing w:w="15" w:type="dxa"/>
        </w:trPr>
        <w:tc>
          <w:tcPr>
            <w:tcW w:w="670" w:type="dxa"/>
            <w:vAlign w:val="center"/>
            <w:hideMark/>
          </w:tcPr>
          <w:p w14:paraId="6E466FE7" w14:textId="77777777" w:rsidR="00EA252C" w:rsidRPr="00BD1B7F" w:rsidRDefault="00EA252C" w:rsidP="007447F7">
            <w:pPr>
              <w:spacing w:line="276" w:lineRule="auto"/>
              <w:jc w:val="both"/>
              <w:rPr>
                <w:rFonts w:ascii="Arial" w:hAnsi="Arial" w:cs="Arial"/>
              </w:rPr>
            </w:pPr>
            <w:r w:rsidRPr="00BD1B7F">
              <w:rPr>
                <w:rFonts w:ascii="Arial" w:hAnsi="Arial" w:cs="Arial"/>
              </w:rPr>
              <w:t>3.</w:t>
            </w:r>
          </w:p>
        </w:tc>
        <w:tc>
          <w:tcPr>
            <w:tcW w:w="1680" w:type="dxa"/>
            <w:vAlign w:val="center"/>
            <w:hideMark/>
          </w:tcPr>
          <w:p w14:paraId="1F3FDED7" w14:textId="77777777" w:rsidR="00EA252C" w:rsidRPr="00BD1B7F" w:rsidRDefault="00EA252C" w:rsidP="007447F7">
            <w:pPr>
              <w:spacing w:line="276" w:lineRule="auto"/>
              <w:jc w:val="both"/>
              <w:rPr>
                <w:rFonts w:ascii="Arial" w:hAnsi="Arial" w:cs="Arial"/>
              </w:rPr>
            </w:pPr>
            <w:r w:rsidRPr="00BD1B7F">
              <w:rPr>
                <w:rFonts w:ascii="Arial" w:hAnsi="Arial" w:cs="Arial"/>
              </w:rPr>
              <w:t>Soil Data</w:t>
            </w:r>
          </w:p>
        </w:tc>
        <w:tc>
          <w:tcPr>
            <w:tcW w:w="5538" w:type="dxa"/>
            <w:vAlign w:val="center"/>
            <w:hideMark/>
          </w:tcPr>
          <w:p w14:paraId="7054A390" w14:textId="77777777" w:rsidR="00EA252C" w:rsidRPr="00BD1B7F" w:rsidRDefault="00EA252C" w:rsidP="007447F7">
            <w:pPr>
              <w:spacing w:line="276" w:lineRule="auto"/>
              <w:jc w:val="both"/>
              <w:rPr>
                <w:rFonts w:ascii="Arial" w:hAnsi="Arial" w:cs="Arial"/>
              </w:rPr>
            </w:pPr>
            <w:r w:rsidRPr="00BD1B7F">
              <w:rPr>
                <w:rFonts w:ascii="Arial" w:hAnsi="Arial" w:cs="Arial"/>
              </w:rPr>
              <w:t>Soil information acquired from the National Bureau of Soil Survey and Land Use Planning (NBSS&amp;LUP).</w:t>
            </w:r>
          </w:p>
        </w:tc>
      </w:tr>
      <w:tr w:rsidR="00EA252C" w:rsidRPr="00BD1B7F" w14:paraId="1393EBCB" w14:textId="77777777" w:rsidTr="00EA252C">
        <w:trPr>
          <w:tblCellSpacing w:w="15" w:type="dxa"/>
        </w:trPr>
        <w:tc>
          <w:tcPr>
            <w:tcW w:w="670" w:type="dxa"/>
            <w:tcBorders>
              <w:bottom w:val="single" w:sz="4" w:space="0" w:color="auto"/>
            </w:tcBorders>
            <w:vAlign w:val="center"/>
            <w:hideMark/>
          </w:tcPr>
          <w:p w14:paraId="60E421C5" w14:textId="77777777" w:rsidR="00EA252C" w:rsidRPr="00BD1B7F" w:rsidRDefault="00EA252C" w:rsidP="007447F7">
            <w:pPr>
              <w:spacing w:line="276" w:lineRule="auto"/>
              <w:jc w:val="both"/>
              <w:rPr>
                <w:rFonts w:ascii="Arial" w:hAnsi="Arial" w:cs="Arial"/>
              </w:rPr>
            </w:pPr>
            <w:r w:rsidRPr="00BD1B7F">
              <w:rPr>
                <w:rFonts w:ascii="Arial" w:hAnsi="Arial" w:cs="Arial"/>
              </w:rPr>
              <w:t>4.</w:t>
            </w:r>
          </w:p>
        </w:tc>
        <w:tc>
          <w:tcPr>
            <w:tcW w:w="1680" w:type="dxa"/>
            <w:tcBorders>
              <w:bottom w:val="single" w:sz="4" w:space="0" w:color="auto"/>
            </w:tcBorders>
            <w:vAlign w:val="center"/>
            <w:hideMark/>
          </w:tcPr>
          <w:p w14:paraId="2AF06BFE" w14:textId="77777777" w:rsidR="00EA252C" w:rsidRPr="00BD1B7F" w:rsidRDefault="00EA252C" w:rsidP="007447F7">
            <w:pPr>
              <w:spacing w:line="276" w:lineRule="auto"/>
              <w:jc w:val="both"/>
              <w:rPr>
                <w:rFonts w:ascii="Arial" w:hAnsi="Arial" w:cs="Arial"/>
              </w:rPr>
            </w:pPr>
            <w:r w:rsidRPr="00BD1B7F">
              <w:rPr>
                <w:rFonts w:ascii="Arial" w:hAnsi="Arial" w:cs="Arial"/>
              </w:rPr>
              <w:t>Climate Data</w:t>
            </w:r>
          </w:p>
        </w:tc>
        <w:tc>
          <w:tcPr>
            <w:tcW w:w="5538" w:type="dxa"/>
            <w:tcBorders>
              <w:bottom w:val="single" w:sz="4" w:space="0" w:color="auto"/>
            </w:tcBorders>
            <w:vAlign w:val="center"/>
            <w:hideMark/>
          </w:tcPr>
          <w:p w14:paraId="646BB88D" w14:textId="17BF9DEA" w:rsidR="00EA252C" w:rsidRPr="00BD1B7F" w:rsidRDefault="00EA252C" w:rsidP="007447F7">
            <w:pPr>
              <w:spacing w:line="276" w:lineRule="auto"/>
              <w:jc w:val="both"/>
              <w:rPr>
                <w:rFonts w:ascii="Arial" w:hAnsi="Arial" w:cs="Arial"/>
              </w:rPr>
            </w:pPr>
            <w:r w:rsidRPr="00BD1B7F">
              <w:rPr>
                <w:rFonts w:ascii="Arial" w:hAnsi="Arial" w:cs="Arial"/>
              </w:rPr>
              <w:t xml:space="preserve">Meteorological parameters such as rainfall, temperature, relative humidity, wind speed, and sunshine duration collected from </w:t>
            </w:r>
            <w:r w:rsidR="00C23DED" w:rsidRPr="00BD1B7F">
              <w:rPr>
                <w:rFonts w:ascii="Arial" w:hAnsi="Arial" w:cs="Arial"/>
              </w:rPr>
              <w:t>NASA</w:t>
            </w:r>
            <w:r w:rsidR="00C23DED" w:rsidRPr="00BD1B7F">
              <w:rPr>
                <w:rFonts w:ascii="Arial" w:hAnsi="Arial" w:cs="Arial"/>
                <w:spacing w:val="-15"/>
              </w:rPr>
              <w:t xml:space="preserve"> </w:t>
            </w:r>
            <w:r w:rsidR="00C23DED" w:rsidRPr="00BD1B7F">
              <w:rPr>
                <w:rFonts w:ascii="Arial" w:hAnsi="Arial" w:cs="Arial"/>
              </w:rPr>
              <w:t>website</w:t>
            </w:r>
            <w:r w:rsidR="00C23DED" w:rsidRPr="00BD1B7F">
              <w:rPr>
                <w:rFonts w:ascii="Arial" w:hAnsi="Arial" w:cs="Arial"/>
                <w:spacing w:val="-16"/>
              </w:rPr>
              <w:t xml:space="preserve"> </w:t>
            </w:r>
            <w:r w:rsidR="00C23DED" w:rsidRPr="00BD1B7F">
              <w:rPr>
                <w:rFonts w:ascii="Arial" w:hAnsi="Arial" w:cs="Arial"/>
              </w:rPr>
              <w:t>for</w:t>
            </w:r>
            <w:r w:rsidR="00C23DED" w:rsidRPr="00BD1B7F">
              <w:rPr>
                <w:rFonts w:ascii="Arial" w:hAnsi="Arial" w:cs="Arial"/>
                <w:spacing w:val="-14"/>
              </w:rPr>
              <w:t xml:space="preserve"> </w:t>
            </w:r>
            <w:r w:rsidR="00C23DED" w:rsidRPr="00BD1B7F">
              <w:rPr>
                <w:rFonts w:ascii="Arial" w:hAnsi="Arial" w:cs="Arial"/>
              </w:rPr>
              <w:t>Prediction</w:t>
            </w:r>
            <w:r w:rsidR="00C23DED" w:rsidRPr="00BD1B7F">
              <w:rPr>
                <w:rFonts w:ascii="Arial" w:hAnsi="Arial" w:cs="Arial"/>
                <w:spacing w:val="-14"/>
              </w:rPr>
              <w:t xml:space="preserve"> </w:t>
            </w:r>
            <w:r w:rsidR="00C23DED" w:rsidRPr="00BD1B7F">
              <w:rPr>
                <w:rFonts w:ascii="Arial" w:hAnsi="Arial" w:cs="Arial"/>
              </w:rPr>
              <w:t>of</w:t>
            </w:r>
            <w:r w:rsidR="00C23DED" w:rsidRPr="00BD1B7F">
              <w:rPr>
                <w:rFonts w:ascii="Arial" w:hAnsi="Arial" w:cs="Arial"/>
                <w:spacing w:val="-16"/>
              </w:rPr>
              <w:t xml:space="preserve"> </w:t>
            </w:r>
            <w:r w:rsidR="00C23DED" w:rsidRPr="00BD1B7F">
              <w:rPr>
                <w:rFonts w:ascii="Arial" w:hAnsi="Arial" w:cs="Arial"/>
              </w:rPr>
              <w:t>Worldwide</w:t>
            </w:r>
            <w:r w:rsidR="00C23DED" w:rsidRPr="00BD1B7F">
              <w:rPr>
                <w:rFonts w:ascii="Arial" w:hAnsi="Arial" w:cs="Arial"/>
                <w:spacing w:val="-15"/>
              </w:rPr>
              <w:t xml:space="preserve"> </w:t>
            </w:r>
            <w:r w:rsidR="00C23DED" w:rsidRPr="00BD1B7F">
              <w:rPr>
                <w:rFonts w:ascii="Arial" w:hAnsi="Arial" w:cs="Arial"/>
              </w:rPr>
              <w:t>Energy</w:t>
            </w:r>
            <w:r w:rsidR="00C23DED" w:rsidRPr="00BD1B7F">
              <w:rPr>
                <w:rFonts w:ascii="Arial" w:hAnsi="Arial" w:cs="Arial"/>
                <w:spacing w:val="-58"/>
              </w:rPr>
              <w:t xml:space="preserve"> </w:t>
            </w:r>
            <w:r w:rsidR="00C23DED" w:rsidRPr="00BD1B7F">
              <w:rPr>
                <w:rFonts w:ascii="Arial" w:hAnsi="Arial" w:cs="Arial"/>
              </w:rPr>
              <w:t>Resource</w:t>
            </w:r>
            <w:r w:rsidR="00C23DED" w:rsidRPr="00BD1B7F">
              <w:rPr>
                <w:rFonts w:ascii="Arial" w:hAnsi="Arial" w:cs="Arial"/>
                <w:spacing w:val="1"/>
              </w:rPr>
              <w:t xml:space="preserve"> </w:t>
            </w:r>
            <w:r w:rsidR="00C23DED" w:rsidRPr="00BD1B7F">
              <w:rPr>
                <w:rFonts w:ascii="Arial" w:hAnsi="Arial" w:cs="Arial"/>
              </w:rPr>
              <w:t>(POWER)</w:t>
            </w:r>
            <w:r w:rsidR="00C23DED" w:rsidRPr="00BD1B7F">
              <w:rPr>
                <w:rFonts w:ascii="Arial" w:hAnsi="Arial" w:cs="Arial"/>
                <w:spacing w:val="1"/>
              </w:rPr>
              <w:t xml:space="preserve"> </w:t>
            </w:r>
            <w:r w:rsidR="00C23DED" w:rsidRPr="00BD1B7F">
              <w:rPr>
                <w:rFonts w:ascii="Arial" w:hAnsi="Arial" w:cs="Arial"/>
              </w:rPr>
              <w:t>Climatology</w:t>
            </w:r>
            <w:r w:rsidR="00C23DED" w:rsidRPr="00BD1B7F">
              <w:rPr>
                <w:rFonts w:ascii="Arial" w:hAnsi="Arial" w:cs="Arial"/>
                <w:spacing w:val="1"/>
              </w:rPr>
              <w:t xml:space="preserve"> </w:t>
            </w:r>
            <w:r w:rsidR="00C23DED" w:rsidRPr="00BD1B7F">
              <w:rPr>
                <w:rFonts w:ascii="Arial" w:hAnsi="Arial" w:cs="Arial"/>
              </w:rPr>
              <w:t>Resource</w:t>
            </w:r>
            <w:r w:rsidR="00C23DED" w:rsidRPr="00BD1B7F">
              <w:rPr>
                <w:rFonts w:ascii="Arial" w:hAnsi="Arial" w:cs="Arial"/>
                <w:spacing w:val="1"/>
              </w:rPr>
              <w:t xml:space="preserve"> </w:t>
            </w:r>
            <w:r w:rsidR="00C23DED" w:rsidRPr="00BD1B7F">
              <w:rPr>
                <w:rFonts w:ascii="Arial" w:hAnsi="Arial" w:cs="Arial"/>
              </w:rPr>
              <w:t>for</w:t>
            </w:r>
            <w:r w:rsidR="00C23DED" w:rsidRPr="00BD1B7F">
              <w:rPr>
                <w:rFonts w:ascii="Arial" w:hAnsi="Arial" w:cs="Arial"/>
                <w:spacing w:val="1"/>
              </w:rPr>
              <w:t xml:space="preserve"> </w:t>
            </w:r>
            <w:r w:rsidR="00C23DED" w:rsidRPr="00BD1B7F">
              <w:rPr>
                <w:rFonts w:ascii="Arial" w:hAnsi="Arial" w:cs="Arial"/>
              </w:rPr>
              <w:t>Agroclimatology</w:t>
            </w:r>
          </w:p>
        </w:tc>
      </w:tr>
    </w:tbl>
    <w:p w14:paraId="4F5F09F3" w14:textId="77777777" w:rsidR="00EA252C" w:rsidRPr="00BD1B7F" w:rsidRDefault="00EA252C" w:rsidP="007447F7">
      <w:pPr>
        <w:spacing w:line="276" w:lineRule="auto"/>
        <w:jc w:val="both"/>
        <w:rPr>
          <w:rFonts w:ascii="Arial" w:hAnsi="Arial" w:cs="Arial"/>
          <w:b/>
          <w:bCs/>
        </w:rPr>
      </w:pPr>
    </w:p>
    <w:p w14:paraId="3384427B" w14:textId="7EC31FD0"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2.3 </w:t>
      </w:r>
      <w:r w:rsidR="005D10DA" w:rsidRPr="00BD1B7F">
        <w:rPr>
          <w:rFonts w:ascii="Arial" w:hAnsi="Arial" w:cs="Arial"/>
          <w:b/>
          <w:bCs/>
        </w:rPr>
        <w:t>Arc Soil and Water Assessment Tool (</w:t>
      </w:r>
      <w:proofErr w:type="spellStart"/>
      <w:r w:rsidR="005D10DA" w:rsidRPr="00BD1B7F">
        <w:rPr>
          <w:rFonts w:ascii="Arial" w:hAnsi="Arial" w:cs="Arial"/>
          <w:b/>
          <w:bCs/>
        </w:rPr>
        <w:t>Arc</w:t>
      </w:r>
      <w:r w:rsidR="007F3CE1" w:rsidRPr="00BD1B7F">
        <w:rPr>
          <w:rFonts w:ascii="Arial" w:hAnsi="Arial" w:cs="Arial"/>
          <w:b/>
          <w:bCs/>
        </w:rPr>
        <w:t>SWAT</w:t>
      </w:r>
      <w:proofErr w:type="spellEnd"/>
      <w:r w:rsidR="005D10DA" w:rsidRPr="00BD1B7F">
        <w:rPr>
          <w:rFonts w:ascii="Arial" w:hAnsi="Arial" w:cs="Arial"/>
          <w:b/>
          <w:bCs/>
        </w:rPr>
        <w:t>)</w:t>
      </w:r>
      <w:r w:rsidR="007F3CE1" w:rsidRPr="00BD1B7F">
        <w:rPr>
          <w:rFonts w:ascii="Arial" w:hAnsi="Arial" w:cs="Arial"/>
          <w:b/>
          <w:bCs/>
        </w:rPr>
        <w:t xml:space="preserve"> Model Setup</w:t>
      </w:r>
    </w:p>
    <w:p w14:paraId="0812CF41" w14:textId="4E29007B" w:rsidR="007F3CE1" w:rsidRPr="00BD1B7F" w:rsidRDefault="007F3CE1" w:rsidP="007447F7">
      <w:pPr>
        <w:spacing w:line="276" w:lineRule="auto"/>
        <w:ind w:firstLine="720"/>
        <w:jc w:val="both"/>
        <w:rPr>
          <w:rFonts w:ascii="Arial" w:hAnsi="Arial" w:cs="Arial"/>
        </w:rPr>
      </w:pPr>
      <w:r w:rsidRPr="00BD1B7F">
        <w:rPr>
          <w:rFonts w:ascii="Arial" w:hAnsi="Arial" w:cs="Arial"/>
        </w:rPr>
        <w:t>The Soil and Water Assessment Tool (</w:t>
      </w:r>
      <w:proofErr w:type="spellStart"/>
      <w:r w:rsidR="005D10DA" w:rsidRPr="00BD1B7F">
        <w:rPr>
          <w:rFonts w:ascii="Arial" w:hAnsi="Arial" w:cs="Arial"/>
        </w:rPr>
        <w:t>Arc</w:t>
      </w:r>
      <w:r w:rsidRPr="00BD1B7F">
        <w:rPr>
          <w:rFonts w:ascii="Arial" w:hAnsi="Arial" w:cs="Arial"/>
        </w:rPr>
        <w:t>SWAT</w:t>
      </w:r>
      <w:proofErr w:type="spellEnd"/>
      <w:r w:rsidRPr="00BD1B7F">
        <w:rPr>
          <w:rFonts w:ascii="Arial" w:hAnsi="Arial" w:cs="Arial"/>
        </w:rPr>
        <w:t xml:space="preserve">) is a physically based, watershed-scale hydrological model developed to assess the long-term impacts of land use and management practices on large river basins. It operates on a daily time step and simulates key components of the hydrological cycle, including surface runoff, evapotranspiration, infiltration, groundwater flow, and sediment and nutrient transport (Arnold et al., 1997; Arnold et al., 2001). Developed by the USDA and integrated with ArcGIS,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allows spatial analysis by dividing a watershed into sub-basins based on topography and further into Hydrological Response Units (HRUs) defined by land use, soil type, and slope (Arnold et al., 1999). In this study, DEM data were processed using ArcGIS to delineate the watershed and derive flow direction and accumulation, while land use maps for 1991 and 2021 were generated using supervised classification. Soil and meteorological data were also incorporated as model inputs, and the integrated dataset was used in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to simulate surface runoff and </w:t>
      </w:r>
      <w:proofErr w:type="spellStart"/>
      <w:r w:rsidRPr="00BD1B7F">
        <w:rPr>
          <w:rFonts w:ascii="Arial" w:hAnsi="Arial" w:cs="Arial"/>
        </w:rPr>
        <w:t>analyze</w:t>
      </w:r>
      <w:proofErr w:type="spellEnd"/>
      <w:r w:rsidRPr="00BD1B7F">
        <w:rPr>
          <w:rFonts w:ascii="Arial" w:hAnsi="Arial" w:cs="Arial"/>
        </w:rPr>
        <w:t xml:space="preserve"> hydrological responses, as supported by Gassman et al. (2007).</w:t>
      </w:r>
    </w:p>
    <w:p w14:paraId="22A564B4" w14:textId="06447E1D"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2.4 </w:t>
      </w:r>
      <w:r w:rsidR="00560670" w:rsidRPr="00BD1B7F">
        <w:rPr>
          <w:rFonts w:ascii="Arial" w:hAnsi="Arial" w:cs="Arial"/>
          <w:b/>
          <w:bCs/>
        </w:rPr>
        <w:t>Hydrological Water Balance</w:t>
      </w:r>
    </w:p>
    <w:p w14:paraId="3E151A61"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hydrological cycle within a watershed involves continuous interactions between atmospheric inputs and land surface processes. To simulate these processes, the SWAT model applies a water balance approach at the level of Hydrological Response Units (HRUs), enabling detailed representation of spatial variability. The soil water balance equation is fundamental for estimating soil moisture by accounting for precipitation, surface runoff, evapotranspiration, </w:t>
      </w:r>
      <w:r w:rsidRPr="00BD1B7F">
        <w:rPr>
          <w:rFonts w:ascii="Arial" w:hAnsi="Arial" w:cs="Arial"/>
        </w:rPr>
        <w:lastRenderedPageBreak/>
        <w:t>percolation, and groundwater flow (</w:t>
      </w:r>
      <w:proofErr w:type="spellStart"/>
      <w:r w:rsidRPr="00BD1B7F">
        <w:rPr>
          <w:rFonts w:ascii="Arial" w:hAnsi="Arial" w:cs="Arial"/>
        </w:rPr>
        <w:t>Setegn</w:t>
      </w:r>
      <w:proofErr w:type="spellEnd"/>
      <w:r w:rsidRPr="00BD1B7F">
        <w:rPr>
          <w:rFonts w:ascii="Arial" w:hAnsi="Arial" w:cs="Arial"/>
        </w:rPr>
        <w:t xml:space="preserve"> et al., 2008). The equation is expressed as:</w:t>
      </w:r>
    </w:p>
    <w:p w14:paraId="4AA1DA49" w14:textId="58C3F3D2" w:rsidR="00560670" w:rsidRPr="00BD1B7F" w:rsidRDefault="00560670" w:rsidP="007447F7">
      <w:pPr>
        <w:spacing w:line="276" w:lineRule="auto"/>
        <w:jc w:val="both"/>
        <w:rPr>
          <w:rFonts w:ascii="Arial" w:hAnsi="Arial" w:cs="Arial"/>
        </w:rPr>
      </w:pPr>
      <m:oMathPara>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i</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t=1</m:t>
              </m:r>
            </m:sub>
            <m:sup>
              <m:r>
                <w:rPr>
                  <w:rFonts w:ascii="Cambria Math" w:hAnsi="Cambria Math" w:cs="Arial"/>
                </w:rPr>
                <m:t>t</m:t>
              </m:r>
            </m:sup>
            <m:e>
              <m:r>
                <w:rPr>
                  <w:rFonts w:ascii="Cambria Math" w:hAnsi="Cambria Math" w:cs="Arial"/>
                </w:rPr>
                <m:t>(</m:t>
              </m:r>
            </m:e>
          </m:nary>
          <m:sSub>
            <m:sSubPr>
              <m:ctrlPr>
                <w:rPr>
                  <w:rFonts w:ascii="Cambria Math" w:hAnsi="Cambria Math" w:cs="Arial"/>
                </w:rPr>
              </m:ctrlPr>
            </m:sSubPr>
            <m:e>
              <m:r>
                <w:rPr>
                  <w:rFonts w:ascii="Cambria Math" w:hAnsi="Cambria Math" w:cs="Arial"/>
                </w:rPr>
                <m:t>R</m:t>
              </m:r>
            </m:e>
            <m:sub>
              <m:r>
                <w:rPr>
                  <w:rFonts w:ascii="Cambria Math" w:hAnsi="Cambria Math" w:cs="Arial"/>
                </w:rPr>
                <m:t>d</m:t>
              </m:r>
            </m:sub>
          </m:sSub>
          <m:r>
            <w:rPr>
              <w:rFonts w:ascii="Cambria Math" w:hAnsi="Cambria Math" w:cs="Arial"/>
            </w:rPr>
            <m:t>-</m:t>
          </m:r>
          <m:sSub>
            <m:sSubPr>
              <m:ctrlPr>
                <w:rPr>
                  <w:rFonts w:ascii="Cambria Math" w:hAnsi="Cambria Math" w:cs="Arial"/>
                </w:rPr>
              </m:ctrlPr>
            </m:sSubPr>
            <m:e>
              <m:r>
                <w:rPr>
                  <w:rFonts w:ascii="Cambria Math" w:hAnsi="Cambria Math" w:cs="Arial"/>
                </w:rPr>
                <m:t>Q</m:t>
              </m:r>
            </m:e>
            <m:sub>
              <m:r>
                <w:rPr>
                  <w:rFonts w:ascii="Cambria Math" w:hAnsi="Cambria Math" w:cs="Arial"/>
                </w:rPr>
                <m:t>r</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e</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sp</m:t>
              </m:r>
            </m:sub>
          </m:sSub>
          <m:r>
            <w:rPr>
              <w:rFonts w:ascii="Cambria Math" w:hAnsi="Cambria Math" w:cs="Arial"/>
            </w:rPr>
            <m:t>-</m:t>
          </m:r>
          <m:sSub>
            <m:sSubPr>
              <m:ctrlPr>
                <w:rPr>
                  <w:rFonts w:ascii="Cambria Math" w:hAnsi="Cambria Math" w:cs="Arial"/>
                </w:rPr>
              </m:ctrlPr>
            </m:sSubPr>
            <m:e>
              <m:r>
                <w:rPr>
                  <w:rFonts w:ascii="Cambria Math" w:hAnsi="Cambria Math" w:cs="Arial"/>
                </w:rPr>
                <m:t>Q</m:t>
              </m:r>
            </m:e>
            <m:sub>
              <m:r>
                <w:rPr>
                  <w:rFonts w:ascii="Cambria Math" w:hAnsi="Cambria Math" w:cs="Arial"/>
                </w:rPr>
                <m:t>gw</m:t>
              </m:r>
            </m:sub>
          </m:sSub>
          <m:r>
            <w:rPr>
              <w:rFonts w:ascii="Cambria Math" w:hAnsi="Cambria Math" w:cs="Arial"/>
            </w:rPr>
            <m:t>)</m:t>
          </m:r>
          <m:r>
            <m:rPr>
              <m:sty m:val="p"/>
            </m:rPr>
            <w:rPr>
              <w:rFonts w:ascii="Cambria Math" w:hAnsi="Cambria Math" w:cs="Arial"/>
            </w:rPr>
            <w:br/>
          </m:r>
        </m:oMath>
      </m:oMathPara>
    </w:p>
    <w:p w14:paraId="373FCCEA" w14:textId="1167BEF8" w:rsidR="00560670" w:rsidRPr="00BD1B7F" w:rsidRDefault="00560670" w:rsidP="007447F7">
      <w:pPr>
        <w:spacing w:line="276" w:lineRule="auto"/>
        <w:jc w:val="both"/>
        <w:rPr>
          <w:rFonts w:ascii="Arial" w:hAnsi="Arial" w:cs="Arial"/>
        </w:rPr>
      </w:pPr>
      <w:r w:rsidRPr="00BD1B7F">
        <w:rPr>
          <w:rFonts w:ascii="Arial" w:hAnsi="Arial" w:cs="Arial"/>
        </w:rPr>
        <w:t xml:space="preserve">where </w:t>
      </w:r>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oMath>
      <w:r w:rsidRPr="00BD1B7F">
        <w:rPr>
          <w:rFonts w:ascii="Arial" w:hAnsi="Arial" w:cs="Arial"/>
        </w:rPr>
        <w:t xml:space="preserve">is the final soil water content (mm), </w:t>
      </w:r>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i</m:t>
            </m:r>
          </m:sub>
        </m:sSub>
      </m:oMath>
      <w:r w:rsidRPr="00BD1B7F">
        <w:rPr>
          <w:rFonts w:ascii="Arial" w:hAnsi="Arial" w:cs="Arial"/>
        </w:rPr>
        <w:t xml:space="preserve">is the initial soil water content (mm), </w:t>
      </w:r>
      <m:oMath>
        <m:sSub>
          <m:sSubPr>
            <m:ctrlPr>
              <w:rPr>
                <w:rFonts w:ascii="Cambria Math" w:hAnsi="Cambria Math" w:cs="Arial"/>
              </w:rPr>
            </m:ctrlPr>
          </m:sSubPr>
          <m:e>
            <m:r>
              <w:rPr>
                <w:rFonts w:ascii="Cambria Math" w:hAnsi="Cambria Math" w:cs="Arial"/>
              </w:rPr>
              <m:t>R</m:t>
            </m:r>
          </m:e>
          <m:sub>
            <m:r>
              <w:rPr>
                <w:rFonts w:ascii="Cambria Math" w:hAnsi="Cambria Math" w:cs="Arial"/>
              </w:rPr>
              <m:t>d</m:t>
            </m:r>
          </m:sub>
        </m:sSub>
      </m:oMath>
      <w:r w:rsidRPr="00BD1B7F">
        <w:rPr>
          <w:rFonts w:ascii="Arial" w:hAnsi="Arial" w:cs="Arial"/>
        </w:rPr>
        <w:t xml:space="preserve">denotes precipitation (mm), </w:t>
      </w:r>
      <m:oMath>
        <m:sSub>
          <m:sSubPr>
            <m:ctrlPr>
              <w:rPr>
                <w:rFonts w:ascii="Cambria Math" w:hAnsi="Cambria Math" w:cs="Arial"/>
              </w:rPr>
            </m:ctrlPr>
          </m:sSubPr>
          <m:e>
            <m:r>
              <w:rPr>
                <w:rFonts w:ascii="Cambria Math" w:hAnsi="Cambria Math" w:cs="Arial"/>
              </w:rPr>
              <m:t>Q</m:t>
            </m:r>
          </m:e>
          <m:sub>
            <m:r>
              <w:rPr>
                <w:rFonts w:ascii="Cambria Math" w:hAnsi="Cambria Math" w:cs="Arial"/>
              </w:rPr>
              <m:t>r</m:t>
            </m:r>
          </m:sub>
        </m:sSub>
      </m:oMath>
      <w:r w:rsidRPr="00BD1B7F">
        <w:rPr>
          <w:rFonts w:ascii="Arial" w:hAnsi="Arial" w:cs="Arial"/>
        </w:rPr>
        <w:t xml:space="preserve">represents surface runoff (mm), </w:t>
      </w:r>
      <m:oMath>
        <m:sSub>
          <m:sSubPr>
            <m:ctrlPr>
              <w:rPr>
                <w:rFonts w:ascii="Cambria Math" w:hAnsi="Cambria Math" w:cs="Arial"/>
              </w:rPr>
            </m:ctrlPr>
          </m:sSubPr>
          <m:e>
            <m:r>
              <w:rPr>
                <w:rFonts w:ascii="Cambria Math" w:hAnsi="Cambria Math" w:cs="Arial"/>
              </w:rPr>
              <m:t>E</m:t>
            </m:r>
          </m:e>
          <m:sub>
            <m:r>
              <w:rPr>
                <w:rFonts w:ascii="Cambria Math" w:hAnsi="Cambria Math" w:cs="Arial"/>
              </w:rPr>
              <m:t>e</m:t>
            </m:r>
          </m:sub>
        </m:sSub>
      </m:oMath>
      <w:r w:rsidRPr="00BD1B7F">
        <w:rPr>
          <w:rFonts w:ascii="Arial" w:hAnsi="Arial" w:cs="Arial"/>
        </w:rPr>
        <w:t xml:space="preserve">is evapotranspiration (mm), </w:t>
      </w:r>
      <m:oMath>
        <m:sSub>
          <m:sSubPr>
            <m:ctrlPr>
              <w:rPr>
                <w:rFonts w:ascii="Cambria Math" w:hAnsi="Cambria Math" w:cs="Arial"/>
              </w:rPr>
            </m:ctrlPr>
          </m:sSubPr>
          <m:e>
            <m:r>
              <w:rPr>
                <w:rFonts w:ascii="Cambria Math" w:hAnsi="Cambria Math" w:cs="Arial"/>
              </w:rPr>
              <m:t>W</m:t>
            </m:r>
          </m:e>
          <m:sub>
            <m:r>
              <w:rPr>
                <w:rFonts w:ascii="Cambria Math" w:hAnsi="Cambria Math" w:cs="Arial"/>
              </w:rPr>
              <m:t>sp</m:t>
            </m:r>
          </m:sub>
        </m:sSub>
      </m:oMath>
      <w:r w:rsidRPr="00BD1B7F">
        <w:rPr>
          <w:rFonts w:ascii="Arial" w:hAnsi="Arial" w:cs="Arial"/>
        </w:rPr>
        <w:t xml:space="preserve">indicates percolation into the vadose zone (mm), and </w:t>
      </w:r>
      <m:oMath>
        <m:sSub>
          <m:sSubPr>
            <m:ctrlPr>
              <w:rPr>
                <w:rFonts w:ascii="Cambria Math" w:hAnsi="Cambria Math" w:cs="Arial"/>
              </w:rPr>
            </m:ctrlPr>
          </m:sSubPr>
          <m:e>
            <m:r>
              <w:rPr>
                <w:rFonts w:ascii="Cambria Math" w:hAnsi="Cambria Math" w:cs="Arial"/>
              </w:rPr>
              <m:t>Q</m:t>
            </m:r>
          </m:e>
          <m:sub>
            <m:r>
              <w:rPr>
                <w:rFonts w:ascii="Cambria Math" w:hAnsi="Cambria Math" w:cs="Arial"/>
              </w:rPr>
              <m:t>gw</m:t>
            </m:r>
          </m:sub>
        </m:sSub>
      </m:oMath>
      <w:r w:rsidRPr="00BD1B7F">
        <w:rPr>
          <w:rFonts w:ascii="Arial" w:hAnsi="Arial" w:cs="Arial"/>
        </w:rPr>
        <w:t>is groundwater return flow (mm). This equation ensures a comprehensive representation of water movement within the soil system.</w:t>
      </w:r>
    </w:p>
    <w:p w14:paraId="25A50008" w14:textId="65E5117A"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2.5 </w:t>
      </w:r>
      <w:r w:rsidR="00560670" w:rsidRPr="00BD1B7F">
        <w:rPr>
          <w:rFonts w:ascii="Arial" w:hAnsi="Arial" w:cs="Arial"/>
          <w:b/>
          <w:bCs/>
        </w:rPr>
        <w:t>Surface Runoff Estimation</w:t>
      </w:r>
    </w:p>
    <w:p w14:paraId="45FEF046" w14:textId="4649108D"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Surface runoff in the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 is computed at the HRU level and later aggregated to obtain the total watershed response, improving simulation accuracy. In this study, the Soil Conservation Service Curve Number (SCS-CN) method was used to estimate runoff, as it integrates land use and soil characteristics into a single parameter (Arnold et al., 1998; Adornado and Yoshida, 2010). The Curve Number (CN) is an empirical parameter ranging from 0 to 100, where higher values indicate greater runoff potential and lower infiltration capacity.</w:t>
      </w:r>
    </w:p>
    <w:p w14:paraId="60547E33"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The CN value is influenced by soil type, land use, and antecedent moisture conditions (AMC), which represent the soil moisture condition prior to rainfall. To adjust CN for different moisture conditions, the following relationships are used:</w:t>
      </w:r>
    </w:p>
    <w:p w14:paraId="247A6364" w14:textId="10E9E78E" w:rsidR="00560670" w:rsidRPr="00BD1B7F" w:rsidRDefault="00560670" w:rsidP="007447F7">
      <w:pPr>
        <w:spacing w:line="276" w:lineRule="auto"/>
        <w:jc w:val="both"/>
        <w:rPr>
          <w:rFonts w:ascii="Arial" w:hAnsi="Arial" w:cs="Arial"/>
        </w:rPr>
      </w:pPr>
      <m:oMathPara>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m:t>
              </m:r>
            </m:sub>
          </m:sSub>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f>
            <m:fPr>
              <m:ctrlPr>
                <w:rPr>
                  <w:rFonts w:ascii="Cambria Math" w:hAnsi="Cambria Math" w:cs="Arial"/>
                </w:rPr>
              </m:ctrlPr>
            </m:fPr>
            <m:num>
              <m:r>
                <w:rPr>
                  <w:rFonts w:ascii="Cambria Math" w:hAnsi="Cambria Math" w:cs="Arial"/>
                </w:rPr>
                <m:t>20(100-C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num>
            <m:den>
              <m:r>
                <w:rPr>
                  <w:rFonts w:ascii="Cambria Math" w:hAnsi="Cambria Math" w:cs="Arial"/>
                </w:rPr>
                <m:t>(100-C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sSup>
                <m:sSupPr>
                  <m:ctrlPr>
                    <w:rPr>
                      <w:rFonts w:ascii="Cambria Math" w:hAnsi="Cambria Math" w:cs="Arial"/>
                    </w:rPr>
                  </m:ctrlPr>
                </m:sSupPr>
                <m:e>
                  <m:r>
                    <w:rPr>
                      <w:rFonts w:ascii="Cambria Math" w:hAnsi="Cambria Math" w:cs="Arial"/>
                    </w:rPr>
                    <m:t>e</m:t>
                  </m:r>
                </m:e>
                <m:sup>
                  <m:d>
                    <m:dPr>
                      <m:begChr m:val="["/>
                      <m:endChr m:val="]"/>
                      <m:ctrlPr>
                        <w:rPr>
                          <w:rFonts w:ascii="Cambria Math" w:hAnsi="Cambria Math" w:cs="Arial"/>
                        </w:rPr>
                      </m:ctrlPr>
                    </m:dPr>
                    <m:e>
                      <m:r>
                        <w:rPr>
                          <w:rFonts w:ascii="Cambria Math" w:hAnsi="Cambria Math" w:cs="Arial"/>
                        </w:rPr>
                        <m:t>2.54-0.064(100-C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e>
                  </m:d>
                </m:sup>
              </m:sSup>
            </m:den>
          </m:f>
          <m:r>
            <m:rPr>
              <m:sty m:val="p"/>
            </m:rPr>
            <w:rPr>
              <w:rFonts w:ascii="Cambria Math" w:hAnsi="Cambria Math" w:cs="Arial"/>
            </w:rPr>
            <w:br/>
          </m:r>
        </m:oMath>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III</m:t>
              </m:r>
            </m:sub>
          </m:sSub>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sSup>
            <m:sSupPr>
              <m:ctrlPr>
                <w:rPr>
                  <w:rFonts w:ascii="Cambria Math" w:hAnsi="Cambria Math" w:cs="Arial"/>
                </w:rPr>
              </m:ctrlPr>
            </m:sSupPr>
            <m:e>
              <m:r>
                <w:rPr>
                  <w:rFonts w:ascii="Cambria Math" w:hAnsi="Cambria Math" w:cs="Arial"/>
                </w:rPr>
                <m:t>e</m:t>
              </m:r>
            </m:e>
            <m:sup>
              <m:d>
                <m:dPr>
                  <m:begChr m:val="["/>
                  <m:endChr m:val="]"/>
                  <m:ctrlPr>
                    <w:rPr>
                      <w:rFonts w:ascii="Cambria Math" w:hAnsi="Cambria Math" w:cs="Arial"/>
                    </w:rPr>
                  </m:ctrlPr>
                </m:dPr>
                <m:e>
                  <m:r>
                    <w:rPr>
                      <w:rFonts w:ascii="Cambria Math" w:hAnsi="Cambria Math" w:cs="Arial"/>
                    </w:rPr>
                    <m:t>0.00673(100-C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e>
              </m:d>
            </m:sup>
          </m:sSup>
          <m:r>
            <m:rPr>
              <m:sty m:val="p"/>
            </m:rPr>
            <w:rPr>
              <w:rFonts w:ascii="Cambria Math" w:hAnsi="Cambria Math" w:cs="Arial"/>
            </w:rPr>
            <w:br/>
          </m:r>
        </m:oMath>
      </m:oMathPara>
    </w:p>
    <w:p w14:paraId="0643A649" w14:textId="1CCC607B"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where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m:t>
            </m:r>
          </m:sub>
        </m:sSub>
      </m:oMath>
      <w:r w:rsidRPr="00BD1B7F">
        <w:rPr>
          <w:rFonts w:ascii="Arial" w:hAnsi="Arial" w:cs="Arial"/>
        </w:rPr>
        <w:t xml:space="preserve">,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oMath>
      <w:r w:rsidRPr="00BD1B7F">
        <w:rPr>
          <w:rFonts w:ascii="Arial" w:hAnsi="Arial" w:cs="Arial"/>
        </w:rPr>
        <w:t xml:space="preserve">, and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III</m:t>
            </m:r>
          </m:sub>
        </m:sSub>
      </m:oMath>
      <w:r w:rsidRPr="00BD1B7F">
        <w:rPr>
          <w:rFonts w:ascii="Arial" w:hAnsi="Arial" w:cs="Arial"/>
        </w:rPr>
        <w:t xml:space="preserve">correspond to dry, normal, and wet soil conditions, respectively. Based on the CN value, the potential maximum retention parameter </w:t>
      </w:r>
      <m:oMath>
        <m:r>
          <w:rPr>
            <w:rFonts w:ascii="Cambria Math" w:hAnsi="Cambria Math" w:cs="Arial"/>
          </w:rPr>
          <m:t>S</m:t>
        </m:r>
      </m:oMath>
      <w:r w:rsidRPr="00BD1B7F">
        <w:rPr>
          <w:rFonts w:ascii="Arial" w:hAnsi="Arial" w:cs="Arial"/>
        </w:rPr>
        <w:t>is calculated using:</w:t>
      </w:r>
    </w:p>
    <w:p w14:paraId="6C4EDF69" w14:textId="40D03DD3" w:rsidR="00560670" w:rsidRPr="00BD1B7F" w:rsidRDefault="00560670" w:rsidP="007447F7">
      <w:pPr>
        <w:spacing w:line="276" w:lineRule="auto"/>
        <w:jc w:val="both"/>
        <w:rPr>
          <w:rFonts w:ascii="Arial" w:hAnsi="Arial" w:cs="Arial"/>
        </w:rPr>
      </w:pPr>
      <m:oMathPara>
        <m:oMath>
          <m:r>
            <w:rPr>
              <w:rFonts w:ascii="Cambria Math" w:hAnsi="Cambria Math" w:cs="Arial"/>
            </w:rPr>
            <m:t>S=25.49</m:t>
          </m:r>
          <m:d>
            <m:dPr>
              <m:sepChr m:val="−"/>
              <m:ctrlPr>
                <w:rPr>
                  <w:rFonts w:ascii="Cambria Math" w:hAnsi="Cambria Math" w:cs="Arial"/>
                </w:rPr>
              </m:ctrlPr>
            </m:dPr>
            <m:e>
              <m:f>
                <m:fPr>
                  <m:ctrlPr>
                    <w:rPr>
                      <w:rFonts w:ascii="Cambria Math" w:hAnsi="Cambria Math" w:cs="Arial"/>
                    </w:rPr>
                  </m:ctrlPr>
                </m:fPr>
                <m:num>
                  <m:r>
                    <w:rPr>
                      <w:rFonts w:ascii="Cambria Math" w:hAnsi="Cambria Math" w:cs="Arial"/>
                    </w:rPr>
                    <m:t>1000</m:t>
                  </m:r>
                </m:num>
                <m:den>
                  <m:r>
                    <w:rPr>
                      <w:rFonts w:ascii="Cambria Math" w:hAnsi="Cambria Math" w:cs="Arial"/>
                    </w:rPr>
                    <m:t>CN</m:t>
                  </m:r>
                </m:den>
              </m:f>
            </m:e>
            <m:e>
              <m:r>
                <w:rPr>
                  <w:rFonts w:ascii="Cambria Math" w:hAnsi="Cambria Math" w:cs="Arial"/>
                </w:rPr>
                <m:t>10</m:t>
              </m:r>
            </m:e>
          </m:d>
          <m:r>
            <m:rPr>
              <m:sty m:val="p"/>
            </m:rPr>
            <w:rPr>
              <w:rFonts w:ascii="Cambria Math" w:hAnsi="Cambria Math" w:cs="Arial"/>
            </w:rPr>
            <w:br/>
          </m:r>
        </m:oMath>
      </m:oMathPara>
    </w:p>
    <w:p w14:paraId="5C843C5A" w14:textId="7CC8B21D"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retention parameter </w:t>
      </w:r>
      <m:oMath>
        <m:r>
          <w:rPr>
            <w:rFonts w:ascii="Cambria Math" w:hAnsi="Cambria Math" w:cs="Arial"/>
          </w:rPr>
          <m:t>S</m:t>
        </m:r>
      </m:oMath>
      <w:r w:rsidRPr="00BD1B7F">
        <w:rPr>
          <w:rFonts w:ascii="Arial" w:hAnsi="Arial" w:cs="Arial"/>
        </w:rPr>
        <w:t>reflects the soil’s ability to store water and is inversely related to CN. A CN value of 100 indicates completely impervious conditions with zero retention (</w:t>
      </w:r>
      <m:oMath>
        <m:r>
          <w:rPr>
            <w:rFonts w:ascii="Cambria Math" w:hAnsi="Cambria Math" w:cs="Arial"/>
          </w:rPr>
          <m:t>S=0</m:t>
        </m:r>
      </m:oMath>
      <w:r w:rsidRPr="00BD1B7F">
        <w:rPr>
          <w:rFonts w:ascii="Arial" w:hAnsi="Arial" w:cs="Arial"/>
        </w:rPr>
        <w:t>), whereas lower CN values represent higher infiltration and storage capacity.</w:t>
      </w:r>
    </w:p>
    <w:p w14:paraId="580C3B09" w14:textId="5C6CD922"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2.6 </w:t>
      </w:r>
      <w:r w:rsidR="00560670" w:rsidRPr="00BD1B7F">
        <w:rPr>
          <w:rFonts w:ascii="Arial" w:hAnsi="Arial" w:cs="Arial"/>
          <w:b/>
          <w:bCs/>
        </w:rPr>
        <w:t>Model Framework</w:t>
      </w:r>
    </w:p>
    <w:p w14:paraId="3A0311B0" w14:textId="2888C55C"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SWAT model, integrated with the </w:t>
      </w:r>
      <w:proofErr w:type="spellStart"/>
      <w:r w:rsidRPr="00BD1B7F">
        <w:rPr>
          <w:rFonts w:ascii="Arial" w:hAnsi="Arial" w:cs="Arial"/>
        </w:rPr>
        <w:t>Arc</w:t>
      </w:r>
      <w:r w:rsidR="00C24C8A" w:rsidRPr="00BD1B7F">
        <w:rPr>
          <w:rFonts w:ascii="Arial" w:hAnsi="Arial" w:cs="Arial"/>
        </w:rPr>
        <w:t>SWAT</w:t>
      </w:r>
      <w:proofErr w:type="spellEnd"/>
      <w:r w:rsidRPr="00BD1B7F">
        <w:rPr>
          <w:rFonts w:ascii="Arial" w:hAnsi="Arial" w:cs="Arial"/>
        </w:rPr>
        <w:t xml:space="preserve"> interface in ArcGIS, provides a comprehensive framework for hydrological simulation (Olivera et al., 2006). The </w:t>
      </w:r>
      <w:proofErr w:type="spellStart"/>
      <w:r w:rsidRPr="00BD1B7F">
        <w:rPr>
          <w:rFonts w:ascii="Arial" w:hAnsi="Arial" w:cs="Arial"/>
        </w:rPr>
        <w:t>modeling</w:t>
      </w:r>
      <w:proofErr w:type="spellEnd"/>
      <w:r w:rsidRPr="00BD1B7F">
        <w:rPr>
          <w:rFonts w:ascii="Arial" w:hAnsi="Arial" w:cs="Arial"/>
        </w:rPr>
        <w:t xml:space="preserve"> process begins with watershed delineation using Digital </w:t>
      </w:r>
      <w:r w:rsidRPr="00BD1B7F">
        <w:rPr>
          <w:rFonts w:ascii="Arial" w:hAnsi="Arial" w:cs="Arial"/>
        </w:rPr>
        <w:lastRenderedPageBreak/>
        <w:t>Elevation Model (DEM) data, through which stream networks, flow direction, flow accumulation, and outlet points are generated. The watershed is divided into sub-basins, which are further subdivided into HRUs by overlaying land use, soil, and slope data. This approach allows for detailed spatial representation of hydrological processes across the basin.</w:t>
      </w:r>
    </w:p>
    <w:p w14:paraId="22CA6295" w14:textId="2BE0BF28"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2.7 </w:t>
      </w:r>
      <w:r w:rsidR="00560670" w:rsidRPr="00BD1B7F">
        <w:rPr>
          <w:rFonts w:ascii="Arial" w:hAnsi="Arial" w:cs="Arial"/>
          <w:b/>
          <w:bCs/>
        </w:rPr>
        <w:t>Model Simulation</w:t>
      </w:r>
    </w:p>
    <w:p w14:paraId="4934B935"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The simulation process involves several steps, including watershed delineation, HRU analysis, preparation of input data, and execution of the model. DEM data are used to define watershed boundaries and drainage patterns. HRUs are created by integrating land use, soil, and slope information to represent homogeneous units. Meteorological data, including rainfall, temperature, wind speed, relative humidity, and solar radiation, are organized into input tables and incorporated into the model. The SWAT model is then executed on a continuous time step to simulate hydrological processes.</w:t>
      </w:r>
    </w:p>
    <w:p w14:paraId="06B2003F"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Calibration and validation are essential to improve model reliability. In this study, these processes were carried out using the SWAT-CUP tool, which integrates various algorithms for parameter optimization and uncertainty analysis. The Sequential Uncertainty Fitting (SUFI-2) method was used to calibrate the model and evaluate uncertainty (Kumar et al., 2017).</w:t>
      </w:r>
    </w:p>
    <w:p w14:paraId="681D2B7F" w14:textId="7FEDD5DF"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2.8 </w:t>
      </w:r>
      <w:r w:rsidR="00560670" w:rsidRPr="00BD1B7F">
        <w:rPr>
          <w:rFonts w:ascii="Arial" w:hAnsi="Arial" w:cs="Arial"/>
          <w:b/>
          <w:bCs/>
        </w:rPr>
        <w:t>Model Performance Evaluation</w:t>
      </w:r>
    </w:p>
    <w:p w14:paraId="421A9C8D"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performance of the SWAT model was evaluated using statistical indicators such as the coefficient of determination (R²) and Nash–Sutcliffe Efficiency (NSE), which are widely used for hydrological model assessment (Goswami et al., 2005; </w:t>
      </w:r>
      <w:proofErr w:type="spellStart"/>
      <w:r w:rsidRPr="00BD1B7F">
        <w:rPr>
          <w:rFonts w:ascii="Arial" w:hAnsi="Arial" w:cs="Arial"/>
        </w:rPr>
        <w:t>Moriasi</w:t>
      </w:r>
      <w:proofErr w:type="spellEnd"/>
      <w:r w:rsidRPr="00BD1B7F">
        <w:rPr>
          <w:rFonts w:ascii="Arial" w:hAnsi="Arial" w:cs="Arial"/>
        </w:rPr>
        <w:t xml:space="preserve"> et al., 2007). The NSE is calculated as:</w:t>
      </w:r>
    </w:p>
    <w:p w14:paraId="11F498E7" w14:textId="28337F5D" w:rsidR="00560670" w:rsidRPr="00BD1B7F" w:rsidRDefault="00560670" w:rsidP="007447F7">
      <w:pPr>
        <w:spacing w:line="276" w:lineRule="auto"/>
        <w:jc w:val="both"/>
        <w:rPr>
          <w:rFonts w:ascii="Arial" w:hAnsi="Arial" w:cs="Arial"/>
        </w:rPr>
      </w:pPr>
      <m:oMathPara>
        <m:oMath>
          <m:r>
            <w:rPr>
              <w:rFonts w:ascii="Cambria Math" w:hAnsi="Cambria Math" w:cs="Arial"/>
            </w:rPr>
            <m:t>NSE=1-</m:t>
          </m:r>
          <m:f>
            <m:fPr>
              <m:ctrlPr>
                <w:rPr>
                  <w:rFonts w:ascii="Cambria Math" w:hAnsi="Cambria Math" w:cs="Arial"/>
                </w:rPr>
              </m:ctrlPr>
            </m:fPr>
            <m:num>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sSub>
                <m:sSubPr>
                  <m:ctrlPr>
                    <w:rPr>
                      <w:rFonts w:ascii="Cambria Math" w:hAnsi="Cambria Math" w:cs="Arial"/>
                    </w:rPr>
                  </m:ctrlPr>
                </m:sSubPr>
                <m:e>
                  <m:r>
                    <w:rPr>
                      <w:rFonts w:ascii="Cambria Math" w:hAnsi="Cambria Math" w:cs="Arial"/>
                    </w:rPr>
                    <m:t>Y</m:t>
                  </m:r>
                </m:e>
                <m:sub>
                  <m:r>
                    <w:rPr>
                      <w:rFonts w:ascii="Cambria Math" w:hAnsi="Cambria Math" w:cs="Arial"/>
                    </w:rPr>
                    <m:t>obs,i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sim,i</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num>
            <m:den>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sSub>
                <m:sSubPr>
                  <m:ctrlPr>
                    <w:rPr>
                      <w:rFonts w:ascii="Cambria Math" w:hAnsi="Cambria Math" w:cs="Arial"/>
                    </w:rPr>
                  </m:ctrlPr>
                </m:sSubPr>
                <m:e>
                  <m:r>
                    <w:rPr>
                      <w:rFonts w:ascii="Cambria Math" w:hAnsi="Cambria Math" w:cs="Arial"/>
                    </w:rPr>
                    <m:t>Y</m:t>
                  </m:r>
                </m:e>
                <m:sub>
                  <m:r>
                    <w:rPr>
                      <w:rFonts w:ascii="Cambria Math" w:hAnsi="Cambria Math" w:cs="Arial"/>
                    </w:rPr>
                    <m:t>obs,i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mean</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den>
          </m:f>
          <m:r>
            <m:rPr>
              <m:sty m:val="p"/>
            </m:rPr>
            <w:rPr>
              <w:rFonts w:ascii="Cambria Math" w:hAnsi="Cambria Math" w:cs="Arial"/>
            </w:rPr>
            <w:br/>
          </m:r>
        </m:oMath>
      </m:oMathPara>
    </w:p>
    <w:p w14:paraId="6F9A9AED" w14:textId="469BCFDF" w:rsidR="00560670" w:rsidRPr="00BD1B7F" w:rsidRDefault="00560670" w:rsidP="007447F7">
      <w:pPr>
        <w:spacing w:line="276" w:lineRule="auto"/>
        <w:jc w:val="both"/>
        <w:rPr>
          <w:rFonts w:ascii="Arial" w:hAnsi="Arial" w:cs="Arial"/>
        </w:rPr>
      </w:pPr>
      <w:r w:rsidRPr="00BD1B7F">
        <w:rPr>
          <w:rFonts w:ascii="Arial" w:hAnsi="Arial" w:cs="Arial"/>
        </w:rPr>
        <w:t xml:space="preserve">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obs</m:t>
            </m:r>
          </m:sub>
        </m:sSub>
      </m:oMath>
      <w:r w:rsidRPr="00BD1B7F">
        <w:rPr>
          <w:rFonts w:ascii="Arial" w:hAnsi="Arial" w:cs="Arial"/>
        </w:rPr>
        <w:t xml:space="preserve">represents observed values, </w:t>
      </w:r>
      <m:oMath>
        <m:sSub>
          <m:sSubPr>
            <m:ctrlPr>
              <w:rPr>
                <w:rFonts w:ascii="Cambria Math" w:hAnsi="Cambria Math" w:cs="Arial"/>
              </w:rPr>
            </m:ctrlPr>
          </m:sSubPr>
          <m:e>
            <m:r>
              <w:rPr>
                <w:rFonts w:ascii="Cambria Math" w:hAnsi="Cambria Math" w:cs="Arial"/>
              </w:rPr>
              <m:t>Y</m:t>
            </m:r>
          </m:e>
          <m:sub>
            <m:r>
              <w:rPr>
                <w:rFonts w:ascii="Cambria Math" w:hAnsi="Cambria Math" w:cs="Arial"/>
              </w:rPr>
              <m:t>sim</m:t>
            </m:r>
          </m:sub>
        </m:sSub>
      </m:oMath>
      <w:r w:rsidRPr="00BD1B7F">
        <w:rPr>
          <w:rFonts w:ascii="Arial" w:hAnsi="Arial" w:cs="Arial"/>
        </w:rPr>
        <w:t xml:space="preserve">represents simulated values, </w:t>
      </w:r>
      <m:oMath>
        <m:sSub>
          <m:sSubPr>
            <m:ctrlPr>
              <w:rPr>
                <w:rFonts w:ascii="Cambria Math" w:hAnsi="Cambria Math" w:cs="Arial"/>
              </w:rPr>
            </m:ctrlPr>
          </m:sSubPr>
          <m:e>
            <m:r>
              <w:rPr>
                <w:rFonts w:ascii="Cambria Math" w:hAnsi="Cambria Math" w:cs="Arial"/>
              </w:rPr>
              <m:t>Y</m:t>
            </m:r>
          </m:e>
          <m:sub>
            <m:r>
              <w:rPr>
                <w:rFonts w:ascii="Cambria Math" w:hAnsi="Cambria Math" w:cs="Arial"/>
              </w:rPr>
              <m:t>mean</m:t>
            </m:r>
          </m:sub>
        </m:sSub>
      </m:oMath>
      <w:r w:rsidRPr="00BD1B7F">
        <w:rPr>
          <w:rFonts w:ascii="Arial" w:hAnsi="Arial" w:cs="Arial"/>
        </w:rPr>
        <w:t xml:space="preserve">is the mean of observed data, and </w:t>
      </w:r>
      <m:oMath>
        <m:r>
          <w:rPr>
            <w:rFonts w:ascii="Cambria Math" w:hAnsi="Cambria Math" w:cs="Arial"/>
          </w:rPr>
          <m:t>n</m:t>
        </m:r>
      </m:oMath>
      <w:r w:rsidRPr="00BD1B7F">
        <w:rPr>
          <w:rFonts w:ascii="Arial" w:hAnsi="Arial" w:cs="Arial"/>
        </w:rPr>
        <w:t xml:space="preserve">is the number of observations. NSE values range from </w:t>
      </w:r>
      <m:oMath>
        <m:r>
          <w:rPr>
            <w:rFonts w:ascii="Cambria Math" w:hAnsi="Cambria Math" w:cs="Arial"/>
          </w:rPr>
          <m:t>-</m:t>
        </m:r>
        <m:r>
          <m:rPr>
            <m:sty m:val="p"/>
          </m:rPr>
          <w:rPr>
            <w:rFonts w:ascii="Cambria Math" w:hAnsi="Cambria Math" w:cs="Arial"/>
          </w:rPr>
          <m:t>∞</m:t>
        </m:r>
      </m:oMath>
      <w:r w:rsidRPr="00BD1B7F">
        <w:rPr>
          <w:rFonts w:ascii="Arial" w:hAnsi="Arial" w:cs="Arial"/>
        </w:rPr>
        <w:t>to 1, with values closer to 1 indicating better model performance.</w:t>
      </w:r>
    </w:p>
    <w:p w14:paraId="19365B1B" w14:textId="110CAFE9"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coefficient of determination (R²) measures the degree of correlation between observed and simulated values and ranges from 0 to 1. Higher values indicate better agreement between datasets. According to standard evaluation criteria, model performance is considered satisfactory when </w:t>
      </w:r>
      <m:oMath>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≥0.65</m:t>
        </m:r>
      </m:oMath>
      <w:r w:rsidRPr="00BD1B7F">
        <w:rPr>
          <w:rFonts w:ascii="Arial" w:hAnsi="Arial" w:cs="Arial"/>
        </w:rPr>
        <w:t xml:space="preserve">and </w:t>
      </w:r>
      <m:oMath>
        <m:r>
          <w:rPr>
            <w:rFonts w:ascii="Cambria Math" w:hAnsi="Cambria Math" w:cs="Arial"/>
          </w:rPr>
          <m:t>NSE≥0.5</m:t>
        </m:r>
      </m:oMath>
      <w:r w:rsidRPr="00BD1B7F">
        <w:rPr>
          <w:rFonts w:ascii="Arial" w:hAnsi="Arial" w:cs="Arial"/>
        </w:rPr>
        <w:t>(Moriasi et al., 2007).</w:t>
      </w:r>
    </w:p>
    <w:p w14:paraId="1027FAFA" w14:textId="50D716E7" w:rsidR="007F3CE1" w:rsidRPr="00BD1B7F" w:rsidRDefault="00664970" w:rsidP="007447F7">
      <w:pPr>
        <w:spacing w:line="276" w:lineRule="auto"/>
        <w:jc w:val="both"/>
        <w:rPr>
          <w:rFonts w:ascii="Arial" w:hAnsi="Arial" w:cs="Arial"/>
          <w:b/>
          <w:bCs/>
        </w:rPr>
      </w:pPr>
      <w:r w:rsidRPr="00BD1B7F">
        <w:rPr>
          <w:rFonts w:ascii="Arial" w:hAnsi="Arial" w:cs="Arial"/>
          <w:b/>
          <w:bCs/>
        </w:rPr>
        <w:t>3</w:t>
      </w:r>
      <w:r w:rsidR="00560670" w:rsidRPr="00BD1B7F">
        <w:rPr>
          <w:rFonts w:ascii="Arial" w:hAnsi="Arial" w:cs="Arial"/>
          <w:b/>
          <w:bCs/>
        </w:rPr>
        <w:t xml:space="preserve">. </w:t>
      </w:r>
      <w:r w:rsidR="007F3CE1" w:rsidRPr="00BD1B7F">
        <w:rPr>
          <w:rFonts w:ascii="Arial" w:hAnsi="Arial" w:cs="Arial"/>
          <w:b/>
          <w:bCs/>
        </w:rPr>
        <w:t>Results and Discussion</w:t>
      </w:r>
    </w:p>
    <w:p w14:paraId="68D40E20" w14:textId="657B8FE7" w:rsidR="007F3CE1" w:rsidRPr="00BD1B7F" w:rsidRDefault="007447F7" w:rsidP="007447F7">
      <w:pPr>
        <w:spacing w:line="276" w:lineRule="auto"/>
        <w:ind w:firstLine="720"/>
        <w:jc w:val="both"/>
        <w:rPr>
          <w:rFonts w:ascii="Arial" w:hAnsi="Arial" w:cs="Arial"/>
        </w:rPr>
      </w:pPr>
      <w:r w:rsidRPr="00BD1B7F">
        <w:rPr>
          <w:rFonts w:ascii="Arial" w:hAnsi="Arial" w:cs="Arial"/>
          <w:noProof/>
        </w:rPr>
        <w:lastRenderedPageBreak/>
        <w:drawing>
          <wp:anchor distT="0" distB="0" distL="114300" distR="114300" simplePos="0" relativeHeight="251661312" behindDoc="0" locked="0" layoutInCell="1" allowOverlap="1" wp14:anchorId="63AABD44" wp14:editId="32911B29">
            <wp:simplePos x="0" y="0"/>
            <wp:positionH relativeFrom="column">
              <wp:posOffset>-45559</wp:posOffset>
            </wp:positionH>
            <wp:positionV relativeFrom="page">
              <wp:posOffset>2608374</wp:posOffset>
            </wp:positionV>
            <wp:extent cx="2397125" cy="3101340"/>
            <wp:effectExtent l="0" t="0" r="3175" b="381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125" cy="310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504" w:rsidRPr="00BD1B7F">
        <w:rPr>
          <w:rFonts w:ascii="Arial" w:eastAsia="Times New Roman" w:hAnsi="Arial" w:cs="Arial"/>
          <w:b/>
          <w:bCs/>
          <w:noProof/>
          <w:kern w:val="0"/>
          <w:lang w:eastAsia="en-IN"/>
        </w:rPr>
        <w:drawing>
          <wp:anchor distT="0" distB="0" distL="114300" distR="114300" simplePos="0" relativeHeight="251663360" behindDoc="0" locked="0" layoutInCell="1" allowOverlap="1" wp14:anchorId="1A9E48F4" wp14:editId="68367097">
            <wp:simplePos x="0" y="0"/>
            <wp:positionH relativeFrom="column">
              <wp:posOffset>2621915</wp:posOffset>
            </wp:positionH>
            <wp:positionV relativeFrom="paragraph">
              <wp:posOffset>1458568</wp:posOffset>
            </wp:positionV>
            <wp:extent cx="2395855" cy="3101340"/>
            <wp:effectExtent l="0" t="0" r="4445" b="3810"/>
            <wp:wrapTopAndBottom/>
            <wp:docPr id="1147442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42945"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5855" cy="310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CE1" w:rsidRPr="00BD1B7F">
        <w:rPr>
          <w:rFonts w:ascii="Arial" w:hAnsi="Arial" w:cs="Arial"/>
        </w:rPr>
        <w:t xml:space="preserve">The </w:t>
      </w:r>
      <w:proofErr w:type="spellStart"/>
      <w:r w:rsidR="00C24C8A" w:rsidRPr="00BD1B7F">
        <w:rPr>
          <w:rFonts w:ascii="Arial" w:hAnsi="Arial" w:cs="Arial"/>
        </w:rPr>
        <w:t>Arc</w:t>
      </w:r>
      <w:r w:rsidR="007F3CE1" w:rsidRPr="00BD1B7F">
        <w:rPr>
          <w:rFonts w:ascii="Arial" w:hAnsi="Arial" w:cs="Arial"/>
        </w:rPr>
        <w:t>SWAT</w:t>
      </w:r>
      <w:proofErr w:type="spellEnd"/>
      <w:r w:rsidR="007F3CE1" w:rsidRPr="00BD1B7F">
        <w:rPr>
          <w:rFonts w:ascii="Arial" w:hAnsi="Arial" w:cs="Arial"/>
        </w:rPr>
        <w:t xml:space="preserve"> model effectively reproduced the hydrological </w:t>
      </w:r>
      <w:proofErr w:type="spellStart"/>
      <w:r w:rsidR="007F3CE1" w:rsidRPr="00BD1B7F">
        <w:rPr>
          <w:rFonts w:ascii="Arial" w:hAnsi="Arial" w:cs="Arial"/>
        </w:rPr>
        <w:t>behavior</w:t>
      </w:r>
      <w:proofErr w:type="spellEnd"/>
      <w:r w:rsidR="007F3CE1" w:rsidRPr="00BD1B7F">
        <w:rPr>
          <w:rFonts w:ascii="Arial" w:hAnsi="Arial" w:cs="Arial"/>
        </w:rPr>
        <w:t xml:space="preserve"> of the </w:t>
      </w:r>
      <w:proofErr w:type="spellStart"/>
      <w:r w:rsidR="007F3CE1" w:rsidRPr="00BD1B7F">
        <w:rPr>
          <w:rFonts w:ascii="Arial" w:hAnsi="Arial" w:cs="Arial"/>
        </w:rPr>
        <w:t>Jonk</w:t>
      </w:r>
      <w:proofErr w:type="spellEnd"/>
      <w:r w:rsidR="007F3CE1" w:rsidRPr="00BD1B7F">
        <w:rPr>
          <w:rFonts w:ascii="Arial" w:hAnsi="Arial" w:cs="Arial"/>
        </w:rPr>
        <w:t xml:space="preserve"> sub-basin, providing a reliable basis for evaluating the impact of LULC changes on surface runoff. Although slight underestimation of peak flows was observed, which is common in hydrological simulations due to uncertainties in extreme rainfall events, the overall model performance remained satisfactory. The results indicate that the model captured both the temporal variability and magnitude of streamflow with reasonable accuracy.</w:t>
      </w:r>
    </w:p>
    <w:p w14:paraId="60F2560E" w14:textId="15719074" w:rsidR="005C1504"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 xml:space="preserve">Fig 2: LULC map of </w:t>
      </w:r>
      <w:proofErr w:type="spellStart"/>
      <w:r w:rsidRPr="00BD1B7F">
        <w:rPr>
          <w:rFonts w:ascii="Arial" w:hAnsi="Arial" w:cs="Arial"/>
          <w:b/>
          <w:bCs/>
          <w:sz w:val="20"/>
          <w:szCs w:val="20"/>
        </w:rPr>
        <w:t>Jonk</w:t>
      </w:r>
      <w:proofErr w:type="spellEnd"/>
      <w:r w:rsidRPr="00BD1B7F">
        <w:rPr>
          <w:rFonts w:ascii="Arial" w:hAnsi="Arial" w:cs="Arial"/>
          <w:b/>
          <w:bCs/>
          <w:sz w:val="20"/>
          <w:szCs w:val="20"/>
        </w:rPr>
        <w:t xml:space="preserve"> </w:t>
      </w:r>
      <w:proofErr w:type="spellStart"/>
      <w:r w:rsidRPr="00BD1B7F">
        <w:rPr>
          <w:rFonts w:ascii="Arial" w:hAnsi="Arial" w:cs="Arial"/>
          <w:b/>
          <w:bCs/>
          <w:sz w:val="20"/>
          <w:szCs w:val="20"/>
        </w:rPr>
        <w:t>subbasin</w:t>
      </w:r>
      <w:proofErr w:type="spellEnd"/>
    </w:p>
    <w:p w14:paraId="30A2FFD1" w14:textId="65E34695" w:rsidR="00BD1B7F" w:rsidRPr="00BD1B7F" w:rsidRDefault="007F3CE1" w:rsidP="00BD1B7F">
      <w:pPr>
        <w:spacing w:line="276" w:lineRule="auto"/>
        <w:ind w:firstLine="720"/>
        <w:jc w:val="both"/>
        <w:rPr>
          <w:rFonts w:ascii="Arial" w:hAnsi="Arial" w:cs="Arial"/>
        </w:rPr>
      </w:pPr>
      <w:r w:rsidRPr="00BD1B7F">
        <w:rPr>
          <w:rFonts w:ascii="Arial" w:hAnsi="Arial" w:cs="Arial"/>
        </w:rPr>
        <w:t>Analysis of LULC changes over the study period revealed a clear shift from natural to anthropogenic landscapes. Agricultural land increased significantly from 36.03% to 41.44%, reflecting intensified farming activities, while forest cover declined from 34.52% to 30.02%. Built-up areas also expanded, indicating increasing urbanization and human intervention in the basin. These transformations have altered the land surface characteristics, directly influencing hydrological processes.</w:t>
      </w:r>
    </w:p>
    <w:p w14:paraId="4DB5BF51" w14:textId="09CF7CE5" w:rsidR="00BD1B7F" w:rsidRDefault="00BD1B7F" w:rsidP="00BD1B7F">
      <w:pPr>
        <w:spacing w:line="276" w:lineRule="auto"/>
        <w:jc w:val="both"/>
        <w:rPr>
          <w:rFonts w:ascii="Arial" w:hAnsi="Arial" w:cs="Arial"/>
          <w:b/>
          <w:bCs/>
        </w:rPr>
      </w:pPr>
      <w:r w:rsidRPr="00BD1B7F">
        <w:rPr>
          <w:rFonts w:ascii="Arial" w:hAnsi="Arial" w:cs="Arial"/>
        </w:rPr>
        <w:t>The impact of these changes on surface runoff was evident from the increase in Curve Number values, which rose from 73.1 to 83.6 over time. This increase indicates reduced infiltration capacity and higher runoff potential. Consequently, mean annual surface runoff increased from 340.82 mm to 377.29 mm, representing an approximate rise of 9–11%. The increase in runoff was more pronounced in areas dominated by agriculture and steep slopes, were reduced vegetation cover and soil compaction limit water infiltration.</w:t>
      </w:r>
      <w:r>
        <w:rPr>
          <w:rFonts w:ascii="Arial" w:hAnsi="Arial" w:cs="Arial"/>
        </w:rPr>
        <w:t xml:space="preserve"> </w:t>
      </w:r>
      <w:r w:rsidRPr="00BD1B7F">
        <w:rPr>
          <w:rFonts w:ascii="Arial" w:hAnsi="Arial" w:cs="Arial"/>
        </w:rPr>
        <w:t>Seasonal analysis further showed increased runoff during post-monsoon periods, suggesting reduced soil moisture retention and faster drainage.</w:t>
      </w:r>
    </w:p>
    <w:p w14:paraId="5D1E0EFA" w14:textId="77777777" w:rsidR="00BD1B7F" w:rsidRDefault="00BD1B7F" w:rsidP="00BD1B7F">
      <w:pPr>
        <w:spacing w:line="276" w:lineRule="auto"/>
        <w:rPr>
          <w:rFonts w:ascii="Arial" w:hAnsi="Arial" w:cs="Arial"/>
          <w:b/>
          <w:bCs/>
        </w:rPr>
      </w:pPr>
    </w:p>
    <w:p w14:paraId="32843B58" w14:textId="77777777" w:rsidR="00BD1B7F" w:rsidRDefault="00BD1B7F" w:rsidP="00BD1B7F">
      <w:pPr>
        <w:spacing w:line="276" w:lineRule="auto"/>
        <w:rPr>
          <w:rFonts w:ascii="Arial" w:hAnsi="Arial" w:cs="Arial"/>
          <w:b/>
          <w:bCs/>
        </w:rPr>
      </w:pPr>
    </w:p>
    <w:p w14:paraId="1E8F37ED" w14:textId="77777777" w:rsidR="00BD1B7F" w:rsidRDefault="00BD1B7F" w:rsidP="00BD1B7F">
      <w:pPr>
        <w:spacing w:line="276" w:lineRule="auto"/>
        <w:rPr>
          <w:rFonts w:ascii="Arial" w:hAnsi="Arial" w:cs="Arial"/>
          <w:b/>
          <w:bCs/>
        </w:rPr>
      </w:pPr>
    </w:p>
    <w:p w14:paraId="69C96172" w14:textId="77777777" w:rsidR="00BD1B7F" w:rsidRDefault="00BD1B7F" w:rsidP="00BD1B7F">
      <w:pPr>
        <w:spacing w:line="276" w:lineRule="auto"/>
        <w:rPr>
          <w:rFonts w:ascii="Arial" w:hAnsi="Arial" w:cs="Arial"/>
          <w:b/>
          <w:bCs/>
        </w:rPr>
      </w:pPr>
    </w:p>
    <w:p w14:paraId="074644F0" w14:textId="77777777" w:rsidR="00BD1B7F" w:rsidRDefault="00BD1B7F" w:rsidP="00BD1B7F">
      <w:pPr>
        <w:spacing w:line="276" w:lineRule="auto"/>
        <w:rPr>
          <w:rFonts w:ascii="Arial" w:hAnsi="Arial" w:cs="Arial"/>
          <w:b/>
          <w:bCs/>
        </w:rPr>
      </w:pPr>
    </w:p>
    <w:p w14:paraId="74366C29" w14:textId="2DCF4D95" w:rsidR="00A577E9" w:rsidRPr="00BD1B7F" w:rsidRDefault="00A577E9" w:rsidP="00BD1B7F">
      <w:pPr>
        <w:spacing w:line="276" w:lineRule="auto"/>
        <w:jc w:val="center"/>
        <w:rPr>
          <w:rFonts w:ascii="Arial" w:hAnsi="Arial" w:cs="Arial"/>
          <w:b/>
          <w:bCs/>
          <w:sz w:val="20"/>
          <w:szCs w:val="20"/>
        </w:rPr>
      </w:pPr>
      <w:r w:rsidRPr="00BD1B7F">
        <w:rPr>
          <w:rFonts w:ascii="Arial" w:hAnsi="Arial" w:cs="Arial"/>
          <w:b/>
          <w:bCs/>
          <w:sz w:val="20"/>
          <w:szCs w:val="20"/>
        </w:rPr>
        <w:t>Table 2: Land use change in 1991 and 2021</w:t>
      </w:r>
    </w:p>
    <w:tbl>
      <w:tblPr>
        <w:tblpPr w:leftFromText="180" w:rightFromText="180" w:vertAnchor="page" w:horzAnchor="margin" w:tblpXSpec="center" w:tblpY="3505"/>
        <w:tblW w:w="6014" w:type="dxa"/>
        <w:tblLayout w:type="fixed"/>
        <w:tblLook w:val="0000" w:firstRow="0" w:lastRow="0" w:firstColumn="0" w:lastColumn="0" w:noHBand="0" w:noVBand="0"/>
      </w:tblPr>
      <w:tblGrid>
        <w:gridCol w:w="1433"/>
        <w:gridCol w:w="841"/>
        <w:gridCol w:w="842"/>
        <w:gridCol w:w="1028"/>
        <w:gridCol w:w="935"/>
        <w:gridCol w:w="935"/>
      </w:tblGrid>
      <w:tr w:rsidR="00BD1B7F" w:rsidRPr="00BD1B7F" w14:paraId="3315B762" w14:textId="77777777" w:rsidTr="00BD1B7F">
        <w:trPr>
          <w:trHeight w:val="271"/>
        </w:trPr>
        <w:tc>
          <w:tcPr>
            <w:tcW w:w="1433" w:type="dxa"/>
            <w:vMerge w:val="restart"/>
            <w:tcBorders>
              <w:top w:val="single" w:sz="4" w:space="0" w:color="auto"/>
              <w:bottom w:val="single" w:sz="4" w:space="0" w:color="auto"/>
            </w:tcBorders>
          </w:tcPr>
          <w:p w14:paraId="466614FD" w14:textId="77777777" w:rsidR="00BD1B7F" w:rsidRPr="00BD1B7F" w:rsidRDefault="00BD1B7F" w:rsidP="00BD1B7F">
            <w:pPr>
              <w:spacing w:line="276" w:lineRule="auto"/>
              <w:rPr>
                <w:rFonts w:ascii="Arial" w:hAnsi="Arial" w:cs="Arial"/>
              </w:rPr>
            </w:pPr>
            <w:r w:rsidRPr="00BD1B7F">
              <w:rPr>
                <w:rFonts w:ascii="Arial" w:hAnsi="Arial" w:cs="Arial"/>
              </w:rPr>
              <w:t>and use/Land cover</w:t>
            </w:r>
          </w:p>
        </w:tc>
        <w:tc>
          <w:tcPr>
            <w:tcW w:w="1683" w:type="dxa"/>
            <w:gridSpan w:val="2"/>
            <w:tcBorders>
              <w:top w:val="single" w:sz="4" w:space="0" w:color="auto"/>
              <w:bottom w:val="single" w:sz="4" w:space="0" w:color="auto"/>
            </w:tcBorders>
          </w:tcPr>
          <w:p w14:paraId="553FFDC8" w14:textId="77777777" w:rsidR="00BD1B7F" w:rsidRPr="00BD1B7F" w:rsidRDefault="00BD1B7F" w:rsidP="00BD1B7F">
            <w:pPr>
              <w:spacing w:line="276" w:lineRule="auto"/>
              <w:jc w:val="center"/>
              <w:rPr>
                <w:rFonts w:ascii="Arial" w:hAnsi="Arial" w:cs="Arial"/>
              </w:rPr>
            </w:pPr>
            <w:r w:rsidRPr="00BD1B7F">
              <w:rPr>
                <w:rFonts w:ascii="Arial" w:hAnsi="Arial" w:cs="Arial"/>
              </w:rPr>
              <w:t>1991</w:t>
            </w:r>
          </w:p>
        </w:tc>
        <w:tc>
          <w:tcPr>
            <w:tcW w:w="1963" w:type="dxa"/>
            <w:gridSpan w:val="2"/>
            <w:tcBorders>
              <w:top w:val="single" w:sz="4" w:space="0" w:color="auto"/>
              <w:bottom w:val="single" w:sz="4" w:space="0" w:color="auto"/>
            </w:tcBorders>
          </w:tcPr>
          <w:p w14:paraId="12F7D3A0" w14:textId="77777777" w:rsidR="00BD1B7F" w:rsidRPr="00BD1B7F" w:rsidRDefault="00BD1B7F" w:rsidP="00BD1B7F">
            <w:pPr>
              <w:spacing w:line="276" w:lineRule="auto"/>
              <w:jc w:val="center"/>
              <w:rPr>
                <w:rFonts w:ascii="Arial" w:hAnsi="Arial" w:cs="Arial"/>
              </w:rPr>
            </w:pPr>
            <w:r w:rsidRPr="00BD1B7F">
              <w:rPr>
                <w:rFonts w:ascii="Arial" w:hAnsi="Arial" w:cs="Arial"/>
              </w:rPr>
              <w:t>2021</w:t>
            </w:r>
          </w:p>
        </w:tc>
        <w:tc>
          <w:tcPr>
            <w:tcW w:w="935" w:type="dxa"/>
            <w:vMerge w:val="restart"/>
            <w:tcBorders>
              <w:top w:val="single" w:sz="4" w:space="0" w:color="auto"/>
              <w:bottom w:val="single" w:sz="4" w:space="0" w:color="auto"/>
            </w:tcBorders>
          </w:tcPr>
          <w:p w14:paraId="487E5F2A" w14:textId="77777777" w:rsidR="00BD1B7F" w:rsidRPr="00BD1B7F" w:rsidRDefault="00BD1B7F" w:rsidP="00BD1B7F">
            <w:pPr>
              <w:spacing w:line="276" w:lineRule="auto"/>
              <w:jc w:val="both"/>
              <w:rPr>
                <w:rFonts w:ascii="Arial" w:hAnsi="Arial" w:cs="Arial"/>
              </w:rPr>
            </w:pPr>
            <w:r w:rsidRPr="00BD1B7F">
              <w:rPr>
                <w:rFonts w:ascii="Arial" w:hAnsi="Arial" w:cs="Arial"/>
              </w:rPr>
              <w:t>% change</w:t>
            </w:r>
          </w:p>
        </w:tc>
      </w:tr>
      <w:tr w:rsidR="00BD1B7F" w:rsidRPr="00BD1B7F" w14:paraId="17947AC6" w14:textId="77777777" w:rsidTr="00BD1B7F">
        <w:trPr>
          <w:trHeight w:val="330"/>
        </w:trPr>
        <w:tc>
          <w:tcPr>
            <w:tcW w:w="1433" w:type="dxa"/>
            <w:vMerge/>
            <w:tcBorders>
              <w:top w:val="single" w:sz="4" w:space="0" w:color="auto"/>
              <w:bottom w:val="single" w:sz="4" w:space="0" w:color="auto"/>
            </w:tcBorders>
          </w:tcPr>
          <w:p w14:paraId="6328FE5F" w14:textId="77777777" w:rsidR="00BD1B7F" w:rsidRPr="00BD1B7F" w:rsidRDefault="00BD1B7F" w:rsidP="00BD1B7F">
            <w:pPr>
              <w:spacing w:line="276" w:lineRule="auto"/>
              <w:jc w:val="both"/>
              <w:rPr>
                <w:rFonts w:ascii="Arial" w:hAnsi="Arial" w:cs="Arial"/>
              </w:rPr>
            </w:pPr>
          </w:p>
        </w:tc>
        <w:tc>
          <w:tcPr>
            <w:tcW w:w="841" w:type="dxa"/>
            <w:tcBorders>
              <w:top w:val="single" w:sz="4" w:space="0" w:color="auto"/>
              <w:bottom w:val="single" w:sz="4" w:space="0" w:color="auto"/>
            </w:tcBorders>
          </w:tcPr>
          <w:p w14:paraId="36B35F33" w14:textId="77777777" w:rsidR="00BD1B7F" w:rsidRPr="00BD1B7F" w:rsidRDefault="00BD1B7F" w:rsidP="00BD1B7F">
            <w:pPr>
              <w:spacing w:line="276" w:lineRule="auto"/>
              <w:jc w:val="center"/>
              <w:rPr>
                <w:rFonts w:ascii="Arial" w:hAnsi="Arial" w:cs="Arial"/>
              </w:rPr>
            </w:pPr>
            <w:r w:rsidRPr="00BD1B7F">
              <w:rPr>
                <w:rFonts w:ascii="Arial" w:hAnsi="Arial" w:cs="Arial"/>
              </w:rPr>
              <w:t>km</w:t>
            </w:r>
            <w:r w:rsidRPr="00BD1B7F">
              <w:rPr>
                <w:rFonts w:ascii="Arial" w:hAnsi="Arial" w:cs="Arial"/>
                <w:vertAlign w:val="superscript"/>
              </w:rPr>
              <w:t>2</w:t>
            </w:r>
          </w:p>
        </w:tc>
        <w:tc>
          <w:tcPr>
            <w:tcW w:w="842" w:type="dxa"/>
            <w:tcBorders>
              <w:top w:val="single" w:sz="4" w:space="0" w:color="auto"/>
              <w:bottom w:val="single" w:sz="4" w:space="0" w:color="auto"/>
            </w:tcBorders>
          </w:tcPr>
          <w:p w14:paraId="1A57F575" w14:textId="77777777" w:rsidR="00BD1B7F" w:rsidRPr="00BD1B7F" w:rsidRDefault="00BD1B7F" w:rsidP="00BD1B7F">
            <w:pPr>
              <w:spacing w:line="276" w:lineRule="auto"/>
              <w:jc w:val="center"/>
              <w:rPr>
                <w:rFonts w:ascii="Arial" w:hAnsi="Arial" w:cs="Arial"/>
              </w:rPr>
            </w:pPr>
            <w:r w:rsidRPr="00BD1B7F">
              <w:rPr>
                <w:rFonts w:ascii="Arial" w:hAnsi="Arial" w:cs="Arial"/>
              </w:rPr>
              <w:t>%</w:t>
            </w:r>
          </w:p>
        </w:tc>
        <w:tc>
          <w:tcPr>
            <w:tcW w:w="1028" w:type="dxa"/>
            <w:tcBorders>
              <w:top w:val="single" w:sz="4" w:space="0" w:color="auto"/>
              <w:bottom w:val="single" w:sz="4" w:space="0" w:color="auto"/>
            </w:tcBorders>
          </w:tcPr>
          <w:p w14:paraId="3B703962" w14:textId="77777777" w:rsidR="00BD1B7F" w:rsidRPr="00BD1B7F" w:rsidRDefault="00BD1B7F" w:rsidP="00BD1B7F">
            <w:pPr>
              <w:spacing w:line="276" w:lineRule="auto"/>
              <w:jc w:val="center"/>
              <w:rPr>
                <w:rFonts w:ascii="Arial" w:hAnsi="Arial" w:cs="Arial"/>
              </w:rPr>
            </w:pPr>
            <w:r w:rsidRPr="00BD1B7F">
              <w:rPr>
                <w:rFonts w:ascii="Arial" w:hAnsi="Arial" w:cs="Arial"/>
              </w:rPr>
              <w:t>km</w:t>
            </w:r>
            <w:r w:rsidRPr="00BD1B7F">
              <w:rPr>
                <w:rFonts w:ascii="Arial" w:hAnsi="Arial" w:cs="Arial"/>
                <w:vertAlign w:val="superscript"/>
              </w:rPr>
              <w:t>2</w:t>
            </w:r>
          </w:p>
        </w:tc>
        <w:tc>
          <w:tcPr>
            <w:tcW w:w="935" w:type="dxa"/>
            <w:tcBorders>
              <w:top w:val="single" w:sz="4" w:space="0" w:color="auto"/>
              <w:bottom w:val="single" w:sz="4" w:space="0" w:color="auto"/>
            </w:tcBorders>
          </w:tcPr>
          <w:p w14:paraId="5B564110" w14:textId="77777777" w:rsidR="00BD1B7F" w:rsidRPr="00BD1B7F" w:rsidRDefault="00BD1B7F" w:rsidP="00BD1B7F">
            <w:pPr>
              <w:spacing w:line="276" w:lineRule="auto"/>
              <w:jc w:val="center"/>
              <w:rPr>
                <w:rFonts w:ascii="Arial" w:hAnsi="Arial" w:cs="Arial"/>
              </w:rPr>
            </w:pPr>
            <w:r w:rsidRPr="00BD1B7F">
              <w:rPr>
                <w:rFonts w:ascii="Arial" w:hAnsi="Arial" w:cs="Arial"/>
              </w:rPr>
              <w:t>%</w:t>
            </w:r>
          </w:p>
        </w:tc>
        <w:tc>
          <w:tcPr>
            <w:tcW w:w="935" w:type="dxa"/>
            <w:vMerge/>
            <w:tcBorders>
              <w:top w:val="single" w:sz="4" w:space="0" w:color="auto"/>
              <w:bottom w:val="single" w:sz="4" w:space="0" w:color="auto"/>
            </w:tcBorders>
          </w:tcPr>
          <w:p w14:paraId="170AE233" w14:textId="77777777" w:rsidR="00BD1B7F" w:rsidRPr="00BD1B7F" w:rsidRDefault="00BD1B7F" w:rsidP="00BD1B7F">
            <w:pPr>
              <w:spacing w:line="276" w:lineRule="auto"/>
              <w:jc w:val="both"/>
              <w:rPr>
                <w:rFonts w:ascii="Arial" w:hAnsi="Arial" w:cs="Arial"/>
              </w:rPr>
            </w:pPr>
          </w:p>
        </w:tc>
      </w:tr>
      <w:tr w:rsidR="00BD1B7F" w:rsidRPr="00BD1B7F" w14:paraId="13422EB2" w14:textId="77777777" w:rsidTr="00BD1B7F">
        <w:trPr>
          <w:trHeight w:val="118"/>
        </w:trPr>
        <w:tc>
          <w:tcPr>
            <w:tcW w:w="1433" w:type="dxa"/>
            <w:tcBorders>
              <w:top w:val="single" w:sz="4" w:space="0" w:color="auto"/>
            </w:tcBorders>
          </w:tcPr>
          <w:p w14:paraId="3636B2E8" w14:textId="77777777" w:rsidR="00BD1B7F" w:rsidRPr="00BD1B7F" w:rsidRDefault="00BD1B7F" w:rsidP="00BD1B7F">
            <w:pPr>
              <w:spacing w:line="276" w:lineRule="auto"/>
              <w:jc w:val="both"/>
              <w:rPr>
                <w:rFonts w:ascii="Arial" w:hAnsi="Arial" w:cs="Arial"/>
              </w:rPr>
            </w:pPr>
            <w:r w:rsidRPr="00BD1B7F">
              <w:rPr>
                <w:rFonts w:ascii="Arial" w:hAnsi="Arial" w:cs="Arial"/>
              </w:rPr>
              <w:t>Barren land</w:t>
            </w:r>
          </w:p>
        </w:tc>
        <w:tc>
          <w:tcPr>
            <w:tcW w:w="841" w:type="dxa"/>
            <w:tcBorders>
              <w:top w:val="single" w:sz="4" w:space="0" w:color="auto"/>
            </w:tcBorders>
          </w:tcPr>
          <w:p w14:paraId="6B7A31DD" w14:textId="77777777" w:rsidR="00BD1B7F" w:rsidRPr="00BD1B7F" w:rsidRDefault="00BD1B7F" w:rsidP="00BD1B7F">
            <w:pPr>
              <w:spacing w:line="276" w:lineRule="auto"/>
              <w:jc w:val="both"/>
              <w:rPr>
                <w:rFonts w:ascii="Arial" w:hAnsi="Arial" w:cs="Arial"/>
              </w:rPr>
            </w:pPr>
            <w:r w:rsidRPr="00BD1B7F">
              <w:rPr>
                <w:rFonts w:ascii="Arial" w:hAnsi="Arial" w:cs="Arial"/>
              </w:rPr>
              <w:t>480</w:t>
            </w:r>
          </w:p>
        </w:tc>
        <w:tc>
          <w:tcPr>
            <w:tcW w:w="842" w:type="dxa"/>
            <w:tcBorders>
              <w:top w:val="single" w:sz="4" w:space="0" w:color="auto"/>
            </w:tcBorders>
          </w:tcPr>
          <w:p w14:paraId="49D7E558" w14:textId="77777777" w:rsidR="00BD1B7F" w:rsidRPr="00BD1B7F" w:rsidRDefault="00BD1B7F" w:rsidP="00BD1B7F">
            <w:pPr>
              <w:spacing w:line="276" w:lineRule="auto"/>
              <w:jc w:val="both"/>
              <w:rPr>
                <w:rFonts w:ascii="Arial" w:hAnsi="Arial" w:cs="Arial"/>
              </w:rPr>
            </w:pPr>
            <w:r w:rsidRPr="00BD1B7F">
              <w:rPr>
                <w:rFonts w:ascii="Arial" w:hAnsi="Arial" w:cs="Arial"/>
              </w:rPr>
              <w:t>14.41</w:t>
            </w:r>
          </w:p>
        </w:tc>
        <w:tc>
          <w:tcPr>
            <w:tcW w:w="1028" w:type="dxa"/>
            <w:tcBorders>
              <w:top w:val="single" w:sz="4" w:space="0" w:color="auto"/>
            </w:tcBorders>
          </w:tcPr>
          <w:p w14:paraId="7A8636C2" w14:textId="77777777" w:rsidR="00BD1B7F" w:rsidRPr="00BD1B7F" w:rsidRDefault="00BD1B7F" w:rsidP="00BD1B7F">
            <w:pPr>
              <w:spacing w:line="276" w:lineRule="auto"/>
              <w:jc w:val="both"/>
              <w:rPr>
                <w:rFonts w:ascii="Arial" w:hAnsi="Arial" w:cs="Arial"/>
              </w:rPr>
            </w:pPr>
            <w:r w:rsidRPr="00BD1B7F">
              <w:rPr>
                <w:rFonts w:ascii="Arial" w:hAnsi="Arial" w:cs="Arial"/>
              </w:rPr>
              <w:t>340</w:t>
            </w:r>
          </w:p>
        </w:tc>
        <w:tc>
          <w:tcPr>
            <w:tcW w:w="935" w:type="dxa"/>
            <w:tcBorders>
              <w:top w:val="single" w:sz="4" w:space="0" w:color="auto"/>
            </w:tcBorders>
          </w:tcPr>
          <w:p w14:paraId="09EFAFDC" w14:textId="77777777" w:rsidR="00BD1B7F" w:rsidRPr="00BD1B7F" w:rsidRDefault="00BD1B7F" w:rsidP="00BD1B7F">
            <w:pPr>
              <w:spacing w:line="276" w:lineRule="auto"/>
              <w:jc w:val="both"/>
              <w:rPr>
                <w:rFonts w:ascii="Arial" w:hAnsi="Arial" w:cs="Arial"/>
              </w:rPr>
            </w:pPr>
            <w:r w:rsidRPr="00BD1B7F">
              <w:rPr>
                <w:rFonts w:ascii="Arial" w:hAnsi="Arial" w:cs="Arial"/>
              </w:rPr>
              <w:t>10.21</w:t>
            </w:r>
          </w:p>
        </w:tc>
        <w:tc>
          <w:tcPr>
            <w:tcW w:w="935" w:type="dxa"/>
            <w:tcBorders>
              <w:top w:val="single" w:sz="4" w:space="0" w:color="auto"/>
            </w:tcBorders>
          </w:tcPr>
          <w:p w14:paraId="4B3A364E" w14:textId="77777777" w:rsidR="00BD1B7F" w:rsidRPr="00BD1B7F" w:rsidRDefault="00BD1B7F" w:rsidP="00BD1B7F">
            <w:pPr>
              <w:spacing w:line="276" w:lineRule="auto"/>
              <w:jc w:val="both"/>
              <w:rPr>
                <w:rFonts w:ascii="Arial" w:hAnsi="Arial" w:cs="Arial"/>
              </w:rPr>
            </w:pPr>
            <w:r w:rsidRPr="00BD1B7F">
              <w:rPr>
                <w:rFonts w:ascii="Arial" w:hAnsi="Arial" w:cs="Arial"/>
              </w:rPr>
              <w:t>-8.32</w:t>
            </w:r>
          </w:p>
        </w:tc>
      </w:tr>
      <w:tr w:rsidR="00BD1B7F" w:rsidRPr="00BD1B7F" w14:paraId="26972069" w14:textId="77777777" w:rsidTr="00BD1B7F">
        <w:trPr>
          <w:trHeight w:val="118"/>
        </w:trPr>
        <w:tc>
          <w:tcPr>
            <w:tcW w:w="1433" w:type="dxa"/>
          </w:tcPr>
          <w:p w14:paraId="6D062CC4" w14:textId="77777777" w:rsidR="00BD1B7F" w:rsidRPr="00BD1B7F" w:rsidRDefault="00BD1B7F" w:rsidP="00BD1B7F">
            <w:pPr>
              <w:spacing w:line="276" w:lineRule="auto"/>
              <w:jc w:val="both"/>
              <w:rPr>
                <w:rFonts w:ascii="Arial" w:hAnsi="Arial" w:cs="Arial"/>
              </w:rPr>
            </w:pPr>
            <w:r w:rsidRPr="00BD1B7F">
              <w:rPr>
                <w:rFonts w:ascii="Arial" w:hAnsi="Arial" w:cs="Arial"/>
              </w:rPr>
              <w:t>Fallow land</w:t>
            </w:r>
          </w:p>
        </w:tc>
        <w:tc>
          <w:tcPr>
            <w:tcW w:w="841" w:type="dxa"/>
          </w:tcPr>
          <w:p w14:paraId="20F04DB2" w14:textId="77777777" w:rsidR="00BD1B7F" w:rsidRPr="00BD1B7F" w:rsidRDefault="00BD1B7F" w:rsidP="00BD1B7F">
            <w:pPr>
              <w:spacing w:line="276" w:lineRule="auto"/>
              <w:jc w:val="both"/>
              <w:rPr>
                <w:rFonts w:ascii="Arial" w:hAnsi="Arial" w:cs="Arial"/>
              </w:rPr>
            </w:pPr>
            <w:r w:rsidRPr="00BD1B7F">
              <w:rPr>
                <w:rFonts w:ascii="Arial" w:hAnsi="Arial" w:cs="Arial"/>
              </w:rPr>
              <w:t>36.2</w:t>
            </w:r>
          </w:p>
        </w:tc>
        <w:tc>
          <w:tcPr>
            <w:tcW w:w="842" w:type="dxa"/>
          </w:tcPr>
          <w:p w14:paraId="3DE16E1F" w14:textId="77777777" w:rsidR="00BD1B7F" w:rsidRPr="00BD1B7F" w:rsidRDefault="00BD1B7F" w:rsidP="00BD1B7F">
            <w:pPr>
              <w:spacing w:line="276" w:lineRule="auto"/>
              <w:jc w:val="both"/>
              <w:rPr>
                <w:rFonts w:ascii="Arial" w:hAnsi="Arial" w:cs="Arial"/>
              </w:rPr>
            </w:pPr>
            <w:r w:rsidRPr="00BD1B7F">
              <w:rPr>
                <w:rFonts w:ascii="Arial" w:hAnsi="Arial" w:cs="Arial"/>
              </w:rPr>
              <w:t>1.09</w:t>
            </w:r>
          </w:p>
        </w:tc>
        <w:tc>
          <w:tcPr>
            <w:tcW w:w="1028" w:type="dxa"/>
          </w:tcPr>
          <w:p w14:paraId="0C4A678B" w14:textId="77777777" w:rsidR="00BD1B7F" w:rsidRPr="00BD1B7F" w:rsidRDefault="00BD1B7F" w:rsidP="00BD1B7F">
            <w:pPr>
              <w:spacing w:line="276" w:lineRule="auto"/>
              <w:jc w:val="both"/>
              <w:rPr>
                <w:rFonts w:ascii="Arial" w:hAnsi="Arial" w:cs="Arial"/>
              </w:rPr>
            </w:pPr>
            <w:r w:rsidRPr="00BD1B7F">
              <w:rPr>
                <w:rFonts w:ascii="Arial" w:hAnsi="Arial" w:cs="Arial"/>
              </w:rPr>
              <w:t>30</w:t>
            </w:r>
          </w:p>
        </w:tc>
        <w:tc>
          <w:tcPr>
            <w:tcW w:w="935" w:type="dxa"/>
          </w:tcPr>
          <w:p w14:paraId="1D72EF87" w14:textId="77777777" w:rsidR="00BD1B7F" w:rsidRPr="00BD1B7F" w:rsidRDefault="00BD1B7F" w:rsidP="00BD1B7F">
            <w:pPr>
              <w:spacing w:line="276" w:lineRule="auto"/>
              <w:jc w:val="both"/>
              <w:rPr>
                <w:rFonts w:ascii="Arial" w:hAnsi="Arial" w:cs="Arial"/>
              </w:rPr>
            </w:pPr>
            <w:r w:rsidRPr="00BD1B7F">
              <w:rPr>
                <w:rFonts w:ascii="Arial" w:hAnsi="Arial" w:cs="Arial"/>
              </w:rPr>
              <w:t>0.90</w:t>
            </w:r>
          </w:p>
        </w:tc>
        <w:tc>
          <w:tcPr>
            <w:tcW w:w="935" w:type="dxa"/>
          </w:tcPr>
          <w:p w14:paraId="5D5BD214" w14:textId="77777777" w:rsidR="00BD1B7F" w:rsidRPr="00BD1B7F" w:rsidRDefault="00BD1B7F" w:rsidP="00BD1B7F">
            <w:pPr>
              <w:spacing w:line="276" w:lineRule="auto"/>
              <w:jc w:val="both"/>
              <w:rPr>
                <w:rFonts w:ascii="Arial" w:hAnsi="Arial" w:cs="Arial"/>
              </w:rPr>
            </w:pPr>
            <w:r w:rsidRPr="00BD1B7F">
              <w:rPr>
                <w:rFonts w:ascii="Arial" w:hAnsi="Arial" w:cs="Arial"/>
              </w:rPr>
              <w:t>-27.52</w:t>
            </w:r>
          </w:p>
        </w:tc>
      </w:tr>
      <w:tr w:rsidR="00BD1B7F" w:rsidRPr="00BD1B7F" w14:paraId="7A7CD221" w14:textId="77777777" w:rsidTr="00BD1B7F">
        <w:trPr>
          <w:trHeight w:val="118"/>
        </w:trPr>
        <w:tc>
          <w:tcPr>
            <w:tcW w:w="1433" w:type="dxa"/>
          </w:tcPr>
          <w:p w14:paraId="0EC31924" w14:textId="77777777" w:rsidR="00BD1B7F" w:rsidRPr="00BD1B7F" w:rsidRDefault="00BD1B7F" w:rsidP="00BD1B7F">
            <w:pPr>
              <w:spacing w:line="276" w:lineRule="auto"/>
              <w:jc w:val="both"/>
              <w:rPr>
                <w:rFonts w:ascii="Arial" w:hAnsi="Arial" w:cs="Arial"/>
              </w:rPr>
            </w:pPr>
            <w:r w:rsidRPr="00BD1B7F">
              <w:rPr>
                <w:rFonts w:ascii="Arial" w:hAnsi="Arial" w:cs="Arial"/>
              </w:rPr>
              <w:t>Forest land</w:t>
            </w:r>
          </w:p>
        </w:tc>
        <w:tc>
          <w:tcPr>
            <w:tcW w:w="841" w:type="dxa"/>
          </w:tcPr>
          <w:p w14:paraId="6DA82802" w14:textId="77777777" w:rsidR="00BD1B7F" w:rsidRPr="00BD1B7F" w:rsidRDefault="00BD1B7F" w:rsidP="00BD1B7F">
            <w:pPr>
              <w:spacing w:line="276" w:lineRule="auto"/>
              <w:jc w:val="both"/>
              <w:rPr>
                <w:rFonts w:ascii="Arial" w:hAnsi="Arial" w:cs="Arial"/>
              </w:rPr>
            </w:pPr>
            <w:r w:rsidRPr="00BD1B7F">
              <w:rPr>
                <w:rFonts w:ascii="Arial" w:hAnsi="Arial" w:cs="Arial"/>
              </w:rPr>
              <w:t>1150</w:t>
            </w:r>
          </w:p>
        </w:tc>
        <w:tc>
          <w:tcPr>
            <w:tcW w:w="842" w:type="dxa"/>
          </w:tcPr>
          <w:p w14:paraId="6713BBD3" w14:textId="77777777" w:rsidR="00BD1B7F" w:rsidRPr="00BD1B7F" w:rsidRDefault="00BD1B7F" w:rsidP="00BD1B7F">
            <w:pPr>
              <w:spacing w:line="276" w:lineRule="auto"/>
              <w:jc w:val="both"/>
              <w:rPr>
                <w:rFonts w:ascii="Arial" w:hAnsi="Arial" w:cs="Arial"/>
              </w:rPr>
            </w:pPr>
            <w:r w:rsidRPr="00BD1B7F">
              <w:rPr>
                <w:rFonts w:ascii="Arial" w:hAnsi="Arial" w:cs="Arial"/>
              </w:rPr>
              <w:t>34.52</w:t>
            </w:r>
          </w:p>
        </w:tc>
        <w:tc>
          <w:tcPr>
            <w:tcW w:w="1028" w:type="dxa"/>
          </w:tcPr>
          <w:p w14:paraId="7B198B74" w14:textId="77777777" w:rsidR="00BD1B7F" w:rsidRPr="00BD1B7F" w:rsidRDefault="00BD1B7F" w:rsidP="00BD1B7F">
            <w:pPr>
              <w:spacing w:line="276" w:lineRule="auto"/>
              <w:jc w:val="both"/>
              <w:rPr>
                <w:rFonts w:ascii="Arial" w:hAnsi="Arial" w:cs="Arial"/>
              </w:rPr>
            </w:pPr>
            <w:r w:rsidRPr="00BD1B7F">
              <w:rPr>
                <w:rFonts w:ascii="Arial" w:hAnsi="Arial" w:cs="Arial"/>
              </w:rPr>
              <w:t>1000</w:t>
            </w:r>
          </w:p>
        </w:tc>
        <w:tc>
          <w:tcPr>
            <w:tcW w:w="935" w:type="dxa"/>
          </w:tcPr>
          <w:p w14:paraId="1E07E05F" w14:textId="77777777" w:rsidR="00BD1B7F" w:rsidRPr="00BD1B7F" w:rsidRDefault="00BD1B7F" w:rsidP="00BD1B7F">
            <w:pPr>
              <w:spacing w:line="276" w:lineRule="auto"/>
              <w:jc w:val="both"/>
              <w:rPr>
                <w:rFonts w:ascii="Arial" w:hAnsi="Arial" w:cs="Arial"/>
              </w:rPr>
            </w:pPr>
            <w:r w:rsidRPr="00BD1B7F">
              <w:rPr>
                <w:rFonts w:ascii="Arial" w:hAnsi="Arial" w:cs="Arial"/>
              </w:rPr>
              <w:t>30.02</w:t>
            </w:r>
          </w:p>
        </w:tc>
        <w:tc>
          <w:tcPr>
            <w:tcW w:w="935" w:type="dxa"/>
          </w:tcPr>
          <w:p w14:paraId="2F376079" w14:textId="77777777" w:rsidR="00BD1B7F" w:rsidRPr="00BD1B7F" w:rsidRDefault="00BD1B7F" w:rsidP="00BD1B7F">
            <w:pPr>
              <w:spacing w:line="276" w:lineRule="auto"/>
              <w:jc w:val="both"/>
              <w:rPr>
                <w:rFonts w:ascii="Arial" w:hAnsi="Arial" w:cs="Arial"/>
              </w:rPr>
            </w:pPr>
            <w:r w:rsidRPr="00BD1B7F">
              <w:rPr>
                <w:rFonts w:ascii="Arial" w:hAnsi="Arial" w:cs="Arial"/>
              </w:rPr>
              <w:t>-13.03</w:t>
            </w:r>
          </w:p>
        </w:tc>
      </w:tr>
      <w:tr w:rsidR="00BD1B7F" w:rsidRPr="00BD1B7F" w14:paraId="758808B4" w14:textId="77777777" w:rsidTr="00BD1B7F">
        <w:trPr>
          <w:trHeight w:val="118"/>
        </w:trPr>
        <w:tc>
          <w:tcPr>
            <w:tcW w:w="1433" w:type="dxa"/>
          </w:tcPr>
          <w:p w14:paraId="21962377" w14:textId="77777777" w:rsidR="00BD1B7F" w:rsidRPr="00BD1B7F" w:rsidRDefault="00BD1B7F" w:rsidP="00BD1B7F">
            <w:pPr>
              <w:spacing w:line="276" w:lineRule="auto"/>
              <w:jc w:val="both"/>
              <w:rPr>
                <w:rFonts w:ascii="Arial" w:hAnsi="Arial" w:cs="Arial"/>
              </w:rPr>
            </w:pPr>
            <w:r w:rsidRPr="00BD1B7F">
              <w:rPr>
                <w:rFonts w:ascii="Arial" w:hAnsi="Arial" w:cs="Arial"/>
              </w:rPr>
              <w:t>Agriculture</w:t>
            </w:r>
          </w:p>
        </w:tc>
        <w:tc>
          <w:tcPr>
            <w:tcW w:w="841" w:type="dxa"/>
          </w:tcPr>
          <w:p w14:paraId="17DB603A" w14:textId="77777777" w:rsidR="00BD1B7F" w:rsidRPr="00BD1B7F" w:rsidRDefault="00BD1B7F" w:rsidP="00BD1B7F">
            <w:pPr>
              <w:spacing w:line="276" w:lineRule="auto"/>
              <w:jc w:val="both"/>
              <w:rPr>
                <w:rFonts w:ascii="Arial" w:hAnsi="Arial" w:cs="Arial"/>
              </w:rPr>
            </w:pPr>
            <w:r w:rsidRPr="00BD1B7F">
              <w:rPr>
                <w:rFonts w:ascii="Arial" w:hAnsi="Arial" w:cs="Arial"/>
              </w:rPr>
              <w:t>1200</w:t>
            </w:r>
          </w:p>
        </w:tc>
        <w:tc>
          <w:tcPr>
            <w:tcW w:w="842" w:type="dxa"/>
          </w:tcPr>
          <w:p w14:paraId="56075C4C" w14:textId="77777777" w:rsidR="00BD1B7F" w:rsidRPr="00BD1B7F" w:rsidRDefault="00BD1B7F" w:rsidP="00BD1B7F">
            <w:pPr>
              <w:spacing w:line="276" w:lineRule="auto"/>
              <w:jc w:val="both"/>
              <w:rPr>
                <w:rFonts w:ascii="Arial" w:hAnsi="Arial" w:cs="Arial"/>
              </w:rPr>
            </w:pPr>
            <w:r w:rsidRPr="00BD1B7F">
              <w:rPr>
                <w:rFonts w:ascii="Arial" w:hAnsi="Arial" w:cs="Arial"/>
              </w:rPr>
              <w:t>36.03</w:t>
            </w:r>
          </w:p>
        </w:tc>
        <w:tc>
          <w:tcPr>
            <w:tcW w:w="1028" w:type="dxa"/>
          </w:tcPr>
          <w:p w14:paraId="736CB788" w14:textId="77777777" w:rsidR="00BD1B7F" w:rsidRPr="00BD1B7F" w:rsidRDefault="00BD1B7F" w:rsidP="00BD1B7F">
            <w:pPr>
              <w:spacing w:line="276" w:lineRule="auto"/>
              <w:jc w:val="both"/>
              <w:rPr>
                <w:rFonts w:ascii="Arial" w:hAnsi="Arial" w:cs="Arial"/>
              </w:rPr>
            </w:pPr>
            <w:r w:rsidRPr="00BD1B7F">
              <w:rPr>
                <w:rFonts w:ascii="Arial" w:hAnsi="Arial" w:cs="Arial"/>
              </w:rPr>
              <w:t>1380</w:t>
            </w:r>
          </w:p>
        </w:tc>
        <w:tc>
          <w:tcPr>
            <w:tcW w:w="935" w:type="dxa"/>
          </w:tcPr>
          <w:p w14:paraId="2CC9DA23" w14:textId="77777777" w:rsidR="00BD1B7F" w:rsidRPr="00BD1B7F" w:rsidRDefault="00BD1B7F" w:rsidP="00BD1B7F">
            <w:pPr>
              <w:spacing w:line="276" w:lineRule="auto"/>
              <w:jc w:val="both"/>
              <w:rPr>
                <w:rFonts w:ascii="Arial" w:hAnsi="Arial" w:cs="Arial"/>
              </w:rPr>
            </w:pPr>
            <w:r w:rsidRPr="00BD1B7F">
              <w:rPr>
                <w:rFonts w:ascii="Arial" w:hAnsi="Arial" w:cs="Arial"/>
              </w:rPr>
              <w:t>41.44</w:t>
            </w:r>
          </w:p>
        </w:tc>
        <w:tc>
          <w:tcPr>
            <w:tcW w:w="935" w:type="dxa"/>
          </w:tcPr>
          <w:p w14:paraId="56C242C3" w14:textId="77777777" w:rsidR="00BD1B7F" w:rsidRPr="00BD1B7F" w:rsidRDefault="00BD1B7F" w:rsidP="00BD1B7F">
            <w:pPr>
              <w:spacing w:line="276" w:lineRule="auto"/>
              <w:jc w:val="both"/>
              <w:rPr>
                <w:rFonts w:ascii="Arial" w:hAnsi="Arial" w:cs="Arial"/>
              </w:rPr>
            </w:pPr>
            <w:r w:rsidRPr="00BD1B7F">
              <w:rPr>
                <w:rFonts w:ascii="Arial" w:hAnsi="Arial" w:cs="Arial"/>
              </w:rPr>
              <w:t>15.01</w:t>
            </w:r>
          </w:p>
        </w:tc>
      </w:tr>
      <w:tr w:rsidR="00BD1B7F" w:rsidRPr="00BD1B7F" w14:paraId="73CB3707" w14:textId="77777777" w:rsidTr="00BD1B7F">
        <w:trPr>
          <w:trHeight w:val="118"/>
        </w:trPr>
        <w:tc>
          <w:tcPr>
            <w:tcW w:w="1433" w:type="dxa"/>
          </w:tcPr>
          <w:p w14:paraId="7EC2E7BC" w14:textId="77777777" w:rsidR="00BD1B7F" w:rsidRPr="00BD1B7F" w:rsidRDefault="00BD1B7F" w:rsidP="00BD1B7F">
            <w:pPr>
              <w:spacing w:line="276" w:lineRule="auto"/>
              <w:jc w:val="both"/>
              <w:rPr>
                <w:rFonts w:ascii="Arial" w:hAnsi="Arial" w:cs="Arial"/>
              </w:rPr>
            </w:pPr>
            <w:r w:rsidRPr="00BD1B7F">
              <w:rPr>
                <w:rFonts w:ascii="Arial" w:hAnsi="Arial" w:cs="Arial"/>
              </w:rPr>
              <w:t>Built-up</w:t>
            </w:r>
          </w:p>
        </w:tc>
        <w:tc>
          <w:tcPr>
            <w:tcW w:w="841" w:type="dxa"/>
          </w:tcPr>
          <w:p w14:paraId="16410B5D" w14:textId="77777777" w:rsidR="00BD1B7F" w:rsidRPr="00BD1B7F" w:rsidRDefault="00BD1B7F" w:rsidP="00BD1B7F">
            <w:pPr>
              <w:spacing w:line="276" w:lineRule="auto"/>
              <w:jc w:val="both"/>
              <w:rPr>
                <w:rFonts w:ascii="Arial" w:hAnsi="Arial" w:cs="Arial"/>
              </w:rPr>
            </w:pPr>
            <w:r w:rsidRPr="00BD1B7F">
              <w:rPr>
                <w:rFonts w:ascii="Arial" w:hAnsi="Arial" w:cs="Arial"/>
              </w:rPr>
              <w:t>162</w:t>
            </w:r>
          </w:p>
        </w:tc>
        <w:tc>
          <w:tcPr>
            <w:tcW w:w="842" w:type="dxa"/>
          </w:tcPr>
          <w:p w14:paraId="585DB032" w14:textId="77777777" w:rsidR="00BD1B7F" w:rsidRPr="00BD1B7F" w:rsidRDefault="00BD1B7F" w:rsidP="00BD1B7F">
            <w:pPr>
              <w:spacing w:line="276" w:lineRule="auto"/>
              <w:jc w:val="both"/>
              <w:rPr>
                <w:rFonts w:ascii="Arial" w:hAnsi="Arial" w:cs="Arial"/>
              </w:rPr>
            </w:pPr>
            <w:r w:rsidRPr="00BD1B7F">
              <w:rPr>
                <w:rFonts w:ascii="Arial" w:hAnsi="Arial" w:cs="Arial"/>
              </w:rPr>
              <w:t>4.86</w:t>
            </w:r>
          </w:p>
        </w:tc>
        <w:tc>
          <w:tcPr>
            <w:tcW w:w="1028" w:type="dxa"/>
          </w:tcPr>
          <w:p w14:paraId="1D3D5DF6" w14:textId="77777777" w:rsidR="00BD1B7F" w:rsidRPr="00BD1B7F" w:rsidRDefault="00BD1B7F" w:rsidP="00BD1B7F">
            <w:pPr>
              <w:spacing w:line="276" w:lineRule="auto"/>
              <w:jc w:val="both"/>
              <w:rPr>
                <w:rFonts w:ascii="Arial" w:hAnsi="Arial" w:cs="Arial"/>
              </w:rPr>
            </w:pPr>
            <w:r w:rsidRPr="00BD1B7F">
              <w:rPr>
                <w:rFonts w:ascii="Arial" w:hAnsi="Arial" w:cs="Arial"/>
              </w:rPr>
              <w:t>199.26</w:t>
            </w:r>
          </w:p>
        </w:tc>
        <w:tc>
          <w:tcPr>
            <w:tcW w:w="935" w:type="dxa"/>
          </w:tcPr>
          <w:p w14:paraId="564A5A24" w14:textId="77777777" w:rsidR="00BD1B7F" w:rsidRPr="00BD1B7F" w:rsidRDefault="00BD1B7F" w:rsidP="00BD1B7F">
            <w:pPr>
              <w:spacing w:line="276" w:lineRule="auto"/>
              <w:jc w:val="both"/>
              <w:rPr>
                <w:rFonts w:ascii="Arial" w:hAnsi="Arial" w:cs="Arial"/>
              </w:rPr>
            </w:pPr>
            <w:r w:rsidRPr="00BD1B7F">
              <w:rPr>
                <w:rFonts w:ascii="Arial" w:hAnsi="Arial" w:cs="Arial"/>
              </w:rPr>
              <w:t>5.98</w:t>
            </w:r>
          </w:p>
        </w:tc>
        <w:tc>
          <w:tcPr>
            <w:tcW w:w="935" w:type="dxa"/>
          </w:tcPr>
          <w:p w14:paraId="7D71049F" w14:textId="77777777" w:rsidR="00BD1B7F" w:rsidRPr="00BD1B7F" w:rsidRDefault="00BD1B7F" w:rsidP="00BD1B7F">
            <w:pPr>
              <w:spacing w:line="276" w:lineRule="auto"/>
              <w:jc w:val="both"/>
              <w:rPr>
                <w:rFonts w:ascii="Arial" w:hAnsi="Arial" w:cs="Arial"/>
              </w:rPr>
            </w:pPr>
            <w:r w:rsidRPr="00BD1B7F">
              <w:rPr>
                <w:rFonts w:ascii="Arial" w:hAnsi="Arial" w:cs="Arial"/>
              </w:rPr>
              <w:t>5.76</w:t>
            </w:r>
          </w:p>
        </w:tc>
      </w:tr>
      <w:tr w:rsidR="00BD1B7F" w:rsidRPr="00BD1B7F" w14:paraId="1EF6A81C" w14:textId="77777777" w:rsidTr="00BD1B7F">
        <w:trPr>
          <w:trHeight w:val="118"/>
        </w:trPr>
        <w:tc>
          <w:tcPr>
            <w:tcW w:w="1433" w:type="dxa"/>
            <w:tcBorders>
              <w:bottom w:val="single" w:sz="4" w:space="0" w:color="auto"/>
            </w:tcBorders>
          </w:tcPr>
          <w:p w14:paraId="560AFDB4" w14:textId="77777777" w:rsidR="00BD1B7F" w:rsidRPr="00BD1B7F" w:rsidRDefault="00BD1B7F" w:rsidP="00BD1B7F">
            <w:pPr>
              <w:spacing w:line="276" w:lineRule="auto"/>
              <w:jc w:val="both"/>
              <w:rPr>
                <w:rFonts w:ascii="Arial" w:hAnsi="Arial" w:cs="Arial"/>
              </w:rPr>
            </w:pPr>
            <w:r w:rsidRPr="00BD1B7F">
              <w:rPr>
                <w:rFonts w:ascii="Arial" w:hAnsi="Arial" w:cs="Arial"/>
              </w:rPr>
              <w:t>Water body</w:t>
            </w:r>
          </w:p>
        </w:tc>
        <w:tc>
          <w:tcPr>
            <w:tcW w:w="841" w:type="dxa"/>
            <w:tcBorders>
              <w:bottom w:val="single" w:sz="4" w:space="0" w:color="auto"/>
            </w:tcBorders>
          </w:tcPr>
          <w:p w14:paraId="7EB3CD76" w14:textId="77777777" w:rsidR="00BD1B7F" w:rsidRPr="00BD1B7F" w:rsidRDefault="00BD1B7F" w:rsidP="00BD1B7F">
            <w:pPr>
              <w:spacing w:line="276" w:lineRule="auto"/>
              <w:jc w:val="both"/>
              <w:rPr>
                <w:rFonts w:ascii="Arial" w:hAnsi="Arial" w:cs="Arial"/>
              </w:rPr>
            </w:pPr>
            <w:r w:rsidRPr="00BD1B7F">
              <w:rPr>
                <w:rFonts w:ascii="Arial" w:hAnsi="Arial" w:cs="Arial"/>
              </w:rPr>
              <w:t>192.4</w:t>
            </w:r>
          </w:p>
        </w:tc>
        <w:tc>
          <w:tcPr>
            <w:tcW w:w="842" w:type="dxa"/>
            <w:tcBorders>
              <w:bottom w:val="single" w:sz="4" w:space="0" w:color="auto"/>
            </w:tcBorders>
          </w:tcPr>
          <w:p w14:paraId="52DE175C" w14:textId="77777777" w:rsidR="00BD1B7F" w:rsidRPr="00BD1B7F" w:rsidRDefault="00BD1B7F" w:rsidP="00BD1B7F">
            <w:pPr>
              <w:spacing w:line="276" w:lineRule="auto"/>
              <w:jc w:val="both"/>
              <w:rPr>
                <w:rFonts w:ascii="Arial" w:hAnsi="Arial" w:cs="Arial"/>
              </w:rPr>
            </w:pPr>
            <w:r w:rsidRPr="00BD1B7F">
              <w:rPr>
                <w:rFonts w:ascii="Arial" w:hAnsi="Arial" w:cs="Arial"/>
              </w:rPr>
              <w:t>5.78</w:t>
            </w:r>
          </w:p>
        </w:tc>
        <w:tc>
          <w:tcPr>
            <w:tcW w:w="1028" w:type="dxa"/>
            <w:tcBorders>
              <w:bottom w:val="single" w:sz="4" w:space="0" w:color="auto"/>
            </w:tcBorders>
          </w:tcPr>
          <w:p w14:paraId="2D33090D" w14:textId="77777777" w:rsidR="00BD1B7F" w:rsidRPr="00BD1B7F" w:rsidRDefault="00BD1B7F" w:rsidP="00BD1B7F">
            <w:pPr>
              <w:spacing w:line="276" w:lineRule="auto"/>
              <w:jc w:val="both"/>
              <w:rPr>
                <w:rFonts w:ascii="Arial" w:hAnsi="Arial" w:cs="Arial"/>
              </w:rPr>
            </w:pPr>
            <w:r w:rsidRPr="00BD1B7F">
              <w:rPr>
                <w:rFonts w:ascii="Arial" w:hAnsi="Arial" w:cs="Arial"/>
              </w:rPr>
              <w:t>181.44</w:t>
            </w:r>
          </w:p>
        </w:tc>
        <w:tc>
          <w:tcPr>
            <w:tcW w:w="935" w:type="dxa"/>
            <w:tcBorders>
              <w:bottom w:val="single" w:sz="4" w:space="0" w:color="auto"/>
            </w:tcBorders>
          </w:tcPr>
          <w:p w14:paraId="19EF0F64" w14:textId="77777777" w:rsidR="00BD1B7F" w:rsidRPr="00BD1B7F" w:rsidRDefault="00BD1B7F" w:rsidP="00BD1B7F">
            <w:pPr>
              <w:spacing w:line="276" w:lineRule="auto"/>
              <w:jc w:val="both"/>
              <w:rPr>
                <w:rFonts w:ascii="Arial" w:hAnsi="Arial" w:cs="Arial"/>
              </w:rPr>
            </w:pPr>
            <w:r w:rsidRPr="00BD1B7F">
              <w:rPr>
                <w:rFonts w:ascii="Arial" w:hAnsi="Arial" w:cs="Arial"/>
              </w:rPr>
              <w:t>5.45</w:t>
            </w:r>
          </w:p>
        </w:tc>
        <w:tc>
          <w:tcPr>
            <w:tcW w:w="935" w:type="dxa"/>
            <w:tcBorders>
              <w:bottom w:val="single" w:sz="4" w:space="0" w:color="auto"/>
            </w:tcBorders>
          </w:tcPr>
          <w:p w14:paraId="032E36BD" w14:textId="77777777" w:rsidR="00BD1B7F" w:rsidRPr="00BD1B7F" w:rsidRDefault="00BD1B7F" w:rsidP="00BD1B7F">
            <w:pPr>
              <w:spacing w:line="276" w:lineRule="auto"/>
              <w:jc w:val="both"/>
              <w:rPr>
                <w:rFonts w:ascii="Arial" w:hAnsi="Arial" w:cs="Arial"/>
              </w:rPr>
            </w:pPr>
            <w:r w:rsidRPr="00BD1B7F">
              <w:rPr>
                <w:rFonts w:ascii="Arial" w:hAnsi="Arial" w:cs="Arial"/>
              </w:rPr>
              <w:t>-5.70</w:t>
            </w:r>
          </w:p>
        </w:tc>
      </w:tr>
    </w:tbl>
    <w:p w14:paraId="52573783" w14:textId="77777777" w:rsidR="005C1504" w:rsidRPr="00BD1B7F" w:rsidRDefault="005C1504" w:rsidP="007447F7">
      <w:pPr>
        <w:spacing w:line="276" w:lineRule="auto"/>
        <w:jc w:val="both"/>
        <w:rPr>
          <w:rFonts w:ascii="Arial" w:hAnsi="Arial" w:cs="Arial"/>
        </w:rPr>
      </w:pPr>
    </w:p>
    <w:p w14:paraId="5D8B9140" w14:textId="77777777" w:rsidR="005C1504" w:rsidRPr="00BD1B7F" w:rsidRDefault="005C1504" w:rsidP="007447F7">
      <w:pPr>
        <w:spacing w:line="276" w:lineRule="auto"/>
        <w:jc w:val="both"/>
        <w:rPr>
          <w:rFonts w:ascii="Arial" w:hAnsi="Arial" w:cs="Arial"/>
        </w:rPr>
      </w:pPr>
    </w:p>
    <w:p w14:paraId="731224DA" w14:textId="77777777" w:rsidR="005C1504" w:rsidRPr="00BD1B7F" w:rsidRDefault="005C1504" w:rsidP="007447F7">
      <w:pPr>
        <w:spacing w:line="276" w:lineRule="auto"/>
        <w:jc w:val="both"/>
        <w:rPr>
          <w:rFonts w:ascii="Arial" w:hAnsi="Arial" w:cs="Arial"/>
        </w:rPr>
      </w:pPr>
    </w:p>
    <w:p w14:paraId="5A21523C" w14:textId="77777777" w:rsidR="005C1504" w:rsidRPr="00BD1B7F" w:rsidRDefault="005C1504" w:rsidP="007447F7">
      <w:pPr>
        <w:spacing w:line="276" w:lineRule="auto"/>
        <w:jc w:val="both"/>
        <w:rPr>
          <w:rFonts w:ascii="Arial" w:hAnsi="Arial" w:cs="Arial"/>
        </w:rPr>
      </w:pPr>
    </w:p>
    <w:p w14:paraId="3C839272" w14:textId="77777777" w:rsidR="005C1504" w:rsidRPr="00BD1B7F" w:rsidRDefault="005C1504" w:rsidP="007447F7">
      <w:pPr>
        <w:spacing w:line="276" w:lineRule="auto"/>
        <w:jc w:val="both"/>
        <w:rPr>
          <w:rFonts w:ascii="Arial" w:hAnsi="Arial" w:cs="Arial"/>
        </w:rPr>
      </w:pPr>
    </w:p>
    <w:p w14:paraId="7561963B" w14:textId="77777777" w:rsidR="00A577E9" w:rsidRPr="00BD1B7F" w:rsidRDefault="00A577E9" w:rsidP="007447F7">
      <w:pPr>
        <w:spacing w:line="276" w:lineRule="auto"/>
        <w:jc w:val="both"/>
        <w:rPr>
          <w:rFonts w:ascii="Arial" w:hAnsi="Arial" w:cs="Arial"/>
        </w:rPr>
      </w:pPr>
    </w:p>
    <w:p w14:paraId="365A4690" w14:textId="77777777" w:rsidR="00BD1B7F" w:rsidRPr="00BD1B7F" w:rsidRDefault="00BD1B7F" w:rsidP="007447F7">
      <w:pPr>
        <w:spacing w:line="276" w:lineRule="auto"/>
        <w:jc w:val="center"/>
        <w:rPr>
          <w:rFonts w:ascii="Arial" w:hAnsi="Arial" w:cs="Arial"/>
          <w:b/>
          <w:bCs/>
          <w:sz w:val="20"/>
          <w:szCs w:val="20"/>
        </w:rPr>
      </w:pPr>
    </w:p>
    <w:p w14:paraId="3CD35D12" w14:textId="77777777" w:rsidR="00BD1B7F" w:rsidRDefault="00BD1B7F" w:rsidP="007447F7">
      <w:pPr>
        <w:spacing w:line="276" w:lineRule="auto"/>
        <w:jc w:val="center"/>
        <w:rPr>
          <w:rFonts w:ascii="Arial" w:hAnsi="Arial" w:cs="Arial"/>
          <w:b/>
          <w:bCs/>
          <w:sz w:val="20"/>
          <w:szCs w:val="20"/>
        </w:rPr>
      </w:pPr>
    </w:p>
    <w:p w14:paraId="6CFE54BD" w14:textId="77777777" w:rsidR="00BD1B7F" w:rsidRDefault="00BD1B7F" w:rsidP="007447F7">
      <w:pPr>
        <w:spacing w:line="276" w:lineRule="auto"/>
        <w:jc w:val="center"/>
        <w:rPr>
          <w:rFonts w:ascii="Arial" w:hAnsi="Arial" w:cs="Arial"/>
          <w:b/>
          <w:bCs/>
          <w:sz w:val="20"/>
          <w:szCs w:val="20"/>
        </w:rPr>
      </w:pPr>
    </w:p>
    <w:p w14:paraId="1CD787A4" w14:textId="77777777" w:rsidR="00BD1B7F" w:rsidRDefault="00BD1B7F" w:rsidP="007447F7">
      <w:pPr>
        <w:spacing w:line="276" w:lineRule="auto"/>
        <w:jc w:val="center"/>
        <w:rPr>
          <w:rFonts w:ascii="Arial" w:hAnsi="Arial" w:cs="Arial"/>
          <w:b/>
          <w:bCs/>
          <w:sz w:val="20"/>
          <w:szCs w:val="20"/>
        </w:rPr>
      </w:pPr>
    </w:p>
    <w:p w14:paraId="0596AAAC" w14:textId="7405C806" w:rsidR="00A577E9"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Table 3: Variation of runoff in 1991 and 2021</w:t>
      </w:r>
    </w:p>
    <w:tbl>
      <w:tblPr>
        <w:tblpPr w:leftFromText="180" w:rightFromText="180" w:vertAnchor="text" w:horzAnchor="margin" w:tblpXSpec="center" w:tblpY="-81"/>
        <w:tblW w:w="6816" w:type="dxa"/>
        <w:tblLayout w:type="fixed"/>
        <w:tblLook w:val="0000" w:firstRow="0" w:lastRow="0" w:firstColumn="0" w:lastColumn="0" w:noHBand="0" w:noVBand="0"/>
      </w:tblPr>
      <w:tblGrid>
        <w:gridCol w:w="1503"/>
        <w:gridCol w:w="2613"/>
        <w:gridCol w:w="2700"/>
      </w:tblGrid>
      <w:tr w:rsidR="0003608A" w:rsidRPr="00BD1B7F" w14:paraId="06B62EBB" w14:textId="77777777" w:rsidTr="0003608A">
        <w:trPr>
          <w:trHeight w:val="261"/>
        </w:trPr>
        <w:tc>
          <w:tcPr>
            <w:tcW w:w="1503" w:type="dxa"/>
            <w:tcBorders>
              <w:top w:val="single" w:sz="4" w:space="0" w:color="auto"/>
              <w:bottom w:val="single" w:sz="4" w:space="0" w:color="auto"/>
            </w:tcBorders>
          </w:tcPr>
          <w:p w14:paraId="5A326357" w14:textId="77777777" w:rsidR="0003608A" w:rsidRPr="00BD1B7F" w:rsidRDefault="0003608A" w:rsidP="0003608A">
            <w:pPr>
              <w:spacing w:line="276" w:lineRule="auto"/>
              <w:rPr>
                <w:rFonts w:ascii="Arial" w:hAnsi="Arial" w:cs="Arial"/>
              </w:rPr>
            </w:pPr>
            <w:r w:rsidRPr="00BD1B7F">
              <w:rPr>
                <w:rFonts w:ascii="Arial" w:hAnsi="Arial" w:cs="Arial"/>
              </w:rPr>
              <w:t>Month</w:t>
            </w:r>
          </w:p>
        </w:tc>
        <w:tc>
          <w:tcPr>
            <w:tcW w:w="2613" w:type="dxa"/>
            <w:tcBorders>
              <w:top w:val="single" w:sz="4" w:space="0" w:color="auto"/>
              <w:bottom w:val="single" w:sz="4" w:space="0" w:color="auto"/>
            </w:tcBorders>
          </w:tcPr>
          <w:p w14:paraId="5A19DFB0" w14:textId="77777777" w:rsidR="0003608A" w:rsidRPr="00BD1B7F" w:rsidRDefault="0003608A" w:rsidP="0003608A">
            <w:pPr>
              <w:spacing w:line="276" w:lineRule="auto"/>
              <w:jc w:val="both"/>
              <w:rPr>
                <w:rFonts w:ascii="Arial" w:hAnsi="Arial" w:cs="Arial"/>
              </w:rPr>
            </w:pPr>
            <w:r w:rsidRPr="00BD1B7F">
              <w:rPr>
                <w:rFonts w:ascii="Arial" w:hAnsi="Arial" w:cs="Arial"/>
              </w:rPr>
              <w:t>Runoff (</w:t>
            </w:r>
            <w:proofErr w:type="spellStart"/>
            <w:r w:rsidRPr="00BD1B7F">
              <w:rPr>
                <w:rFonts w:ascii="Arial" w:hAnsi="Arial" w:cs="Arial"/>
              </w:rPr>
              <w:t>cumecs</w:t>
            </w:r>
            <w:proofErr w:type="spellEnd"/>
            <w:r w:rsidRPr="00BD1B7F">
              <w:rPr>
                <w:rFonts w:ascii="Arial" w:hAnsi="Arial" w:cs="Arial"/>
              </w:rPr>
              <w:t xml:space="preserve">) 1991 </w:t>
            </w:r>
          </w:p>
        </w:tc>
        <w:tc>
          <w:tcPr>
            <w:tcW w:w="2700" w:type="dxa"/>
            <w:tcBorders>
              <w:top w:val="single" w:sz="4" w:space="0" w:color="auto"/>
              <w:bottom w:val="single" w:sz="4" w:space="0" w:color="auto"/>
            </w:tcBorders>
          </w:tcPr>
          <w:p w14:paraId="2DA75009" w14:textId="77777777" w:rsidR="0003608A" w:rsidRPr="00BD1B7F" w:rsidRDefault="0003608A" w:rsidP="0003608A">
            <w:pPr>
              <w:spacing w:line="276" w:lineRule="auto"/>
              <w:jc w:val="both"/>
              <w:rPr>
                <w:rFonts w:ascii="Arial" w:hAnsi="Arial" w:cs="Arial"/>
              </w:rPr>
            </w:pPr>
            <w:r w:rsidRPr="00BD1B7F">
              <w:rPr>
                <w:rFonts w:ascii="Arial" w:hAnsi="Arial" w:cs="Arial"/>
              </w:rPr>
              <w:t>Runoff (</w:t>
            </w:r>
            <w:proofErr w:type="spellStart"/>
            <w:r w:rsidRPr="00BD1B7F">
              <w:rPr>
                <w:rFonts w:ascii="Arial" w:hAnsi="Arial" w:cs="Arial"/>
              </w:rPr>
              <w:t>cumecs</w:t>
            </w:r>
            <w:proofErr w:type="spellEnd"/>
            <w:r w:rsidRPr="00BD1B7F">
              <w:rPr>
                <w:rFonts w:ascii="Arial" w:hAnsi="Arial" w:cs="Arial"/>
              </w:rPr>
              <w:t xml:space="preserve">) 2021 </w:t>
            </w:r>
          </w:p>
        </w:tc>
      </w:tr>
      <w:tr w:rsidR="0003608A" w:rsidRPr="00BD1B7F" w14:paraId="76BC8830" w14:textId="77777777" w:rsidTr="0003608A">
        <w:trPr>
          <w:trHeight w:val="183"/>
        </w:trPr>
        <w:tc>
          <w:tcPr>
            <w:tcW w:w="1503" w:type="dxa"/>
            <w:tcBorders>
              <w:top w:val="single" w:sz="4" w:space="0" w:color="auto"/>
            </w:tcBorders>
          </w:tcPr>
          <w:p w14:paraId="162B7E06" w14:textId="77777777" w:rsidR="0003608A" w:rsidRPr="00BD1B7F" w:rsidRDefault="0003608A" w:rsidP="0003608A">
            <w:pPr>
              <w:spacing w:line="276" w:lineRule="auto"/>
              <w:rPr>
                <w:rFonts w:ascii="Arial" w:hAnsi="Arial" w:cs="Arial"/>
              </w:rPr>
            </w:pPr>
            <w:r w:rsidRPr="00BD1B7F">
              <w:rPr>
                <w:rFonts w:ascii="Arial" w:hAnsi="Arial" w:cs="Arial"/>
              </w:rPr>
              <w:t xml:space="preserve">January </w:t>
            </w:r>
          </w:p>
        </w:tc>
        <w:tc>
          <w:tcPr>
            <w:tcW w:w="2613" w:type="dxa"/>
            <w:tcBorders>
              <w:top w:val="single" w:sz="4" w:space="0" w:color="auto"/>
            </w:tcBorders>
            <w:vAlign w:val="bottom"/>
          </w:tcPr>
          <w:p w14:paraId="1D8E679A"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2.31</w:t>
            </w:r>
          </w:p>
        </w:tc>
        <w:tc>
          <w:tcPr>
            <w:tcW w:w="2700" w:type="dxa"/>
            <w:tcBorders>
              <w:top w:val="single" w:sz="4" w:space="0" w:color="auto"/>
            </w:tcBorders>
            <w:vAlign w:val="bottom"/>
          </w:tcPr>
          <w:p w14:paraId="7B2933FE"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1.9404</w:t>
            </w:r>
          </w:p>
        </w:tc>
      </w:tr>
      <w:tr w:rsidR="0003608A" w:rsidRPr="00BD1B7F" w14:paraId="36E52A1E" w14:textId="77777777" w:rsidTr="0003608A">
        <w:trPr>
          <w:trHeight w:val="325"/>
        </w:trPr>
        <w:tc>
          <w:tcPr>
            <w:tcW w:w="1503" w:type="dxa"/>
          </w:tcPr>
          <w:p w14:paraId="39C18F73" w14:textId="77777777" w:rsidR="0003608A" w:rsidRPr="00BD1B7F" w:rsidRDefault="0003608A" w:rsidP="0003608A">
            <w:pPr>
              <w:spacing w:line="276" w:lineRule="auto"/>
              <w:rPr>
                <w:rFonts w:ascii="Arial" w:hAnsi="Arial" w:cs="Arial"/>
              </w:rPr>
            </w:pPr>
            <w:r w:rsidRPr="00BD1B7F">
              <w:rPr>
                <w:rFonts w:ascii="Arial" w:hAnsi="Arial" w:cs="Arial"/>
              </w:rPr>
              <w:t xml:space="preserve">February </w:t>
            </w:r>
          </w:p>
        </w:tc>
        <w:tc>
          <w:tcPr>
            <w:tcW w:w="2613" w:type="dxa"/>
            <w:vAlign w:val="bottom"/>
          </w:tcPr>
          <w:p w14:paraId="51A90BEA"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1.98</w:t>
            </w:r>
          </w:p>
        </w:tc>
        <w:tc>
          <w:tcPr>
            <w:tcW w:w="2700" w:type="dxa"/>
            <w:vAlign w:val="bottom"/>
          </w:tcPr>
          <w:p w14:paraId="5D3AE161"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1.6632</w:t>
            </w:r>
          </w:p>
        </w:tc>
      </w:tr>
      <w:tr w:rsidR="0003608A" w:rsidRPr="00BD1B7F" w14:paraId="05FC467A" w14:textId="77777777" w:rsidTr="0003608A">
        <w:trPr>
          <w:trHeight w:val="107"/>
        </w:trPr>
        <w:tc>
          <w:tcPr>
            <w:tcW w:w="1503" w:type="dxa"/>
          </w:tcPr>
          <w:p w14:paraId="108D9F9C" w14:textId="77777777" w:rsidR="0003608A" w:rsidRPr="00BD1B7F" w:rsidRDefault="0003608A" w:rsidP="0003608A">
            <w:pPr>
              <w:spacing w:line="276" w:lineRule="auto"/>
              <w:rPr>
                <w:rFonts w:ascii="Arial" w:hAnsi="Arial" w:cs="Arial"/>
              </w:rPr>
            </w:pPr>
            <w:r w:rsidRPr="00BD1B7F">
              <w:rPr>
                <w:rFonts w:ascii="Arial" w:hAnsi="Arial" w:cs="Arial"/>
              </w:rPr>
              <w:t xml:space="preserve">March </w:t>
            </w:r>
          </w:p>
        </w:tc>
        <w:tc>
          <w:tcPr>
            <w:tcW w:w="2613" w:type="dxa"/>
            <w:vAlign w:val="bottom"/>
          </w:tcPr>
          <w:p w14:paraId="2430EDEE"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3.001</w:t>
            </w:r>
          </w:p>
        </w:tc>
        <w:tc>
          <w:tcPr>
            <w:tcW w:w="2700" w:type="dxa"/>
            <w:vAlign w:val="bottom"/>
          </w:tcPr>
          <w:p w14:paraId="0424772A"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2.52084</w:t>
            </w:r>
          </w:p>
        </w:tc>
      </w:tr>
      <w:tr w:rsidR="0003608A" w:rsidRPr="00BD1B7F" w14:paraId="1AC919EA" w14:textId="77777777" w:rsidTr="0003608A">
        <w:trPr>
          <w:trHeight w:val="107"/>
        </w:trPr>
        <w:tc>
          <w:tcPr>
            <w:tcW w:w="1503" w:type="dxa"/>
          </w:tcPr>
          <w:p w14:paraId="3A285CFC" w14:textId="77777777" w:rsidR="0003608A" w:rsidRPr="00BD1B7F" w:rsidRDefault="0003608A" w:rsidP="0003608A">
            <w:pPr>
              <w:spacing w:line="276" w:lineRule="auto"/>
              <w:rPr>
                <w:rFonts w:ascii="Arial" w:hAnsi="Arial" w:cs="Arial"/>
              </w:rPr>
            </w:pPr>
            <w:r w:rsidRPr="00BD1B7F">
              <w:rPr>
                <w:rFonts w:ascii="Arial" w:hAnsi="Arial" w:cs="Arial"/>
              </w:rPr>
              <w:t xml:space="preserve">April </w:t>
            </w:r>
          </w:p>
        </w:tc>
        <w:tc>
          <w:tcPr>
            <w:tcW w:w="2613" w:type="dxa"/>
            <w:vAlign w:val="bottom"/>
          </w:tcPr>
          <w:p w14:paraId="3983FEE6"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3.991</w:t>
            </w:r>
          </w:p>
        </w:tc>
        <w:tc>
          <w:tcPr>
            <w:tcW w:w="2700" w:type="dxa"/>
            <w:vAlign w:val="bottom"/>
          </w:tcPr>
          <w:p w14:paraId="17D67EBF"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3.35244</w:t>
            </w:r>
          </w:p>
        </w:tc>
      </w:tr>
      <w:tr w:rsidR="0003608A" w:rsidRPr="00BD1B7F" w14:paraId="066E4D4B" w14:textId="77777777" w:rsidTr="0003608A">
        <w:trPr>
          <w:trHeight w:val="107"/>
        </w:trPr>
        <w:tc>
          <w:tcPr>
            <w:tcW w:w="1503" w:type="dxa"/>
          </w:tcPr>
          <w:p w14:paraId="2FF3E626" w14:textId="77777777" w:rsidR="0003608A" w:rsidRPr="00BD1B7F" w:rsidRDefault="0003608A" w:rsidP="0003608A">
            <w:pPr>
              <w:spacing w:line="276" w:lineRule="auto"/>
              <w:rPr>
                <w:rFonts w:ascii="Arial" w:hAnsi="Arial" w:cs="Arial"/>
              </w:rPr>
            </w:pPr>
            <w:r w:rsidRPr="00BD1B7F">
              <w:rPr>
                <w:rFonts w:ascii="Arial" w:hAnsi="Arial" w:cs="Arial"/>
              </w:rPr>
              <w:t xml:space="preserve">May </w:t>
            </w:r>
          </w:p>
        </w:tc>
        <w:tc>
          <w:tcPr>
            <w:tcW w:w="2613" w:type="dxa"/>
            <w:vAlign w:val="bottom"/>
          </w:tcPr>
          <w:p w14:paraId="3AD105DD"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5.35</w:t>
            </w:r>
          </w:p>
        </w:tc>
        <w:tc>
          <w:tcPr>
            <w:tcW w:w="2700" w:type="dxa"/>
            <w:vAlign w:val="bottom"/>
          </w:tcPr>
          <w:p w14:paraId="7FDAC2C0"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4.494</w:t>
            </w:r>
          </w:p>
        </w:tc>
      </w:tr>
      <w:tr w:rsidR="0003608A" w:rsidRPr="00BD1B7F" w14:paraId="33B3C0DC" w14:textId="77777777" w:rsidTr="0003608A">
        <w:trPr>
          <w:trHeight w:val="107"/>
        </w:trPr>
        <w:tc>
          <w:tcPr>
            <w:tcW w:w="1503" w:type="dxa"/>
          </w:tcPr>
          <w:p w14:paraId="5097EE5E" w14:textId="77777777" w:rsidR="0003608A" w:rsidRPr="00BD1B7F" w:rsidRDefault="0003608A" w:rsidP="0003608A">
            <w:pPr>
              <w:spacing w:line="276" w:lineRule="auto"/>
              <w:rPr>
                <w:rFonts w:ascii="Arial" w:hAnsi="Arial" w:cs="Arial"/>
              </w:rPr>
            </w:pPr>
            <w:r w:rsidRPr="00BD1B7F">
              <w:rPr>
                <w:rFonts w:ascii="Arial" w:hAnsi="Arial" w:cs="Arial"/>
              </w:rPr>
              <w:t xml:space="preserve">June </w:t>
            </w:r>
          </w:p>
        </w:tc>
        <w:tc>
          <w:tcPr>
            <w:tcW w:w="2613" w:type="dxa"/>
            <w:vAlign w:val="bottom"/>
          </w:tcPr>
          <w:p w14:paraId="6FA067DC"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16.621</w:t>
            </w:r>
          </w:p>
        </w:tc>
        <w:tc>
          <w:tcPr>
            <w:tcW w:w="2700" w:type="dxa"/>
            <w:vAlign w:val="bottom"/>
          </w:tcPr>
          <w:p w14:paraId="77BD4959"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21.56164</w:t>
            </w:r>
          </w:p>
        </w:tc>
      </w:tr>
      <w:tr w:rsidR="0003608A" w:rsidRPr="00BD1B7F" w14:paraId="0CBF7964" w14:textId="77777777" w:rsidTr="0003608A">
        <w:trPr>
          <w:trHeight w:val="107"/>
        </w:trPr>
        <w:tc>
          <w:tcPr>
            <w:tcW w:w="1503" w:type="dxa"/>
          </w:tcPr>
          <w:p w14:paraId="11FA968F" w14:textId="77777777" w:rsidR="0003608A" w:rsidRPr="00BD1B7F" w:rsidRDefault="0003608A" w:rsidP="0003608A">
            <w:pPr>
              <w:spacing w:line="276" w:lineRule="auto"/>
              <w:rPr>
                <w:rFonts w:ascii="Arial" w:hAnsi="Arial" w:cs="Arial"/>
              </w:rPr>
            </w:pPr>
            <w:r w:rsidRPr="00BD1B7F">
              <w:rPr>
                <w:rFonts w:ascii="Arial" w:hAnsi="Arial" w:cs="Arial"/>
              </w:rPr>
              <w:t xml:space="preserve">July </w:t>
            </w:r>
          </w:p>
        </w:tc>
        <w:tc>
          <w:tcPr>
            <w:tcW w:w="2613" w:type="dxa"/>
            <w:vAlign w:val="bottom"/>
          </w:tcPr>
          <w:p w14:paraId="556EAF3C"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26.912</w:t>
            </w:r>
          </w:p>
        </w:tc>
        <w:tc>
          <w:tcPr>
            <w:tcW w:w="2700" w:type="dxa"/>
            <w:vAlign w:val="bottom"/>
          </w:tcPr>
          <w:p w14:paraId="12456EFC"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35.80608</w:t>
            </w:r>
          </w:p>
        </w:tc>
      </w:tr>
      <w:tr w:rsidR="0003608A" w:rsidRPr="00BD1B7F" w14:paraId="06E48A7C" w14:textId="77777777" w:rsidTr="0003608A">
        <w:trPr>
          <w:trHeight w:val="107"/>
        </w:trPr>
        <w:tc>
          <w:tcPr>
            <w:tcW w:w="1503" w:type="dxa"/>
          </w:tcPr>
          <w:p w14:paraId="28A09B84" w14:textId="77777777" w:rsidR="0003608A" w:rsidRPr="00BD1B7F" w:rsidRDefault="0003608A" w:rsidP="0003608A">
            <w:pPr>
              <w:spacing w:line="276" w:lineRule="auto"/>
              <w:rPr>
                <w:rFonts w:ascii="Arial" w:hAnsi="Arial" w:cs="Arial"/>
              </w:rPr>
            </w:pPr>
            <w:r w:rsidRPr="00BD1B7F">
              <w:rPr>
                <w:rFonts w:ascii="Arial" w:hAnsi="Arial" w:cs="Arial"/>
              </w:rPr>
              <w:t xml:space="preserve">August </w:t>
            </w:r>
          </w:p>
        </w:tc>
        <w:tc>
          <w:tcPr>
            <w:tcW w:w="2613" w:type="dxa"/>
            <w:vAlign w:val="bottom"/>
          </w:tcPr>
          <w:p w14:paraId="347AD48C"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22.89</w:t>
            </w:r>
          </w:p>
        </w:tc>
        <w:tc>
          <w:tcPr>
            <w:tcW w:w="2700" w:type="dxa"/>
            <w:vAlign w:val="bottom"/>
          </w:tcPr>
          <w:p w14:paraId="6738BE2C"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30.7876</w:t>
            </w:r>
          </w:p>
        </w:tc>
      </w:tr>
      <w:tr w:rsidR="0003608A" w:rsidRPr="00BD1B7F" w14:paraId="4B6181D7" w14:textId="77777777" w:rsidTr="0003608A">
        <w:trPr>
          <w:trHeight w:val="107"/>
        </w:trPr>
        <w:tc>
          <w:tcPr>
            <w:tcW w:w="1503" w:type="dxa"/>
          </w:tcPr>
          <w:p w14:paraId="08A16B20" w14:textId="77777777" w:rsidR="0003608A" w:rsidRPr="00BD1B7F" w:rsidRDefault="0003608A" w:rsidP="0003608A">
            <w:pPr>
              <w:spacing w:line="276" w:lineRule="auto"/>
              <w:rPr>
                <w:rFonts w:ascii="Arial" w:hAnsi="Arial" w:cs="Arial"/>
              </w:rPr>
            </w:pPr>
            <w:r w:rsidRPr="00BD1B7F">
              <w:rPr>
                <w:rFonts w:ascii="Arial" w:hAnsi="Arial" w:cs="Arial"/>
              </w:rPr>
              <w:t xml:space="preserve">September </w:t>
            </w:r>
          </w:p>
        </w:tc>
        <w:tc>
          <w:tcPr>
            <w:tcW w:w="2613" w:type="dxa"/>
            <w:vAlign w:val="bottom"/>
          </w:tcPr>
          <w:p w14:paraId="33976751"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15.57</w:t>
            </w:r>
          </w:p>
        </w:tc>
        <w:tc>
          <w:tcPr>
            <w:tcW w:w="2700" w:type="dxa"/>
            <w:vAlign w:val="bottom"/>
          </w:tcPr>
          <w:p w14:paraId="52636D36"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24.6788</w:t>
            </w:r>
          </w:p>
        </w:tc>
      </w:tr>
      <w:tr w:rsidR="0003608A" w:rsidRPr="00BD1B7F" w14:paraId="70906B86" w14:textId="77777777" w:rsidTr="0003608A">
        <w:trPr>
          <w:trHeight w:val="107"/>
        </w:trPr>
        <w:tc>
          <w:tcPr>
            <w:tcW w:w="1503" w:type="dxa"/>
          </w:tcPr>
          <w:p w14:paraId="76BEEB0C" w14:textId="77777777" w:rsidR="0003608A" w:rsidRPr="00BD1B7F" w:rsidRDefault="0003608A" w:rsidP="0003608A">
            <w:pPr>
              <w:spacing w:line="276" w:lineRule="auto"/>
              <w:rPr>
                <w:rFonts w:ascii="Arial" w:hAnsi="Arial" w:cs="Arial"/>
              </w:rPr>
            </w:pPr>
            <w:r w:rsidRPr="00BD1B7F">
              <w:rPr>
                <w:rFonts w:ascii="Arial" w:hAnsi="Arial" w:cs="Arial"/>
              </w:rPr>
              <w:t xml:space="preserve">October </w:t>
            </w:r>
          </w:p>
        </w:tc>
        <w:tc>
          <w:tcPr>
            <w:tcW w:w="2613" w:type="dxa"/>
            <w:vAlign w:val="bottom"/>
          </w:tcPr>
          <w:p w14:paraId="154C1250"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10.889</w:t>
            </w:r>
          </w:p>
        </w:tc>
        <w:tc>
          <w:tcPr>
            <w:tcW w:w="2700" w:type="dxa"/>
            <w:vAlign w:val="bottom"/>
          </w:tcPr>
          <w:p w14:paraId="226750B8"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13.26676</w:t>
            </w:r>
          </w:p>
        </w:tc>
      </w:tr>
      <w:tr w:rsidR="0003608A" w:rsidRPr="00BD1B7F" w14:paraId="7E3D24D4" w14:textId="77777777" w:rsidTr="0003608A">
        <w:trPr>
          <w:trHeight w:val="107"/>
        </w:trPr>
        <w:tc>
          <w:tcPr>
            <w:tcW w:w="1503" w:type="dxa"/>
          </w:tcPr>
          <w:p w14:paraId="6F79D4DC" w14:textId="77777777" w:rsidR="0003608A" w:rsidRPr="00BD1B7F" w:rsidRDefault="0003608A" w:rsidP="0003608A">
            <w:pPr>
              <w:spacing w:line="276" w:lineRule="auto"/>
              <w:rPr>
                <w:rFonts w:ascii="Arial" w:hAnsi="Arial" w:cs="Arial"/>
              </w:rPr>
            </w:pPr>
            <w:r w:rsidRPr="00BD1B7F">
              <w:rPr>
                <w:rFonts w:ascii="Arial" w:hAnsi="Arial" w:cs="Arial"/>
              </w:rPr>
              <w:t xml:space="preserve">November </w:t>
            </w:r>
          </w:p>
        </w:tc>
        <w:tc>
          <w:tcPr>
            <w:tcW w:w="2613" w:type="dxa"/>
            <w:vAlign w:val="bottom"/>
          </w:tcPr>
          <w:p w14:paraId="2FE7EC64"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3.001</w:t>
            </w:r>
          </w:p>
        </w:tc>
        <w:tc>
          <w:tcPr>
            <w:tcW w:w="2700" w:type="dxa"/>
            <w:vAlign w:val="bottom"/>
          </w:tcPr>
          <w:p w14:paraId="6F648487"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2.52084</w:t>
            </w:r>
          </w:p>
        </w:tc>
      </w:tr>
      <w:tr w:rsidR="0003608A" w:rsidRPr="00BD1B7F" w14:paraId="129BB3BC" w14:textId="77777777" w:rsidTr="0003608A">
        <w:trPr>
          <w:trHeight w:val="107"/>
        </w:trPr>
        <w:tc>
          <w:tcPr>
            <w:tcW w:w="1503" w:type="dxa"/>
            <w:tcBorders>
              <w:bottom w:val="single" w:sz="4" w:space="0" w:color="auto"/>
            </w:tcBorders>
          </w:tcPr>
          <w:p w14:paraId="0ABAC78A" w14:textId="77777777" w:rsidR="0003608A" w:rsidRPr="00BD1B7F" w:rsidRDefault="0003608A" w:rsidP="0003608A">
            <w:pPr>
              <w:spacing w:line="276" w:lineRule="auto"/>
              <w:rPr>
                <w:rFonts w:ascii="Arial" w:hAnsi="Arial" w:cs="Arial"/>
              </w:rPr>
            </w:pPr>
            <w:r w:rsidRPr="00BD1B7F">
              <w:rPr>
                <w:rFonts w:ascii="Arial" w:hAnsi="Arial" w:cs="Arial"/>
              </w:rPr>
              <w:t xml:space="preserve">December </w:t>
            </w:r>
          </w:p>
        </w:tc>
        <w:tc>
          <w:tcPr>
            <w:tcW w:w="2613" w:type="dxa"/>
            <w:tcBorders>
              <w:bottom w:val="single" w:sz="4" w:space="0" w:color="auto"/>
            </w:tcBorders>
            <w:vAlign w:val="bottom"/>
          </w:tcPr>
          <w:p w14:paraId="3A85A99D"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2.36</w:t>
            </w:r>
          </w:p>
        </w:tc>
        <w:tc>
          <w:tcPr>
            <w:tcW w:w="2700" w:type="dxa"/>
            <w:tcBorders>
              <w:bottom w:val="single" w:sz="4" w:space="0" w:color="auto"/>
            </w:tcBorders>
            <w:vAlign w:val="bottom"/>
          </w:tcPr>
          <w:p w14:paraId="34C8B385" w14:textId="77777777" w:rsidR="0003608A" w:rsidRPr="00BD1B7F" w:rsidRDefault="0003608A" w:rsidP="0003608A">
            <w:pPr>
              <w:spacing w:line="276" w:lineRule="auto"/>
              <w:jc w:val="center"/>
              <w:rPr>
                <w:rFonts w:ascii="Arial" w:hAnsi="Arial" w:cs="Arial"/>
              </w:rPr>
            </w:pPr>
            <w:r w:rsidRPr="00BD1B7F">
              <w:rPr>
                <w:rFonts w:ascii="Arial" w:hAnsi="Arial" w:cs="Arial"/>
                <w:color w:val="000000"/>
                <w:kern w:val="24"/>
              </w:rPr>
              <w:t>1.9824</w:t>
            </w:r>
          </w:p>
        </w:tc>
      </w:tr>
    </w:tbl>
    <w:p w14:paraId="2DAC9B38" w14:textId="77777777" w:rsidR="00A577E9" w:rsidRPr="00BD1B7F" w:rsidRDefault="00A577E9" w:rsidP="007447F7">
      <w:pPr>
        <w:spacing w:line="276" w:lineRule="auto"/>
        <w:jc w:val="both"/>
        <w:rPr>
          <w:rFonts w:ascii="Arial" w:hAnsi="Arial" w:cs="Arial"/>
        </w:rPr>
      </w:pPr>
    </w:p>
    <w:p w14:paraId="07676799" w14:textId="77777777" w:rsidR="00A577E9" w:rsidRPr="00BD1B7F" w:rsidRDefault="00A577E9" w:rsidP="007447F7">
      <w:pPr>
        <w:spacing w:line="276" w:lineRule="auto"/>
        <w:jc w:val="both"/>
        <w:rPr>
          <w:rFonts w:ascii="Arial" w:hAnsi="Arial" w:cs="Arial"/>
        </w:rPr>
      </w:pPr>
    </w:p>
    <w:p w14:paraId="400D7989" w14:textId="77777777" w:rsidR="00A577E9" w:rsidRPr="00BD1B7F" w:rsidRDefault="00A577E9" w:rsidP="007447F7">
      <w:pPr>
        <w:spacing w:line="276" w:lineRule="auto"/>
        <w:jc w:val="both"/>
        <w:rPr>
          <w:rFonts w:ascii="Arial" w:hAnsi="Arial" w:cs="Arial"/>
        </w:rPr>
      </w:pPr>
    </w:p>
    <w:p w14:paraId="704E1C6D" w14:textId="77777777" w:rsidR="00A577E9" w:rsidRPr="00BD1B7F" w:rsidRDefault="00A577E9" w:rsidP="007447F7">
      <w:pPr>
        <w:spacing w:line="276" w:lineRule="auto"/>
        <w:jc w:val="both"/>
        <w:rPr>
          <w:rFonts w:ascii="Arial" w:hAnsi="Arial" w:cs="Arial"/>
        </w:rPr>
      </w:pPr>
    </w:p>
    <w:p w14:paraId="36EBF64B" w14:textId="77777777" w:rsidR="00A577E9" w:rsidRPr="00BD1B7F" w:rsidRDefault="00A577E9" w:rsidP="007447F7">
      <w:pPr>
        <w:spacing w:line="276" w:lineRule="auto"/>
        <w:jc w:val="both"/>
        <w:rPr>
          <w:rFonts w:ascii="Arial" w:hAnsi="Arial" w:cs="Arial"/>
        </w:rPr>
      </w:pPr>
    </w:p>
    <w:p w14:paraId="633C68C0" w14:textId="77777777" w:rsidR="00A577E9" w:rsidRPr="00BD1B7F" w:rsidRDefault="00A577E9" w:rsidP="007447F7">
      <w:pPr>
        <w:spacing w:line="276" w:lineRule="auto"/>
        <w:jc w:val="both"/>
        <w:rPr>
          <w:rFonts w:ascii="Arial" w:hAnsi="Arial" w:cs="Arial"/>
        </w:rPr>
      </w:pPr>
    </w:p>
    <w:p w14:paraId="442E4537" w14:textId="77777777" w:rsidR="00A577E9" w:rsidRPr="00BD1B7F" w:rsidRDefault="00A577E9" w:rsidP="007447F7">
      <w:pPr>
        <w:spacing w:line="276" w:lineRule="auto"/>
        <w:jc w:val="both"/>
        <w:rPr>
          <w:rFonts w:ascii="Arial" w:hAnsi="Arial" w:cs="Arial"/>
        </w:rPr>
      </w:pPr>
    </w:p>
    <w:p w14:paraId="3E541FAB" w14:textId="77777777" w:rsidR="00A577E9" w:rsidRPr="00BD1B7F" w:rsidRDefault="00A577E9" w:rsidP="007447F7">
      <w:pPr>
        <w:spacing w:line="276" w:lineRule="auto"/>
        <w:jc w:val="both"/>
        <w:rPr>
          <w:rFonts w:ascii="Arial" w:hAnsi="Arial" w:cs="Arial"/>
        </w:rPr>
      </w:pPr>
    </w:p>
    <w:p w14:paraId="5C38E235" w14:textId="77777777" w:rsidR="00A577E9" w:rsidRPr="00BD1B7F" w:rsidRDefault="00A577E9" w:rsidP="007447F7">
      <w:pPr>
        <w:spacing w:line="276" w:lineRule="auto"/>
        <w:jc w:val="both"/>
        <w:rPr>
          <w:rFonts w:ascii="Arial" w:hAnsi="Arial" w:cs="Arial"/>
        </w:rPr>
      </w:pPr>
    </w:p>
    <w:p w14:paraId="0F5A4357" w14:textId="77777777" w:rsidR="00A577E9" w:rsidRPr="00BD1B7F" w:rsidRDefault="00A577E9" w:rsidP="007447F7">
      <w:pPr>
        <w:spacing w:line="276" w:lineRule="auto"/>
        <w:jc w:val="both"/>
        <w:rPr>
          <w:rFonts w:ascii="Arial" w:hAnsi="Arial" w:cs="Arial"/>
        </w:rPr>
      </w:pPr>
    </w:p>
    <w:p w14:paraId="73D8BAC8" w14:textId="77777777" w:rsidR="00A577E9" w:rsidRPr="00BD1B7F" w:rsidRDefault="00A577E9" w:rsidP="007447F7">
      <w:pPr>
        <w:spacing w:line="276" w:lineRule="auto"/>
        <w:jc w:val="both"/>
        <w:rPr>
          <w:rFonts w:ascii="Arial" w:hAnsi="Arial" w:cs="Arial"/>
        </w:rPr>
      </w:pPr>
    </w:p>
    <w:p w14:paraId="148C48E6" w14:textId="77777777" w:rsidR="00A577E9" w:rsidRPr="00BD1B7F" w:rsidRDefault="00A577E9" w:rsidP="007447F7">
      <w:pPr>
        <w:spacing w:line="276" w:lineRule="auto"/>
        <w:jc w:val="both"/>
        <w:rPr>
          <w:rFonts w:ascii="Arial" w:hAnsi="Arial" w:cs="Arial"/>
        </w:rPr>
      </w:pPr>
    </w:p>
    <w:p w14:paraId="69716DF6" w14:textId="77777777" w:rsidR="00A577E9" w:rsidRPr="00BD1B7F" w:rsidRDefault="00A577E9" w:rsidP="007447F7">
      <w:pPr>
        <w:spacing w:line="276" w:lineRule="auto"/>
        <w:jc w:val="both"/>
        <w:rPr>
          <w:rFonts w:ascii="Arial" w:hAnsi="Arial" w:cs="Arial"/>
        </w:rPr>
      </w:pPr>
    </w:p>
    <w:p w14:paraId="3A11D931" w14:textId="77777777" w:rsidR="00A577E9" w:rsidRPr="00BD1B7F" w:rsidRDefault="00A577E9" w:rsidP="007447F7">
      <w:pPr>
        <w:spacing w:line="276" w:lineRule="auto"/>
        <w:jc w:val="both"/>
        <w:rPr>
          <w:rFonts w:ascii="Arial" w:hAnsi="Arial" w:cs="Arial"/>
        </w:rPr>
      </w:pPr>
    </w:p>
    <w:p w14:paraId="13031959" w14:textId="3F1C5072" w:rsidR="007F3CE1" w:rsidRPr="00BD1B7F" w:rsidRDefault="007F3CE1" w:rsidP="007447F7">
      <w:pPr>
        <w:spacing w:line="276" w:lineRule="auto"/>
        <w:ind w:firstLine="720"/>
        <w:jc w:val="both"/>
        <w:rPr>
          <w:rFonts w:ascii="Arial" w:hAnsi="Arial" w:cs="Arial"/>
        </w:rPr>
      </w:pPr>
      <w:r w:rsidRPr="00BD1B7F">
        <w:rPr>
          <w:rFonts w:ascii="Arial" w:hAnsi="Arial" w:cs="Arial"/>
        </w:rPr>
        <w:lastRenderedPageBreak/>
        <w:t>Spatial variability analysis indicated that sub-watersheds with higher forest cover exhibited relatively stable hydrological responses, whereas regions with intensive land use changes experienced higher runoff. These findings demonstrate the combined influence of land use, soil, and topography on watershed hydrology.</w:t>
      </w:r>
    </w:p>
    <w:p w14:paraId="78F01690" w14:textId="7042BF3A" w:rsidR="007F3CE1" w:rsidRPr="00BD1B7F" w:rsidRDefault="007F3CE1" w:rsidP="007447F7">
      <w:pPr>
        <w:spacing w:line="276" w:lineRule="auto"/>
        <w:ind w:firstLine="720"/>
        <w:jc w:val="both"/>
        <w:rPr>
          <w:rFonts w:ascii="Arial" w:hAnsi="Arial" w:cs="Arial"/>
        </w:rPr>
      </w:pPr>
      <w:r w:rsidRPr="00BD1B7F">
        <w:rPr>
          <w:rFonts w:ascii="Arial" w:hAnsi="Arial" w:cs="Arial"/>
        </w:rPr>
        <w:t>The observed increase in runoff has important environmental implications, including reduced groundwater recharge, increased flood risk, and enhanced soil erosion. Therefore, sustainable land management practices such as afforestation, soil conservation, and controlled urban expansion are essential to mitigate these impacts.</w:t>
      </w:r>
    </w:p>
    <w:p w14:paraId="39185B09" w14:textId="3DFCAB10" w:rsidR="00753B1F" w:rsidRPr="00BD1B7F" w:rsidRDefault="00664970" w:rsidP="007447F7">
      <w:pPr>
        <w:spacing w:line="276" w:lineRule="auto"/>
        <w:jc w:val="both"/>
        <w:rPr>
          <w:rFonts w:ascii="Arial" w:hAnsi="Arial" w:cs="Arial"/>
          <w:b/>
          <w:bCs/>
        </w:rPr>
      </w:pPr>
      <w:r w:rsidRPr="00BD1B7F">
        <w:rPr>
          <w:rFonts w:ascii="Arial" w:hAnsi="Arial" w:cs="Arial"/>
          <w:b/>
          <w:bCs/>
        </w:rPr>
        <w:t xml:space="preserve">3.1 </w:t>
      </w:r>
      <w:r w:rsidR="00753B1F" w:rsidRPr="00BD1B7F">
        <w:rPr>
          <w:rFonts w:ascii="Arial" w:hAnsi="Arial" w:cs="Arial"/>
          <w:b/>
          <w:bCs/>
        </w:rPr>
        <w:t>Sensitivity analysis</w:t>
      </w:r>
    </w:p>
    <w:tbl>
      <w:tblPr>
        <w:tblpPr w:leftFromText="180" w:rightFromText="180" w:vertAnchor="text" w:horzAnchor="margin" w:tblpXSpec="right" w:tblpY="3446"/>
        <w:tblW w:w="0" w:type="auto"/>
        <w:tblLayout w:type="fixed"/>
        <w:tblLook w:val="0000" w:firstRow="0" w:lastRow="0" w:firstColumn="0" w:lastColumn="0" w:noHBand="0" w:noVBand="0"/>
      </w:tblPr>
      <w:tblGrid>
        <w:gridCol w:w="3420"/>
        <w:gridCol w:w="1288"/>
        <w:gridCol w:w="2582"/>
      </w:tblGrid>
      <w:tr w:rsidR="005C1504" w:rsidRPr="00BD1B7F" w14:paraId="5D66B192" w14:textId="77777777" w:rsidTr="002C4727">
        <w:trPr>
          <w:trHeight w:val="119"/>
        </w:trPr>
        <w:tc>
          <w:tcPr>
            <w:tcW w:w="3420" w:type="dxa"/>
            <w:tcBorders>
              <w:top w:val="single" w:sz="4" w:space="0" w:color="auto"/>
              <w:bottom w:val="single" w:sz="4" w:space="0" w:color="auto"/>
            </w:tcBorders>
          </w:tcPr>
          <w:p w14:paraId="7FD73317"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Data sets </w:t>
            </w:r>
          </w:p>
        </w:tc>
        <w:tc>
          <w:tcPr>
            <w:tcW w:w="1288" w:type="dxa"/>
            <w:tcBorders>
              <w:top w:val="single" w:sz="4" w:space="0" w:color="auto"/>
              <w:bottom w:val="single" w:sz="4" w:space="0" w:color="auto"/>
            </w:tcBorders>
          </w:tcPr>
          <w:p w14:paraId="7DCFF249" w14:textId="2C152AB1" w:rsidR="005C1504" w:rsidRPr="00BD1B7F" w:rsidRDefault="00C24C8A" w:rsidP="007447F7">
            <w:pPr>
              <w:spacing w:line="276" w:lineRule="auto"/>
              <w:jc w:val="center"/>
              <w:rPr>
                <w:rFonts w:ascii="Arial" w:hAnsi="Arial" w:cs="Arial"/>
              </w:rPr>
            </w:pPr>
            <w:r w:rsidRPr="00BD1B7F">
              <w:rPr>
                <w:rFonts w:ascii="Arial" w:hAnsi="Arial" w:cs="Arial"/>
                <w:b/>
                <w:bCs/>
              </w:rPr>
              <w:t>r</w:t>
            </w:r>
            <w:r w:rsidR="005C1504" w:rsidRPr="00BD1B7F">
              <w:rPr>
                <w:rFonts w:ascii="Arial" w:hAnsi="Arial" w:cs="Arial"/>
                <w:b/>
                <w:bCs/>
                <w:vertAlign w:val="superscript"/>
              </w:rPr>
              <w:t>2</w:t>
            </w:r>
          </w:p>
        </w:tc>
        <w:tc>
          <w:tcPr>
            <w:tcW w:w="2582" w:type="dxa"/>
            <w:tcBorders>
              <w:top w:val="single" w:sz="4" w:space="0" w:color="auto"/>
              <w:bottom w:val="single" w:sz="4" w:space="0" w:color="auto"/>
            </w:tcBorders>
          </w:tcPr>
          <w:p w14:paraId="2D8EE151" w14:textId="77777777" w:rsidR="005C1504" w:rsidRPr="00BD1B7F" w:rsidRDefault="005C1504" w:rsidP="007447F7">
            <w:pPr>
              <w:spacing w:line="276" w:lineRule="auto"/>
              <w:jc w:val="center"/>
              <w:rPr>
                <w:rFonts w:ascii="Arial" w:hAnsi="Arial" w:cs="Arial"/>
              </w:rPr>
            </w:pPr>
            <w:r w:rsidRPr="00BD1B7F">
              <w:rPr>
                <w:rFonts w:ascii="Arial" w:hAnsi="Arial" w:cs="Arial"/>
                <w:b/>
                <w:bCs/>
              </w:rPr>
              <w:t>NSE</w:t>
            </w:r>
          </w:p>
        </w:tc>
      </w:tr>
      <w:tr w:rsidR="005C1504" w:rsidRPr="00BD1B7F" w14:paraId="7FC22568" w14:textId="77777777" w:rsidTr="002C4727">
        <w:trPr>
          <w:trHeight w:val="111"/>
        </w:trPr>
        <w:tc>
          <w:tcPr>
            <w:tcW w:w="3420" w:type="dxa"/>
            <w:tcBorders>
              <w:top w:val="single" w:sz="4" w:space="0" w:color="auto"/>
            </w:tcBorders>
          </w:tcPr>
          <w:p w14:paraId="47B72360"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Calibrated period </w:t>
            </w:r>
          </w:p>
        </w:tc>
        <w:tc>
          <w:tcPr>
            <w:tcW w:w="1288" w:type="dxa"/>
            <w:tcBorders>
              <w:top w:val="single" w:sz="4" w:space="0" w:color="auto"/>
            </w:tcBorders>
          </w:tcPr>
          <w:p w14:paraId="57D504F2" w14:textId="77777777" w:rsidR="005C1504" w:rsidRPr="00BD1B7F" w:rsidRDefault="005C1504" w:rsidP="007447F7">
            <w:pPr>
              <w:spacing w:line="276" w:lineRule="auto"/>
              <w:jc w:val="center"/>
              <w:rPr>
                <w:rFonts w:ascii="Arial" w:hAnsi="Arial" w:cs="Arial"/>
              </w:rPr>
            </w:pPr>
            <w:r w:rsidRPr="00BD1B7F">
              <w:rPr>
                <w:rFonts w:ascii="Arial" w:hAnsi="Arial" w:cs="Arial"/>
              </w:rPr>
              <w:t>0.83</w:t>
            </w:r>
          </w:p>
        </w:tc>
        <w:tc>
          <w:tcPr>
            <w:tcW w:w="2582" w:type="dxa"/>
            <w:tcBorders>
              <w:top w:val="single" w:sz="4" w:space="0" w:color="auto"/>
            </w:tcBorders>
          </w:tcPr>
          <w:p w14:paraId="222BA769" w14:textId="77777777" w:rsidR="005C1504" w:rsidRPr="00BD1B7F" w:rsidRDefault="005C1504" w:rsidP="007447F7">
            <w:pPr>
              <w:spacing w:line="276" w:lineRule="auto"/>
              <w:jc w:val="center"/>
              <w:rPr>
                <w:rFonts w:ascii="Arial" w:hAnsi="Arial" w:cs="Arial"/>
              </w:rPr>
            </w:pPr>
            <w:r w:rsidRPr="00BD1B7F">
              <w:rPr>
                <w:rFonts w:ascii="Arial" w:hAnsi="Arial" w:cs="Arial"/>
              </w:rPr>
              <w:t>0.82</w:t>
            </w:r>
          </w:p>
        </w:tc>
      </w:tr>
      <w:tr w:rsidR="005C1504" w:rsidRPr="00BD1B7F" w14:paraId="28E7FC93" w14:textId="77777777" w:rsidTr="002C4727">
        <w:trPr>
          <w:trHeight w:val="111"/>
        </w:trPr>
        <w:tc>
          <w:tcPr>
            <w:tcW w:w="3420" w:type="dxa"/>
            <w:tcBorders>
              <w:bottom w:val="single" w:sz="4" w:space="0" w:color="auto"/>
            </w:tcBorders>
          </w:tcPr>
          <w:p w14:paraId="562204CF"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Validated period </w:t>
            </w:r>
          </w:p>
        </w:tc>
        <w:tc>
          <w:tcPr>
            <w:tcW w:w="1288" w:type="dxa"/>
            <w:tcBorders>
              <w:bottom w:val="single" w:sz="4" w:space="0" w:color="auto"/>
            </w:tcBorders>
          </w:tcPr>
          <w:p w14:paraId="721F671E" w14:textId="77777777" w:rsidR="005C1504" w:rsidRPr="00BD1B7F" w:rsidRDefault="005C1504" w:rsidP="007447F7">
            <w:pPr>
              <w:spacing w:line="276" w:lineRule="auto"/>
              <w:jc w:val="center"/>
              <w:rPr>
                <w:rFonts w:ascii="Arial" w:hAnsi="Arial" w:cs="Arial"/>
              </w:rPr>
            </w:pPr>
            <w:r w:rsidRPr="00BD1B7F">
              <w:rPr>
                <w:rFonts w:ascii="Arial" w:hAnsi="Arial" w:cs="Arial"/>
              </w:rPr>
              <w:t>0.84</w:t>
            </w:r>
          </w:p>
        </w:tc>
        <w:tc>
          <w:tcPr>
            <w:tcW w:w="2582" w:type="dxa"/>
            <w:tcBorders>
              <w:bottom w:val="single" w:sz="4" w:space="0" w:color="auto"/>
            </w:tcBorders>
          </w:tcPr>
          <w:p w14:paraId="39C3D5A5" w14:textId="77777777" w:rsidR="005C1504" w:rsidRPr="00BD1B7F" w:rsidRDefault="005C1504" w:rsidP="007447F7">
            <w:pPr>
              <w:spacing w:line="276" w:lineRule="auto"/>
              <w:jc w:val="center"/>
              <w:rPr>
                <w:rFonts w:ascii="Arial" w:hAnsi="Arial" w:cs="Arial"/>
              </w:rPr>
            </w:pPr>
            <w:r w:rsidRPr="00BD1B7F">
              <w:rPr>
                <w:rFonts w:ascii="Arial" w:hAnsi="Arial" w:cs="Arial"/>
              </w:rPr>
              <w:t>0.88</w:t>
            </w:r>
          </w:p>
        </w:tc>
      </w:tr>
    </w:tbl>
    <w:p w14:paraId="205BACC5" w14:textId="4D476B73" w:rsidR="00753B1F" w:rsidRPr="00BD1B7F" w:rsidRDefault="00753B1F" w:rsidP="007447F7">
      <w:pPr>
        <w:spacing w:line="276" w:lineRule="auto"/>
        <w:ind w:firstLine="720"/>
        <w:jc w:val="both"/>
        <w:rPr>
          <w:rFonts w:ascii="Arial" w:hAnsi="Arial" w:cs="Arial"/>
        </w:rPr>
      </w:pPr>
      <w:r w:rsidRPr="00BD1B7F">
        <w:rPr>
          <w:rFonts w:ascii="Arial" w:hAnsi="Arial" w:cs="Arial"/>
        </w:rPr>
        <w:t>Sensitivity analysis is a method used to evaluate how variations in independent parameters influence a dependent variable under a defined set of assumptions. In this study, sensitivity analysis was applied to identify the parameters that have the greatest impact on model outputs. The most influential parameters were then adjusted during the calibration process. The permissible ranges for these parameters were selected based on previous research studies and guidelines provided in the SWAT-CUP manual. Among all the parameters considered, five were identified as highly sensitive: hydraulic conductivity, threshold water depth, baseflow, soil evaporation compensation factor, and slope steepness.</w:t>
      </w:r>
    </w:p>
    <w:p w14:paraId="1ABD8CFD" w14:textId="2C36F0AC" w:rsidR="00A577E9"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 xml:space="preserve">Table 4: Performance evaluation of the </w:t>
      </w:r>
      <w:proofErr w:type="spellStart"/>
      <w:r w:rsidRPr="00BD1B7F">
        <w:rPr>
          <w:rFonts w:ascii="Arial" w:hAnsi="Arial" w:cs="Arial"/>
          <w:b/>
          <w:bCs/>
          <w:sz w:val="20"/>
          <w:szCs w:val="20"/>
        </w:rPr>
        <w:t>ArcSWAT</w:t>
      </w:r>
      <w:proofErr w:type="spellEnd"/>
      <w:r w:rsidRPr="00BD1B7F">
        <w:rPr>
          <w:rFonts w:ascii="Arial" w:hAnsi="Arial" w:cs="Arial"/>
          <w:b/>
          <w:bCs/>
          <w:sz w:val="20"/>
          <w:szCs w:val="20"/>
        </w:rPr>
        <w:t xml:space="preserve"> model</w:t>
      </w:r>
    </w:p>
    <w:p w14:paraId="097E6A8A" w14:textId="77777777" w:rsidR="005C1504" w:rsidRPr="00BD1B7F" w:rsidRDefault="005C1504" w:rsidP="007447F7">
      <w:pPr>
        <w:spacing w:line="276" w:lineRule="auto"/>
        <w:jc w:val="both"/>
        <w:rPr>
          <w:rFonts w:ascii="Arial" w:hAnsi="Arial" w:cs="Arial"/>
        </w:rPr>
      </w:pPr>
    </w:p>
    <w:p w14:paraId="47871C5B" w14:textId="77777777" w:rsidR="005C1504" w:rsidRPr="00BD1B7F" w:rsidRDefault="005C1504" w:rsidP="007447F7">
      <w:pPr>
        <w:spacing w:line="276" w:lineRule="auto"/>
        <w:jc w:val="both"/>
        <w:rPr>
          <w:rFonts w:ascii="Arial" w:hAnsi="Arial" w:cs="Arial"/>
        </w:rPr>
      </w:pPr>
    </w:p>
    <w:p w14:paraId="2DB27FD7" w14:textId="77777777" w:rsidR="005C1504" w:rsidRPr="00BD1B7F" w:rsidRDefault="005C1504" w:rsidP="007447F7">
      <w:pPr>
        <w:spacing w:line="276" w:lineRule="auto"/>
        <w:jc w:val="both"/>
        <w:rPr>
          <w:rFonts w:ascii="Arial" w:hAnsi="Arial" w:cs="Arial"/>
        </w:rPr>
      </w:pPr>
    </w:p>
    <w:p w14:paraId="0A958D6E" w14:textId="77777777" w:rsidR="00A577E9" w:rsidRPr="00BD1B7F" w:rsidRDefault="00A577E9" w:rsidP="007447F7">
      <w:pPr>
        <w:spacing w:line="276" w:lineRule="auto"/>
        <w:jc w:val="both"/>
        <w:rPr>
          <w:rFonts w:ascii="Arial" w:hAnsi="Arial" w:cs="Arial"/>
        </w:rPr>
      </w:pPr>
    </w:p>
    <w:p w14:paraId="77FFB5B7" w14:textId="52BBD2DF" w:rsidR="00753B1F" w:rsidRPr="00BD1B7F" w:rsidRDefault="00753B1F" w:rsidP="007447F7">
      <w:pPr>
        <w:spacing w:line="276" w:lineRule="auto"/>
        <w:ind w:firstLine="720"/>
        <w:jc w:val="both"/>
        <w:rPr>
          <w:rFonts w:ascii="Arial" w:hAnsi="Arial" w:cs="Arial"/>
        </w:rPr>
      </w:pPr>
      <w:r w:rsidRPr="00BD1B7F">
        <w:rPr>
          <w:rFonts w:ascii="Arial" w:hAnsi="Arial" w:cs="Arial"/>
        </w:rPr>
        <w:t xml:space="preserve">The SWAT model was calibrated and validated against monthly surface runoff data using the Sequential Uncertainty Fitting-2 (SUFI-2) algorithm. Model calibration and simulation were carried out for the period from </w:t>
      </w:r>
      <w:r w:rsidR="00064749" w:rsidRPr="00BD1B7F">
        <w:rPr>
          <w:rFonts w:ascii="Arial" w:hAnsi="Arial" w:cs="Arial"/>
        </w:rPr>
        <w:t>1991</w:t>
      </w:r>
      <w:r w:rsidRPr="00BD1B7F">
        <w:rPr>
          <w:rFonts w:ascii="Arial" w:hAnsi="Arial" w:cs="Arial"/>
        </w:rPr>
        <w:t xml:space="preserve"> to 201</w:t>
      </w:r>
      <w:r w:rsidR="00064749" w:rsidRPr="00BD1B7F">
        <w:rPr>
          <w:rFonts w:ascii="Arial" w:hAnsi="Arial" w:cs="Arial"/>
        </w:rPr>
        <w:t>0</w:t>
      </w:r>
      <w:r w:rsidRPr="00BD1B7F">
        <w:rPr>
          <w:rFonts w:ascii="Arial" w:hAnsi="Arial" w:cs="Arial"/>
        </w:rPr>
        <w:t>, with an initial warm-up period from 20</w:t>
      </w:r>
      <w:r w:rsidR="00064749" w:rsidRPr="00BD1B7F">
        <w:rPr>
          <w:rFonts w:ascii="Arial" w:hAnsi="Arial" w:cs="Arial"/>
        </w:rPr>
        <w:t>11</w:t>
      </w:r>
      <w:r w:rsidRPr="00BD1B7F">
        <w:rPr>
          <w:rFonts w:ascii="Arial" w:hAnsi="Arial" w:cs="Arial"/>
        </w:rPr>
        <w:t xml:space="preserve"> to 20</w:t>
      </w:r>
      <w:r w:rsidR="00064749" w:rsidRPr="00BD1B7F">
        <w:rPr>
          <w:rFonts w:ascii="Arial" w:hAnsi="Arial" w:cs="Arial"/>
        </w:rPr>
        <w:t>21</w:t>
      </w:r>
      <w:r w:rsidRPr="00BD1B7F">
        <w:rPr>
          <w:rFonts w:ascii="Arial" w:hAnsi="Arial" w:cs="Arial"/>
        </w:rPr>
        <w:t xml:space="preserve"> to stabilize the model. Calibration was performed using the SWAT-CUP tool (Abbaspour et al., 2007) to enhance the model’s accuracy and overall performance. The goal was to achieve reliable statistical indicators such as the coefficient of determination (R²) and Nash–Sutcliffe Efficiency (NSE). After calibration, the model produced R² and NSE values of 0.8</w:t>
      </w:r>
      <w:r w:rsidR="00064749" w:rsidRPr="00BD1B7F">
        <w:rPr>
          <w:rFonts w:ascii="Arial" w:hAnsi="Arial" w:cs="Arial"/>
        </w:rPr>
        <w:t>3</w:t>
      </w:r>
      <w:r w:rsidRPr="00BD1B7F">
        <w:rPr>
          <w:rFonts w:ascii="Arial" w:hAnsi="Arial" w:cs="Arial"/>
        </w:rPr>
        <w:t xml:space="preserve"> and 0.</w:t>
      </w:r>
      <w:r w:rsidR="00064749" w:rsidRPr="00BD1B7F">
        <w:rPr>
          <w:rFonts w:ascii="Arial" w:hAnsi="Arial" w:cs="Arial"/>
        </w:rPr>
        <w:t>82</w:t>
      </w:r>
      <w:r w:rsidRPr="00BD1B7F">
        <w:rPr>
          <w:rFonts w:ascii="Arial" w:hAnsi="Arial" w:cs="Arial"/>
        </w:rPr>
        <w:t>, respectively.</w:t>
      </w:r>
    </w:p>
    <w:p w14:paraId="27EB1781" w14:textId="0ED0E8D4" w:rsidR="00753B1F" w:rsidRPr="00BD1B7F" w:rsidRDefault="00753B1F" w:rsidP="007447F7">
      <w:pPr>
        <w:spacing w:line="276" w:lineRule="auto"/>
        <w:ind w:firstLine="720"/>
        <w:jc w:val="both"/>
        <w:rPr>
          <w:rFonts w:ascii="Arial" w:hAnsi="Arial" w:cs="Arial"/>
        </w:rPr>
      </w:pPr>
      <w:r w:rsidRPr="00BD1B7F">
        <w:rPr>
          <w:rFonts w:ascii="Arial" w:hAnsi="Arial" w:cs="Arial"/>
        </w:rPr>
        <w:t>Model validation was conducted for the period 201</w:t>
      </w:r>
      <w:r w:rsidR="00064749" w:rsidRPr="00BD1B7F">
        <w:rPr>
          <w:rFonts w:ascii="Arial" w:hAnsi="Arial" w:cs="Arial"/>
        </w:rPr>
        <w:t>1</w:t>
      </w:r>
      <w:r w:rsidRPr="00BD1B7F">
        <w:rPr>
          <w:rFonts w:ascii="Arial" w:hAnsi="Arial" w:cs="Arial"/>
        </w:rPr>
        <w:t xml:space="preserve"> to 20</w:t>
      </w:r>
      <w:r w:rsidR="00064749" w:rsidRPr="00BD1B7F">
        <w:rPr>
          <w:rFonts w:ascii="Arial" w:hAnsi="Arial" w:cs="Arial"/>
        </w:rPr>
        <w:t>21</w:t>
      </w:r>
      <w:r w:rsidRPr="00BD1B7F">
        <w:rPr>
          <w:rFonts w:ascii="Arial" w:hAnsi="Arial" w:cs="Arial"/>
        </w:rPr>
        <w:t xml:space="preserve"> to assess the reliability of the calibrated model. This step was also performed using the SWAT-CUP interface. During validation, the R² and NSE values improved to 0.8</w:t>
      </w:r>
      <w:r w:rsidR="00064749" w:rsidRPr="00BD1B7F">
        <w:rPr>
          <w:rFonts w:ascii="Arial" w:hAnsi="Arial" w:cs="Arial"/>
        </w:rPr>
        <w:t>4</w:t>
      </w:r>
      <w:r w:rsidRPr="00BD1B7F">
        <w:rPr>
          <w:rFonts w:ascii="Arial" w:hAnsi="Arial" w:cs="Arial"/>
        </w:rPr>
        <w:t xml:space="preserve"> and 0.8</w:t>
      </w:r>
      <w:r w:rsidR="00064749" w:rsidRPr="00BD1B7F">
        <w:rPr>
          <w:rFonts w:ascii="Arial" w:hAnsi="Arial" w:cs="Arial"/>
        </w:rPr>
        <w:t>8</w:t>
      </w:r>
      <w:r w:rsidRPr="00BD1B7F">
        <w:rPr>
          <w:rFonts w:ascii="Arial" w:hAnsi="Arial" w:cs="Arial"/>
        </w:rPr>
        <w:t>, respectively. Since both statistical indicators exceeded acceptable performance thresholds, the model results were considered satisfactory and reliable.</w:t>
      </w:r>
    </w:p>
    <w:p w14:paraId="1E4478F1" w14:textId="32F55C4D" w:rsidR="00F5078E" w:rsidRPr="00BD1B7F" w:rsidRDefault="00F5078E" w:rsidP="007447F7">
      <w:pPr>
        <w:spacing w:line="276" w:lineRule="auto"/>
        <w:ind w:firstLine="720"/>
        <w:jc w:val="both"/>
        <w:rPr>
          <w:rFonts w:ascii="Arial" w:hAnsi="Arial" w:cs="Arial"/>
        </w:rPr>
      </w:pPr>
      <w:r w:rsidRPr="00BD1B7F">
        <w:rPr>
          <w:rFonts w:ascii="Arial" w:hAnsi="Arial" w:cs="Arial"/>
        </w:rPr>
        <w:t xml:space="preserve">The variations in annual surface runoff for the </w:t>
      </w:r>
      <w:proofErr w:type="spellStart"/>
      <w:r w:rsidR="00064749" w:rsidRPr="00BD1B7F">
        <w:rPr>
          <w:rFonts w:ascii="Arial" w:hAnsi="Arial" w:cs="Arial"/>
        </w:rPr>
        <w:t>Jonk</w:t>
      </w:r>
      <w:proofErr w:type="spellEnd"/>
      <w:r w:rsidR="00064749" w:rsidRPr="00BD1B7F">
        <w:rPr>
          <w:rFonts w:ascii="Arial" w:hAnsi="Arial" w:cs="Arial"/>
        </w:rPr>
        <w:t xml:space="preserve"> </w:t>
      </w:r>
      <w:proofErr w:type="spellStart"/>
      <w:r w:rsidR="00064749" w:rsidRPr="00BD1B7F">
        <w:rPr>
          <w:rFonts w:ascii="Arial" w:hAnsi="Arial" w:cs="Arial"/>
        </w:rPr>
        <w:t>subbasin</w:t>
      </w:r>
      <w:proofErr w:type="spellEnd"/>
      <w:r w:rsidRPr="00BD1B7F">
        <w:rPr>
          <w:rFonts w:ascii="Arial" w:hAnsi="Arial" w:cs="Arial"/>
        </w:rPr>
        <w:t xml:space="preserve"> over the past decade are summarized in Table 5, indicating a noticeable upward trend in runoff </w:t>
      </w:r>
      <w:r w:rsidRPr="00BD1B7F">
        <w:rPr>
          <w:rFonts w:ascii="Arial" w:hAnsi="Arial" w:cs="Arial"/>
        </w:rPr>
        <w:lastRenderedPageBreak/>
        <w:t xml:space="preserve">values. The results suggest that surface runoff has increased over time. The </w:t>
      </w:r>
      <w:proofErr w:type="spellStart"/>
      <w:r w:rsidR="00064749"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 successfully captured these changes with a high level of reliability. By operating on a monthly time scale, the model was able to represent fluctuations in runoff with considerable accuracy.</w:t>
      </w:r>
    </w:p>
    <w:p w14:paraId="7A82F912" w14:textId="65598432" w:rsidR="00A577E9"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Table 5: Observed vs Simulated Discharge for monthly time step</w:t>
      </w:r>
    </w:p>
    <w:tbl>
      <w:tblPr>
        <w:tblW w:w="0" w:type="auto"/>
        <w:tblLayout w:type="fixed"/>
        <w:tblLook w:val="0000" w:firstRow="0" w:lastRow="0" w:firstColumn="0" w:lastColumn="0" w:noHBand="0" w:noVBand="0"/>
      </w:tblPr>
      <w:tblGrid>
        <w:gridCol w:w="918"/>
        <w:gridCol w:w="3240"/>
        <w:gridCol w:w="3240"/>
      </w:tblGrid>
      <w:tr w:rsidR="00F5078E" w:rsidRPr="00BD1B7F" w14:paraId="2A9A402C" w14:textId="77777777" w:rsidTr="002C4727">
        <w:trPr>
          <w:trHeight w:val="245"/>
        </w:trPr>
        <w:tc>
          <w:tcPr>
            <w:tcW w:w="918" w:type="dxa"/>
            <w:tcBorders>
              <w:top w:val="single" w:sz="4" w:space="0" w:color="auto"/>
              <w:bottom w:val="single" w:sz="4" w:space="0" w:color="auto"/>
            </w:tcBorders>
          </w:tcPr>
          <w:p w14:paraId="7AB40A04" w14:textId="77777777" w:rsidR="00F5078E" w:rsidRPr="00BD1B7F" w:rsidRDefault="00F5078E" w:rsidP="007447F7">
            <w:pPr>
              <w:spacing w:line="276" w:lineRule="auto"/>
              <w:jc w:val="both"/>
              <w:rPr>
                <w:rFonts w:ascii="Arial" w:hAnsi="Arial" w:cs="Arial"/>
                <w:b/>
                <w:bCs/>
              </w:rPr>
            </w:pPr>
            <w:r w:rsidRPr="00BD1B7F">
              <w:rPr>
                <w:rFonts w:ascii="Arial" w:hAnsi="Arial" w:cs="Arial"/>
                <w:b/>
                <w:bCs/>
              </w:rPr>
              <w:t xml:space="preserve">Year </w:t>
            </w:r>
          </w:p>
        </w:tc>
        <w:tc>
          <w:tcPr>
            <w:tcW w:w="3240" w:type="dxa"/>
            <w:tcBorders>
              <w:top w:val="single" w:sz="4" w:space="0" w:color="auto"/>
              <w:bottom w:val="single" w:sz="4" w:space="0" w:color="auto"/>
            </w:tcBorders>
          </w:tcPr>
          <w:p w14:paraId="2DC97F80" w14:textId="102A7CAF" w:rsidR="00F5078E" w:rsidRPr="00BD1B7F" w:rsidRDefault="00F5078E" w:rsidP="007447F7">
            <w:pPr>
              <w:spacing w:line="276" w:lineRule="auto"/>
              <w:jc w:val="both"/>
              <w:rPr>
                <w:rFonts w:ascii="Arial" w:hAnsi="Arial" w:cs="Arial"/>
                <w:b/>
                <w:bCs/>
              </w:rPr>
            </w:pPr>
            <w:r w:rsidRPr="00BD1B7F">
              <w:rPr>
                <w:rFonts w:ascii="Arial" w:hAnsi="Arial" w:cs="Arial"/>
                <w:b/>
                <w:bCs/>
              </w:rPr>
              <w:t>Observed Discharge (m</w:t>
            </w:r>
            <w:r w:rsidRPr="00BD1B7F">
              <w:rPr>
                <w:rFonts w:ascii="Arial" w:hAnsi="Arial" w:cs="Arial"/>
                <w:b/>
                <w:bCs/>
                <w:vertAlign w:val="superscript"/>
              </w:rPr>
              <w:t>3</w:t>
            </w:r>
            <w:r w:rsidRPr="00BD1B7F">
              <w:rPr>
                <w:rFonts w:ascii="Arial" w:hAnsi="Arial" w:cs="Arial"/>
                <w:b/>
                <w:bCs/>
              </w:rPr>
              <w:t xml:space="preserve">/s) </w:t>
            </w:r>
          </w:p>
        </w:tc>
        <w:tc>
          <w:tcPr>
            <w:tcW w:w="3240" w:type="dxa"/>
            <w:tcBorders>
              <w:top w:val="single" w:sz="4" w:space="0" w:color="auto"/>
              <w:bottom w:val="single" w:sz="4" w:space="0" w:color="auto"/>
            </w:tcBorders>
          </w:tcPr>
          <w:p w14:paraId="262D1563" w14:textId="77777777" w:rsidR="00F5078E" w:rsidRPr="00BD1B7F" w:rsidRDefault="00F5078E" w:rsidP="007447F7">
            <w:pPr>
              <w:spacing w:line="276" w:lineRule="auto"/>
              <w:jc w:val="both"/>
              <w:rPr>
                <w:rFonts w:ascii="Arial" w:hAnsi="Arial" w:cs="Arial"/>
                <w:b/>
                <w:bCs/>
              </w:rPr>
            </w:pPr>
            <w:r w:rsidRPr="00BD1B7F">
              <w:rPr>
                <w:rFonts w:ascii="Arial" w:hAnsi="Arial" w:cs="Arial"/>
                <w:b/>
                <w:bCs/>
              </w:rPr>
              <w:t>Simulated Discharge (m</w:t>
            </w:r>
            <w:r w:rsidRPr="00BD1B7F">
              <w:rPr>
                <w:rFonts w:ascii="Arial" w:hAnsi="Arial" w:cs="Arial"/>
                <w:b/>
                <w:bCs/>
                <w:vertAlign w:val="superscript"/>
              </w:rPr>
              <w:t>3</w:t>
            </w:r>
            <w:r w:rsidRPr="00BD1B7F">
              <w:rPr>
                <w:rFonts w:ascii="Arial" w:hAnsi="Arial" w:cs="Arial"/>
                <w:b/>
                <w:bCs/>
              </w:rPr>
              <w:t xml:space="preserve">/s) </w:t>
            </w:r>
          </w:p>
        </w:tc>
      </w:tr>
      <w:tr w:rsidR="004520DF" w:rsidRPr="00BD1B7F" w14:paraId="101B44D6" w14:textId="77777777" w:rsidTr="002C4727">
        <w:trPr>
          <w:trHeight w:val="111"/>
        </w:trPr>
        <w:tc>
          <w:tcPr>
            <w:tcW w:w="918" w:type="dxa"/>
            <w:tcBorders>
              <w:top w:val="single" w:sz="4" w:space="0" w:color="auto"/>
            </w:tcBorders>
          </w:tcPr>
          <w:p w14:paraId="7A9C9D37" w14:textId="76F0DCCC" w:rsidR="004520DF" w:rsidRPr="00BD1B7F" w:rsidRDefault="00CE7718" w:rsidP="007447F7">
            <w:pPr>
              <w:spacing w:line="276" w:lineRule="auto"/>
              <w:rPr>
                <w:rFonts w:ascii="Arial" w:hAnsi="Arial" w:cs="Arial"/>
                <w:b/>
                <w:bCs/>
              </w:rPr>
            </w:pPr>
            <w:r w:rsidRPr="00BD1B7F">
              <w:rPr>
                <w:rFonts w:ascii="Arial" w:hAnsi="Arial" w:cs="Arial"/>
                <w:b/>
                <w:bCs/>
              </w:rPr>
              <w:t>1991</w:t>
            </w:r>
          </w:p>
        </w:tc>
        <w:tc>
          <w:tcPr>
            <w:tcW w:w="3240" w:type="dxa"/>
            <w:tcBorders>
              <w:top w:val="single" w:sz="4" w:space="0" w:color="auto"/>
            </w:tcBorders>
            <w:vAlign w:val="bottom"/>
          </w:tcPr>
          <w:p w14:paraId="654840E3" w14:textId="49E07427" w:rsidR="004520DF" w:rsidRPr="00BD1B7F" w:rsidRDefault="00CE7718" w:rsidP="007447F7">
            <w:pPr>
              <w:spacing w:line="276" w:lineRule="auto"/>
              <w:jc w:val="center"/>
              <w:rPr>
                <w:rFonts w:ascii="Arial" w:hAnsi="Arial" w:cs="Arial"/>
                <w:b/>
                <w:bCs/>
              </w:rPr>
            </w:pPr>
            <w:r w:rsidRPr="00BD1B7F">
              <w:rPr>
                <w:rFonts w:ascii="Arial" w:hAnsi="Arial" w:cs="Arial"/>
                <w:color w:val="000000"/>
              </w:rPr>
              <w:t>622.57</w:t>
            </w:r>
          </w:p>
        </w:tc>
        <w:tc>
          <w:tcPr>
            <w:tcW w:w="3240" w:type="dxa"/>
            <w:tcBorders>
              <w:top w:val="single" w:sz="4" w:space="0" w:color="auto"/>
            </w:tcBorders>
            <w:vAlign w:val="bottom"/>
          </w:tcPr>
          <w:p w14:paraId="1FEE32B0" w14:textId="09338976" w:rsidR="004520DF" w:rsidRPr="00BD1B7F" w:rsidRDefault="00CE7718" w:rsidP="007447F7">
            <w:pPr>
              <w:spacing w:line="276" w:lineRule="auto"/>
              <w:jc w:val="center"/>
              <w:rPr>
                <w:rFonts w:ascii="Arial" w:hAnsi="Arial" w:cs="Arial"/>
                <w:b/>
                <w:bCs/>
              </w:rPr>
            </w:pPr>
            <w:r w:rsidRPr="00BD1B7F">
              <w:rPr>
                <w:rFonts w:ascii="Arial" w:hAnsi="Arial" w:cs="Arial"/>
                <w:color w:val="000000"/>
              </w:rPr>
              <w:t>454.82</w:t>
            </w:r>
          </w:p>
        </w:tc>
      </w:tr>
      <w:tr w:rsidR="004520DF" w:rsidRPr="00BD1B7F" w14:paraId="1EBA6D45" w14:textId="77777777" w:rsidTr="002C4727">
        <w:trPr>
          <w:trHeight w:val="111"/>
        </w:trPr>
        <w:tc>
          <w:tcPr>
            <w:tcW w:w="918" w:type="dxa"/>
            <w:tcBorders>
              <w:bottom w:val="single" w:sz="4" w:space="0" w:color="auto"/>
            </w:tcBorders>
          </w:tcPr>
          <w:p w14:paraId="012C7061" w14:textId="32AD8BE1" w:rsidR="004520DF" w:rsidRPr="00BD1B7F" w:rsidRDefault="004520DF" w:rsidP="007447F7">
            <w:pPr>
              <w:spacing w:line="276" w:lineRule="auto"/>
              <w:rPr>
                <w:rFonts w:ascii="Arial" w:hAnsi="Arial" w:cs="Arial"/>
                <w:b/>
                <w:bCs/>
              </w:rPr>
            </w:pPr>
            <w:r w:rsidRPr="00BD1B7F">
              <w:rPr>
                <w:rFonts w:ascii="Arial" w:hAnsi="Arial" w:cs="Arial"/>
                <w:b/>
                <w:bCs/>
              </w:rPr>
              <w:t>2021</w:t>
            </w:r>
          </w:p>
        </w:tc>
        <w:tc>
          <w:tcPr>
            <w:tcW w:w="3240" w:type="dxa"/>
            <w:tcBorders>
              <w:bottom w:val="single" w:sz="4" w:space="0" w:color="auto"/>
            </w:tcBorders>
            <w:vAlign w:val="bottom"/>
          </w:tcPr>
          <w:p w14:paraId="20DFFA47" w14:textId="01108AFD" w:rsidR="004520DF" w:rsidRPr="00BD1B7F" w:rsidRDefault="004520DF" w:rsidP="007447F7">
            <w:pPr>
              <w:spacing w:line="276" w:lineRule="auto"/>
              <w:jc w:val="center"/>
              <w:rPr>
                <w:rFonts w:ascii="Arial" w:hAnsi="Arial" w:cs="Arial"/>
                <w:b/>
                <w:bCs/>
              </w:rPr>
            </w:pPr>
            <w:r w:rsidRPr="00BD1B7F">
              <w:rPr>
                <w:rFonts w:ascii="Arial" w:hAnsi="Arial" w:cs="Arial"/>
                <w:color w:val="000000"/>
              </w:rPr>
              <w:t>371.78</w:t>
            </w:r>
          </w:p>
        </w:tc>
        <w:tc>
          <w:tcPr>
            <w:tcW w:w="3240" w:type="dxa"/>
            <w:tcBorders>
              <w:bottom w:val="single" w:sz="4" w:space="0" w:color="auto"/>
            </w:tcBorders>
            <w:vAlign w:val="bottom"/>
          </w:tcPr>
          <w:p w14:paraId="4B9142BF" w14:textId="3083DEE8" w:rsidR="004520DF" w:rsidRPr="00BD1B7F" w:rsidRDefault="004520DF" w:rsidP="007447F7">
            <w:pPr>
              <w:spacing w:line="276" w:lineRule="auto"/>
              <w:jc w:val="center"/>
              <w:rPr>
                <w:rFonts w:ascii="Arial" w:hAnsi="Arial" w:cs="Arial"/>
                <w:b/>
                <w:bCs/>
              </w:rPr>
            </w:pPr>
            <w:r w:rsidRPr="00BD1B7F">
              <w:rPr>
                <w:rFonts w:ascii="Arial" w:hAnsi="Arial" w:cs="Arial"/>
                <w:color w:val="000000"/>
              </w:rPr>
              <w:t>402.66</w:t>
            </w:r>
          </w:p>
        </w:tc>
      </w:tr>
    </w:tbl>
    <w:p w14:paraId="22AFBAAE" w14:textId="77777777" w:rsidR="00064749" w:rsidRPr="00BD1B7F" w:rsidRDefault="00064749" w:rsidP="007447F7">
      <w:pPr>
        <w:spacing w:line="276" w:lineRule="auto"/>
        <w:jc w:val="both"/>
        <w:rPr>
          <w:rFonts w:ascii="Arial" w:hAnsi="Arial" w:cs="Arial"/>
          <w:b/>
          <w:bCs/>
        </w:rPr>
      </w:pPr>
    </w:p>
    <w:p w14:paraId="364B106E" w14:textId="7D4C229B" w:rsidR="007F3CE1" w:rsidRPr="00BD1B7F" w:rsidRDefault="00664970" w:rsidP="007447F7">
      <w:pPr>
        <w:spacing w:line="276" w:lineRule="auto"/>
        <w:jc w:val="both"/>
        <w:rPr>
          <w:rFonts w:ascii="Arial" w:hAnsi="Arial" w:cs="Arial"/>
          <w:b/>
          <w:bCs/>
        </w:rPr>
      </w:pPr>
      <w:r w:rsidRPr="00BD1B7F">
        <w:rPr>
          <w:rFonts w:ascii="Arial" w:hAnsi="Arial" w:cs="Arial"/>
          <w:b/>
          <w:bCs/>
        </w:rPr>
        <w:t>4</w:t>
      </w:r>
      <w:r w:rsidR="00560670" w:rsidRPr="00BD1B7F">
        <w:rPr>
          <w:rFonts w:ascii="Arial" w:hAnsi="Arial" w:cs="Arial"/>
          <w:b/>
          <w:bCs/>
        </w:rPr>
        <w:t xml:space="preserve">. </w:t>
      </w:r>
      <w:r w:rsidR="007F3CE1" w:rsidRPr="00BD1B7F">
        <w:rPr>
          <w:rFonts w:ascii="Arial" w:hAnsi="Arial" w:cs="Arial"/>
          <w:b/>
          <w:bCs/>
        </w:rPr>
        <w:t>Conclusion</w:t>
      </w:r>
    </w:p>
    <w:p w14:paraId="750A9B51" w14:textId="77777777" w:rsidR="00D070C0" w:rsidRDefault="00D070C0" w:rsidP="007447F7">
      <w:pPr>
        <w:spacing w:line="276" w:lineRule="auto"/>
        <w:ind w:firstLine="720"/>
        <w:jc w:val="both"/>
        <w:rPr>
          <w:rFonts w:ascii="Arial" w:hAnsi="Arial" w:cs="Arial"/>
        </w:rPr>
      </w:pPr>
      <w:r w:rsidRPr="00BD1B7F">
        <w:rPr>
          <w:rFonts w:ascii="Arial" w:hAnsi="Arial" w:cs="Arial"/>
        </w:rPr>
        <w:t xml:space="preserve">The study reveals that LULC changes in the </w:t>
      </w:r>
      <w:proofErr w:type="spellStart"/>
      <w:r w:rsidRPr="00BD1B7F">
        <w:rPr>
          <w:rFonts w:ascii="Arial" w:hAnsi="Arial" w:cs="Arial"/>
        </w:rPr>
        <w:t>Jonk</w:t>
      </w:r>
      <w:proofErr w:type="spellEnd"/>
      <w:r w:rsidRPr="00BD1B7F">
        <w:rPr>
          <w:rFonts w:ascii="Arial" w:hAnsi="Arial" w:cs="Arial"/>
        </w:rPr>
        <w:t xml:space="preserve"> sub-basin, particularly the increase in agriculture (36.03% to 41.44%) and built-up areas alongside a decline in forest cover (34.52% to 30.02%), have significantly increased surface runoff. This is reflected in the rise of Curve Number (73.1 to 83.6) and mean annual runoff (340.82 mm to 377.29 mm, ~9–11%), with notable increases during monsoon months. The SWAT model performed reliably (R² up to 0.84, NSE up to 0.88), confirming the strong impact of land transformation on hydrology. Overall, the results highlight increased flood risk and reduced infiltration, emphasizing the need for sustainable land management practices.</w:t>
      </w:r>
    </w:p>
    <w:p w14:paraId="73A250C4" w14:textId="77777777" w:rsidR="00BC3AFF" w:rsidRDefault="00BC3AFF" w:rsidP="007447F7">
      <w:pPr>
        <w:spacing w:line="276" w:lineRule="auto"/>
        <w:ind w:firstLine="720"/>
        <w:jc w:val="both"/>
        <w:rPr>
          <w:rFonts w:ascii="Arial" w:hAnsi="Arial" w:cs="Arial"/>
        </w:rPr>
      </w:pPr>
    </w:p>
    <w:p w14:paraId="07930492" w14:textId="77777777" w:rsidR="00BC3AFF" w:rsidRPr="00BC3AFF" w:rsidRDefault="00BC3AFF" w:rsidP="00BC3AFF">
      <w:pPr>
        <w:spacing w:line="276" w:lineRule="auto"/>
        <w:ind w:firstLine="720"/>
        <w:jc w:val="both"/>
        <w:rPr>
          <w:rFonts w:ascii="Arial" w:hAnsi="Arial" w:cs="Arial"/>
        </w:rPr>
      </w:pPr>
      <w:r w:rsidRPr="00BC3AFF">
        <w:rPr>
          <w:rFonts w:ascii="Arial" w:hAnsi="Arial" w:cs="Arial"/>
        </w:rPr>
        <w:t>COMPETING INTERESTS DISCLAIMER:</w:t>
      </w:r>
    </w:p>
    <w:p w14:paraId="2E2304FF" w14:textId="77777777" w:rsidR="00BC3AFF" w:rsidRPr="00BC3AFF" w:rsidRDefault="00BC3AFF" w:rsidP="00BC3AFF">
      <w:pPr>
        <w:spacing w:line="276" w:lineRule="auto"/>
        <w:ind w:firstLine="720"/>
        <w:jc w:val="both"/>
        <w:rPr>
          <w:rFonts w:ascii="Arial" w:hAnsi="Arial" w:cs="Arial"/>
        </w:rPr>
      </w:pPr>
      <w:r w:rsidRPr="00BC3AFF">
        <w:rPr>
          <w:rFonts w:ascii="Arial" w:hAnsi="Arial" w:cs="Arial"/>
        </w:rPr>
        <w:t>Authors have declared that they have no known competing financial interests OR non-financial interests OR personal relationships that could have appeared to influence the work reported in this paper.</w:t>
      </w:r>
    </w:p>
    <w:p w14:paraId="108367B5" w14:textId="77777777" w:rsidR="00BC3AFF" w:rsidRPr="00BC3AFF" w:rsidRDefault="00BC3AFF" w:rsidP="00BC3AFF">
      <w:pPr>
        <w:spacing w:line="276" w:lineRule="auto"/>
        <w:ind w:firstLine="720"/>
        <w:jc w:val="both"/>
        <w:rPr>
          <w:rFonts w:ascii="Arial" w:hAnsi="Arial" w:cs="Arial"/>
        </w:rPr>
      </w:pPr>
    </w:p>
    <w:p w14:paraId="13A8941F" w14:textId="77777777" w:rsidR="00BC3AFF" w:rsidRPr="00BD1B7F" w:rsidRDefault="00BC3AFF" w:rsidP="007447F7">
      <w:pPr>
        <w:spacing w:line="276" w:lineRule="auto"/>
        <w:ind w:firstLine="720"/>
        <w:jc w:val="both"/>
        <w:rPr>
          <w:rFonts w:ascii="Arial" w:hAnsi="Arial" w:cs="Arial"/>
        </w:rPr>
      </w:pPr>
    </w:p>
    <w:p w14:paraId="7137356F" w14:textId="78E39B58" w:rsidR="00625AC4" w:rsidRPr="00BD1B7F" w:rsidRDefault="00625AC4" w:rsidP="007447F7">
      <w:pPr>
        <w:spacing w:line="276" w:lineRule="auto"/>
        <w:jc w:val="both"/>
        <w:rPr>
          <w:rFonts w:ascii="Arial" w:hAnsi="Arial" w:cs="Arial"/>
          <w:b/>
          <w:bCs/>
        </w:rPr>
      </w:pPr>
      <w:r w:rsidRPr="00BD1B7F">
        <w:rPr>
          <w:rFonts w:ascii="Arial" w:hAnsi="Arial" w:cs="Arial"/>
          <w:b/>
          <w:bCs/>
        </w:rPr>
        <w:t>References</w:t>
      </w:r>
    </w:p>
    <w:p w14:paraId="6466C930"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Abbaspour, K. C. (2011). </w:t>
      </w:r>
      <w:r w:rsidRPr="00BD1B7F">
        <w:rPr>
          <w:rFonts w:ascii="Arial" w:hAnsi="Arial" w:cs="Arial"/>
          <w:i/>
          <w:iCs/>
        </w:rPr>
        <w:t>SWAT-CUP: SWAT Calibration and Uncertainty Programs – A User Manual</w:t>
      </w:r>
      <w:r w:rsidRPr="00BD1B7F">
        <w:rPr>
          <w:rFonts w:ascii="Arial" w:hAnsi="Arial" w:cs="Arial"/>
        </w:rPr>
        <w:t>. Swiss Federal Institute of Aquatic Science and Technology (</w:t>
      </w:r>
      <w:proofErr w:type="spellStart"/>
      <w:r w:rsidRPr="00BD1B7F">
        <w:rPr>
          <w:rFonts w:ascii="Arial" w:hAnsi="Arial" w:cs="Arial"/>
        </w:rPr>
        <w:t>Eawag</w:t>
      </w:r>
      <w:proofErr w:type="spellEnd"/>
      <w:r w:rsidRPr="00BD1B7F">
        <w:rPr>
          <w:rFonts w:ascii="Arial" w:hAnsi="Arial" w:cs="Arial"/>
        </w:rPr>
        <w:t xml:space="preserve">), </w:t>
      </w:r>
      <w:proofErr w:type="spellStart"/>
      <w:r w:rsidRPr="00BD1B7F">
        <w:rPr>
          <w:rFonts w:ascii="Arial" w:hAnsi="Arial" w:cs="Arial"/>
        </w:rPr>
        <w:t>Dübendorf</w:t>
      </w:r>
      <w:proofErr w:type="spellEnd"/>
      <w:r w:rsidRPr="00BD1B7F">
        <w:rPr>
          <w:rFonts w:ascii="Arial" w:hAnsi="Arial" w:cs="Arial"/>
        </w:rPr>
        <w:t>, Switzerland.</w:t>
      </w:r>
    </w:p>
    <w:p w14:paraId="5641245B"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Abbaspour, K. C., Johnson, C. A., &amp; van </w:t>
      </w:r>
      <w:proofErr w:type="spellStart"/>
      <w:r w:rsidRPr="00BD1B7F">
        <w:rPr>
          <w:rFonts w:ascii="Arial" w:hAnsi="Arial" w:cs="Arial"/>
        </w:rPr>
        <w:t>Genuchten</w:t>
      </w:r>
      <w:proofErr w:type="spellEnd"/>
      <w:r w:rsidRPr="00BD1B7F">
        <w:rPr>
          <w:rFonts w:ascii="Arial" w:hAnsi="Arial" w:cs="Arial"/>
        </w:rPr>
        <w:t xml:space="preserve">, M. T. (2004). Estimating uncertain flow and transport parameters using a sequential uncertainty fitting procedure. </w:t>
      </w:r>
      <w:r w:rsidRPr="00BD1B7F">
        <w:rPr>
          <w:rFonts w:ascii="Arial" w:hAnsi="Arial" w:cs="Arial"/>
          <w:i/>
          <w:iCs/>
        </w:rPr>
        <w:t>Vadose Zone Journal</w:t>
      </w:r>
      <w:r w:rsidRPr="00BD1B7F">
        <w:rPr>
          <w:rFonts w:ascii="Arial" w:hAnsi="Arial" w:cs="Arial"/>
        </w:rPr>
        <w:t>, 3(4), 1340–1352.</w:t>
      </w:r>
    </w:p>
    <w:p w14:paraId="1C1CA2CF"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Arnold, J. G., </w:t>
      </w:r>
      <w:proofErr w:type="spellStart"/>
      <w:r w:rsidRPr="00BD1B7F">
        <w:rPr>
          <w:rFonts w:ascii="Arial" w:hAnsi="Arial" w:cs="Arial"/>
        </w:rPr>
        <w:t>Moriasi</w:t>
      </w:r>
      <w:proofErr w:type="spellEnd"/>
      <w:r w:rsidRPr="00BD1B7F">
        <w:rPr>
          <w:rFonts w:ascii="Arial" w:hAnsi="Arial" w:cs="Arial"/>
        </w:rPr>
        <w:t xml:space="preserve">, D. N., Gassman, P. W., Abbaspour, K. C., White, M. J., Srinivasan, R., Harmel, R. D., Van Griensven, A., Van Liew, M. W., Kannan, N., &amp; Jha, M. K. (2012). SWAT: Model use, calibration, and validation. </w:t>
      </w:r>
      <w:r w:rsidRPr="00BD1B7F">
        <w:rPr>
          <w:rFonts w:ascii="Arial" w:hAnsi="Arial" w:cs="Arial"/>
          <w:i/>
          <w:iCs/>
        </w:rPr>
        <w:t>Transactions of the ASABE</w:t>
      </w:r>
      <w:r w:rsidRPr="00BD1B7F">
        <w:rPr>
          <w:rFonts w:ascii="Arial" w:hAnsi="Arial" w:cs="Arial"/>
        </w:rPr>
        <w:t>, 55(4), 1491–1508.</w:t>
      </w:r>
    </w:p>
    <w:p w14:paraId="119E9A52"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lastRenderedPageBreak/>
        <w:t xml:space="preserve">Arnold, J. G., Srinivasan, R., Muttiah, R. S., &amp; Williams, J. R. (1998). Large area hydrologic </w:t>
      </w:r>
      <w:proofErr w:type="spellStart"/>
      <w:r w:rsidRPr="00BD1B7F">
        <w:rPr>
          <w:rFonts w:ascii="Arial" w:hAnsi="Arial" w:cs="Arial"/>
        </w:rPr>
        <w:t>modeling</w:t>
      </w:r>
      <w:proofErr w:type="spellEnd"/>
      <w:r w:rsidRPr="00BD1B7F">
        <w:rPr>
          <w:rFonts w:ascii="Arial" w:hAnsi="Arial" w:cs="Arial"/>
        </w:rPr>
        <w:t xml:space="preserve"> and assessment: Part I—Model development. </w:t>
      </w:r>
      <w:r w:rsidRPr="00BD1B7F">
        <w:rPr>
          <w:rFonts w:ascii="Arial" w:hAnsi="Arial" w:cs="Arial"/>
          <w:i/>
          <w:iCs/>
        </w:rPr>
        <w:t>Journal of the American Water Resources Association</w:t>
      </w:r>
      <w:r w:rsidRPr="00BD1B7F">
        <w:rPr>
          <w:rFonts w:ascii="Arial" w:hAnsi="Arial" w:cs="Arial"/>
        </w:rPr>
        <w:t>, 34(1), 73–89.</w:t>
      </w:r>
    </w:p>
    <w:p w14:paraId="0C92FB55" w14:textId="77777777" w:rsidR="001C27D2" w:rsidRPr="00BD1B7F" w:rsidRDefault="001C27D2" w:rsidP="007447F7">
      <w:pPr>
        <w:spacing w:line="276" w:lineRule="auto"/>
        <w:ind w:left="720" w:hanging="360"/>
        <w:jc w:val="both"/>
        <w:rPr>
          <w:rFonts w:ascii="Arial" w:hAnsi="Arial" w:cs="Arial"/>
        </w:rPr>
      </w:pPr>
      <w:proofErr w:type="spellStart"/>
      <w:r w:rsidRPr="00BD1B7F">
        <w:rPr>
          <w:rFonts w:ascii="Arial" w:hAnsi="Arial" w:cs="Arial"/>
        </w:rPr>
        <w:t>Bewket</w:t>
      </w:r>
      <w:proofErr w:type="spellEnd"/>
      <w:r w:rsidRPr="00BD1B7F">
        <w:rPr>
          <w:rFonts w:ascii="Arial" w:hAnsi="Arial" w:cs="Arial"/>
        </w:rPr>
        <w:t xml:space="preserve">, W., &amp; Sterk, G. (2005). Dynamics in land cover and its effect on streamflow. </w:t>
      </w:r>
      <w:r w:rsidRPr="00BD1B7F">
        <w:rPr>
          <w:rFonts w:ascii="Arial" w:hAnsi="Arial" w:cs="Arial"/>
          <w:i/>
          <w:iCs/>
        </w:rPr>
        <w:t>Hydrological Processes</w:t>
      </w:r>
      <w:r w:rsidRPr="00BD1B7F">
        <w:rPr>
          <w:rFonts w:ascii="Arial" w:hAnsi="Arial" w:cs="Arial"/>
        </w:rPr>
        <w:t>, 19(2), 445–458.</w:t>
      </w:r>
    </w:p>
    <w:p w14:paraId="7DC0A08D"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Bosch, J. M., &amp; Hewlett, J. D. (1982). A review of vegetation effects on water yield. </w:t>
      </w:r>
      <w:r w:rsidRPr="00BD1B7F">
        <w:rPr>
          <w:rFonts w:ascii="Arial" w:hAnsi="Arial" w:cs="Arial"/>
          <w:i/>
          <w:iCs/>
        </w:rPr>
        <w:t>Journal of Hydrology</w:t>
      </w:r>
      <w:r w:rsidRPr="00BD1B7F">
        <w:rPr>
          <w:rFonts w:ascii="Arial" w:hAnsi="Arial" w:cs="Arial"/>
        </w:rPr>
        <w:t>, 55(1–4), 3–23.</w:t>
      </w:r>
    </w:p>
    <w:p w14:paraId="61DC35A9"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Costa, M. H., Botta, A., &amp; </w:t>
      </w:r>
      <w:proofErr w:type="spellStart"/>
      <w:r w:rsidRPr="00BD1B7F">
        <w:rPr>
          <w:rFonts w:ascii="Arial" w:hAnsi="Arial" w:cs="Arial"/>
        </w:rPr>
        <w:t>Cardille</w:t>
      </w:r>
      <w:proofErr w:type="spellEnd"/>
      <w:r w:rsidRPr="00BD1B7F">
        <w:rPr>
          <w:rFonts w:ascii="Arial" w:hAnsi="Arial" w:cs="Arial"/>
        </w:rPr>
        <w:t xml:space="preserve">, J. A. (2003). Effects of large-scale changes in land cover on river discharge. </w:t>
      </w:r>
      <w:r w:rsidRPr="00BD1B7F">
        <w:rPr>
          <w:rFonts w:ascii="Arial" w:hAnsi="Arial" w:cs="Arial"/>
          <w:i/>
          <w:iCs/>
        </w:rPr>
        <w:t>Journal of Hydrology</w:t>
      </w:r>
      <w:r w:rsidRPr="00BD1B7F">
        <w:rPr>
          <w:rFonts w:ascii="Arial" w:hAnsi="Arial" w:cs="Arial"/>
        </w:rPr>
        <w:t>, 283(1–4), 206–217.</w:t>
      </w:r>
    </w:p>
    <w:p w14:paraId="580378B9" w14:textId="77777777" w:rsidR="001C27D2" w:rsidRPr="00BD1B7F" w:rsidRDefault="001C27D2" w:rsidP="007447F7">
      <w:pPr>
        <w:spacing w:line="276" w:lineRule="auto"/>
        <w:ind w:left="720" w:hanging="360"/>
        <w:jc w:val="both"/>
        <w:rPr>
          <w:rFonts w:ascii="Arial" w:hAnsi="Arial" w:cs="Arial"/>
        </w:rPr>
      </w:pPr>
      <w:proofErr w:type="spellStart"/>
      <w:r w:rsidRPr="00BD1B7F">
        <w:rPr>
          <w:rFonts w:ascii="Arial" w:hAnsi="Arial" w:cs="Arial"/>
        </w:rPr>
        <w:t>Fohrer</w:t>
      </w:r>
      <w:proofErr w:type="spellEnd"/>
      <w:r w:rsidRPr="00BD1B7F">
        <w:rPr>
          <w:rFonts w:ascii="Arial" w:hAnsi="Arial" w:cs="Arial"/>
        </w:rPr>
        <w:t xml:space="preserve">, N., Haverkamp, S., Eckhardt, K., &amp; Frede, H. G. (2001). Hydrologic response to land use changes on the catchment scale. </w:t>
      </w:r>
      <w:r w:rsidRPr="00BD1B7F">
        <w:rPr>
          <w:rFonts w:ascii="Arial" w:hAnsi="Arial" w:cs="Arial"/>
          <w:i/>
          <w:iCs/>
        </w:rPr>
        <w:t>Physics and Chemistry of the Earth</w:t>
      </w:r>
      <w:r w:rsidRPr="00BD1B7F">
        <w:rPr>
          <w:rFonts w:ascii="Arial" w:hAnsi="Arial" w:cs="Arial"/>
        </w:rPr>
        <w:t>, 26(7–8), 577–582.</w:t>
      </w:r>
    </w:p>
    <w:p w14:paraId="183B335E"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Gassman, P. W., Reyes, M. R., Green, C. H., &amp; Arnold, J. G. (2007). The Soil and Water Assessment Tool: Historical development, applications, and future research directions. </w:t>
      </w:r>
      <w:r w:rsidRPr="00BD1B7F">
        <w:rPr>
          <w:rFonts w:ascii="Arial" w:hAnsi="Arial" w:cs="Arial"/>
          <w:i/>
          <w:iCs/>
        </w:rPr>
        <w:t>Transactions of the ASABE</w:t>
      </w:r>
      <w:r w:rsidRPr="00BD1B7F">
        <w:rPr>
          <w:rFonts w:ascii="Arial" w:hAnsi="Arial" w:cs="Arial"/>
        </w:rPr>
        <w:t>, 50(4), 1211–1250.</w:t>
      </w:r>
    </w:p>
    <w:p w14:paraId="322E4EAD"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Khoi, D. N., &amp; </w:t>
      </w:r>
      <w:proofErr w:type="spellStart"/>
      <w:r w:rsidRPr="00BD1B7F">
        <w:rPr>
          <w:rFonts w:ascii="Arial" w:hAnsi="Arial" w:cs="Arial"/>
        </w:rPr>
        <w:t>Suetsugi</w:t>
      </w:r>
      <w:proofErr w:type="spellEnd"/>
      <w:r w:rsidRPr="00BD1B7F">
        <w:rPr>
          <w:rFonts w:ascii="Arial" w:hAnsi="Arial" w:cs="Arial"/>
        </w:rPr>
        <w:t xml:space="preserve">, T. (2014). Hydrological response to land-use change. </w:t>
      </w:r>
      <w:r w:rsidRPr="00BD1B7F">
        <w:rPr>
          <w:rFonts w:ascii="Arial" w:hAnsi="Arial" w:cs="Arial"/>
          <w:i/>
          <w:iCs/>
        </w:rPr>
        <w:t>Hydrological Processes</w:t>
      </w:r>
      <w:r w:rsidRPr="00BD1B7F">
        <w:rPr>
          <w:rFonts w:ascii="Arial" w:hAnsi="Arial" w:cs="Arial"/>
        </w:rPr>
        <w:t>, 28(3), 640–652.</w:t>
      </w:r>
    </w:p>
    <w:p w14:paraId="358D1F29"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Li, Z., Liu, W. Z., Zhang, X. C., &amp; Zheng, F. L. (2009). Impacts of land use change on hydrology. </w:t>
      </w:r>
      <w:r w:rsidRPr="00BD1B7F">
        <w:rPr>
          <w:rFonts w:ascii="Arial" w:hAnsi="Arial" w:cs="Arial"/>
          <w:i/>
          <w:iCs/>
        </w:rPr>
        <w:t>Journal of Hydrology</w:t>
      </w:r>
      <w:r w:rsidRPr="00BD1B7F">
        <w:rPr>
          <w:rFonts w:ascii="Arial" w:hAnsi="Arial" w:cs="Arial"/>
        </w:rPr>
        <w:t>, 377(1–2), 35–42.</w:t>
      </w:r>
    </w:p>
    <w:p w14:paraId="01F13958"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color w:val="222222"/>
          <w:shd w:val="clear" w:color="auto" w:fill="FFFFFF"/>
        </w:rPr>
        <w:t xml:space="preserve">Mishra, V. K., </w:t>
      </w:r>
      <w:proofErr w:type="spellStart"/>
      <w:r w:rsidRPr="00BD1B7F">
        <w:rPr>
          <w:rFonts w:ascii="Arial" w:hAnsi="Arial" w:cs="Arial"/>
          <w:color w:val="222222"/>
          <w:shd w:val="clear" w:color="auto" w:fill="FFFFFF"/>
        </w:rPr>
        <w:t>Khalkho</w:t>
      </w:r>
      <w:proofErr w:type="spellEnd"/>
      <w:r w:rsidRPr="00BD1B7F">
        <w:rPr>
          <w:rFonts w:ascii="Arial" w:hAnsi="Arial" w:cs="Arial"/>
          <w:color w:val="222222"/>
          <w:shd w:val="clear" w:color="auto" w:fill="FFFFFF"/>
        </w:rPr>
        <w:t xml:space="preserve">, D., Pandey, V. K., &amp; Verma, S. (2024). Decadal Change in Land Use and Land Cover Dynamics: A Comprehensive Assessment of the </w:t>
      </w:r>
      <w:proofErr w:type="spellStart"/>
      <w:r w:rsidRPr="00BD1B7F">
        <w:rPr>
          <w:rFonts w:ascii="Arial" w:hAnsi="Arial" w:cs="Arial"/>
          <w:color w:val="222222"/>
          <w:shd w:val="clear" w:color="auto" w:fill="FFFFFF"/>
        </w:rPr>
        <w:t>Kharun</w:t>
      </w:r>
      <w:proofErr w:type="spellEnd"/>
      <w:r w:rsidRPr="00BD1B7F">
        <w:rPr>
          <w:rFonts w:ascii="Arial" w:hAnsi="Arial" w:cs="Arial"/>
          <w:color w:val="222222"/>
          <w:shd w:val="clear" w:color="auto" w:fill="FFFFFF"/>
        </w:rPr>
        <w:t xml:space="preserve"> Catchment. </w:t>
      </w:r>
      <w:r w:rsidRPr="00BD1B7F">
        <w:rPr>
          <w:rFonts w:ascii="Arial" w:hAnsi="Arial" w:cs="Arial"/>
          <w:i/>
          <w:iCs/>
          <w:color w:val="222222"/>
          <w:shd w:val="clear" w:color="auto" w:fill="FFFFFF"/>
        </w:rPr>
        <w:t>Journal of Scientific Research and Reports</w:t>
      </w:r>
      <w:r w:rsidRPr="00BD1B7F">
        <w:rPr>
          <w:rFonts w:ascii="Arial" w:hAnsi="Arial" w:cs="Arial"/>
          <w:color w:val="222222"/>
          <w:shd w:val="clear" w:color="auto" w:fill="FFFFFF"/>
        </w:rPr>
        <w:t>, </w:t>
      </w:r>
      <w:r w:rsidRPr="00BD1B7F">
        <w:rPr>
          <w:rFonts w:ascii="Arial" w:hAnsi="Arial" w:cs="Arial"/>
          <w:i/>
          <w:iCs/>
          <w:color w:val="222222"/>
          <w:shd w:val="clear" w:color="auto" w:fill="FFFFFF"/>
        </w:rPr>
        <w:t>30</w:t>
      </w:r>
      <w:r w:rsidRPr="00BD1B7F">
        <w:rPr>
          <w:rFonts w:ascii="Arial" w:hAnsi="Arial" w:cs="Arial"/>
          <w:color w:val="222222"/>
          <w:shd w:val="clear" w:color="auto" w:fill="FFFFFF"/>
        </w:rPr>
        <w:t>(12), 630-639.</w:t>
      </w:r>
    </w:p>
    <w:p w14:paraId="1E31A975" w14:textId="77777777" w:rsidR="001C27D2" w:rsidRPr="00BD1B7F" w:rsidRDefault="001C27D2" w:rsidP="007447F7">
      <w:pPr>
        <w:spacing w:line="276" w:lineRule="auto"/>
        <w:ind w:left="720" w:hanging="360"/>
        <w:jc w:val="both"/>
        <w:rPr>
          <w:rFonts w:ascii="Arial" w:hAnsi="Arial" w:cs="Arial"/>
        </w:rPr>
      </w:pPr>
      <w:proofErr w:type="spellStart"/>
      <w:r w:rsidRPr="00BD1B7F">
        <w:rPr>
          <w:rFonts w:ascii="Arial" w:hAnsi="Arial" w:cs="Arial"/>
        </w:rPr>
        <w:t>Moriasi</w:t>
      </w:r>
      <w:proofErr w:type="spellEnd"/>
      <w:r w:rsidRPr="00BD1B7F">
        <w:rPr>
          <w:rFonts w:ascii="Arial" w:hAnsi="Arial" w:cs="Arial"/>
        </w:rPr>
        <w:t xml:space="preserve">, D. N., Arnold, J. G., Van Liew, M. W., </w:t>
      </w:r>
      <w:proofErr w:type="spellStart"/>
      <w:r w:rsidRPr="00BD1B7F">
        <w:rPr>
          <w:rFonts w:ascii="Arial" w:hAnsi="Arial" w:cs="Arial"/>
        </w:rPr>
        <w:t>Bingner</w:t>
      </w:r>
      <w:proofErr w:type="spellEnd"/>
      <w:r w:rsidRPr="00BD1B7F">
        <w:rPr>
          <w:rFonts w:ascii="Arial" w:hAnsi="Arial" w:cs="Arial"/>
        </w:rPr>
        <w:t xml:space="preserve">, R. L., Harmel, R. D., &amp; Veith, T. L. (2007). Model evaluation guidelines for systematic quantification of accuracy in watershed simulations. </w:t>
      </w:r>
      <w:r w:rsidRPr="00BD1B7F">
        <w:rPr>
          <w:rFonts w:ascii="Arial" w:hAnsi="Arial" w:cs="Arial"/>
          <w:i/>
          <w:iCs/>
        </w:rPr>
        <w:t>Transactions of the ASABE</w:t>
      </w:r>
      <w:r w:rsidRPr="00BD1B7F">
        <w:rPr>
          <w:rFonts w:ascii="Arial" w:hAnsi="Arial" w:cs="Arial"/>
        </w:rPr>
        <w:t>, 50(3), 885–900.</w:t>
      </w:r>
    </w:p>
    <w:p w14:paraId="723EA1BB" w14:textId="77777777" w:rsidR="001C27D2" w:rsidRPr="00BD1B7F" w:rsidRDefault="001C27D2" w:rsidP="007447F7">
      <w:pPr>
        <w:spacing w:line="276" w:lineRule="auto"/>
        <w:ind w:left="720" w:hanging="360"/>
        <w:jc w:val="both"/>
        <w:rPr>
          <w:rFonts w:ascii="Arial" w:hAnsi="Arial" w:cs="Arial"/>
        </w:rPr>
      </w:pPr>
      <w:proofErr w:type="spellStart"/>
      <w:r w:rsidRPr="00BD1B7F">
        <w:rPr>
          <w:rFonts w:ascii="Arial" w:hAnsi="Arial" w:cs="Arial"/>
        </w:rPr>
        <w:t>Neitsch</w:t>
      </w:r>
      <w:proofErr w:type="spellEnd"/>
      <w:r w:rsidRPr="00BD1B7F">
        <w:rPr>
          <w:rFonts w:ascii="Arial" w:hAnsi="Arial" w:cs="Arial"/>
        </w:rPr>
        <w:t xml:space="preserve">, S. L., Arnold, J. G., Kiniry, J. R., &amp; Williams, J. R. (2011). </w:t>
      </w:r>
      <w:r w:rsidRPr="00BD1B7F">
        <w:rPr>
          <w:rFonts w:ascii="Arial" w:hAnsi="Arial" w:cs="Arial"/>
          <w:i/>
          <w:iCs/>
        </w:rPr>
        <w:t>Soil and Water Assessment Tool Theoretical Documentation Version 2009</w:t>
      </w:r>
      <w:r w:rsidRPr="00BD1B7F">
        <w:rPr>
          <w:rFonts w:ascii="Arial" w:hAnsi="Arial" w:cs="Arial"/>
        </w:rPr>
        <w:t>. Texas Water Resources Institute, Texas A&amp;M University, USA.</w:t>
      </w:r>
    </w:p>
    <w:p w14:paraId="67CF6490"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Niehoff, D., Fritsch, U., &amp; </w:t>
      </w:r>
      <w:proofErr w:type="spellStart"/>
      <w:r w:rsidRPr="00BD1B7F">
        <w:rPr>
          <w:rFonts w:ascii="Arial" w:hAnsi="Arial" w:cs="Arial"/>
        </w:rPr>
        <w:t>Bronstert</w:t>
      </w:r>
      <w:proofErr w:type="spellEnd"/>
      <w:r w:rsidRPr="00BD1B7F">
        <w:rPr>
          <w:rFonts w:ascii="Arial" w:hAnsi="Arial" w:cs="Arial"/>
        </w:rPr>
        <w:t xml:space="preserve">, A. (2002). Land-use impacts on storm-runoff generation. </w:t>
      </w:r>
      <w:r w:rsidRPr="00BD1B7F">
        <w:rPr>
          <w:rFonts w:ascii="Arial" w:hAnsi="Arial" w:cs="Arial"/>
          <w:i/>
          <w:iCs/>
        </w:rPr>
        <w:t>Journal of Hydrology</w:t>
      </w:r>
      <w:r w:rsidRPr="00BD1B7F">
        <w:rPr>
          <w:rFonts w:ascii="Arial" w:hAnsi="Arial" w:cs="Arial"/>
        </w:rPr>
        <w:t>, 267(1–2), 80–93.</w:t>
      </w:r>
    </w:p>
    <w:p w14:paraId="1A51DC3B" w14:textId="77777777" w:rsidR="001C27D2" w:rsidRPr="00BD1B7F" w:rsidRDefault="001C27D2" w:rsidP="007447F7">
      <w:pPr>
        <w:spacing w:line="276" w:lineRule="auto"/>
        <w:ind w:left="720" w:hanging="360"/>
        <w:jc w:val="both"/>
        <w:rPr>
          <w:rFonts w:ascii="Arial" w:hAnsi="Arial" w:cs="Arial"/>
        </w:rPr>
      </w:pPr>
      <w:proofErr w:type="spellStart"/>
      <w:r w:rsidRPr="00BD1B7F">
        <w:rPr>
          <w:rFonts w:ascii="Arial" w:hAnsi="Arial" w:cs="Arial"/>
        </w:rPr>
        <w:t>Setegn</w:t>
      </w:r>
      <w:proofErr w:type="spellEnd"/>
      <w:r w:rsidRPr="00BD1B7F">
        <w:rPr>
          <w:rFonts w:ascii="Arial" w:hAnsi="Arial" w:cs="Arial"/>
        </w:rPr>
        <w:t xml:space="preserve">, S. G., Srinivasan, R., </w:t>
      </w:r>
      <w:proofErr w:type="spellStart"/>
      <w:r w:rsidRPr="00BD1B7F">
        <w:rPr>
          <w:rFonts w:ascii="Arial" w:hAnsi="Arial" w:cs="Arial"/>
        </w:rPr>
        <w:t>Dargahi</w:t>
      </w:r>
      <w:proofErr w:type="spellEnd"/>
      <w:r w:rsidRPr="00BD1B7F">
        <w:rPr>
          <w:rFonts w:ascii="Arial" w:hAnsi="Arial" w:cs="Arial"/>
        </w:rPr>
        <w:t xml:space="preserve">, B., &amp; Melesse, A. M. (2008). Soil erosion vulnerability assessment. </w:t>
      </w:r>
      <w:r w:rsidRPr="00BD1B7F">
        <w:rPr>
          <w:rFonts w:ascii="Arial" w:hAnsi="Arial" w:cs="Arial"/>
          <w:i/>
          <w:iCs/>
        </w:rPr>
        <w:t>Hydrological Processes</w:t>
      </w:r>
      <w:r w:rsidRPr="00BD1B7F">
        <w:rPr>
          <w:rFonts w:ascii="Arial" w:hAnsi="Arial" w:cs="Arial"/>
        </w:rPr>
        <w:t>, 23(26), 3738–3750.</w:t>
      </w:r>
    </w:p>
    <w:p w14:paraId="517A76D5"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Shrestha, S., &amp; Kazama, F. (2007). Surface water quality assessment. </w:t>
      </w:r>
      <w:r w:rsidRPr="00BD1B7F">
        <w:rPr>
          <w:rFonts w:ascii="Arial" w:hAnsi="Arial" w:cs="Arial"/>
          <w:i/>
          <w:iCs/>
        </w:rPr>
        <w:t>Environmental Modelling &amp; Software</w:t>
      </w:r>
      <w:r w:rsidRPr="00BD1B7F">
        <w:rPr>
          <w:rFonts w:ascii="Arial" w:hAnsi="Arial" w:cs="Arial"/>
        </w:rPr>
        <w:t>, 22(4), 464–475.</w:t>
      </w:r>
    </w:p>
    <w:p w14:paraId="622DBA72"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t xml:space="preserve">Yang, X., &amp; Lo, C. P. (2002). Using satellite imagery to detect land use and land cover changes. </w:t>
      </w:r>
      <w:r w:rsidRPr="00BD1B7F">
        <w:rPr>
          <w:rFonts w:ascii="Arial" w:hAnsi="Arial" w:cs="Arial"/>
          <w:i/>
          <w:iCs/>
        </w:rPr>
        <w:t>International Journal of Remote Sensing</w:t>
      </w:r>
      <w:r w:rsidRPr="00BD1B7F">
        <w:rPr>
          <w:rFonts w:ascii="Arial" w:hAnsi="Arial" w:cs="Arial"/>
        </w:rPr>
        <w:t>, 23(9), 1775–1798.</w:t>
      </w:r>
    </w:p>
    <w:p w14:paraId="0F5684EE" w14:textId="77777777" w:rsidR="001C27D2" w:rsidRPr="00BD1B7F" w:rsidRDefault="001C27D2" w:rsidP="007447F7">
      <w:pPr>
        <w:spacing w:line="276" w:lineRule="auto"/>
        <w:ind w:left="720" w:hanging="360"/>
        <w:jc w:val="both"/>
        <w:rPr>
          <w:rFonts w:ascii="Arial" w:hAnsi="Arial" w:cs="Arial"/>
        </w:rPr>
      </w:pPr>
      <w:r w:rsidRPr="00BD1B7F">
        <w:rPr>
          <w:rFonts w:ascii="Arial" w:hAnsi="Arial" w:cs="Arial"/>
        </w:rPr>
        <w:lastRenderedPageBreak/>
        <w:t xml:space="preserve">Zhang, M., Dawes, W. R., &amp; Walker, G. R. (2001). Response of evapotranspiration to vegetation changes. </w:t>
      </w:r>
      <w:r w:rsidRPr="00BD1B7F">
        <w:rPr>
          <w:rFonts w:ascii="Arial" w:hAnsi="Arial" w:cs="Arial"/>
          <w:i/>
          <w:iCs/>
        </w:rPr>
        <w:t>Water Resources Research</w:t>
      </w:r>
      <w:r w:rsidRPr="00BD1B7F">
        <w:rPr>
          <w:rFonts w:ascii="Arial" w:hAnsi="Arial" w:cs="Arial"/>
        </w:rPr>
        <w:t>, 37(3), 701–708.</w:t>
      </w:r>
    </w:p>
    <w:sectPr w:rsidR="001C27D2" w:rsidRPr="00BD1B7F" w:rsidSect="007F3CE1">
      <w:headerReference w:type="even" r:id="rId10"/>
      <w:headerReference w:type="default" r:id="rId11"/>
      <w:footerReference w:type="even" r:id="rId12"/>
      <w:footerReference w:type="default" r:id="rId13"/>
      <w:headerReference w:type="first" r:id="rId14"/>
      <w:footerReference w:type="first" r:id="rId15"/>
      <w:pgSz w:w="11906" w:h="16838" w:code="9"/>
      <w:pgMar w:top="1728" w:right="1728" w:bottom="1728"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E4FC" w14:textId="77777777" w:rsidR="00816FE5" w:rsidRDefault="00816FE5" w:rsidP="006E6FF9">
      <w:pPr>
        <w:spacing w:after="0" w:line="240" w:lineRule="auto"/>
      </w:pPr>
      <w:r>
        <w:separator/>
      </w:r>
    </w:p>
  </w:endnote>
  <w:endnote w:type="continuationSeparator" w:id="0">
    <w:p w14:paraId="52F1AE51" w14:textId="77777777" w:rsidR="00816FE5" w:rsidRDefault="00816FE5" w:rsidP="006E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E25F" w14:textId="77777777" w:rsidR="00AA1C71" w:rsidRDefault="00AA1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7443"/>
      <w:docPartObj>
        <w:docPartGallery w:val="Page Numbers (Bottom of Page)"/>
        <w:docPartUnique/>
      </w:docPartObj>
    </w:sdtPr>
    <w:sdtEndPr>
      <w:rPr>
        <w:noProof/>
      </w:rPr>
    </w:sdtEndPr>
    <w:sdtContent>
      <w:p w14:paraId="12EA62F5" w14:textId="18744326" w:rsidR="006E6FF9" w:rsidRDefault="006E6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8556C" w14:textId="77777777" w:rsidR="006E6FF9" w:rsidRDefault="006E6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A02D" w14:textId="77777777" w:rsidR="00AA1C71" w:rsidRDefault="00AA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AC15" w14:textId="77777777" w:rsidR="00816FE5" w:rsidRDefault="00816FE5" w:rsidP="006E6FF9">
      <w:pPr>
        <w:spacing w:after="0" w:line="240" w:lineRule="auto"/>
      </w:pPr>
      <w:r>
        <w:separator/>
      </w:r>
    </w:p>
  </w:footnote>
  <w:footnote w:type="continuationSeparator" w:id="0">
    <w:p w14:paraId="16FDA7D6" w14:textId="77777777" w:rsidR="00816FE5" w:rsidRDefault="00816FE5" w:rsidP="006E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7ECC" w14:textId="3CECCAA8" w:rsidR="00AA1C71" w:rsidRDefault="00AA1C71">
    <w:pPr>
      <w:pStyle w:val="Header"/>
    </w:pPr>
    <w:r>
      <w:rPr>
        <w:noProof/>
      </w:rPr>
      <w:pict w14:anchorId="00399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19" o:spid="_x0000_s2050" type="#_x0000_t136" style="position:absolute;margin-left:0;margin-top:0;width:475.45pt;height:8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6D9B" w14:textId="4632C33E" w:rsidR="00AA1C71" w:rsidRDefault="00AA1C71">
    <w:pPr>
      <w:pStyle w:val="Header"/>
    </w:pPr>
    <w:r>
      <w:rPr>
        <w:noProof/>
      </w:rPr>
      <w:pict w14:anchorId="2BF3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20" o:spid="_x0000_s2051" type="#_x0000_t136" style="position:absolute;margin-left:0;margin-top:0;width:475.45pt;height:8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9A3A" w14:textId="10E536C8" w:rsidR="00AA1C71" w:rsidRDefault="00AA1C71">
    <w:pPr>
      <w:pStyle w:val="Header"/>
    </w:pPr>
    <w:r>
      <w:rPr>
        <w:noProof/>
      </w:rPr>
      <w:pict w14:anchorId="4775E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18" o:spid="_x0000_s2049" type="#_x0000_t136" style="position:absolute;margin-left:0;margin-top:0;width:475.45pt;height:8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1081"/>
    <w:multiLevelType w:val="multilevel"/>
    <w:tmpl w:val="AEF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A4E1D"/>
    <w:multiLevelType w:val="hybridMultilevel"/>
    <w:tmpl w:val="F7EE16FC"/>
    <w:lvl w:ilvl="0" w:tplc="EAE27270">
      <w:start w:val="1"/>
      <w:numFmt w:val="decimal"/>
      <w:lvlText w:val="%1."/>
      <w:lvlJc w:val="left"/>
      <w:pPr>
        <w:ind w:left="720" w:hanging="360"/>
      </w:pPr>
      <w:rPr>
        <w:rFonts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90"/>
    <w:rsid w:val="0003608A"/>
    <w:rsid w:val="00064749"/>
    <w:rsid w:val="000940A0"/>
    <w:rsid w:val="000B21EA"/>
    <w:rsid w:val="000E1E4E"/>
    <w:rsid w:val="00141889"/>
    <w:rsid w:val="001473BF"/>
    <w:rsid w:val="001817A1"/>
    <w:rsid w:val="001B1361"/>
    <w:rsid w:val="001C19B2"/>
    <w:rsid w:val="001C27D2"/>
    <w:rsid w:val="0021085C"/>
    <w:rsid w:val="002304C3"/>
    <w:rsid w:val="002774E1"/>
    <w:rsid w:val="002C4727"/>
    <w:rsid w:val="002E5859"/>
    <w:rsid w:val="003001FC"/>
    <w:rsid w:val="00304FAE"/>
    <w:rsid w:val="0033563F"/>
    <w:rsid w:val="00345614"/>
    <w:rsid w:val="00353E75"/>
    <w:rsid w:val="00374FD1"/>
    <w:rsid w:val="00375C5E"/>
    <w:rsid w:val="003936D3"/>
    <w:rsid w:val="003D2C05"/>
    <w:rsid w:val="004520DF"/>
    <w:rsid w:val="00453FBB"/>
    <w:rsid w:val="00474F90"/>
    <w:rsid w:val="004A447D"/>
    <w:rsid w:val="004A6C54"/>
    <w:rsid w:val="004B5DBF"/>
    <w:rsid w:val="00510976"/>
    <w:rsid w:val="0054545D"/>
    <w:rsid w:val="00560670"/>
    <w:rsid w:val="005C1504"/>
    <w:rsid w:val="005D10DA"/>
    <w:rsid w:val="00614AAC"/>
    <w:rsid w:val="00625AC4"/>
    <w:rsid w:val="0062702B"/>
    <w:rsid w:val="00664970"/>
    <w:rsid w:val="006B13F9"/>
    <w:rsid w:val="006E6FF9"/>
    <w:rsid w:val="00700547"/>
    <w:rsid w:val="007447F7"/>
    <w:rsid w:val="007524DB"/>
    <w:rsid w:val="00753B1F"/>
    <w:rsid w:val="007F3CE1"/>
    <w:rsid w:val="00816FE5"/>
    <w:rsid w:val="00883ABB"/>
    <w:rsid w:val="00916521"/>
    <w:rsid w:val="00963EC4"/>
    <w:rsid w:val="00975932"/>
    <w:rsid w:val="009F3698"/>
    <w:rsid w:val="00A20A44"/>
    <w:rsid w:val="00A577E9"/>
    <w:rsid w:val="00A9040F"/>
    <w:rsid w:val="00AA1C71"/>
    <w:rsid w:val="00BC3AFF"/>
    <w:rsid w:val="00BD1B7F"/>
    <w:rsid w:val="00C11961"/>
    <w:rsid w:val="00C23DED"/>
    <w:rsid w:val="00C24C8A"/>
    <w:rsid w:val="00C47E22"/>
    <w:rsid w:val="00CA4BA8"/>
    <w:rsid w:val="00CE7718"/>
    <w:rsid w:val="00CF023F"/>
    <w:rsid w:val="00D070C0"/>
    <w:rsid w:val="00E038ED"/>
    <w:rsid w:val="00E6522D"/>
    <w:rsid w:val="00EA252C"/>
    <w:rsid w:val="00ED5BF7"/>
    <w:rsid w:val="00EF0FBE"/>
    <w:rsid w:val="00F5078E"/>
    <w:rsid w:val="00F82955"/>
    <w:rsid w:val="00F872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BCD69"/>
  <w15:chartTrackingRefBased/>
  <w15:docId w15:val="{FA05A381-E476-44D5-BCCC-BC2C37AE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90"/>
    <w:rPr>
      <w:rFonts w:eastAsiaTheme="majorEastAsia" w:cstheme="majorBidi"/>
      <w:color w:val="272727" w:themeColor="text1" w:themeTint="D8"/>
    </w:rPr>
  </w:style>
  <w:style w:type="paragraph" w:styleId="Title">
    <w:name w:val="Title"/>
    <w:basedOn w:val="Normal"/>
    <w:next w:val="Normal"/>
    <w:link w:val="TitleChar"/>
    <w:uiPriority w:val="10"/>
    <w:qFormat/>
    <w:rsid w:val="0047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90"/>
    <w:pPr>
      <w:spacing w:before="160"/>
      <w:jc w:val="center"/>
    </w:pPr>
    <w:rPr>
      <w:i/>
      <w:iCs/>
      <w:color w:val="404040" w:themeColor="text1" w:themeTint="BF"/>
    </w:rPr>
  </w:style>
  <w:style w:type="character" w:customStyle="1" w:styleId="QuoteChar">
    <w:name w:val="Quote Char"/>
    <w:basedOn w:val="DefaultParagraphFont"/>
    <w:link w:val="Quote"/>
    <w:uiPriority w:val="29"/>
    <w:rsid w:val="00474F90"/>
    <w:rPr>
      <w:i/>
      <w:iCs/>
      <w:color w:val="404040" w:themeColor="text1" w:themeTint="BF"/>
    </w:rPr>
  </w:style>
  <w:style w:type="paragraph" w:styleId="ListParagraph">
    <w:name w:val="List Paragraph"/>
    <w:basedOn w:val="Normal"/>
    <w:uiPriority w:val="34"/>
    <w:qFormat/>
    <w:rsid w:val="00474F90"/>
    <w:pPr>
      <w:ind w:left="720"/>
      <w:contextualSpacing/>
    </w:pPr>
  </w:style>
  <w:style w:type="character" w:styleId="IntenseEmphasis">
    <w:name w:val="Intense Emphasis"/>
    <w:basedOn w:val="DefaultParagraphFont"/>
    <w:uiPriority w:val="21"/>
    <w:qFormat/>
    <w:rsid w:val="00474F90"/>
    <w:rPr>
      <w:i/>
      <w:iCs/>
      <w:color w:val="2F5496" w:themeColor="accent1" w:themeShade="BF"/>
    </w:rPr>
  </w:style>
  <w:style w:type="paragraph" w:styleId="IntenseQuote">
    <w:name w:val="Intense Quote"/>
    <w:basedOn w:val="Normal"/>
    <w:next w:val="Normal"/>
    <w:link w:val="IntenseQuoteChar"/>
    <w:uiPriority w:val="30"/>
    <w:qFormat/>
    <w:rsid w:val="00474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F90"/>
    <w:rPr>
      <w:i/>
      <w:iCs/>
      <w:color w:val="2F5496" w:themeColor="accent1" w:themeShade="BF"/>
    </w:rPr>
  </w:style>
  <w:style w:type="character" w:styleId="IntenseReference">
    <w:name w:val="Intense Reference"/>
    <w:basedOn w:val="DefaultParagraphFont"/>
    <w:uiPriority w:val="32"/>
    <w:qFormat/>
    <w:rsid w:val="00474F90"/>
    <w:rPr>
      <w:b/>
      <w:bCs/>
      <w:smallCaps/>
      <w:color w:val="2F5496" w:themeColor="accent1" w:themeShade="BF"/>
      <w:spacing w:val="5"/>
    </w:rPr>
  </w:style>
  <w:style w:type="paragraph" w:styleId="Header">
    <w:name w:val="header"/>
    <w:basedOn w:val="Normal"/>
    <w:link w:val="HeaderChar"/>
    <w:uiPriority w:val="99"/>
    <w:unhideWhenUsed/>
    <w:rsid w:val="006E6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F9"/>
  </w:style>
  <w:style w:type="paragraph" w:styleId="Footer">
    <w:name w:val="footer"/>
    <w:basedOn w:val="Normal"/>
    <w:link w:val="FooterChar"/>
    <w:uiPriority w:val="99"/>
    <w:unhideWhenUsed/>
    <w:rsid w:val="006E6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F9"/>
  </w:style>
  <w:style w:type="paragraph" w:styleId="NormalWeb">
    <w:name w:val="Normal (Web)"/>
    <w:basedOn w:val="Normal"/>
    <w:uiPriority w:val="99"/>
    <w:unhideWhenUsed/>
    <w:rsid w:val="00625A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625AC4"/>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C3AFF"/>
    <w:rPr>
      <w:color w:val="0563C1" w:themeColor="hyperlink"/>
      <w:u w:val="single"/>
    </w:rPr>
  </w:style>
  <w:style w:type="character" w:styleId="UnresolvedMention">
    <w:name w:val="Unresolved Mention"/>
    <w:basedOn w:val="DefaultParagraphFont"/>
    <w:uiPriority w:val="99"/>
    <w:semiHidden/>
    <w:unhideWhenUsed/>
    <w:rsid w:val="00BC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12</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00anjalikhandekar@gmail.com</dc:creator>
  <cp:keywords/>
  <dc:description/>
  <cp:lastModifiedBy>SDI 1084</cp:lastModifiedBy>
  <cp:revision>30</cp:revision>
  <cp:lastPrinted>2026-04-11T09:43:00Z</cp:lastPrinted>
  <dcterms:created xsi:type="dcterms:W3CDTF">2026-03-25T21:56:00Z</dcterms:created>
  <dcterms:modified xsi:type="dcterms:W3CDTF">2026-04-11T13:32:00Z</dcterms:modified>
</cp:coreProperties>
</file>