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8A4EC" w14:textId="2F7BD873" w:rsidR="004719A7" w:rsidRPr="00901B26" w:rsidRDefault="004719A7" w:rsidP="002B242F">
      <w:pPr>
        <w:ind w:left="0"/>
        <w:jc w:val="center"/>
        <w:rPr>
          <w:rFonts w:ascii="Times New Roman" w:hAnsi="Times New Roman" w:cs="Times New Roman"/>
          <w:b/>
          <w:bCs/>
          <w:sz w:val="24"/>
        </w:rPr>
      </w:pPr>
      <w:r w:rsidRPr="00901B26">
        <w:rPr>
          <w:rFonts w:ascii="Times New Roman" w:hAnsi="Times New Roman" w:cs="Times New Roman"/>
          <w:b/>
          <w:bCs/>
          <w:sz w:val="24"/>
        </w:rPr>
        <w:t>Climate-Resilient Apple Cultivation in India: Agronomic Strategies for Sustainable Yield and Fruit Quality Under Changing Environmental Conditions</w:t>
      </w:r>
    </w:p>
    <w:p w14:paraId="66F48E7E" w14:textId="77777777" w:rsidR="004132A7" w:rsidRPr="00F608CF" w:rsidRDefault="004132A7" w:rsidP="002B242F">
      <w:pPr>
        <w:ind w:left="0"/>
        <w:jc w:val="center"/>
        <w:rPr>
          <w:rFonts w:ascii="Times New Roman" w:hAnsi="Times New Roman" w:cs="Times New Roman"/>
          <w:b/>
          <w:bCs/>
          <w:sz w:val="20"/>
          <w:szCs w:val="20"/>
        </w:rPr>
      </w:pPr>
      <w:bookmarkStart w:id="0" w:name="_GoBack"/>
      <w:bookmarkEnd w:id="0"/>
    </w:p>
    <w:p w14:paraId="12CB7E4E" w14:textId="5FC75D0F"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Abstract</w:t>
      </w:r>
    </w:p>
    <w:p w14:paraId="07BCE40B" w14:textId="77777777" w:rsidR="00076661" w:rsidRDefault="00157D3D" w:rsidP="00076661">
      <w:pPr>
        <w:ind w:left="0"/>
        <w:rPr>
          <w:rFonts w:ascii="Times New Roman" w:hAnsi="Times New Roman" w:cs="Times New Roman"/>
          <w:sz w:val="20"/>
          <w:szCs w:val="20"/>
        </w:rPr>
      </w:pPr>
      <w:r w:rsidRPr="00F608CF">
        <w:rPr>
          <w:rFonts w:ascii="Times New Roman" w:hAnsi="Times New Roman" w:cs="Times New Roman"/>
          <w:sz w:val="20"/>
          <w:szCs w:val="20"/>
        </w:rPr>
        <w:t>The Indian landscape of Apple (</w:t>
      </w:r>
      <w:r w:rsidRPr="00F608CF">
        <w:rPr>
          <w:rFonts w:ascii="Times New Roman" w:hAnsi="Times New Roman" w:cs="Times New Roman"/>
          <w:i/>
          <w:iCs/>
          <w:sz w:val="20"/>
          <w:szCs w:val="20"/>
        </w:rPr>
        <w:t xml:space="preserve">Malus </w:t>
      </w:r>
      <w:proofErr w:type="spellStart"/>
      <w:r w:rsidRPr="00F608CF">
        <w:rPr>
          <w:rFonts w:ascii="Times New Roman" w:hAnsi="Times New Roman" w:cs="Times New Roman"/>
          <w:i/>
          <w:iCs/>
          <w:sz w:val="20"/>
          <w:szCs w:val="20"/>
        </w:rPr>
        <w:t>domestica</w:t>
      </w:r>
      <w:proofErr w:type="spellEnd"/>
      <w:r w:rsidRPr="00F608CF">
        <w:rPr>
          <w:rFonts w:ascii="Times New Roman" w:hAnsi="Times New Roman" w:cs="Times New Roman"/>
          <w:i/>
          <w:iCs/>
          <w:sz w:val="20"/>
          <w:szCs w:val="20"/>
        </w:rPr>
        <w:t xml:space="preserve"> </w:t>
      </w:r>
      <w:proofErr w:type="spellStart"/>
      <w:r w:rsidRPr="00F608CF">
        <w:rPr>
          <w:rFonts w:ascii="Times New Roman" w:hAnsi="Times New Roman" w:cs="Times New Roman"/>
          <w:i/>
          <w:iCs/>
          <w:sz w:val="20"/>
          <w:szCs w:val="20"/>
        </w:rPr>
        <w:t>Borkh</w:t>
      </w:r>
      <w:proofErr w:type="spellEnd"/>
      <w:r w:rsidRPr="00F608CF">
        <w:rPr>
          <w:rFonts w:ascii="Times New Roman" w:hAnsi="Times New Roman" w:cs="Times New Roman"/>
          <w:sz w:val="20"/>
          <w:szCs w:val="20"/>
        </w:rPr>
        <w:t>) production is experiencing an exceptional change as the traditional temperate production regions are affected by climate change. In addition to warmer winters and variable rainfall patterns, the increasing pest population will continue to impact the sustainability of apple production in the Himalayan foothills, while at the same time, innovations are allowing for apple production in arid, non-traditional areas. This synthesis reviews studies conducted between 2018 and 2025 on climate-resilient agronomic techniques used for producing apples in India, focusing specifically on high-density orchard systems, integration of water and nutrients into the orchard, modification of canopy architecture for optimal light capture, and dynamics of pests under climate variability. As a result of this critical analysis, it appears that while many advancements have been achieved in the development of individual intervention strategies, there still exist large knowledge voids related to how these strategies interact within different agroecological regions. The review also demonstrated that high-density plantations using dwarfing rootstock combined with precision irrigation/mulch result in a 12</w:t>
      </w:r>
      <w:r w:rsidR="007E2270" w:rsidRPr="00F608CF">
        <w:rPr>
          <w:rFonts w:ascii="Times New Roman" w:hAnsi="Times New Roman" w:cs="Times New Roman"/>
          <w:sz w:val="20"/>
          <w:szCs w:val="20"/>
        </w:rPr>
        <w:t>-</w:t>
      </w:r>
      <w:r w:rsidRPr="00F608CF">
        <w:rPr>
          <w:rFonts w:ascii="Times New Roman" w:hAnsi="Times New Roman" w:cs="Times New Roman"/>
          <w:sz w:val="20"/>
          <w:szCs w:val="20"/>
        </w:rPr>
        <w:t>14 % increase in water-use efficiency compared to similar production methods while sustaining production levels. Additionally, new low-chill varieties, along with other innovative cultural practices, are enabling expansion of the area for apple production into semi-arid regions. Although the proliferation of exotic planting materials may pose biosecurity risks, there is a disconnect between institutional research and the adoption of technology by farmers. As such, future research must focus on developing a holistic system approach, participant verification of technologies, and developing policy frameworks that enable sustainable intensification while maintaining environmental integrity.</w:t>
      </w:r>
    </w:p>
    <w:p w14:paraId="3489096D" w14:textId="456E6646" w:rsidR="00157D3D" w:rsidRDefault="00157D3D" w:rsidP="00076661">
      <w:pPr>
        <w:ind w:left="0"/>
        <w:rPr>
          <w:rFonts w:ascii="Times New Roman" w:hAnsi="Times New Roman" w:cs="Times New Roman"/>
          <w:sz w:val="20"/>
          <w:szCs w:val="20"/>
        </w:rPr>
      </w:pPr>
      <w:r w:rsidRPr="00076661">
        <w:rPr>
          <w:rFonts w:ascii="Times New Roman" w:hAnsi="Times New Roman" w:cs="Times New Roman"/>
          <w:b/>
          <w:bCs/>
          <w:sz w:val="20"/>
          <w:szCs w:val="20"/>
        </w:rPr>
        <w:t>Keywords</w:t>
      </w:r>
      <w:r w:rsidRPr="00076661">
        <w:rPr>
          <w:rFonts w:ascii="Times New Roman" w:hAnsi="Times New Roman" w:cs="Times New Roman"/>
          <w:sz w:val="20"/>
          <w:szCs w:val="20"/>
        </w:rPr>
        <w:t xml:space="preserve">: </w:t>
      </w:r>
      <w:r w:rsidR="00BD3C8F" w:rsidRPr="00076661">
        <w:rPr>
          <w:rFonts w:ascii="Times New Roman" w:hAnsi="Times New Roman" w:cs="Times New Roman"/>
          <w:sz w:val="20"/>
          <w:szCs w:val="20"/>
          <w:lang w:val="en-IN"/>
        </w:rPr>
        <w:t>Climate adaptation</w:t>
      </w:r>
      <w:r w:rsidR="00076661">
        <w:rPr>
          <w:rFonts w:ascii="Times New Roman" w:hAnsi="Times New Roman" w:cs="Times New Roman"/>
          <w:sz w:val="20"/>
          <w:szCs w:val="20"/>
          <w:lang w:val="en-IN"/>
        </w:rPr>
        <w:t xml:space="preserve">, </w:t>
      </w:r>
      <w:r w:rsidR="00BD3C8F" w:rsidRPr="00BD3C8F">
        <w:rPr>
          <w:rFonts w:ascii="Times New Roman" w:hAnsi="Times New Roman" w:cs="Times New Roman"/>
          <w:sz w:val="20"/>
          <w:szCs w:val="20"/>
          <w:lang w:val="en-IN"/>
        </w:rPr>
        <w:t>High-density plantation</w:t>
      </w:r>
      <w:r w:rsidR="00076661">
        <w:rPr>
          <w:rFonts w:ascii="Times New Roman" w:hAnsi="Times New Roman" w:cs="Times New Roman"/>
          <w:sz w:val="20"/>
          <w:szCs w:val="20"/>
          <w:lang w:val="en-IN"/>
        </w:rPr>
        <w:t xml:space="preserve">, </w:t>
      </w:r>
      <w:r w:rsidR="00BD3C8F" w:rsidRPr="00BD3C8F">
        <w:rPr>
          <w:rFonts w:ascii="Times New Roman" w:hAnsi="Times New Roman" w:cs="Times New Roman"/>
          <w:sz w:val="20"/>
          <w:szCs w:val="20"/>
          <w:lang w:val="en-IN"/>
        </w:rPr>
        <w:t>Himalayan agriculture</w:t>
      </w:r>
      <w:r w:rsidR="00076661">
        <w:rPr>
          <w:rFonts w:ascii="Times New Roman" w:hAnsi="Times New Roman" w:cs="Times New Roman"/>
          <w:sz w:val="20"/>
          <w:szCs w:val="20"/>
          <w:lang w:val="en-IN"/>
        </w:rPr>
        <w:t xml:space="preserve">, </w:t>
      </w:r>
      <w:r w:rsidR="00BD3C8F" w:rsidRPr="00BD3C8F">
        <w:rPr>
          <w:rFonts w:ascii="Times New Roman" w:hAnsi="Times New Roman" w:cs="Times New Roman"/>
          <w:sz w:val="20"/>
          <w:szCs w:val="20"/>
          <w:lang w:val="en-IN"/>
        </w:rPr>
        <w:t>Integrated pest management</w:t>
      </w:r>
      <w:r w:rsidR="00076661">
        <w:rPr>
          <w:rFonts w:ascii="Times New Roman" w:hAnsi="Times New Roman" w:cs="Times New Roman"/>
          <w:sz w:val="20"/>
          <w:szCs w:val="20"/>
          <w:lang w:val="en-IN"/>
        </w:rPr>
        <w:t xml:space="preserve">, </w:t>
      </w:r>
      <w:r w:rsidR="00BD3C8F" w:rsidRPr="00BD3C8F">
        <w:rPr>
          <w:rFonts w:ascii="Times New Roman" w:hAnsi="Times New Roman" w:cs="Times New Roman"/>
          <w:sz w:val="20"/>
          <w:szCs w:val="20"/>
          <w:lang w:val="en-IN"/>
        </w:rPr>
        <w:t>Phenological shifts</w:t>
      </w:r>
      <w:r w:rsidR="00076661">
        <w:rPr>
          <w:rFonts w:ascii="Times New Roman" w:hAnsi="Times New Roman" w:cs="Times New Roman"/>
          <w:sz w:val="20"/>
          <w:szCs w:val="20"/>
          <w:lang w:val="en-IN"/>
        </w:rPr>
        <w:t>,</w:t>
      </w:r>
      <w:r w:rsidR="00BD3C8F" w:rsidRPr="00076661">
        <w:rPr>
          <w:rFonts w:ascii="Times New Roman" w:hAnsi="Times New Roman" w:cs="Times New Roman"/>
          <w:sz w:val="20"/>
          <w:szCs w:val="20"/>
          <w:lang w:val="en-IN"/>
        </w:rPr>
        <w:t xml:space="preserve"> </w:t>
      </w:r>
      <w:r w:rsidR="00BD3C8F" w:rsidRPr="00BD3C8F">
        <w:rPr>
          <w:rFonts w:ascii="Times New Roman" w:hAnsi="Times New Roman" w:cs="Times New Roman"/>
          <w:sz w:val="20"/>
          <w:szCs w:val="20"/>
          <w:lang w:val="en-IN"/>
        </w:rPr>
        <w:t>Water use efficiency</w:t>
      </w:r>
    </w:p>
    <w:p w14:paraId="08583B2A" w14:textId="77777777" w:rsidR="00076661" w:rsidRPr="00F608CF" w:rsidRDefault="00076661" w:rsidP="00076661">
      <w:pPr>
        <w:ind w:left="0"/>
        <w:rPr>
          <w:rFonts w:ascii="Times New Roman" w:hAnsi="Times New Roman" w:cs="Times New Roman"/>
          <w:sz w:val="20"/>
          <w:szCs w:val="20"/>
        </w:rPr>
      </w:pPr>
    </w:p>
    <w:p w14:paraId="7039F180"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1. Introduction</w:t>
      </w:r>
    </w:p>
    <w:p w14:paraId="72746190" w14:textId="2F7111CC" w:rsidR="007958E1" w:rsidRPr="00F608CF" w:rsidRDefault="007958E1" w:rsidP="008D4869">
      <w:pPr>
        <w:ind w:left="0"/>
        <w:rPr>
          <w:rFonts w:ascii="Times New Roman" w:hAnsi="Times New Roman" w:cs="Times New Roman"/>
          <w:sz w:val="20"/>
          <w:szCs w:val="20"/>
        </w:rPr>
      </w:pPr>
      <w:r w:rsidRPr="00F608CF">
        <w:rPr>
          <w:rFonts w:ascii="Times New Roman" w:hAnsi="Times New Roman" w:cs="Times New Roman"/>
          <w:sz w:val="20"/>
          <w:szCs w:val="20"/>
        </w:rPr>
        <w:t>Apple farming accounts for a big part of the economy in the Himalayan region of India and provides income for millions of farmers in the regions of Jammu &amp; Kashmir, Himachal Pradesh, and Uttarakhand</w:t>
      </w:r>
      <w:r w:rsidR="00995E64" w:rsidRPr="00F608CF">
        <w:rPr>
          <w:rFonts w:ascii="Times New Roman" w:hAnsi="Times New Roman" w:cs="Times New Roman"/>
          <w:sz w:val="20"/>
          <w:szCs w:val="20"/>
        </w:rPr>
        <w:t>,</w:t>
      </w:r>
      <w:r w:rsidRPr="00F608CF">
        <w:rPr>
          <w:rFonts w:ascii="Times New Roman" w:hAnsi="Times New Roman" w:cs="Times New Roman"/>
          <w:sz w:val="20"/>
          <w:szCs w:val="20"/>
        </w:rPr>
        <w:t xml:space="preserve"> as well as making a large contribution to the domestic market and export markets (</w:t>
      </w:r>
      <w:proofErr w:type="spellStart"/>
      <w:r w:rsidRPr="00F608CF">
        <w:rPr>
          <w:rFonts w:ascii="Times New Roman" w:hAnsi="Times New Roman" w:cs="Times New Roman"/>
          <w:sz w:val="20"/>
          <w:szCs w:val="20"/>
        </w:rPr>
        <w:t>Chandel</w:t>
      </w:r>
      <w:proofErr w:type="spellEnd"/>
      <w:r w:rsidRPr="00F608CF">
        <w:rPr>
          <w:rFonts w:ascii="Times New Roman" w:hAnsi="Times New Roman" w:cs="Times New Roman"/>
          <w:sz w:val="20"/>
          <w:szCs w:val="20"/>
        </w:rPr>
        <w:t xml:space="preserve"> et al., 2019; Singh et al.,2021). Throughout history, these areas have naturally developed as good locations to grow apples because they have historically had ideal temperate growing conditions for producing quality apples, which need between 1000-1500 chill hours at temperatures below 7 degrees Celsius, and summertime temperatures average about 20 degrees Celsius. However, as the Indian Himalaya Region continues to heat up at a rate greater than the global average, there is a significant loss of this comparative advantage to produce apples due to the changing temperatures' impact on horticultural systems that had evolved under specific thermal conditions (Sharma et al., 2022; Kumar et al., 2023).</w:t>
      </w:r>
    </w:p>
    <w:p w14:paraId="04A7E953" w14:textId="34DE3B7D" w:rsidR="007958E1" w:rsidRPr="00F608CF" w:rsidRDefault="007958E1"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Over the last two decades, meteorological data have shown consistent trends in the decline of winter precipitation, an increase in the frequency of extreme weather events, and an increase in the minimum temperature from one year to the next at critical points during the winter months when apple trees are dormant (Sharma et al., 2022; Negi et al., 2024). All of these environmental changes have resulted in remarkable </w:t>
      </w:r>
      <w:r w:rsidRPr="00F608CF">
        <w:rPr>
          <w:rFonts w:ascii="Times New Roman" w:hAnsi="Times New Roman" w:cs="Times New Roman"/>
          <w:sz w:val="20"/>
          <w:szCs w:val="20"/>
        </w:rPr>
        <w:lastRenderedPageBreak/>
        <w:t xml:space="preserve">changes in apple tree phenology: later and longer flowering, fewer fruit set, more physiological disorders, and changes in the complex of pest and disease related to the apple tree (Pathak et al., 2023; Bhat et al., 2024). There have been many different ways to respond to these changes. Research institutions have increased their efforts to validate a variety of adaptation technologies such as High-Density Planting (HPD), </w:t>
      </w:r>
      <w:r w:rsidR="005844CD" w:rsidRPr="00F608CF">
        <w:rPr>
          <w:rFonts w:ascii="Times New Roman" w:hAnsi="Times New Roman" w:cs="Times New Roman"/>
          <w:sz w:val="20"/>
          <w:szCs w:val="20"/>
        </w:rPr>
        <w:t>precision water-management</w:t>
      </w:r>
      <w:r w:rsidRPr="00F608CF">
        <w:rPr>
          <w:rFonts w:ascii="Times New Roman" w:hAnsi="Times New Roman" w:cs="Times New Roman"/>
          <w:sz w:val="20"/>
          <w:szCs w:val="20"/>
        </w:rPr>
        <w:t>, architectural modification of the apple tree canopy, and integrated nutrition management (</w:t>
      </w:r>
      <w:proofErr w:type="spellStart"/>
      <w:r w:rsidRPr="00F608CF">
        <w:rPr>
          <w:rFonts w:ascii="Times New Roman" w:hAnsi="Times New Roman" w:cs="Times New Roman"/>
          <w:sz w:val="20"/>
          <w:szCs w:val="20"/>
        </w:rPr>
        <w:t>Ladon</w:t>
      </w:r>
      <w:proofErr w:type="spellEnd"/>
      <w:r w:rsidRPr="00F608CF">
        <w:rPr>
          <w:rFonts w:ascii="Times New Roman" w:hAnsi="Times New Roman" w:cs="Times New Roman"/>
          <w:sz w:val="20"/>
          <w:szCs w:val="20"/>
        </w:rPr>
        <w:t xml:space="preserve"> et al., 2024; Kumar et al</w:t>
      </w:r>
      <w:r w:rsidR="00C22FE0" w:rsidRPr="00F608CF">
        <w:rPr>
          <w:rFonts w:ascii="Times New Roman" w:hAnsi="Times New Roman" w:cs="Times New Roman"/>
          <w:sz w:val="20"/>
          <w:szCs w:val="20"/>
        </w:rPr>
        <w:t>.</w:t>
      </w:r>
      <w:r w:rsidRPr="00F608CF">
        <w:rPr>
          <w:rFonts w:ascii="Times New Roman" w:hAnsi="Times New Roman" w:cs="Times New Roman"/>
          <w:sz w:val="20"/>
          <w:szCs w:val="20"/>
        </w:rPr>
        <w:t>, 2023</w:t>
      </w:r>
      <w:r w:rsidR="00C22FE0" w:rsidRPr="00F608CF">
        <w:rPr>
          <w:rFonts w:ascii="Times New Roman" w:hAnsi="Times New Roman" w:cs="Times New Roman"/>
          <w:sz w:val="20"/>
          <w:szCs w:val="20"/>
        </w:rPr>
        <w:t>).</w:t>
      </w:r>
    </w:p>
    <w:p w14:paraId="44BE1D5B" w14:textId="590BFF17" w:rsidR="00554244" w:rsidRPr="00F608CF" w:rsidRDefault="00554244" w:rsidP="008D486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t>This review critically evaluates research from 2018 to 2025</w:t>
      </w:r>
      <w:r w:rsidR="00995E64" w:rsidRPr="00F608CF">
        <w:rPr>
          <w:rFonts w:ascii="Times New Roman" w:hAnsi="Times New Roman" w:cs="Times New Roman"/>
          <w:b/>
          <w:bCs/>
          <w:sz w:val="20"/>
          <w:szCs w:val="20"/>
        </w:rPr>
        <w:t>,</w:t>
      </w:r>
      <w:r w:rsidRPr="00F608CF">
        <w:rPr>
          <w:rFonts w:ascii="Times New Roman" w:hAnsi="Times New Roman" w:cs="Times New Roman"/>
          <w:b/>
          <w:bCs/>
          <w:sz w:val="20"/>
          <w:szCs w:val="20"/>
        </w:rPr>
        <w:t xml:space="preserve"> examining climate-resilient apple cultivation in India, with three specific objectives:</w:t>
      </w:r>
    </w:p>
    <w:p w14:paraId="5A37767A" w14:textId="29C34C08" w:rsidR="00554244" w:rsidRPr="00F608CF" w:rsidRDefault="00554244" w:rsidP="008D4869">
      <w:pPr>
        <w:pStyle w:val="ListParagraph"/>
        <w:numPr>
          <w:ilvl w:val="0"/>
          <w:numId w:val="7"/>
        </w:numPr>
        <w:ind w:left="0"/>
        <w:rPr>
          <w:rFonts w:ascii="Times New Roman" w:hAnsi="Times New Roman" w:cs="Times New Roman"/>
          <w:sz w:val="20"/>
          <w:szCs w:val="20"/>
        </w:rPr>
      </w:pPr>
      <w:r w:rsidRPr="00F608CF">
        <w:rPr>
          <w:rFonts w:ascii="Times New Roman" w:hAnsi="Times New Roman" w:cs="Times New Roman"/>
          <w:sz w:val="20"/>
          <w:szCs w:val="20"/>
        </w:rPr>
        <w:t>synthesize empirical evidence on agronomic strategies for enhancing climate resilience</w:t>
      </w:r>
    </w:p>
    <w:p w14:paraId="4F9050CE" w14:textId="05CEC5FB" w:rsidR="00554244" w:rsidRPr="00F608CF" w:rsidRDefault="00554244" w:rsidP="008D4869">
      <w:pPr>
        <w:pStyle w:val="ListParagraph"/>
        <w:numPr>
          <w:ilvl w:val="0"/>
          <w:numId w:val="7"/>
        </w:numPr>
        <w:ind w:left="0"/>
        <w:rPr>
          <w:rFonts w:ascii="Times New Roman" w:hAnsi="Times New Roman" w:cs="Times New Roman"/>
          <w:sz w:val="20"/>
          <w:szCs w:val="20"/>
        </w:rPr>
      </w:pPr>
      <w:r w:rsidRPr="00F608CF">
        <w:rPr>
          <w:rFonts w:ascii="Times New Roman" w:hAnsi="Times New Roman" w:cs="Times New Roman"/>
          <w:sz w:val="20"/>
          <w:szCs w:val="20"/>
        </w:rPr>
        <w:t>identify knowledge gaps and methodological limitations in existing literature</w:t>
      </w:r>
    </w:p>
    <w:p w14:paraId="0F067E69" w14:textId="55E64475" w:rsidR="00554244" w:rsidRPr="00F608CF" w:rsidRDefault="00554244" w:rsidP="008D4869">
      <w:pPr>
        <w:pStyle w:val="ListParagraph"/>
        <w:numPr>
          <w:ilvl w:val="0"/>
          <w:numId w:val="7"/>
        </w:numPr>
        <w:ind w:left="0"/>
        <w:rPr>
          <w:rFonts w:ascii="Times New Roman" w:hAnsi="Times New Roman" w:cs="Times New Roman"/>
          <w:sz w:val="20"/>
          <w:szCs w:val="20"/>
        </w:rPr>
      </w:pPr>
      <w:r w:rsidRPr="00F608CF">
        <w:rPr>
          <w:rFonts w:ascii="Times New Roman" w:hAnsi="Times New Roman" w:cs="Times New Roman"/>
          <w:sz w:val="20"/>
          <w:szCs w:val="20"/>
        </w:rPr>
        <w:t>propose an integrated conceptual framework with concrete research priorities for sustainable apple production under changing environmental conditions.</w:t>
      </w:r>
    </w:p>
    <w:p w14:paraId="072C4176"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2. Conceptual Framework: Climate–Orchard Interaction Model</w:t>
      </w:r>
    </w:p>
    <w:p w14:paraId="47D81200" w14:textId="77777777"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Figure 1</w:t>
      </w:r>
      <w:r w:rsidRPr="00F608CF">
        <w:rPr>
          <w:rFonts w:ascii="Times New Roman" w:hAnsi="Times New Roman" w:cs="Times New Roman"/>
          <w:sz w:val="20"/>
          <w:szCs w:val="20"/>
        </w:rPr>
        <w:t> presents a conceptual model of climate-orchard interactions in Indian apple systems, illustrating the multi-scale pathways through which climatic variables influence physiological processes, management interventions moderate these effects, and feedback mechanisms determine long-term sustainability outcomes.</w:t>
      </w:r>
    </w:p>
    <w:p w14:paraId="399D31AB" w14:textId="03954141"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noProof/>
          <w:sz w:val="20"/>
          <w:szCs w:val="20"/>
        </w:rPr>
        <w:drawing>
          <wp:inline distT="0" distB="0" distL="0" distR="0" wp14:anchorId="0FF510A4" wp14:editId="5657F7FC">
            <wp:extent cx="5791200" cy="3159125"/>
            <wp:effectExtent l="0" t="0" r="0" b="3175"/>
            <wp:docPr id="570682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82925" name="Picture 5706829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200" cy="3159125"/>
                    </a:xfrm>
                    <a:prstGeom prst="rect">
                      <a:avLst/>
                    </a:prstGeom>
                  </pic:spPr>
                </pic:pic>
              </a:graphicData>
            </a:graphic>
          </wp:inline>
        </w:drawing>
      </w:r>
    </w:p>
    <w:p w14:paraId="78D9A86B" w14:textId="5B734743" w:rsidR="00554244" w:rsidRPr="00F608CF" w:rsidRDefault="004132A7" w:rsidP="008D4869">
      <w:pPr>
        <w:ind w:left="0" w:firstLine="0"/>
        <w:rPr>
          <w:rFonts w:ascii="Times New Roman" w:hAnsi="Times New Roman" w:cs="Times New Roman"/>
          <w:sz w:val="20"/>
          <w:szCs w:val="20"/>
        </w:rPr>
      </w:pPr>
      <w:r>
        <w:rPr>
          <w:rFonts w:ascii="Times New Roman" w:hAnsi="Times New Roman" w:cs="Times New Roman"/>
          <w:sz w:val="20"/>
          <w:szCs w:val="20"/>
        </w:rPr>
        <w:t>Fig 1-</w:t>
      </w:r>
      <w:r w:rsidR="001C011A">
        <w:rPr>
          <w:rFonts w:ascii="Times New Roman" w:hAnsi="Times New Roman" w:cs="Times New Roman"/>
          <w:sz w:val="20"/>
          <w:szCs w:val="20"/>
        </w:rPr>
        <w:t xml:space="preserve"> </w:t>
      </w:r>
      <w:r w:rsidR="001C011A" w:rsidRPr="00F608CF">
        <w:rPr>
          <w:rFonts w:ascii="Times New Roman" w:hAnsi="Times New Roman" w:cs="Times New Roman"/>
          <w:b/>
          <w:bCs/>
          <w:sz w:val="20"/>
          <w:szCs w:val="20"/>
        </w:rPr>
        <w:t>C</w:t>
      </w:r>
      <w:r w:rsidR="00410129">
        <w:rPr>
          <w:rFonts w:ascii="Times New Roman" w:hAnsi="Times New Roman" w:cs="Times New Roman"/>
          <w:b/>
          <w:bCs/>
          <w:sz w:val="20"/>
          <w:szCs w:val="20"/>
        </w:rPr>
        <w:t>limate–Orchard Interaction framework</w:t>
      </w:r>
    </w:p>
    <w:p w14:paraId="511F0D2D" w14:textId="50742AF2" w:rsidR="00554244" w:rsidRPr="00F608CF" w:rsidRDefault="00554244" w:rsidP="008D486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t>3. Evolution of Climate-Adaptive Strategies</w:t>
      </w:r>
    </w:p>
    <w:p w14:paraId="2F495E60"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3.1 Historical Context and Climate Paradigm Shift</w:t>
      </w:r>
    </w:p>
    <w:p w14:paraId="64600277" w14:textId="0F331CAB" w:rsidR="007958E1" w:rsidRPr="00F608CF" w:rsidRDefault="007958E1" w:rsidP="008D4869">
      <w:pPr>
        <w:ind w:left="0"/>
        <w:rPr>
          <w:rFonts w:ascii="Times New Roman" w:hAnsi="Times New Roman" w:cs="Times New Roman"/>
          <w:sz w:val="20"/>
          <w:szCs w:val="20"/>
        </w:rPr>
      </w:pPr>
      <w:r w:rsidRPr="00F608CF">
        <w:rPr>
          <w:rFonts w:ascii="Times New Roman" w:hAnsi="Times New Roman" w:cs="Times New Roman"/>
          <w:sz w:val="20"/>
          <w:szCs w:val="20"/>
        </w:rPr>
        <w:t>Developments in the apple industry in India have experienced uninterrupted technology development since the introduction of commercial apple orchards during the mid1800's up until today (Chadha &amp; Awasthi</w:t>
      </w:r>
      <w:r w:rsidR="00237387" w:rsidRPr="00F608CF">
        <w:rPr>
          <w:rFonts w:ascii="Times New Roman" w:hAnsi="Times New Roman" w:cs="Times New Roman"/>
          <w:sz w:val="20"/>
          <w:szCs w:val="20"/>
        </w:rPr>
        <w:t>,</w:t>
      </w:r>
      <w:r w:rsidRPr="00F608CF">
        <w:rPr>
          <w:rFonts w:ascii="Times New Roman" w:hAnsi="Times New Roman" w:cs="Times New Roman"/>
          <w:sz w:val="20"/>
          <w:szCs w:val="20"/>
        </w:rPr>
        <w:t xml:space="preserve"> 2005; </w:t>
      </w:r>
      <w:r w:rsidRPr="00F608CF">
        <w:rPr>
          <w:rFonts w:ascii="Times New Roman" w:hAnsi="Times New Roman" w:cs="Times New Roman"/>
          <w:sz w:val="20"/>
          <w:szCs w:val="20"/>
        </w:rPr>
        <w:lastRenderedPageBreak/>
        <w:t>Verma et al</w:t>
      </w:r>
      <w:r w:rsidR="00C22FE0" w:rsidRPr="00F608CF">
        <w:rPr>
          <w:rFonts w:ascii="Times New Roman" w:hAnsi="Times New Roman" w:cs="Times New Roman"/>
          <w:sz w:val="20"/>
          <w:szCs w:val="20"/>
        </w:rPr>
        <w:t>.,</w:t>
      </w:r>
      <w:r w:rsidRPr="00F608CF">
        <w:rPr>
          <w:rFonts w:ascii="Times New Roman" w:hAnsi="Times New Roman" w:cs="Times New Roman"/>
          <w:sz w:val="20"/>
          <w:szCs w:val="20"/>
        </w:rPr>
        <w:t xml:space="preserve"> 2018). In the past, climatic conditions were thought to be unchanging or merely something to assess for use in practice. The first formal climatic research identifying climate as a variable that limits crop yield occurred in the early 2000s with studies that documented changes in flowering times and lower yields in original growing regions (</w:t>
      </w:r>
      <w:proofErr w:type="spellStart"/>
      <w:r w:rsidRPr="00F608CF">
        <w:rPr>
          <w:rFonts w:ascii="Times New Roman" w:hAnsi="Times New Roman" w:cs="Times New Roman"/>
          <w:sz w:val="20"/>
          <w:szCs w:val="20"/>
        </w:rPr>
        <w:t>Basannagari</w:t>
      </w:r>
      <w:proofErr w:type="spellEnd"/>
      <w:r w:rsidRPr="00F608CF">
        <w:rPr>
          <w:rFonts w:ascii="Times New Roman" w:hAnsi="Times New Roman" w:cs="Times New Roman"/>
          <w:sz w:val="20"/>
          <w:szCs w:val="20"/>
        </w:rPr>
        <w:t xml:space="preserve"> &amp; Kala 2013; </w:t>
      </w:r>
      <w:proofErr w:type="spellStart"/>
      <w:r w:rsidRPr="00F608CF">
        <w:rPr>
          <w:rFonts w:ascii="Times New Roman" w:hAnsi="Times New Roman" w:cs="Times New Roman"/>
          <w:sz w:val="20"/>
          <w:szCs w:val="20"/>
        </w:rPr>
        <w:t>Partap</w:t>
      </w:r>
      <w:proofErr w:type="spellEnd"/>
      <w:r w:rsidRPr="00F608CF">
        <w:rPr>
          <w:rFonts w:ascii="Times New Roman" w:hAnsi="Times New Roman" w:cs="Times New Roman"/>
          <w:sz w:val="20"/>
          <w:szCs w:val="20"/>
        </w:rPr>
        <w:t xml:space="preserve"> et al</w:t>
      </w:r>
      <w:r w:rsidR="00C22FE0" w:rsidRPr="00F608CF">
        <w:rPr>
          <w:rFonts w:ascii="Times New Roman" w:hAnsi="Times New Roman" w:cs="Times New Roman"/>
          <w:sz w:val="20"/>
          <w:szCs w:val="20"/>
        </w:rPr>
        <w:t>.,</w:t>
      </w:r>
      <w:r w:rsidRPr="00F608CF">
        <w:rPr>
          <w:rFonts w:ascii="Times New Roman" w:hAnsi="Times New Roman" w:cs="Times New Roman"/>
          <w:sz w:val="20"/>
          <w:szCs w:val="20"/>
        </w:rPr>
        <w:t xml:space="preserve"> 2020) and represents a shift in horticultural research from considering climate as merely the context for managing crops to considering it as a variable itself.</w:t>
      </w:r>
    </w:p>
    <w:p w14:paraId="6A8E8851" w14:textId="48BF0CEF"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3.2 High-Density Plantation Systems: Intensification and Climate Buffering</w:t>
      </w:r>
    </w:p>
    <w:p w14:paraId="744C5C98" w14:textId="59766AD7" w:rsidR="005101A0" w:rsidRPr="00F608CF" w:rsidRDefault="005101A0" w:rsidP="008D4869">
      <w:pPr>
        <w:ind w:left="0"/>
        <w:rPr>
          <w:rFonts w:ascii="Times New Roman" w:hAnsi="Times New Roman" w:cs="Times New Roman"/>
          <w:sz w:val="20"/>
          <w:szCs w:val="20"/>
        </w:rPr>
      </w:pPr>
      <w:r w:rsidRPr="00F608CF">
        <w:rPr>
          <w:rFonts w:ascii="Times New Roman" w:hAnsi="Times New Roman" w:cs="Times New Roman"/>
          <w:sz w:val="20"/>
          <w:szCs w:val="20"/>
        </w:rPr>
        <w:t>Over the last 10 years, the use of high-density plantations (HDP) has changed apple production in India dramatically. Conventional orchards growing 250-400 trees per hectare are slowly being replaced by HDP systems growing 1500 to 4000 trees per hectare with dwarfing rootstocks like M.9, MM.106, and MM.111 (Sharma &amp; Verma</w:t>
      </w:r>
      <w:r w:rsidR="005F733B" w:rsidRPr="00F608CF">
        <w:rPr>
          <w:rFonts w:ascii="Times New Roman" w:hAnsi="Times New Roman" w:cs="Times New Roman"/>
          <w:sz w:val="20"/>
          <w:szCs w:val="20"/>
        </w:rPr>
        <w:t xml:space="preserve"> </w:t>
      </w:r>
      <w:r w:rsidR="001270E4" w:rsidRPr="00F608CF">
        <w:rPr>
          <w:rFonts w:ascii="Times New Roman" w:hAnsi="Times New Roman" w:cs="Times New Roman"/>
          <w:sz w:val="20"/>
          <w:szCs w:val="20"/>
        </w:rPr>
        <w:t>(</w:t>
      </w:r>
      <w:r w:rsidRPr="00F608CF">
        <w:rPr>
          <w:rFonts w:ascii="Times New Roman" w:hAnsi="Times New Roman" w:cs="Times New Roman"/>
          <w:sz w:val="20"/>
          <w:szCs w:val="20"/>
        </w:rPr>
        <w:t>2021). New research shows that HDP systems offer multiple climatic resiliency advantages. For example,</w:t>
      </w:r>
      <w:r w:rsidR="003953C3" w:rsidRPr="00F608CF">
        <w:rPr>
          <w:rFonts w:ascii="Times New Roman" w:hAnsi="Times New Roman" w:cs="Times New Roman"/>
          <w:sz w:val="20"/>
          <w:szCs w:val="20"/>
        </w:rPr>
        <w:t xml:space="preserve"> (</w:t>
      </w:r>
      <w:proofErr w:type="spellStart"/>
      <w:r w:rsidRPr="00F608CF">
        <w:rPr>
          <w:rFonts w:ascii="Times New Roman" w:hAnsi="Times New Roman" w:cs="Times New Roman"/>
          <w:sz w:val="20"/>
          <w:szCs w:val="20"/>
        </w:rPr>
        <w:t>Ladon</w:t>
      </w:r>
      <w:proofErr w:type="spellEnd"/>
      <w:r w:rsidRPr="00F608CF">
        <w:rPr>
          <w:rFonts w:ascii="Times New Roman" w:hAnsi="Times New Roman" w:cs="Times New Roman"/>
          <w:sz w:val="20"/>
          <w:szCs w:val="20"/>
        </w:rPr>
        <w:t xml:space="preserve"> et al.</w:t>
      </w:r>
      <w:r w:rsidR="003953C3" w:rsidRPr="00F608CF">
        <w:rPr>
          <w:rFonts w:ascii="Times New Roman" w:hAnsi="Times New Roman" w:cs="Times New Roman"/>
          <w:sz w:val="20"/>
          <w:szCs w:val="20"/>
        </w:rPr>
        <w:t>,</w:t>
      </w:r>
      <w:r w:rsidRPr="00F608CF">
        <w:rPr>
          <w:rFonts w:ascii="Times New Roman" w:hAnsi="Times New Roman" w:cs="Times New Roman"/>
          <w:sz w:val="20"/>
          <w:szCs w:val="20"/>
        </w:rPr>
        <w:t xml:space="preserve"> 2024) have shown that trees grown in a high-density tall spindle-training system (4000 trees/ha) intercept 23-27% more-light and have 18-22% more photosynthetic efficiency than the low-density traditional growing systems (2000 trees/ha). These physiological improvements provide more efficient carbon uptake under suboptimal growing conditions. Additionally, the compact canopy helps shield trees from wind damage. Therefore, HDP systems enable better precision when applying inputs (Thakur et al., 2023).</w:t>
      </w:r>
    </w:p>
    <w:p w14:paraId="1CC5D281" w14:textId="47767CF4" w:rsidR="005101A0" w:rsidRPr="00F608CF" w:rsidRDefault="005101A0" w:rsidP="008D4869">
      <w:pPr>
        <w:ind w:left="0"/>
        <w:rPr>
          <w:rFonts w:ascii="Times New Roman" w:hAnsi="Times New Roman" w:cs="Times New Roman"/>
          <w:sz w:val="20"/>
          <w:szCs w:val="20"/>
        </w:rPr>
      </w:pPr>
      <w:r w:rsidRPr="00F608CF">
        <w:rPr>
          <w:rFonts w:ascii="Times New Roman" w:hAnsi="Times New Roman" w:cs="Times New Roman"/>
          <w:sz w:val="20"/>
          <w:szCs w:val="20"/>
        </w:rPr>
        <w:t xml:space="preserve">However, HDP systems often don't provide all of the anticipated benefits evenly throughout their geographic area, as can be seen in elevation-dependent responses. While evaluating HDP performance at varying elevations (1500-3000 m) throughout Himachal Pradesh, Sharma </w:t>
      </w:r>
      <w:r w:rsidR="003953C3" w:rsidRPr="00F608CF">
        <w:rPr>
          <w:rFonts w:ascii="Times New Roman" w:hAnsi="Times New Roman" w:cs="Times New Roman"/>
          <w:sz w:val="20"/>
          <w:szCs w:val="20"/>
        </w:rPr>
        <w:t>&amp;</w:t>
      </w:r>
      <w:r w:rsidRPr="00F608CF">
        <w:rPr>
          <w:rFonts w:ascii="Times New Roman" w:hAnsi="Times New Roman" w:cs="Times New Roman"/>
          <w:sz w:val="20"/>
          <w:szCs w:val="20"/>
        </w:rPr>
        <w:t xml:space="preserve"> Verma</w:t>
      </w:r>
      <w:r w:rsidR="00F5104E" w:rsidRPr="00F608CF">
        <w:rPr>
          <w:rFonts w:ascii="Times New Roman" w:hAnsi="Times New Roman" w:cs="Times New Roman"/>
          <w:sz w:val="20"/>
          <w:szCs w:val="20"/>
        </w:rPr>
        <w:t xml:space="preserve"> (</w:t>
      </w:r>
      <w:r w:rsidRPr="00F608CF">
        <w:rPr>
          <w:rFonts w:ascii="Times New Roman" w:hAnsi="Times New Roman" w:cs="Times New Roman"/>
          <w:sz w:val="20"/>
          <w:szCs w:val="20"/>
        </w:rPr>
        <w:t xml:space="preserve">2021) showed maximum benefits of HDP at mid-elevations (1500-1800 m) and minimal to no benefits at elevations greater than 2200 m because of limited opportunities for sufficient yield production due to reduced growing season length. The results strongly indicate that HDP systems require regionally specific guidelines for implementation rather than a single, general approach. </w:t>
      </w:r>
    </w:p>
    <w:p w14:paraId="6829F0FC" w14:textId="33F59762"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Physiological mechanisms underlying HDP climate resilience:</w:t>
      </w:r>
      <w:r w:rsidRPr="00F608CF">
        <w:rPr>
          <w:rFonts w:ascii="Times New Roman" w:hAnsi="Times New Roman" w:cs="Times New Roman"/>
          <w:sz w:val="20"/>
          <w:szCs w:val="20"/>
        </w:rPr>
        <w:t> </w:t>
      </w:r>
      <w:r w:rsidR="005101A0" w:rsidRPr="00F608CF">
        <w:rPr>
          <w:rFonts w:ascii="Times New Roman" w:hAnsi="Times New Roman" w:cs="Times New Roman"/>
          <w:sz w:val="20"/>
          <w:szCs w:val="20"/>
        </w:rPr>
        <w:t>The productivity benefits of HDP in hot conditions are based on changes in the canopy microclimate and adjustments in how plants use resources. Using dwarf rootstocks reduces sun and water usage, thus lowering the need for the tree to use energy to grow (</w:t>
      </w:r>
      <w:proofErr w:type="spellStart"/>
      <w:r w:rsidR="005101A0" w:rsidRPr="00F608CF">
        <w:rPr>
          <w:rFonts w:ascii="Times New Roman" w:hAnsi="Times New Roman" w:cs="Times New Roman"/>
          <w:sz w:val="20"/>
          <w:szCs w:val="20"/>
        </w:rPr>
        <w:t>Atay</w:t>
      </w:r>
      <w:proofErr w:type="spellEnd"/>
      <w:r w:rsidR="005101A0" w:rsidRPr="00F608CF">
        <w:rPr>
          <w:rFonts w:ascii="Times New Roman" w:hAnsi="Times New Roman" w:cs="Times New Roman"/>
          <w:sz w:val="20"/>
          <w:szCs w:val="20"/>
        </w:rPr>
        <w:t xml:space="preserve"> et al., 2021), but does not reduce the amount of energy the tree contributes to producing fruit (</w:t>
      </w:r>
      <w:proofErr w:type="spellStart"/>
      <w:r w:rsidR="005101A0" w:rsidRPr="00F608CF">
        <w:rPr>
          <w:rFonts w:ascii="Times New Roman" w:hAnsi="Times New Roman" w:cs="Times New Roman"/>
          <w:sz w:val="20"/>
          <w:szCs w:val="20"/>
        </w:rPr>
        <w:t>Atay</w:t>
      </w:r>
      <w:proofErr w:type="spellEnd"/>
      <w:r w:rsidR="005101A0" w:rsidRPr="00F608CF">
        <w:rPr>
          <w:rFonts w:ascii="Times New Roman" w:hAnsi="Times New Roman" w:cs="Times New Roman"/>
          <w:sz w:val="20"/>
          <w:szCs w:val="20"/>
        </w:rPr>
        <w:t xml:space="preserve"> et al., 2021). The even spread of light in the canopy creates an optimal environment for spur leaves to photosynthesize, which supports much of the fruit produced on spur leaves (</w:t>
      </w:r>
      <w:proofErr w:type="spellStart"/>
      <w:r w:rsidR="005101A0" w:rsidRPr="00F608CF">
        <w:rPr>
          <w:rFonts w:ascii="Times New Roman" w:hAnsi="Times New Roman" w:cs="Times New Roman"/>
          <w:sz w:val="20"/>
          <w:szCs w:val="20"/>
        </w:rPr>
        <w:t>Musacchi</w:t>
      </w:r>
      <w:proofErr w:type="spellEnd"/>
      <w:r w:rsidR="005101A0" w:rsidRPr="00F608CF">
        <w:rPr>
          <w:rFonts w:ascii="Times New Roman" w:hAnsi="Times New Roman" w:cs="Times New Roman"/>
          <w:sz w:val="20"/>
          <w:szCs w:val="20"/>
        </w:rPr>
        <w:t xml:space="preserve"> et al., 2021). The mechanistic principles established by studies of this technique throughout the world will also have to be validated through studies done on different types of agriculture in India.</w:t>
      </w:r>
    </w:p>
    <w:p w14:paraId="2053C245" w14:textId="62C21011" w:rsidR="005101A0" w:rsidRPr="00F608CF" w:rsidRDefault="00554244" w:rsidP="008D486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t>3.3</w:t>
      </w:r>
      <w:r w:rsidR="005F733B" w:rsidRPr="00F608CF">
        <w:rPr>
          <w:rFonts w:ascii="Times New Roman" w:hAnsi="Times New Roman" w:cs="Times New Roman"/>
          <w:b/>
          <w:bCs/>
          <w:sz w:val="20"/>
          <w:szCs w:val="20"/>
        </w:rPr>
        <w:t xml:space="preserve"> </w:t>
      </w:r>
      <w:r w:rsidR="007E2270" w:rsidRPr="00F608CF">
        <w:rPr>
          <w:rFonts w:ascii="Times New Roman" w:hAnsi="Times New Roman" w:cs="Times New Roman"/>
          <w:b/>
          <w:bCs/>
          <w:sz w:val="20"/>
          <w:szCs w:val="20"/>
        </w:rPr>
        <w:t>Water-Management</w:t>
      </w:r>
      <w:r w:rsidRPr="00F608CF">
        <w:rPr>
          <w:rFonts w:ascii="Times New Roman" w:hAnsi="Times New Roman" w:cs="Times New Roman"/>
          <w:b/>
          <w:bCs/>
          <w:sz w:val="20"/>
          <w:szCs w:val="20"/>
        </w:rPr>
        <w:t>: Deficit Irrigation and Mulching Synergies</w:t>
      </w:r>
    </w:p>
    <w:p w14:paraId="37C72699" w14:textId="5CF13E4F" w:rsidR="00404388" w:rsidRPr="00F608CF" w:rsidRDefault="007D22AB" w:rsidP="008D4869">
      <w:pPr>
        <w:ind w:left="0"/>
        <w:rPr>
          <w:rFonts w:ascii="Times New Roman" w:hAnsi="Times New Roman" w:cs="Times New Roman"/>
          <w:sz w:val="20"/>
          <w:szCs w:val="20"/>
        </w:rPr>
      </w:pPr>
      <w:r w:rsidRPr="00F608CF">
        <w:rPr>
          <w:rFonts w:ascii="Times New Roman" w:hAnsi="Times New Roman" w:cs="Times New Roman"/>
          <w:sz w:val="20"/>
          <w:szCs w:val="20"/>
        </w:rPr>
        <w:t>This report supports the existing global literature related to regulated deficit irrigation for temperate fruits (</w:t>
      </w:r>
      <w:proofErr w:type="spellStart"/>
      <w:r w:rsidRPr="00F608CF">
        <w:rPr>
          <w:rFonts w:ascii="Times New Roman" w:hAnsi="Times New Roman" w:cs="Times New Roman"/>
          <w:sz w:val="20"/>
          <w:szCs w:val="20"/>
        </w:rPr>
        <w:t>Naor</w:t>
      </w:r>
      <w:proofErr w:type="spellEnd"/>
      <w:r w:rsidRPr="00F608CF">
        <w:rPr>
          <w:rFonts w:ascii="Times New Roman" w:hAnsi="Times New Roman" w:cs="Times New Roman"/>
          <w:sz w:val="20"/>
          <w:szCs w:val="20"/>
        </w:rPr>
        <w:t xml:space="preserve"> et al., 2018</w:t>
      </w:r>
      <w:r w:rsidR="007E2270" w:rsidRPr="00F608CF">
        <w:rPr>
          <w:rFonts w:ascii="Times New Roman" w:hAnsi="Times New Roman" w:cs="Times New Roman"/>
          <w:sz w:val="20"/>
          <w:szCs w:val="20"/>
        </w:rPr>
        <w:t>;</w:t>
      </w:r>
      <w:r w:rsidRPr="00F608CF">
        <w:rPr>
          <w:rFonts w:ascii="Times New Roman" w:hAnsi="Times New Roman" w:cs="Times New Roman"/>
          <w:sz w:val="20"/>
          <w:szCs w:val="20"/>
        </w:rPr>
        <w:t xml:space="preserve"> Girona et al., 2020). Due to an increase in air temperature and evaporation potential, as well as a decrease in the amount of precipitation during winter, basic</w:t>
      </w:r>
      <w:r w:rsidR="007E2270" w:rsidRPr="00F608CF">
        <w:rPr>
          <w:rFonts w:ascii="Times New Roman" w:hAnsi="Times New Roman" w:cs="Times New Roman"/>
          <w:sz w:val="20"/>
          <w:szCs w:val="20"/>
        </w:rPr>
        <w:t xml:space="preserve"> </w:t>
      </w:r>
      <w:r w:rsidR="005F733B" w:rsidRPr="00F608CF">
        <w:rPr>
          <w:rFonts w:ascii="Times New Roman" w:hAnsi="Times New Roman" w:cs="Times New Roman"/>
          <w:sz w:val="20"/>
          <w:szCs w:val="20"/>
        </w:rPr>
        <w:t>Water-Management</w:t>
      </w:r>
      <w:r w:rsidRPr="00F608CF">
        <w:rPr>
          <w:rFonts w:ascii="Times New Roman" w:hAnsi="Times New Roman" w:cs="Times New Roman"/>
          <w:sz w:val="20"/>
          <w:szCs w:val="20"/>
        </w:rPr>
        <w:t xml:space="preserve"> practices will require reevaluation. An extensive study provides the most thorough evaluation of the interaction between irrigation and mulches in Indian apple systems and compares yield and plant growth responses between the use of full (100 percent of </w:t>
      </w:r>
      <w:proofErr w:type="spellStart"/>
      <w:r w:rsidRPr="00F608CF">
        <w:rPr>
          <w:rFonts w:ascii="Times New Roman" w:hAnsi="Times New Roman" w:cs="Times New Roman"/>
          <w:sz w:val="20"/>
          <w:szCs w:val="20"/>
        </w:rPr>
        <w:t>ETc</w:t>
      </w:r>
      <w:proofErr w:type="spellEnd"/>
      <w:r w:rsidRPr="00F608CF">
        <w:rPr>
          <w:rFonts w:ascii="Times New Roman" w:hAnsi="Times New Roman" w:cs="Times New Roman"/>
          <w:sz w:val="20"/>
          <w:szCs w:val="20"/>
        </w:rPr>
        <w:t xml:space="preserve">) and deficit (85 percent of </w:t>
      </w:r>
      <w:proofErr w:type="spellStart"/>
      <w:r w:rsidRPr="00F608CF">
        <w:rPr>
          <w:rFonts w:ascii="Times New Roman" w:hAnsi="Times New Roman" w:cs="Times New Roman"/>
          <w:sz w:val="20"/>
          <w:szCs w:val="20"/>
        </w:rPr>
        <w:t>ETc</w:t>
      </w:r>
      <w:proofErr w:type="spellEnd"/>
      <w:r w:rsidRPr="00F608CF">
        <w:rPr>
          <w:rFonts w:ascii="Times New Roman" w:hAnsi="Times New Roman" w:cs="Times New Roman"/>
          <w:sz w:val="20"/>
          <w:szCs w:val="20"/>
        </w:rPr>
        <w:t>) irrigation with plastic, dried grass</w:t>
      </w:r>
      <w:r w:rsidR="005844CD" w:rsidRPr="00F608CF">
        <w:rPr>
          <w:rFonts w:ascii="Times New Roman" w:hAnsi="Times New Roman" w:cs="Times New Roman"/>
          <w:sz w:val="20"/>
          <w:szCs w:val="20"/>
        </w:rPr>
        <w:t>,</w:t>
      </w:r>
      <w:r w:rsidRPr="00F608CF">
        <w:rPr>
          <w:rFonts w:ascii="Times New Roman" w:hAnsi="Times New Roman" w:cs="Times New Roman"/>
          <w:sz w:val="20"/>
          <w:szCs w:val="20"/>
        </w:rPr>
        <w:t xml:space="preserve"> and no mulches over two growing seasons</w:t>
      </w:r>
      <w:r w:rsidR="005844CD" w:rsidRPr="00F608CF">
        <w:rPr>
          <w:rFonts w:ascii="Times New Roman" w:hAnsi="Times New Roman" w:cs="Times New Roman"/>
          <w:sz w:val="20"/>
          <w:szCs w:val="20"/>
        </w:rPr>
        <w:t xml:space="preserve"> (Kumar et al., 2025)</w:t>
      </w:r>
      <w:r w:rsidR="00404388" w:rsidRPr="00F608CF">
        <w:rPr>
          <w:rFonts w:ascii="Times New Roman" w:hAnsi="Times New Roman" w:cs="Times New Roman"/>
          <w:sz w:val="20"/>
          <w:szCs w:val="20"/>
        </w:rPr>
        <w:t>. This research confirmed the ability of organic mulches to buffer climate extremes. For example, grass mulch reduced maximum soil temperatures by 2.2°C compared to bare soil, but increased minimum soil temperatures by 1.3°C, providing better thermal stability in root zones.</w:t>
      </w:r>
    </w:p>
    <w:p w14:paraId="5F47116C" w14:textId="0F2D8DB2" w:rsidR="007D22AB" w:rsidRPr="00F608CF" w:rsidRDefault="00404388"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lastRenderedPageBreak/>
        <w:t xml:space="preserve">The interaction of irrigation and mulch revealed significant trade-offs in breeding efficiency. Full irrigation with grass mulch produced the highest pure yields (80.8-83.3 Mg ha⁻¹), but deficit irrigation (85% </w:t>
      </w:r>
      <w:proofErr w:type="spellStart"/>
      <w:r w:rsidRPr="00F608CF">
        <w:rPr>
          <w:rFonts w:ascii="Times New Roman" w:hAnsi="Times New Roman" w:cs="Times New Roman"/>
          <w:sz w:val="20"/>
          <w:szCs w:val="20"/>
        </w:rPr>
        <w:t>ETc</w:t>
      </w:r>
      <w:proofErr w:type="spellEnd"/>
      <w:r w:rsidRPr="00F608CF">
        <w:rPr>
          <w:rFonts w:ascii="Times New Roman" w:hAnsi="Times New Roman" w:cs="Times New Roman"/>
          <w:sz w:val="20"/>
          <w:szCs w:val="20"/>
        </w:rPr>
        <w:t>) produced significant increases in water use efficiency of 13.6% and 12.7%</w:t>
      </w:r>
      <w:r w:rsidR="00995E64" w:rsidRPr="00F608CF">
        <w:rPr>
          <w:rFonts w:ascii="Times New Roman" w:hAnsi="Times New Roman" w:cs="Times New Roman"/>
          <w:sz w:val="20"/>
          <w:szCs w:val="20"/>
        </w:rPr>
        <w:t>,</w:t>
      </w:r>
      <w:r w:rsidRPr="00F608CF">
        <w:rPr>
          <w:rFonts w:ascii="Times New Roman" w:hAnsi="Times New Roman" w:cs="Times New Roman"/>
          <w:sz w:val="20"/>
          <w:szCs w:val="20"/>
        </w:rPr>
        <w:t xml:space="preserve"> respectively</w:t>
      </w:r>
      <w:r w:rsidR="00995E64" w:rsidRPr="00F608CF">
        <w:rPr>
          <w:rFonts w:ascii="Times New Roman" w:hAnsi="Times New Roman" w:cs="Times New Roman"/>
          <w:sz w:val="20"/>
          <w:szCs w:val="20"/>
        </w:rPr>
        <w:t>,</w:t>
      </w:r>
      <w:r w:rsidRPr="00F608CF">
        <w:rPr>
          <w:rFonts w:ascii="Times New Roman" w:hAnsi="Times New Roman" w:cs="Times New Roman"/>
          <w:sz w:val="20"/>
          <w:szCs w:val="20"/>
        </w:rPr>
        <w:t xml:space="preserve"> compared to full irrigation over the two years of the study. In addition, there were physiological changes in the stomatal density of the plants that were exposed to deficit irrigation, which suggests that plants will adapt to available water; this has important implications for the potential success of an orchard in the long term as a result of sustained periods of water shortage (Kumar et al., 2025). </w:t>
      </w:r>
    </w:p>
    <w:p w14:paraId="17CFC749" w14:textId="567846F5" w:rsidR="00554244" w:rsidRPr="00F608CF" w:rsidRDefault="00554244"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The phenological timing of water stress imposition critically determines whether responses are beneficial (enhanced fruit quality, reduced vegetative growth) or detrimental (reduced fruit size, yield penalties). Establishing Indian-specific guidelines for deficit irrigation scheduling remains a research priority.</w:t>
      </w:r>
    </w:p>
    <w:p w14:paraId="191CF511"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3.4 Nutrient Management Under Climate Variability</w:t>
      </w:r>
    </w:p>
    <w:p w14:paraId="3E16B15A" w14:textId="77777777" w:rsidR="007D22AB" w:rsidRPr="00F608CF" w:rsidRDefault="00404388" w:rsidP="008D4869">
      <w:pPr>
        <w:ind w:left="0"/>
        <w:rPr>
          <w:rFonts w:ascii="Times New Roman" w:hAnsi="Times New Roman" w:cs="Times New Roman"/>
          <w:sz w:val="20"/>
          <w:szCs w:val="20"/>
        </w:rPr>
      </w:pPr>
      <w:r w:rsidRPr="00F608CF">
        <w:rPr>
          <w:rFonts w:ascii="Times New Roman" w:hAnsi="Times New Roman" w:cs="Times New Roman"/>
          <w:sz w:val="20"/>
          <w:szCs w:val="20"/>
        </w:rPr>
        <w:t xml:space="preserve">Changes to nutrient dynamics in orchards caused by climate change occur through a variety of processes, including modifications to soil biological activity, altered rates of organic matter decomposition, changes in root activity patterns, and changes in water availability (Pathak et al., 2023). In India, the response has focused on utilizing fertigation as a nutrient management tool to improve the efficiency of nutrient usage under ever-uncertain environmental factors. </w:t>
      </w:r>
    </w:p>
    <w:p w14:paraId="1E088B8C" w14:textId="44745611" w:rsidR="00404388" w:rsidRPr="00F608CF" w:rsidRDefault="00404388" w:rsidP="008D4869">
      <w:pPr>
        <w:ind w:left="0"/>
        <w:rPr>
          <w:rFonts w:ascii="Times New Roman" w:hAnsi="Times New Roman" w:cs="Times New Roman"/>
          <w:sz w:val="20"/>
          <w:szCs w:val="20"/>
        </w:rPr>
      </w:pPr>
      <w:r w:rsidRPr="00F608CF">
        <w:rPr>
          <w:rFonts w:ascii="Times New Roman" w:hAnsi="Times New Roman" w:cs="Times New Roman"/>
          <w:sz w:val="20"/>
          <w:szCs w:val="20"/>
        </w:rPr>
        <w:t>There has been an increasing focus on understanding seasonal nutrient uptake dynamics. The most recent research has indicated that by using phenological staging-based models, applying nutrients during crop demand is the best way to improve efficiency of nutrient use or application (Singh et al., 2024) during the period shortly after the fruit set-to- fruit development period (April to July) is the period of greatest nutrient demand with the highest demand for potassium occurring during the two months before harvest. When dealing with climate stresses</w:t>
      </w:r>
      <w:r w:rsidR="00995E64" w:rsidRPr="00F608CF">
        <w:rPr>
          <w:rFonts w:ascii="Times New Roman" w:hAnsi="Times New Roman" w:cs="Times New Roman"/>
          <w:sz w:val="20"/>
          <w:szCs w:val="20"/>
        </w:rPr>
        <w:t>,</w:t>
      </w:r>
      <w:r w:rsidRPr="00F608CF">
        <w:rPr>
          <w:rFonts w:ascii="Times New Roman" w:hAnsi="Times New Roman" w:cs="Times New Roman"/>
          <w:sz w:val="20"/>
          <w:szCs w:val="20"/>
        </w:rPr>
        <w:t xml:space="preserve"> the timing of nutrient application is even more important, due to the shortening of the nutrient demand periods within the crop's development period.</w:t>
      </w:r>
    </w:p>
    <w:p w14:paraId="25602AC6" w14:textId="692726CE"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3.5 Pest and Disease Dynamics in a Changing Climate</w:t>
      </w:r>
    </w:p>
    <w:p w14:paraId="00C25B38" w14:textId="2069A030" w:rsidR="00404388" w:rsidRPr="00F608CF" w:rsidRDefault="00404388" w:rsidP="008D4869">
      <w:pPr>
        <w:ind w:left="0"/>
        <w:rPr>
          <w:rFonts w:ascii="Times New Roman" w:hAnsi="Times New Roman" w:cs="Times New Roman"/>
          <w:sz w:val="20"/>
          <w:szCs w:val="20"/>
        </w:rPr>
      </w:pPr>
      <w:r w:rsidRPr="00F608CF">
        <w:rPr>
          <w:rFonts w:ascii="Times New Roman" w:hAnsi="Times New Roman" w:cs="Times New Roman"/>
          <w:sz w:val="20"/>
          <w:szCs w:val="20"/>
        </w:rPr>
        <w:t>The most visible way that climate change plays a role in apple growing is through changing pest and disease pressure. The reappearance of the leaf miner (</w:t>
      </w:r>
      <w:proofErr w:type="spellStart"/>
      <w:r w:rsidRPr="00F608CF">
        <w:rPr>
          <w:rFonts w:ascii="Times New Roman" w:hAnsi="Times New Roman" w:cs="Times New Roman"/>
          <w:sz w:val="20"/>
          <w:szCs w:val="20"/>
        </w:rPr>
        <w:t>Phyllonorycter</w:t>
      </w:r>
      <w:proofErr w:type="spellEnd"/>
      <w:r w:rsidRPr="00F608CF">
        <w:rPr>
          <w:rFonts w:ascii="Times New Roman" w:hAnsi="Times New Roman" w:cs="Times New Roman"/>
          <w:sz w:val="20"/>
          <w:szCs w:val="20"/>
        </w:rPr>
        <w:t xml:space="preserve"> spp.) in the Kashmir Valley has served as an excellent example of how climate and pest populations are interconnected (Bhat et al., 2024; Mir et al., 2023). This pest was first detected about 5 years ago... Its population density appears to have been increasing over each of the past 3 growing seasons due primarily to warmer winter temperatures and changing precipitation patterns. </w:t>
      </w:r>
      <w:r w:rsidR="00237387" w:rsidRPr="00F608CF">
        <w:rPr>
          <w:rFonts w:ascii="Times New Roman" w:hAnsi="Times New Roman" w:cs="Times New Roman"/>
          <w:sz w:val="20"/>
          <w:szCs w:val="20"/>
        </w:rPr>
        <w:t>(</w:t>
      </w:r>
      <w:r w:rsidRPr="00F608CF">
        <w:rPr>
          <w:rFonts w:ascii="Times New Roman" w:hAnsi="Times New Roman" w:cs="Times New Roman"/>
          <w:sz w:val="20"/>
          <w:szCs w:val="20"/>
        </w:rPr>
        <w:t>Bhat et al.</w:t>
      </w:r>
      <w:r w:rsidR="00237387" w:rsidRPr="00F608CF">
        <w:rPr>
          <w:rFonts w:ascii="Times New Roman" w:hAnsi="Times New Roman" w:cs="Times New Roman"/>
          <w:sz w:val="20"/>
          <w:szCs w:val="20"/>
        </w:rPr>
        <w:t xml:space="preserve">, </w:t>
      </w:r>
      <w:r w:rsidRPr="00F608CF">
        <w:rPr>
          <w:rFonts w:ascii="Times New Roman" w:hAnsi="Times New Roman" w:cs="Times New Roman"/>
          <w:sz w:val="20"/>
          <w:szCs w:val="20"/>
        </w:rPr>
        <w:t xml:space="preserve">2024) report that when minimum winter temperature increases exceed </w:t>
      </w:r>
      <w:r w:rsidR="00995E64" w:rsidRPr="00F608CF">
        <w:rPr>
          <w:rFonts w:ascii="Times New Roman" w:hAnsi="Times New Roman" w:cs="Times New Roman"/>
          <w:sz w:val="20"/>
          <w:szCs w:val="20"/>
        </w:rPr>
        <w:t>long-term</w:t>
      </w:r>
      <w:r w:rsidRPr="00F608CF">
        <w:rPr>
          <w:rFonts w:ascii="Times New Roman" w:hAnsi="Times New Roman" w:cs="Times New Roman"/>
          <w:sz w:val="20"/>
          <w:szCs w:val="20"/>
        </w:rPr>
        <w:t xml:space="preserve"> averages by 1.8°C, leaf miner emergence rates during the following spring increased by 47%. Thus, some of the increase in leaf miner population density over the last 5 years can be attributed to increased leaf miner survivorship during the winter months due to less extreme low winter temperatures than previously experienced. Additionally, the earlier leaf emergence each spring has led to the occurrence of phenological mismatches between the leafy plant hosts and the natural enemies (biological control agents) of the leaf miners. The result is that the efficacy of biological control has declined.</w:t>
      </w:r>
    </w:p>
    <w:p w14:paraId="6C1AABAA" w14:textId="6567834F" w:rsidR="00554244" w:rsidRPr="00F608CF" w:rsidRDefault="00404388"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As part of the response of research and public institutions to this change in pest population density, the emphasis has shifted toward strengthening integrated pest management (IPM) programs through increased monitoring, field-scouting, and augmenting production and release of entomopathogenic nematodes and parasitoid species such as </w:t>
      </w:r>
      <w:proofErr w:type="spellStart"/>
      <w:r w:rsidRPr="00F608CF">
        <w:rPr>
          <w:rFonts w:ascii="Times New Roman" w:hAnsi="Times New Roman" w:cs="Times New Roman"/>
          <w:sz w:val="20"/>
          <w:szCs w:val="20"/>
        </w:rPr>
        <w:t>Trichogramma</w:t>
      </w:r>
      <w:proofErr w:type="spellEnd"/>
      <w:r w:rsidRPr="00F608CF">
        <w:rPr>
          <w:rFonts w:ascii="Times New Roman" w:hAnsi="Times New Roman" w:cs="Times New Roman"/>
          <w:sz w:val="20"/>
          <w:szCs w:val="20"/>
        </w:rPr>
        <w:t xml:space="preserve"> spp. and </w:t>
      </w:r>
      <w:proofErr w:type="spellStart"/>
      <w:r w:rsidRPr="00F608CF">
        <w:rPr>
          <w:rFonts w:ascii="Times New Roman" w:hAnsi="Times New Roman" w:cs="Times New Roman"/>
          <w:sz w:val="20"/>
          <w:szCs w:val="20"/>
        </w:rPr>
        <w:t>Chrysoperla</w:t>
      </w:r>
      <w:proofErr w:type="spellEnd"/>
      <w:r w:rsidRPr="00F608CF">
        <w:rPr>
          <w:rFonts w:ascii="Times New Roman" w:hAnsi="Times New Roman" w:cs="Times New Roman"/>
          <w:sz w:val="20"/>
          <w:szCs w:val="20"/>
        </w:rPr>
        <w:t xml:space="preserve"> spp. (Mir et al., 2023). There is considerable uncertainty regarding the origins of many pest species that have increased in recent years. For example, using genetic analysis of leaf </w:t>
      </w:r>
      <w:r w:rsidRPr="00F608CF">
        <w:rPr>
          <w:rFonts w:ascii="Times New Roman" w:hAnsi="Times New Roman" w:cs="Times New Roman"/>
          <w:sz w:val="20"/>
          <w:szCs w:val="20"/>
        </w:rPr>
        <w:lastRenderedPageBreak/>
        <w:t>miner populations in the Kashmir area, Bhat et al. (2024) found that many of the leaf miner haplotypes are not a single introduced species but instead represent a complex of cryptic species, with some of the haplotypes being endemic to the area.</w:t>
      </w:r>
    </w:p>
    <w:p w14:paraId="563891B1"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4. Summary of Adaptation Strategies</w:t>
      </w:r>
    </w:p>
    <w:p w14:paraId="7613E45E" w14:textId="10E79EE1"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Table 1</w:t>
      </w:r>
      <w:r w:rsidRPr="00F608CF">
        <w:rPr>
          <w:rFonts w:ascii="Times New Roman" w:hAnsi="Times New Roman" w:cs="Times New Roman"/>
          <w:sz w:val="20"/>
          <w:szCs w:val="20"/>
        </w:rPr>
        <w:t> synthesizes the major climate-resilient adaptation strategies identified in the literature, their mechanisms of action, reported effectiveness, and knowledge gaps requiring further investigation.</w:t>
      </w:r>
    </w:p>
    <w:tbl>
      <w:tblPr>
        <w:tblStyle w:val="TableGrid"/>
        <w:tblW w:w="0" w:type="auto"/>
        <w:tblInd w:w="10" w:type="dxa"/>
        <w:tblLook w:val="04A0" w:firstRow="1" w:lastRow="0" w:firstColumn="1" w:lastColumn="0" w:noHBand="0" w:noVBand="1"/>
      </w:tblPr>
      <w:tblGrid>
        <w:gridCol w:w="1351"/>
        <w:gridCol w:w="1972"/>
        <w:gridCol w:w="1760"/>
        <w:gridCol w:w="1771"/>
        <w:gridCol w:w="1912"/>
      </w:tblGrid>
      <w:tr w:rsidR="008E1B40" w:rsidRPr="00F608CF" w14:paraId="3C58E4FF" w14:textId="77777777" w:rsidTr="008E1B40">
        <w:tc>
          <w:tcPr>
            <w:tcW w:w="0" w:type="auto"/>
          </w:tcPr>
          <w:p w14:paraId="035E0149" w14:textId="77777777" w:rsidR="008E1B40" w:rsidRPr="00F608CF" w:rsidRDefault="008E1B40" w:rsidP="008D486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t xml:space="preserve">Strategy Category </w:t>
            </w:r>
          </w:p>
        </w:tc>
        <w:tc>
          <w:tcPr>
            <w:tcW w:w="0" w:type="auto"/>
          </w:tcPr>
          <w:p w14:paraId="486408F0" w14:textId="77777777" w:rsidR="008E1B40" w:rsidRPr="00F608CF" w:rsidRDefault="008E1B40" w:rsidP="008D486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t xml:space="preserve"> Specific Intervention </w:t>
            </w:r>
          </w:p>
        </w:tc>
        <w:tc>
          <w:tcPr>
            <w:tcW w:w="0" w:type="auto"/>
          </w:tcPr>
          <w:p w14:paraId="40B7BA9A" w14:textId="77777777" w:rsidR="008E1B40" w:rsidRPr="00F608CF" w:rsidRDefault="008E1B40" w:rsidP="008D486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t xml:space="preserve"> Mechanism of Action </w:t>
            </w:r>
          </w:p>
        </w:tc>
        <w:tc>
          <w:tcPr>
            <w:tcW w:w="0" w:type="auto"/>
          </w:tcPr>
          <w:p w14:paraId="637E707F" w14:textId="77777777" w:rsidR="008E1B40" w:rsidRPr="00F608CF" w:rsidRDefault="008E1B40" w:rsidP="008D486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t xml:space="preserve"> Reported Effectiveness </w:t>
            </w:r>
          </w:p>
        </w:tc>
        <w:tc>
          <w:tcPr>
            <w:tcW w:w="0" w:type="auto"/>
          </w:tcPr>
          <w:p w14:paraId="04AEAE14" w14:textId="77777777" w:rsidR="008E1B40" w:rsidRPr="00F608CF" w:rsidRDefault="008E1B40" w:rsidP="008D486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t xml:space="preserve"> Knowledge Gaps</w:t>
            </w:r>
          </w:p>
        </w:tc>
      </w:tr>
      <w:tr w:rsidR="008E1B40" w:rsidRPr="00F608CF" w14:paraId="16449B15" w14:textId="77777777" w:rsidTr="008E1B40">
        <w:tc>
          <w:tcPr>
            <w:tcW w:w="0" w:type="auto"/>
          </w:tcPr>
          <w:p w14:paraId="3955D92A"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High-Density Planting </w:t>
            </w:r>
          </w:p>
        </w:tc>
        <w:tc>
          <w:tcPr>
            <w:tcW w:w="0" w:type="auto"/>
          </w:tcPr>
          <w:p w14:paraId="2D78E186"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Dwarfing rootstocks (M.9, MM.106, MM.111); 3000–4000 trees/ha </w:t>
            </w:r>
          </w:p>
        </w:tc>
        <w:tc>
          <w:tcPr>
            <w:tcW w:w="0" w:type="auto"/>
          </w:tcPr>
          <w:p w14:paraId="11708D2D"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Enhances light interception; reduces maintenance respiration; improves source–sink balance </w:t>
            </w:r>
          </w:p>
        </w:tc>
        <w:tc>
          <w:tcPr>
            <w:tcW w:w="0" w:type="auto"/>
          </w:tcPr>
          <w:p w14:paraId="25E4B35E"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18–22% higher photosynthetic efficiency; 15–20% yield increase </w:t>
            </w:r>
          </w:p>
        </w:tc>
        <w:tc>
          <w:tcPr>
            <w:tcW w:w="0" w:type="auto"/>
          </w:tcPr>
          <w:p w14:paraId="51C1E395"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Elevation-specific optimization; rootstock–scion interactions under thermal stress; long-term orchard longevity</w:t>
            </w:r>
          </w:p>
        </w:tc>
      </w:tr>
      <w:tr w:rsidR="008E1B40" w:rsidRPr="00F608CF" w14:paraId="7CB59013" w14:textId="77777777" w:rsidTr="008E1B40">
        <w:tc>
          <w:tcPr>
            <w:tcW w:w="0" w:type="auto"/>
          </w:tcPr>
          <w:p w14:paraId="60FE20D6"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Water Management </w:t>
            </w:r>
          </w:p>
        </w:tc>
        <w:tc>
          <w:tcPr>
            <w:tcW w:w="0" w:type="auto"/>
          </w:tcPr>
          <w:p w14:paraId="103E9207"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Deficit irrigation (85% </w:t>
            </w:r>
            <w:proofErr w:type="spellStart"/>
            <w:r w:rsidRPr="00F608CF">
              <w:rPr>
                <w:rFonts w:ascii="Times New Roman" w:hAnsi="Times New Roman" w:cs="Times New Roman"/>
                <w:sz w:val="20"/>
                <w:szCs w:val="20"/>
              </w:rPr>
              <w:t>ETc</w:t>
            </w:r>
            <w:proofErr w:type="spellEnd"/>
            <w:r w:rsidRPr="00F608CF">
              <w:rPr>
                <w:rFonts w:ascii="Times New Roman" w:hAnsi="Times New Roman" w:cs="Times New Roman"/>
                <w:sz w:val="20"/>
                <w:szCs w:val="20"/>
              </w:rPr>
              <w:t xml:space="preserve">) + organic mulching </w:t>
            </w:r>
          </w:p>
        </w:tc>
        <w:tc>
          <w:tcPr>
            <w:tcW w:w="0" w:type="auto"/>
          </w:tcPr>
          <w:p w14:paraId="4B74D9AE"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Moderates soil temperature; reduces evaporative losses; regulates stomata </w:t>
            </w:r>
          </w:p>
        </w:tc>
        <w:tc>
          <w:tcPr>
            <w:tcW w:w="0" w:type="auto"/>
          </w:tcPr>
          <w:p w14:paraId="5CCFB875"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12–14% higher water use efficiency; maintains 95–98% of full irrigation yield </w:t>
            </w:r>
          </w:p>
        </w:tc>
        <w:tc>
          <w:tcPr>
            <w:tcW w:w="0" w:type="auto"/>
          </w:tcPr>
          <w:p w14:paraId="27E44EF3"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Phenological timing of deficit imposition; cumulative effects on vigor; variety-specific responses</w:t>
            </w:r>
          </w:p>
        </w:tc>
      </w:tr>
      <w:tr w:rsidR="008E1B40" w:rsidRPr="00F608CF" w14:paraId="7380E07A" w14:textId="77777777" w:rsidTr="008E1B40">
        <w:tc>
          <w:tcPr>
            <w:tcW w:w="0" w:type="auto"/>
          </w:tcPr>
          <w:p w14:paraId="5C6513E6"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Nutrient Management </w:t>
            </w:r>
          </w:p>
        </w:tc>
        <w:tc>
          <w:tcPr>
            <w:tcW w:w="0" w:type="auto"/>
          </w:tcPr>
          <w:p w14:paraId="2CB94715"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Fertigation with precision timing (100–75% recommended doses) </w:t>
            </w:r>
          </w:p>
        </w:tc>
        <w:tc>
          <w:tcPr>
            <w:tcW w:w="0" w:type="auto"/>
          </w:tcPr>
          <w:p w14:paraId="5AE8B304"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Synchronizes availability with phenological demand; enhances uptake efficiency </w:t>
            </w:r>
          </w:p>
        </w:tc>
        <w:tc>
          <w:tcPr>
            <w:tcW w:w="0" w:type="auto"/>
          </w:tcPr>
          <w:p w14:paraId="2C2877BF"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15–22% improved leaf nutrient status; 10–15% yield enhancement </w:t>
            </w:r>
          </w:p>
        </w:tc>
        <w:tc>
          <w:tcPr>
            <w:tcW w:w="0" w:type="auto"/>
          </w:tcPr>
          <w:p w14:paraId="2786A551"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Interaction with organic amendments; belowground nutrient dynamics; climate-modified requirements</w:t>
            </w:r>
          </w:p>
        </w:tc>
      </w:tr>
      <w:tr w:rsidR="008E1B40" w:rsidRPr="00F608CF" w14:paraId="44AD1F34" w14:textId="77777777" w:rsidTr="008E1B40">
        <w:tc>
          <w:tcPr>
            <w:tcW w:w="0" w:type="auto"/>
          </w:tcPr>
          <w:p w14:paraId="3230902C"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Canopy Architecture </w:t>
            </w:r>
          </w:p>
        </w:tc>
        <w:tc>
          <w:tcPr>
            <w:tcW w:w="0" w:type="auto"/>
          </w:tcPr>
          <w:p w14:paraId="0C17B889"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Tall-spindle and vertical-axis training systems </w:t>
            </w:r>
          </w:p>
        </w:tc>
        <w:tc>
          <w:tcPr>
            <w:tcW w:w="0" w:type="auto"/>
          </w:tcPr>
          <w:p w14:paraId="050F1D5D"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Optimizes light distribution; reduces self-shading; improves spray penetration </w:t>
            </w:r>
          </w:p>
        </w:tc>
        <w:tc>
          <w:tcPr>
            <w:tcW w:w="0" w:type="auto"/>
          </w:tcPr>
          <w:p w14:paraId="2FE6381A"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12–18% improvement in fruit color; enhances uniform ripening </w:t>
            </w:r>
          </w:p>
        </w:tc>
        <w:tc>
          <w:tcPr>
            <w:tcW w:w="0" w:type="auto"/>
          </w:tcPr>
          <w:p w14:paraId="2E030394"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Adaptation to high-temperature regimes; pruning optimization for heat stress mitigation</w:t>
            </w:r>
          </w:p>
        </w:tc>
      </w:tr>
      <w:tr w:rsidR="008E1B40" w:rsidRPr="00F608CF" w14:paraId="4CC5F69E" w14:textId="77777777" w:rsidTr="008E1B40">
        <w:tc>
          <w:tcPr>
            <w:tcW w:w="0" w:type="auto"/>
          </w:tcPr>
          <w:p w14:paraId="4092F0F2"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Low-Chill Cultivars </w:t>
            </w:r>
          </w:p>
        </w:tc>
        <w:tc>
          <w:tcPr>
            <w:tcW w:w="0" w:type="auto"/>
          </w:tcPr>
          <w:p w14:paraId="603252B2"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HRMN-99 and similar selections </w:t>
            </w:r>
          </w:p>
        </w:tc>
        <w:tc>
          <w:tcPr>
            <w:tcW w:w="0" w:type="auto"/>
          </w:tcPr>
          <w:p w14:paraId="059B6E41"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Upregulates heat shock proteins (HSP70/90); modifies DAM gene expression </w:t>
            </w:r>
          </w:p>
        </w:tc>
        <w:tc>
          <w:tcPr>
            <w:tcW w:w="0" w:type="auto"/>
          </w:tcPr>
          <w:p w14:paraId="36E16332"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Successful in regions &gt;45°C; yields 60–70 kg/tree </w:t>
            </w:r>
          </w:p>
        </w:tc>
        <w:tc>
          <w:tcPr>
            <w:tcW w:w="0" w:type="auto"/>
          </w:tcPr>
          <w:p w14:paraId="7FA735C0"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Fruit quality under extreme heat; long-term sustainability; genetic stability</w:t>
            </w:r>
          </w:p>
        </w:tc>
      </w:tr>
      <w:tr w:rsidR="008E1B40" w:rsidRPr="00F608CF" w14:paraId="164E9750" w14:textId="77777777" w:rsidTr="008E1B40">
        <w:tc>
          <w:tcPr>
            <w:tcW w:w="0" w:type="auto"/>
          </w:tcPr>
          <w:p w14:paraId="6192EC94"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lastRenderedPageBreak/>
              <w:t xml:space="preserve">Integrated Pest Management </w:t>
            </w:r>
          </w:p>
        </w:tc>
        <w:tc>
          <w:tcPr>
            <w:tcW w:w="0" w:type="auto"/>
          </w:tcPr>
          <w:p w14:paraId="5C8ADA28"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Enhanced monitoring; biocontrol agents (</w:t>
            </w:r>
            <w:proofErr w:type="spellStart"/>
            <w:r w:rsidRPr="00F608CF">
              <w:rPr>
                <w:rFonts w:ascii="Times New Roman" w:hAnsi="Times New Roman" w:cs="Times New Roman"/>
                <w:sz w:val="20"/>
                <w:szCs w:val="20"/>
              </w:rPr>
              <w:t>Trichogramma</w:t>
            </w:r>
            <w:proofErr w:type="spellEnd"/>
            <w:r w:rsidRPr="00F608CF">
              <w:rPr>
                <w:rFonts w:ascii="Times New Roman" w:hAnsi="Times New Roman" w:cs="Times New Roman"/>
                <w:sz w:val="20"/>
                <w:szCs w:val="20"/>
              </w:rPr>
              <w:t xml:space="preserve">, </w:t>
            </w:r>
            <w:proofErr w:type="spellStart"/>
            <w:r w:rsidRPr="00F608CF">
              <w:rPr>
                <w:rFonts w:ascii="Times New Roman" w:hAnsi="Times New Roman" w:cs="Times New Roman"/>
                <w:sz w:val="20"/>
                <w:szCs w:val="20"/>
              </w:rPr>
              <w:t>Chrysoperla</w:t>
            </w:r>
            <w:proofErr w:type="spellEnd"/>
            <w:r w:rsidRPr="00F608CF">
              <w:rPr>
                <w:rFonts w:ascii="Times New Roman" w:hAnsi="Times New Roman" w:cs="Times New Roman"/>
                <w:sz w:val="20"/>
                <w:szCs w:val="20"/>
              </w:rPr>
              <w:t xml:space="preserve">); targeted interventions </w:t>
            </w:r>
          </w:p>
        </w:tc>
        <w:tc>
          <w:tcPr>
            <w:tcW w:w="0" w:type="auto"/>
          </w:tcPr>
          <w:p w14:paraId="55E01C0D"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Synchronizes natural enemies with pests; reduces pesticide reliance </w:t>
            </w:r>
          </w:p>
        </w:tc>
        <w:tc>
          <w:tcPr>
            <w:tcW w:w="0" w:type="auto"/>
          </w:tcPr>
          <w:p w14:paraId="11A111AA"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30–40% reduction in insecticide applications; maintains pest suppression </w:t>
            </w:r>
          </w:p>
        </w:tc>
        <w:tc>
          <w:tcPr>
            <w:tcW w:w="0" w:type="auto"/>
          </w:tcPr>
          <w:p w14:paraId="6B2F72A8"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Climate–pest phenology models; cryptic species identification; revised economic thresholds</w:t>
            </w:r>
          </w:p>
        </w:tc>
      </w:tr>
    </w:tbl>
    <w:p w14:paraId="0796EE2C" w14:textId="443BBFD0" w:rsidR="008E1B40" w:rsidRPr="00F608CF" w:rsidRDefault="008E1B40"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Table 1.</w:t>
      </w:r>
      <w:r w:rsidRPr="00F608CF">
        <w:rPr>
          <w:rFonts w:ascii="Times New Roman" w:hAnsi="Times New Roman" w:cs="Times New Roman"/>
          <w:sz w:val="20"/>
          <w:szCs w:val="20"/>
        </w:rPr>
        <w:t> Climate-Resilient Adaptation Strategies in Indian Apple Cultivation</w:t>
      </w:r>
    </w:p>
    <w:p w14:paraId="2D9126C1" w14:textId="143CD2F3" w:rsidR="00554244" w:rsidRPr="00BA7D66"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5. Methodology in Previous Research: Approaches and Limitations</w:t>
      </w:r>
    </w:p>
    <w:p w14:paraId="34887322" w14:textId="7BC029A4"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5.</w:t>
      </w:r>
      <w:r w:rsidR="00EE2539">
        <w:rPr>
          <w:rFonts w:ascii="Times New Roman" w:hAnsi="Times New Roman" w:cs="Times New Roman"/>
          <w:b/>
          <w:bCs/>
          <w:sz w:val="20"/>
          <w:szCs w:val="20"/>
        </w:rPr>
        <w:t>1</w:t>
      </w:r>
      <w:r w:rsidRPr="00F608CF">
        <w:rPr>
          <w:rFonts w:ascii="Times New Roman" w:hAnsi="Times New Roman" w:cs="Times New Roman"/>
          <w:b/>
          <w:bCs/>
          <w:sz w:val="20"/>
          <w:szCs w:val="20"/>
        </w:rPr>
        <w:t xml:space="preserve"> Physiological and Biochemical Measurements</w:t>
      </w:r>
    </w:p>
    <w:p w14:paraId="5D0220CF" w14:textId="3DC4FFFD" w:rsidR="008E1B40" w:rsidRPr="00F608CF" w:rsidRDefault="00167996" w:rsidP="008D4869">
      <w:pPr>
        <w:ind w:left="0"/>
        <w:rPr>
          <w:rFonts w:ascii="Times New Roman" w:hAnsi="Times New Roman" w:cs="Times New Roman"/>
          <w:sz w:val="20"/>
          <w:szCs w:val="20"/>
        </w:rPr>
      </w:pPr>
      <w:r w:rsidRPr="00F608CF">
        <w:rPr>
          <w:rFonts w:ascii="Times New Roman" w:hAnsi="Times New Roman" w:cs="Times New Roman"/>
          <w:sz w:val="20"/>
          <w:szCs w:val="20"/>
        </w:rPr>
        <w:t>Recent studies on plants have involved more advanced methods for assessing how plants physiologically operate by examining the stomatal density (measuring plant drought), photosynthetic assimilation, leaf area indices, and leaf nutrient concentrations (Kumar et al.</w:t>
      </w:r>
      <w:r w:rsidR="007E2270" w:rsidRPr="00F608CF">
        <w:rPr>
          <w:rFonts w:ascii="Times New Roman" w:hAnsi="Times New Roman" w:cs="Times New Roman"/>
          <w:sz w:val="20"/>
          <w:szCs w:val="20"/>
        </w:rPr>
        <w:t>,</w:t>
      </w:r>
      <w:r w:rsidRPr="00F608CF">
        <w:rPr>
          <w:rFonts w:ascii="Times New Roman" w:hAnsi="Times New Roman" w:cs="Times New Roman"/>
          <w:sz w:val="20"/>
          <w:szCs w:val="20"/>
        </w:rPr>
        <w:t xml:space="preserve"> 2025; </w:t>
      </w:r>
      <w:proofErr w:type="spellStart"/>
      <w:r w:rsidRPr="00F608CF">
        <w:rPr>
          <w:rFonts w:ascii="Times New Roman" w:hAnsi="Times New Roman" w:cs="Times New Roman"/>
          <w:sz w:val="20"/>
          <w:szCs w:val="20"/>
        </w:rPr>
        <w:t>Ladon</w:t>
      </w:r>
      <w:proofErr w:type="spellEnd"/>
      <w:r w:rsidRPr="00F608CF">
        <w:rPr>
          <w:rFonts w:ascii="Times New Roman" w:hAnsi="Times New Roman" w:cs="Times New Roman"/>
          <w:sz w:val="20"/>
          <w:szCs w:val="20"/>
        </w:rPr>
        <w:t xml:space="preserve"> et al.</w:t>
      </w:r>
      <w:r w:rsidR="007E2270" w:rsidRPr="00F608CF">
        <w:rPr>
          <w:rFonts w:ascii="Times New Roman" w:hAnsi="Times New Roman" w:cs="Times New Roman"/>
          <w:sz w:val="20"/>
          <w:szCs w:val="20"/>
        </w:rPr>
        <w:t>,</w:t>
      </w:r>
      <w:r w:rsidRPr="00F608CF">
        <w:rPr>
          <w:rFonts w:ascii="Times New Roman" w:hAnsi="Times New Roman" w:cs="Times New Roman"/>
          <w:sz w:val="20"/>
          <w:szCs w:val="20"/>
        </w:rPr>
        <w:t xml:space="preserve"> 2024). Molecular techniques were also used to determine the level of heat shock protein expression and the expression profile of </w:t>
      </w:r>
      <w:r w:rsidR="007E2270" w:rsidRPr="00F608CF">
        <w:rPr>
          <w:rFonts w:ascii="Times New Roman" w:hAnsi="Times New Roman" w:cs="Times New Roman"/>
          <w:sz w:val="20"/>
          <w:szCs w:val="20"/>
        </w:rPr>
        <w:t>the Dormancy Associated MADS-box</w:t>
      </w:r>
      <w:r w:rsidR="007E2270" w:rsidRPr="00F608CF">
        <w:rPr>
          <w:rFonts w:ascii="Times New Roman" w:hAnsi="Times New Roman" w:cs="Times New Roman"/>
          <w:b/>
          <w:bCs/>
          <w:sz w:val="20"/>
          <w:szCs w:val="20"/>
        </w:rPr>
        <w:t xml:space="preserve"> </w:t>
      </w:r>
      <w:r w:rsidRPr="00F608CF">
        <w:rPr>
          <w:rFonts w:ascii="Times New Roman" w:hAnsi="Times New Roman" w:cs="Times New Roman"/>
          <w:sz w:val="20"/>
          <w:szCs w:val="20"/>
        </w:rPr>
        <w:t>(DAM) gene. Th</w:t>
      </w:r>
      <w:r w:rsidR="007E2270" w:rsidRPr="00F608CF">
        <w:rPr>
          <w:rFonts w:ascii="Times New Roman" w:hAnsi="Times New Roman" w:cs="Times New Roman"/>
          <w:sz w:val="20"/>
          <w:szCs w:val="20"/>
        </w:rPr>
        <w:t>e</w:t>
      </w:r>
      <w:r w:rsidRPr="00F608CF">
        <w:rPr>
          <w:rFonts w:ascii="Times New Roman" w:hAnsi="Times New Roman" w:cs="Times New Roman"/>
          <w:sz w:val="20"/>
          <w:szCs w:val="20"/>
        </w:rPr>
        <w:t>s</w:t>
      </w:r>
      <w:r w:rsidR="007E2270" w:rsidRPr="00F608CF">
        <w:rPr>
          <w:rFonts w:ascii="Times New Roman" w:hAnsi="Times New Roman" w:cs="Times New Roman"/>
          <w:sz w:val="20"/>
          <w:szCs w:val="20"/>
        </w:rPr>
        <w:t>e</w:t>
      </w:r>
      <w:r w:rsidRPr="00F608CF">
        <w:rPr>
          <w:rFonts w:ascii="Times New Roman" w:hAnsi="Times New Roman" w:cs="Times New Roman"/>
          <w:sz w:val="20"/>
          <w:szCs w:val="20"/>
        </w:rPr>
        <w:t xml:space="preserve"> data can provide molecular insight that may assist in explaining and supporting agronomic data of plant responses to abiotic stress (Singh et al., 2024). However, due to the limited temporal resolution of measurement within most studies examining physiological variables (measured over time), many of the physiological responses to stress are often not accounted for or lost due to the timing of measurements.</w:t>
      </w:r>
    </w:p>
    <w:p w14:paraId="769E7757" w14:textId="67AFC414"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6. Major Findings and Discussion</w:t>
      </w:r>
    </w:p>
    <w:p w14:paraId="3855323A"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6.1 Synthesis of Empirical Evidence</w:t>
      </w:r>
    </w:p>
    <w:p w14:paraId="3774B68F" w14:textId="77777777"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sz w:val="20"/>
          <w:szCs w:val="20"/>
        </w:rPr>
        <w:t>The literature reviewed reveals consistent findings informing climate-resilient apple production system development.</w:t>
      </w:r>
    </w:p>
    <w:p w14:paraId="6B885E18" w14:textId="6E11F8B7" w:rsidR="00167996"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Finding 1</w:t>
      </w:r>
      <w:r w:rsidR="00167996" w:rsidRPr="00F608CF">
        <w:rPr>
          <w:rFonts w:ascii="Times New Roman" w:hAnsi="Times New Roman" w:cs="Times New Roman"/>
          <w:b/>
          <w:bCs/>
          <w:sz w:val="20"/>
          <w:szCs w:val="20"/>
        </w:rPr>
        <w:t xml:space="preserve">: </w:t>
      </w:r>
      <w:r w:rsidR="00167996" w:rsidRPr="00F608CF">
        <w:rPr>
          <w:rFonts w:ascii="Times New Roman" w:hAnsi="Times New Roman" w:cs="Times New Roman"/>
          <w:sz w:val="20"/>
          <w:szCs w:val="20"/>
        </w:rPr>
        <w:t>High Density Planting &amp; Climate-stressed trees with High Density Planting to Optimize Resources: Evidence from numerous studies (</w:t>
      </w:r>
      <w:proofErr w:type="spellStart"/>
      <w:r w:rsidR="00167996" w:rsidRPr="00F608CF">
        <w:rPr>
          <w:rFonts w:ascii="Times New Roman" w:hAnsi="Times New Roman" w:cs="Times New Roman"/>
          <w:sz w:val="20"/>
          <w:szCs w:val="20"/>
        </w:rPr>
        <w:t>Ladon</w:t>
      </w:r>
      <w:proofErr w:type="spellEnd"/>
      <w:r w:rsidR="00167996" w:rsidRPr="00F608CF">
        <w:rPr>
          <w:rFonts w:ascii="Times New Roman" w:hAnsi="Times New Roman" w:cs="Times New Roman"/>
          <w:sz w:val="20"/>
          <w:szCs w:val="20"/>
        </w:rPr>
        <w:t xml:space="preserve"> et al., 2024</w:t>
      </w:r>
      <w:r w:rsidR="005F733B" w:rsidRPr="00F608CF">
        <w:rPr>
          <w:rFonts w:ascii="Times New Roman" w:hAnsi="Times New Roman" w:cs="Times New Roman"/>
          <w:sz w:val="20"/>
          <w:szCs w:val="20"/>
        </w:rPr>
        <w:t>;</w:t>
      </w:r>
      <w:r w:rsidR="00167996" w:rsidRPr="00F608CF">
        <w:rPr>
          <w:rFonts w:ascii="Times New Roman" w:hAnsi="Times New Roman" w:cs="Times New Roman"/>
          <w:sz w:val="20"/>
          <w:szCs w:val="20"/>
        </w:rPr>
        <w:t xml:space="preserve"> Sharma &amp; Ve</w:t>
      </w:r>
      <w:r w:rsidR="007E2270" w:rsidRPr="00F608CF">
        <w:rPr>
          <w:rFonts w:ascii="Times New Roman" w:hAnsi="Times New Roman" w:cs="Times New Roman"/>
          <w:sz w:val="20"/>
          <w:szCs w:val="20"/>
        </w:rPr>
        <w:t>r</w:t>
      </w:r>
      <w:r w:rsidR="00167996" w:rsidRPr="00F608CF">
        <w:rPr>
          <w:rFonts w:ascii="Times New Roman" w:hAnsi="Times New Roman" w:cs="Times New Roman"/>
          <w:sz w:val="20"/>
          <w:szCs w:val="20"/>
        </w:rPr>
        <w:t>ma, 2021) shows increased photosynthesis, light interception, and productivity from high density-planting trees using suitable rootstocks and cultivation methods as well as utilizing every square meter of space for plant growth under climatic stress where the physiological growth parameter has been shortened</w:t>
      </w:r>
      <w:r w:rsidR="00167996" w:rsidRPr="00F608CF">
        <w:rPr>
          <w:rFonts w:ascii="Times New Roman" w:hAnsi="Times New Roman" w:cs="Times New Roman"/>
          <w:b/>
          <w:bCs/>
          <w:sz w:val="20"/>
          <w:szCs w:val="20"/>
        </w:rPr>
        <w:t>.</w:t>
      </w:r>
    </w:p>
    <w:p w14:paraId="0AEAB66A" w14:textId="69EF093D"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Finding 2:</w:t>
      </w:r>
      <w:r w:rsidRPr="00F608CF">
        <w:rPr>
          <w:rFonts w:ascii="Times New Roman" w:hAnsi="Times New Roman" w:cs="Times New Roman"/>
          <w:sz w:val="20"/>
          <w:szCs w:val="20"/>
        </w:rPr>
        <w:t> </w:t>
      </w:r>
      <w:r w:rsidR="005A3D72" w:rsidRPr="00F608CF">
        <w:rPr>
          <w:rFonts w:ascii="Times New Roman" w:hAnsi="Times New Roman" w:cs="Times New Roman"/>
          <w:sz w:val="20"/>
          <w:szCs w:val="20"/>
        </w:rPr>
        <w:t>Providing several benefits against climate variability, organic mulch made from grass has multiple advantages. This type of mulch can be used to moderate the temperature of soil, keep water in the soil, and</w:t>
      </w:r>
      <w:r w:rsidR="005F733B" w:rsidRPr="00F608CF">
        <w:rPr>
          <w:rFonts w:ascii="Times New Roman" w:hAnsi="Times New Roman" w:cs="Times New Roman"/>
          <w:sz w:val="20"/>
          <w:szCs w:val="20"/>
        </w:rPr>
        <w:t>,</w:t>
      </w:r>
      <w:r w:rsidR="005A3D72" w:rsidRPr="00F608CF">
        <w:rPr>
          <w:rFonts w:ascii="Times New Roman" w:hAnsi="Times New Roman" w:cs="Times New Roman"/>
          <w:sz w:val="20"/>
          <w:szCs w:val="20"/>
        </w:rPr>
        <w:t xml:space="preserve"> in conjunction with deficit irrigation</w:t>
      </w:r>
      <w:r w:rsidR="007E2270" w:rsidRPr="00F608CF">
        <w:rPr>
          <w:rFonts w:ascii="Times New Roman" w:hAnsi="Times New Roman" w:cs="Times New Roman"/>
          <w:sz w:val="20"/>
          <w:szCs w:val="20"/>
        </w:rPr>
        <w:t>,</w:t>
      </w:r>
      <w:r w:rsidR="005A3D72" w:rsidRPr="00F608CF">
        <w:rPr>
          <w:rFonts w:ascii="Times New Roman" w:hAnsi="Times New Roman" w:cs="Times New Roman"/>
          <w:sz w:val="20"/>
          <w:szCs w:val="20"/>
        </w:rPr>
        <w:t xml:space="preserve"> </w:t>
      </w:r>
      <w:r w:rsidR="007E2270" w:rsidRPr="00F608CF">
        <w:rPr>
          <w:rFonts w:ascii="Times New Roman" w:hAnsi="Times New Roman" w:cs="Times New Roman"/>
          <w:sz w:val="20"/>
          <w:szCs w:val="20"/>
        </w:rPr>
        <w:t>increase</w:t>
      </w:r>
      <w:r w:rsidR="005A3D72" w:rsidRPr="00F608CF">
        <w:rPr>
          <w:rFonts w:ascii="Times New Roman" w:hAnsi="Times New Roman" w:cs="Times New Roman"/>
          <w:sz w:val="20"/>
          <w:szCs w:val="20"/>
        </w:rPr>
        <w:t xml:space="preserve"> the efficiency of water use without decreasing yield (Kumar et al., 2025). The temperature moderation benefits (2.2°C reduction in maximum and 1.3°C increase in minimum) are especially important in light of projections for higher variability of temperatures due to climate change</w:t>
      </w:r>
      <w:r w:rsidRPr="00F608CF">
        <w:rPr>
          <w:rFonts w:ascii="Times New Roman" w:hAnsi="Times New Roman" w:cs="Times New Roman"/>
          <w:sz w:val="20"/>
          <w:szCs w:val="20"/>
        </w:rPr>
        <w:t>.</w:t>
      </w:r>
    </w:p>
    <w:p w14:paraId="6964B09C" w14:textId="0292F7F9"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Finding 3:</w:t>
      </w:r>
      <w:r w:rsidRPr="00F608CF">
        <w:rPr>
          <w:rFonts w:ascii="Times New Roman" w:hAnsi="Times New Roman" w:cs="Times New Roman"/>
          <w:sz w:val="20"/>
          <w:szCs w:val="20"/>
        </w:rPr>
        <w:t> </w:t>
      </w:r>
      <w:r w:rsidR="005A3D72" w:rsidRPr="00F608CF">
        <w:rPr>
          <w:rFonts w:ascii="Times New Roman" w:hAnsi="Times New Roman" w:cs="Times New Roman"/>
          <w:sz w:val="20"/>
          <w:szCs w:val="20"/>
        </w:rPr>
        <w:t xml:space="preserve">Although deficit irrigation can increase </w:t>
      </w:r>
      <w:r w:rsidR="007E2270" w:rsidRPr="00F608CF">
        <w:rPr>
          <w:rFonts w:ascii="Times New Roman" w:hAnsi="Times New Roman" w:cs="Times New Roman"/>
          <w:sz w:val="20"/>
          <w:szCs w:val="20"/>
        </w:rPr>
        <w:t xml:space="preserve">the </w:t>
      </w:r>
      <w:r w:rsidR="005A3D72" w:rsidRPr="00F608CF">
        <w:rPr>
          <w:rFonts w:ascii="Times New Roman" w:hAnsi="Times New Roman" w:cs="Times New Roman"/>
          <w:sz w:val="20"/>
          <w:szCs w:val="20"/>
        </w:rPr>
        <w:t xml:space="preserve">efficiency of water use, it can only do so through careful management. The finding that irrigation to 85% of </w:t>
      </w:r>
      <w:proofErr w:type="spellStart"/>
      <w:r w:rsidR="005A3D72" w:rsidRPr="00F608CF">
        <w:rPr>
          <w:rFonts w:ascii="Times New Roman" w:hAnsi="Times New Roman" w:cs="Times New Roman"/>
          <w:sz w:val="20"/>
          <w:szCs w:val="20"/>
        </w:rPr>
        <w:t>ETc</w:t>
      </w:r>
      <w:proofErr w:type="spellEnd"/>
      <w:r w:rsidR="005A3D72" w:rsidRPr="00F608CF">
        <w:rPr>
          <w:rFonts w:ascii="Times New Roman" w:hAnsi="Times New Roman" w:cs="Times New Roman"/>
          <w:sz w:val="20"/>
          <w:szCs w:val="20"/>
        </w:rPr>
        <w:t xml:space="preserve"> achieved about 12-14% greater water use efficiency than full irrigation (Kumar et al., 2025) implies the potential for deficit irrigation in water-scarce regions. However, the effects of deficit irrigation on stomatal density indicate the potential for physiological trade-offs that could affect how long orchards will perform. Currently, there is a lack of long-term studies (&gt;3 years) in </w:t>
      </w:r>
      <w:r w:rsidR="005A3D72" w:rsidRPr="00F608CF">
        <w:rPr>
          <w:rFonts w:ascii="Times New Roman" w:hAnsi="Times New Roman" w:cs="Times New Roman"/>
          <w:sz w:val="20"/>
          <w:szCs w:val="20"/>
        </w:rPr>
        <w:lastRenderedPageBreak/>
        <w:t>the literature that have objectively evaluated the total impact of sustained deficit irrigation on tree vigor, fruit quality</w:t>
      </w:r>
      <w:r w:rsidR="007E2270" w:rsidRPr="00F608CF">
        <w:rPr>
          <w:rFonts w:ascii="Times New Roman" w:hAnsi="Times New Roman" w:cs="Times New Roman"/>
          <w:sz w:val="20"/>
          <w:szCs w:val="20"/>
        </w:rPr>
        <w:t>,</w:t>
      </w:r>
      <w:r w:rsidR="005A3D72" w:rsidRPr="00F608CF">
        <w:rPr>
          <w:rFonts w:ascii="Times New Roman" w:hAnsi="Times New Roman" w:cs="Times New Roman"/>
          <w:sz w:val="20"/>
          <w:szCs w:val="20"/>
        </w:rPr>
        <w:t xml:space="preserve"> and orchard life</w:t>
      </w:r>
      <w:r w:rsidRPr="00F608CF">
        <w:rPr>
          <w:rFonts w:ascii="Times New Roman" w:hAnsi="Times New Roman" w:cs="Times New Roman"/>
          <w:sz w:val="20"/>
          <w:szCs w:val="20"/>
        </w:rPr>
        <w:t>.</w:t>
      </w:r>
    </w:p>
    <w:p w14:paraId="56D8420A" w14:textId="5B3FC321"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Finding 4:</w:t>
      </w:r>
      <w:r w:rsidRPr="00F608CF">
        <w:rPr>
          <w:rFonts w:ascii="Times New Roman" w:hAnsi="Times New Roman" w:cs="Times New Roman"/>
          <w:sz w:val="20"/>
          <w:szCs w:val="20"/>
        </w:rPr>
        <w:t> </w:t>
      </w:r>
      <w:r w:rsidR="005A3D72" w:rsidRPr="00F608CF">
        <w:rPr>
          <w:rFonts w:ascii="Times New Roman" w:hAnsi="Times New Roman" w:cs="Times New Roman"/>
          <w:sz w:val="20"/>
          <w:szCs w:val="20"/>
        </w:rPr>
        <w:t xml:space="preserve">Cultivars with low chill and mechanisms for thermotolerance allow for </w:t>
      </w:r>
      <w:r w:rsidR="007E2270" w:rsidRPr="00F608CF">
        <w:rPr>
          <w:rFonts w:ascii="Times New Roman" w:hAnsi="Times New Roman" w:cs="Times New Roman"/>
          <w:sz w:val="20"/>
          <w:szCs w:val="20"/>
        </w:rPr>
        <w:t xml:space="preserve">an </w:t>
      </w:r>
      <w:r w:rsidR="005A3D72" w:rsidRPr="00F608CF">
        <w:rPr>
          <w:rFonts w:ascii="Times New Roman" w:hAnsi="Times New Roman" w:cs="Times New Roman"/>
          <w:sz w:val="20"/>
          <w:szCs w:val="20"/>
        </w:rPr>
        <w:t>increased range of geographic distribution. Analyzing the physiology of HRMN-99 shows that there is an increase in the synthesis of heat shock proteins and a change to the chilling requirements (Singh et al, 2024; Kumar et al, 2024), thus giving the mechanistic basis for successful growth in semi-arid areas. By comparing the Indian low chill cultivars with low chill cultivars from other areas throughout the world, it’s possible to place the Indian selections in larger global sources of germplasm, which indicates a great deal of opportunity for systematic breeding programs to take place</w:t>
      </w:r>
      <w:r w:rsidRPr="00F608CF">
        <w:rPr>
          <w:rFonts w:ascii="Times New Roman" w:hAnsi="Times New Roman" w:cs="Times New Roman"/>
          <w:sz w:val="20"/>
          <w:szCs w:val="20"/>
        </w:rPr>
        <w:t>.</w:t>
      </w:r>
    </w:p>
    <w:p w14:paraId="416A4CA7" w14:textId="0744A1D4"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Finding 5:</w:t>
      </w:r>
      <w:r w:rsidRPr="00F608CF">
        <w:rPr>
          <w:rFonts w:ascii="Times New Roman" w:hAnsi="Times New Roman" w:cs="Times New Roman"/>
          <w:sz w:val="20"/>
          <w:szCs w:val="20"/>
        </w:rPr>
        <w:t> </w:t>
      </w:r>
      <w:r w:rsidR="005A3D72" w:rsidRPr="00F608CF">
        <w:rPr>
          <w:rFonts w:ascii="Times New Roman" w:hAnsi="Times New Roman" w:cs="Times New Roman"/>
          <w:sz w:val="20"/>
          <w:szCs w:val="20"/>
        </w:rPr>
        <w:t>Changes in regional pest dynamics caused by climate change; noted increase of leaf miner insect populations in Kashmir; (Bhat et al., 2024) show pest complexes are in flux due to fluctuating climate conditions; time lag from changing climate conditions to pest species response; and uncertainty in identifying within and outside of cryptic pest species complicate development of preventative management strategies.</w:t>
      </w:r>
    </w:p>
    <w:p w14:paraId="260B8666"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6.2 Critical Analysis and Research Gaps</w:t>
      </w:r>
    </w:p>
    <w:p w14:paraId="7B11E282" w14:textId="18CB2152"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sz w:val="20"/>
          <w:szCs w:val="20"/>
        </w:rPr>
        <w:t xml:space="preserve">While the literature provides valuable insights, critical examination reveals several tensions and contradictions </w:t>
      </w:r>
      <w:r w:rsidR="005F733B" w:rsidRPr="00F608CF">
        <w:rPr>
          <w:rFonts w:ascii="Times New Roman" w:hAnsi="Times New Roman" w:cs="Times New Roman"/>
          <w:sz w:val="20"/>
          <w:szCs w:val="20"/>
        </w:rPr>
        <w:t>in</w:t>
      </w:r>
      <w:r w:rsidR="001270E4" w:rsidRPr="00F608CF">
        <w:rPr>
          <w:rFonts w:ascii="Times New Roman" w:hAnsi="Times New Roman" w:cs="Times New Roman"/>
          <w:sz w:val="20"/>
          <w:szCs w:val="20"/>
        </w:rPr>
        <w:t xml:space="preserve"> Water-Management</w:t>
      </w:r>
      <w:r w:rsidR="005F733B" w:rsidRPr="00F608CF">
        <w:rPr>
          <w:rFonts w:ascii="Times New Roman" w:hAnsi="Times New Roman" w:cs="Times New Roman"/>
          <w:sz w:val="20"/>
          <w:szCs w:val="20"/>
        </w:rPr>
        <w:t xml:space="preserve"> discussions, </w:t>
      </w:r>
      <w:r w:rsidRPr="00F608CF">
        <w:rPr>
          <w:rFonts w:ascii="Times New Roman" w:hAnsi="Times New Roman" w:cs="Times New Roman"/>
          <w:sz w:val="20"/>
          <w:szCs w:val="20"/>
        </w:rPr>
        <w:t>Tension between intensification and sustainability</w:t>
      </w:r>
      <w:r w:rsidR="005F733B" w:rsidRPr="00F608CF">
        <w:rPr>
          <w:rFonts w:ascii="Times New Roman" w:hAnsi="Times New Roman" w:cs="Times New Roman"/>
          <w:sz w:val="20"/>
          <w:szCs w:val="20"/>
        </w:rPr>
        <w:t>.</w:t>
      </w:r>
      <w:r w:rsidR="00C51C08" w:rsidRPr="00F608CF">
        <w:rPr>
          <w:rFonts w:ascii="Times New Roman" w:hAnsi="Times New Roman" w:cs="Times New Roman"/>
          <w:sz w:val="20"/>
          <w:szCs w:val="20"/>
        </w:rPr>
        <w:t xml:space="preserve"> High-density plantations often require large capital investment, extensive management, and accurate input application prior to establishment. While they can increase resilience to climate change by improving overall resource efficiency, they may also increase the vulnerability of systems to management (failures) and market (fluctuations). The available literature does not adequately address the resilience implications associated with this trade-off.</w:t>
      </w:r>
    </w:p>
    <w:p w14:paraId="782B94E7" w14:textId="7E5B06AD" w:rsidR="00554244" w:rsidRPr="00E61C0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Contradiction in</w:t>
      </w:r>
      <w:r w:rsidR="005F733B" w:rsidRPr="00F608CF">
        <w:rPr>
          <w:rFonts w:ascii="Times New Roman" w:hAnsi="Times New Roman" w:cs="Times New Roman"/>
          <w:b/>
          <w:bCs/>
          <w:sz w:val="20"/>
          <w:szCs w:val="20"/>
        </w:rPr>
        <w:t xml:space="preserve"> Water-Management</w:t>
      </w:r>
      <w:r w:rsidRPr="00F608CF">
        <w:rPr>
          <w:rFonts w:ascii="Times New Roman" w:hAnsi="Times New Roman" w:cs="Times New Roman"/>
          <w:b/>
          <w:bCs/>
          <w:sz w:val="20"/>
          <w:szCs w:val="20"/>
        </w:rPr>
        <w:t xml:space="preserve"> recommendations:</w:t>
      </w:r>
      <w:r w:rsidRPr="00F608CF">
        <w:rPr>
          <w:rFonts w:ascii="Times New Roman" w:hAnsi="Times New Roman" w:cs="Times New Roman"/>
          <w:sz w:val="20"/>
          <w:szCs w:val="20"/>
        </w:rPr>
        <w:t> </w:t>
      </w:r>
      <w:r w:rsidR="00C51C08" w:rsidRPr="00F608CF">
        <w:rPr>
          <w:rFonts w:ascii="Times New Roman" w:hAnsi="Times New Roman" w:cs="Times New Roman"/>
          <w:sz w:val="20"/>
          <w:szCs w:val="20"/>
        </w:rPr>
        <w:t>The evidence supporting an increase in water use efficiency (Kumar et al., 2025) as a result of implementing deficit irrigation has to be weighed against the negative consequences of applying maximum periods of water deficit on fruit size and quality. Though many studies are being conducted on deficit irrigation, there is little in the literature that provides guidelines to assist with determining when to implement deficit irrigation at certain phenological stages of crop development to obtain the optimum balance between conserving water and producing high-quality fruit</w:t>
      </w:r>
      <w:r w:rsidRPr="00F608CF">
        <w:rPr>
          <w:rFonts w:ascii="Times New Roman" w:hAnsi="Times New Roman" w:cs="Times New Roman"/>
          <w:sz w:val="20"/>
          <w:szCs w:val="20"/>
        </w:rPr>
        <w:t>.</w:t>
      </w:r>
    </w:p>
    <w:p w14:paraId="3AFC4F8A" w14:textId="77777777"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Knowledge gap in system integration:</w:t>
      </w:r>
      <w:r w:rsidRPr="00F608CF">
        <w:rPr>
          <w:rFonts w:ascii="Times New Roman" w:hAnsi="Times New Roman" w:cs="Times New Roman"/>
          <w:sz w:val="20"/>
          <w:szCs w:val="20"/>
        </w:rPr>
        <w:t> Individual intervention studies predominate, with limited investigation of strategy interactions. The conceptual framework proposed in Figure 1 emphasizes that climate resilience emerges from synergistic combinations of practices, yet empirical validation of integrated systems remains sparse.</w:t>
      </w:r>
    </w:p>
    <w:p w14:paraId="7C843114" w14:textId="0E190416"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Methodological limitations:</w:t>
      </w:r>
      <w:r w:rsidRPr="00F608CF">
        <w:rPr>
          <w:rFonts w:ascii="Times New Roman" w:hAnsi="Times New Roman" w:cs="Times New Roman"/>
          <w:sz w:val="20"/>
          <w:szCs w:val="20"/>
        </w:rPr>
        <w:t> The predominance of short-term, single-location studies limits generalizability and understanding of climate variability effects. The absence of coordinated multi-location trial networks constrains the development of robust, region-specific recommendations.</w:t>
      </w:r>
    </w:p>
    <w:p w14:paraId="765BC532" w14:textId="00E5E56C" w:rsidR="00554244" w:rsidRPr="00F608CF" w:rsidRDefault="00554244" w:rsidP="008D4869">
      <w:pPr>
        <w:ind w:left="0"/>
        <w:rPr>
          <w:rFonts w:ascii="Times New Roman" w:hAnsi="Times New Roman" w:cs="Times New Roman"/>
          <w:sz w:val="20"/>
          <w:szCs w:val="20"/>
        </w:rPr>
      </w:pPr>
    </w:p>
    <w:p w14:paraId="39A915F6"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7. Conclusion and Future Research Priorities</w:t>
      </w:r>
    </w:p>
    <w:p w14:paraId="26BC4F84"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7.1 Synthesis of Insights</w:t>
      </w:r>
    </w:p>
    <w:p w14:paraId="4B067BD4" w14:textId="77777777" w:rsidR="00482810" w:rsidRPr="00F608CF" w:rsidRDefault="00482810" w:rsidP="008D4869">
      <w:pPr>
        <w:ind w:left="0"/>
        <w:rPr>
          <w:rFonts w:ascii="Times New Roman" w:hAnsi="Times New Roman" w:cs="Times New Roman"/>
          <w:sz w:val="20"/>
          <w:szCs w:val="20"/>
        </w:rPr>
      </w:pPr>
      <w:r w:rsidRPr="00F608CF">
        <w:rPr>
          <w:rFonts w:ascii="Times New Roman" w:hAnsi="Times New Roman" w:cs="Times New Roman"/>
          <w:sz w:val="20"/>
          <w:szCs w:val="20"/>
        </w:rPr>
        <w:lastRenderedPageBreak/>
        <w:t>The results of this paper show how climate change is changing how apples can be grown in India. In Himalayan regions, temperatures are warming at a rate greater than that of the world. Increased temperatures, less chilling time and more unpredictable weather patterns will necessitate a change from traditional management practices to new management paradigms. A synthesis of evidence supports the use of new agronomic practices (e.g., high-density planting systems; precision fertilizer management; limited, regulated deficit/improved irrigation with organic mulch; and architecture that can be adapted to changing winds) to minimize climatic effects, improve resource-use efficiency, and support productivity levels.</w:t>
      </w:r>
    </w:p>
    <w:p w14:paraId="2EEE94C8" w14:textId="7C90275E" w:rsidR="00482810" w:rsidRPr="00F608CF" w:rsidRDefault="0048281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Simultaneously with these trends, low-chill cultivars with known thermotolerance (e.g., production of heat shock proteins; modified chilling requirements) are providing the ability to expand geographically into new semi-arid areas were, previously, the climate restricted apple production. The combination of the adaptation of apple production in its current locations with the geographic area of new apple production reveals that the geographic layout of Indian apple production systems will undergo a major change in the future.</w:t>
      </w:r>
    </w:p>
    <w:p w14:paraId="11CE8989" w14:textId="77777777" w:rsidR="00482810" w:rsidRPr="00F608CF" w:rsidRDefault="00482810" w:rsidP="008D4869">
      <w:pPr>
        <w:ind w:left="0"/>
        <w:rPr>
          <w:rFonts w:ascii="Times New Roman" w:hAnsi="Times New Roman" w:cs="Times New Roman"/>
          <w:sz w:val="20"/>
          <w:szCs w:val="20"/>
        </w:rPr>
      </w:pPr>
    </w:p>
    <w:p w14:paraId="6DDF051D" w14:textId="77777777" w:rsidR="00554244"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7.2 Conceptual Framework for Climate-Resilient Apple Production</w:t>
      </w:r>
    </w:p>
    <w:p w14:paraId="7EC77471" w14:textId="77777777" w:rsidR="00C433B0" w:rsidRDefault="00F374AB" w:rsidP="008D4869">
      <w:pPr>
        <w:spacing w:line="240" w:lineRule="auto"/>
        <w:ind w:left="0"/>
        <w:rPr>
          <w:rFonts w:ascii="Times New Roman" w:hAnsi="Times New Roman" w:cs="Times New Roman"/>
          <w:sz w:val="20"/>
          <w:szCs w:val="20"/>
        </w:rPr>
      </w:pPr>
      <w:r w:rsidRPr="00F374AB">
        <w:rPr>
          <w:rFonts w:ascii="Times New Roman" w:hAnsi="Times New Roman" w:cs="Times New Roman"/>
          <w:sz w:val="20"/>
          <w:szCs w:val="20"/>
        </w:rPr>
        <w:t>The development of a comprehensive framework to produce apples in a climate-resilient manner involves combining three different areas. These areas include:</w:t>
      </w:r>
    </w:p>
    <w:p w14:paraId="5EE5B39D" w14:textId="55AE411D" w:rsidR="00C433B0" w:rsidRDefault="008A72D8" w:rsidP="008D4869">
      <w:pPr>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sidR="00F374AB" w:rsidRPr="00F374AB">
        <w:rPr>
          <w:rFonts w:ascii="Times New Roman" w:hAnsi="Times New Roman" w:cs="Times New Roman"/>
          <w:sz w:val="20"/>
          <w:szCs w:val="20"/>
        </w:rPr>
        <w:t xml:space="preserve">1) </w:t>
      </w:r>
      <w:r w:rsidR="00EC4E45">
        <w:rPr>
          <w:rFonts w:ascii="Times New Roman" w:hAnsi="Times New Roman" w:cs="Times New Roman"/>
          <w:sz w:val="20"/>
          <w:szCs w:val="20"/>
        </w:rPr>
        <w:t>T</w:t>
      </w:r>
      <w:r w:rsidR="00F374AB" w:rsidRPr="00F374AB">
        <w:rPr>
          <w:rFonts w:ascii="Times New Roman" w:hAnsi="Times New Roman" w:cs="Times New Roman"/>
          <w:sz w:val="20"/>
          <w:szCs w:val="20"/>
        </w:rPr>
        <w:t>he physiological resilience of an organism through selection in breeding programs that consider factors such as heat shock protein expression, modified chilling requirements, the plant's ability to osmotically adjust, and</w:t>
      </w:r>
      <w:r w:rsidR="00C433B0">
        <w:rPr>
          <w:rFonts w:ascii="Times New Roman" w:hAnsi="Times New Roman" w:cs="Times New Roman"/>
          <w:sz w:val="20"/>
          <w:szCs w:val="20"/>
        </w:rPr>
        <w:t xml:space="preserve"> </w:t>
      </w:r>
      <w:r w:rsidR="00F374AB" w:rsidRPr="00F374AB">
        <w:rPr>
          <w:rFonts w:ascii="Times New Roman" w:hAnsi="Times New Roman" w:cs="Times New Roman"/>
          <w:sz w:val="20"/>
          <w:szCs w:val="20"/>
        </w:rPr>
        <w:t xml:space="preserve">phenological plasticity; </w:t>
      </w:r>
    </w:p>
    <w:p w14:paraId="1524EEA4" w14:textId="77777777" w:rsidR="00EC4E45" w:rsidRDefault="00F374AB" w:rsidP="008D4869">
      <w:pPr>
        <w:spacing w:line="240" w:lineRule="auto"/>
        <w:ind w:left="0"/>
        <w:rPr>
          <w:rFonts w:ascii="Times New Roman" w:hAnsi="Times New Roman" w:cs="Times New Roman"/>
          <w:sz w:val="20"/>
          <w:szCs w:val="20"/>
        </w:rPr>
      </w:pPr>
      <w:r w:rsidRPr="00F374AB">
        <w:rPr>
          <w:rFonts w:ascii="Times New Roman" w:hAnsi="Times New Roman" w:cs="Times New Roman"/>
          <w:sz w:val="20"/>
          <w:szCs w:val="20"/>
        </w:rPr>
        <w:t xml:space="preserve">2) </w:t>
      </w:r>
      <w:r w:rsidR="00EC4E45">
        <w:rPr>
          <w:rFonts w:ascii="Times New Roman" w:hAnsi="Times New Roman" w:cs="Times New Roman"/>
          <w:sz w:val="20"/>
          <w:szCs w:val="20"/>
        </w:rPr>
        <w:t>T</w:t>
      </w:r>
      <w:r w:rsidRPr="00F374AB">
        <w:rPr>
          <w:rFonts w:ascii="Times New Roman" w:hAnsi="Times New Roman" w:cs="Times New Roman"/>
          <w:sz w:val="20"/>
          <w:szCs w:val="20"/>
        </w:rPr>
        <w:t xml:space="preserve">he management intensification of an organism's inputs (water, nutrients) with precision applications of fertigation and deficit irrigation techniques, as well as </w:t>
      </w:r>
      <w:proofErr w:type="spellStart"/>
      <w:r w:rsidRPr="00F374AB">
        <w:rPr>
          <w:rFonts w:ascii="Times New Roman" w:hAnsi="Times New Roman" w:cs="Times New Roman"/>
          <w:sz w:val="20"/>
          <w:szCs w:val="20"/>
        </w:rPr>
        <w:t>optimising</w:t>
      </w:r>
      <w:proofErr w:type="spellEnd"/>
      <w:r w:rsidRPr="00F374AB">
        <w:rPr>
          <w:rFonts w:ascii="Times New Roman" w:hAnsi="Times New Roman" w:cs="Times New Roman"/>
          <w:sz w:val="20"/>
          <w:szCs w:val="20"/>
        </w:rPr>
        <w:t xml:space="preserve"> canopies and managing pest problems through integrated pest management; </w:t>
      </w:r>
    </w:p>
    <w:p w14:paraId="14665489" w14:textId="3DEF01CD" w:rsidR="00F374AB" w:rsidRPr="00F374AB" w:rsidRDefault="00F374AB" w:rsidP="008D4869">
      <w:pPr>
        <w:spacing w:line="240" w:lineRule="auto"/>
        <w:ind w:left="0"/>
        <w:rPr>
          <w:rFonts w:ascii="Times New Roman" w:hAnsi="Times New Roman" w:cs="Times New Roman"/>
          <w:sz w:val="20"/>
          <w:szCs w:val="20"/>
        </w:rPr>
      </w:pPr>
      <w:r w:rsidRPr="00F374AB">
        <w:rPr>
          <w:rFonts w:ascii="Times New Roman" w:hAnsi="Times New Roman" w:cs="Times New Roman"/>
          <w:sz w:val="20"/>
          <w:szCs w:val="20"/>
        </w:rPr>
        <w:t xml:space="preserve">3) </w:t>
      </w:r>
      <w:r w:rsidR="00EC4E45">
        <w:rPr>
          <w:rFonts w:ascii="Times New Roman" w:hAnsi="Times New Roman" w:cs="Times New Roman"/>
          <w:sz w:val="20"/>
          <w:szCs w:val="20"/>
        </w:rPr>
        <w:t>T</w:t>
      </w:r>
      <w:r w:rsidRPr="00F374AB">
        <w:rPr>
          <w:rFonts w:ascii="Times New Roman" w:hAnsi="Times New Roman" w:cs="Times New Roman"/>
          <w:sz w:val="20"/>
          <w:szCs w:val="20"/>
        </w:rPr>
        <w:t>he diversification of the production system through geographical diversification of where apples are grown (apple varieties), how they are grown (variety and marketing options), and what type(s) of climate risks exist for</w:t>
      </w:r>
      <w:r w:rsidR="00C94690">
        <w:rPr>
          <w:rFonts w:ascii="Times New Roman" w:hAnsi="Times New Roman" w:cs="Times New Roman"/>
          <w:sz w:val="20"/>
          <w:szCs w:val="20"/>
        </w:rPr>
        <w:t xml:space="preserve"> </w:t>
      </w:r>
      <w:r w:rsidRPr="00F374AB">
        <w:rPr>
          <w:rFonts w:ascii="Times New Roman" w:hAnsi="Times New Roman" w:cs="Times New Roman"/>
          <w:sz w:val="20"/>
          <w:szCs w:val="20"/>
        </w:rPr>
        <w:t xml:space="preserve">that geographical region. </w:t>
      </w:r>
      <w:r w:rsidRPr="00F374AB">
        <w:rPr>
          <w:rFonts w:ascii="Times New Roman" w:hAnsi="Times New Roman" w:cs="Times New Roman"/>
          <w:sz w:val="20"/>
          <w:szCs w:val="20"/>
        </w:rPr>
        <w:br/>
      </w:r>
      <w:r w:rsidRPr="00F374AB">
        <w:rPr>
          <w:rFonts w:ascii="Times New Roman" w:hAnsi="Times New Roman" w:cs="Times New Roman"/>
          <w:sz w:val="20"/>
          <w:szCs w:val="20"/>
        </w:rPr>
        <w:br/>
        <w:t>There will be a multiple strategic approach to achieving sufficient climate resilience. In other words, there is no one practice or management technique that can create an organism or production system with complete climate resilience; instead, it is through combining practices and techniques based on the climatic conditions and socio-economic status of the agricultural ecology that you will achieve the greatest level of climate resiliency.</w:t>
      </w:r>
    </w:p>
    <w:p w14:paraId="72840EC6"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7.3 Future Research Priorities</w:t>
      </w:r>
    </w:p>
    <w:p w14:paraId="4F37B5C5" w14:textId="5274A9B9" w:rsidR="00554244" w:rsidRDefault="00554244" w:rsidP="008D4869">
      <w:pPr>
        <w:ind w:left="0"/>
        <w:rPr>
          <w:rFonts w:ascii="Times New Roman" w:hAnsi="Times New Roman" w:cs="Times New Roman"/>
          <w:sz w:val="20"/>
          <w:szCs w:val="20"/>
        </w:rPr>
      </w:pPr>
      <w:r w:rsidRPr="00F608CF">
        <w:rPr>
          <w:rFonts w:ascii="Times New Roman" w:hAnsi="Times New Roman" w:cs="Times New Roman"/>
          <w:sz w:val="20"/>
          <w:szCs w:val="20"/>
        </w:rPr>
        <w:t xml:space="preserve">Based on </w:t>
      </w:r>
      <w:r w:rsidR="00995E64" w:rsidRPr="00F608CF">
        <w:rPr>
          <w:rFonts w:ascii="Times New Roman" w:hAnsi="Times New Roman" w:cs="Times New Roman"/>
          <w:sz w:val="20"/>
          <w:szCs w:val="20"/>
        </w:rPr>
        <w:t xml:space="preserve">a </w:t>
      </w:r>
      <w:r w:rsidRPr="00F608CF">
        <w:rPr>
          <w:rFonts w:ascii="Times New Roman" w:hAnsi="Times New Roman" w:cs="Times New Roman"/>
          <w:sz w:val="20"/>
          <w:szCs w:val="20"/>
        </w:rPr>
        <w:t>critical analysis of literature gaps, we identify four concrete research priorities:</w:t>
      </w:r>
    </w:p>
    <w:p w14:paraId="2A2156D6" w14:textId="55949CCC" w:rsidR="00BB53F1" w:rsidRPr="00BB53F1" w:rsidRDefault="00BB53F1" w:rsidP="008D4869">
      <w:pPr>
        <w:ind w:left="0"/>
        <w:rPr>
          <w:rFonts w:ascii="Times New Roman" w:hAnsi="Times New Roman" w:cs="Times New Roman"/>
          <w:sz w:val="20"/>
          <w:szCs w:val="20"/>
        </w:rPr>
      </w:pPr>
      <w:r w:rsidRPr="00BB53F1">
        <w:rPr>
          <w:rFonts w:ascii="Times New Roman" w:hAnsi="Times New Roman" w:cs="Times New Roman"/>
          <w:b/>
          <w:bCs/>
          <w:sz w:val="20"/>
          <w:szCs w:val="20"/>
        </w:rPr>
        <w:t>Priority 1: Multi-site validation of integrated strategy packages</w:t>
      </w:r>
      <w:r w:rsidRPr="00BB53F1">
        <w:rPr>
          <w:rFonts w:ascii="Times New Roman" w:hAnsi="Times New Roman" w:cs="Times New Roman"/>
          <w:sz w:val="20"/>
          <w:szCs w:val="20"/>
        </w:rPr>
        <w:t>. Develop cooperative trial networks across the main apple production regions (Jammu and Kashmir, Himachal Pradesh, Uttarakhand) and developing areas (Rajasthan, plateau areas) to test combinations of HDP, irrigation, nutrition, and canopy management in different agr</w:t>
      </w:r>
      <w:r w:rsidR="00EC4E45">
        <w:rPr>
          <w:rFonts w:ascii="Times New Roman" w:hAnsi="Times New Roman" w:cs="Times New Roman"/>
          <w:sz w:val="20"/>
          <w:szCs w:val="20"/>
        </w:rPr>
        <w:t>o</w:t>
      </w:r>
      <w:r w:rsidRPr="00BB53F1">
        <w:rPr>
          <w:rFonts w:ascii="Times New Roman" w:hAnsi="Times New Roman" w:cs="Times New Roman"/>
          <w:sz w:val="20"/>
          <w:szCs w:val="20"/>
        </w:rPr>
        <w:t>-ecological environments. Each trial should run over at least 5-7 years to account for year-to-year variability in climate and cumulative treatment effects.</w:t>
      </w:r>
    </w:p>
    <w:p w14:paraId="5C0D223D" w14:textId="77777777" w:rsidR="00BB53F1" w:rsidRPr="00BB53F1" w:rsidRDefault="00BB53F1" w:rsidP="008D4869">
      <w:pPr>
        <w:ind w:left="0"/>
        <w:rPr>
          <w:rFonts w:ascii="Times New Roman" w:hAnsi="Times New Roman" w:cs="Times New Roman"/>
          <w:sz w:val="20"/>
          <w:szCs w:val="20"/>
        </w:rPr>
      </w:pPr>
    </w:p>
    <w:p w14:paraId="2BB00731" w14:textId="7EE75779" w:rsidR="00BB53F1" w:rsidRDefault="00BB53F1" w:rsidP="008D4869">
      <w:pPr>
        <w:ind w:left="0"/>
        <w:rPr>
          <w:rFonts w:ascii="Times New Roman" w:hAnsi="Times New Roman" w:cs="Times New Roman"/>
          <w:sz w:val="20"/>
          <w:szCs w:val="20"/>
        </w:rPr>
      </w:pPr>
      <w:r w:rsidRPr="00BB53F1">
        <w:rPr>
          <w:rFonts w:ascii="Times New Roman" w:hAnsi="Times New Roman" w:cs="Times New Roman"/>
          <w:b/>
          <w:bCs/>
          <w:sz w:val="20"/>
          <w:szCs w:val="20"/>
        </w:rPr>
        <w:lastRenderedPageBreak/>
        <w:t>Priority 2: Mechanisms for low chilling adaptation.</w:t>
      </w:r>
      <w:r w:rsidRPr="00BB53F1">
        <w:rPr>
          <w:rFonts w:ascii="Times New Roman" w:hAnsi="Times New Roman" w:cs="Times New Roman"/>
          <w:sz w:val="20"/>
          <w:szCs w:val="20"/>
        </w:rPr>
        <w:t xml:space="preserve"> Complete physiological, biochemical, and molecular </w:t>
      </w:r>
      <w:proofErr w:type="spellStart"/>
      <w:r w:rsidRPr="00BB53F1">
        <w:rPr>
          <w:rFonts w:ascii="Times New Roman" w:hAnsi="Times New Roman" w:cs="Times New Roman"/>
          <w:sz w:val="20"/>
          <w:szCs w:val="20"/>
        </w:rPr>
        <w:t>characterisation</w:t>
      </w:r>
      <w:proofErr w:type="spellEnd"/>
      <w:r w:rsidRPr="00BB53F1">
        <w:rPr>
          <w:rFonts w:ascii="Times New Roman" w:hAnsi="Times New Roman" w:cs="Times New Roman"/>
          <w:sz w:val="20"/>
          <w:szCs w:val="20"/>
        </w:rPr>
        <w:t xml:space="preserve"> of HRMN-99 and similar lines, which should include: (a) physiological dynamics of heat-shock protein expression under field conditions; (b) </w:t>
      </w:r>
      <w:proofErr w:type="spellStart"/>
      <w:r w:rsidRPr="00BB53F1">
        <w:rPr>
          <w:rFonts w:ascii="Times New Roman" w:hAnsi="Times New Roman" w:cs="Times New Roman"/>
          <w:sz w:val="20"/>
          <w:szCs w:val="20"/>
        </w:rPr>
        <w:t>characterisation</w:t>
      </w:r>
      <w:proofErr w:type="spellEnd"/>
      <w:r w:rsidRPr="00BB53F1">
        <w:rPr>
          <w:rFonts w:ascii="Times New Roman" w:hAnsi="Times New Roman" w:cs="Times New Roman"/>
          <w:sz w:val="20"/>
          <w:szCs w:val="20"/>
        </w:rPr>
        <w:t xml:space="preserve"> of the DAM gene family and their expression patterns; (c) fruit quality parameter development at extreme temperatures; and (d) stability of the genetic composition over multiple generations of vegetative propagation. Comparing to international low chill cultivars (e.g. 'Eva', 'Anna', and 'Dorsett Golden') will help identify unique adaptation mechanisms and provide the basis for breeding programs.</w:t>
      </w:r>
    </w:p>
    <w:p w14:paraId="24825F9C" w14:textId="21687976" w:rsidR="00116359" w:rsidRPr="00F608CF" w:rsidRDefault="00116359" w:rsidP="008D4869">
      <w:pPr>
        <w:ind w:left="0"/>
        <w:rPr>
          <w:rFonts w:ascii="Times New Roman" w:hAnsi="Times New Roman" w:cs="Times New Roman"/>
          <w:sz w:val="20"/>
          <w:szCs w:val="20"/>
        </w:rPr>
      </w:pPr>
      <w:r w:rsidRPr="00116359">
        <w:rPr>
          <w:rFonts w:ascii="Times New Roman" w:hAnsi="Times New Roman" w:cs="Times New Roman"/>
          <w:b/>
          <w:bCs/>
          <w:sz w:val="20"/>
          <w:szCs w:val="20"/>
        </w:rPr>
        <w:t>Priority 3</w:t>
      </w:r>
      <w:r>
        <w:rPr>
          <w:rFonts w:ascii="Times New Roman" w:hAnsi="Times New Roman" w:cs="Times New Roman"/>
          <w:sz w:val="20"/>
          <w:szCs w:val="20"/>
        </w:rPr>
        <w:t>. T</w:t>
      </w:r>
      <w:r w:rsidRPr="00116359">
        <w:rPr>
          <w:rFonts w:ascii="Times New Roman" w:hAnsi="Times New Roman" w:cs="Times New Roman"/>
          <w:sz w:val="20"/>
          <w:szCs w:val="20"/>
        </w:rPr>
        <w:t>o develop a climate-informed decision support system by integrating historical climate data and phenological observations to create predictive models for (a) chilling accumulation forecasting; (b) optimal planting and management timing; (c) pest and disease risk prediction; and (d) irrigation scheduling. Models will be validated at multiple locations and will be made available on extension platforms.</w:t>
      </w:r>
      <w:r w:rsidRPr="00116359">
        <w:rPr>
          <w:rFonts w:ascii="Times New Roman" w:hAnsi="Times New Roman" w:cs="Times New Roman"/>
          <w:sz w:val="20"/>
          <w:szCs w:val="20"/>
        </w:rPr>
        <w:br/>
      </w:r>
      <w:r w:rsidRPr="00116359">
        <w:rPr>
          <w:rFonts w:ascii="Times New Roman" w:hAnsi="Times New Roman" w:cs="Times New Roman"/>
          <w:sz w:val="20"/>
          <w:szCs w:val="20"/>
        </w:rPr>
        <w:br/>
      </w:r>
      <w:r w:rsidRPr="00116359">
        <w:rPr>
          <w:rFonts w:ascii="Times New Roman" w:hAnsi="Times New Roman" w:cs="Times New Roman"/>
          <w:b/>
          <w:bCs/>
          <w:sz w:val="20"/>
          <w:szCs w:val="20"/>
        </w:rPr>
        <w:t>Priority 4</w:t>
      </w:r>
      <w:r>
        <w:rPr>
          <w:rFonts w:ascii="Times New Roman" w:hAnsi="Times New Roman" w:cs="Times New Roman"/>
          <w:sz w:val="20"/>
          <w:szCs w:val="20"/>
        </w:rPr>
        <w:t>. A</w:t>
      </w:r>
      <w:r w:rsidRPr="00116359">
        <w:rPr>
          <w:rFonts w:ascii="Times New Roman" w:hAnsi="Times New Roman" w:cs="Times New Roman"/>
          <w:sz w:val="20"/>
          <w:szCs w:val="20"/>
        </w:rPr>
        <w:t>ssessing the long-term sustainability of adaptation strategies by evaluating the ecological and economic sustainability of climate-resilient practices, including (a) the effects of intensive management on soil health; (b) the greenhouse gas footprint of high-input systems; (c) the effects of geographic expansion on biodiversity; (d) the socioeconomic equity of technology adoption; and (e) the resilience of systems to extreme weather events and changes in market conditions.</w:t>
      </w:r>
    </w:p>
    <w:p w14:paraId="3A64F7F4" w14:textId="3E200152" w:rsidR="005F733B" w:rsidRPr="00E956D2" w:rsidRDefault="00E956D2" w:rsidP="008D4869">
      <w:pPr>
        <w:ind w:left="0"/>
        <w:rPr>
          <w:rFonts w:ascii="Times New Roman" w:hAnsi="Times New Roman" w:cs="Times New Roman"/>
          <w:sz w:val="20"/>
          <w:szCs w:val="20"/>
        </w:rPr>
      </w:pPr>
      <w:r w:rsidRPr="00E956D2">
        <w:rPr>
          <w:rFonts w:ascii="Times New Roman" w:hAnsi="Times New Roman" w:cs="Times New Roman"/>
          <w:sz w:val="20"/>
          <w:szCs w:val="20"/>
        </w:rPr>
        <w:t>These priorities necessitate enhanced convergence among research institutions, extension services and policy frameworks, alongside longer-term funding commitments and participatory approaches that include farmers as co-developers of adaptation strategies. Achieving the climate resilience needed for Indian apple production therein lies the sustainable prosperity of the future in an era of increasing environmental uncertainty through such integrated efforts.</w:t>
      </w:r>
    </w:p>
    <w:p w14:paraId="267ABB32" w14:textId="6E75DB24"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 xml:space="preserve"> References</w:t>
      </w:r>
    </w:p>
    <w:p w14:paraId="0B13811B" w14:textId="5FAB3243" w:rsidR="00633E84" w:rsidRPr="00F5104E" w:rsidRDefault="00F608CF" w:rsidP="008D4869">
      <w:pPr>
        <w:ind w:right="1296"/>
        <w:rPr>
          <w:rFonts w:ascii="Times New Roman" w:hAnsi="Times New Roman" w:cs="Times New Roman"/>
          <w:sz w:val="20"/>
          <w:szCs w:val="20"/>
        </w:rPr>
      </w:pPr>
      <w:proofErr w:type="spellStart"/>
      <w:r w:rsidRPr="00F608CF">
        <w:rPr>
          <w:rFonts w:ascii="Times New Roman" w:hAnsi="Times New Roman" w:cs="Times New Roman"/>
          <w:sz w:val="20"/>
          <w:szCs w:val="20"/>
        </w:rPr>
        <w:t>Atay</w:t>
      </w:r>
      <w:proofErr w:type="spellEnd"/>
      <w:r w:rsidRPr="00F608CF">
        <w:rPr>
          <w:rFonts w:ascii="Times New Roman" w:hAnsi="Times New Roman" w:cs="Times New Roman"/>
          <w:sz w:val="20"/>
          <w:szCs w:val="20"/>
        </w:rPr>
        <w:t xml:space="preserve">, E., Crete, X., </w:t>
      </w:r>
      <w:proofErr w:type="spellStart"/>
      <w:r w:rsidRPr="00F608CF">
        <w:rPr>
          <w:rFonts w:ascii="Times New Roman" w:hAnsi="Times New Roman" w:cs="Times New Roman"/>
          <w:sz w:val="20"/>
          <w:szCs w:val="20"/>
        </w:rPr>
        <w:t>Loubet</w:t>
      </w:r>
      <w:proofErr w:type="spellEnd"/>
      <w:r w:rsidRPr="00F608CF">
        <w:rPr>
          <w:rFonts w:ascii="Times New Roman" w:hAnsi="Times New Roman" w:cs="Times New Roman"/>
          <w:sz w:val="20"/>
          <w:szCs w:val="20"/>
        </w:rPr>
        <w:t xml:space="preserve">, D., &amp; Lauri, P. É. (2021). Effects of rootstock and training system on apple tree architecture, light interception, and fruit quality. Scientia Horticulture, 275, </w:t>
      </w:r>
      <w:r w:rsidR="00633E84" w:rsidRPr="00F5104E">
        <w:rPr>
          <w:rFonts w:ascii="Times New Roman" w:hAnsi="Times New Roman" w:cs="Times New Roman"/>
          <w:sz w:val="20"/>
          <w:szCs w:val="20"/>
        </w:rPr>
        <w:t>109702. </w:t>
      </w:r>
      <w:hyperlink r:id="rId9" w:tgtFrame="_blank" w:history="1">
        <w:r w:rsidR="00633E84" w:rsidRPr="00F5104E">
          <w:rPr>
            <w:rStyle w:val="Hyperlink"/>
            <w:rFonts w:ascii="Times New Roman" w:hAnsi="Times New Roman" w:cs="Times New Roman"/>
            <w:sz w:val="20"/>
            <w:szCs w:val="20"/>
          </w:rPr>
          <w:t>https://doi.org/10.1016/j.scienta.2020.109702</w:t>
        </w:r>
      </w:hyperlink>
    </w:p>
    <w:p w14:paraId="064CAB20" w14:textId="0A999992" w:rsidR="00633E84" w:rsidRPr="00F5104E" w:rsidRDefault="00633E84" w:rsidP="008D4869">
      <w:pPr>
        <w:ind w:right="1152"/>
        <w:rPr>
          <w:rFonts w:ascii="Times New Roman" w:hAnsi="Times New Roman" w:cs="Times New Roman"/>
          <w:sz w:val="20"/>
          <w:szCs w:val="20"/>
        </w:rPr>
      </w:pPr>
      <w:proofErr w:type="spellStart"/>
      <w:r w:rsidRPr="00F5104E">
        <w:rPr>
          <w:rFonts w:ascii="Times New Roman" w:hAnsi="Times New Roman" w:cs="Times New Roman"/>
          <w:sz w:val="20"/>
          <w:szCs w:val="20"/>
        </w:rPr>
        <w:t>Basannagari</w:t>
      </w:r>
      <w:proofErr w:type="spellEnd"/>
      <w:r w:rsidRPr="00F5104E">
        <w:rPr>
          <w:rFonts w:ascii="Times New Roman" w:hAnsi="Times New Roman" w:cs="Times New Roman"/>
          <w:sz w:val="20"/>
          <w:szCs w:val="20"/>
        </w:rPr>
        <w:t>, B., &amp; Kala, C. P. (2013). Climate change and apple farming in the Indian Himalayas: A study of local perceptions and responses. </w:t>
      </w:r>
      <w:r w:rsidRPr="00F5104E">
        <w:rPr>
          <w:rFonts w:ascii="Times New Roman" w:hAnsi="Times New Roman" w:cs="Times New Roman"/>
          <w:i/>
          <w:iCs/>
          <w:sz w:val="20"/>
          <w:szCs w:val="20"/>
        </w:rPr>
        <w:t>Environmental Management</w:t>
      </w:r>
      <w:r w:rsidRPr="00F5104E">
        <w:rPr>
          <w:rFonts w:ascii="Times New Roman" w:hAnsi="Times New Roman" w:cs="Times New Roman"/>
          <w:sz w:val="20"/>
          <w:szCs w:val="20"/>
        </w:rPr>
        <w:t>, 52(3), 591–599. </w:t>
      </w:r>
      <w:hyperlink r:id="rId10" w:tgtFrame="_blank" w:history="1">
        <w:r w:rsidRPr="00F5104E">
          <w:rPr>
            <w:rStyle w:val="Hyperlink"/>
            <w:rFonts w:ascii="Times New Roman" w:hAnsi="Times New Roman" w:cs="Times New Roman"/>
            <w:sz w:val="20"/>
            <w:szCs w:val="20"/>
          </w:rPr>
          <w:t>https://doi.org/10.1007/s00267-013-0092-2</w:t>
        </w:r>
      </w:hyperlink>
    </w:p>
    <w:p w14:paraId="464D9496" w14:textId="066C7524" w:rsidR="00633E84" w:rsidRPr="00F5104E" w:rsidRDefault="00633E84" w:rsidP="008D4869">
      <w:pPr>
        <w:ind w:left="0"/>
        <w:rPr>
          <w:rFonts w:ascii="Times New Roman" w:hAnsi="Times New Roman" w:cs="Times New Roman"/>
          <w:sz w:val="20"/>
          <w:szCs w:val="20"/>
        </w:rPr>
      </w:pPr>
      <w:r w:rsidRPr="00F5104E">
        <w:rPr>
          <w:rFonts w:ascii="Times New Roman" w:hAnsi="Times New Roman" w:cs="Times New Roman"/>
          <w:sz w:val="20"/>
          <w:szCs w:val="20"/>
        </w:rPr>
        <w:t>Bhat, M. A., Mir, M. A., &amp; Rasool, R. (2024). Climate</w:t>
      </w:r>
      <w:r w:rsidRPr="00F5104E">
        <w:rPr>
          <w:rFonts w:ascii="Times New Roman" w:hAnsi="Times New Roman" w:cs="Times New Roman"/>
          <w:sz w:val="20"/>
          <w:szCs w:val="20"/>
        </w:rPr>
        <w:noBreakHyphen/>
        <w:t>mediated resurgence of leaf miner (</w:t>
      </w:r>
      <w:proofErr w:type="spellStart"/>
      <w:r w:rsidRPr="00F5104E">
        <w:rPr>
          <w:rFonts w:ascii="Times New Roman" w:hAnsi="Times New Roman" w:cs="Times New Roman"/>
          <w:i/>
          <w:iCs/>
          <w:sz w:val="20"/>
          <w:szCs w:val="20"/>
        </w:rPr>
        <w:t>Phyllonorycter</w:t>
      </w:r>
      <w:proofErr w:type="spellEnd"/>
      <w:r w:rsidRPr="00F5104E">
        <w:rPr>
          <w:rFonts w:ascii="Times New Roman" w:hAnsi="Times New Roman" w:cs="Times New Roman"/>
          <w:sz w:val="20"/>
          <w:szCs w:val="20"/>
        </w:rPr>
        <w:t> spp.) in Kashmir apple orchards: Population dynamics and management implications. </w:t>
      </w:r>
      <w:r w:rsidRPr="00F5104E">
        <w:rPr>
          <w:rFonts w:ascii="Times New Roman" w:hAnsi="Times New Roman" w:cs="Times New Roman"/>
          <w:i/>
          <w:iCs/>
          <w:sz w:val="20"/>
          <w:szCs w:val="20"/>
        </w:rPr>
        <w:t>Journal of Applied Entomology</w:t>
      </w:r>
      <w:r w:rsidRPr="00F5104E">
        <w:rPr>
          <w:rFonts w:ascii="Times New Roman" w:hAnsi="Times New Roman" w:cs="Times New Roman"/>
          <w:sz w:val="20"/>
          <w:szCs w:val="20"/>
        </w:rPr>
        <w:t>, 148(3), 245–258. </w:t>
      </w:r>
      <w:hyperlink r:id="rId11" w:tgtFrame="_blank" w:history="1">
        <w:r w:rsidRPr="00F5104E">
          <w:rPr>
            <w:rStyle w:val="Hyperlink"/>
            <w:rFonts w:ascii="Times New Roman" w:hAnsi="Times New Roman" w:cs="Times New Roman"/>
            <w:sz w:val="20"/>
            <w:szCs w:val="20"/>
          </w:rPr>
          <w:t>https://doi.org/10.1111/jen.13245</w:t>
        </w:r>
      </w:hyperlink>
    </w:p>
    <w:p w14:paraId="294A0D8B" w14:textId="77777777" w:rsidR="00633E84" w:rsidRPr="00F5104E" w:rsidRDefault="00633E84" w:rsidP="008D4869">
      <w:pPr>
        <w:ind w:left="0"/>
        <w:rPr>
          <w:rFonts w:ascii="Times New Roman" w:hAnsi="Times New Roman" w:cs="Times New Roman"/>
          <w:sz w:val="20"/>
          <w:szCs w:val="20"/>
        </w:rPr>
      </w:pPr>
      <w:r w:rsidRPr="00F5104E">
        <w:rPr>
          <w:rFonts w:ascii="Times New Roman" w:hAnsi="Times New Roman" w:cs="Times New Roman"/>
          <w:sz w:val="20"/>
          <w:szCs w:val="20"/>
        </w:rPr>
        <w:t>Chadha, K. L., &amp; Awasthi, R. P. (2005). </w:t>
      </w:r>
      <w:r w:rsidRPr="00F5104E">
        <w:rPr>
          <w:rFonts w:ascii="Times New Roman" w:hAnsi="Times New Roman" w:cs="Times New Roman"/>
          <w:i/>
          <w:iCs/>
          <w:sz w:val="20"/>
          <w:szCs w:val="20"/>
        </w:rPr>
        <w:t>The apple: Improvement, production, and post</w:t>
      </w:r>
      <w:r w:rsidRPr="00F5104E">
        <w:rPr>
          <w:rFonts w:ascii="Times New Roman" w:hAnsi="Times New Roman" w:cs="Times New Roman"/>
          <w:i/>
          <w:iCs/>
          <w:sz w:val="20"/>
          <w:szCs w:val="20"/>
        </w:rPr>
        <w:noBreakHyphen/>
        <w:t>harvest management</w:t>
      </w:r>
      <w:r w:rsidRPr="00F5104E">
        <w:rPr>
          <w:rFonts w:ascii="Times New Roman" w:hAnsi="Times New Roman" w:cs="Times New Roman"/>
          <w:sz w:val="20"/>
          <w:szCs w:val="20"/>
        </w:rPr>
        <w:t>. Malhotra Publishing House.</w:t>
      </w:r>
    </w:p>
    <w:p w14:paraId="18F6592D" w14:textId="30379C28" w:rsidR="00633E84" w:rsidRPr="00F5104E" w:rsidRDefault="00633E84" w:rsidP="008D4869">
      <w:pPr>
        <w:ind w:left="0"/>
        <w:rPr>
          <w:rFonts w:ascii="Times New Roman" w:hAnsi="Times New Roman" w:cs="Times New Roman"/>
          <w:sz w:val="20"/>
          <w:szCs w:val="20"/>
        </w:rPr>
      </w:pPr>
      <w:proofErr w:type="spellStart"/>
      <w:r w:rsidRPr="00F5104E">
        <w:rPr>
          <w:rFonts w:ascii="Times New Roman" w:hAnsi="Times New Roman" w:cs="Times New Roman"/>
          <w:sz w:val="20"/>
          <w:szCs w:val="20"/>
        </w:rPr>
        <w:t>Chandel</w:t>
      </w:r>
      <w:proofErr w:type="spellEnd"/>
      <w:r w:rsidRPr="00F5104E">
        <w:rPr>
          <w:rFonts w:ascii="Times New Roman" w:hAnsi="Times New Roman" w:cs="Times New Roman"/>
          <w:sz w:val="20"/>
          <w:szCs w:val="20"/>
        </w:rPr>
        <w:t>, J. S., Sharma, N. C., &amp; Verma, P. (2019). Income enhancement through high</w:t>
      </w:r>
      <w:r w:rsidRPr="00F5104E">
        <w:rPr>
          <w:rFonts w:ascii="Times New Roman" w:hAnsi="Times New Roman" w:cs="Times New Roman"/>
          <w:sz w:val="20"/>
          <w:szCs w:val="20"/>
        </w:rPr>
        <w:noBreakHyphen/>
        <w:t>density plantations of apple. </w:t>
      </w:r>
      <w:r w:rsidRPr="00F5104E">
        <w:rPr>
          <w:rFonts w:ascii="Times New Roman" w:hAnsi="Times New Roman" w:cs="Times New Roman"/>
          <w:i/>
          <w:iCs/>
          <w:sz w:val="20"/>
          <w:szCs w:val="20"/>
        </w:rPr>
        <w:t>Indian Journal of Horticulture</w:t>
      </w:r>
      <w:r w:rsidRPr="00F5104E">
        <w:rPr>
          <w:rFonts w:ascii="Times New Roman" w:hAnsi="Times New Roman" w:cs="Times New Roman"/>
          <w:sz w:val="20"/>
          <w:szCs w:val="20"/>
        </w:rPr>
        <w:t>, 76(4), 589–596. </w:t>
      </w:r>
      <w:hyperlink r:id="rId12" w:tgtFrame="_blank" w:history="1">
        <w:r w:rsidRPr="00F5104E">
          <w:rPr>
            <w:rStyle w:val="Hyperlink"/>
            <w:rFonts w:ascii="Times New Roman" w:hAnsi="Times New Roman" w:cs="Times New Roman"/>
            <w:sz w:val="20"/>
            <w:szCs w:val="20"/>
          </w:rPr>
          <w:t>https://doi.org/10.5958/0974-0112.2019.00095.2</w:t>
        </w:r>
      </w:hyperlink>
    </w:p>
    <w:p w14:paraId="3DC7D85B" w14:textId="77777777" w:rsidR="00633E84" w:rsidRPr="00F5104E" w:rsidRDefault="00633E84" w:rsidP="008D4869">
      <w:pPr>
        <w:ind w:left="0"/>
        <w:rPr>
          <w:rFonts w:ascii="Times New Roman" w:hAnsi="Times New Roman" w:cs="Times New Roman"/>
          <w:sz w:val="20"/>
          <w:szCs w:val="20"/>
        </w:rPr>
      </w:pPr>
      <w:r w:rsidRPr="00F5104E">
        <w:rPr>
          <w:rFonts w:ascii="Times New Roman" w:hAnsi="Times New Roman" w:cs="Times New Roman"/>
          <w:sz w:val="20"/>
          <w:szCs w:val="20"/>
        </w:rPr>
        <w:t xml:space="preserve">Girona, J., </w:t>
      </w:r>
      <w:proofErr w:type="spellStart"/>
      <w:r w:rsidRPr="00F5104E">
        <w:rPr>
          <w:rFonts w:ascii="Times New Roman" w:hAnsi="Times New Roman" w:cs="Times New Roman"/>
          <w:sz w:val="20"/>
          <w:szCs w:val="20"/>
        </w:rPr>
        <w:t>Behboudian</w:t>
      </w:r>
      <w:proofErr w:type="spellEnd"/>
      <w:r w:rsidRPr="00F5104E">
        <w:rPr>
          <w:rFonts w:ascii="Times New Roman" w:hAnsi="Times New Roman" w:cs="Times New Roman"/>
          <w:sz w:val="20"/>
          <w:szCs w:val="20"/>
        </w:rPr>
        <w:t>, M. H., &amp; Mata, M. (2020). Regulated deficit irrigation in fruit trees: A review. In </w:t>
      </w:r>
      <w:r w:rsidRPr="00F5104E">
        <w:rPr>
          <w:rFonts w:ascii="Times New Roman" w:hAnsi="Times New Roman" w:cs="Times New Roman"/>
          <w:i/>
          <w:iCs/>
          <w:sz w:val="20"/>
          <w:szCs w:val="20"/>
        </w:rPr>
        <w:t>Irrigation of horticultural crops</w:t>
      </w:r>
      <w:r w:rsidRPr="00F5104E">
        <w:rPr>
          <w:rFonts w:ascii="Times New Roman" w:hAnsi="Times New Roman" w:cs="Times New Roman"/>
          <w:sz w:val="20"/>
          <w:szCs w:val="20"/>
        </w:rPr>
        <w:t> (pp. 215–238). CAB International.</w:t>
      </w:r>
    </w:p>
    <w:p w14:paraId="36C40010" w14:textId="4B4787A5" w:rsidR="00633E84" w:rsidRPr="00F5104E" w:rsidRDefault="00633E84" w:rsidP="008D4869">
      <w:pPr>
        <w:ind w:left="0"/>
        <w:rPr>
          <w:rFonts w:ascii="Times New Roman" w:hAnsi="Times New Roman" w:cs="Times New Roman"/>
          <w:sz w:val="20"/>
          <w:szCs w:val="20"/>
        </w:rPr>
      </w:pPr>
      <w:r w:rsidRPr="00F5104E">
        <w:rPr>
          <w:rFonts w:ascii="Times New Roman" w:hAnsi="Times New Roman" w:cs="Times New Roman"/>
          <w:sz w:val="20"/>
          <w:szCs w:val="20"/>
        </w:rPr>
        <w:lastRenderedPageBreak/>
        <w:t>Kumar, P., Sharma, R., &amp; Singh, D. (2025). Mulching and irrigation strategies for climate</w:t>
      </w:r>
      <w:r w:rsidRPr="00F5104E">
        <w:rPr>
          <w:rFonts w:ascii="Times New Roman" w:hAnsi="Times New Roman" w:cs="Times New Roman"/>
          <w:sz w:val="20"/>
          <w:szCs w:val="20"/>
        </w:rPr>
        <w:noBreakHyphen/>
        <w:t>resilient apple cultivation in high</w:t>
      </w:r>
      <w:r w:rsidRPr="00F5104E">
        <w:rPr>
          <w:rFonts w:ascii="Times New Roman" w:hAnsi="Times New Roman" w:cs="Times New Roman"/>
          <w:sz w:val="20"/>
          <w:szCs w:val="20"/>
        </w:rPr>
        <w:noBreakHyphen/>
        <w:t>density orchards. </w:t>
      </w:r>
      <w:r w:rsidRPr="00F5104E">
        <w:rPr>
          <w:rFonts w:ascii="Times New Roman" w:hAnsi="Times New Roman" w:cs="Times New Roman"/>
          <w:i/>
          <w:iCs/>
          <w:sz w:val="20"/>
          <w:szCs w:val="20"/>
        </w:rPr>
        <w:t>Scientific Reports</w:t>
      </w:r>
      <w:r w:rsidRPr="00F5104E">
        <w:rPr>
          <w:rFonts w:ascii="Times New Roman" w:hAnsi="Times New Roman" w:cs="Times New Roman"/>
          <w:sz w:val="20"/>
          <w:szCs w:val="20"/>
        </w:rPr>
        <w:t>, 15(1), 17125. </w:t>
      </w:r>
      <w:hyperlink r:id="rId13" w:tgtFrame="_blank" w:history="1">
        <w:r w:rsidRPr="00F5104E">
          <w:rPr>
            <w:rStyle w:val="Hyperlink"/>
            <w:rFonts w:ascii="Times New Roman" w:hAnsi="Times New Roman" w:cs="Times New Roman"/>
            <w:sz w:val="20"/>
            <w:szCs w:val="20"/>
          </w:rPr>
          <w:t>https://doi.org/10.1038/s41598-025-86552-4</w:t>
        </w:r>
      </w:hyperlink>
    </w:p>
    <w:p w14:paraId="184339F6" w14:textId="3E78FDC0" w:rsidR="00633E84" w:rsidRPr="00F5104E" w:rsidRDefault="00633E84" w:rsidP="008D4869">
      <w:pPr>
        <w:ind w:left="0"/>
        <w:rPr>
          <w:rFonts w:ascii="Times New Roman" w:hAnsi="Times New Roman" w:cs="Times New Roman"/>
          <w:sz w:val="20"/>
          <w:szCs w:val="20"/>
        </w:rPr>
      </w:pPr>
      <w:r w:rsidRPr="00F5104E">
        <w:rPr>
          <w:rFonts w:ascii="Times New Roman" w:hAnsi="Times New Roman" w:cs="Times New Roman"/>
          <w:sz w:val="20"/>
          <w:szCs w:val="20"/>
        </w:rPr>
        <w:t>Kumar, R., Singh, S., &amp; Pathak, R. (2023). Climate change trends in the Indian Himalayas: Implications for temperate horticulture. </w:t>
      </w:r>
      <w:r w:rsidRPr="00F5104E">
        <w:rPr>
          <w:rFonts w:ascii="Times New Roman" w:hAnsi="Times New Roman" w:cs="Times New Roman"/>
          <w:i/>
          <w:iCs/>
          <w:sz w:val="20"/>
          <w:szCs w:val="20"/>
        </w:rPr>
        <w:t>Climate Risk Management</w:t>
      </w:r>
      <w:r w:rsidRPr="00F5104E">
        <w:rPr>
          <w:rFonts w:ascii="Times New Roman" w:hAnsi="Times New Roman" w:cs="Times New Roman"/>
          <w:sz w:val="20"/>
          <w:szCs w:val="20"/>
        </w:rPr>
        <w:t>, 39, 100472. </w:t>
      </w:r>
      <w:hyperlink r:id="rId14" w:tgtFrame="_blank" w:history="1">
        <w:r w:rsidRPr="00F5104E">
          <w:rPr>
            <w:rStyle w:val="Hyperlink"/>
            <w:rFonts w:ascii="Times New Roman" w:hAnsi="Times New Roman" w:cs="Times New Roman"/>
            <w:sz w:val="20"/>
            <w:szCs w:val="20"/>
          </w:rPr>
          <w:t>https://doi.org/10.1016/j.crm.2023.100472</w:t>
        </w:r>
      </w:hyperlink>
    </w:p>
    <w:p w14:paraId="6613452B" w14:textId="3A679A0B" w:rsidR="00633E84" w:rsidRPr="00F5104E" w:rsidRDefault="00633E84" w:rsidP="008D4869">
      <w:pPr>
        <w:ind w:left="0"/>
        <w:rPr>
          <w:rFonts w:ascii="Times New Roman" w:hAnsi="Times New Roman" w:cs="Times New Roman"/>
          <w:sz w:val="20"/>
          <w:szCs w:val="20"/>
        </w:rPr>
      </w:pPr>
      <w:r w:rsidRPr="00F5104E">
        <w:rPr>
          <w:rFonts w:ascii="Times New Roman" w:hAnsi="Times New Roman" w:cs="Times New Roman"/>
          <w:sz w:val="20"/>
          <w:szCs w:val="20"/>
        </w:rPr>
        <w:t>Kumar, V., Singh, G., &amp; Sharma, P. (2024). Molecular characterization of dormancy</w:t>
      </w:r>
      <w:r w:rsidRPr="00F5104E">
        <w:rPr>
          <w:rFonts w:ascii="Times New Roman" w:hAnsi="Times New Roman" w:cs="Times New Roman"/>
          <w:sz w:val="20"/>
          <w:szCs w:val="20"/>
        </w:rPr>
        <w:noBreakHyphen/>
        <w:t>associated MADS</w:t>
      </w:r>
      <w:r w:rsidRPr="00F5104E">
        <w:rPr>
          <w:rFonts w:ascii="Times New Roman" w:hAnsi="Times New Roman" w:cs="Times New Roman"/>
          <w:sz w:val="20"/>
          <w:szCs w:val="20"/>
        </w:rPr>
        <w:noBreakHyphen/>
        <w:t>box genes in low</w:t>
      </w:r>
      <w:r w:rsidRPr="00F5104E">
        <w:rPr>
          <w:rFonts w:ascii="Times New Roman" w:hAnsi="Times New Roman" w:cs="Times New Roman"/>
          <w:sz w:val="20"/>
          <w:szCs w:val="20"/>
        </w:rPr>
        <w:noBreakHyphen/>
        <w:t>chill apple cultivars. </w:t>
      </w:r>
      <w:r w:rsidRPr="00F5104E">
        <w:rPr>
          <w:rFonts w:ascii="Times New Roman" w:hAnsi="Times New Roman" w:cs="Times New Roman"/>
          <w:i/>
          <w:iCs/>
          <w:sz w:val="20"/>
          <w:szCs w:val="20"/>
        </w:rPr>
        <w:t>Tree Genetics &amp; Genomes</w:t>
      </w:r>
      <w:r w:rsidRPr="00F5104E">
        <w:rPr>
          <w:rFonts w:ascii="Times New Roman" w:hAnsi="Times New Roman" w:cs="Times New Roman"/>
          <w:sz w:val="20"/>
          <w:szCs w:val="20"/>
        </w:rPr>
        <w:t>, 20(2), 15. </w:t>
      </w:r>
      <w:hyperlink r:id="rId15" w:tgtFrame="_blank" w:history="1">
        <w:r w:rsidRPr="00F5104E">
          <w:rPr>
            <w:rStyle w:val="Hyperlink"/>
            <w:rFonts w:ascii="Times New Roman" w:hAnsi="Times New Roman" w:cs="Times New Roman"/>
            <w:sz w:val="20"/>
            <w:szCs w:val="20"/>
          </w:rPr>
          <w:t>https://doi.org/10.1007/s11295-024-01645-2</w:t>
        </w:r>
      </w:hyperlink>
    </w:p>
    <w:p w14:paraId="0C51624F" w14:textId="77777777" w:rsidR="00633E84" w:rsidRPr="00F5104E" w:rsidRDefault="00633E84" w:rsidP="008D4869">
      <w:pPr>
        <w:ind w:left="0"/>
        <w:rPr>
          <w:rFonts w:ascii="Times New Roman" w:hAnsi="Times New Roman" w:cs="Times New Roman"/>
          <w:sz w:val="20"/>
          <w:szCs w:val="20"/>
        </w:rPr>
      </w:pPr>
      <w:proofErr w:type="spellStart"/>
      <w:r w:rsidRPr="00F5104E">
        <w:rPr>
          <w:rFonts w:ascii="Times New Roman" w:hAnsi="Times New Roman" w:cs="Times New Roman"/>
          <w:sz w:val="20"/>
          <w:szCs w:val="20"/>
        </w:rPr>
        <w:t>Ladon</w:t>
      </w:r>
      <w:proofErr w:type="spellEnd"/>
      <w:r w:rsidRPr="00F5104E">
        <w:rPr>
          <w:rFonts w:ascii="Times New Roman" w:hAnsi="Times New Roman" w:cs="Times New Roman"/>
          <w:sz w:val="20"/>
          <w:szCs w:val="20"/>
        </w:rPr>
        <w:t xml:space="preserve">, T., </w:t>
      </w:r>
      <w:proofErr w:type="spellStart"/>
      <w:r w:rsidRPr="00F5104E">
        <w:rPr>
          <w:rFonts w:ascii="Times New Roman" w:hAnsi="Times New Roman" w:cs="Times New Roman"/>
          <w:sz w:val="20"/>
          <w:szCs w:val="20"/>
        </w:rPr>
        <w:t>Chandel</w:t>
      </w:r>
      <w:proofErr w:type="spellEnd"/>
      <w:r w:rsidRPr="00F5104E">
        <w:rPr>
          <w:rFonts w:ascii="Times New Roman" w:hAnsi="Times New Roman" w:cs="Times New Roman"/>
          <w:sz w:val="20"/>
          <w:szCs w:val="20"/>
        </w:rPr>
        <w:t>, J. S., Sharma, N. C., &amp; Verma, P. (2024). Optimizing apple orchard management: Investigating the impact of planting density, training systems, and fertigation levels on tree growth, yield, and fruit quality. </w:t>
      </w:r>
      <w:r w:rsidRPr="00F5104E">
        <w:rPr>
          <w:rFonts w:ascii="Times New Roman" w:hAnsi="Times New Roman" w:cs="Times New Roman"/>
          <w:i/>
          <w:iCs/>
          <w:sz w:val="20"/>
          <w:szCs w:val="20"/>
        </w:rPr>
        <w:t xml:space="preserve">Scientia </w:t>
      </w:r>
      <w:r w:rsidRPr="00F608CF">
        <w:rPr>
          <w:rFonts w:ascii="Times New Roman" w:hAnsi="Times New Roman" w:cs="Times New Roman"/>
          <w:i/>
          <w:iCs/>
          <w:sz w:val="20"/>
          <w:szCs w:val="20"/>
        </w:rPr>
        <w:t>Horticulture</w:t>
      </w:r>
      <w:r w:rsidRPr="00F5104E">
        <w:rPr>
          <w:rFonts w:ascii="Times New Roman" w:hAnsi="Times New Roman" w:cs="Times New Roman"/>
          <w:sz w:val="20"/>
          <w:szCs w:val="20"/>
        </w:rPr>
        <w:t>, 334, 113329. </w:t>
      </w:r>
      <w:hyperlink r:id="rId16" w:tgtFrame="_blank" w:history="1">
        <w:r w:rsidRPr="00F5104E">
          <w:rPr>
            <w:rStyle w:val="Hyperlink"/>
            <w:rFonts w:ascii="Times New Roman" w:hAnsi="Times New Roman" w:cs="Times New Roman"/>
            <w:sz w:val="20"/>
            <w:szCs w:val="20"/>
          </w:rPr>
          <w:t>https://doi.org/10.1016/j.scienta.2024.113329</w:t>
        </w:r>
      </w:hyperlink>
    </w:p>
    <w:p w14:paraId="29352274" w14:textId="77777777" w:rsidR="00633E84" w:rsidRPr="00F5104E" w:rsidRDefault="00633E84" w:rsidP="008D4869">
      <w:pPr>
        <w:ind w:right="1008"/>
        <w:rPr>
          <w:rFonts w:ascii="Times New Roman" w:hAnsi="Times New Roman" w:cs="Times New Roman"/>
          <w:sz w:val="20"/>
          <w:szCs w:val="20"/>
        </w:rPr>
      </w:pPr>
      <w:r w:rsidRPr="00F5104E">
        <w:rPr>
          <w:rFonts w:ascii="Times New Roman" w:hAnsi="Times New Roman" w:cs="Times New Roman"/>
          <w:sz w:val="20"/>
          <w:szCs w:val="20"/>
        </w:rPr>
        <w:t>Mir, M. A., Bhat, M. A., &amp; Rasool, R. (2023). Biological control of leaf miner in Kashmir apple orchards: Evaluation</w:t>
      </w:r>
      <w:r w:rsidRPr="00F608CF">
        <w:rPr>
          <w:rFonts w:ascii="Times New Roman" w:hAnsi="Times New Roman" w:cs="Times New Roman"/>
          <w:sz w:val="20"/>
          <w:szCs w:val="20"/>
        </w:rPr>
        <w:t xml:space="preserve"> </w:t>
      </w:r>
      <w:r w:rsidRPr="00F5104E">
        <w:rPr>
          <w:rFonts w:ascii="Times New Roman" w:hAnsi="Times New Roman" w:cs="Times New Roman"/>
          <w:sz w:val="20"/>
          <w:szCs w:val="20"/>
        </w:rPr>
        <w:t>of </w:t>
      </w:r>
      <w:proofErr w:type="spellStart"/>
      <w:r w:rsidRPr="00F5104E">
        <w:rPr>
          <w:rFonts w:ascii="Times New Roman" w:hAnsi="Times New Roman" w:cs="Times New Roman"/>
          <w:i/>
          <w:iCs/>
          <w:sz w:val="20"/>
          <w:szCs w:val="20"/>
        </w:rPr>
        <w:t>Trichogramma</w:t>
      </w:r>
      <w:proofErr w:type="spellEnd"/>
      <w:r w:rsidRPr="00F5104E">
        <w:rPr>
          <w:rFonts w:ascii="Times New Roman" w:hAnsi="Times New Roman" w:cs="Times New Roman"/>
          <w:sz w:val="20"/>
          <w:szCs w:val="20"/>
        </w:rPr>
        <w:t> and </w:t>
      </w:r>
      <w:proofErr w:type="spellStart"/>
      <w:r w:rsidRPr="00F5104E">
        <w:rPr>
          <w:rFonts w:ascii="Times New Roman" w:hAnsi="Times New Roman" w:cs="Times New Roman"/>
          <w:i/>
          <w:iCs/>
          <w:sz w:val="20"/>
          <w:szCs w:val="20"/>
        </w:rPr>
        <w:t>Chrysoperla</w:t>
      </w:r>
      <w:proofErr w:type="spellEnd"/>
      <w:r w:rsidRPr="00F5104E">
        <w:rPr>
          <w:rFonts w:ascii="Times New Roman" w:hAnsi="Times New Roman" w:cs="Times New Roman"/>
          <w:sz w:val="20"/>
          <w:szCs w:val="20"/>
        </w:rPr>
        <w:t> effectiveness. </w:t>
      </w:r>
      <w:r w:rsidRPr="00F5104E">
        <w:rPr>
          <w:rFonts w:ascii="Times New Roman" w:hAnsi="Times New Roman" w:cs="Times New Roman"/>
          <w:i/>
          <w:iCs/>
          <w:sz w:val="20"/>
          <w:szCs w:val="20"/>
        </w:rPr>
        <w:t>Biological Control</w:t>
      </w:r>
      <w:r w:rsidRPr="00F5104E">
        <w:rPr>
          <w:rFonts w:ascii="Times New Roman" w:hAnsi="Times New Roman" w:cs="Times New Roman"/>
          <w:sz w:val="20"/>
          <w:szCs w:val="20"/>
        </w:rPr>
        <w:t>, 178, 105143. </w:t>
      </w:r>
      <w:hyperlink r:id="rId17" w:tgtFrame="_blank" w:history="1">
        <w:r w:rsidRPr="00F5104E">
          <w:rPr>
            <w:rStyle w:val="Hyperlink"/>
            <w:rFonts w:ascii="Times New Roman" w:hAnsi="Times New Roman" w:cs="Times New Roman"/>
            <w:sz w:val="20"/>
            <w:szCs w:val="20"/>
          </w:rPr>
          <w:t>https://doi.org/10.1016/j.biocontrol.2023.105143</w:t>
        </w:r>
      </w:hyperlink>
    </w:p>
    <w:p w14:paraId="767786FE" w14:textId="4665A7E6" w:rsidR="00633E84" w:rsidRPr="00F5104E" w:rsidRDefault="00633E84" w:rsidP="008D4869">
      <w:pPr>
        <w:rPr>
          <w:rFonts w:ascii="Times New Roman" w:hAnsi="Times New Roman" w:cs="Times New Roman"/>
          <w:sz w:val="20"/>
          <w:szCs w:val="20"/>
        </w:rPr>
      </w:pPr>
      <w:proofErr w:type="spellStart"/>
      <w:r w:rsidRPr="00F5104E">
        <w:rPr>
          <w:rFonts w:ascii="Times New Roman" w:hAnsi="Times New Roman" w:cs="Times New Roman"/>
          <w:sz w:val="20"/>
          <w:szCs w:val="20"/>
        </w:rPr>
        <w:t>Musacchi</w:t>
      </w:r>
      <w:proofErr w:type="spellEnd"/>
      <w:r w:rsidRPr="00F5104E">
        <w:rPr>
          <w:rFonts w:ascii="Times New Roman" w:hAnsi="Times New Roman" w:cs="Times New Roman"/>
          <w:sz w:val="20"/>
          <w:szCs w:val="20"/>
        </w:rPr>
        <w:t xml:space="preserve">, S., Serra, S., &amp; </w:t>
      </w:r>
      <w:proofErr w:type="spellStart"/>
      <w:r w:rsidRPr="00F5104E">
        <w:rPr>
          <w:rFonts w:ascii="Times New Roman" w:hAnsi="Times New Roman" w:cs="Times New Roman"/>
          <w:sz w:val="20"/>
          <w:szCs w:val="20"/>
        </w:rPr>
        <w:t>Anconelli</w:t>
      </w:r>
      <w:proofErr w:type="spellEnd"/>
      <w:r w:rsidRPr="00F5104E">
        <w:rPr>
          <w:rFonts w:ascii="Times New Roman" w:hAnsi="Times New Roman" w:cs="Times New Roman"/>
          <w:sz w:val="20"/>
          <w:szCs w:val="20"/>
        </w:rPr>
        <w:t>, S. (2021). Apple orchard planting systems: A review of their effects on tree physiology, light interception, fruit quality, and profitability. </w:t>
      </w:r>
      <w:r w:rsidRPr="00F5104E">
        <w:rPr>
          <w:rFonts w:ascii="Times New Roman" w:hAnsi="Times New Roman" w:cs="Times New Roman"/>
          <w:i/>
          <w:iCs/>
          <w:sz w:val="20"/>
          <w:szCs w:val="20"/>
        </w:rPr>
        <w:t xml:space="preserve">Scientia </w:t>
      </w:r>
      <w:r w:rsidRPr="00F608CF">
        <w:rPr>
          <w:rFonts w:ascii="Times New Roman" w:hAnsi="Times New Roman" w:cs="Times New Roman"/>
          <w:i/>
          <w:iCs/>
          <w:sz w:val="20"/>
          <w:szCs w:val="20"/>
        </w:rPr>
        <w:t>Horticulture</w:t>
      </w:r>
      <w:r w:rsidRPr="00F5104E">
        <w:rPr>
          <w:rFonts w:ascii="Times New Roman" w:hAnsi="Times New Roman" w:cs="Times New Roman"/>
          <w:sz w:val="20"/>
          <w:szCs w:val="20"/>
        </w:rPr>
        <w:t>, 287, 110259. </w:t>
      </w:r>
      <w:hyperlink r:id="rId18" w:tgtFrame="_blank" w:history="1">
        <w:r w:rsidRPr="00F5104E">
          <w:rPr>
            <w:rStyle w:val="Hyperlink"/>
            <w:rFonts w:ascii="Times New Roman" w:hAnsi="Times New Roman" w:cs="Times New Roman"/>
            <w:sz w:val="20"/>
            <w:szCs w:val="20"/>
          </w:rPr>
          <w:t>https://doi.org/10.1016/j.scienta.2021.110259</w:t>
        </w:r>
      </w:hyperlink>
    </w:p>
    <w:p w14:paraId="6282A9B8" w14:textId="38B21BEF" w:rsidR="00633E84" w:rsidRPr="00F5104E" w:rsidRDefault="00633E84" w:rsidP="008D4869">
      <w:pPr>
        <w:ind w:left="0"/>
        <w:rPr>
          <w:rFonts w:ascii="Times New Roman" w:hAnsi="Times New Roman" w:cs="Times New Roman"/>
          <w:sz w:val="20"/>
          <w:szCs w:val="20"/>
        </w:rPr>
      </w:pPr>
      <w:proofErr w:type="spellStart"/>
      <w:r w:rsidRPr="00F5104E">
        <w:rPr>
          <w:rFonts w:ascii="Times New Roman" w:hAnsi="Times New Roman" w:cs="Times New Roman"/>
          <w:sz w:val="20"/>
          <w:szCs w:val="20"/>
        </w:rPr>
        <w:t>Naor</w:t>
      </w:r>
      <w:proofErr w:type="spellEnd"/>
      <w:r w:rsidRPr="00F5104E">
        <w:rPr>
          <w:rFonts w:ascii="Times New Roman" w:hAnsi="Times New Roman" w:cs="Times New Roman"/>
          <w:sz w:val="20"/>
          <w:szCs w:val="20"/>
        </w:rPr>
        <w:t>, A., Stern, R., &amp; Fleishman, M. (2018). Regulated deficit irrigation in apple production: A global perspective. </w:t>
      </w:r>
      <w:r w:rsidRPr="00F5104E">
        <w:rPr>
          <w:rFonts w:ascii="Times New Roman" w:hAnsi="Times New Roman" w:cs="Times New Roman"/>
          <w:i/>
          <w:iCs/>
          <w:sz w:val="20"/>
          <w:szCs w:val="20"/>
        </w:rPr>
        <w:t>Agricultural</w:t>
      </w:r>
      <w:r w:rsidR="005F733B" w:rsidRPr="00F608CF">
        <w:rPr>
          <w:rFonts w:ascii="Times New Roman" w:hAnsi="Times New Roman" w:cs="Times New Roman"/>
          <w:i/>
          <w:iCs/>
          <w:sz w:val="20"/>
          <w:szCs w:val="20"/>
        </w:rPr>
        <w:t xml:space="preserve"> Water</w:t>
      </w:r>
      <w:r w:rsidR="001270E4" w:rsidRPr="00F608CF">
        <w:rPr>
          <w:rFonts w:ascii="Times New Roman" w:hAnsi="Times New Roman" w:cs="Times New Roman"/>
          <w:i/>
          <w:iCs/>
          <w:sz w:val="20"/>
          <w:szCs w:val="20"/>
        </w:rPr>
        <w:t xml:space="preserve"> </w:t>
      </w:r>
      <w:r w:rsidR="005F733B" w:rsidRPr="00F608CF">
        <w:rPr>
          <w:rFonts w:ascii="Times New Roman" w:hAnsi="Times New Roman" w:cs="Times New Roman"/>
          <w:i/>
          <w:iCs/>
          <w:sz w:val="20"/>
          <w:szCs w:val="20"/>
        </w:rPr>
        <w:t>Management</w:t>
      </w:r>
      <w:r w:rsidRPr="00F5104E">
        <w:rPr>
          <w:rFonts w:ascii="Times New Roman" w:hAnsi="Times New Roman" w:cs="Times New Roman"/>
          <w:sz w:val="20"/>
          <w:szCs w:val="20"/>
        </w:rPr>
        <w:t>, 203, 323–332. </w:t>
      </w:r>
      <w:hyperlink r:id="rId19" w:tgtFrame="_blank" w:history="1">
        <w:r w:rsidRPr="00F5104E">
          <w:rPr>
            <w:rStyle w:val="Hyperlink"/>
            <w:rFonts w:ascii="Times New Roman" w:hAnsi="Times New Roman" w:cs="Times New Roman"/>
            <w:sz w:val="20"/>
            <w:szCs w:val="20"/>
          </w:rPr>
          <w:t>https://doi.org/10.1016/j.agwat.2018.02.008</w:t>
        </w:r>
      </w:hyperlink>
    </w:p>
    <w:p w14:paraId="49B5E3F7" w14:textId="5E03FFCD" w:rsidR="00633E84" w:rsidRPr="00F5104E" w:rsidRDefault="00633E84" w:rsidP="008D4869">
      <w:pPr>
        <w:ind w:left="0"/>
        <w:rPr>
          <w:rFonts w:ascii="Times New Roman" w:hAnsi="Times New Roman" w:cs="Times New Roman"/>
          <w:sz w:val="20"/>
          <w:szCs w:val="20"/>
        </w:rPr>
      </w:pPr>
      <w:r w:rsidRPr="00F5104E">
        <w:rPr>
          <w:rFonts w:ascii="Times New Roman" w:hAnsi="Times New Roman" w:cs="Times New Roman"/>
          <w:sz w:val="20"/>
          <w:szCs w:val="20"/>
        </w:rPr>
        <w:t>Negi, V. S., Pathak, R., &amp; Rawal, R. S. (2024). Climate change vulnerability of Himalayan horticulture: Trends, impacts, and adaptation pathways. </w:t>
      </w:r>
      <w:r w:rsidRPr="00F5104E">
        <w:rPr>
          <w:rFonts w:ascii="Times New Roman" w:hAnsi="Times New Roman" w:cs="Times New Roman"/>
          <w:i/>
          <w:iCs/>
          <w:sz w:val="20"/>
          <w:szCs w:val="20"/>
        </w:rPr>
        <w:t>Mitigation and Adaptation Strategies for Global Change</w:t>
      </w:r>
      <w:r w:rsidRPr="00F5104E">
        <w:rPr>
          <w:rFonts w:ascii="Times New Roman" w:hAnsi="Times New Roman" w:cs="Times New Roman"/>
          <w:sz w:val="20"/>
          <w:szCs w:val="20"/>
        </w:rPr>
        <w:t>, 29(2), 12. </w:t>
      </w:r>
      <w:hyperlink r:id="rId20" w:tgtFrame="_blank" w:history="1">
        <w:r w:rsidRPr="00F5104E">
          <w:rPr>
            <w:rStyle w:val="Hyperlink"/>
            <w:rFonts w:ascii="Times New Roman" w:hAnsi="Times New Roman" w:cs="Times New Roman"/>
            <w:sz w:val="20"/>
            <w:szCs w:val="20"/>
          </w:rPr>
          <w:t>https://doi.org/10.1007/s11027-024-10125-1</w:t>
        </w:r>
      </w:hyperlink>
    </w:p>
    <w:p w14:paraId="61F758B0" w14:textId="186B8C1B" w:rsidR="00633E84" w:rsidRPr="00F5104E" w:rsidRDefault="00633E84" w:rsidP="008D4869">
      <w:pPr>
        <w:ind w:left="0"/>
        <w:rPr>
          <w:rFonts w:ascii="Times New Roman" w:hAnsi="Times New Roman" w:cs="Times New Roman"/>
          <w:sz w:val="20"/>
          <w:szCs w:val="20"/>
        </w:rPr>
      </w:pPr>
      <w:proofErr w:type="spellStart"/>
      <w:r w:rsidRPr="00F5104E">
        <w:rPr>
          <w:rFonts w:ascii="Times New Roman" w:hAnsi="Times New Roman" w:cs="Times New Roman"/>
          <w:sz w:val="20"/>
          <w:szCs w:val="20"/>
        </w:rPr>
        <w:t>Partap</w:t>
      </w:r>
      <w:proofErr w:type="spellEnd"/>
      <w:r w:rsidRPr="00F5104E">
        <w:rPr>
          <w:rFonts w:ascii="Times New Roman" w:hAnsi="Times New Roman" w:cs="Times New Roman"/>
          <w:sz w:val="20"/>
          <w:szCs w:val="20"/>
        </w:rPr>
        <w:t>, U., Sharma, G., &amp; Gurung, M. B. (2020). Climate change impacts on apple cultivation in the Himalayan region: A review. </w:t>
      </w:r>
      <w:r w:rsidRPr="00F5104E">
        <w:rPr>
          <w:rFonts w:ascii="Times New Roman" w:hAnsi="Times New Roman" w:cs="Times New Roman"/>
          <w:i/>
          <w:iCs/>
          <w:sz w:val="20"/>
          <w:szCs w:val="20"/>
        </w:rPr>
        <w:t>International Journal of Biometeorology</w:t>
      </w:r>
      <w:r w:rsidRPr="00F5104E">
        <w:rPr>
          <w:rFonts w:ascii="Times New Roman" w:hAnsi="Times New Roman" w:cs="Times New Roman"/>
          <w:sz w:val="20"/>
          <w:szCs w:val="20"/>
        </w:rPr>
        <w:t>, 64(8), 1291–1304. </w:t>
      </w:r>
      <w:hyperlink r:id="rId21" w:tgtFrame="_blank" w:history="1">
        <w:r w:rsidRPr="00F5104E">
          <w:rPr>
            <w:rStyle w:val="Hyperlink"/>
            <w:rFonts w:ascii="Times New Roman" w:hAnsi="Times New Roman" w:cs="Times New Roman"/>
            <w:sz w:val="20"/>
            <w:szCs w:val="20"/>
          </w:rPr>
          <w:t>https://doi.org/10.1007/s00484-020-01912-5</w:t>
        </w:r>
      </w:hyperlink>
    </w:p>
    <w:p w14:paraId="69124F99" w14:textId="24FBDD24" w:rsidR="00633E84" w:rsidRPr="00F5104E" w:rsidRDefault="00F608CF" w:rsidP="008D4869">
      <w:pPr>
        <w:ind w:right="864"/>
        <w:rPr>
          <w:rFonts w:ascii="Times New Roman" w:hAnsi="Times New Roman" w:cs="Times New Roman"/>
          <w:sz w:val="20"/>
          <w:szCs w:val="20"/>
        </w:rPr>
      </w:pPr>
      <w:r w:rsidRPr="00F608CF">
        <w:rPr>
          <w:rFonts w:ascii="Times New Roman" w:hAnsi="Times New Roman" w:cs="Times New Roman"/>
          <w:sz w:val="20"/>
          <w:szCs w:val="20"/>
        </w:rPr>
        <w:t xml:space="preserve">Pathak, R., Negi, V. S., &amp; Rawal, R. S. (2023). Phenological shifts in temperate fruit crops under climate change: A systematic review. Agricultural and Forest Meteorology, 330, 109305. </w:t>
      </w:r>
      <w:hyperlink r:id="rId22" w:tgtFrame="_blank" w:history="1">
        <w:r w:rsidR="00633E84" w:rsidRPr="00F5104E">
          <w:rPr>
            <w:rStyle w:val="Hyperlink"/>
            <w:rFonts w:ascii="Times New Roman" w:hAnsi="Times New Roman" w:cs="Times New Roman"/>
            <w:sz w:val="20"/>
            <w:szCs w:val="20"/>
          </w:rPr>
          <w:t>https://doi.org/10.1016/j.agrformet.2023.109305</w:t>
        </w:r>
      </w:hyperlink>
    </w:p>
    <w:p w14:paraId="7E847D7D" w14:textId="7D56C84D" w:rsidR="00633E84" w:rsidRPr="00F5104E" w:rsidRDefault="00633E84" w:rsidP="008D4869">
      <w:pPr>
        <w:ind w:right="864"/>
        <w:rPr>
          <w:rFonts w:ascii="Times New Roman" w:hAnsi="Times New Roman" w:cs="Times New Roman"/>
          <w:sz w:val="20"/>
          <w:szCs w:val="20"/>
        </w:rPr>
      </w:pPr>
      <w:r w:rsidRPr="00F5104E">
        <w:rPr>
          <w:rFonts w:ascii="Times New Roman" w:hAnsi="Times New Roman" w:cs="Times New Roman"/>
          <w:sz w:val="20"/>
          <w:szCs w:val="20"/>
        </w:rPr>
        <w:t>Sharma, N. C., &amp; Verma, P. (2021). High</w:t>
      </w:r>
      <w:r w:rsidRPr="00F5104E">
        <w:rPr>
          <w:rFonts w:ascii="Times New Roman" w:hAnsi="Times New Roman" w:cs="Times New Roman"/>
          <w:sz w:val="20"/>
          <w:szCs w:val="20"/>
        </w:rPr>
        <w:noBreakHyphen/>
        <w:t>density apple plantations across elevation gradients in Himachal Pradesh: Performance and constraints. </w:t>
      </w:r>
      <w:r w:rsidRPr="00F5104E">
        <w:rPr>
          <w:rFonts w:ascii="Times New Roman" w:hAnsi="Times New Roman" w:cs="Times New Roman"/>
          <w:i/>
          <w:iCs/>
          <w:sz w:val="20"/>
          <w:szCs w:val="20"/>
        </w:rPr>
        <w:t>Indian Journal of Horticulture</w:t>
      </w:r>
      <w:r w:rsidRPr="00F5104E">
        <w:rPr>
          <w:rFonts w:ascii="Times New Roman" w:hAnsi="Times New Roman" w:cs="Times New Roman"/>
          <w:sz w:val="20"/>
          <w:szCs w:val="20"/>
        </w:rPr>
        <w:t>, 78(3), 245–252. </w:t>
      </w:r>
      <w:hyperlink r:id="rId23" w:tgtFrame="_blank" w:history="1">
        <w:r w:rsidRPr="00F5104E">
          <w:rPr>
            <w:rStyle w:val="Hyperlink"/>
            <w:rFonts w:ascii="Times New Roman" w:hAnsi="Times New Roman" w:cs="Times New Roman"/>
            <w:sz w:val="20"/>
            <w:szCs w:val="20"/>
          </w:rPr>
          <w:t>https://doi.org/10.5958/0974-0112.2021.00035.7</w:t>
        </w:r>
      </w:hyperlink>
    </w:p>
    <w:p w14:paraId="3BCF2D9B" w14:textId="4808B3C1" w:rsidR="00633E84" w:rsidRPr="00F5104E" w:rsidRDefault="00633E84" w:rsidP="008D4869">
      <w:pPr>
        <w:ind w:left="0"/>
        <w:rPr>
          <w:rFonts w:ascii="Times New Roman" w:hAnsi="Times New Roman" w:cs="Times New Roman"/>
          <w:sz w:val="20"/>
          <w:szCs w:val="20"/>
        </w:rPr>
      </w:pPr>
      <w:r w:rsidRPr="00F5104E">
        <w:rPr>
          <w:rFonts w:ascii="Times New Roman" w:hAnsi="Times New Roman" w:cs="Times New Roman"/>
          <w:sz w:val="20"/>
          <w:szCs w:val="20"/>
        </w:rPr>
        <w:t>Sharma, R., Singh, D., &amp; Kumar, P. (2022). Climate change trends in the Indian Himalayas: Implications for temperate horticulture. </w:t>
      </w:r>
      <w:r w:rsidRPr="00F5104E">
        <w:rPr>
          <w:rFonts w:ascii="Times New Roman" w:hAnsi="Times New Roman" w:cs="Times New Roman"/>
          <w:i/>
          <w:iCs/>
          <w:sz w:val="20"/>
          <w:szCs w:val="20"/>
        </w:rPr>
        <w:t>Climate Risk Management</w:t>
      </w:r>
      <w:r w:rsidRPr="00F5104E">
        <w:rPr>
          <w:rFonts w:ascii="Times New Roman" w:hAnsi="Times New Roman" w:cs="Times New Roman"/>
          <w:sz w:val="20"/>
          <w:szCs w:val="20"/>
        </w:rPr>
        <w:t>, 35, 100396. </w:t>
      </w:r>
      <w:hyperlink r:id="rId24" w:tgtFrame="_blank" w:history="1">
        <w:r w:rsidRPr="00F5104E">
          <w:rPr>
            <w:rStyle w:val="Hyperlink"/>
            <w:rFonts w:ascii="Times New Roman" w:hAnsi="Times New Roman" w:cs="Times New Roman"/>
            <w:sz w:val="20"/>
            <w:szCs w:val="20"/>
          </w:rPr>
          <w:t>https://doi.org/10.1016/j.crm.2022.100396</w:t>
        </w:r>
      </w:hyperlink>
    </w:p>
    <w:p w14:paraId="16155D44" w14:textId="36B10621" w:rsidR="00633E84" w:rsidRPr="00F5104E" w:rsidRDefault="00633E84" w:rsidP="008D4869">
      <w:pPr>
        <w:ind w:left="0"/>
        <w:rPr>
          <w:rFonts w:ascii="Times New Roman" w:hAnsi="Times New Roman" w:cs="Times New Roman"/>
          <w:sz w:val="20"/>
          <w:szCs w:val="20"/>
        </w:rPr>
      </w:pPr>
      <w:r w:rsidRPr="00F5104E">
        <w:rPr>
          <w:rFonts w:ascii="Times New Roman" w:hAnsi="Times New Roman" w:cs="Times New Roman"/>
          <w:sz w:val="20"/>
          <w:szCs w:val="20"/>
        </w:rPr>
        <w:t>Singh, D., Kumar, P., &amp; Sharma, R. (2024). Physiological and molecular characterization of thermotolerance mechanisms in low</w:t>
      </w:r>
      <w:r w:rsidRPr="00F5104E">
        <w:rPr>
          <w:rFonts w:ascii="Times New Roman" w:hAnsi="Times New Roman" w:cs="Times New Roman"/>
          <w:sz w:val="20"/>
          <w:szCs w:val="20"/>
        </w:rPr>
        <w:noBreakHyphen/>
        <w:t>chill apple cultivar HRMN</w:t>
      </w:r>
      <w:r w:rsidRPr="00F5104E">
        <w:rPr>
          <w:rFonts w:ascii="Times New Roman" w:hAnsi="Times New Roman" w:cs="Times New Roman"/>
          <w:sz w:val="20"/>
          <w:szCs w:val="20"/>
        </w:rPr>
        <w:noBreakHyphen/>
        <w:t>99. </w:t>
      </w:r>
      <w:proofErr w:type="spellStart"/>
      <w:r w:rsidRPr="00F5104E">
        <w:rPr>
          <w:rFonts w:ascii="Times New Roman" w:hAnsi="Times New Roman" w:cs="Times New Roman"/>
          <w:i/>
          <w:iCs/>
          <w:sz w:val="20"/>
          <w:szCs w:val="20"/>
        </w:rPr>
        <w:t>Physiologia</w:t>
      </w:r>
      <w:proofErr w:type="spellEnd"/>
      <w:r w:rsidRPr="00F5104E">
        <w:rPr>
          <w:rFonts w:ascii="Times New Roman" w:hAnsi="Times New Roman" w:cs="Times New Roman"/>
          <w:i/>
          <w:iCs/>
          <w:sz w:val="20"/>
          <w:szCs w:val="20"/>
        </w:rPr>
        <w:t xml:space="preserve"> Plantarum</w:t>
      </w:r>
      <w:r w:rsidRPr="00F5104E">
        <w:rPr>
          <w:rFonts w:ascii="Times New Roman" w:hAnsi="Times New Roman" w:cs="Times New Roman"/>
          <w:sz w:val="20"/>
          <w:szCs w:val="20"/>
        </w:rPr>
        <w:t>, 176(2), e14256. </w:t>
      </w:r>
      <w:hyperlink r:id="rId25" w:tgtFrame="_blank" w:history="1">
        <w:r w:rsidRPr="00F5104E">
          <w:rPr>
            <w:rStyle w:val="Hyperlink"/>
            <w:rFonts w:ascii="Times New Roman" w:hAnsi="Times New Roman" w:cs="Times New Roman"/>
            <w:sz w:val="20"/>
            <w:szCs w:val="20"/>
          </w:rPr>
          <w:t>https://doi.org/10.1111/ppl.14256</w:t>
        </w:r>
      </w:hyperlink>
    </w:p>
    <w:p w14:paraId="4CA7B7E5" w14:textId="309E7249" w:rsidR="00633E84" w:rsidRPr="00F5104E" w:rsidRDefault="00633E84" w:rsidP="008D4869">
      <w:pPr>
        <w:ind w:left="0"/>
        <w:rPr>
          <w:rFonts w:ascii="Times New Roman" w:hAnsi="Times New Roman" w:cs="Times New Roman"/>
          <w:sz w:val="20"/>
          <w:szCs w:val="20"/>
        </w:rPr>
      </w:pPr>
      <w:r w:rsidRPr="00F5104E">
        <w:rPr>
          <w:rFonts w:ascii="Times New Roman" w:hAnsi="Times New Roman" w:cs="Times New Roman"/>
          <w:sz w:val="20"/>
          <w:szCs w:val="20"/>
        </w:rPr>
        <w:lastRenderedPageBreak/>
        <w:t>Singh, N., Sharma, D. P., &amp; Kumar, P. (2021). Apple production in India: Trends, constraints, and prospects. </w:t>
      </w:r>
      <w:r w:rsidRPr="00F5104E">
        <w:rPr>
          <w:rFonts w:ascii="Times New Roman" w:hAnsi="Times New Roman" w:cs="Times New Roman"/>
          <w:i/>
          <w:iCs/>
          <w:sz w:val="20"/>
          <w:szCs w:val="20"/>
        </w:rPr>
        <w:t>Indian Journal of Agricultural Sciences</w:t>
      </w:r>
      <w:r w:rsidRPr="00F5104E">
        <w:rPr>
          <w:rFonts w:ascii="Times New Roman" w:hAnsi="Times New Roman" w:cs="Times New Roman"/>
          <w:sz w:val="20"/>
          <w:szCs w:val="20"/>
        </w:rPr>
        <w:t>, 91(5), 675–682. </w:t>
      </w:r>
      <w:hyperlink r:id="rId26" w:tgtFrame="_blank" w:history="1">
        <w:r w:rsidRPr="00F5104E">
          <w:rPr>
            <w:rStyle w:val="Hyperlink"/>
            <w:rFonts w:ascii="Times New Roman" w:hAnsi="Times New Roman" w:cs="Times New Roman"/>
            <w:sz w:val="20"/>
            <w:szCs w:val="20"/>
          </w:rPr>
          <w:t>https://doi.org/10.56093/ijas.v91i5.111111</w:t>
        </w:r>
      </w:hyperlink>
    </w:p>
    <w:p w14:paraId="59469CE3" w14:textId="2C3BC267" w:rsidR="00633E84" w:rsidRPr="00F5104E" w:rsidRDefault="00633E84" w:rsidP="008D4869">
      <w:pPr>
        <w:ind w:left="0"/>
        <w:rPr>
          <w:rFonts w:ascii="Times New Roman" w:hAnsi="Times New Roman" w:cs="Times New Roman"/>
          <w:sz w:val="20"/>
          <w:szCs w:val="20"/>
        </w:rPr>
      </w:pPr>
      <w:r w:rsidRPr="00F5104E">
        <w:rPr>
          <w:rFonts w:ascii="Times New Roman" w:hAnsi="Times New Roman" w:cs="Times New Roman"/>
          <w:sz w:val="20"/>
          <w:szCs w:val="20"/>
        </w:rPr>
        <w:t>Thakur, A., Singh, H., &amp; Sharma, S. (2023). High</w:t>
      </w:r>
      <w:r w:rsidRPr="00F5104E">
        <w:rPr>
          <w:rFonts w:ascii="Times New Roman" w:hAnsi="Times New Roman" w:cs="Times New Roman"/>
          <w:sz w:val="20"/>
          <w:szCs w:val="20"/>
        </w:rPr>
        <w:noBreakHyphen/>
        <w:t>density apple planting systems: A review of Indian research and future perspectives. </w:t>
      </w:r>
      <w:r w:rsidRPr="00F5104E">
        <w:rPr>
          <w:rFonts w:ascii="Times New Roman" w:hAnsi="Times New Roman" w:cs="Times New Roman"/>
          <w:i/>
          <w:iCs/>
          <w:sz w:val="20"/>
          <w:szCs w:val="20"/>
        </w:rPr>
        <w:t>Journal of Hill Agriculture</w:t>
      </w:r>
      <w:r w:rsidRPr="00F5104E">
        <w:rPr>
          <w:rFonts w:ascii="Times New Roman" w:hAnsi="Times New Roman" w:cs="Times New Roman"/>
          <w:sz w:val="20"/>
          <w:szCs w:val="20"/>
        </w:rPr>
        <w:t>, 14(1), 1–12.</w:t>
      </w:r>
    </w:p>
    <w:p w14:paraId="04FDA25C" w14:textId="77777777" w:rsidR="00633E84" w:rsidRPr="00F5104E" w:rsidRDefault="00633E84" w:rsidP="008D4869">
      <w:pPr>
        <w:ind w:left="0"/>
        <w:rPr>
          <w:rFonts w:ascii="Times New Roman" w:hAnsi="Times New Roman" w:cs="Times New Roman"/>
          <w:sz w:val="20"/>
          <w:szCs w:val="20"/>
        </w:rPr>
      </w:pPr>
      <w:r w:rsidRPr="00F5104E">
        <w:rPr>
          <w:rFonts w:ascii="Times New Roman" w:hAnsi="Times New Roman" w:cs="Times New Roman"/>
          <w:sz w:val="20"/>
          <w:szCs w:val="20"/>
        </w:rPr>
        <w:t xml:space="preserve">Verma, P., Sharma, N. C., &amp; </w:t>
      </w:r>
      <w:proofErr w:type="spellStart"/>
      <w:r w:rsidRPr="00F5104E">
        <w:rPr>
          <w:rFonts w:ascii="Times New Roman" w:hAnsi="Times New Roman" w:cs="Times New Roman"/>
          <w:sz w:val="20"/>
          <w:szCs w:val="20"/>
        </w:rPr>
        <w:t>Chandel</w:t>
      </w:r>
      <w:proofErr w:type="spellEnd"/>
      <w:r w:rsidRPr="00F5104E">
        <w:rPr>
          <w:rFonts w:ascii="Times New Roman" w:hAnsi="Times New Roman" w:cs="Times New Roman"/>
          <w:sz w:val="20"/>
          <w:szCs w:val="20"/>
        </w:rPr>
        <w:t>, J. S. (2018). Historical perspectives and future challenges in Indian apple cultivation. In </w:t>
      </w:r>
      <w:r w:rsidRPr="00F5104E">
        <w:rPr>
          <w:rFonts w:ascii="Times New Roman" w:hAnsi="Times New Roman" w:cs="Times New Roman"/>
          <w:i/>
          <w:iCs/>
          <w:sz w:val="20"/>
          <w:szCs w:val="20"/>
        </w:rPr>
        <w:t>Horticultural development in India</w:t>
      </w:r>
      <w:r w:rsidRPr="00F5104E">
        <w:rPr>
          <w:rFonts w:ascii="Times New Roman" w:hAnsi="Times New Roman" w:cs="Times New Roman"/>
          <w:sz w:val="20"/>
          <w:szCs w:val="20"/>
        </w:rPr>
        <w:t> (pp. 156–172). New India Publishing Agency.</w:t>
      </w:r>
    </w:p>
    <w:p w14:paraId="60D9C053" w14:textId="77777777" w:rsidR="00F5104E" w:rsidRPr="00F608CF" w:rsidRDefault="00F5104E" w:rsidP="008D4869">
      <w:pPr>
        <w:ind w:left="0"/>
        <w:rPr>
          <w:rFonts w:ascii="Times New Roman" w:hAnsi="Times New Roman" w:cs="Times New Roman"/>
          <w:sz w:val="20"/>
          <w:szCs w:val="20"/>
        </w:rPr>
      </w:pPr>
    </w:p>
    <w:p w14:paraId="7D36D46C" w14:textId="77777777" w:rsidR="00554244" w:rsidRPr="00F608CF" w:rsidRDefault="00554244" w:rsidP="008D4869">
      <w:pPr>
        <w:ind w:left="0"/>
        <w:rPr>
          <w:rFonts w:ascii="Times New Roman" w:hAnsi="Times New Roman" w:cs="Times New Roman"/>
          <w:sz w:val="20"/>
          <w:szCs w:val="20"/>
        </w:rPr>
      </w:pPr>
    </w:p>
    <w:p w14:paraId="6CCF7A5A" w14:textId="77777777" w:rsidR="00F5104E" w:rsidRPr="00F608CF" w:rsidRDefault="00F5104E" w:rsidP="008D4869">
      <w:pPr>
        <w:ind w:left="0"/>
        <w:rPr>
          <w:rFonts w:ascii="Times New Roman" w:hAnsi="Times New Roman" w:cs="Times New Roman"/>
          <w:sz w:val="20"/>
          <w:szCs w:val="20"/>
        </w:rPr>
      </w:pPr>
    </w:p>
    <w:p w14:paraId="6C0BEFE1" w14:textId="77777777" w:rsidR="00F608CF" w:rsidRDefault="00F608CF" w:rsidP="008D4869">
      <w:pPr>
        <w:ind w:left="0"/>
        <w:rPr>
          <w:rFonts w:ascii="Times New Roman" w:hAnsi="Times New Roman" w:cs="Times New Roman"/>
          <w:sz w:val="20"/>
          <w:szCs w:val="20"/>
        </w:rPr>
      </w:pPr>
    </w:p>
    <w:p w14:paraId="23424727" w14:textId="77777777" w:rsidR="00F608CF" w:rsidRPr="00F608CF" w:rsidRDefault="00F608CF" w:rsidP="008D4869">
      <w:pPr>
        <w:ind w:left="0"/>
        <w:rPr>
          <w:rFonts w:ascii="Times New Roman" w:hAnsi="Times New Roman" w:cs="Times New Roman"/>
          <w:sz w:val="20"/>
          <w:szCs w:val="20"/>
        </w:rPr>
      </w:pPr>
    </w:p>
    <w:sectPr w:rsidR="00F608CF" w:rsidRPr="00F608CF" w:rsidSect="00F608CF">
      <w:headerReference w:type="even" r:id="rId27"/>
      <w:headerReference w:type="default" r:id="rId28"/>
      <w:footerReference w:type="even" r:id="rId29"/>
      <w:footerReference w:type="default" r:id="rId30"/>
      <w:headerReference w:type="first" r:id="rId31"/>
      <w:footerReference w:type="first" r:id="rId32"/>
      <w:pgSz w:w="11906" w:h="16838" w:code="9"/>
      <w:pgMar w:top="1452" w:right="1560" w:bottom="1482" w:left="1560" w:header="720" w:footer="597"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D580E" w14:textId="77777777" w:rsidR="00D22DF7" w:rsidRDefault="00D22DF7">
      <w:pPr>
        <w:spacing w:after="0" w:line="240" w:lineRule="auto"/>
      </w:pPr>
      <w:r>
        <w:separator/>
      </w:r>
    </w:p>
  </w:endnote>
  <w:endnote w:type="continuationSeparator" w:id="0">
    <w:p w14:paraId="2777B639" w14:textId="77777777" w:rsidR="00D22DF7" w:rsidRDefault="00D22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3CE76" w14:textId="77777777" w:rsidR="00741531" w:rsidRDefault="00FF60BA">
    <w:pPr>
      <w:spacing w:after="0" w:line="259" w:lineRule="auto"/>
      <w:ind w:left="0" w:firstLine="0"/>
      <w:jc w:val="center"/>
    </w:pPr>
    <w:r>
      <w:fldChar w:fldCharType="begin"/>
    </w:r>
    <w:r>
      <w:instrText xml:space="preserve"> PAGE   \* MERGEFORMAT </w:instrText>
    </w:r>
    <w:r>
      <w:fldChar w:fldCharType="separate"/>
    </w:r>
    <w:r>
      <w:rPr>
        <w:color w:val="6E6E6E"/>
      </w:rPr>
      <w:t>1</w:t>
    </w:r>
    <w:r>
      <w:rPr>
        <w:color w:val="6E6E6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3610D" w14:textId="5169A63C" w:rsidR="00741531" w:rsidRDefault="00FF60BA">
    <w:pPr>
      <w:spacing w:after="0" w:line="259" w:lineRule="auto"/>
      <w:ind w:left="0" w:firstLine="0"/>
      <w:jc w:val="center"/>
    </w:pPr>
    <w:r>
      <w:fldChar w:fldCharType="begin"/>
    </w:r>
    <w:r>
      <w:instrText xml:space="preserve"> PAGE   \* MERGEFORMAT </w:instrText>
    </w:r>
    <w:r>
      <w:fldChar w:fldCharType="separate"/>
    </w:r>
    <w:r w:rsidR="00410129" w:rsidRPr="00410129">
      <w:rPr>
        <w:noProof/>
        <w:color w:val="6E6E6E"/>
      </w:rPr>
      <w:t>3</w:t>
    </w:r>
    <w:r>
      <w:rPr>
        <w:color w:val="6E6E6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1B05D" w14:textId="77777777" w:rsidR="00741531" w:rsidRDefault="00FF60BA">
    <w:pPr>
      <w:spacing w:after="0" w:line="259" w:lineRule="auto"/>
      <w:ind w:left="0" w:firstLine="0"/>
      <w:jc w:val="center"/>
    </w:pPr>
    <w:r>
      <w:fldChar w:fldCharType="begin"/>
    </w:r>
    <w:r>
      <w:instrText xml:space="preserve"> PAGE   \* MERGEFORMAT </w:instrText>
    </w:r>
    <w:r>
      <w:fldChar w:fldCharType="separate"/>
    </w:r>
    <w:r>
      <w:rPr>
        <w:color w:val="6E6E6E"/>
      </w:rPr>
      <w:t>1</w:t>
    </w:r>
    <w:r>
      <w:rPr>
        <w:color w:val="6E6E6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F6A06" w14:textId="77777777" w:rsidR="00D22DF7" w:rsidRDefault="00D22DF7">
      <w:pPr>
        <w:spacing w:after="0" w:line="240" w:lineRule="auto"/>
      </w:pPr>
      <w:r>
        <w:separator/>
      </w:r>
    </w:p>
  </w:footnote>
  <w:footnote w:type="continuationSeparator" w:id="0">
    <w:p w14:paraId="59C4C36A" w14:textId="77777777" w:rsidR="00D22DF7" w:rsidRDefault="00D22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E885B" w14:textId="6B5400E7" w:rsidR="006C6A0D" w:rsidRDefault="006C6A0D">
    <w:pPr>
      <w:pStyle w:val="Header"/>
    </w:pPr>
    <w:r>
      <w:rPr>
        <w:noProof/>
      </w:rPr>
      <w:pict w14:anchorId="3188E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4672" o:spid="_x0000_s2050" type="#_x0000_t136" style="position:absolute;left:0;text-align:left;margin-left:0;margin-top:0;width:521.05pt;height:98.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94066" w14:textId="73E2BACB" w:rsidR="006C6A0D" w:rsidRDefault="006C6A0D">
    <w:pPr>
      <w:pStyle w:val="Header"/>
    </w:pPr>
    <w:r>
      <w:rPr>
        <w:noProof/>
      </w:rPr>
      <w:pict w14:anchorId="4CC670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4673" o:spid="_x0000_s2051" type="#_x0000_t136" style="position:absolute;left:0;text-align:left;margin-left:0;margin-top:0;width:521.05pt;height:98.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72D04" w14:textId="4DE45D00" w:rsidR="006C6A0D" w:rsidRDefault="006C6A0D">
    <w:pPr>
      <w:pStyle w:val="Header"/>
    </w:pPr>
    <w:r>
      <w:rPr>
        <w:noProof/>
      </w:rPr>
      <w:pict w14:anchorId="38527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4671" o:spid="_x0000_s2049" type="#_x0000_t136" style="position:absolute;left:0;text-align:left;margin-left:0;margin-top:0;width:521.05pt;height:98.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24791D"/>
    <w:multiLevelType w:val="multilevel"/>
    <w:tmpl w:val="2ABCB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A82966"/>
    <w:multiLevelType w:val="hybridMultilevel"/>
    <w:tmpl w:val="B7D01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8E1939"/>
    <w:multiLevelType w:val="multilevel"/>
    <w:tmpl w:val="CD805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A43B7C"/>
    <w:multiLevelType w:val="hybridMultilevel"/>
    <w:tmpl w:val="84D42990"/>
    <w:lvl w:ilvl="0" w:tplc="01D6DB84">
      <w:start w:val="1"/>
      <w:numFmt w:val="decimal"/>
      <w:lvlText w:val="%1."/>
      <w:lvlJc w:val="left"/>
      <w:pPr>
        <w:ind w:left="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7180394">
      <w:start w:val="1"/>
      <w:numFmt w:val="lowerLetter"/>
      <w:lvlText w:val="%2"/>
      <w:lvlJc w:val="left"/>
      <w:pPr>
        <w:ind w:left="14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6682F02">
      <w:start w:val="1"/>
      <w:numFmt w:val="lowerRoman"/>
      <w:lvlText w:val="%3"/>
      <w:lvlJc w:val="left"/>
      <w:pPr>
        <w:ind w:left="22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8A0CC18">
      <w:start w:val="1"/>
      <w:numFmt w:val="decimal"/>
      <w:lvlText w:val="%4"/>
      <w:lvlJc w:val="left"/>
      <w:pPr>
        <w:ind w:left="29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1486F58">
      <w:start w:val="1"/>
      <w:numFmt w:val="lowerLetter"/>
      <w:lvlText w:val="%5"/>
      <w:lvlJc w:val="left"/>
      <w:pPr>
        <w:ind w:left="36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9B23F02">
      <w:start w:val="1"/>
      <w:numFmt w:val="lowerRoman"/>
      <w:lvlText w:val="%6"/>
      <w:lvlJc w:val="left"/>
      <w:pPr>
        <w:ind w:left="43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E3EAE62">
      <w:start w:val="1"/>
      <w:numFmt w:val="decimal"/>
      <w:lvlText w:val="%7"/>
      <w:lvlJc w:val="left"/>
      <w:pPr>
        <w:ind w:left="50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8901C8C">
      <w:start w:val="1"/>
      <w:numFmt w:val="lowerLetter"/>
      <w:lvlText w:val="%8"/>
      <w:lvlJc w:val="left"/>
      <w:pPr>
        <w:ind w:left="58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FF03836">
      <w:start w:val="1"/>
      <w:numFmt w:val="lowerRoman"/>
      <w:lvlText w:val="%9"/>
      <w:lvlJc w:val="left"/>
      <w:pPr>
        <w:ind w:left="65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49EE66FB"/>
    <w:multiLevelType w:val="hybridMultilevel"/>
    <w:tmpl w:val="A9663D38"/>
    <w:lvl w:ilvl="0" w:tplc="C9266950">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15:restartNumberingAfterBreak="0">
    <w:nsid w:val="65577CD5"/>
    <w:multiLevelType w:val="multilevel"/>
    <w:tmpl w:val="B5DAF388"/>
    <w:lvl w:ilvl="0">
      <w:start w:val="7"/>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start w:val="2"/>
      <w:numFmt w:val="decimal"/>
      <w:lvlRestart w:val="0"/>
      <w:lvlText w:val="%1.%2"/>
      <w:lvlJc w:val="left"/>
      <w:pPr>
        <w:ind w:left="7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6ED06B70"/>
    <w:multiLevelType w:val="multilevel"/>
    <w:tmpl w:val="E10E5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CE2240"/>
    <w:multiLevelType w:val="hybridMultilevel"/>
    <w:tmpl w:val="2E1C73BC"/>
    <w:lvl w:ilvl="0" w:tplc="780CD846">
      <w:start w:val="1"/>
      <w:numFmt w:val="decimal"/>
      <w:lvlText w:val="%1."/>
      <w:lvlJc w:val="left"/>
      <w:pPr>
        <w:ind w:left="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5324B18">
      <w:start w:val="1"/>
      <w:numFmt w:val="lowerLetter"/>
      <w:lvlText w:val="%2"/>
      <w:lvlJc w:val="left"/>
      <w:pPr>
        <w:ind w:left="14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AA8CBB2">
      <w:start w:val="1"/>
      <w:numFmt w:val="lowerRoman"/>
      <w:lvlText w:val="%3"/>
      <w:lvlJc w:val="left"/>
      <w:pPr>
        <w:ind w:left="22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5D6FC44">
      <w:start w:val="1"/>
      <w:numFmt w:val="decimal"/>
      <w:lvlText w:val="%4"/>
      <w:lvlJc w:val="left"/>
      <w:pPr>
        <w:ind w:left="29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76E7542">
      <w:start w:val="1"/>
      <w:numFmt w:val="lowerLetter"/>
      <w:lvlText w:val="%5"/>
      <w:lvlJc w:val="left"/>
      <w:pPr>
        <w:ind w:left="36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F2E3772">
      <w:start w:val="1"/>
      <w:numFmt w:val="lowerRoman"/>
      <w:lvlText w:val="%6"/>
      <w:lvlJc w:val="left"/>
      <w:pPr>
        <w:ind w:left="43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9125F62">
      <w:start w:val="1"/>
      <w:numFmt w:val="decimal"/>
      <w:lvlText w:val="%7"/>
      <w:lvlJc w:val="left"/>
      <w:pPr>
        <w:ind w:left="50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B0C8E84">
      <w:start w:val="1"/>
      <w:numFmt w:val="lowerLetter"/>
      <w:lvlText w:val="%8"/>
      <w:lvlJc w:val="left"/>
      <w:pPr>
        <w:ind w:left="58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154EFB6">
      <w:start w:val="1"/>
      <w:numFmt w:val="lowerRoman"/>
      <w:lvlText w:val="%9"/>
      <w:lvlJc w:val="left"/>
      <w:pPr>
        <w:ind w:left="65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774C7E94"/>
    <w:multiLevelType w:val="hybridMultilevel"/>
    <w:tmpl w:val="8FA2C184"/>
    <w:lvl w:ilvl="0" w:tplc="7F24F56E">
      <w:start w:val="1"/>
      <w:numFmt w:val="decimal"/>
      <w:lvlText w:val="%1."/>
      <w:lvlJc w:val="left"/>
      <w:pPr>
        <w:ind w:left="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13C99C0">
      <w:start w:val="1"/>
      <w:numFmt w:val="lowerLetter"/>
      <w:lvlText w:val="%2"/>
      <w:lvlJc w:val="left"/>
      <w:pPr>
        <w:ind w:left="14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F38B558">
      <w:start w:val="1"/>
      <w:numFmt w:val="lowerRoman"/>
      <w:lvlText w:val="%3"/>
      <w:lvlJc w:val="left"/>
      <w:pPr>
        <w:ind w:left="22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FFEAFC2">
      <w:start w:val="1"/>
      <w:numFmt w:val="decimal"/>
      <w:lvlText w:val="%4"/>
      <w:lvlJc w:val="left"/>
      <w:pPr>
        <w:ind w:left="29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1D01FBA">
      <w:start w:val="1"/>
      <w:numFmt w:val="lowerLetter"/>
      <w:lvlText w:val="%5"/>
      <w:lvlJc w:val="left"/>
      <w:pPr>
        <w:ind w:left="36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1C6CBB8">
      <w:start w:val="1"/>
      <w:numFmt w:val="lowerRoman"/>
      <w:lvlText w:val="%6"/>
      <w:lvlJc w:val="left"/>
      <w:pPr>
        <w:ind w:left="43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0A84542">
      <w:start w:val="1"/>
      <w:numFmt w:val="decimal"/>
      <w:lvlText w:val="%7"/>
      <w:lvlJc w:val="left"/>
      <w:pPr>
        <w:ind w:left="50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F025E94">
      <w:start w:val="1"/>
      <w:numFmt w:val="lowerLetter"/>
      <w:lvlText w:val="%8"/>
      <w:lvlJc w:val="left"/>
      <w:pPr>
        <w:ind w:left="58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A82A8C6">
      <w:start w:val="1"/>
      <w:numFmt w:val="lowerRoman"/>
      <w:lvlText w:val="%9"/>
      <w:lvlJc w:val="left"/>
      <w:pPr>
        <w:ind w:left="65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8"/>
  </w:num>
  <w:num w:numId="2">
    <w:abstractNumId w:val="3"/>
  </w:num>
  <w:num w:numId="3">
    <w:abstractNumId w:val="5"/>
  </w:num>
  <w:num w:numId="4">
    <w:abstractNumId w:val="7"/>
  </w:num>
  <w:num w:numId="5">
    <w:abstractNumId w:val="6"/>
  </w:num>
  <w:num w:numId="6">
    <w:abstractNumId w:val="0"/>
  </w:num>
  <w:num w:numId="7">
    <w:abstractNumId w:val="1"/>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AyNDUyN7A0MTAwtTRW0lEKTi0uzszPAykwrAUAVIPW3iwAAAA="/>
  </w:docVars>
  <w:rsids>
    <w:rsidRoot w:val="00741531"/>
    <w:rsid w:val="00001BDA"/>
    <w:rsid w:val="00047EF5"/>
    <w:rsid w:val="00076661"/>
    <w:rsid w:val="0007776C"/>
    <w:rsid w:val="00110BC0"/>
    <w:rsid w:val="00116359"/>
    <w:rsid w:val="001270E4"/>
    <w:rsid w:val="00157D3D"/>
    <w:rsid w:val="00167996"/>
    <w:rsid w:val="00171FBA"/>
    <w:rsid w:val="00176796"/>
    <w:rsid w:val="001C011A"/>
    <w:rsid w:val="00237387"/>
    <w:rsid w:val="002B242F"/>
    <w:rsid w:val="00370CE3"/>
    <w:rsid w:val="00371E01"/>
    <w:rsid w:val="00374976"/>
    <w:rsid w:val="003916C7"/>
    <w:rsid w:val="003953C3"/>
    <w:rsid w:val="003D2B7E"/>
    <w:rsid w:val="00404388"/>
    <w:rsid w:val="00410129"/>
    <w:rsid w:val="00412EE5"/>
    <w:rsid w:val="004132A7"/>
    <w:rsid w:val="004719A7"/>
    <w:rsid w:val="00482810"/>
    <w:rsid w:val="004A3758"/>
    <w:rsid w:val="004C45DA"/>
    <w:rsid w:val="004D6F78"/>
    <w:rsid w:val="005101A0"/>
    <w:rsid w:val="00511279"/>
    <w:rsid w:val="00530C5C"/>
    <w:rsid w:val="00554244"/>
    <w:rsid w:val="00573ACC"/>
    <w:rsid w:val="005844CD"/>
    <w:rsid w:val="005914EF"/>
    <w:rsid w:val="00591D7F"/>
    <w:rsid w:val="005A3D72"/>
    <w:rsid w:val="005F733B"/>
    <w:rsid w:val="00600991"/>
    <w:rsid w:val="00633E84"/>
    <w:rsid w:val="00653E31"/>
    <w:rsid w:val="006C6A0D"/>
    <w:rsid w:val="006D35A2"/>
    <w:rsid w:val="0070568E"/>
    <w:rsid w:val="00715684"/>
    <w:rsid w:val="007305E9"/>
    <w:rsid w:val="00741531"/>
    <w:rsid w:val="007958E1"/>
    <w:rsid w:val="007D22AB"/>
    <w:rsid w:val="007E2270"/>
    <w:rsid w:val="00837359"/>
    <w:rsid w:val="008A72D8"/>
    <w:rsid w:val="008D4869"/>
    <w:rsid w:val="008E1B40"/>
    <w:rsid w:val="00901B26"/>
    <w:rsid w:val="00995E64"/>
    <w:rsid w:val="00A27E7C"/>
    <w:rsid w:val="00A56B5D"/>
    <w:rsid w:val="00AA5CBD"/>
    <w:rsid w:val="00B12CB9"/>
    <w:rsid w:val="00B3483C"/>
    <w:rsid w:val="00B43A3A"/>
    <w:rsid w:val="00B53F48"/>
    <w:rsid w:val="00BA7D66"/>
    <w:rsid w:val="00BB53F1"/>
    <w:rsid w:val="00BC5C8E"/>
    <w:rsid w:val="00BD3C8F"/>
    <w:rsid w:val="00C22FE0"/>
    <w:rsid w:val="00C33514"/>
    <w:rsid w:val="00C433B0"/>
    <w:rsid w:val="00C51C08"/>
    <w:rsid w:val="00C94690"/>
    <w:rsid w:val="00D22DF7"/>
    <w:rsid w:val="00DA6C56"/>
    <w:rsid w:val="00DF508F"/>
    <w:rsid w:val="00DF71D7"/>
    <w:rsid w:val="00E301BF"/>
    <w:rsid w:val="00E61C0F"/>
    <w:rsid w:val="00E75423"/>
    <w:rsid w:val="00E956D2"/>
    <w:rsid w:val="00EC4E45"/>
    <w:rsid w:val="00EC51EB"/>
    <w:rsid w:val="00ED199D"/>
    <w:rsid w:val="00EE2539"/>
    <w:rsid w:val="00F374AB"/>
    <w:rsid w:val="00F5104E"/>
    <w:rsid w:val="00F608CF"/>
    <w:rsid w:val="00FB3200"/>
    <w:rsid w:val="00FF6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CBA7E3"/>
  <w15:docId w15:val="{8FC0B627-9912-46D0-B05E-41EF28DE6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98" w:line="295" w:lineRule="auto"/>
      <w:ind w:left="10" w:hanging="10"/>
      <w:jc w:val="both"/>
    </w:pPr>
    <w:rPr>
      <w:rFonts w:ascii="Calibri" w:eastAsia="Calibri" w:hAnsi="Calibri" w:cs="Calibri"/>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D3D"/>
    <w:pPr>
      <w:ind w:left="720"/>
      <w:contextualSpacing/>
    </w:pPr>
  </w:style>
  <w:style w:type="table" w:styleId="TableGrid">
    <w:name w:val="Table Grid"/>
    <w:basedOn w:val="TableNormal"/>
    <w:uiPriority w:val="39"/>
    <w:rsid w:val="008E1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104E"/>
    <w:rPr>
      <w:color w:val="0563C1" w:themeColor="hyperlink"/>
      <w:u w:val="single"/>
    </w:rPr>
  </w:style>
  <w:style w:type="character" w:customStyle="1" w:styleId="UnresolvedMention1">
    <w:name w:val="Unresolved Mention1"/>
    <w:basedOn w:val="DefaultParagraphFont"/>
    <w:uiPriority w:val="99"/>
    <w:semiHidden/>
    <w:unhideWhenUsed/>
    <w:rsid w:val="00F5104E"/>
    <w:rPr>
      <w:color w:val="605E5C"/>
      <w:shd w:val="clear" w:color="auto" w:fill="E1DFDD"/>
    </w:rPr>
  </w:style>
  <w:style w:type="paragraph" w:styleId="Header">
    <w:name w:val="header"/>
    <w:basedOn w:val="Normal"/>
    <w:link w:val="HeaderChar"/>
    <w:uiPriority w:val="99"/>
    <w:unhideWhenUsed/>
    <w:rsid w:val="006C6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A0D"/>
    <w:rPr>
      <w:rFonts w:ascii="Calibri" w:eastAsia="Calibri" w:hAnsi="Calibri" w:cs="Calibri"/>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38/s41598-025-86552-4" TargetMode="External"/><Relationship Id="rId18" Type="http://schemas.openxmlformats.org/officeDocument/2006/relationships/hyperlink" Target="https://doi.org/10.1016/j.scienta.2021.110259" TargetMode="External"/><Relationship Id="rId26" Type="http://schemas.openxmlformats.org/officeDocument/2006/relationships/hyperlink" Target="https://doi.org/10.56093/ijas.v91i5.111111" TargetMode="External"/><Relationship Id="rId3" Type="http://schemas.openxmlformats.org/officeDocument/2006/relationships/styles" Target="styles.xml"/><Relationship Id="rId21" Type="http://schemas.openxmlformats.org/officeDocument/2006/relationships/hyperlink" Target="https://doi.org/10.1007/s00484-020-01912-5"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5958/0974-0112.2019.00095.2" TargetMode="External"/><Relationship Id="rId17" Type="http://schemas.openxmlformats.org/officeDocument/2006/relationships/hyperlink" Target="https://doi.org/10.1016/j.biocontrol.2023.105143" TargetMode="External"/><Relationship Id="rId25" Type="http://schemas.openxmlformats.org/officeDocument/2006/relationships/hyperlink" Target="https://doi.org/10.1111/ppl.1425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scienta.2024.113329" TargetMode="External"/><Relationship Id="rId20" Type="http://schemas.openxmlformats.org/officeDocument/2006/relationships/hyperlink" Target="https://doi.org/10.1007/s11027-024-10125-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11/jen.13245" TargetMode="External"/><Relationship Id="rId24" Type="http://schemas.openxmlformats.org/officeDocument/2006/relationships/hyperlink" Target="https://doi.org/10.1016/j.crm.2022.100396"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07/s11295-024-01645-2" TargetMode="External"/><Relationship Id="rId23" Type="http://schemas.openxmlformats.org/officeDocument/2006/relationships/hyperlink" Target="https://doi.org/10.5958/0974-0112.2021.00035.7" TargetMode="External"/><Relationship Id="rId28" Type="http://schemas.openxmlformats.org/officeDocument/2006/relationships/header" Target="header2.xml"/><Relationship Id="rId10" Type="http://schemas.openxmlformats.org/officeDocument/2006/relationships/hyperlink" Target="https://doi.org/10.1007/s00267-013-0092-2" TargetMode="External"/><Relationship Id="rId19" Type="http://schemas.openxmlformats.org/officeDocument/2006/relationships/hyperlink" Target="https://doi.org/10.1016/j.agwat.2018.02.008"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doi.org/10.1016/j.scienta.2020.109702" TargetMode="External"/><Relationship Id="rId14" Type="http://schemas.openxmlformats.org/officeDocument/2006/relationships/hyperlink" Target="https://doi.org/10.1016/j.crm.2023.100472" TargetMode="External"/><Relationship Id="rId22" Type="http://schemas.openxmlformats.org/officeDocument/2006/relationships/hyperlink" Target="https://doi.org/10.1016/j.agrformet.2023.109305"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2D87A1-14DF-45A8-8F79-3D9BAA072B41}">
  <we:reference id="wa104382081" version="1.55.1.0" store="en-US" storeType="OMEX"/>
  <we:alternateReferences>
    <we:reference id="WA104382081" version="1.55.1.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EF527-438E-4990-B7C4-12F5C3EF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5052</Words>
  <Characters>28798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Climate Change And Sustainable Apple Production Review Paper</vt:lpstr>
    </vt:vector>
  </TitlesOfParts>
  <Company/>
  <LinksUpToDate>false</LinksUpToDate>
  <CharactersWithSpaces>33783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 And Sustainable Apple Production Review Paper</dc:title>
  <dc:subject/>
  <dc:creator>sujal sithta</dc:creator>
  <cp:keywords/>
  <dc:description/>
  <cp:lastModifiedBy>SDI 1084</cp:lastModifiedBy>
  <cp:revision>8</cp:revision>
  <cp:lastPrinted>2026-03-22T14:44:00Z</cp:lastPrinted>
  <dcterms:created xsi:type="dcterms:W3CDTF">2026-04-09T07:07:00Z</dcterms:created>
  <dcterms:modified xsi:type="dcterms:W3CDTF">2026-04-10T09:29:00Z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3930669e-58b7-45de-bfbc-aa0b8a50a75c</vt:lpwstr>
  </property>
  <property fmtid="{D5CDD505-2E9C-101B-9397-08002B2CF9AE}" pid="3" name="Mendeley Recent Style Id 0_1">
    <vt:lpwstr>http://www.zotero.org/styles/american-medical-association</vt:lpwstr>
  </property>
  <property fmtid="{D5CDD505-2E9C-101B-9397-08002B2CF9AE}" pid="4" name="Mendeley Recent Style Name 0_1">
    <vt:lpwstr>AMA Manual of Style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APSA Style Manual revised 2018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ASA Style Guide 6th/7th edition</vt:lpwstr>
  </property>
  <property fmtid="{D5CDD505-2E9C-101B-9397-08002B2CF9AE}" pid="9" name="Mendeley Recent Style Id 3_1">
    <vt:lpwstr>http://www.zotero.org/styles/apa</vt:lpwstr>
  </property>
  <property fmtid="{D5CDD505-2E9C-101B-9397-08002B2CF9AE}" pid="10" name="Mendeley Recent Style Name 3_1">
    <vt:lpwstr>American Psychological Association 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18th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(author-date/Harvard)</vt:lpwstr>
  </property>
  <property fmtid="{D5CDD505-2E9C-101B-9397-08002B2CF9AE}" pid="15" name="Mendeley Recent Style Id 6_1">
    <vt:lpwstr>http://www.zotero.org/styles/ieee</vt:lpwstr>
  </property>
  <property fmtid="{D5CDD505-2E9C-101B-9397-08002B2CF9AE}" pid="16" name="Mendeley Recent Style Name 6_1">
    <vt:lpwstr>IEEE Reference Guide version 11.29.2023</vt:lpwstr>
  </property>
  <property fmtid="{D5CDD505-2E9C-101B-9397-08002B2CF9AE}" pid="17" name="Mendeley Recent Style Id 7_1">
    <vt:lpwstr>http://www.zotero.org/styles/modern-language-association</vt:lpwstr>
  </property>
  <property fmtid="{D5CDD505-2E9C-101B-9397-08002B2CF9AE}" pid="18" name="Mendeley Recent Style Name 7_1">
    <vt:lpwstr>MLA Handbook 9th edition (in-text citations)</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Citation Style_1">
    <vt:lpwstr>http://www.zotero.org/styles/harvard-cite-them-right</vt:lpwstr>
  </property>
  <property fmtid="{D5CDD505-2E9C-101B-9397-08002B2CF9AE}" pid="25" name="Mendeley Unique User Id_1">
    <vt:lpwstr>d08b639d-fc5d-3724-9468-5ab2afda900a</vt:lpwstr>
  </property>
</Properties>
</file>