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10296" w14:textId="729DFD4B" w:rsidR="005C5F90" w:rsidRPr="00ED0D52" w:rsidRDefault="005C5F90" w:rsidP="00815A2D">
      <w:pPr>
        <w:spacing w:after="0" w:line="276" w:lineRule="auto"/>
        <w:jc w:val="both"/>
        <w:rPr>
          <w:rFonts w:ascii="Times New Roman" w:hAnsi="Times New Roman" w:cs="Times New Roman"/>
          <w:sz w:val="24"/>
          <w:szCs w:val="24"/>
        </w:rPr>
      </w:pPr>
    </w:p>
    <w:p w14:paraId="194D1AFF" w14:textId="77777777" w:rsidR="005C5F90" w:rsidRDefault="007E597B" w:rsidP="00815A2D">
      <w:pPr>
        <w:spacing w:before="157" w:after="157" w:line="276" w:lineRule="auto"/>
        <w:jc w:val="both"/>
        <w:rPr>
          <w:rFonts w:ascii="Times New Roman" w:eastAsia="Georgia" w:hAnsi="Times New Roman" w:cs="Times New Roman"/>
          <w:b/>
          <w:color w:val="000000"/>
          <w:sz w:val="24"/>
          <w:szCs w:val="24"/>
        </w:rPr>
      </w:pPr>
      <w:bookmarkStart w:id="0" w:name="differential_urea_application_mod_8bb927"/>
      <w:r w:rsidRPr="00ED0D52">
        <w:rPr>
          <w:rFonts w:ascii="Times New Roman" w:eastAsia="Georgia" w:hAnsi="Times New Roman" w:cs="Times New Roman"/>
          <w:b/>
          <w:color w:val="000000"/>
          <w:sz w:val="24"/>
          <w:szCs w:val="24"/>
        </w:rPr>
        <w:t>Differential urea application modifies physicochemical properties, nitrogen transformation, microbial populations, and enzyme activities in an acidic soil</w:t>
      </w:r>
      <w:bookmarkEnd w:id="0"/>
    </w:p>
    <w:p w14:paraId="088E2750" w14:textId="77777777" w:rsidR="001C3C01" w:rsidRDefault="001C3C01" w:rsidP="00815A2D">
      <w:pPr>
        <w:spacing w:before="315" w:after="105" w:line="276" w:lineRule="auto"/>
        <w:ind w:left="-30"/>
        <w:jc w:val="both"/>
        <w:rPr>
          <w:rFonts w:ascii="Times New Roman" w:eastAsia="Georgia" w:hAnsi="Times New Roman" w:cs="Times New Roman"/>
          <w:b/>
          <w:color w:val="000000"/>
          <w:sz w:val="24"/>
          <w:szCs w:val="24"/>
        </w:rPr>
      </w:pPr>
      <w:bookmarkStart w:id="1" w:name="abstract"/>
    </w:p>
    <w:p w14:paraId="5EF1E234" w14:textId="77777777" w:rsidR="001C3C01" w:rsidRDefault="001C3C01" w:rsidP="00815A2D">
      <w:pPr>
        <w:spacing w:before="315" w:after="105" w:line="276" w:lineRule="auto"/>
        <w:ind w:left="-30"/>
        <w:jc w:val="both"/>
        <w:rPr>
          <w:rFonts w:ascii="Times New Roman" w:eastAsia="Georgia" w:hAnsi="Times New Roman" w:cs="Times New Roman"/>
          <w:b/>
          <w:color w:val="000000"/>
          <w:sz w:val="24"/>
          <w:szCs w:val="24"/>
        </w:rPr>
      </w:pPr>
    </w:p>
    <w:p w14:paraId="3E116EB2" w14:textId="5086D04C" w:rsidR="005C5F90" w:rsidRPr="00ED0D52" w:rsidRDefault="007E597B" w:rsidP="00815A2D">
      <w:pPr>
        <w:spacing w:before="315" w:after="105" w:line="276" w:lineRule="auto"/>
        <w:ind w:left="-30"/>
        <w:jc w:val="both"/>
        <w:rPr>
          <w:rFonts w:ascii="Times New Roman" w:hAnsi="Times New Roman" w:cs="Times New Roman"/>
          <w:sz w:val="24"/>
          <w:szCs w:val="24"/>
        </w:rPr>
      </w:pPr>
      <w:r w:rsidRPr="00ED0D52">
        <w:rPr>
          <w:rFonts w:ascii="Times New Roman" w:eastAsia="Georgia" w:hAnsi="Times New Roman" w:cs="Times New Roman"/>
          <w:b/>
          <w:color w:val="000000"/>
          <w:sz w:val="24"/>
          <w:szCs w:val="24"/>
        </w:rPr>
        <w:t>Abstract</w:t>
      </w:r>
      <w:bookmarkEnd w:id="1"/>
    </w:p>
    <w:p w14:paraId="0150DD88" w14:textId="5B409CB0" w:rsidR="005C5F90" w:rsidRPr="00ED0D52" w:rsidRDefault="007E597B" w:rsidP="00815A2D">
      <w:pPr>
        <w:spacing w:after="210" w:line="276"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 xml:space="preserve">Nitrogen fertilization with urea profoundly alters soil acidity, mineral nitrogen dynamics, and microbial activity, particularly in acidic soils where nitrification-mediated proton release influences fertility and </w:t>
      </w:r>
      <w:proofErr w:type="spellStart"/>
      <w:proofErr w:type="gramStart"/>
      <w:r w:rsidRPr="00ED0D52">
        <w:rPr>
          <w:rFonts w:ascii="Times New Roman" w:eastAsia="Georgia" w:hAnsi="Times New Roman" w:cs="Times New Roman"/>
          <w:color w:val="000000"/>
          <w:sz w:val="24"/>
          <w:szCs w:val="24"/>
        </w:rPr>
        <w:t>biological</w:t>
      </w:r>
      <w:r w:rsidR="00122E0A" w:rsidRPr="00ED0D52">
        <w:rPr>
          <w:rFonts w:ascii="Times New Roman" w:eastAsia="Georgia" w:hAnsi="Times New Roman" w:cs="Times New Roman"/>
          <w:color w:val="000000"/>
          <w:sz w:val="24"/>
          <w:szCs w:val="24"/>
        </w:rPr>
        <w:t>.</w:t>
      </w:r>
      <w:r w:rsidRPr="00ED0D52">
        <w:rPr>
          <w:rFonts w:ascii="Times New Roman" w:eastAsia="Georgia" w:hAnsi="Times New Roman" w:cs="Times New Roman"/>
          <w:color w:val="000000"/>
          <w:sz w:val="24"/>
          <w:szCs w:val="24"/>
        </w:rPr>
        <w:t>The</w:t>
      </w:r>
      <w:proofErr w:type="spellEnd"/>
      <w:proofErr w:type="gramEnd"/>
      <w:r w:rsidRPr="00ED0D52">
        <w:rPr>
          <w:rFonts w:ascii="Times New Roman" w:eastAsia="Georgia" w:hAnsi="Times New Roman" w:cs="Times New Roman"/>
          <w:color w:val="000000"/>
          <w:sz w:val="24"/>
          <w:szCs w:val="24"/>
        </w:rPr>
        <w:t xml:space="preserve"> present study evaluated effects of three urea levels (0, 0.1, and 0.2%) on physicochemical properties, mineral nitrogen pools, microbial populations, enzyme activities, and early plant growth responses in acidic </w:t>
      </w:r>
      <w:r w:rsidR="0060425F" w:rsidRPr="00ED0D52">
        <w:rPr>
          <w:rFonts w:ascii="Times New Roman" w:eastAsia="Georgia" w:hAnsi="Times New Roman" w:cs="Times New Roman"/>
          <w:color w:val="000000"/>
          <w:sz w:val="24"/>
          <w:szCs w:val="24"/>
        </w:rPr>
        <w:t>soil.</w:t>
      </w:r>
      <w:r w:rsidRPr="00ED0D52">
        <w:rPr>
          <w:rFonts w:ascii="Times New Roman" w:eastAsia="Georgia" w:hAnsi="Times New Roman" w:cs="Times New Roman"/>
          <w:color w:val="000000"/>
          <w:sz w:val="24"/>
          <w:szCs w:val="24"/>
        </w:rPr>
        <w:t xml:space="preserve"> Urea increased soil pH from 5.51 (control) to 5.59 and 5.71, electrical conductivity from 0.22 to 0.36 and 0.44 </w:t>
      </w:r>
      <w:proofErr w:type="spellStart"/>
      <w:r w:rsidRPr="00ED0D52">
        <w:rPr>
          <w:rFonts w:ascii="Times New Roman" w:eastAsia="Georgia" w:hAnsi="Times New Roman" w:cs="Times New Roman"/>
          <w:color w:val="000000"/>
          <w:sz w:val="24"/>
          <w:szCs w:val="24"/>
        </w:rPr>
        <w:t>dS</w:t>
      </w:r>
      <w:proofErr w:type="spellEnd"/>
      <w:r w:rsidRPr="00ED0D52">
        <w:rPr>
          <w:rFonts w:ascii="Times New Roman" w:eastAsia="Georgia" w:hAnsi="Times New Roman" w:cs="Times New Roman"/>
          <w:color w:val="000000"/>
          <w:sz w:val="24"/>
          <w:szCs w:val="24"/>
        </w:rPr>
        <w:t xml:space="preserve"> m⁻¹, and cation exchange capacity from 6.29 to 7.12 and 7.99 </w:t>
      </w:r>
      <w:proofErr w:type="spellStart"/>
      <w:r w:rsidRPr="00ED0D52">
        <w:rPr>
          <w:rFonts w:ascii="Times New Roman" w:eastAsia="Georgia" w:hAnsi="Times New Roman" w:cs="Times New Roman"/>
          <w:color w:val="000000"/>
          <w:sz w:val="24"/>
          <w:szCs w:val="24"/>
        </w:rPr>
        <w:t>cmol</w:t>
      </w:r>
      <w:proofErr w:type="spellEnd"/>
      <w:r w:rsidRPr="00ED0D52">
        <w:rPr>
          <w:rFonts w:ascii="Times New Roman" w:eastAsia="Georgia" w:hAnsi="Times New Roman" w:cs="Times New Roman"/>
          <w:color w:val="000000"/>
          <w:sz w:val="24"/>
          <w:szCs w:val="24"/>
        </w:rPr>
        <w:t xml:space="preserve"> kg⁻¹. Mineral N pools rose progressively, with ammonium increasing from 12.70 to 18.72 and 23.47 mg kg⁻¹ and nitrate from 21.92 to 28.75 and 33.47 mg kg⁻¹</w:t>
      </w:r>
      <w:r w:rsidR="004876DA" w:rsidRPr="00ED0D52">
        <w:rPr>
          <w:rFonts w:ascii="Times New Roman" w:eastAsia="Georgia" w:hAnsi="Times New Roman" w:cs="Times New Roman"/>
          <w:color w:val="000000"/>
          <w:sz w:val="24"/>
          <w:szCs w:val="24"/>
        </w:rPr>
        <w:t>.</w:t>
      </w:r>
      <w:r w:rsidR="00642F49" w:rsidRPr="00ED0D52">
        <w:rPr>
          <w:rFonts w:ascii="Times New Roman" w:hAnsi="Times New Roman" w:cs="Times New Roman"/>
          <w:sz w:val="24"/>
          <w:szCs w:val="24"/>
        </w:rPr>
        <w:t xml:space="preserve"> </w:t>
      </w:r>
      <w:r w:rsidRPr="00ED0D52">
        <w:rPr>
          <w:rFonts w:ascii="Times New Roman" w:eastAsia="Georgia" w:hAnsi="Times New Roman" w:cs="Times New Roman"/>
          <w:color w:val="000000"/>
          <w:sz w:val="24"/>
          <w:szCs w:val="24"/>
        </w:rPr>
        <w:t>Microbial indicators showed directional responses: bacterial counts increased from 40.25 to 44.50 while saprophytic fungi declined from 30.00 to 27.75</w:t>
      </w:r>
      <w:r w:rsidR="00424D80">
        <w:rPr>
          <w:rFonts w:ascii="Times New Roman" w:eastAsia="Georgia" w:hAnsi="Times New Roman" w:cs="Times New Roman"/>
          <w:color w:val="000000"/>
          <w:sz w:val="24"/>
          <w:szCs w:val="24"/>
        </w:rPr>
        <w:t>.</w:t>
      </w:r>
      <w:r w:rsidRPr="00ED0D52">
        <w:rPr>
          <w:rFonts w:ascii="Times New Roman" w:eastAsia="Georgia" w:hAnsi="Times New Roman" w:cs="Times New Roman"/>
          <w:color w:val="000000"/>
          <w:sz w:val="24"/>
          <w:szCs w:val="24"/>
        </w:rPr>
        <w:t xml:space="preserve"> Urease, dehydrogenase, and FDA hydrolysis increased with urea dose, indicating enhanced microbial </w:t>
      </w:r>
      <w:r w:rsidR="00FC1A96" w:rsidRPr="00ED0D52">
        <w:rPr>
          <w:rFonts w:ascii="Times New Roman" w:eastAsia="Georgia" w:hAnsi="Times New Roman" w:cs="Times New Roman"/>
          <w:color w:val="000000"/>
          <w:sz w:val="24"/>
          <w:szCs w:val="24"/>
        </w:rPr>
        <w:t>activity.</w:t>
      </w:r>
      <w:r w:rsidR="00642F49" w:rsidRPr="00ED0D52">
        <w:rPr>
          <w:rFonts w:ascii="Times New Roman" w:eastAsia="Georgia" w:hAnsi="Times New Roman" w:cs="Times New Roman"/>
          <w:color w:val="000000"/>
          <w:sz w:val="24"/>
          <w:szCs w:val="24"/>
        </w:rPr>
        <w:t xml:space="preserve"> </w:t>
      </w:r>
      <w:r w:rsidRPr="00ED0D52">
        <w:rPr>
          <w:rFonts w:ascii="Times New Roman" w:eastAsia="Georgia" w:hAnsi="Times New Roman" w:cs="Times New Roman"/>
          <w:color w:val="000000"/>
          <w:sz w:val="24"/>
          <w:szCs w:val="24"/>
        </w:rPr>
        <w:t>Shoot and root lengths improved significantly, suggesting enhanced early plant establishment. These findings demonstrate that moderate urea addition stimulates biological activity and N availability but the nitrate increase signals potential long-term acidification risk</w:t>
      </w:r>
      <w:r w:rsidR="00642F49" w:rsidRPr="00ED0D52">
        <w:rPr>
          <w:rFonts w:ascii="Times New Roman" w:eastAsia="Georgia" w:hAnsi="Times New Roman" w:cs="Times New Roman"/>
          <w:color w:val="000000"/>
          <w:sz w:val="24"/>
          <w:szCs w:val="24"/>
        </w:rPr>
        <w:t>.</w:t>
      </w:r>
    </w:p>
    <w:p w14:paraId="164F6275" w14:textId="2B0DA524" w:rsidR="005C5F90" w:rsidRPr="00ED0D52" w:rsidRDefault="007E597B" w:rsidP="00815A2D">
      <w:pPr>
        <w:spacing w:after="210" w:line="276" w:lineRule="auto"/>
        <w:jc w:val="both"/>
        <w:rPr>
          <w:rFonts w:ascii="Times New Roman" w:hAnsi="Times New Roman" w:cs="Times New Roman"/>
          <w:sz w:val="24"/>
          <w:szCs w:val="24"/>
        </w:rPr>
      </w:pPr>
      <w:r w:rsidRPr="00ED0D52">
        <w:rPr>
          <w:rFonts w:ascii="Times New Roman" w:eastAsia="Georgia" w:hAnsi="Times New Roman" w:cs="Times New Roman"/>
          <w:b/>
          <w:color w:val="000000"/>
          <w:sz w:val="24"/>
          <w:szCs w:val="24"/>
        </w:rPr>
        <w:t>Keywords:</w:t>
      </w:r>
      <w:r w:rsidRPr="00ED0D52">
        <w:rPr>
          <w:rFonts w:ascii="Times New Roman" w:eastAsia="Georgia" w:hAnsi="Times New Roman" w:cs="Times New Roman"/>
          <w:color w:val="000000"/>
          <w:sz w:val="24"/>
          <w:szCs w:val="24"/>
        </w:rPr>
        <w:t xml:space="preserve"> </w:t>
      </w:r>
      <w:r w:rsidR="00642F49" w:rsidRPr="00ED0D52">
        <w:rPr>
          <w:rFonts w:ascii="Times New Roman" w:eastAsia="Georgia" w:hAnsi="Times New Roman" w:cs="Times New Roman"/>
          <w:color w:val="000000"/>
          <w:sz w:val="24"/>
          <w:szCs w:val="24"/>
        </w:rPr>
        <w:t>A</w:t>
      </w:r>
      <w:r w:rsidRPr="00ED0D52">
        <w:rPr>
          <w:rFonts w:ascii="Times New Roman" w:eastAsia="Georgia" w:hAnsi="Times New Roman" w:cs="Times New Roman"/>
          <w:color w:val="000000"/>
          <w:sz w:val="24"/>
          <w:szCs w:val="24"/>
        </w:rPr>
        <w:t>cidic soil, urea, nitrification, soil enzymes, microbial populations, soil fertility</w:t>
      </w:r>
    </w:p>
    <w:p w14:paraId="7E80D0E2" w14:textId="77777777" w:rsidR="005C5F90" w:rsidRPr="00ED0D52" w:rsidRDefault="007E597B" w:rsidP="00815A2D">
      <w:pPr>
        <w:spacing w:before="315" w:after="105" w:line="276" w:lineRule="auto"/>
        <w:ind w:left="-30"/>
        <w:jc w:val="both"/>
        <w:rPr>
          <w:rFonts w:ascii="Times New Roman" w:hAnsi="Times New Roman" w:cs="Times New Roman"/>
          <w:sz w:val="24"/>
          <w:szCs w:val="24"/>
        </w:rPr>
      </w:pPr>
      <w:bookmarkStart w:id="2" w:name="introduction"/>
      <w:r w:rsidRPr="00ED0D52">
        <w:rPr>
          <w:rFonts w:ascii="Times New Roman" w:eastAsia="Georgia" w:hAnsi="Times New Roman" w:cs="Times New Roman"/>
          <w:b/>
          <w:color w:val="000000"/>
          <w:sz w:val="24"/>
          <w:szCs w:val="24"/>
        </w:rPr>
        <w:t>Introduction</w:t>
      </w:r>
      <w:bookmarkEnd w:id="2"/>
    </w:p>
    <w:p w14:paraId="2303B4BA" w14:textId="6036AEE1" w:rsidR="00ED0D52" w:rsidRPr="00ED0D52" w:rsidRDefault="00ED0D52" w:rsidP="00815A2D">
      <w:pPr>
        <w:spacing w:after="210" w:line="360"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 xml:space="preserve">Soil acidity is a major constraint to crop productivity because it impairs nutrient availability, reduces microbial functional stability, and may increase toxic forms of aluminum and manganese </w:t>
      </w:r>
      <w:r w:rsidR="00C501C4">
        <w:rPr>
          <w:rFonts w:ascii="Times New Roman" w:eastAsia="Georgia" w:hAnsi="Times New Roman" w:cs="Times New Roman"/>
          <w:color w:val="000000"/>
          <w:sz w:val="24"/>
          <w:szCs w:val="24"/>
        </w:rPr>
        <w:t>(</w:t>
      </w:r>
      <w:proofErr w:type="spellStart"/>
      <w:r w:rsidR="00C501C4" w:rsidRPr="00C501C4">
        <w:rPr>
          <w:rFonts w:ascii="Times New Roman" w:eastAsia="Georgia" w:hAnsi="Times New Roman" w:cs="Times New Roman"/>
          <w:color w:val="000000"/>
          <w:sz w:val="24"/>
          <w:szCs w:val="24"/>
        </w:rPr>
        <w:t>Warke</w:t>
      </w:r>
      <w:proofErr w:type="spellEnd"/>
      <w:r w:rsidR="00C501C4" w:rsidRPr="00C501C4">
        <w:rPr>
          <w:rFonts w:ascii="Times New Roman" w:eastAsia="Georgia" w:hAnsi="Times New Roman" w:cs="Times New Roman"/>
          <w:color w:val="000000"/>
          <w:sz w:val="24"/>
          <w:szCs w:val="24"/>
        </w:rPr>
        <w:t xml:space="preserve"> &amp; </w:t>
      </w:r>
      <w:proofErr w:type="spellStart"/>
      <w:r w:rsidR="00C501C4" w:rsidRPr="00C501C4">
        <w:rPr>
          <w:rFonts w:ascii="Times New Roman" w:eastAsia="Georgia" w:hAnsi="Times New Roman" w:cs="Times New Roman"/>
          <w:color w:val="000000"/>
          <w:sz w:val="24"/>
          <w:szCs w:val="24"/>
        </w:rPr>
        <w:t>Wakgari</w:t>
      </w:r>
      <w:proofErr w:type="spellEnd"/>
      <w:r w:rsidR="00C501C4" w:rsidRPr="00C501C4">
        <w:rPr>
          <w:rFonts w:ascii="Times New Roman" w:eastAsia="Georgia" w:hAnsi="Times New Roman" w:cs="Times New Roman"/>
          <w:color w:val="000000"/>
          <w:sz w:val="24"/>
          <w:szCs w:val="24"/>
        </w:rPr>
        <w:t xml:space="preserve">, 2024; </w:t>
      </w:r>
      <w:proofErr w:type="spellStart"/>
      <w:r w:rsidR="00C501C4" w:rsidRPr="00C501C4">
        <w:rPr>
          <w:rFonts w:ascii="Times New Roman" w:eastAsia="Times New Roman" w:hAnsi="Times New Roman" w:cs="Times New Roman"/>
          <w:kern w:val="36"/>
          <w:sz w:val="24"/>
          <w:szCs w:val="24"/>
        </w:rPr>
        <w:t>Bedassa</w:t>
      </w:r>
      <w:proofErr w:type="spellEnd"/>
      <w:r w:rsidR="00C501C4">
        <w:rPr>
          <w:rFonts w:ascii="Times New Roman" w:eastAsia="Times New Roman" w:hAnsi="Times New Roman" w:cs="Times New Roman"/>
          <w:b/>
          <w:bCs/>
          <w:kern w:val="36"/>
          <w:sz w:val="24"/>
          <w:szCs w:val="24"/>
        </w:rPr>
        <w:t xml:space="preserve"> </w:t>
      </w:r>
      <w:r w:rsidR="00C501C4" w:rsidRPr="00C501C4">
        <w:rPr>
          <w:rFonts w:ascii="Times New Roman" w:eastAsia="Georgia" w:hAnsi="Times New Roman" w:cs="Times New Roman"/>
          <w:color w:val="000000"/>
          <w:sz w:val="24"/>
          <w:szCs w:val="24"/>
        </w:rPr>
        <w:t>et al., 202</w:t>
      </w:r>
      <w:r w:rsidR="00C501C4">
        <w:rPr>
          <w:rFonts w:ascii="Times New Roman" w:eastAsia="Georgia" w:hAnsi="Times New Roman" w:cs="Times New Roman"/>
          <w:color w:val="000000"/>
          <w:sz w:val="24"/>
          <w:szCs w:val="24"/>
        </w:rPr>
        <w:t>2</w:t>
      </w:r>
      <w:r w:rsidR="00C501C4" w:rsidRPr="00C501C4">
        <w:rPr>
          <w:rFonts w:ascii="Times New Roman" w:eastAsia="Georgia" w:hAnsi="Times New Roman" w:cs="Times New Roman"/>
          <w:color w:val="000000"/>
          <w:sz w:val="24"/>
          <w:szCs w:val="24"/>
        </w:rPr>
        <w:t xml:space="preserve">; </w:t>
      </w:r>
      <w:proofErr w:type="spellStart"/>
      <w:r w:rsidR="00C501C4" w:rsidRPr="00C501C4">
        <w:rPr>
          <w:rFonts w:ascii="Times New Roman" w:eastAsia="Georgia" w:hAnsi="Times New Roman" w:cs="Times New Roman"/>
          <w:color w:val="000000"/>
          <w:sz w:val="24"/>
          <w:szCs w:val="24"/>
        </w:rPr>
        <w:t>Gurmu</w:t>
      </w:r>
      <w:proofErr w:type="spellEnd"/>
      <w:r w:rsidR="00C501C4" w:rsidRPr="00C501C4">
        <w:rPr>
          <w:rFonts w:ascii="Times New Roman" w:eastAsia="Georgia" w:hAnsi="Times New Roman" w:cs="Times New Roman"/>
          <w:color w:val="000000"/>
          <w:sz w:val="24"/>
          <w:szCs w:val="24"/>
        </w:rPr>
        <w:t>, 2025).</w:t>
      </w:r>
      <w:r w:rsidRPr="00ED0D52">
        <w:rPr>
          <w:rFonts w:ascii="Times New Roman" w:eastAsia="Georgia" w:hAnsi="Times New Roman" w:cs="Times New Roman"/>
          <w:color w:val="000000"/>
          <w:sz w:val="24"/>
          <w:szCs w:val="24"/>
        </w:rPr>
        <w:t xml:space="preserve"> In such soils, nitrogen fertilizer management becomes especially important because ammoniacal fertilizers can temporarily increase pH during hydrolysis but later accelerate acidification through nitrification and proton release </w:t>
      </w:r>
      <w:r w:rsidR="00C7753C" w:rsidRPr="00C7753C">
        <w:rPr>
          <w:rFonts w:ascii="Times New Roman" w:eastAsia="Georgia" w:hAnsi="Times New Roman" w:cs="Times New Roman"/>
          <w:color w:val="000000"/>
          <w:sz w:val="24"/>
          <w:szCs w:val="24"/>
        </w:rPr>
        <w:t>(Wang et al., 2024; Guerrero-Zurita et al., 2026)</w:t>
      </w:r>
      <w:r w:rsidRPr="00C7753C">
        <w:rPr>
          <w:rFonts w:ascii="Times New Roman" w:eastAsia="Georgia" w:hAnsi="Times New Roman" w:cs="Times New Roman"/>
          <w:color w:val="000000"/>
          <w:sz w:val="24"/>
          <w:szCs w:val="24"/>
        </w:rPr>
        <w:t>.</w:t>
      </w:r>
      <w:r w:rsidRPr="00ED0D52">
        <w:rPr>
          <w:rFonts w:ascii="Times New Roman" w:eastAsia="Georgia" w:hAnsi="Times New Roman" w:cs="Times New Roman"/>
          <w:color w:val="000000"/>
          <w:sz w:val="24"/>
          <w:szCs w:val="24"/>
        </w:rPr>
        <w:t xml:space="preserve"> Urea remains the most widely used nitrogen fertilizer globally, so understanding its short-term and long-term effects on acidic soil properties is essential for sustainable nutrient management </w:t>
      </w:r>
      <w:r w:rsidR="00F56C48">
        <w:rPr>
          <w:rFonts w:ascii="Times New Roman" w:eastAsia="Georgia" w:hAnsi="Times New Roman" w:cs="Times New Roman"/>
          <w:color w:val="000000"/>
          <w:sz w:val="24"/>
          <w:szCs w:val="24"/>
        </w:rPr>
        <w:t>(</w:t>
      </w:r>
      <w:r w:rsidR="00F56C48" w:rsidRPr="00F56C48">
        <w:rPr>
          <w:rFonts w:ascii="Times New Roman" w:eastAsia="Times New Roman" w:hAnsi="Times New Roman" w:cs="Times New Roman"/>
          <w:kern w:val="36"/>
          <w:sz w:val="24"/>
          <w:szCs w:val="24"/>
        </w:rPr>
        <w:t>Abdalla</w:t>
      </w:r>
      <w:r w:rsidRPr="00ED0D52">
        <w:rPr>
          <w:rFonts w:ascii="Times New Roman" w:eastAsia="Georgia" w:hAnsi="Times New Roman" w:cs="Times New Roman"/>
          <w:color w:val="000000"/>
          <w:sz w:val="24"/>
          <w:szCs w:val="24"/>
        </w:rPr>
        <w:t xml:space="preserve"> et al., 20</w:t>
      </w:r>
      <w:r w:rsidR="00F56C48">
        <w:rPr>
          <w:rFonts w:ascii="Times New Roman" w:eastAsia="Georgia" w:hAnsi="Times New Roman" w:cs="Times New Roman"/>
          <w:color w:val="000000"/>
          <w:sz w:val="24"/>
          <w:szCs w:val="24"/>
        </w:rPr>
        <w:t>22</w:t>
      </w:r>
      <w:r w:rsidRPr="00ED0D52">
        <w:rPr>
          <w:rFonts w:ascii="Times New Roman" w:eastAsia="Georgia" w:hAnsi="Times New Roman" w:cs="Times New Roman"/>
          <w:color w:val="000000"/>
          <w:sz w:val="24"/>
          <w:szCs w:val="24"/>
        </w:rPr>
        <w:t>).</w:t>
      </w:r>
    </w:p>
    <w:p w14:paraId="6038FA7E" w14:textId="1D4E3C00" w:rsidR="00ED0D52" w:rsidRPr="00ED0D52" w:rsidRDefault="00ED0D52" w:rsidP="00815A2D">
      <w:pPr>
        <w:spacing w:after="210" w:line="360"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After soil application, urea is hydrolyzed to ammonium, and the resulting NH₄⁺ may subsequently be oxidized to NO₂⁻ and NO₃⁻ by nitrifying microorganisms (</w:t>
      </w:r>
      <w:r w:rsidR="00457DF0" w:rsidRPr="00457DF0">
        <w:rPr>
          <w:rFonts w:ascii="Times New Roman" w:eastAsia="Times New Roman" w:hAnsi="Times New Roman" w:cs="Times New Roman"/>
          <w:kern w:val="36"/>
          <w:sz w:val="24"/>
          <w:szCs w:val="24"/>
        </w:rPr>
        <w:t xml:space="preserve">Zhang </w:t>
      </w:r>
      <w:r w:rsidR="00457DF0" w:rsidRPr="00ED0D52">
        <w:rPr>
          <w:rFonts w:ascii="Times New Roman" w:eastAsia="Georgia" w:hAnsi="Times New Roman" w:cs="Times New Roman"/>
          <w:color w:val="000000"/>
          <w:sz w:val="24"/>
          <w:szCs w:val="24"/>
        </w:rPr>
        <w:t>et al.</w:t>
      </w:r>
      <w:r w:rsidRPr="00ED0D52">
        <w:rPr>
          <w:rFonts w:ascii="Times New Roman" w:eastAsia="Georgia" w:hAnsi="Times New Roman" w:cs="Times New Roman"/>
          <w:color w:val="000000"/>
          <w:sz w:val="24"/>
          <w:szCs w:val="24"/>
        </w:rPr>
        <w:t>, 20</w:t>
      </w:r>
      <w:r w:rsidR="00457DF0">
        <w:rPr>
          <w:rFonts w:ascii="Times New Roman" w:eastAsia="Georgia" w:hAnsi="Times New Roman" w:cs="Times New Roman"/>
          <w:color w:val="000000"/>
          <w:sz w:val="24"/>
          <w:szCs w:val="24"/>
        </w:rPr>
        <w:t>15</w:t>
      </w:r>
      <w:r w:rsidRPr="00ED0D52">
        <w:rPr>
          <w:rFonts w:ascii="Times New Roman" w:eastAsia="Georgia" w:hAnsi="Times New Roman" w:cs="Times New Roman"/>
          <w:color w:val="000000"/>
          <w:sz w:val="24"/>
          <w:szCs w:val="24"/>
        </w:rPr>
        <w:t xml:space="preserve">; </w:t>
      </w:r>
      <w:r w:rsidR="00457DF0" w:rsidRPr="00457DF0">
        <w:rPr>
          <w:rFonts w:ascii="Times New Roman" w:eastAsia="Times New Roman" w:hAnsi="Times New Roman" w:cs="Times New Roman"/>
          <w:kern w:val="36"/>
          <w:sz w:val="24"/>
          <w:szCs w:val="24"/>
        </w:rPr>
        <w:t>Hayat</w:t>
      </w:r>
      <w:r w:rsidRPr="00457DF0">
        <w:rPr>
          <w:rFonts w:ascii="Times New Roman" w:eastAsia="Georgia" w:hAnsi="Times New Roman" w:cs="Times New Roman"/>
          <w:color w:val="000000"/>
          <w:sz w:val="24"/>
          <w:szCs w:val="24"/>
        </w:rPr>
        <w:t xml:space="preserve"> </w:t>
      </w:r>
      <w:r w:rsidRPr="00ED0D52">
        <w:rPr>
          <w:rFonts w:ascii="Times New Roman" w:eastAsia="Georgia" w:hAnsi="Times New Roman" w:cs="Times New Roman"/>
          <w:color w:val="000000"/>
          <w:sz w:val="24"/>
          <w:szCs w:val="24"/>
        </w:rPr>
        <w:t>et al., 20</w:t>
      </w:r>
      <w:r w:rsidR="00457DF0">
        <w:rPr>
          <w:rFonts w:ascii="Times New Roman" w:eastAsia="Georgia" w:hAnsi="Times New Roman" w:cs="Times New Roman"/>
          <w:color w:val="000000"/>
          <w:sz w:val="24"/>
          <w:szCs w:val="24"/>
        </w:rPr>
        <w:t xml:space="preserve">24; </w:t>
      </w:r>
      <w:proofErr w:type="spellStart"/>
      <w:r w:rsidR="00457DF0" w:rsidRPr="00457DF0">
        <w:rPr>
          <w:rFonts w:ascii="Times New Roman" w:eastAsia="Times New Roman" w:hAnsi="Times New Roman" w:cs="Times New Roman"/>
          <w:kern w:val="36"/>
          <w:sz w:val="24"/>
          <w:szCs w:val="24"/>
        </w:rPr>
        <w:lastRenderedPageBreak/>
        <w:t>Motasim</w:t>
      </w:r>
      <w:proofErr w:type="spellEnd"/>
      <w:r w:rsidR="00457DF0" w:rsidRPr="00457DF0">
        <w:rPr>
          <w:rFonts w:ascii="Times New Roman" w:eastAsia="Times New Roman" w:hAnsi="Times New Roman" w:cs="Times New Roman"/>
          <w:kern w:val="36"/>
          <w:sz w:val="24"/>
          <w:szCs w:val="24"/>
        </w:rPr>
        <w:t xml:space="preserve"> </w:t>
      </w:r>
      <w:r w:rsidR="00457DF0" w:rsidRPr="00ED0D52">
        <w:rPr>
          <w:rFonts w:ascii="Times New Roman" w:eastAsia="Georgia" w:hAnsi="Times New Roman" w:cs="Times New Roman"/>
          <w:color w:val="000000"/>
          <w:sz w:val="24"/>
          <w:szCs w:val="24"/>
        </w:rPr>
        <w:t>et al., 20</w:t>
      </w:r>
      <w:r w:rsidR="00457DF0">
        <w:rPr>
          <w:rFonts w:ascii="Times New Roman" w:eastAsia="Georgia" w:hAnsi="Times New Roman" w:cs="Times New Roman"/>
          <w:color w:val="000000"/>
          <w:sz w:val="24"/>
          <w:szCs w:val="24"/>
        </w:rPr>
        <w:t>24</w:t>
      </w:r>
      <w:r w:rsidRPr="00ED0D52">
        <w:rPr>
          <w:rFonts w:ascii="Times New Roman" w:eastAsia="Georgia" w:hAnsi="Times New Roman" w:cs="Times New Roman"/>
          <w:color w:val="000000"/>
          <w:sz w:val="24"/>
          <w:szCs w:val="24"/>
        </w:rPr>
        <w:t>). This sequence alters mineral nitrogen pools, microbial interactions, and enzyme activities, and may also influence soil pH and electrical conductivity (</w:t>
      </w:r>
      <w:proofErr w:type="spellStart"/>
      <w:r w:rsidR="0046644D" w:rsidRPr="00457DF0">
        <w:rPr>
          <w:rFonts w:ascii="Times New Roman" w:eastAsia="Times New Roman" w:hAnsi="Times New Roman" w:cs="Times New Roman"/>
          <w:kern w:val="36"/>
          <w:sz w:val="24"/>
          <w:szCs w:val="24"/>
        </w:rPr>
        <w:t>Motasim</w:t>
      </w:r>
      <w:proofErr w:type="spellEnd"/>
      <w:r w:rsidR="0046644D" w:rsidRPr="00457DF0">
        <w:rPr>
          <w:rFonts w:ascii="Times New Roman" w:eastAsia="Times New Roman" w:hAnsi="Times New Roman" w:cs="Times New Roman"/>
          <w:kern w:val="36"/>
          <w:sz w:val="24"/>
          <w:szCs w:val="24"/>
        </w:rPr>
        <w:t xml:space="preserve"> </w:t>
      </w:r>
      <w:r w:rsidR="0046644D" w:rsidRPr="00ED0D52">
        <w:rPr>
          <w:rFonts w:ascii="Times New Roman" w:eastAsia="Georgia" w:hAnsi="Times New Roman" w:cs="Times New Roman"/>
          <w:color w:val="000000"/>
          <w:sz w:val="24"/>
          <w:szCs w:val="24"/>
        </w:rPr>
        <w:t>et al., 20</w:t>
      </w:r>
      <w:r w:rsidR="0046644D">
        <w:rPr>
          <w:rFonts w:ascii="Times New Roman" w:eastAsia="Georgia" w:hAnsi="Times New Roman" w:cs="Times New Roman"/>
          <w:color w:val="000000"/>
          <w:sz w:val="24"/>
          <w:szCs w:val="24"/>
        </w:rPr>
        <w:t>24; Li</w:t>
      </w:r>
      <w:r w:rsidRPr="00ED0D52">
        <w:rPr>
          <w:rFonts w:ascii="Times New Roman" w:eastAsia="Georgia" w:hAnsi="Times New Roman" w:cs="Times New Roman"/>
          <w:color w:val="000000"/>
          <w:sz w:val="24"/>
          <w:szCs w:val="24"/>
        </w:rPr>
        <w:t>u et al., 20</w:t>
      </w:r>
      <w:r w:rsidR="0046644D">
        <w:rPr>
          <w:rFonts w:ascii="Times New Roman" w:eastAsia="Georgia" w:hAnsi="Times New Roman" w:cs="Times New Roman"/>
          <w:color w:val="000000"/>
          <w:sz w:val="24"/>
          <w:szCs w:val="24"/>
        </w:rPr>
        <w:t>26</w:t>
      </w:r>
      <w:r w:rsidRPr="00ED0D52">
        <w:rPr>
          <w:rFonts w:ascii="Times New Roman" w:eastAsia="Georgia" w:hAnsi="Times New Roman" w:cs="Times New Roman"/>
          <w:color w:val="000000"/>
          <w:sz w:val="24"/>
          <w:szCs w:val="24"/>
        </w:rPr>
        <w:t>). Previous work has shown that urea can stimulate ammonia-oxidizing bacteria, accelerate nitrification, and enhance acidification in acidic soils, although the response depends on soil type, dose, and duration of incubation (</w:t>
      </w:r>
      <w:r w:rsidR="009101C1" w:rsidRPr="009101C1">
        <w:rPr>
          <w:rFonts w:ascii="Times New Roman" w:eastAsia="Times New Roman" w:hAnsi="Times New Roman" w:cs="Times New Roman"/>
          <w:kern w:val="36"/>
          <w:sz w:val="24"/>
          <w:szCs w:val="24"/>
        </w:rPr>
        <w:t>Jiang</w:t>
      </w:r>
      <w:r w:rsidRPr="009101C1">
        <w:rPr>
          <w:rFonts w:ascii="Times New Roman" w:eastAsia="Georgia" w:hAnsi="Times New Roman" w:cs="Times New Roman"/>
          <w:color w:val="000000"/>
          <w:sz w:val="24"/>
          <w:szCs w:val="24"/>
        </w:rPr>
        <w:t xml:space="preserve"> et al., 20</w:t>
      </w:r>
      <w:r w:rsidR="009101C1" w:rsidRPr="009101C1">
        <w:rPr>
          <w:rFonts w:ascii="Times New Roman" w:eastAsia="Georgia" w:hAnsi="Times New Roman" w:cs="Times New Roman"/>
          <w:color w:val="000000"/>
          <w:sz w:val="24"/>
          <w:szCs w:val="24"/>
        </w:rPr>
        <w:t>24</w:t>
      </w:r>
      <w:r w:rsidRPr="009101C1">
        <w:rPr>
          <w:rFonts w:ascii="Times New Roman" w:eastAsia="Georgia" w:hAnsi="Times New Roman" w:cs="Times New Roman"/>
          <w:color w:val="000000"/>
          <w:sz w:val="24"/>
          <w:szCs w:val="24"/>
        </w:rPr>
        <w:t>).</w:t>
      </w:r>
      <w:r w:rsidRPr="00ED0D52">
        <w:rPr>
          <w:rFonts w:ascii="Times New Roman" w:eastAsia="Georgia" w:hAnsi="Times New Roman" w:cs="Times New Roman"/>
          <w:color w:val="000000"/>
          <w:sz w:val="24"/>
          <w:szCs w:val="24"/>
        </w:rPr>
        <w:t xml:space="preserve"> Long-term urea fertilization can additionally reshape </w:t>
      </w:r>
      <w:proofErr w:type="spellStart"/>
      <w:r w:rsidRPr="00ED0D52">
        <w:rPr>
          <w:rFonts w:ascii="Times New Roman" w:eastAsia="Georgia" w:hAnsi="Times New Roman" w:cs="Times New Roman"/>
          <w:color w:val="000000"/>
          <w:sz w:val="24"/>
          <w:szCs w:val="24"/>
        </w:rPr>
        <w:t>ureolytic</w:t>
      </w:r>
      <w:proofErr w:type="spellEnd"/>
      <w:r w:rsidRPr="00ED0D52">
        <w:rPr>
          <w:rFonts w:ascii="Times New Roman" w:eastAsia="Georgia" w:hAnsi="Times New Roman" w:cs="Times New Roman"/>
          <w:color w:val="000000"/>
          <w:sz w:val="24"/>
          <w:szCs w:val="24"/>
        </w:rPr>
        <w:t xml:space="preserve"> communities and increase the risk of nitrogen loss through volatilization and leaching (</w:t>
      </w:r>
      <w:r w:rsidR="009101C1">
        <w:rPr>
          <w:rFonts w:ascii="Times New Roman" w:eastAsia="Georgia" w:hAnsi="Times New Roman" w:cs="Times New Roman"/>
          <w:color w:val="000000"/>
          <w:sz w:val="24"/>
          <w:szCs w:val="24"/>
        </w:rPr>
        <w:t>Warren</w:t>
      </w:r>
      <w:r w:rsidRPr="00ED0D52">
        <w:rPr>
          <w:rFonts w:ascii="Times New Roman" w:eastAsia="Georgia" w:hAnsi="Times New Roman" w:cs="Times New Roman"/>
          <w:color w:val="000000"/>
          <w:sz w:val="24"/>
          <w:szCs w:val="24"/>
        </w:rPr>
        <w:t xml:space="preserve"> et al., 2019).</w:t>
      </w:r>
    </w:p>
    <w:p w14:paraId="04EE9316" w14:textId="60E03286" w:rsidR="00ED0D52" w:rsidRPr="00ED0D52" w:rsidRDefault="00ED0D52" w:rsidP="00815A2D">
      <w:pPr>
        <w:spacing w:after="210" w:line="360"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 xml:space="preserve">Soil microorganisms respond rapidly to fertilizer-induced changes in pH, substrate availability, and osmotic conditions </w:t>
      </w:r>
      <w:r w:rsidRPr="00A94E57">
        <w:rPr>
          <w:rFonts w:ascii="Times New Roman" w:eastAsia="Georgia" w:hAnsi="Times New Roman" w:cs="Times New Roman"/>
          <w:color w:val="000000"/>
          <w:sz w:val="24"/>
          <w:szCs w:val="24"/>
        </w:rPr>
        <w:t>(</w:t>
      </w:r>
      <w:r w:rsidR="00A94E57" w:rsidRPr="00A94E57">
        <w:rPr>
          <w:rFonts w:ascii="Times New Roman" w:eastAsia="Times New Roman" w:hAnsi="Times New Roman" w:cs="Times New Roman"/>
          <w:kern w:val="36"/>
          <w:sz w:val="24"/>
          <w:szCs w:val="24"/>
        </w:rPr>
        <w:t>Al-</w:t>
      </w:r>
      <w:proofErr w:type="spellStart"/>
      <w:r w:rsidR="00A94E57" w:rsidRPr="00A94E57">
        <w:rPr>
          <w:rFonts w:ascii="Times New Roman" w:eastAsia="Times New Roman" w:hAnsi="Times New Roman" w:cs="Times New Roman"/>
          <w:kern w:val="36"/>
          <w:sz w:val="24"/>
          <w:szCs w:val="24"/>
        </w:rPr>
        <w:t>Shammary</w:t>
      </w:r>
      <w:proofErr w:type="spellEnd"/>
      <w:r w:rsidR="00A94E57" w:rsidRPr="00ED0D52">
        <w:rPr>
          <w:rFonts w:ascii="Times New Roman" w:eastAsia="Georgia" w:hAnsi="Times New Roman" w:cs="Times New Roman"/>
          <w:color w:val="000000"/>
          <w:sz w:val="24"/>
          <w:szCs w:val="24"/>
        </w:rPr>
        <w:t xml:space="preserve"> et al., </w:t>
      </w:r>
      <w:r w:rsidR="00A94E57">
        <w:rPr>
          <w:rFonts w:ascii="Times New Roman" w:eastAsia="Georgia" w:hAnsi="Times New Roman" w:cs="Times New Roman"/>
          <w:color w:val="000000"/>
          <w:sz w:val="24"/>
          <w:szCs w:val="24"/>
        </w:rPr>
        <w:t xml:space="preserve">2025; </w:t>
      </w:r>
      <w:r w:rsidR="00A94E57" w:rsidRPr="00A94E57">
        <w:rPr>
          <w:rFonts w:ascii="Times New Roman" w:eastAsia="Times New Roman" w:hAnsi="Times New Roman" w:cs="Times New Roman"/>
          <w:kern w:val="36"/>
          <w:sz w:val="24"/>
          <w:szCs w:val="24"/>
        </w:rPr>
        <w:t>Malal</w:t>
      </w:r>
      <w:r w:rsidR="00A94E57">
        <w:rPr>
          <w:rFonts w:ascii="Times New Roman" w:eastAsia="Times New Roman" w:hAnsi="Times New Roman" w:cs="Times New Roman"/>
          <w:b/>
          <w:bCs/>
          <w:kern w:val="36"/>
          <w:sz w:val="24"/>
          <w:szCs w:val="24"/>
        </w:rPr>
        <w:t xml:space="preserve"> </w:t>
      </w:r>
      <w:r w:rsidRPr="00ED0D52">
        <w:rPr>
          <w:rFonts w:ascii="Times New Roman" w:eastAsia="Georgia" w:hAnsi="Times New Roman" w:cs="Times New Roman"/>
          <w:color w:val="000000"/>
          <w:sz w:val="24"/>
          <w:szCs w:val="24"/>
        </w:rPr>
        <w:t>et al., 202</w:t>
      </w:r>
      <w:r w:rsidR="00A94E57">
        <w:rPr>
          <w:rFonts w:ascii="Times New Roman" w:eastAsia="Georgia" w:hAnsi="Times New Roman" w:cs="Times New Roman"/>
          <w:color w:val="000000"/>
          <w:sz w:val="24"/>
          <w:szCs w:val="24"/>
        </w:rPr>
        <w:t xml:space="preserve">5; Das </w:t>
      </w:r>
      <w:r w:rsidR="00A94E57" w:rsidRPr="00ED0D52">
        <w:rPr>
          <w:rFonts w:ascii="Times New Roman" w:eastAsia="Georgia" w:hAnsi="Times New Roman" w:cs="Times New Roman"/>
          <w:color w:val="000000"/>
          <w:sz w:val="24"/>
          <w:szCs w:val="24"/>
        </w:rPr>
        <w:t>et al., 202</w:t>
      </w:r>
      <w:r w:rsidR="00A94E57">
        <w:rPr>
          <w:rFonts w:ascii="Times New Roman" w:eastAsia="Georgia" w:hAnsi="Times New Roman" w:cs="Times New Roman"/>
          <w:color w:val="000000"/>
          <w:sz w:val="24"/>
          <w:szCs w:val="24"/>
        </w:rPr>
        <w:t xml:space="preserve">5; </w:t>
      </w:r>
      <w:proofErr w:type="spellStart"/>
      <w:r w:rsidR="00A94E57" w:rsidRPr="00A94E57">
        <w:rPr>
          <w:rFonts w:ascii="Times New Roman" w:eastAsia="Times New Roman" w:hAnsi="Times New Roman" w:cs="Times New Roman"/>
          <w:kern w:val="36"/>
          <w:sz w:val="24"/>
          <w:szCs w:val="24"/>
        </w:rPr>
        <w:t>Geisseler</w:t>
      </w:r>
      <w:proofErr w:type="spellEnd"/>
      <w:r w:rsidR="00A94E57">
        <w:rPr>
          <w:rFonts w:ascii="Times New Roman" w:eastAsia="Times New Roman" w:hAnsi="Times New Roman" w:cs="Times New Roman"/>
          <w:b/>
          <w:bCs/>
          <w:kern w:val="36"/>
          <w:sz w:val="24"/>
          <w:szCs w:val="24"/>
        </w:rPr>
        <w:t xml:space="preserve"> </w:t>
      </w:r>
      <w:r w:rsidR="00A94E57" w:rsidRPr="00ED0D52">
        <w:rPr>
          <w:rFonts w:ascii="Times New Roman" w:eastAsia="Georgia" w:hAnsi="Times New Roman" w:cs="Times New Roman"/>
          <w:color w:val="000000"/>
          <w:sz w:val="24"/>
          <w:szCs w:val="24"/>
        </w:rPr>
        <w:t>et al., 20</w:t>
      </w:r>
      <w:r w:rsidR="00A94E57">
        <w:rPr>
          <w:rFonts w:ascii="Times New Roman" w:eastAsia="Georgia" w:hAnsi="Times New Roman" w:cs="Times New Roman"/>
          <w:color w:val="000000"/>
          <w:sz w:val="24"/>
          <w:szCs w:val="24"/>
        </w:rPr>
        <w:t>14</w:t>
      </w:r>
      <w:r w:rsidRPr="00ED0D52">
        <w:rPr>
          <w:rFonts w:ascii="Times New Roman" w:eastAsia="Georgia" w:hAnsi="Times New Roman" w:cs="Times New Roman"/>
          <w:color w:val="000000"/>
          <w:sz w:val="24"/>
          <w:szCs w:val="24"/>
        </w:rPr>
        <w:t>). Bacteria, fungi, and actinomycetes play distinct roles in urea transformation and organic matter turnover, while enzymes such as urease and dehydrogenase provide sensitive indicators of biochemical response (</w:t>
      </w:r>
      <w:proofErr w:type="spellStart"/>
      <w:r w:rsidR="00FB2589" w:rsidRPr="00FB2589">
        <w:rPr>
          <w:rFonts w:ascii="Times New Roman" w:eastAsia="Times New Roman" w:hAnsi="Times New Roman" w:cs="Times New Roman"/>
          <w:kern w:val="36"/>
          <w:sz w:val="24"/>
          <w:szCs w:val="24"/>
        </w:rPr>
        <w:t>Solangi</w:t>
      </w:r>
      <w:proofErr w:type="spellEnd"/>
      <w:r w:rsidR="00FB2589">
        <w:rPr>
          <w:rFonts w:ascii="Times New Roman" w:eastAsia="Times New Roman" w:hAnsi="Times New Roman" w:cs="Times New Roman"/>
          <w:b/>
          <w:bCs/>
          <w:kern w:val="36"/>
          <w:sz w:val="24"/>
          <w:szCs w:val="24"/>
        </w:rPr>
        <w:t xml:space="preserve"> </w:t>
      </w:r>
      <w:r w:rsidRPr="00ED0D52">
        <w:rPr>
          <w:rFonts w:ascii="Times New Roman" w:eastAsia="Georgia" w:hAnsi="Times New Roman" w:cs="Times New Roman"/>
          <w:color w:val="000000"/>
          <w:sz w:val="24"/>
          <w:szCs w:val="24"/>
        </w:rPr>
        <w:t>et al., 202</w:t>
      </w:r>
      <w:r w:rsidR="00FB2589">
        <w:rPr>
          <w:rFonts w:ascii="Times New Roman" w:eastAsia="Georgia" w:hAnsi="Times New Roman" w:cs="Times New Roman"/>
          <w:color w:val="000000"/>
          <w:sz w:val="24"/>
          <w:szCs w:val="24"/>
        </w:rPr>
        <w:t>4</w:t>
      </w:r>
      <w:r w:rsidRPr="00ED0D52">
        <w:rPr>
          <w:rFonts w:ascii="Times New Roman" w:eastAsia="Georgia" w:hAnsi="Times New Roman" w:cs="Times New Roman"/>
          <w:color w:val="000000"/>
          <w:sz w:val="24"/>
          <w:szCs w:val="24"/>
        </w:rPr>
        <w:t xml:space="preserve">; </w:t>
      </w:r>
      <w:r w:rsidR="00FB2589" w:rsidRPr="00FB2589">
        <w:rPr>
          <w:rFonts w:ascii="Times New Roman" w:eastAsia="Times New Roman" w:hAnsi="Times New Roman" w:cs="Times New Roman"/>
          <w:kern w:val="36"/>
          <w:sz w:val="24"/>
          <w:szCs w:val="24"/>
        </w:rPr>
        <w:t>Daunoras,</w:t>
      </w:r>
      <w:r w:rsidR="00FB2589" w:rsidRPr="00FB2589">
        <w:rPr>
          <w:rFonts w:ascii="Times New Roman" w:eastAsia="Times New Roman" w:hAnsi="Times New Roman" w:cs="Times New Roman"/>
          <w:b/>
          <w:bCs/>
          <w:kern w:val="36"/>
          <w:sz w:val="24"/>
          <w:szCs w:val="24"/>
        </w:rPr>
        <w:t xml:space="preserve"> </w:t>
      </w:r>
      <w:r w:rsidRPr="00ED0D52">
        <w:rPr>
          <w:rFonts w:ascii="Times New Roman" w:eastAsia="Georgia" w:hAnsi="Times New Roman" w:cs="Times New Roman"/>
          <w:color w:val="000000"/>
          <w:sz w:val="24"/>
          <w:szCs w:val="24"/>
        </w:rPr>
        <w:t xml:space="preserve">et al., </w:t>
      </w:r>
      <w:r w:rsidR="00FB2589">
        <w:rPr>
          <w:rFonts w:ascii="Times New Roman" w:eastAsia="Georgia" w:hAnsi="Times New Roman" w:cs="Times New Roman"/>
          <w:color w:val="000000"/>
          <w:sz w:val="24"/>
          <w:szCs w:val="24"/>
        </w:rPr>
        <w:t>2024</w:t>
      </w:r>
      <w:r w:rsidRPr="00ED0D52">
        <w:rPr>
          <w:rFonts w:ascii="Times New Roman" w:eastAsia="Georgia" w:hAnsi="Times New Roman" w:cs="Times New Roman"/>
          <w:color w:val="000000"/>
          <w:sz w:val="24"/>
          <w:szCs w:val="24"/>
        </w:rPr>
        <w:t>). Because early microbial and physicochemical responses may precede more pronounced acidification, integrated evaluation of mineral nitrogen, biological properties, and plant growth is useful for understanding the agronomic consequences of urea application in acidic soils (</w:t>
      </w:r>
      <w:r w:rsidR="00FB2589">
        <w:rPr>
          <w:rFonts w:ascii="Times New Roman" w:eastAsia="Georgia" w:hAnsi="Times New Roman" w:cs="Times New Roman"/>
          <w:color w:val="000000"/>
          <w:sz w:val="24"/>
          <w:szCs w:val="24"/>
        </w:rPr>
        <w:t>Li</w:t>
      </w:r>
      <w:r w:rsidRPr="00ED0D52">
        <w:rPr>
          <w:rFonts w:ascii="Times New Roman" w:eastAsia="Georgia" w:hAnsi="Times New Roman" w:cs="Times New Roman"/>
          <w:color w:val="000000"/>
          <w:sz w:val="24"/>
          <w:szCs w:val="24"/>
        </w:rPr>
        <w:t xml:space="preserve"> et al., 202</w:t>
      </w:r>
      <w:r w:rsidR="00FB2589">
        <w:rPr>
          <w:rFonts w:ascii="Times New Roman" w:eastAsia="Georgia" w:hAnsi="Times New Roman" w:cs="Times New Roman"/>
          <w:color w:val="000000"/>
          <w:sz w:val="24"/>
          <w:szCs w:val="24"/>
        </w:rPr>
        <w:t>5</w:t>
      </w:r>
      <w:r w:rsidRPr="00ED0D52">
        <w:rPr>
          <w:rFonts w:ascii="Times New Roman" w:eastAsia="Georgia" w:hAnsi="Times New Roman" w:cs="Times New Roman"/>
          <w:color w:val="000000"/>
          <w:sz w:val="24"/>
          <w:szCs w:val="24"/>
        </w:rPr>
        <w:t xml:space="preserve">; </w:t>
      </w:r>
      <w:r w:rsidR="00CA6AB7">
        <w:rPr>
          <w:rFonts w:ascii="Times New Roman" w:eastAsia="Georgia" w:hAnsi="Times New Roman" w:cs="Times New Roman"/>
          <w:color w:val="000000"/>
          <w:sz w:val="24"/>
          <w:szCs w:val="24"/>
        </w:rPr>
        <w:t>Mi</w:t>
      </w:r>
      <w:r w:rsidRPr="00ED0D52">
        <w:rPr>
          <w:rFonts w:ascii="Times New Roman" w:eastAsia="Georgia" w:hAnsi="Times New Roman" w:cs="Times New Roman"/>
          <w:color w:val="000000"/>
          <w:sz w:val="24"/>
          <w:szCs w:val="24"/>
        </w:rPr>
        <w:t xml:space="preserve"> et al., 202</w:t>
      </w:r>
      <w:r w:rsidR="00CA6AB7">
        <w:rPr>
          <w:rFonts w:ascii="Times New Roman" w:eastAsia="Georgia" w:hAnsi="Times New Roman" w:cs="Times New Roman"/>
          <w:color w:val="000000"/>
          <w:sz w:val="24"/>
          <w:szCs w:val="24"/>
        </w:rPr>
        <w:t>4</w:t>
      </w:r>
      <w:r w:rsidRPr="00ED0D52">
        <w:rPr>
          <w:rFonts w:ascii="Times New Roman" w:eastAsia="Georgia" w:hAnsi="Times New Roman" w:cs="Times New Roman"/>
          <w:color w:val="000000"/>
          <w:sz w:val="24"/>
          <w:szCs w:val="24"/>
        </w:rPr>
        <w:t>).</w:t>
      </w:r>
    </w:p>
    <w:p w14:paraId="4F8D6844" w14:textId="088C4F06" w:rsidR="00ED0D52" w:rsidRPr="00ED0D52" w:rsidRDefault="00ED0D52" w:rsidP="00815A2D">
      <w:pPr>
        <w:spacing w:after="210" w:line="360"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The objective of this study specifically, aimed to assess changes in soil physicochemical properties, mineral nitrogen fractions, microbial populations, enzyme activities, nitrification-related indices, and seedling growth under increasing urea levels. The working hypothesis was that urea would increase mineral N availability and stimulate microbial and enzymatic activity, but would also shift the soil toward greater nitrification intensity, thereby creating conditions that may predispose the system to later acidification (</w:t>
      </w:r>
      <w:r w:rsidR="00CA6AB7" w:rsidRPr="00CA6AB7">
        <w:rPr>
          <w:rFonts w:ascii="Times New Roman" w:eastAsia="Times New Roman" w:hAnsi="Times New Roman" w:cs="Times New Roman"/>
          <w:kern w:val="36"/>
          <w:sz w:val="24"/>
          <w:szCs w:val="24"/>
        </w:rPr>
        <w:t>Oertel</w:t>
      </w:r>
      <w:r w:rsidR="00CA6AB7">
        <w:rPr>
          <w:rFonts w:ascii="Times New Roman" w:eastAsia="Times New Roman" w:hAnsi="Times New Roman" w:cs="Times New Roman"/>
          <w:b/>
          <w:bCs/>
          <w:kern w:val="36"/>
          <w:sz w:val="24"/>
          <w:szCs w:val="24"/>
        </w:rPr>
        <w:t xml:space="preserve"> </w:t>
      </w:r>
      <w:r w:rsidRPr="00ED0D52">
        <w:rPr>
          <w:rFonts w:ascii="Times New Roman" w:eastAsia="Georgia" w:hAnsi="Times New Roman" w:cs="Times New Roman"/>
          <w:color w:val="000000"/>
          <w:sz w:val="24"/>
          <w:szCs w:val="24"/>
        </w:rPr>
        <w:t>et al., 201</w:t>
      </w:r>
      <w:r w:rsidR="00CA6AB7">
        <w:rPr>
          <w:rFonts w:ascii="Times New Roman" w:eastAsia="Georgia" w:hAnsi="Times New Roman" w:cs="Times New Roman"/>
          <w:color w:val="000000"/>
          <w:sz w:val="24"/>
          <w:szCs w:val="24"/>
        </w:rPr>
        <w:t xml:space="preserve">6; </w:t>
      </w:r>
      <w:proofErr w:type="spellStart"/>
      <w:r w:rsidR="00CA6AB7" w:rsidRPr="00CA6AB7">
        <w:rPr>
          <w:rFonts w:ascii="Times New Roman" w:eastAsia="Times New Roman" w:hAnsi="Times New Roman" w:cs="Times New Roman"/>
          <w:kern w:val="36"/>
          <w:sz w:val="24"/>
          <w:szCs w:val="24"/>
        </w:rPr>
        <w:t>Gubry</w:t>
      </w:r>
      <w:proofErr w:type="spellEnd"/>
      <w:r w:rsidR="00CA6AB7">
        <w:rPr>
          <w:rFonts w:ascii="Times New Roman" w:eastAsia="Times New Roman" w:hAnsi="Times New Roman" w:cs="Times New Roman"/>
          <w:b/>
          <w:bCs/>
          <w:kern w:val="36"/>
          <w:sz w:val="24"/>
          <w:szCs w:val="24"/>
        </w:rPr>
        <w:t xml:space="preserve"> </w:t>
      </w:r>
      <w:r w:rsidR="00CA6AB7" w:rsidRPr="00ED0D52">
        <w:rPr>
          <w:rFonts w:ascii="Times New Roman" w:eastAsia="Georgia" w:hAnsi="Times New Roman" w:cs="Times New Roman"/>
          <w:color w:val="000000"/>
          <w:sz w:val="24"/>
          <w:szCs w:val="24"/>
        </w:rPr>
        <w:t>et al., 201</w:t>
      </w:r>
      <w:r w:rsidR="00CA6AB7">
        <w:rPr>
          <w:rFonts w:ascii="Times New Roman" w:eastAsia="Georgia" w:hAnsi="Times New Roman" w:cs="Times New Roman"/>
          <w:color w:val="000000"/>
          <w:sz w:val="24"/>
          <w:szCs w:val="24"/>
        </w:rPr>
        <w:t>0</w:t>
      </w:r>
      <w:r w:rsidR="00CA6AB7">
        <w:rPr>
          <w:rFonts w:ascii="Times New Roman" w:eastAsia="Times New Roman" w:hAnsi="Times New Roman" w:cs="Times New Roman"/>
          <w:b/>
          <w:bCs/>
          <w:kern w:val="36"/>
          <w:sz w:val="24"/>
          <w:szCs w:val="24"/>
        </w:rPr>
        <w:t>)</w:t>
      </w:r>
      <w:r w:rsidRPr="00ED0D52">
        <w:rPr>
          <w:rFonts w:ascii="Times New Roman" w:eastAsia="Georgia" w:hAnsi="Times New Roman" w:cs="Times New Roman"/>
          <w:color w:val="000000"/>
          <w:sz w:val="24"/>
          <w:szCs w:val="24"/>
        </w:rPr>
        <w:t>.</w:t>
      </w:r>
    </w:p>
    <w:p w14:paraId="2F098B5E" w14:textId="77777777" w:rsidR="00A723CE" w:rsidRPr="00A723CE" w:rsidRDefault="00A723CE" w:rsidP="00815A2D">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A723CE">
        <w:rPr>
          <w:rFonts w:ascii="Times New Roman" w:eastAsia="Times New Roman" w:hAnsi="Times New Roman" w:cs="Times New Roman"/>
          <w:b/>
          <w:bCs/>
          <w:kern w:val="36"/>
          <w:sz w:val="24"/>
          <w:szCs w:val="24"/>
        </w:rPr>
        <w:t>2. Materials and Methods</w:t>
      </w:r>
    </w:p>
    <w:p w14:paraId="1C346C5E" w14:textId="77777777" w:rsidR="00A723CE" w:rsidRPr="00A723CE"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2.1 Soil and Experimental Treatments</w:t>
      </w:r>
    </w:p>
    <w:p w14:paraId="7035872E" w14:textId="24396F24" w:rsidR="00A723CE" w:rsidRPr="00ED0D52"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Acidic soil (initial pH 5.51) was collected</w:t>
      </w:r>
      <w:r w:rsidR="0095036A">
        <w:rPr>
          <w:rFonts w:ascii="Times New Roman" w:eastAsia="Times New Roman" w:hAnsi="Times New Roman" w:cs="Times New Roman"/>
          <w:sz w:val="24"/>
          <w:szCs w:val="24"/>
        </w:rPr>
        <w:t xml:space="preserve"> from the </w:t>
      </w:r>
      <w:proofErr w:type="spellStart"/>
      <w:r w:rsidR="0095036A">
        <w:rPr>
          <w:rFonts w:ascii="Times New Roman" w:eastAsia="Times New Roman" w:hAnsi="Times New Roman" w:cs="Times New Roman"/>
          <w:sz w:val="24"/>
          <w:szCs w:val="24"/>
        </w:rPr>
        <w:t>Gouraram</w:t>
      </w:r>
      <w:proofErr w:type="spellEnd"/>
      <w:r w:rsidR="0095036A">
        <w:rPr>
          <w:rFonts w:ascii="Times New Roman" w:eastAsia="Times New Roman" w:hAnsi="Times New Roman" w:cs="Times New Roman"/>
          <w:sz w:val="24"/>
          <w:szCs w:val="24"/>
        </w:rPr>
        <w:t xml:space="preserve"> </w:t>
      </w:r>
      <w:proofErr w:type="spellStart"/>
      <w:r w:rsidR="0095036A">
        <w:rPr>
          <w:rFonts w:ascii="Times New Roman" w:eastAsia="Times New Roman" w:hAnsi="Times New Roman" w:cs="Times New Roman"/>
          <w:sz w:val="24"/>
          <w:szCs w:val="24"/>
        </w:rPr>
        <w:t>Villagae</w:t>
      </w:r>
      <w:proofErr w:type="spellEnd"/>
      <w:r w:rsidRPr="00A723CE">
        <w:rPr>
          <w:rFonts w:ascii="Times New Roman" w:eastAsia="Times New Roman" w:hAnsi="Times New Roman" w:cs="Times New Roman"/>
          <w:sz w:val="24"/>
          <w:szCs w:val="24"/>
        </w:rPr>
        <w:t>,</w:t>
      </w:r>
      <w:r w:rsidR="0095036A">
        <w:rPr>
          <w:rFonts w:ascii="Times New Roman" w:eastAsia="Times New Roman" w:hAnsi="Times New Roman" w:cs="Times New Roman"/>
          <w:sz w:val="24"/>
          <w:szCs w:val="24"/>
        </w:rPr>
        <w:t xml:space="preserve"> </w:t>
      </w:r>
      <w:proofErr w:type="spellStart"/>
      <w:r w:rsidR="0095036A">
        <w:rPr>
          <w:rFonts w:ascii="Times New Roman" w:eastAsia="Times New Roman" w:hAnsi="Times New Roman" w:cs="Times New Roman"/>
          <w:sz w:val="24"/>
          <w:szCs w:val="24"/>
        </w:rPr>
        <w:t>Siddipet</w:t>
      </w:r>
      <w:proofErr w:type="spellEnd"/>
      <w:r w:rsidR="0095036A">
        <w:rPr>
          <w:rFonts w:ascii="Times New Roman" w:eastAsia="Times New Roman" w:hAnsi="Times New Roman" w:cs="Times New Roman"/>
          <w:sz w:val="24"/>
          <w:szCs w:val="24"/>
        </w:rPr>
        <w:t xml:space="preserve"> from </w:t>
      </w:r>
      <w:proofErr w:type="spellStart"/>
      <w:r w:rsidR="0095036A">
        <w:rPr>
          <w:rFonts w:ascii="Times New Roman" w:eastAsia="Times New Roman" w:hAnsi="Times New Roman" w:cs="Times New Roman"/>
          <w:sz w:val="24"/>
          <w:szCs w:val="24"/>
        </w:rPr>
        <w:t>Telanagana</w:t>
      </w:r>
      <w:proofErr w:type="spellEnd"/>
      <w:r w:rsidR="0095036A">
        <w:rPr>
          <w:rFonts w:ascii="Times New Roman" w:eastAsia="Times New Roman" w:hAnsi="Times New Roman" w:cs="Times New Roman"/>
          <w:sz w:val="24"/>
          <w:szCs w:val="24"/>
        </w:rPr>
        <w:t xml:space="preserve"> region it </w:t>
      </w:r>
      <w:r w:rsidR="00BB2B54">
        <w:rPr>
          <w:rFonts w:ascii="Times New Roman" w:eastAsia="Times New Roman" w:hAnsi="Times New Roman" w:cs="Times New Roman"/>
          <w:sz w:val="24"/>
          <w:szCs w:val="24"/>
        </w:rPr>
        <w:t xml:space="preserve">is </w:t>
      </w:r>
      <w:r w:rsidR="00BB2B54" w:rsidRPr="00A723CE">
        <w:rPr>
          <w:rFonts w:ascii="Times New Roman" w:eastAsia="Times New Roman" w:hAnsi="Times New Roman" w:cs="Times New Roman"/>
          <w:sz w:val="24"/>
          <w:szCs w:val="24"/>
        </w:rPr>
        <w:t>air</w:t>
      </w:r>
      <w:r w:rsidRPr="00A723CE">
        <w:rPr>
          <w:rFonts w:ascii="Times New Roman" w:eastAsia="Times New Roman" w:hAnsi="Times New Roman" w:cs="Times New Roman"/>
          <w:sz w:val="24"/>
          <w:szCs w:val="24"/>
        </w:rPr>
        <w:t>-dried, and sieved (&lt;2 mm). The soil was amended with urea at three levels: 0% (T</w:t>
      </w:r>
      <w:r w:rsidRPr="00A723CE">
        <w:rPr>
          <w:rFonts w:ascii="Times New Roman" w:eastAsia="Times New Roman" w:hAnsi="Times New Roman" w:cs="Times New Roman"/>
          <w:sz w:val="24"/>
          <w:szCs w:val="24"/>
          <w:vertAlign w:val="subscript"/>
        </w:rPr>
        <w:t>1</w:t>
      </w:r>
      <w:r w:rsidRPr="00A723CE">
        <w:rPr>
          <w:rFonts w:ascii="Times New Roman" w:eastAsia="Times New Roman" w:hAnsi="Times New Roman" w:cs="Times New Roman"/>
          <w:sz w:val="24"/>
          <w:szCs w:val="24"/>
        </w:rPr>
        <w:t>, control), 0.1% (T</w:t>
      </w:r>
      <w:r w:rsidRPr="00A723CE">
        <w:rPr>
          <w:rFonts w:ascii="Times New Roman" w:eastAsia="Times New Roman" w:hAnsi="Times New Roman" w:cs="Times New Roman"/>
          <w:sz w:val="24"/>
          <w:szCs w:val="24"/>
          <w:vertAlign w:val="subscript"/>
        </w:rPr>
        <w:t>2</w:t>
      </w:r>
      <w:r w:rsidRPr="00A723CE">
        <w:rPr>
          <w:rFonts w:ascii="Times New Roman" w:eastAsia="Times New Roman" w:hAnsi="Times New Roman" w:cs="Times New Roman"/>
          <w:sz w:val="24"/>
          <w:szCs w:val="24"/>
        </w:rPr>
        <w:t>), and 0.2% (T</w:t>
      </w:r>
      <w:r w:rsidRPr="00A723CE">
        <w:rPr>
          <w:rFonts w:ascii="Times New Roman" w:eastAsia="Times New Roman" w:hAnsi="Times New Roman" w:cs="Times New Roman"/>
          <w:sz w:val="24"/>
          <w:szCs w:val="24"/>
          <w:vertAlign w:val="subscript"/>
        </w:rPr>
        <w:t>3</w:t>
      </w:r>
      <w:r w:rsidRPr="00A723CE">
        <w:rPr>
          <w:rFonts w:ascii="Times New Roman" w:eastAsia="Times New Roman" w:hAnsi="Times New Roman" w:cs="Times New Roman"/>
          <w:sz w:val="24"/>
          <w:szCs w:val="24"/>
        </w:rPr>
        <w:t xml:space="preserve">) on a weight basis (w/w). </w:t>
      </w:r>
      <w:r w:rsidR="00F71A41" w:rsidRPr="00ED0D52">
        <w:rPr>
          <w:rFonts w:ascii="Times New Roman" w:eastAsia="Times New Roman" w:hAnsi="Times New Roman" w:cs="Times New Roman"/>
          <w:sz w:val="24"/>
          <w:szCs w:val="24"/>
        </w:rPr>
        <w:t xml:space="preserve">Experiment was conducted as pot culture study. </w:t>
      </w:r>
      <w:r w:rsidRPr="00A723CE">
        <w:rPr>
          <w:rFonts w:ascii="Times New Roman" w:eastAsia="Times New Roman" w:hAnsi="Times New Roman" w:cs="Times New Roman"/>
          <w:sz w:val="24"/>
          <w:szCs w:val="24"/>
        </w:rPr>
        <w:t>The treatments were arranged in a completely randomized design (CRD) with three replications and incubated under controlled laboratory conditions to evaluate short-term responses.</w:t>
      </w:r>
    </w:p>
    <w:p w14:paraId="3D011772" w14:textId="1ADB7573"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b/>
          <w:bCs/>
          <w:sz w:val="24"/>
          <w:szCs w:val="24"/>
        </w:rPr>
        <w:t>2.2 Physicochemical Analyses</w:t>
      </w:r>
    </w:p>
    <w:p w14:paraId="42635B81" w14:textId="1B57C777" w:rsidR="00A723CE" w:rsidRPr="00BB2B54"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lastRenderedPageBreak/>
        <w:t>Soil pH was determined in a 1:2.5 soil-to-water suspension, and electrical conductivity (EC) was measured in a 1:5 soil-water extract using a conductivity meter</w:t>
      </w:r>
      <w:r w:rsidR="0095036A">
        <w:rPr>
          <w:rFonts w:ascii="Times New Roman" w:eastAsia="Times New Roman" w:hAnsi="Times New Roman" w:cs="Times New Roman"/>
          <w:sz w:val="24"/>
          <w:szCs w:val="24"/>
        </w:rPr>
        <w:t xml:space="preserve"> (Jones </w:t>
      </w:r>
      <w:r w:rsidR="0095036A" w:rsidRPr="00ED0D52">
        <w:rPr>
          <w:rFonts w:ascii="Times New Roman" w:eastAsia="Georgia" w:hAnsi="Times New Roman" w:cs="Times New Roman"/>
          <w:color w:val="000000"/>
          <w:sz w:val="24"/>
          <w:szCs w:val="24"/>
        </w:rPr>
        <w:t>et al., 201</w:t>
      </w:r>
      <w:r w:rsidR="0095036A">
        <w:rPr>
          <w:rFonts w:ascii="Times New Roman" w:eastAsia="Georgia" w:hAnsi="Times New Roman" w:cs="Times New Roman"/>
          <w:color w:val="000000"/>
          <w:sz w:val="24"/>
          <w:szCs w:val="24"/>
        </w:rPr>
        <w:t>8)</w:t>
      </w:r>
      <w:r w:rsidRPr="00A723CE">
        <w:rPr>
          <w:rFonts w:ascii="Times New Roman" w:eastAsia="Times New Roman" w:hAnsi="Times New Roman" w:cs="Times New Roman"/>
          <w:sz w:val="24"/>
          <w:szCs w:val="24"/>
        </w:rPr>
        <w:t>. Soil organic carbon (SOC) was estimated by the Walkley–Black method</w:t>
      </w:r>
      <w:r w:rsidR="0095036A">
        <w:rPr>
          <w:rFonts w:ascii="Times New Roman" w:eastAsia="Georgia" w:hAnsi="Times New Roman" w:cs="Times New Roman"/>
          <w:color w:val="000000"/>
          <w:sz w:val="24"/>
          <w:szCs w:val="24"/>
        </w:rPr>
        <w:t xml:space="preserve"> (</w:t>
      </w:r>
      <w:r w:rsidR="0095036A" w:rsidRPr="0095036A">
        <w:rPr>
          <w:rFonts w:ascii="Times New Roman" w:eastAsia="Times New Roman" w:hAnsi="Times New Roman" w:cs="Times New Roman"/>
          <w:kern w:val="36"/>
          <w:sz w:val="24"/>
          <w:szCs w:val="24"/>
        </w:rPr>
        <w:t>Nelson</w:t>
      </w:r>
      <w:r w:rsidR="0095036A">
        <w:rPr>
          <w:rFonts w:ascii="Times New Roman" w:eastAsia="Times New Roman" w:hAnsi="Times New Roman" w:cs="Times New Roman"/>
          <w:b/>
          <w:bCs/>
          <w:kern w:val="36"/>
          <w:sz w:val="24"/>
          <w:szCs w:val="24"/>
        </w:rPr>
        <w:t xml:space="preserve"> </w:t>
      </w:r>
      <w:r w:rsidR="0095036A" w:rsidRPr="00ED0D52">
        <w:rPr>
          <w:rFonts w:ascii="Times New Roman" w:eastAsia="Georgia" w:hAnsi="Times New Roman" w:cs="Times New Roman"/>
          <w:color w:val="000000"/>
          <w:sz w:val="24"/>
          <w:szCs w:val="24"/>
        </w:rPr>
        <w:t xml:space="preserve">et al., </w:t>
      </w:r>
      <w:r w:rsidR="0095036A">
        <w:rPr>
          <w:rFonts w:ascii="Times New Roman" w:eastAsia="Georgia" w:hAnsi="Times New Roman" w:cs="Times New Roman"/>
          <w:color w:val="000000"/>
          <w:sz w:val="24"/>
          <w:szCs w:val="24"/>
        </w:rPr>
        <w:t>1996)</w:t>
      </w:r>
      <w:r w:rsidR="0095036A">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Bulk density (BD) was determined using the core method as</w:t>
      </w:r>
      <w:r w:rsidR="00BB2B54">
        <w:rPr>
          <w:rFonts w:ascii="Times New Roman" w:eastAsia="Times New Roman" w:hAnsi="Times New Roman" w:cs="Times New Roman"/>
          <w:sz w:val="24"/>
          <w:szCs w:val="24"/>
        </w:rPr>
        <w:t xml:space="preserve"> (</w:t>
      </w:r>
      <w:r w:rsidR="00BB2B54" w:rsidRPr="00BB2B54">
        <w:rPr>
          <w:rFonts w:ascii="Times New Roman" w:eastAsia="Times New Roman" w:hAnsi="Times New Roman" w:cs="Times New Roman"/>
          <w:kern w:val="36"/>
          <w:sz w:val="24"/>
          <w:szCs w:val="24"/>
        </w:rPr>
        <w:t>Blake et al.,1986)</w:t>
      </w:r>
    </w:p>
    <w:p w14:paraId="78BA299E" w14:textId="77777777" w:rsidR="00A723CE" w:rsidRPr="00A723CE" w:rsidRDefault="00A723CE" w:rsidP="00815A2D">
      <w:pPr>
        <w:spacing w:after="0" w:line="240" w:lineRule="auto"/>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BD</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Mass of oven-dry soil</m:t>
              </m:r>
            </m:num>
            <m:den>
              <m:r>
                <m:rPr>
                  <m:nor/>
                </m:rPr>
                <w:rPr>
                  <w:rFonts w:ascii="Times New Roman" w:eastAsia="Times New Roman" w:hAnsi="Times New Roman" w:cs="Times New Roman"/>
                  <w:sz w:val="24"/>
                  <w:szCs w:val="24"/>
                </w:rPr>
                <m:t>Volume of core</m:t>
              </m:r>
            </m:den>
          </m:f>
          <m:r>
            <m:rPr>
              <m:sty m:val="p"/>
            </m:rPr>
            <w:rPr>
              <w:rFonts w:ascii="Times New Roman" w:eastAsia="Times New Roman" w:hAnsi="Times New Roman" w:cs="Times New Roman"/>
              <w:sz w:val="24"/>
              <w:szCs w:val="24"/>
            </w:rPr>
            <w:br/>
          </m:r>
        </m:oMath>
      </m:oMathPara>
    </w:p>
    <w:p w14:paraId="18DB96B9" w14:textId="77777777"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Water holding capacity (WHC) was determined gravimetrically:</w:t>
      </w:r>
    </w:p>
    <w:p w14:paraId="3B3208A8" w14:textId="77777777" w:rsidR="00A723CE" w:rsidRPr="00A723CE" w:rsidRDefault="00A723CE" w:rsidP="00815A2D">
      <w:pPr>
        <w:spacing w:after="0" w:line="240" w:lineRule="auto"/>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WHC (%)</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Water retained</m:t>
              </m:r>
            </m:num>
            <m:den>
              <m:r>
                <m:rPr>
                  <m:nor/>
                </m:rPr>
                <w:rPr>
                  <w:rFonts w:ascii="Times New Roman" w:eastAsia="Times New Roman" w:hAnsi="Times New Roman" w:cs="Times New Roman"/>
                  <w:sz w:val="24"/>
                  <w:szCs w:val="24"/>
                </w:rPr>
                <m:t>Oven-dry soil weight</m:t>
              </m:r>
            </m:den>
          </m:f>
          <m:r>
            <w:rPr>
              <w:rFonts w:ascii="Cambria Math" w:eastAsia="Times New Roman" w:hAnsi="Cambria Math" w:cs="Times New Roman"/>
              <w:sz w:val="24"/>
              <w:szCs w:val="24"/>
            </w:rPr>
            <m:t>×100</m:t>
          </m:r>
          <m:r>
            <m:rPr>
              <m:sty m:val="p"/>
            </m:rPr>
            <w:rPr>
              <w:rFonts w:ascii="Times New Roman" w:eastAsia="Times New Roman" w:hAnsi="Times New Roman" w:cs="Times New Roman"/>
              <w:sz w:val="24"/>
              <w:szCs w:val="24"/>
            </w:rPr>
            <w:br/>
          </m:r>
        </m:oMath>
      </m:oMathPara>
    </w:p>
    <w:p w14:paraId="48D27DDB" w14:textId="7B651921"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Cation exchange capacity (CEC) was measured using ammonium acetate extraction at pH 7. Available phosphorus (P) and potassium (K) were determined using Olsen’s and ammonium acetate methods, respectively. All analyses followed standard procedures (</w:t>
      </w:r>
      <w:r w:rsidR="00BB2B54">
        <w:rPr>
          <w:rFonts w:ascii="Times New Roman" w:eastAsia="Times New Roman" w:hAnsi="Times New Roman" w:cs="Times New Roman"/>
          <w:sz w:val="24"/>
          <w:szCs w:val="24"/>
        </w:rPr>
        <w:t>Keeney</w:t>
      </w:r>
      <w:r w:rsidRPr="00A723CE">
        <w:rPr>
          <w:rFonts w:ascii="Times New Roman" w:eastAsia="Times New Roman" w:hAnsi="Times New Roman" w:cs="Times New Roman"/>
          <w:sz w:val="24"/>
          <w:szCs w:val="24"/>
        </w:rPr>
        <w:t xml:space="preserve"> et al., 1982).</w:t>
      </w:r>
    </w:p>
    <w:p w14:paraId="46F9DA20" w14:textId="77777777" w:rsidR="00A723CE" w:rsidRPr="00ED0D52"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2.3 Plant Growth Assessment</w:t>
      </w:r>
    </w:p>
    <w:p w14:paraId="15146C61" w14:textId="58980928" w:rsidR="00A723CE" w:rsidRPr="00A723CE" w:rsidRDefault="001B57C4" w:rsidP="00815A2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s</w:t>
      </w:r>
      <w:r w:rsidR="00A723CE" w:rsidRPr="00A723CE">
        <w:rPr>
          <w:rFonts w:ascii="Times New Roman" w:eastAsia="Times New Roman" w:hAnsi="Times New Roman" w:cs="Times New Roman"/>
          <w:sz w:val="24"/>
          <w:szCs w:val="24"/>
        </w:rPr>
        <w:t xml:space="preserve">hoot length and root length were measured after the experimental </w:t>
      </w:r>
      <w:r>
        <w:rPr>
          <w:rFonts w:ascii="Times New Roman" w:eastAsia="Times New Roman" w:hAnsi="Times New Roman" w:cs="Times New Roman"/>
          <w:sz w:val="24"/>
          <w:szCs w:val="24"/>
        </w:rPr>
        <w:t xml:space="preserve">90 days </w:t>
      </w:r>
      <w:r w:rsidR="00A723CE" w:rsidRPr="00A723CE">
        <w:rPr>
          <w:rFonts w:ascii="Times New Roman" w:eastAsia="Times New Roman" w:hAnsi="Times New Roman" w:cs="Times New Roman"/>
          <w:sz w:val="24"/>
          <w:szCs w:val="24"/>
        </w:rPr>
        <w:t>growth period using a standard scale (Marschner, 1995).</w:t>
      </w:r>
    </w:p>
    <w:p w14:paraId="7A31D42A" w14:textId="77777777"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Germination percentage was calculated as:</w:t>
      </w:r>
    </w:p>
    <w:p w14:paraId="64A54797" w14:textId="77777777" w:rsidR="00A723CE" w:rsidRPr="00A723CE" w:rsidRDefault="00A723CE" w:rsidP="00815A2D">
      <w:pPr>
        <w:spacing w:after="0" w:line="240" w:lineRule="auto"/>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Germination (%)</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Number of seeds germinated</m:t>
              </m:r>
            </m:num>
            <m:den>
              <m:r>
                <m:rPr>
                  <m:nor/>
                </m:rPr>
                <w:rPr>
                  <w:rFonts w:ascii="Times New Roman" w:eastAsia="Times New Roman" w:hAnsi="Times New Roman" w:cs="Times New Roman"/>
                  <w:sz w:val="24"/>
                  <w:szCs w:val="24"/>
                </w:rPr>
                <m:t>Total seeds sown</m:t>
              </m:r>
            </m:den>
          </m:f>
          <m:r>
            <w:rPr>
              <w:rFonts w:ascii="Cambria Math" w:eastAsia="Times New Roman" w:hAnsi="Cambria Math" w:cs="Times New Roman"/>
              <w:sz w:val="24"/>
              <w:szCs w:val="24"/>
            </w:rPr>
            <m:t>×100</m:t>
          </m:r>
          <m:r>
            <m:rPr>
              <m:sty m:val="p"/>
            </m:rPr>
            <w:rPr>
              <w:rFonts w:ascii="Times New Roman" w:eastAsia="Times New Roman" w:hAnsi="Times New Roman" w:cs="Times New Roman"/>
              <w:sz w:val="24"/>
              <w:szCs w:val="24"/>
            </w:rPr>
            <w:br/>
          </m:r>
        </m:oMath>
      </m:oMathPara>
    </w:p>
    <w:p w14:paraId="43785FBE" w14:textId="4E332435" w:rsidR="00A723CE" w:rsidRPr="00A723CE" w:rsidRDefault="00A723CE" w:rsidP="00815A2D">
      <w:pPr>
        <w:spacing w:after="0" w:line="240" w:lineRule="auto"/>
        <w:jc w:val="both"/>
        <w:rPr>
          <w:rFonts w:ascii="Times New Roman" w:eastAsia="Times New Roman" w:hAnsi="Times New Roman" w:cs="Times New Roman"/>
          <w:sz w:val="24"/>
          <w:szCs w:val="24"/>
        </w:rPr>
      </w:pPr>
    </w:p>
    <w:p w14:paraId="7BFDE764" w14:textId="77777777" w:rsidR="00A723CE" w:rsidRPr="00A723CE"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2.4 Mineral Nitrogen and Nitrification</w:t>
      </w:r>
    </w:p>
    <w:p w14:paraId="56A2F2B2" w14:textId="69E904E0"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 xml:space="preserve">Ammonium (NH₄⁺-N), nitrite (NO₂⁻-N), and nitrate (NO₃⁻-N) were extracted using 2 M </w:t>
      </w:r>
      <w:proofErr w:type="spellStart"/>
      <w:r w:rsidRPr="00A723CE">
        <w:rPr>
          <w:rFonts w:ascii="Times New Roman" w:eastAsia="Times New Roman" w:hAnsi="Times New Roman" w:cs="Times New Roman"/>
          <w:sz w:val="24"/>
          <w:szCs w:val="24"/>
        </w:rPr>
        <w:t>KCl</w:t>
      </w:r>
      <w:proofErr w:type="spellEnd"/>
      <w:r w:rsidRPr="00A723CE">
        <w:rPr>
          <w:rFonts w:ascii="Times New Roman" w:eastAsia="Times New Roman" w:hAnsi="Times New Roman" w:cs="Times New Roman"/>
          <w:sz w:val="24"/>
          <w:szCs w:val="24"/>
        </w:rPr>
        <w:t xml:space="preserve"> and determined </w:t>
      </w:r>
      <w:proofErr w:type="spellStart"/>
      <w:r w:rsidRPr="00A723CE">
        <w:rPr>
          <w:rFonts w:ascii="Times New Roman" w:eastAsia="Times New Roman" w:hAnsi="Times New Roman" w:cs="Times New Roman"/>
          <w:sz w:val="24"/>
          <w:szCs w:val="24"/>
        </w:rPr>
        <w:t>colorimetrically</w:t>
      </w:r>
      <w:proofErr w:type="spellEnd"/>
      <w:r w:rsidRPr="00ED0D52">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Keeney and Nelson (1982</w:t>
      </w:r>
      <w:r w:rsidR="00BB2B54">
        <w:rPr>
          <w:rFonts w:ascii="Times New Roman" w:eastAsia="Times New Roman" w:hAnsi="Times New Roman" w:cs="Times New Roman"/>
          <w:sz w:val="24"/>
          <w:szCs w:val="24"/>
        </w:rPr>
        <w:t>; Hart et al.,1994</w:t>
      </w:r>
      <w:r w:rsidRPr="00A723CE">
        <w:rPr>
          <w:rFonts w:ascii="Times New Roman" w:eastAsia="Times New Roman" w:hAnsi="Times New Roman" w:cs="Times New Roman"/>
          <w:sz w:val="24"/>
          <w:szCs w:val="24"/>
        </w:rPr>
        <w:t xml:space="preserve"> and Miranda et al. (2001).</w:t>
      </w:r>
    </w:p>
    <w:p w14:paraId="44456ACF" w14:textId="77777777"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The nitrification process is represented as:</w:t>
      </w:r>
    </w:p>
    <w:p w14:paraId="6CC0AF77" w14:textId="227B46CD" w:rsidR="00A723CE" w:rsidRPr="00A723CE" w:rsidRDefault="0036116E" w:rsidP="00815A2D">
      <w:pPr>
        <w:spacing w:after="0" w:line="240" w:lineRule="auto"/>
        <w:jc w:val="both"/>
        <w:rPr>
          <w:rFonts w:ascii="Times New Roman" w:eastAsia="Times New Roman" w:hAnsi="Times New Roman" w:cs="Times New Roman"/>
          <w:sz w:val="24"/>
          <w:szCs w:val="24"/>
        </w:rPr>
      </w:pPr>
      <m:oMathPara>
        <m:oMath>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NH</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m:t>
              </m:r>
            </m:sup>
          </m:sSubSup>
          <m:r>
            <w:rPr>
              <w:rFonts w:ascii="Cambria Math" w:eastAsia="Times New Roman" w:hAnsi="Cambria Math" w:cs="Times New Roman"/>
              <w:sz w:val="24"/>
              <w:szCs w:val="24"/>
            </w:rPr>
            <m:t>→</m:t>
          </m:r>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NO</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m:t>
              </m:r>
            </m:sup>
          </m:sSubSup>
          <m:r>
            <w:rPr>
              <w:rFonts w:ascii="Cambria Math" w:eastAsia="Times New Roman" w:hAnsi="Cambria Math" w:cs="Times New Roman"/>
              <w:sz w:val="24"/>
              <w:szCs w:val="24"/>
            </w:rPr>
            <m:t>→</m:t>
          </m:r>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NO</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m:t>
              </m:r>
            </m:sup>
          </m:sSubSup>
          <m:r>
            <m:rPr>
              <m:sty m:val="p"/>
            </m:rPr>
            <w:rPr>
              <w:rFonts w:ascii="Times New Roman" w:eastAsia="Times New Roman" w:hAnsi="Times New Roman" w:cs="Times New Roman"/>
              <w:sz w:val="24"/>
              <w:szCs w:val="24"/>
            </w:rPr>
            <w:br/>
          </m:r>
        </m:oMath>
      </m:oMathPara>
      <w:r w:rsidR="00A723CE" w:rsidRPr="00A723CE">
        <w:rPr>
          <w:rFonts w:ascii="Times New Roman" w:eastAsia="Times New Roman" w:hAnsi="Times New Roman" w:cs="Times New Roman"/>
          <w:sz w:val="24"/>
          <w:szCs w:val="24"/>
        </w:rPr>
        <w:t>A nitrification index (NI) was estimated as:</w:t>
      </w:r>
    </w:p>
    <w:p w14:paraId="371866B6" w14:textId="77777777" w:rsidR="00A723CE" w:rsidRPr="00A723CE" w:rsidRDefault="00A723CE" w:rsidP="00815A2D">
      <w:pPr>
        <w:spacing w:after="0" w:line="240" w:lineRule="auto"/>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NI</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NO</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m:t>
                  </m:r>
                </m:sup>
              </m:sSubSup>
            </m:num>
            <m:den>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NH</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m:t>
                  </m:r>
                </m:sup>
              </m:sSubSup>
              <m:r>
                <w:rPr>
                  <w:rFonts w:ascii="Cambria Math" w:eastAsia="Times New Roman" w:hAnsi="Cambria Math" w:cs="Times New Roman"/>
                  <w:sz w:val="24"/>
                  <w:szCs w:val="24"/>
                </w:rPr>
                <m:t>+</m:t>
              </m:r>
              <m:sSubSup>
                <m:sSubSupPr>
                  <m:ctrlPr>
                    <w:rPr>
                      <w:rFonts w:ascii="Cambria Math" w:eastAsia="Times New Roman" w:hAnsi="Cambria Math" w:cs="Times New Roman"/>
                      <w:sz w:val="24"/>
                      <w:szCs w:val="24"/>
                    </w:rPr>
                  </m:ctrlPr>
                </m:sSubSupPr>
                <m:e>
                  <m:r>
                    <m:rPr>
                      <m:nor/>
                    </m:rPr>
                    <w:rPr>
                      <w:rFonts w:ascii="Times New Roman" w:eastAsia="Times New Roman" w:hAnsi="Times New Roman" w:cs="Times New Roman"/>
                      <w:sz w:val="24"/>
                      <w:szCs w:val="24"/>
                    </w:rPr>
                    <m:t>NO</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m:t>
                  </m:r>
                </m:sup>
              </m:sSubSup>
            </m:den>
          </m:f>
          <m:r>
            <m:rPr>
              <m:sty m:val="p"/>
            </m:rPr>
            <w:rPr>
              <w:rFonts w:ascii="Times New Roman" w:eastAsia="Times New Roman" w:hAnsi="Times New Roman" w:cs="Times New Roman"/>
              <w:sz w:val="24"/>
              <w:szCs w:val="24"/>
            </w:rPr>
            <w:br/>
          </m:r>
        </m:oMath>
      </m:oMathPara>
    </w:p>
    <w:p w14:paraId="4A95FB8A" w14:textId="6E57DA8C" w:rsidR="00A723CE" w:rsidRPr="00A723CE" w:rsidRDefault="00A723CE" w:rsidP="00815A2D">
      <w:pPr>
        <w:spacing w:after="0" w:line="240" w:lineRule="auto"/>
        <w:jc w:val="both"/>
        <w:rPr>
          <w:rFonts w:ascii="Times New Roman" w:eastAsia="Times New Roman" w:hAnsi="Times New Roman" w:cs="Times New Roman"/>
          <w:sz w:val="24"/>
          <w:szCs w:val="24"/>
        </w:rPr>
      </w:pPr>
    </w:p>
    <w:p w14:paraId="76DFC91A" w14:textId="77777777" w:rsidR="00A723CE" w:rsidRPr="00A723CE"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2.5 Microbial Population Analysis</w:t>
      </w:r>
    </w:p>
    <w:p w14:paraId="74E824EA" w14:textId="27336352"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lastRenderedPageBreak/>
        <w:t>Soil microbial populations were enumerated using the serial dilution and plate count technique. Bacteria were cultured on nutrient agar, fungi on Rose Bengal agar, and actinomycetes on starch-casein agar. Colony-forming units (CFU) were expressed per gram of dry soil (Wollum, 1982; Pau</w:t>
      </w:r>
      <w:r w:rsidR="00BB2B54">
        <w:rPr>
          <w:rFonts w:ascii="Times New Roman" w:eastAsia="Times New Roman" w:hAnsi="Times New Roman" w:cs="Times New Roman"/>
          <w:sz w:val="24"/>
          <w:szCs w:val="24"/>
        </w:rPr>
        <w:t>l et al.</w:t>
      </w:r>
      <w:r w:rsidRPr="00A723CE">
        <w:rPr>
          <w:rFonts w:ascii="Times New Roman" w:eastAsia="Times New Roman" w:hAnsi="Times New Roman" w:cs="Times New Roman"/>
          <w:sz w:val="24"/>
          <w:szCs w:val="24"/>
        </w:rPr>
        <w:t xml:space="preserve">, </w:t>
      </w:r>
      <w:r w:rsidR="00BB2B54">
        <w:rPr>
          <w:rFonts w:ascii="Times New Roman" w:eastAsia="Times New Roman" w:hAnsi="Times New Roman" w:cs="Times New Roman"/>
          <w:sz w:val="24"/>
          <w:szCs w:val="24"/>
        </w:rPr>
        <w:t>2023</w:t>
      </w:r>
      <w:r w:rsidRPr="00A723CE">
        <w:rPr>
          <w:rFonts w:ascii="Times New Roman" w:eastAsia="Times New Roman" w:hAnsi="Times New Roman" w:cs="Times New Roman"/>
          <w:sz w:val="24"/>
          <w:szCs w:val="24"/>
        </w:rPr>
        <w:t>).</w:t>
      </w:r>
    </w:p>
    <w:p w14:paraId="08DD278A" w14:textId="77777777" w:rsidR="00A723CE" w:rsidRPr="00A723CE"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2.6 Enzyme Activities</w:t>
      </w:r>
    </w:p>
    <w:p w14:paraId="0E084245" w14:textId="7A5E982D"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 xml:space="preserve">Urease activity was determined by measuring ammonium released after urea hydrolysis and expressed as µg NH₄⁺ g⁻¹ soil h⁻¹ (Tabatabai </w:t>
      </w:r>
      <w:r w:rsidR="00BB2B54">
        <w:rPr>
          <w:rFonts w:ascii="Times New Roman" w:eastAsia="Times New Roman" w:hAnsi="Times New Roman" w:cs="Times New Roman"/>
          <w:sz w:val="24"/>
          <w:szCs w:val="24"/>
        </w:rPr>
        <w:t>et al.,</w:t>
      </w:r>
      <w:r w:rsidRPr="00A723CE">
        <w:rPr>
          <w:rFonts w:ascii="Times New Roman" w:eastAsia="Times New Roman" w:hAnsi="Times New Roman" w:cs="Times New Roman"/>
          <w:sz w:val="24"/>
          <w:szCs w:val="24"/>
        </w:rPr>
        <w:t>1972).</w:t>
      </w:r>
      <w:r w:rsidR="00BB2B54">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Dehydrogenase activity was measured using INT reduction method and expressed as µg TPF g⁻¹ soil day⁻¹ (Casida et al., 1964).</w:t>
      </w:r>
      <w:r w:rsidR="00BB2B54">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Fluorescein diacetate (FDA) hydrolysis</w:t>
      </w:r>
      <w:r w:rsidRPr="00ED0D52">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(Adam and Duncan, 2001)</w:t>
      </w:r>
      <w:r w:rsidRPr="00ED0D52">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was used to estimate total microbial activity:</w:t>
      </w:r>
    </w:p>
    <w:p w14:paraId="6DE2FCAC" w14:textId="77777777" w:rsidR="00A723CE" w:rsidRPr="00A723CE" w:rsidRDefault="00A723CE" w:rsidP="00815A2D">
      <w:pPr>
        <w:spacing w:after="0" w:line="240" w:lineRule="auto"/>
        <w:jc w:val="both"/>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FDA activity</m:t>
          </m:r>
          <m:r>
            <w:rPr>
              <w:rFonts w:ascii="Cambria Math" w:eastAsia="Times New Roman" w:hAnsi="Cambria Math" w:cs="Times New Roman"/>
              <w:sz w:val="24"/>
              <w:szCs w:val="24"/>
            </w:rPr>
            <m:t>∝</m:t>
          </m:r>
          <m:r>
            <m:rPr>
              <m:nor/>
            </m:rPr>
            <w:rPr>
              <w:rFonts w:ascii="Times New Roman" w:eastAsia="Times New Roman" w:hAnsi="Times New Roman" w:cs="Times New Roman"/>
              <w:sz w:val="24"/>
              <w:szCs w:val="24"/>
            </w:rPr>
            <m:t>Fluorescein released</m:t>
          </m:r>
          <m:r>
            <m:rPr>
              <m:sty m:val="p"/>
            </m:rPr>
            <w:rPr>
              <w:rFonts w:ascii="Times New Roman" w:eastAsia="Times New Roman" w:hAnsi="Times New Roman" w:cs="Times New Roman"/>
              <w:sz w:val="24"/>
              <w:szCs w:val="24"/>
            </w:rPr>
            <w:br/>
          </m:r>
        </m:oMath>
      </m:oMathPara>
    </w:p>
    <w:p w14:paraId="17414E92" w14:textId="76EFA458" w:rsidR="00A723CE" w:rsidRPr="00A723CE" w:rsidRDefault="00A723CE" w:rsidP="00815A2D">
      <w:pPr>
        <w:spacing w:after="0" w:line="240" w:lineRule="auto"/>
        <w:jc w:val="both"/>
        <w:rPr>
          <w:rFonts w:ascii="Times New Roman" w:eastAsia="Times New Roman" w:hAnsi="Times New Roman" w:cs="Times New Roman"/>
          <w:sz w:val="24"/>
          <w:szCs w:val="24"/>
        </w:rPr>
      </w:pPr>
    </w:p>
    <w:p w14:paraId="3F6FE4E5" w14:textId="77777777" w:rsidR="00A723CE" w:rsidRPr="00A723CE" w:rsidRDefault="00A723CE" w:rsidP="00815A2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723CE">
        <w:rPr>
          <w:rFonts w:ascii="Times New Roman" w:eastAsia="Times New Roman" w:hAnsi="Times New Roman" w:cs="Times New Roman"/>
          <w:b/>
          <w:bCs/>
          <w:sz w:val="24"/>
          <w:szCs w:val="24"/>
        </w:rPr>
        <w:t>2.7 Statistical Analysis</w:t>
      </w:r>
    </w:p>
    <w:p w14:paraId="42AD0553" w14:textId="73C8325F" w:rsidR="00A723CE" w:rsidRPr="00A723CE" w:rsidRDefault="00A723CE" w:rsidP="00815A2D">
      <w:pPr>
        <w:spacing w:before="100" w:beforeAutospacing="1" w:after="100" w:afterAutospacing="1" w:line="240" w:lineRule="auto"/>
        <w:jc w:val="both"/>
        <w:rPr>
          <w:rFonts w:ascii="Times New Roman" w:eastAsia="Times New Roman" w:hAnsi="Times New Roman" w:cs="Times New Roman"/>
          <w:sz w:val="24"/>
          <w:szCs w:val="24"/>
        </w:rPr>
      </w:pPr>
      <w:r w:rsidRPr="00A723CE">
        <w:rPr>
          <w:rFonts w:ascii="Times New Roman" w:eastAsia="Times New Roman" w:hAnsi="Times New Roman" w:cs="Times New Roman"/>
          <w:sz w:val="24"/>
          <w:szCs w:val="24"/>
        </w:rPr>
        <w:t>Data were expressed as mean ± standard deviation</w:t>
      </w:r>
      <w:r w:rsidRPr="00ED0D52">
        <w:rPr>
          <w:rFonts w:ascii="Times New Roman" w:eastAsia="Times New Roman" w:hAnsi="Times New Roman" w:cs="Times New Roman"/>
          <w:sz w:val="24"/>
          <w:szCs w:val="24"/>
        </w:rPr>
        <w:t xml:space="preserve">. </w:t>
      </w:r>
      <w:r w:rsidRPr="00A723CE">
        <w:rPr>
          <w:rFonts w:ascii="Times New Roman" w:eastAsia="Times New Roman" w:hAnsi="Times New Roman" w:cs="Times New Roman"/>
          <w:sz w:val="24"/>
          <w:szCs w:val="24"/>
        </w:rPr>
        <w:t>Statistical significance among treatments was determined using one-way analysis of variance (ANOVA). Mean comparisons were performed using Duncan’s Multiple Range Test (DMRT) at a significance level of p &lt; 0.05</w:t>
      </w:r>
      <w:r w:rsidR="00F71A41" w:rsidRPr="00ED0D52">
        <w:rPr>
          <w:rFonts w:ascii="Times New Roman" w:eastAsia="Times New Roman" w:hAnsi="Times New Roman" w:cs="Times New Roman"/>
          <w:sz w:val="24"/>
          <w:szCs w:val="24"/>
        </w:rPr>
        <w:t>.</w:t>
      </w:r>
    </w:p>
    <w:p w14:paraId="234913CF" w14:textId="77777777" w:rsidR="00953B53" w:rsidRPr="00ED0D52" w:rsidRDefault="00953B53" w:rsidP="00815A2D">
      <w:pPr>
        <w:spacing w:before="100" w:beforeAutospacing="1" w:after="100" w:afterAutospacing="1" w:line="276" w:lineRule="auto"/>
        <w:jc w:val="both"/>
        <w:outlineLvl w:val="0"/>
        <w:rPr>
          <w:rFonts w:ascii="Times New Roman" w:eastAsia="Times New Roman" w:hAnsi="Times New Roman" w:cs="Times New Roman"/>
          <w:b/>
          <w:bCs/>
          <w:kern w:val="36"/>
          <w:sz w:val="24"/>
          <w:szCs w:val="24"/>
        </w:rPr>
      </w:pPr>
      <w:r w:rsidRPr="00ED0D52">
        <w:rPr>
          <w:rFonts w:ascii="Times New Roman" w:eastAsia="Times New Roman" w:hAnsi="Times New Roman" w:cs="Times New Roman"/>
          <w:b/>
          <w:bCs/>
          <w:kern w:val="36"/>
          <w:sz w:val="24"/>
          <w:szCs w:val="24"/>
        </w:rPr>
        <w:t>Results and Discussion</w:t>
      </w:r>
    </w:p>
    <w:p w14:paraId="4589C24B" w14:textId="77777777" w:rsidR="00953B53" w:rsidRPr="00ED0D52" w:rsidRDefault="00953B53"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ED0D52">
        <w:rPr>
          <w:rFonts w:ascii="Times New Roman" w:eastAsia="Times New Roman" w:hAnsi="Times New Roman" w:cs="Times New Roman"/>
          <w:b/>
          <w:bCs/>
          <w:sz w:val="24"/>
          <w:szCs w:val="24"/>
        </w:rPr>
        <w:t>3.1 Soil Physicochemical Properties</w:t>
      </w:r>
    </w:p>
    <w:p w14:paraId="50EF85C5" w14:textId="77777777" w:rsidR="00953B53" w:rsidRPr="00ED0D52" w:rsidRDefault="00953B53" w:rsidP="00815A2D">
      <w:pPr>
        <w:spacing w:before="100" w:beforeAutospacing="1" w:after="100" w:afterAutospacing="1"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Urea application significantly influenced soil physicochemical, biological, and biochemical properties, reflecting rapid nitrogen transformation and its cascading effects on soil processes (). Soil pH increased slightly from 5.51 to 5.71 with increasing urea levels (Table 1), indicating a transient alkalinization phase driven by urea hydrolysis. This phenomenon is widely reported in recent studies, where ammonification temporarily neutralizes soil acidity before nitrification generates protons and induces acidification (</w:t>
      </w:r>
      <w:proofErr w:type="spellStart"/>
      <w:r w:rsidRPr="00ED0D52">
        <w:rPr>
          <w:rFonts w:ascii="Times New Roman" w:eastAsia="Times New Roman" w:hAnsi="Times New Roman" w:cs="Times New Roman"/>
          <w:sz w:val="24"/>
          <w:szCs w:val="24"/>
        </w:rPr>
        <w:t>Motasim</w:t>
      </w:r>
      <w:proofErr w:type="spellEnd"/>
      <w:r w:rsidRPr="00ED0D52">
        <w:rPr>
          <w:rFonts w:ascii="Times New Roman" w:eastAsia="Times New Roman" w:hAnsi="Times New Roman" w:cs="Times New Roman"/>
          <w:sz w:val="24"/>
          <w:szCs w:val="24"/>
        </w:rPr>
        <w:t xml:space="preserve"> et al., 2024; Jiang et al., 2024). The relatively small change in pH suggests buffering effects of the acidic soil matrix.</w:t>
      </w:r>
    </w:p>
    <w:p w14:paraId="7C2E8250" w14:textId="058ED49C" w:rsidR="00953B53" w:rsidRPr="00ED0D52" w:rsidRDefault="00953B53" w:rsidP="00815A2D">
      <w:pPr>
        <w:spacing w:before="100" w:beforeAutospacing="1" w:after="100" w:afterAutospacing="1"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 xml:space="preserve">Electrical conductivity (EC) increased significantly with urea application, indicating enhanced ionic concentration due to nitrogen mineralization and accumulation of soluble salts. Similar trends have been reported in recent studies, highlighting increased solute concentration and nutrient mobility under nitrogen fertilization (Li et al., 2025). </w:t>
      </w:r>
      <w:r w:rsidR="00E249D9" w:rsidRPr="00ED0D52">
        <w:rPr>
          <w:rFonts w:ascii="Times New Roman" w:eastAsia="Times New Roman" w:hAnsi="Times New Roman" w:cs="Times New Roman"/>
          <w:sz w:val="24"/>
          <w:szCs w:val="24"/>
        </w:rPr>
        <w:t xml:space="preserve">In addition, bulk density exhibited a slight numerical decline from 1351.25 to 1329.75 kg m⁻³ with increasing urea application (Table 1), although the differences were not statistically significant. This trend may indicate improved soil aggregation and increased porosity due to enhanced microbial activity and organic binding agents produced during nitrogen transformation. Similar slight reductions in bulk density following nitrogen addition have been reported in short-term studies, although more pronounced effects are typically observed under long-term fertilization regimes (Han et al., 2025). </w:t>
      </w:r>
      <w:r w:rsidRPr="00ED0D52">
        <w:rPr>
          <w:rFonts w:ascii="Times New Roman" w:eastAsia="Times New Roman" w:hAnsi="Times New Roman" w:cs="Times New Roman"/>
          <w:sz w:val="24"/>
          <w:szCs w:val="24"/>
        </w:rPr>
        <w:t xml:space="preserve">The increase in cation exchange capacity (CEC) </w:t>
      </w:r>
      <w:r w:rsidRPr="00ED0D52">
        <w:rPr>
          <w:rFonts w:ascii="Times New Roman" w:eastAsia="Times New Roman" w:hAnsi="Times New Roman" w:cs="Times New Roman"/>
          <w:sz w:val="24"/>
          <w:szCs w:val="24"/>
        </w:rPr>
        <w:lastRenderedPageBreak/>
        <w:t>further indicates improved nutrient retention, likely due to increased ammonium adsorption and microbial-mediated changes in soil surface charge properties (Giannopoulos &amp; Elsgaard, 2024). Soil organic carbon and bulk density remained relatively stable, suggesting that short-term urea inputs primarily influence biochemical rather than structural properties (Han et al., 2025).</w:t>
      </w:r>
    </w:p>
    <w:p w14:paraId="476E00E3" w14:textId="14472A70" w:rsidR="00337B28" w:rsidRPr="00ED0D52" w:rsidRDefault="00953B53"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ED0D52">
        <w:rPr>
          <w:rFonts w:ascii="Times New Roman" w:eastAsia="Times New Roman" w:hAnsi="Times New Roman" w:cs="Times New Roman"/>
          <w:b/>
          <w:bCs/>
          <w:sz w:val="24"/>
          <w:szCs w:val="24"/>
        </w:rPr>
        <w:t>3.2 Plant Growth Response</w:t>
      </w:r>
    </w:p>
    <w:p w14:paraId="5F60BAD5" w14:textId="5D78F47A" w:rsidR="00731D85" w:rsidRPr="00ED0D52" w:rsidRDefault="00ED0D52" w:rsidP="00815A2D">
      <w:pPr>
        <w:spacing w:after="210" w:line="276" w:lineRule="auto"/>
        <w:jc w:val="both"/>
        <w:rPr>
          <w:rFonts w:ascii="Times New Roman" w:hAnsi="Times New Roman" w:cs="Times New Roman"/>
          <w:sz w:val="24"/>
          <w:szCs w:val="24"/>
        </w:rPr>
      </w:pPr>
      <w:r>
        <w:rPr>
          <w:rFonts w:ascii="Times New Roman" w:eastAsia="Georgia" w:hAnsi="Times New Roman" w:cs="Times New Roman"/>
          <w:color w:val="000000"/>
          <w:sz w:val="24"/>
          <w:szCs w:val="24"/>
        </w:rPr>
        <w:t>Maize s</w:t>
      </w:r>
      <w:r w:rsidR="00731D85" w:rsidRPr="00ED0D52">
        <w:rPr>
          <w:rFonts w:ascii="Times New Roman" w:eastAsia="Georgia" w:hAnsi="Times New Roman" w:cs="Times New Roman"/>
          <w:color w:val="000000"/>
          <w:sz w:val="24"/>
          <w:szCs w:val="24"/>
        </w:rPr>
        <w:t>eed germination percentage, shoot length, and root length were used as indicators of early biological response to the treated soils. Germination was recorded as the percentage of seeds successfully emerging, while shoot and root lengths were measured in centimeters after the experimental growth period. Seedling traits were included because they provide an integrative response to nutrient availability, osmotic effects, and rhizosphere microbial changes (</w:t>
      </w:r>
      <w:proofErr w:type="spellStart"/>
      <w:r w:rsidR="00BB2B54">
        <w:rPr>
          <w:rFonts w:ascii="Times New Roman" w:eastAsia="Georgia" w:hAnsi="Times New Roman" w:cs="Times New Roman"/>
          <w:color w:val="000000"/>
          <w:sz w:val="24"/>
          <w:szCs w:val="24"/>
        </w:rPr>
        <w:t>Kochian</w:t>
      </w:r>
      <w:proofErr w:type="spellEnd"/>
      <w:r w:rsidR="00731D85" w:rsidRPr="00ED0D52">
        <w:rPr>
          <w:rFonts w:ascii="Times New Roman" w:eastAsia="Georgia" w:hAnsi="Times New Roman" w:cs="Times New Roman"/>
          <w:color w:val="000000"/>
          <w:sz w:val="24"/>
          <w:szCs w:val="24"/>
        </w:rPr>
        <w:t xml:space="preserve"> et al., 2</w:t>
      </w:r>
      <w:r w:rsidR="00BB2B54">
        <w:rPr>
          <w:rFonts w:ascii="Times New Roman" w:eastAsia="Georgia" w:hAnsi="Times New Roman" w:cs="Times New Roman"/>
          <w:color w:val="000000"/>
          <w:sz w:val="24"/>
          <w:szCs w:val="24"/>
        </w:rPr>
        <w:t>015</w:t>
      </w:r>
      <w:r w:rsidR="00731D85" w:rsidRPr="00ED0D52">
        <w:rPr>
          <w:rFonts w:ascii="Times New Roman" w:eastAsia="Georgia" w:hAnsi="Times New Roman" w:cs="Times New Roman"/>
          <w:color w:val="000000"/>
          <w:sz w:val="24"/>
          <w:szCs w:val="24"/>
        </w:rPr>
        <w:t>).</w:t>
      </w:r>
      <w:r w:rsidR="00731D85" w:rsidRPr="00ED0D52">
        <w:rPr>
          <w:rFonts w:ascii="Times New Roman" w:eastAsia="Times New Roman" w:hAnsi="Times New Roman" w:cs="Times New Roman"/>
          <w:sz w:val="24"/>
          <w:szCs w:val="24"/>
        </w:rPr>
        <w:t xml:space="preserve"> These results are consistent with recent findings that nitrogen fertilization enhances plant physiological processes, including chlorophyll synthesis and enzymatic activity, thereby promoting biomass accumulation (Mi et al., 2024; Navarro et al., </w:t>
      </w:r>
      <w:r w:rsidR="00610383" w:rsidRPr="00ED0D52">
        <w:rPr>
          <w:rFonts w:ascii="Times New Roman" w:eastAsia="Times New Roman" w:hAnsi="Times New Roman" w:cs="Times New Roman"/>
          <w:sz w:val="24"/>
          <w:szCs w:val="24"/>
        </w:rPr>
        <w:t>2025</w:t>
      </w:r>
      <w:r w:rsidR="00610383" w:rsidRPr="00ED0D52">
        <w:rPr>
          <w:rFonts w:ascii="Times New Roman" w:eastAsia="Georgia" w:hAnsi="Times New Roman" w:cs="Times New Roman"/>
          <w:color w:val="000000"/>
          <w:sz w:val="24"/>
          <w:szCs w:val="24"/>
        </w:rPr>
        <w:t xml:space="preserve">; </w:t>
      </w:r>
      <w:r w:rsidR="00BB2B54" w:rsidRPr="00BB2B54">
        <w:rPr>
          <w:rFonts w:ascii="Times New Roman" w:eastAsia="Times New Roman" w:hAnsi="Times New Roman" w:cs="Times New Roman"/>
          <w:sz w:val="24"/>
          <w:szCs w:val="24"/>
        </w:rPr>
        <w:t>Martínez et al., 2024</w:t>
      </w:r>
      <w:r w:rsidR="00122E0A" w:rsidRPr="00BB2B54">
        <w:rPr>
          <w:rFonts w:ascii="Times New Roman" w:eastAsia="Georgia" w:hAnsi="Times New Roman" w:cs="Times New Roman"/>
          <w:color w:val="000000"/>
          <w:sz w:val="24"/>
          <w:szCs w:val="24"/>
        </w:rPr>
        <w:t>)</w:t>
      </w:r>
      <w:r w:rsidR="00731D85" w:rsidRPr="00BB2B54">
        <w:rPr>
          <w:rFonts w:ascii="Times New Roman" w:eastAsia="Times New Roman" w:hAnsi="Times New Roman" w:cs="Times New Roman"/>
          <w:sz w:val="24"/>
          <w:szCs w:val="24"/>
        </w:rPr>
        <w:t>.</w:t>
      </w:r>
      <w:r w:rsidR="00731D85" w:rsidRPr="00ED0D52">
        <w:rPr>
          <w:rFonts w:ascii="Times New Roman" w:eastAsia="Times New Roman" w:hAnsi="Times New Roman" w:cs="Times New Roman"/>
          <w:sz w:val="24"/>
          <w:szCs w:val="24"/>
        </w:rPr>
        <w:t xml:space="preserve"> Enhanced root growth further indicates improved nutrient acquisition capacity under increased nitrogen availability</w:t>
      </w:r>
    </w:p>
    <w:p w14:paraId="5D877C01" w14:textId="63363AC1" w:rsidR="00953B53" w:rsidRPr="00ED0D52" w:rsidRDefault="00953B53"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ED0D52">
        <w:rPr>
          <w:rFonts w:ascii="Times New Roman" w:eastAsia="Times New Roman" w:hAnsi="Times New Roman" w:cs="Times New Roman"/>
          <w:b/>
          <w:bCs/>
          <w:sz w:val="24"/>
          <w:szCs w:val="24"/>
        </w:rPr>
        <w:t>3.3 Mineral Nitrogen Dynamics</w:t>
      </w:r>
    </w:p>
    <w:p w14:paraId="470108BB" w14:textId="77777777" w:rsidR="00A4597C" w:rsidRPr="00ED0D52" w:rsidRDefault="00A4597C" w:rsidP="00815A2D">
      <w:pPr>
        <w:spacing w:before="315" w:after="105" w:line="276" w:lineRule="auto"/>
        <w:ind w:left="-30"/>
        <w:jc w:val="both"/>
        <w:rPr>
          <w:rFonts w:ascii="Times New Roman" w:hAnsi="Times New Roman" w:cs="Times New Roman"/>
          <w:sz w:val="24"/>
          <w:szCs w:val="24"/>
        </w:rPr>
      </w:pPr>
      <w:bookmarkStart w:id="3" w:name="mineral_nitrogen_pools_and_nitrif_7304a9"/>
      <w:r w:rsidRPr="00ED0D52">
        <w:rPr>
          <w:rFonts w:ascii="Times New Roman" w:eastAsia="Georgia" w:hAnsi="Times New Roman" w:cs="Times New Roman"/>
          <w:b/>
          <w:color w:val="000000"/>
          <w:sz w:val="24"/>
          <w:szCs w:val="24"/>
        </w:rPr>
        <w:t>Mineral nitrogen pools and nitrification indicators</w:t>
      </w:r>
      <w:bookmarkEnd w:id="3"/>
    </w:p>
    <w:p w14:paraId="35273E85" w14:textId="31FCA570" w:rsidR="0098357A" w:rsidRPr="0098357A" w:rsidRDefault="0098357A" w:rsidP="0098357A">
      <w:pPr>
        <w:spacing w:after="210" w:line="276" w:lineRule="auto"/>
        <w:jc w:val="both"/>
        <w:rPr>
          <w:rFonts w:ascii="Times New Roman" w:eastAsia="Georgia" w:hAnsi="Times New Roman" w:cs="Times New Roman"/>
          <w:color w:val="000000"/>
          <w:sz w:val="24"/>
          <w:szCs w:val="24"/>
        </w:rPr>
      </w:pPr>
      <w:r w:rsidRPr="0098357A">
        <w:rPr>
          <w:rFonts w:ascii="Times New Roman" w:eastAsia="Georgia" w:hAnsi="Times New Roman" w:cs="Times New Roman"/>
          <w:color w:val="000000"/>
          <w:sz w:val="24"/>
          <w:szCs w:val="24"/>
        </w:rPr>
        <w:t xml:space="preserve">Ammonium concentration increased significantly with urea addition, from 12.70 mg kg⁻¹ in the control to 18.72 mg kg⁻¹ at 0.1% urea and 23.47 mg kg⁻¹ at 0.2% urea. Nitrite also rose slightly but significantly, from 0.79 to 1.00 mg kg⁻¹, and nitrate increased from 21.92 to 28.75 and 33.47 mg kg⁻¹ across treatments (Table 3). The concurrent increase in NH₄⁺, NO₂⁻, and NO₃⁻ suggests active hydrolysis and nitrification under both urea doses (Diniz et al., 2025; </w:t>
      </w:r>
      <w:r w:rsidRPr="0098357A">
        <w:rPr>
          <w:rFonts w:ascii="Times New Roman" w:eastAsia="Times New Roman" w:hAnsi="Times New Roman" w:cs="Times New Roman"/>
          <w:sz w:val="24"/>
          <w:szCs w:val="24"/>
        </w:rPr>
        <w:t>Zhao</w:t>
      </w:r>
      <w:r w:rsidRPr="0098357A">
        <w:rPr>
          <w:rFonts w:ascii="Times New Roman" w:eastAsia="Georgia" w:hAnsi="Times New Roman" w:cs="Times New Roman"/>
          <w:color w:val="000000"/>
          <w:sz w:val="24"/>
          <w:szCs w:val="24"/>
        </w:rPr>
        <w:t xml:space="preserve"> et al., 2026; Ge et al., 2025).</w:t>
      </w:r>
      <w:r w:rsidRPr="0098357A">
        <w:rPr>
          <w:rFonts w:ascii="Times New Roman" w:eastAsia="Georgia" w:hAnsi="Times New Roman" w:cs="Times New Roman"/>
          <w:color w:val="000000"/>
          <w:sz w:val="24"/>
          <w:szCs w:val="24"/>
        </w:rPr>
        <w:br/>
        <w:t>The nitrification index reported in the dataset varied narrowly from 20.37 to 21.72, while net nitrification ranged from 8.33 to 9.86. Nitrification inhibition and net nitrification inhibition values were low and statistically non-significant, with some negative values at 0.2% urea function shown in Table 4 (</w:t>
      </w:r>
      <w:proofErr w:type="spellStart"/>
      <w:r w:rsidRPr="0098357A">
        <w:rPr>
          <w:rFonts w:ascii="Times New Roman" w:eastAsia="Georgia" w:hAnsi="Times New Roman" w:cs="Times New Roman"/>
          <w:color w:val="000000"/>
          <w:sz w:val="24"/>
          <w:szCs w:val="24"/>
        </w:rPr>
        <w:t>Dodla</w:t>
      </w:r>
      <w:proofErr w:type="spellEnd"/>
      <w:r w:rsidRPr="0098357A">
        <w:rPr>
          <w:rFonts w:ascii="Times New Roman" w:eastAsia="Georgia" w:hAnsi="Times New Roman" w:cs="Times New Roman"/>
          <w:color w:val="000000"/>
          <w:sz w:val="24"/>
          <w:szCs w:val="24"/>
        </w:rPr>
        <w:t xml:space="preserve"> et al., 2025; Zhao et al., 2026). These findings indicate that the applied urea did not inhibit nitrification; rather, it appears to have supported nitrogen transformation to nitrate, which agrees with prior reports that urea can stimulate nitrifier populations and accelerate acidification in acidic soils (Diniz et al., 2025; </w:t>
      </w:r>
      <w:proofErr w:type="spellStart"/>
      <w:r w:rsidRPr="0098357A">
        <w:rPr>
          <w:rFonts w:ascii="Times New Roman" w:eastAsia="Georgia" w:hAnsi="Times New Roman" w:cs="Times New Roman"/>
          <w:color w:val="000000"/>
          <w:sz w:val="24"/>
          <w:szCs w:val="24"/>
        </w:rPr>
        <w:t>zhao</w:t>
      </w:r>
      <w:proofErr w:type="spellEnd"/>
      <w:r w:rsidRPr="0098357A">
        <w:rPr>
          <w:rFonts w:ascii="Times New Roman" w:eastAsia="Georgia" w:hAnsi="Times New Roman" w:cs="Times New Roman"/>
          <w:color w:val="000000"/>
          <w:sz w:val="24"/>
          <w:szCs w:val="24"/>
        </w:rPr>
        <w:t xml:space="preserve"> et al., 2026; Ge et al., 2025).</w:t>
      </w:r>
      <w:r w:rsidRPr="0098357A">
        <w:rPr>
          <w:rFonts w:ascii="Times New Roman" w:eastAsia="Georgia" w:hAnsi="Times New Roman" w:cs="Times New Roman"/>
          <w:color w:val="000000"/>
          <w:sz w:val="24"/>
          <w:szCs w:val="24"/>
        </w:rPr>
        <w:br/>
        <w:t>Mineral nitrogen dynamics revealed a strong increase in NH₄⁺ and NO₃⁻ concentrations, indicating rapid urea hydrolysis followed by active nitrification (Table 4). Recent studies have demonstrated that urea stimulates ammonia-oxidizing microorganisms, thereby accelerating nitrification and nitrate formation. However, increased nitrate accumulation and microbial shifts suggest potential long-term risks, including soil acidification and nutrient imbalance (</w:t>
      </w:r>
      <w:proofErr w:type="spellStart"/>
      <w:r w:rsidRPr="0098357A">
        <w:rPr>
          <w:rFonts w:ascii="Times New Roman" w:eastAsia="Georgia" w:hAnsi="Times New Roman" w:cs="Times New Roman"/>
          <w:color w:val="000000"/>
          <w:sz w:val="24"/>
          <w:szCs w:val="24"/>
        </w:rPr>
        <w:t>zhao</w:t>
      </w:r>
      <w:proofErr w:type="spellEnd"/>
      <w:r w:rsidRPr="0098357A">
        <w:rPr>
          <w:rFonts w:ascii="Times New Roman" w:eastAsia="Georgia" w:hAnsi="Times New Roman" w:cs="Times New Roman"/>
          <w:color w:val="000000"/>
          <w:sz w:val="24"/>
          <w:szCs w:val="24"/>
        </w:rPr>
        <w:t xml:space="preserve"> et al., 2026; Ge et al., 2025; Diniz et al., 2025). Recent research emphasizes the importance of adopting sustainable nitrogen management strategies, such as controlled-release fertilizers and nitrification inhibitors, to </w:t>
      </w:r>
      <w:r w:rsidRPr="0098357A">
        <w:rPr>
          <w:rFonts w:ascii="Times New Roman" w:eastAsia="Georgia" w:hAnsi="Times New Roman" w:cs="Times New Roman"/>
          <w:color w:val="000000"/>
          <w:sz w:val="24"/>
          <w:szCs w:val="24"/>
        </w:rPr>
        <w:lastRenderedPageBreak/>
        <w:t>improve nitrogen use efficiency and reduce environmental impacts (</w:t>
      </w:r>
      <w:proofErr w:type="spellStart"/>
      <w:r w:rsidRPr="0098357A">
        <w:rPr>
          <w:rFonts w:ascii="Times New Roman" w:eastAsia="Georgia" w:hAnsi="Times New Roman" w:cs="Times New Roman"/>
          <w:color w:val="000000"/>
          <w:sz w:val="24"/>
          <w:szCs w:val="24"/>
        </w:rPr>
        <w:t>Dodla</w:t>
      </w:r>
      <w:proofErr w:type="spellEnd"/>
      <w:r w:rsidRPr="0098357A">
        <w:rPr>
          <w:rFonts w:ascii="Times New Roman" w:eastAsia="Georgia" w:hAnsi="Times New Roman" w:cs="Times New Roman"/>
          <w:color w:val="000000"/>
          <w:sz w:val="24"/>
          <w:szCs w:val="24"/>
        </w:rPr>
        <w:t xml:space="preserve"> et al., 2025; Diniz et al., 2025).</w:t>
      </w:r>
    </w:p>
    <w:p w14:paraId="78AD9DCF" w14:textId="77777777" w:rsidR="0098357A" w:rsidRDefault="0098357A" w:rsidP="00815A2D">
      <w:pPr>
        <w:spacing w:after="210" w:line="276" w:lineRule="auto"/>
        <w:jc w:val="both"/>
        <w:rPr>
          <w:rFonts w:ascii="Times New Roman" w:eastAsia="Georgia" w:hAnsi="Times New Roman" w:cs="Times New Roman"/>
          <w:color w:val="000000"/>
          <w:sz w:val="24"/>
          <w:szCs w:val="24"/>
        </w:rPr>
      </w:pPr>
    </w:p>
    <w:p w14:paraId="3756BF4C" w14:textId="77777777" w:rsidR="0098357A" w:rsidRDefault="0098357A"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p>
    <w:p w14:paraId="582D670F" w14:textId="44637A47" w:rsidR="00953B53" w:rsidRDefault="00953B53" w:rsidP="0098357A">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ED0D52">
        <w:rPr>
          <w:rFonts w:ascii="Times New Roman" w:eastAsia="Times New Roman" w:hAnsi="Times New Roman" w:cs="Times New Roman"/>
          <w:b/>
          <w:bCs/>
          <w:sz w:val="24"/>
          <w:szCs w:val="24"/>
        </w:rPr>
        <w:t>3.4</w:t>
      </w:r>
      <w:r w:rsidR="0062742F" w:rsidRPr="00ED0D52">
        <w:rPr>
          <w:rFonts w:ascii="Times New Roman" w:eastAsia="Times New Roman" w:hAnsi="Times New Roman" w:cs="Times New Roman"/>
          <w:b/>
          <w:bCs/>
          <w:sz w:val="24"/>
          <w:szCs w:val="24"/>
        </w:rPr>
        <w:t xml:space="preserve">    </w:t>
      </w:r>
      <w:r w:rsidRPr="00ED0D52">
        <w:rPr>
          <w:rFonts w:ascii="Times New Roman" w:eastAsia="Times New Roman" w:hAnsi="Times New Roman" w:cs="Times New Roman"/>
          <w:b/>
          <w:bCs/>
          <w:sz w:val="24"/>
          <w:szCs w:val="24"/>
        </w:rPr>
        <w:t>Microbial Population Dynamics</w:t>
      </w:r>
    </w:p>
    <w:p w14:paraId="0CCA9DAC" w14:textId="02FEE205" w:rsidR="0098357A" w:rsidRPr="0098357A" w:rsidRDefault="0098357A" w:rsidP="0098357A">
      <w:pPr>
        <w:spacing w:before="100" w:beforeAutospacing="1" w:after="100" w:afterAutospacing="1" w:line="276" w:lineRule="auto"/>
        <w:outlineLvl w:val="1"/>
        <w:rPr>
          <w:rFonts w:ascii="Times New Roman" w:eastAsia="Times New Roman" w:hAnsi="Times New Roman" w:cs="Times New Roman"/>
          <w:sz w:val="24"/>
          <w:szCs w:val="24"/>
        </w:rPr>
      </w:pPr>
      <w:r w:rsidRPr="0098357A">
        <w:rPr>
          <w:rFonts w:ascii="Times New Roman" w:eastAsia="Times New Roman" w:hAnsi="Times New Roman" w:cs="Times New Roman"/>
          <w:sz w:val="24"/>
          <w:szCs w:val="24"/>
        </w:rPr>
        <w:t>Bacterial counts increased numerically from 40.25 × 10⁵ g⁻¹ in the control to 43.00 × 10⁵ and 44.50 × 10⁵ g⁻¹ in the 0.1 and 0.2% urea treatments, respectively, although the superscript grouping suggests the increase was not statistically significant. Saprophytic fungi declined from 30.00 × 10³ to 27.75 × 10³ g⁻¹ with increasing urea, while actinomycetes changed only slightly (Table 5). This pattern suggests that urea favored bacterial activity more than fungal abundance under the experimental conditions (</w:t>
      </w:r>
      <w:r>
        <w:rPr>
          <w:rFonts w:ascii="Times New Roman" w:eastAsia="Times New Roman" w:hAnsi="Times New Roman" w:cs="Times New Roman"/>
          <w:sz w:val="24"/>
          <w:szCs w:val="24"/>
        </w:rPr>
        <w:t>Pan et al., 2025</w:t>
      </w:r>
      <w:r w:rsidRPr="0098357A">
        <w:rPr>
          <w:rFonts w:ascii="Times New Roman" w:eastAsia="Times New Roman" w:hAnsi="Times New Roman" w:cs="Times New Roman"/>
          <w:sz w:val="24"/>
          <w:szCs w:val="24"/>
        </w:rPr>
        <w:t>).</w:t>
      </w:r>
      <w:r w:rsidRPr="0098357A">
        <w:rPr>
          <w:rFonts w:ascii="Times New Roman" w:eastAsia="Times New Roman" w:hAnsi="Times New Roman" w:cs="Times New Roman"/>
          <w:sz w:val="24"/>
          <w:szCs w:val="24"/>
        </w:rPr>
        <w:br/>
        <w:t xml:space="preserve">Urease activity increased from 9.97 to 11.05 and 12.25 </w:t>
      </w:r>
      <w:proofErr w:type="spellStart"/>
      <w:r w:rsidRPr="0098357A">
        <w:rPr>
          <w:rFonts w:ascii="Times New Roman" w:eastAsia="Times New Roman" w:hAnsi="Times New Roman" w:cs="Times New Roman"/>
          <w:sz w:val="24"/>
          <w:szCs w:val="24"/>
        </w:rPr>
        <w:t>μg</w:t>
      </w:r>
      <w:proofErr w:type="spellEnd"/>
      <w:r w:rsidRPr="0098357A">
        <w:rPr>
          <w:rFonts w:ascii="Times New Roman" w:eastAsia="Times New Roman" w:hAnsi="Times New Roman" w:cs="Times New Roman"/>
          <w:sz w:val="24"/>
          <w:szCs w:val="24"/>
        </w:rPr>
        <w:t xml:space="preserve"> NH₄ g⁻¹ h⁻¹ with increasing urea dose. Dehydrogenase activity rose from 2.00 to 2.30 </w:t>
      </w:r>
      <w:proofErr w:type="spellStart"/>
      <w:r w:rsidRPr="0098357A">
        <w:rPr>
          <w:rFonts w:ascii="Times New Roman" w:eastAsia="Times New Roman" w:hAnsi="Times New Roman" w:cs="Times New Roman"/>
          <w:sz w:val="24"/>
          <w:szCs w:val="24"/>
        </w:rPr>
        <w:t>μg</w:t>
      </w:r>
      <w:proofErr w:type="spellEnd"/>
      <w:r w:rsidRPr="0098357A">
        <w:rPr>
          <w:rFonts w:ascii="Times New Roman" w:eastAsia="Times New Roman" w:hAnsi="Times New Roman" w:cs="Times New Roman"/>
          <w:sz w:val="24"/>
          <w:szCs w:val="24"/>
        </w:rPr>
        <w:t xml:space="preserve"> TPF g⁻¹ day⁻¹, and FDA hydrolysis increased from 19.87 to 23.32 </w:t>
      </w:r>
      <w:proofErr w:type="spellStart"/>
      <w:r w:rsidRPr="0098357A">
        <w:rPr>
          <w:rFonts w:ascii="Times New Roman" w:eastAsia="Times New Roman" w:hAnsi="Times New Roman" w:cs="Times New Roman"/>
          <w:sz w:val="24"/>
          <w:szCs w:val="24"/>
        </w:rPr>
        <w:t>μg</w:t>
      </w:r>
      <w:proofErr w:type="spellEnd"/>
      <w:r w:rsidRPr="0098357A">
        <w:rPr>
          <w:rFonts w:ascii="Times New Roman" w:eastAsia="Times New Roman" w:hAnsi="Times New Roman" w:cs="Times New Roman"/>
          <w:sz w:val="24"/>
          <w:szCs w:val="24"/>
        </w:rPr>
        <w:t xml:space="preserve"> fluorescein g⁻¹ h⁻¹ (Table 5). Although these increases were not separated statistically in the table, the consistent upward trend indicates stimulation of microbial metabolism and substrate turnover under urea enrichment (</w:t>
      </w:r>
      <w:r w:rsidRPr="0098357A">
        <w:rPr>
          <w:rFonts w:ascii="Times New Roman" w:eastAsia="Times New Roman" w:hAnsi="Times New Roman" w:cs="Times New Roman"/>
          <w:kern w:val="36"/>
          <w:sz w:val="24"/>
          <w:szCs w:val="24"/>
        </w:rPr>
        <w:t>Zhang</w:t>
      </w:r>
      <w:r w:rsidRPr="0098357A">
        <w:rPr>
          <w:rFonts w:ascii="Times New Roman" w:eastAsia="Times New Roman" w:hAnsi="Times New Roman" w:cs="Times New Roman"/>
          <w:sz w:val="24"/>
          <w:szCs w:val="24"/>
        </w:rPr>
        <w:t xml:space="preserve"> et al., 2023; </w:t>
      </w:r>
      <w:r>
        <w:rPr>
          <w:rFonts w:ascii="Times New Roman" w:eastAsia="Times New Roman" w:hAnsi="Times New Roman" w:cs="Times New Roman"/>
          <w:sz w:val="24"/>
          <w:szCs w:val="24"/>
        </w:rPr>
        <w:t>W</w:t>
      </w:r>
      <w:r w:rsidRPr="0098357A">
        <w:rPr>
          <w:rFonts w:ascii="Times New Roman" w:eastAsia="Times New Roman" w:hAnsi="Times New Roman" w:cs="Times New Roman"/>
          <w:sz w:val="24"/>
          <w:szCs w:val="24"/>
        </w:rPr>
        <w:t>ang et al., 202</w:t>
      </w:r>
      <w:r>
        <w:rPr>
          <w:rFonts w:ascii="Times New Roman" w:eastAsia="Times New Roman" w:hAnsi="Times New Roman" w:cs="Times New Roman"/>
          <w:sz w:val="24"/>
          <w:szCs w:val="24"/>
        </w:rPr>
        <w:t>3;</w:t>
      </w:r>
      <w:r w:rsidRPr="0098357A">
        <w:rPr>
          <w:rFonts w:ascii="Times New Roman" w:eastAsia="Times New Roman" w:hAnsi="Times New Roman" w:cs="Times New Roman"/>
          <w:sz w:val="24"/>
          <w:szCs w:val="24"/>
        </w:rPr>
        <w:t>)</w:t>
      </w:r>
      <w:r w:rsidRPr="0098357A">
        <w:rPr>
          <w:rFonts w:ascii="Times New Roman" w:eastAsia="Times New Roman" w:hAnsi="Times New Roman" w:cs="Times New Roman"/>
          <w:sz w:val="24"/>
          <w:szCs w:val="24"/>
        </w:rPr>
        <w:br/>
        <w:t>Microbial population analysis showed an increase in bacterial abundance and a decrease in fungal populations, indicating a shift toward bacterial dominance under nitrogen-enriched conditions (Malik et al., 202</w:t>
      </w:r>
      <w:r>
        <w:rPr>
          <w:rFonts w:ascii="Times New Roman" w:eastAsia="Times New Roman" w:hAnsi="Times New Roman" w:cs="Times New Roman"/>
          <w:sz w:val="24"/>
          <w:szCs w:val="24"/>
        </w:rPr>
        <w:t>0</w:t>
      </w:r>
      <w:r w:rsidRPr="0098357A">
        <w:rPr>
          <w:rFonts w:ascii="Times New Roman" w:eastAsia="Times New Roman" w:hAnsi="Times New Roman" w:cs="Times New Roman"/>
          <w:sz w:val="24"/>
          <w:szCs w:val="24"/>
        </w:rPr>
        <w:t>; Fierer, 20</w:t>
      </w:r>
      <w:r>
        <w:rPr>
          <w:rFonts w:ascii="Times New Roman" w:eastAsia="Times New Roman" w:hAnsi="Times New Roman" w:cs="Times New Roman"/>
          <w:sz w:val="24"/>
          <w:szCs w:val="24"/>
        </w:rPr>
        <w:t>17</w:t>
      </w:r>
      <w:r w:rsidRPr="0098357A">
        <w:rPr>
          <w:rFonts w:ascii="Times New Roman" w:eastAsia="Times New Roman" w:hAnsi="Times New Roman" w:cs="Times New Roman"/>
          <w:sz w:val="24"/>
          <w:szCs w:val="24"/>
        </w:rPr>
        <w:t>). This pattern is consistent with recent studies demonstrating that nitrogen fertilization favors fast-growing bacterial communities while suppressing fungi (</w:t>
      </w:r>
      <w:proofErr w:type="spellStart"/>
      <w:r w:rsidRPr="0098357A">
        <w:rPr>
          <w:rFonts w:ascii="Times New Roman" w:eastAsia="Times New Roman" w:hAnsi="Times New Roman" w:cs="Times New Roman"/>
          <w:kern w:val="36"/>
          <w:sz w:val="24"/>
          <w:szCs w:val="24"/>
        </w:rPr>
        <w:t>Forzieri</w:t>
      </w:r>
      <w:proofErr w:type="spellEnd"/>
      <w:r w:rsidRPr="0098357A">
        <w:rPr>
          <w:rFonts w:ascii="Times New Roman" w:eastAsia="Times New Roman" w:hAnsi="Times New Roman" w:cs="Times New Roman"/>
          <w:sz w:val="24"/>
          <w:szCs w:val="24"/>
        </w:rPr>
        <w:t xml:space="preserve"> et al., 202</w:t>
      </w:r>
      <w:r>
        <w:rPr>
          <w:rFonts w:ascii="Times New Roman" w:eastAsia="Times New Roman" w:hAnsi="Times New Roman" w:cs="Times New Roman"/>
          <w:sz w:val="24"/>
          <w:szCs w:val="24"/>
        </w:rPr>
        <w:t>3</w:t>
      </w:r>
      <w:r w:rsidRPr="0098357A">
        <w:rPr>
          <w:rFonts w:ascii="Times New Roman" w:eastAsia="Times New Roman" w:hAnsi="Times New Roman" w:cs="Times New Roman"/>
          <w:sz w:val="24"/>
          <w:szCs w:val="24"/>
        </w:rPr>
        <w:t>; Allison et al., 20</w:t>
      </w:r>
      <w:r>
        <w:rPr>
          <w:rFonts w:ascii="Times New Roman" w:eastAsia="Times New Roman" w:hAnsi="Times New Roman" w:cs="Times New Roman"/>
          <w:sz w:val="24"/>
          <w:szCs w:val="24"/>
        </w:rPr>
        <w:t>10</w:t>
      </w:r>
      <w:r w:rsidRPr="0098357A">
        <w:rPr>
          <w:rFonts w:ascii="Times New Roman" w:eastAsia="Times New Roman" w:hAnsi="Times New Roman" w:cs="Times New Roman"/>
          <w:sz w:val="24"/>
          <w:szCs w:val="24"/>
        </w:rPr>
        <w:t>). Such shifts may alter soil carbon cycling and long-term ecosystem functioning.</w:t>
      </w:r>
    </w:p>
    <w:p w14:paraId="6C01EBE3" w14:textId="04C47758" w:rsidR="009C28A1" w:rsidRPr="00ED0D52" w:rsidRDefault="00815A2D" w:rsidP="00815A2D">
      <w:pPr>
        <w:spacing w:before="315" w:after="105" w:line="276" w:lineRule="auto"/>
        <w:ind w:left="-30"/>
        <w:jc w:val="both"/>
        <w:rPr>
          <w:rFonts w:ascii="Times New Roman" w:hAnsi="Times New Roman" w:cs="Times New Roman"/>
          <w:sz w:val="24"/>
          <w:szCs w:val="24"/>
        </w:rPr>
      </w:pPr>
      <w:bookmarkStart w:id="4" w:name="conclusion"/>
      <w:r>
        <w:rPr>
          <w:rFonts w:ascii="Times New Roman" w:eastAsia="Georgia" w:hAnsi="Times New Roman" w:cs="Times New Roman"/>
          <w:b/>
          <w:color w:val="000000"/>
          <w:sz w:val="24"/>
          <w:szCs w:val="24"/>
        </w:rPr>
        <w:t xml:space="preserve">4. </w:t>
      </w:r>
      <w:r w:rsidR="009C28A1" w:rsidRPr="00ED0D52">
        <w:rPr>
          <w:rFonts w:ascii="Times New Roman" w:eastAsia="Georgia" w:hAnsi="Times New Roman" w:cs="Times New Roman"/>
          <w:b/>
          <w:color w:val="000000"/>
          <w:sz w:val="24"/>
          <w:szCs w:val="24"/>
        </w:rPr>
        <w:t>Conclusion</w:t>
      </w:r>
      <w:bookmarkEnd w:id="4"/>
    </w:p>
    <w:p w14:paraId="79EB2651" w14:textId="72EC7DDB" w:rsidR="009C28A1" w:rsidRPr="00ED0D52" w:rsidRDefault="009C28A1" w:rsidP="00815A2D">
      <w:pPr>
        <w:spacing w:after="210" w:line="276"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Application of urea at 0.1 and 0.2% altered the acidic soil in a consistent and biologically meaningful manner. The treatment increased electrical conductivity, cation exchange capacity, ammonium, nitrite, nitrate, urease activity, dehydrogenase activity, FDA hydrolysis, and seedling growth, while bacterial counts increased numerically and saprophytic fungi declined. Soil pH also increased slightly in the short term, indicating an early hydrolysis effect rather than immediate acidification.</w:t>
      </w:r>
    </w:p>
    <w:p w14:paraId="66D0F8F1" w14:textId="7C3EA8FF" w:rsidR="009C28A1" w:rsidRPr="00ED0D52" w:rsidRDefault="009C28A1" w:rsidP="00815A2D">
      <w:pPr>
        <w:spacing w:after="210" w:line="276" w:lineRule="auto"/>
        <w:jc w:val="both"/>
        <w:rPr>
          <w:rFonts w:ascii="Times New Roman" w:hAnsi="Times New Roman" w:cs="Times New Roman"/>
          <w:sz w:val="24"/>
          <w:szCs w:val="24"/>
        </w:rPr>
      </w:pPr>
      <w:r w:rsidRPr="00ED0D52">
        <w:rPr>
          <w:rFonts w:ascii="Times New Roman" w:eastAsia="Georgia" w:hAnsi="Times New Roman" w:cs="Times New Roman"/>
          <w:color w:val="000000"/>
          <w:sz w:val="24"/>
          <w:szCs w:val="24"/>
        </w:rPr>
        <w:t>Overall, the data show that the tested urea doses improved short-term nitrogen availability and early biological performance in acidic soil, but did not suppress nitrification. Because nitrate accumulation rose strongly with urea level, the system may still be vulnerable to delayed acidification and nitrogen loss with prolonged fertilization</w:t>
      </w:r>
    </w:p>
    <w:p w14:paraId="7467C84D" w14:textId="4628888F" w:rsidR="00CB1DEF" w:rsidRPr="00ED0D52" w:rsidRDefault="00CB1DEF" w:rsidP="00815A2D">
      <w:pPr>
        <w:spacing w:after="0" w:line="276" w:lineRule="auto"/>
        <w:jc w:val="both"/>
        <w:rPr>
          <w:rFonts w:ascii="Times New Roman" w:eastAsia="Times New Roman" w:hAnsi="Times New Roman" w:cs="Times New Roman"/>
          <w:sz w:val="24"/>
          <w:szCs w:val="24"/>
        </w:rPr>
      </w:pPr>
    </w:p>
    <w:p w14:paraId="3F2DE728" w14:textId="77777777" w:rsidR="002F22C5" w:rsidRDefault="002F22C5" w:rsidP="00815A2D">
      <w:pPr>
        <w:spacing w:before="100" w:beforeAutospacing="1" w:after="100" w:afterAutospacing="1" w:line="276" w:lineRule="auto"/>
        <w:jc w:val="both"/>
        <w:outlineLvl w:val="0"/>
        <w:rPr>
          <w:rFonts w:ascii="Times New Roman" w:eastAsia="Times New Roman" w:hAnsi="Times New Roman" w:cs="Times New Roman"/>
          <w:b/>
          <w:bCs/>
          <w:kern w:val="36"/>
          <w:sz w:val="24"/>
          <w:szCs w:val="24"/>
        </w:rPr>
      </w:pPr>
    </w:p>
    <w:p w14:paraId="4C7C2F7A" w14:textId="31EECB77" w:rsidR="00CB1DEF" w:rsidRDefault="007C378E" w:rsidP="00815A2D">
      <w:pPr>
        <w:spacing w:before="100" w:beforeAutospacing="1" w:after="100" w:afterAutospacing="1" w:line="276" w:lineRule="auto"/>
        <w:jc w:val="both"/>
        <w:outlineLvl w:val="0"/>
        <w:rPr>
          <w:rFonts w:ascii="Times New Roman" w:eastAsia="Times New Roman" w:hAnsi="Times New Roman" w:cs="Times New Roman"/>
          <w:b/>
          <w:bCs/>
          <w:kern w:val="36"/>
          <w:sz w:val="24"/>
          <w:szCs w:val="24"/>
        </w:rPr>
      </w:pPr>
      <w:bookmarkStart w:id="5" w:name="_GoBack"/>
      <w:bookmarkEnd w:id="5"/>
      <w:r w:rsidRPr="00ED0D52">
        <w:rPr>
          <w:rFonts w:ascii="Times New Roman" w:eastAsia="Times New Roman" w:hAnsi="Times New Roman" w:cs="Times New Roman"/>
          <w:b/>
          <w:bCs/>
          <w:kern w:val="36"/>
          <w:sz w:val="24"/>
          <w:szCs w:val="24"/>
        </w:rPr>
        <w:lastRenderedPageBreak/>
        <w:t>R</w:t>
      </w:r>
      <w:r w:rsidR="00CB1DEF" w:rsidRPr="00ED0D52">
        <w:rPr>
          <w:rFonts w:ascii="Times New Roman" w:eastAsia="Times New Roman" w:hAnsi="Times New Roman" w:cs="Times New Roman"/>
          <w:b/>
          <w:bCs/>
          <w:kern w:val="36"/>
          <w:sz w:val="24"/>
          <w:szCs w:val="24"/>
        </w:rPr>
        <w:t xml:space="preserve">eferences </w:t>
      </w:r>
    </w:p>
    <w:p w14:paraId="15104C30"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p>
    <w:p w14:paraId="2D47943F"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Abdalla, K., Sun, Y., </w:t>
      </w:r>
      <w:proofErr w:type="spellStart"/>
      <w:r w:rsidRPr="006706B2">
        <w:rPr>
          <w:rFonts w:ascii="Times New Roman" w:eastAsia="Times New Roman" w:hAnsi="Times New Roman" w:cs="Times New Roman"/>
          <w:kern w:val="36"/>
          <w:sz w:val="24"/>
          <w:szCs w:val="24"/>
        </w:rPr>
        <w:t>Zarebanadkouki</w:t>
      </w:r>
      <w:proofErr w:type="spellEnd"/>
      <w:r w:rsidRPr="006706B2">
        <w:rPr>
          <w:rFonts w:ascii="Times New Roman" w:eastAsia="Times New Roman" w:hAnsi="Times New Roman" w:cs="Times New Roman"/>
          <w:kern w:val="36"/>
          <w:sz w:val="24"/>
          <w:szCs w:val="24"/>
        </w:rPr>
        <w:t>, M., Gaiser, T., Seidel, S., &amp; Pausch, J. (2022). Long-term continuous farmyard manure application increases soil carbon when combined with mineral fertilizers due to lower priming effects. </w:t>
      </w:r>
      <w:r w:rsidRPr="006706B2">
        <w:rPr>
          <w:rFonts w:ascii="Times New Roman" w:eastAsia="Times New Roman" w:hAnsi="Times New Roman" w:cs="Times New Roman"/>
          <w:i/>
          <w:iCs/>
          <w:kern w:val="36"/>
          <w:sz w:val="24"/>
          <w:szCs w:val="24"/>
        </w:rPr>
        <w:t>Geoderma</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428</w:t>
      </w:r>
      <w:r w:rsidRPr="006706B2">
        <w:rPr>
          <w:rFonts w:ascii="Times New Roman" w:eastAsia="Times New Roman" w:hAnsi="Times New Roman" w:cs="Times New Roman"/>
          <w:kern w:val="36"/>
          <w:sz w:val="24"/>
          <w:szCs w:val="24"/>
        </w:rPr>
        <w:t>, 116216.</w:t>
      </w:r>
    </w:p>
    <w:p w14:paraId="2E0F0151"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Adam, G., &amp; Duncan, H. (2001). Development of a sensitive and rapid method for the measurement of total microbial activity using fluorescein diacetate (FDA) in a range of soils. </w:t>
      </w:r>
      <w:r w:rsidRPr="006706B2">
        <w:rPr>
          <w:rFonts w:ascii="Times New Roman" w:eastAsia="Times New Roman" w:hAnsi="Times New Roman" w:cs="Times New Roman"/>
          <w:i/>
          <w:iCs/>
          <w:kern w:val="36"/>
          <w:sz w:val="24"/>
          <w:szCs w:val="24"/>
        </w:rPr>
        <w:t>Soil biology and biochemistry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33</w:t>
      </w:r>
      <w:r w:rsidRPr="006706B2">
        <w:rPr>
          <w:rFonts w:ascii="Times New Roman" w:eastAsia="Times New Roman" w:hAnsi="Times New Roman" w:cs="Times New Roman"/>
          <w:kern w:val="36"/>
          <w:sz w:val="24"/>
          <w:szCs w:val="24"/>
        </w:rPr>
        <w:t>(7-8), 943-951.</w:t>
      </w:r>
    </w:p>
    <w:p w14:paraId="10B23E65"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Allison, S. D., Wallenstein, M. D., &amp; Bradford, M. A. (2010). </w:t>
      </w:r>
      <w:r w:rsidRPr="006706B2">
        <w:rPr>
          <w:rFonts w:ascii="Times New Roman" w:eastAsia="Times New Roman" w:hAnsi="Times New Roman" w:cs="Times New Roman"/>
          <w:kern w:val="36"/>
          <w:sz w:val="24"/>
          <w:szCs w:val="24"/>
        </w:rPr>
        <w:t>Soil-carbon response to warming dependent on microbial physiology. </w:t>
      </w:r>
      <w:r w:rsidRPr="006706B2">
        <w:rPr>
          <w:rFonts w:ascii="Times New Roman" w:eastAsia="Times New Roman" w:hAnsi="Times New Roman" w:cs="Times New Roman"/>
          <w:i/>
          <w:iCs/>
          <w:kern w:val="36"/>
          <w:sz w:val="24"/>
          <w:szCs w:val="24"/>
        </w:rPr>
        <w:t>Nature Geoscience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3</w:t>
      </w:r>
      <w:r w:rsidRPr="006706B2">
        <w:rPr>
          <w:rFonts w:ascii="Times New Roman" w:eastAsia="Times New Roman" w:hAnsi="Times New Roman" w:cs="Times New Roman"/>
          <w:kern w:val="36"/>
          <w:sz w:val="24"/>
          <w:szCs w:val="24"/>
        </w:rPr>
        <w:t xml:space="preserve">(5), 336-340.Forzieri, G., </w:t>
      </w:r>
      <w:proofErr w:type="spellStart"/>
      <w:r w:rsidRPr="006706B2">
        <w:rPr>
          <w:rFonts w:ascii="Times New Roman" w:eastAsia="Times New Roman" w:hAnsi="Times New Roman" w:cs="Times New Roman"/>
          <w:kern w:val="36"/>
          <w:sz w:val="24"/>
          <w:szCs w:val="24"/>
        </w:rPr>
        <w:t>Dutrieux</w:t>
      </w:r>
      <w:proofErr w:type="spellEnd"/>
      <w:r w:rsidRPr="006706B2">
        <w:rPr>
          <w:rFonts w:ascii="Times New Roman" w:eastAsia="Times New Roman" w:hAnsi="Times New Roman" w:cs="Times New Roman"/>
          <w:kern w:val="36"/>
          <w:sz w:val="24"/>
          <w:szCs w:val="24"/>
        </w:rPr>
        <w:t xml:space="preserve">, L. P., Elia, A., Eckhardt, B., </w:t>
      </w:r>
      <w:proofErr w:type="spellStart"/>
      <w:r w:rsidRPr="006706B2">
        <w:rPr>
          <w:rFonts w:ascii="Times New Roman" w:eastAsia="Times New Roman" w:hAnsi="Times New Roman" w:cs="Times New Roman"/>
          <w:kern w:val="36"/>
          <w:sz w:val="24"/>
          <w:szCs w:val="24"/>
        </w:rPr>
        <w:t>Caudullo</w:t>
      </w:r>
      <w:proofErr w:type="spellEnd"/>
      <w:r w:rsidRPr="006706B2">
        <w:rPr>
          <w:rFonts w:ascii="Times New Roman" w:eastAsia="Times New Roman" w:hAnsi="Times New Roman" w:cs="Times New Roman"/>
          <w:kern w:val="36"/>
          <w:sz w:val="24"/>
          <w:szCs w:val="24"/>
        </w:rPr>
        <w:t>, G., Taboada, F. Á., ... &amp; Beck, P. S. (2023). The database of European forest insect and disease disturbances: DEFID2. </w:t>
      </w:r>
      <w:r w:rsidRPr="006706B2">
        <w:rPr>
          <w:rFonts w:ascii="Times New Roman" w:eastAsia="Times New Roman" w:hAnsi="Times New Roman" w:cs="Times New Roman"/>
          <w:i/>
          <w:iCs/>
          <w:kern w:val="36"/>
          <w:sz w:val="24"/>
          <w:szCs w:val="24"/>
        </w:rPr>
        <w:t>Global change biology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29</w:t>
      </w:r>
      <w:r w:rsidRPr="006706B2">
        <w:rPr>
          <w:rFonts w:ascii="Times New Roman" w:eastAsia="Times New Roman" w:hAnsi="Times New Roman" w:cs="Times New Roman"/>
          <w:kern w:val="36"/>
          <w:sz w:val="24"/>
          <w:szCs w:val="24"/>
        </w:rPr>
        <w:t>(21), 6040-6065.</w:t>
      </w:r>
    </w:p>
    <w:p w14:paraId="2110647D"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Al-</w:t>
      </w:r>
      <w:proofErr w:type="spellStart"/>
      <w:r w:rsidRPr="006706B2">
        <w:rPr>
          <w:rFonts w:ascii="Times New Roman" w:eastAsia="Times New Roman" w:hAnsi="Times New Roman" w:cs="Times New Roman"/>
          <w:kern w:val="36"/>
          <w:sz w:val="24"/>
          <w:szCs w:val="24"/>
        </w:rPr>
        <w:t>Shammary</w:t>
      </w:r>
      <w:proofErr w:type="spellEnd"/>
      <w:r w:rsidRPr="006706B2">
        <w:rPr>
          <w:rFonts w:ascii="Times New Roman" w:eastAsia="Times New Roman" w:hAnsi="Times New Roman" w:cs="Times New Roman"/>
          <w:kern w:val="36"/>
          <w:sz w:val="24"/>
          <w:szCs w:val="24"/>
        </w:rPr>
        <w:t>, A. A. G., Al-</w:t>
      </w:r>
      <w:proofErr w:type="spellStart"/>
      <w:r w:rsidRPr="006706B2">
        <w:rPr>
          <w:rFonts w:ascii="Times New Roman" w:eastAsia="Times New Roman" w:hAnsi="Times New Roman" w:cs="Times New Roman"/>
          <w:kern w:val="36"/>
          <w:sz w:val="24"/>
          <w:szCs w:val="24"/>
        </w:rPr>
        <w:t>Shihmani</w:t>
      </w:r>
      <w:proofErr w:type="spellEnd"/>
      <w:r w:rsidRPr="006706B2">
        <w:rPr>
          <w:rFonts w:ascii="Times New Roman" w:eastAsia="Times New Roman" w:hAnsi="Times New Roman" w:cs="Times New Roman"/>
          <w:kern w:val="36"/>
          <w:sz w:val="24"/>
          <w:szCs w:val="24"/>
        </w:rPr>
        <w:t>, L. S. S., Fernández-Gálvez, J., &amp; Caballero-Calvo, A. (2025). A comprehensive review of impacts of soil management practices and climate adaptation strategies on soil thermal conductivity in agricultural soils. </w:t>
      </w:r>
      <w:r w:rsidRPr="006706B2">
        <w:rPr>
          <w:rFonts w:ascii="Times New Roman" w:eastAsia="Times New Roman" w:hAnsi="Times New Roman" w:cs="Times New Roman"/>
          <w:i/>
          <w:iCs/>
          <w:kern w:val="36"/>
          <w:sz w:val="24"/>
          <w:szCs w:val="24"/>
        </w:rPr>
        <w:t>Reviews in Environmental Science and Bio/Technology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24</w:t>
      </w:r>
      <w:r w:rsidRPr="006706B2">
        <w:rPr>
          <w:rFonts w:ascii="Times New Roman" w:eastAsia="Times New Roman" w:hAnsi="Times New Roman" w:cs="Times New Roman"/>
          <w:kern w:val="36"/>
          <w:sz w:val="24"/>
          <w:szCs w:val="24"/>
        </w:rPr>
        <w:t>(2), 513-543.</w:t>
      </w:r>
    </w:p>
    <w:p w14:paraId="0CEBC0F1"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Bedassa, T. A., Abebe, A. T., &amp; Tolessa, A. R. (2022). </w:t>
      </w:r>
      <w:r w:rsidRPr="006706B2">
        <w:rPr>
          <w:rFonts w:ascii="Times New Roman" w:eastAsia="Times New Roman" w:hAnsi="Times New Roman" w:cs="Times New Roman"/>
          <w:kern w:val="36"/>
          <w:sz w:val="24"/>
          <w:szCs w:val="24"/>
        </w:rPr>
        <w:t>Tolerance to soil acidity of soybean (Glycine max L.) genotypes under field conditions Southwestern Ethiopia. </w:t>
      </w:r>
      <w:proofErr w:type="spellStart"/>
      <w:r w:rsidRPr="006706B2">
        <w:rPr>
          <w:rFonts w:ascii="Times New Roman" w:eastAsia="Times New Roman" w:hAnsi="Times New Roman" w:cs="Times New Roman"/>
          <w:i/>
          <w:iCs/>
          <w:kern w:val="36"/>
          <w:sz w:val="24"/>
          <w:szCs w:val="24"/>
        </w:rPr>
        <w:t>PLoS</w:t>
      </w:r>
      <w:proofErr w:type="spellEnd"/>
      <w:r w:rsidRPr="006706B2">
        <w:rPr>
          <w:rFonts w:ascii="Times New Roman" w:eastAsia="Times New Roman" w:hAnsi="Times New Roman" w:cs="Times New Roman"/>
          <w:i/>
          <w:iCs/>
          <w:kern w:val="36"/>
          <w:sz w:val="24"/>
          <w:szCs w:val="24"/>
        </w:rPr>
        <w:t xml:space="preserve"> One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17</w:t>
      </w:r>
      <w:r w:rsidRPr="006706B2">
        <w:rPr>
          <w:rFonts w:ascii="Times New Roman" w:eastAsia="Times New Roman" w:hAnsi="Times New Roman" w:cs="Times New Roman"/>
          <w:kern w:val="36"/>
          <w:sz w:val="24"/>
          <w:szCs w:val="24"/>
        </w:rPr>
        <w:t>(9), e0272924.</w:t>
      </w:r>
    </w:p>
    <w:p w14:paraId="4B559380"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Blake, G., &amp; Hartge, K. H. (1986). Bulk density. </w:t>
      </w:r>
      <w:r w:rsidRPr="006706B2">
        <w:rPr>
          <w:rFonts w:ascii="Times New Roman" w:eastAsia="Times New Roman" w:hAnsi="Times New Roman" w:cs="Times New Roman"/>
          <w:i/>
          <w:iCs/>
          <w:kern w:val="36"/>
          <w:sz w:val="24"/>
          <w:szCs w:val="24"/>
        </w:rPr>
        <w:t>Methods of soil analysis: Part 1 Physical and mineralogical methods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5</w:t>
      </w:r>
      <w:r w:rsidRPr="006706B2">
        <w:rPr>
          <w:rFonts w:ascii="Times New Roman" w:eastAsia="Times New Roman" w:hAnsi="Times New Roman" w:cs="Times New Roman"/>
          <w:kern w:val="36"/>
          <w:sz w:val="24"/>
          <w:szCs w:val="24"/>
        </w:rPr>
        <w:t>, 363-375.</w:t>
      </w:r>
    </w:p>
    <w:p w14:paraId="2D0866F3"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Casida Jr, L. E., Klein, D. A., &amp; Santoro, T. (1964). </w:t>
      </w:r>
      <w:r w:rsidRPr="006706B2">
        <w:rPr>
          <w:rFonts w:ascii="Times New Roman" w:eastAsia="Times New Roman" w:hAnsi="Times New Roman" w:cs="Times New Roman"/>
          <w:kern w:val="36"/>
          <w:sz w:val="24"/>
          <w:szCs w:val="24"/>
        </w:rPr>
        <w:t>Soil dehydrogenase activity. </w:t>
      </w:r>
      <w:r w:rsidRPr="006706B2">
        <w:rPr>
          <w:rFonts w:ascii="Times New Roman" w:eastAsia="Times New Roman" w:hAnsi="Times New Roman" w:cs="Times New Roman"/>
          <w:i/>
          <w:iCs/>
          <w:kern w:val="36"/>
          <w:sz w:val="24"/>
          <w:szCs w:val="24"/>
        </w:rPr>
        <w:t>Soil science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98</w:t>
      </w:r>
      <w:r w:rsidRPr="006706B2">
        <w:rPr>
          <w:rFonts w:ascii="Times New Roman" w:eastAsia="Times New Roman" w:hAnsi="Times New Roman" w:cs="Times New Roman"/>
          <w:kern w:val="36"/>
          <w:sz w:val="24"/>
          <w:szCs w:val="24"/>
        </w:rPr>
        <w:t>(6), 371-376.</w:t>
      </w:r>
    </w:p>
    <w:p w14:paraId="36623CC3" w14:textId="77777777" w:rsidR="006706B2" w:rsidRPr="006706B2" w:rsidRDefault="006706B2" w:rsidP="00963A61">
      <w:pPr>
        <w:spacing w:before="100" w:beforeAutospacing="1" w:after="100" w:afterAutospacing="1" w:line="276" w:lineRule="auto"/>
        <w:jc w:val="both"/>
        <w:outlineLvl w:val="0"/>
        <w:rPr>
          <w:rFonts w:ascii="Arial" w:hAnsi="Arial" w:cs="Arial"/>
          <w:color w:val="222222"/>
          <w:sz w:val="20"/>
          <w:szCs w:val="20"/>
          <w:shd w:val="clear" w:color="auto" w:fill="FFFFFF"/>
        </w:rPr>
      </w:pPr>
      <w:r w:rsidRPr="006706B2">
        <w:rPr>
          <w:rFonts w:ascii="Times New Roman" w:eastAsia="Times New Roman" w:hAnsi="Times New Roman" w:cs="Times New Roman"/>
          <w:kern w:val="36"/>
          <w:sz w:val="24"/>
          <w:szCs w:val="24"/>
          <w:lang w:val="nn-NO"/>
        </w:rPr>
        <w:t xml:space="preserve">Das, D., Riamei, M., Paul, P., Singh, N., Ingti, B., Sarkar, R. D., ... </w:t>
      </w:r>
      <w:r w:rsidRPr="006706B2">
        <w:rPr>
          <w:rFonts w:ascii="Times New Roman" w:eastAsia="Times New Roman" w:hAnsi="Times New Roman" w:cs="Times New Roman"/>
          <w:kern w:val="36"/>
          <w:sz w:val="24"/>
          <w:szCs w:val="24"/>
        </w:rPr>
        <w:t>&amp; Paul, S. (2025). Understanding the role of soil microorganisms in alleviating hydric and edaphic stress towards sustainable agriculture. </w:t>
      </w:r>
      <w:r w:rsidRPr="006706B2">
        <w:rPr>
          <w:rFonts w:ascii="Times New Roman" w:eastAsia="Times New Roman" w:hAnsi="Times New Roman" w:cs="Times New Roman"/>
          <w:i/>
          <w:iCs/>
          <w:kern w:val="36"/>
          <w:sz w:val="24"/>
          <w:szCs w:val="24"/>
        </w:rPr>
        <w:t>Discover Soil</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w:t>
      </w:r>
      <w:r w:rsidRPr="006706B2">
        <w:rPr>
          <w:rFonts w:ascii="Times New Roman" w:eastAsia="Times New Roman" w:hAnsi="Times New Roman" w:cs="Times New Roman"/>
          <w:kern w:val="36"/>
          <w:sz w:val="24"/>
          <w:szCs w:val="24"/>
        </w:rPr>
        <w:t>(1), 47.</w:t>
      </w:r>
      <w:r w:rsidRPr="006706B2">
        <w:rPr>
          <w:rFonts w:ascii="Arial" w:hAnsi="Arial" w:cs="Arial"/>
          <w:color w:val="222222"/>
          <w:sz w:val="20"/>
          <w:szCs w:val="20"/>
          <w:shd w:val="clear" w:color="auto" w:fill="FFFFFF"/>
        </w:rPr>
        <w:t xml:space="preserve"> </w:t>
      </w:r>
    </w:p>
    <w:p w14:paraId="71C1DF6D"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Daunoras, J., </w:t>
      </w:r>
      <w:proofErr w:type="spellStart"/>
      <w:r w:rsidRPr="006706B2">
        <w:rPr>
          <w:rFonts w:ascii="Times New Roman" w:eastAsia="Times New Roman" w:hAnsi="Times New Roman" w:cs="Times New Roman"/>
          <w:kern w:val="36"/>
          <w:sz w:val="24"/>
          <w:szCs w:val="24"/>
        </w:rPr>
        <w:t>Kačergius</w:t>
      </w:r>
      <w:proofErr w:type="spellEnd"/>
      <w:r w:rsidRPr="006706B2">
        <w:rPr>
          <w:rFonts w:ascii="Times New Roman" w:eastAsia="Times New Roman" w:hAnsi="Times New Roman" w:cs="Times New Roman"/>
          <w:kern w:val="36"/>
          <w:sz w:val="24"/>
          <w:szCs w:val="24"/>
        </w:rPr>
        <w:t xml:space="preserve">, A., &amp; </w:t>
      </w:r>
      <w:proofErr w:type="spellStart"/>
      <w:r w:rsidRPr="006706B2">
        <w:rPr>
          <w:rFonts w:ascii="Times New Roman" w:eastAsia="Times New Roman" w:hAnsi="Times New Roman" w:cs="Times New Roman"/>
          <w:kern w:val="36"/>
          <w:sz w:val="24"/>
          <w:szCs w:val="24"/>
        </w:rPr>
        <w:t>Gudiukaitė</w:t>
      </w:r>
      <w:proofErr w:type="spellEnd"/>
      <w:r w:rsidRPr="006706B2">
        <w:rPr>
          <w:rFonts w:ascii="Times New Roman" w:eastAsia="Times New Roman" w:hAnsi="Times New Roman" w:cs="Times New Roman"/>
          <w:kern w:val="36"/>
          <w:sz w:val="24"/>
          <w:szCs w:val="24"/>
        </w:rPr>
        <w:t>, R. (2024). Role of soil microbiota enzymes in soil health and activity changes depending on climate change and the type of soil ecosystem. </w:t>
      </w:r>
      <w:r w:rsidRPr="006706B2">
        <w:rPr>
          <w:rFonts w:ascii="Times New Roman" w:eastAsia="Times New Roman" w:hAnsi="Times New Roman" w:cs="Times New Roman"/>
          <w:i/>
          <w:iCs/>
          <w:kern w:val="36"/>
          <w:sz w:val="24"/>
          <w:szCs w:val="24"/>
        </w:rPr>
        <w:t>Biology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13</w:t>
      </w:r>
      <w:r w:rsidRPr="006706B2">
        <w:rPr>
          <w:rFonts w:ascii="Times New Roman" w:eastAsia="Times New Roman" w:hAnsi="Times New Roman" w:cs="Times New Roman"/>
          <w:kern w:val="36"/>
          <w:sz w:val="24"/>
          <w:szCs w:val="24"/>
        </w:rPr>
        <w:t>(2), 85.</w:t>
      </w:r>
    </w:p>
    <w:p w14:paraId="35A54997"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i/>
          <w:iCs/>
          <w:sz w:val="24"/>
          <w:szCs w:val="24"/>
        </w:rPr>
      </w:pPr>
      <w:r w:rsidRPr="006706B2">
        <w:rPr>
          <w:rFonts w:ascii="Times New Roman" w:eastAsia="Times New Roman" w:hAnsi="Times New Roman" w:cs="Times New Roman"/>
          <w:sz w:val="24"/>
          <w:szCs w:val="24"/>
          <w:lang w:val="nn-NO"/>
        </w:rPr>
        <w:t xml:space="preserve">Diniz, M. H. M. S., Ferreira, F. C., &amp; Ferreira, A. D. S. (2025). </w:t>
      </w:r>
      <w:r w:rsidRPr="006706B2">
        <w:rPr>
          <w:rFonts w:ascii="Times New Roman" w:eastAsia="Times New Roman" w:hAnsi="Times New Roman" w:cs="Times New Roman"/>
          <w:sz w:val="24"/>
          <w:szCs w:val="24"/>
        </w:rPr>
        <w:t xml:space="preserve">Temporal change of urea biochemical transformations and ammonia volatilization in soils. </w:t>
      </w:r>
      <w:r w:rsidRPr="006706B2">
        <w:rPr>
          <w:rFonts w:ascii="Times New Roman" w:eastAsia="Times New Roman" w:hAnsi="Times New Roman" w:cs="Times New Roman"/>
          <w:i/>
          <w:iCs/>
          <w:sz w:val="24"/>
          <w:szCs w:val="24"/>
        </w:rPr>
        <w:t>Frontiers in Environmental Science.</w:t>
      </w:r>
    </w:p>
    <w:p w14:paraId="2104FC66"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6706B2">
        <w:rPr>
          <w:rFonts w:ascii="Times New Roman" w:eastAsia="Times New Roman" w:hAnsi="Times New Roman" w:cs="Times New Roman"/>
          <w:kern w:val="36"/>
          <w:sz w:val="24"/>
          <w:szCs w:val="24"/>
        </w:rPr>
        <w:lastRenderedPageBreak/>
        <w:t>Dodla</w:t>
      </w:r>
      <w:proofErr w:type="spellEnd"/>
      <w:r w:rsidRPr="006706B2">
        <w:rPr>
          <w:rFonts w:ascii="Times New Roman" w:eastAsia="Times New Roman" w:hAnsi="Times New Roman" w:cs="Times New Roman"/>
          <w:kern w:val="36"/>
          <w:sz w:val="24"/>
          <w:szCs w:val="24"/>
        </w:rPr>
        <w:t>, S., Martin, K., Singh, U., Bible, W., O’Brien, J., Garcia, R., ... &amp; Pavuluri, K. (2025). Effects of urea micronized sulfur combined with urease and nitrification inhibitors on nitrogen transformation, losses, and crop response. </w:t>
      </w:r>
      <w:r w:rsidRPr="006706B2">
        <w:rPr>
          <w:rFonts w:ascii="Times New Roman" w:eastAsia="Times New Roman" w:hAnsi="Times New Roman" w:cs="Times New Roman"/>
          <w:i/>
          <w:iCs/>
          <w:kern w:val="36"/>
          <w:sz w:val="24"/>
          <w:szCs w:val="24"/>
        </w:rPr>
        <w:t>Nutrient Cycling in Agroecosystems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131</w:t>
      </w:r>
      <w:r w:rsidRPr="006706B2">
        <w:rPr>
          <w:rFonts w:ascii="Times New Roman" w:eastAsia="Times New Roman" w:hAnsi="Times New Roman" w:cs="Times New Roman"/>
          <w:kern w:val="36"/>
          <w:sz w:val="24"/>
          <w:szCs w:val="24"/>
        </w:rPr>
        <w:t>(2), 329-346.</w:t>
      </w:r>
    </w:p>
    <w:p w14:paraId="5753A706"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Fierer, N. (2017). Embracing the unknown: disentangling the complexities of the soil microbiome. </w:t>
      </w:r>
      <w:r w:rsidRPr="006706B2">
        <w:rPr>
          <w:rFonts w:ascii="Times New Roman" w:eastAsia="Times New Roman" w:hAnsi="Times New Roman" w:cs="Times New Roman"/>
          <w:i/>
          <w:iCs/>
          <w:kern w:val="36"/>
          <w:sz w:val="24"/>
          <w:szCs w:val="24"/>
        </w:rPr>
        <w:t>Nature reviews microbiology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15</w:t>
      </w:r>
      <w:r w:rsidRPr="006706B2">
        <w:rPr>
          <w:rFonts w:ascii="Times New Roman" w:eastAsia="Times New Roman" w:hAnsi="Times New Roman" w:cs="Times New Roman"/>
          <w:kern w:val="36"/>
          <w:sz w:val="24"/>
          <w:szCs w:val="24"/>
        </w:rPr>
        <w:t xml:space="preserve">(10), 579-590. </w:t>
      </w:r>
    </w:p>
    <w:p w14:paraId="3F3B8671"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Ge, X., Xie, D., Mulder, J., &amp; Duan, L. (2025). Enhanced nitrification in higher pH soils moderates ammonia emissions in global croplands. </w:t>
      </w:r>
      <w:r w:rsidRPr="006706B2">
        <w:rPr>
          <w:rFonts w:ascii="Times New Roman" w:eastAsia="Times New Roman" w:hAnsi="Times New Roman" w:cs="Times New Roman"/>
          <w:i/>
          <w:iCs/>
          <w:kern w:val="36"/>
          <w:sz w:val="24"/>
          <w:szCs w:val="24"/>
        </w:rPr>
        <w:t>Communications Earth &amp; Environment</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6</w:t>
      </w:r>
      <w:r w:rsidRPr="006706B2">
        <w:rPr>
          <w:rFonts w:ascii="Times New Roman" w:eastAsia="Times New Roman" w:hAnsi="Times New Roman" w:cs="Times New Roman"/>
          <w:kern w:val="36"/>
          <w:sz w:val="24"/>
          <w:szCs w:val="24"/>
        </w:rPr>
        <w:t xml:space="preserve">(1), 1020. </w:t>
      </w:r>
    </w:p>
    <w:p w14:paraId="69A18127" w14:textId="77777777" w:rsidR="006706B2" w:rsidRPr="006706B2" w:rsidRDefault="006706B2" w:rsidP="00963A61">
      <w:pPr>
        <w:spacing w:before="100" w:beforeAutospacing="1" w:after="100" w:afterAutospacing="1" w:line="276" w:lineRule="auto"/>
        <w:jc w:val="both"/>
        <w:outlineLvl w:val="0"/>
        <w:rPr>
          <w:rFonts w:ascii="Arial" w:hAnsi="Arial" w:cs="Arial"/>
          <w:color w:val="222222"/>
          <w:sz w:val="20"/>
          <w:szCs w:val="20"/>
          <w:shd w:val="clear" w:color="auto" w:fill="FFFFFF"/>
        </w:rPr>
      </w:pPr>
      <w:r w:rsidRPr="006706B2">
        <w:rPr>
          <w:rFonts w:ascii="Times New Roman" w:eastAsia="Times New Roman" w:hAnsi="Times New Roman" w:cs="Times New Roman"/>
          <w:kern w:val="36"/>
          <w:sz w:val="24"/>
          <w:szCs w:val="24"/>
          <w:lang w:val="nn-NO"/>
        </w:rPr>
        <w:t xml:space="preserve">Geisseler, D., &amp; Scow, K. M. (2014). </w:t>
      </w:r>
      <w:r w:rsidRPr="006706B2">
        <w:rPr>
          <w:rFonts w:ascii="Times New Roman" w:eastAsia="Times New Roman" w:hAnsi="Times New Roman" w:cs="Times New Roman"/>
          <w:kern w:val="36"/>
          <w:sz w:val="24"/>
          <w:szCs w:val="24"/>
        </w:rPr>
        <w:t>Long-term effects of mineral fertilizers on soil microorganisms–A review. </w:t>
      </w:r>
      <w:r w:rsidRPr="006706B2">
        <w:rPr>
          <w:rFonts w:ascii="Times New Roman" w:eastAsia="Times New Roman" w:hAnsi="Times New Roman" w:cs="Times New Roman"/>
          <w:i/>
          <w:iCs/>
          <w:kern w:val="36"/>
          <w:sz w:val="24"/>
          <w:szCs w:val="24"/>
        </w:rPr>
        <w:t>Soil Biology and Biochemistry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75</w:t>
      </w:r>
      <w:r w:rsidRPr="006706B2">
        <w:rPr>
          <w:rFonts w:ascii="Times New Roman" w:eastAsia="Times New Roman" w:hAnsi="Times New Roman" w:cs="Times New Roman"/>
          <w:kern w:val="36"/>
          <w:sz w:val="24"/>
          <w:szCs w:val="24"/>
        </w:rPr>
        <w:t>, 54-63.</w:t>
      </w:r>
      <w:r w:rsidRPr="006706B2">
        <w:rPr>
          <w:rFonts w:ascii="Arial" w:hAnsi="Arial" w:cs="Arial"/>
          <w:color w:val="222222"/>
          <w:sz w:val="20"/>
          <w:szCs w:val="20"/>
          <w:shd w:val="clear" w:color="auto" w:fill="FFFFFF"/>
        </w:rPr>
        <w:t xml:space="preserve"> </w:t>
      </w:r>
    </w:p>
    <w:p w14:paraId="73E4A8C8"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rPr>
        <w:t xml:space="preserve">Giannopoulos, G., Elsgaard, L., </w:t>
      </w:r>
      <w:proofErr w:type="spellStart"/>
      <w:r w:rsidRPr="006706B2">
        <w:rPr>
          <w:rFonts w:ascii="Times New Roman" w:eastAsia="Times New Roman" w:hAnsi="Times New Roman" w:cs="Times New Roman"/>
          <w:sz w:val="24"/>
          <w:szCs w:val="24"/>
        </w:rPr>
        <w:t>Tzanakakis</w:t>
      </w:r>
      <w:proofErr w:type="spellEnd"/>
      <w:r w:rsidRPr="006706B2">
        <w:rPr>
          <w:rFonts w:ascii="Times New Roman" w:eastAsia="Times New Roman" w:hAnsi="Times New Roman" w:cs="Times New Roman"/>
          <w:sz w:val="24"/>
          <w:szCs w:val="24"/>
        </w:rPr>
        <w:t xml:space="preserve">, V. A., Franklin, R. B., Brown, B. L., </w:t>
      </w:r>
      <w:proofErr w:type="spellStart"/>
      <w:r w:rsidRPr="006706B2">
        <w:rPr>
          <w:rFonts w:ascii="Times New Roman" w:eastAsia="Times New Roman" w:hAnsi="Times New Roman" w:cs="Times New Roman"/>
          <w:sz w:val="24"/>
          <w:szCs w:val="24"/>
        </w:rPr>
        <w:t>Zanakis</w:t>
      </w:r>
      <w:proofErr w:type="spellEnd"/>
      <w:r w:rsidRPr="006706B2">
        <w:rPr>
          <w:rFonts w:ascii="Times New Roman" w:eastAsia="Times New Roman" w:hAnsi="Times New Roman" w:cs="Times New Roman"/>
          <w:sz w:val="24"/>
          <w:szCs w:val="24"/>
        </w:rPr>
        <w:t xml:space="preserve">, </w:t>
      </w:r>
      <w:proofErr w:type="gramStart"/>
      <w:r w:rsidRPr="006706B2">
        <w:rPr>
          <w:rFonts w:ascii="Times New Roman" w:eastAsia="Times New Roman" w:hAnsi="Times New Roman" w:cs="Times New Roman"/>
          <w:sz w:val="24"/>
          <w:szCs w:val="24"/>
        </w:rPr>
        <w:t>G.,&amp;</w:t>
      </w:r>
      <w:proofErr w:type="gramEnd"/>
      <w:r w:rsidRPr="006706B2">
        <w:rPr>
          <w:rFonts w:ascii="Times New Roman" w:eastAsia="Times New Roman" w:hAnsi="Times New Roman" w:cs="Times New Roman"/>
          <w:sz w:val="24"/>
          <w:szCs w:val="24"/>
        </w:rPr>
        <w:t xml:space="preserve"> </w:t>
      </w:r>
      <w:proofErr w:type="spellStart"/>
      <w:r w:rsidRPr="006706B2">
        <w:rPr>
          <w:rFonts w:ascii="Times New Roman" w:eastAsia="Times New Roman" w:hAnsi="Times New Roman" w:cs="Times New Roman"/>
          <w:sz w:val="24"/>
          <w:szCs w:val="24"/>
        </w:rPr>
        <w:t>Polidoros</w:t>
      </w:r>
      <w:proofErr w:type="spellEnd"/>
      <w:r w:rsidRPr="006706B2">
        <w:rPr>
          <w:rFonts w:ascii="Times New Roman" w:eastAsia="Times New Roman" w:hAnsi="Times New Roman" w:cs="Times New Roman"/>
          <w:sz w:val="24"/>
          <w:szCs w:val="24"/>
        </w:rPr>
        <w:t xml:space="preserve">, A. N. (2024). Impact of </w:t>
      </w:r>
      <w:proofErr w:type="spellStart"/>
      <w:r w:rsidRPr="006706B2">
        <w:rPr>
          <w:rFonts w:ascii="Times New Roman" w:eastAsia="Times New Roman" w:hAnsi="Times New Roman" w:cs="Times New Roman"/>
          <w:sz w:val="24"/>
          <w:szCs w:val="24"/>
        </w:rPr>
        <w:t>nitrapyrin</w:t>
      </w:r>
      <w:proofErr w:type="spellEnd"/>
      <w:r w:rsidRPr="006706B2">
        <w:rPr>
          <w:rFonts w:ascii="Times New Roman" w:eastAsia="Times New Roman" w:hAnsi="Times New Roman" w:cs="Times New Roman"/>
          <w:sz w:val="24"/>
          <w:szCs w:val="24"/>
        </w:rPr>
        <w:t xml:space="preserve"> on urea‐based fertilizers in a Mediterranean calcareous soil: Nitrogen and microbial dynamics. </w:t>
      </w:r>
      <w:r w:rsidRPr="006706B2">
        <w:rPr>
          <w:rFonts w:ascii="Times New Roman" w:eastAsia="Times New Roman" w:hAnsi="Times New Roman" w:cs="Times New Roman"/>
          <w:i/>
          <w:iCs/>
          <w:sz w:val="24"/>
          <w:szCs w:val="24"/>
        </w:rPr>
        <w:t>European Journal of Soil Science</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75</w:t>
      </w:r>
      <w:r w:rsidRPr="006706B2">
        <w:rPr>
          <w:rFonts w:ascii="Times New Roman" w:eastAsia="Times New Roman" w:hAnsi="Times New Roman" w:cs="Times New Roman"/>
          <w:sz w:val="24"/>
          <w:szCs w:val="24"/>
        </w:rPr>
        <w:t>(4), e13553.</w:t>
      </w:r>
    </w:p>
    <w:p w14:paraId="262BE4EA"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6706B2">
        <w:rPr>
          <w:rFonts w:ascii="Times New Roman" w:eastAsia="Times New Roman" w:hAnsi="Times New Roman" w:cs="Times New Roman"/>
          <w:kern w:val="36"/>
          <w:sz w:val="24"/>
          <w:szCs w:val="24"/>
        </w:rPr>
        <w:t>Gubry-Rangin</w:t>
      </w:r>
      <w:proofErr w:type="spellEnd"/>
      <w:r w:rsidRPr="006706B2">
        <w:rPr>
          <w:rFonts w:ascii="Times New Roman" w:eastAsia="Times New Roman" w:hAnsi="Times New Roman" w:cs="Times New Roman"/>
          <w:kern w:val="36"/>
          <w:sz w:val="24"/>
          <w:szCs w:val="24"/>
        </w:rPr>
        <w:t>, C., Nicol, G. W., &amp; Prosser, J. I. (2010). Archaea rather than bacteria control nitrification in two agricultural acidic soils. </w:t>
      </w:r>
      <w:r w:rsidRPr="006706B2">
        <w:rPr>
          <w:rFonts w:ascii="Times New Roman" w:eastAsia="Times New Roman" w:hAnsi="Times New Roman" w:cs="Times New Roman"/>
          <w:i/>
          <w:iCs/>
          <w:kern w:val="36"/>
          <w:sz w:val="24"/>
          <w:szCs w:val="24"/>
        </w:rPr>
        <w:t>FEMS microbiology ecology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74</w:t>
      </w:r>
      <w:r w:rsidRPr="006706B2">
        <w:rPr>
          <w:rFonts w:ascii="Times New Roman" w:eastAsia="Times New Roman" w:hAnsi="Times New Roman" w:cs="Times New Roman"/>
          <w:kern w:val="36"/>
          <w:sz w:val="24"/>
          <w:szCs w:val="24"/>
        </w:rPr>
        <w:t>(3), 566-574.</w:t>
      </w:r>
    </w:p>
    <w:p w14:paraId="7CF999FB"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Guerrero-Zurita, F., Enesi, R. O., Gill, K., Lopez, S., </w:t>
      </w:r>
      <w:proofErr w:type="spellStart"/>
      <w:r w:rsidRPr="006706B2">
        <w:rPr>
          <w:rFonts w:ascii="Times New Roman" w:eastAsia="Times New Roman" w:hAnsi="Times New Roman" w:cs="Times New Roman"/>
          <w:kern w:val="36"/>
          <w:sz w:val="24"/>
          <w:szCs w:val="24"/>
        </w:rPr>
        <w:t>Nallanthighal</w:t>
      </w:r>
      <w:proofErr w:type="spellEnd"/>
      <w:r w:rsidRPr="006706B2">
        <w:rPr>
          <w:rFonts w:ascii="Times New Roman" w:eastAsia="Times New Roman" w:hAnsi="Times New Roman" w:cs="Times New Roman"/>
          <w:kern w:val="36"/>
          <w:sz w:val="24"/>
          <w:szCs w:val="24"/>
        </w:rPr>
        <w:t xml:space="preserve">, S. V., </w:t>
      </w:r>
      <w:proofErr w:type="spellStart"/>
      <w:r w:rsidRPr="006706B2">
        <w:rPr>
          <w:rFonts w:ascii="Times New Roman" w:eastAsia="Times New Roman" w:hAnsi="Times New Roman" w:cs="Times New Roman"/>
          <w:kern w:val="36"/>
          <w:sz w:val="24"/>
          <w:szCs w:val="24"/>
        </w:rPr>
        <w:t>Mbanyele</w:t>
      </w:r>
      <w:proofErr w:type="spellEnd"/>
      <w:r w:rsidRPr="006706B2">
        <w:rPr>
          <w:rFonts w:ascii="Times New Roman" w:eastAsia="Times New Roman" w:hAnsi="Times New Roman" w:cs="Times New Roman"/>
          <w:kern w:val="36"/>
          <w:sz w:val="24"/>
          <w:szCs w:val="24"/>
        </w:rPr>
        <w:t xml:space="preserve">, V., &amp; Gorim, L. Y. (2026). Coupling urea and Inhibitor-Stabilized urea with </w:t>
      </w:r>
      <w:proofErr w:type="spellStart"/>
      <w:r w:rsidRPr="006706B2">
        <w:rPr>
          <w:rFonts w:ascii="Times New Roman" w:eastAsia="Times New Roman" w:hAnsi="Times New Roman" w:cs="Times New Roman"/>
          <w:kern w:val="36"/>
          <w:sz w:val="24"/>
          <w:szCs w:val="24"/>
        </w:rPr>
        <w:t>Humalite</w:t>
      </w:r>
      <w:proofErr w:type="spellEnd"/>
      <w:r w:rsidRPr="006706B2">
        <w:rPr>
          <w:rFonts w:ascii="Times New Roman" w:eastAsia="Times New Roman" w:hAnsi="Times New Roman" w:cs="Times New Roman"/>
          <w:kern w:val="36"/>
          <w:sz w:val="24"/>
          <w:szCs w:val="24"/>
        </w:rPr>
        <w:t xml:space="preserve"> Modulates Soil Nutrient Availability. </w:t>
      </w:r>
      <w:r w:rsidRPr="006706B2">
        <w:rPr>
          <w:rFonts w:ascii="Times New Roman" w:eastAsia="Times New Roman" w:hAnsi="Times New Roman" w:cs="Times New Roman"/>
          <w:i/>
          <w:iCs/>
          <w:kern w:val="36"/>
          <w:sz w:val="24"/>
          <w:szCs w:val="24"/>
        </w:rPr>
        <w:t>Journal of Soil Science and Plant Nutrition</w:t>
      </w:r>
      <w:r w:rsidRPr="006706B2">
        <w:rPr>
          <w:rFonts w:ascii="Times New Roman" w:eastAsia="Times New Roman" w:hAnsi="Times New Roman" w:cs="Times New Roman"/>
          <w:kern w:val="36"/>
          <w:sz w:val="24"/>
          <w:szCs w:val="24"/>
        </w:rPr>
        <w:t>, 1-14.</w:t>
      </w:r>
    </w:p>
    <w:p w14:paraId="0E951C23"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lang w:val="nn-NO"/>
        </w:rPr>
        <w:t xml:space="preserve">Guo, J. H., Liu, X. J., Zhang, Y., Shen, J. L., Han, W. X., Zhang, W. F., ... </w:t>
      </w:r>
      <w:r w:rsidRPr="006706B2">
        <w:rPr>
          <w:rFonts w:ascii="Times New Roman" w:eastAsia="Times New Roman" w:hAnsi="Times New Roman" w:cs="Times New Roman"/>
          <w:sz w:val="24"/>
          <w:szCs w:val="24"/>
        </w:rPr>
        <w:t>&amp; Zhang, F. S. (2010). Significant acidification in major Chinese croplands. </w:t>
      </w:r>
      <w:r w:rsidRPr="006706B2">
        <w:rPr>
          <w:rFonts w:ascii="Times New Roman" w:eastAsia="Times New Roman" w:hAnsi="Times New Roman" w:cs="Times New Roman"/>
          <w:i/>
          <w:iCs/>
          <w:sz w:val="24"/>
          <w:szCs w:val="24"/>
        </w:rPr>
        <w:t>science</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327</w:t>
      </w:r>
      <w:r w:rsidRPr="006706B2">
        <w:rPr>
          <w:rFonts w:ascii="Times New Roman" w:eastAsia="Times New Roman" w:hAnsi="Times New Roman" w:cs="Times New Roman"/>
          <w:sz w:val="24"/>
          <w:szCs w:val="24"/>
        </w:rPr>
        <w:t>(5968), 1008-1010.</w:t>
      </w:r>
    </w:p>
    <w:p w14:paraId="09651833"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Gurmu, G., Beyene, S., &amp; Selassie, Y. G. (2025). </w:t>
      </w:r>
      <w:r w:rsidRPr="006706B2">
        <w:rPr>
          <w:rFonts w:ascii="Times New Roman" w:eastAsia="Times New Roman" w:hAnsi="Times New Roman" w:cs="Times New Roman"/>
          <w:kern w:val="36"/>
          <w:sz w:val="24"/>
          <w:szCs w:val="24"/>
        </w:rPr>
        <w:t>Aluminum stress and lime application affect growth, yield, and disease resistance of wheat (Triticum aestivum L.) varieties under acidic soil conditions. </w:t>
      </w:r>
      <w:proofErr w:type="spellStart"/>
      <w:r w:rsidRPr="006706B2">
        <w:rPr>
          <w:rFonts w:ascii="Times New Roman" w:eastAsia="Times New Roman" w:hAnsi="Times New Roman" w:cs="Times New Roman"/>
          <w:i/>
          <w:iCs/>
          <w:kern w:val="36"/>
          <w:sz w:val="24"/>
          <w:szCs w:val="24"/>
        </w:rPr>
        <w:t>Agrosystems</w:t>
      </w:r>
      <w:proofErr w:type="spellEnd"/>
      <w:r w:rsidRPr="006706B2">
        <w:rPr>
          <w:rFonts w:ascii="Times New Roman" w:eastAsia="Times New Roman" w:hAnsi="Times New Roman" w:cs="Times New Roman"/>
          <w:i/>
          <w:iCs/>
          <w:kern w:val="36"/>
          <w:sz w:val="24"/>
          <w:szCs w:val="24"/>
        </w:rPr>
        <w:t>, Geosciences &amp; Environment</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8</w:t>
      </w:r>
      <w:r w:rsidRPr="006706B2">
        <w:rPr>
          <w:rFonts w:ascii="Times New Roman" w:eastAsia="Times New Roman" w:hAnsi="Times New Roman" w:cs="Times New Roman"/>
          <w:kern w:val="36"/>
          <w:sz w:val="24"/>
          <w:szCs w:val="24"/>
        </w:rPr>
        <w:t>(2), e70102.</w:t>
      </w:r>
    </w:p>
    <w:p w14:paraId="065E19D3" w14:textId="77777777" w:rsidR="006706B2" w:rsidRPr="006706B2" w:rsidRDefault="006706B2" w:rsidP="00BB2B54">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Han, Y., </w:t>
      </w:r>
      <w:proofErr w:type="spellStart"/>
      <w:r w:rsidRPr="006706B2">
        <w:rPr>
          <w:rFonts w:ascii="Times New Roman" w:eastAsia="Times New Roman" w:hAnsi="Times New Roman" w:cs="Times New Roman"/>
          <w:kern w:val="36"/>
          <w:sz w:val="24"/>
          <w:szCs w:val="24"/>
        </w:rPr>
        <w:t>Lv</w:t>
      </w:r>
      <w:proofErr w:type="spellEnd"/>
      <w:r w:rsidRPr="006706B2">
        <w:rPr>
          <w:rFonts w:ascii="Times New Roman" w:eastAsia="Times New Roman" w:hAnsi="Times New Roman" w:cs="Times New Roman"/>
          <w:kern w:val="36"/>
          <w:sz w:val="24"/>
          <w:szCs w:val="24"/>
        </w:rPr>
        <w:t>, M., Liu, J., He, S., Shi, W., Li, M., &amp; Gao, Z. (2025). Agronomic practices-driven response of nitrogen-related microorganisms. </w:t>
      </w:r>
      <w:r w:rsidRPr="006706B2">
        <w:rPr>
          <w:rFonts w:ascii="Times New Roman" w:eastAsia="Times New Roman" w:hAnsi="Times New Roman" w:cs="Times New Roman"/>
          <w:i/>
          <w:iCs/>
          <w:kern w:val="36"/>
          <w:sz w:val="24"/>
          <w:szCs w:val="24"/>
        </w:rPr>
        <w:t>Plant and Soil</w:t>
      </w:r>
      <w:r w:rsidRPr="006706B2">
        <w:rPr>
          <w:rFonts w:ascii="Times New Roman" w:eastAsia="Times New Roman" w:hAnsi="Times New Roman" w:cs="Times New Roman"/>
          <w:kern w:val="36"/>
          <w:sz w:val="24"/>
          <w:szCs w:val="24"/>
        </w:rPr>
        <w:t>, 1-16.</w:t>
      </w:r>
    </w:p>
    <w:p w14:paraId="63115717"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Hart, S. C., Stark, J. M., Davidson, E. A., &amp; Firestone, M. K. (1994). Nitrogen mineralization, immobilization, and nitrification. </w:t>
      </w:r>
      <w:r w:rsidRPr="006706B2">
        <w:rPr>
          <w:rFonts w:ascii="Times New Roman" w:eastAsia="Times New Roman" w:hAnsi="Times New Roman" w:cs="Times New Roman"/>
          <w:i/>
          <w:iCs/>
          <w:kern w:val="36"/>
          <w:sz w:val="24"/>
          <w:szCs w:val="24"/>
        </w:rPr>
        <w:t>Methods of soil analysis: Part 2 microbiological and biochemical properties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5</w:t>
      </w:r>
      <w:r w:rsidRPr="006706B2">
        <w:rPr>
          <w:rFonts w:ascii="Times New Roman" w:eastAsia="Times New Roman" w:hAnsi="Times New Roman" w:cs="Times New Roman"/>
          <w:kern w:val="36"/>
          <w:sz w:val="24"/>
          <w:szCs w:val="24"/>
        </w:rPr>
        <w:t>, 985-1018.</w:t>
      </w:r>
    </w:p>
    <w:p w14:paraId="2B470A56"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Hayat, A., Jilani, G., Jalil, S., Iqbal, T., Rasheed, M., Chaudhry, A. N., ... &amp; Yong, J. W. H. (2024). Combining urea with chemical and biological amendments differentially influences nitrogen dynamics in soil and wheat growth. </w:t>
      </w:r>
      <w:r w:rsidRPr="006706B2">
        <w:rPr>
          <w:rFonts w:ascii="Times New Roman" w:eastAsia="Times New Roman" w:hAnsi="Times New Roman" w:cs="Times New Roman"/>
          <w:i/>
          <w:iCs/>
          <w:kern w:val="36"/>
          <w:sz w:val="24"/>
          <w:szCs w:val="24"/>
        </w:rPr>
        <w:t>ACS omega</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9</w:t>
      </w:r>
      <w:r w:rsidRPr="006706B2">
        <w:rPr>
          <w:rFonts w:ascii="Times New Roman" w:eastAsia="Times New Roman" w:hAnsi="Times New Roman" w:cs="Times New Roman"/>
          <w:kern w:val="36"/>
          <w:sz w:val="24"/>
          <w:szCs w:val="24"/>
        </w:rPr>
        <w:t>(30), 32617-32627.</w:t>
      </w:r>
    </w:p>
    <w:p w14:paraId="5F645E2E"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lastRenderedPageBreak/>
        <w:t>ISTA. (2018). International rules for seed testing 2018. </w:t>
      </w:r>
      <w:proofErr w:type="spellStart"/>
      <w:r w:rsidRPr="006706B2">
        <w:rPr>
          <w:rFonts w:ascii="Times New Roman" w:eastAsia="Times New Roman" w:hAnsi="Times New Roman" w:cs="Times New Roman"/>
          <w:i/>
          <w:iCs/>
          <w:kern w:val="36"/>
          <w:sz w:val="24"/>
          <w:szCs w:val="24"/>
        </w:rPr>
        <w:t>Zürichstr</w:t>
      </w:r>
      <w:proofErr w:type="spellEnd"/>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50</w:t>
      </w:r>
      <w:r w:rsidRPr="006706B2">
        <w:rPr>
          <w:rFonts w:ascii="Times New Roman" w:eastAsia="Times New Roman" w:hAnsi="Times New Roman" w:cs="Times New Roman"/>
          <w:kern w:val="36"/>
          <w:sz w:val="24"/>
          <w:szCs w:val="24"/>
        </w:rPr>
        <w:t>, CH-8303.</w:t>
      </w:r>
    </w:p>
    <w:p w14:paraId="287DFBDB"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Jiang, Y., Zhu, Y., Lin, W., &amp; Luo, J. (2024). Urea fertilization significantly promotes nitrous oxide emissions from agricultural soils and is attributed to the short-term suppression of nitrite-oxidizing bacteria during urea hydrolysis. </w:t>
      </w:r>
      <w:r w:rsidRPr="006706B2">
        <w:rPr>
          <w:rFonts w:ascii="Times New Roman" w:eastAsia="Times New Roman" w:hAnsi="Times New Roman" w:cs="Times New Roman"/>
          <w:i/>
          <w:iCs/>
          <w:kern w:val="36"/>
          <w:sz w:val="24"/>
          <w:szCs w:val="24"/>
        </w:rPr>
        <w:t>Microorganisms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12</w:t>
      </w:r>
      <w:r w:rsidRPr="006706B2">
        <w:rPr>
          <w:rFonts w:ascii="Times New Roman" w:eastAsia="Times New Roman" w:hAnsi="Times New Roman" w:cs="Times New Roman"/>
          <w:kern w:val="36"/>
          <w:sz w:val="24"/>
          <w:szCs w:val="24"/>
        </w:rPr>
        <w:t>(4), 685.</w:t>
      </w:r>
    </w:p>
    <w:p w14:paraId="5026BC94"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Jones, J. (2018). </w:t>
      </w:r>
      <w:r w:rsidRPr="006706B2">
        <w:rPr>
          <w:rFonts w:ascii="Times New Roman" w:eastAsia="Times New Roman" w:hAnsi="Times New Roman" w:cs="Times New Roman"/>
          <w:i/>
          <w:iCs/>
          <w:kern w:val="36"/>
          <w:sz w:val="24"/>
          <w:szCs w:val="24"/>
        </w:rPr>
        <w:t>Soil analysis handbook of reference methods</w:t>
      </w:r>
      <w:r w:rsidRPr="006706B2">
        <w:rPr>
          <w:rFonts w:ascii="Times New Roman" w:eastAsia="Times New Roman" w:hAnsi="Times New Roman" w:cs="Times New Roman"/>
          <w:kern w:val="36"/>
          <w:sz w:val="24"/>
          <w:szCs w:val="24"/>
        </w:rPr>
        <w:t>. CRC press.</w:t>
      </w:r>
    </w:p>
    <w:p w14:paraId="791D4969"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Keeney, D. R. (1982). Nitrogen—availability indices. </w:t>
      </w:r>
      <w:r w:rsidRPr="006706B2">
        <w:rPr>
          <w:rFonts w:ascii="Times New Roman" w:eastAsia="Times New Roman" w:hAnsi="Times New Roman" w:cs="Times New Roman"/>
          <w:i/>
          <w:iCs/>
          <w:kern w:val="36"/>
          <w:sz w:val="24"/>
          <w:szCs w:val="24"/>
        </w:rPr>
        <w:t>Methods of soil analysis: Part 2 chemical and microbiological properties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9</w:t>
      </w:r>
      <w:r w:rsidRPr="006706B2">
        <w:rPr>
          <w:rFonts w:ascii="Times New Roman" w:eastAsia="Times New Roman" w:hAnsi="Times New Roman" w:cs="Times New Roman"/>
          <w:kern w:val="36"/>
          <w:sz w:val="24"/>
          <w:szCs w:val="24"/>
        </w:rPr>
        <w:t>, 711-733.</w:t>
      </w:r>
    </w:p>
    <w:p w14:paraId="73964491"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Li, X., Su, L., Jing, M., Wang, K., Song, C., &amp; Song, Y. (2025). </w:t>
      </w:r>
      <w:r w:rsidRPr="006706B2">
        <w:rPr>
          <w:rFonts w:ascii="Times New Roman" w:eastAsia="Times New Roman" w:hAnsi="Times New Roman" w:cs="Times New Roman"/>
          <w:kern w:val="36"/>
          <w:sz w:val="24"/>
          <w:szCs w:val="24"/>
        </w:rPr>
        <w:t>Nitrogen addition restricts key soil ecological enzymes and nutrients by reducing microbial abundance and diversity. </w:t>
      </w:r>
      <w:r w:rsidRPr="006706B2">
        <w:rPr>
          <w:rFonts w:ascii="Times New Roman" w:eastAsia="Times New Roman" w:hAnsi="Times New Roman" w:cs="Times New Roman"/>
          <w:i/>
          <w:iCs/>
          <w:kern w:val="36"/>
          <w:sz w:val="24"/>
          <w:szCs w:val="24"/>
        </w:rPr>
        <w:t>Scientific Reports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15</w:t>
      </w:r>
      <w:r w:rsidRPr="006706B2">
        <w:rPr>
          <w:rFonts w:ascii="Times New Roman" w:eastAsia="Times New Roman" w:hAnsi="Times New Roman" w:cs="Times New Roman"/>
          <w:kern w:val="36"/>
          <w:sz w:val="24"/>
          <w:szCs w:val="24"/>
        </w:rPr>
        <w:t>(1), 5560.</w:t>
      </w:r>
    </w:p>
    <w:p w14:paraId="094D19DF"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Liu, F., Zhang, W., Li, J., Li, Y., Zheng, X., &amp; Li, S. (2026). </w:t>
      </w:r>
      <w:r w:rsidRPr="006706B2">
        <w:rPr>
          <w:rFonts w:ascii="Times New Roman" w:eastAsia="Times New Roman" w:hAnsi="Times New Roman" w:cs="Times New Roman"/>
          <w:kern w:val="36"/>
          <w:sz w:val="24"/>
          <w:szCs w:val="24"/>
        </w:rPr>
        <w:t>Effect of nitrogen addition on N2O emission from soils during freeze-thaw periods. </w:t>
      </w:r>
      <w:r w:rsidRPr="006706B2">
        <w:rPr>
          <w:rFonts w:ascii="Times New Roman" w:eastAsia="Times New Roman" w:hAnsi="Times New Roman" w:cs="Times New Roman"/>
          <w:i/>
          <w:iCs/>
          <w:kern w:val="36"/>
          <w:sz w:val="24"/>
          <w:szCs w:val="24"/>
        </w:rPr>
        <w:t>Environmental Research Letters</w:t>
      </w:r>
      <w:r w:rsidRPr="006706B2">
        <w:rPr>
          <w:rFonts w:ascii="Times New Roman" w:eastAsia="Times New Roman" w:hAnsi="Times New Roman" w:cs="Times New Roman"/>
          <w:kern w:val="36"/>
          <w:sz w:val="24"/>
          <w:szCs w:val="24"/>
        </w:rPr>
        <w:t>.</w:t>
      </w:r>
    </w:p>
    <w:p w14:paraId="6DE636B5"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Malal, H., Garcia, J. A., Marrs, A., </w:t>
      </w:r>
      <w:proofErr w:type="spellStart"/>
      <w:r w:rsidRPr="006706B2">
        <w:rPr>
          <w:rFonts w:ascii="Times New Roman" w:eastAsia="Times New Roman" w:hAnsi="Times New Roman" w:cs="Times New Roman"/>
          <w:kern w:val="36"/>
          <w:sz w:val="24"/>
          <w:szCs w:val="24"/>
        </w:rPr>
        <w:t>Ait</w:t>
      </w:r>
      <w:proofErr w:type="spellEnd"/>
      <w:r w:rsidRPr="006706B2">
        <w:rPr>
          <w:rFonts w:ascii="Times New Roman" w:eastAsia="Times New Roman" w:hAnsi="Times New Roman" w:cs="Times New Roman"/>
          <w:kern w:val="36"/>
          <w:sz w:val="24"/>
          <w:szCs w:val="24"/>
        </w:rPr>
        <w:t xml:space="preserve"> Hamza, M., Emerson, C., Nocco, M., ... &amp; Lazcano, C. (2025). Organic and inorganic fertilizers modulate the response of the soil microbiome to salinity stress. </w:t>
      </w:r>
      <w:r w:rsidRPr="006706B2">
        <w:rPr>
          <w:rFonts w:ascii="Times New Roman" w:eastAsia="Times New Roman" w:hAnsi="Times New Roman" w:cs="Times New Roman"/>
          <w:i/>
          <w:iCs/>
          <w:kern w:val="36"/>
          <w:sz w:val="24"/>
          <w:szCs w:val="24"/>
        </w:rPr>
        <w:t>Frontiers in Microbiology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16</w:t>
      </w:r>
      <w:r w:rsidRPr="006706B2">
        <w:rPr>
          <w:rFonts w:ascii="Times New Roman" w:eastAsia="Times New Roman" w:hAnsi="Times New Roman" w:cs="Times New Roman"/>
          <w:kern w:val="36"/>
          <w:sz w:val="24"/>
          <w:szCs w:val="24"/>
        </w:rPr>
        <w:t>, 1551586.</w:t>
      </w:r>
    </w:p>
    <w:p w14:paraId="33CDAE86"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Malik, A. A., Martiny, J. B., Brodie, E. L., Martiny, A. C., Treseder, K. K., &amp; Allison, S. D. (2020). Defining trait-based microbial strategies with consequences for soil carbon cycling under climate change. </w:t>
      </w:r>
      <w:r w:rsidRPr="006706B2">
        <w:rPr>
          <w:rFonts w:ascii="Times New Roman" w:eastAsia="Times New Roman" w:hAnsi="Times New Roman" w:cs="Times New Roman"/>
          <w:i/>
          <w:iCs/>
          <w:kern w:val="36"/>
          <w:sz w:val="24"/>
          <w:szCs w:val="24"/>
        </w:rPr>
        <w:t>The ISME journal</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14</w:t>
      </w:r>
      <w:r w:rsidRPr="006706B2">
        <w:rPr>
          <w:rFonts w:ascii="Times New Roman" w:eastAsia="Times New Roman" w:hAnsi="Times New Roman" w:cs="Times New Roman"/>
          <w:kern w:val="36"/>
          <w:sz w:val="24"/>
          <w:szCs w:val="24"/>
        </w:rPr>
        <w:t xml:space="preserve">(1), 1-9. </w:t>
      </w:r>
    </w:p>
    <w:p w14:paraId="74AD0C64"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Marschner, H. (1995). Mineral nutrition of higher </w:t>
      </w:r>
      <w:r w:rsidRPr="00963A61">
        <w:rPr>
          <w:rFonts w:ascii="Times New Roman" w:eastAsia="Times New Roman" w:hAnsi="Times New Roman" w:cs="Times New Roman"/>
          <w:i/>
          <w:iCs/>
          <w:kern w:val="36"/>
          <w:sz w:val="24"/>
          <w:szCs w:val="24"/>
        </w:rPr>
        <w:t>plants</w:t>
      </w:r>
      <w:r w:rsidRPr="00963A61">
        <w:rPr>
          <w:rFonts w:ascii="Times New Roman" w:eastAsia="Times New Roman" w:hAnsi="Times New Roman" w:cs="Times New Roman"/>
          <w:kern w:val="36"/>
          <w:sz w:val="24"/>
          <w:szCs w:val="24"/>
        </w:rPr>
        <w:t xml:space="preserve"> (2nd ed.). Academic Press.</w:t>
      </w:r>
    </w:p>
    <w:p w14:paraId="2DC13DA2"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rPr>
        <w:t>Martínez-Chávez, L. A., Hernández-Ramírez, M. Y., Feregrino-Pérez, A. A., &amp; Esquivel Escalante, K. (2024). Cutting-edge strategies to enhance bioactive compound production in plants: potential value of integration of elicitation, metabolic engineering, and green nanotechnology. </w:t>
      </w:r>
      <w:r w:rsidRPr="006706B2">
        <w:rPr>
          <w:rFonts w:ascii="Times New Roman" w:eastAsia="Times New Roman" w:hAnsi="Times New Roman" w:cs="Times New Roman"/>
          <w:i/>
          <w:iCs/>
          <w:sz w:val="24"/>
          <w:szCs w:val="24"/>
        </w:rPr>
        <w:t>Agronomy</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14</w:t>
      </w:r>
      <w:r w:rsidRPr="006706B2">
        <w:rPr>
          <w:rFonts w:ascii="Times New Roman" w:eastAsia="Times New Roman" w:hAnsi="Times New Roman" w:cs="Times New Roman"/>
          <w:sz w:val="24"/>
          <w:szCs w:val="24"/>
        </w:rPr>
        <w:t>(12), 2822.</w:t>
      </w:r>
    </w:p>
    <w:p w14:paraId="69663981"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Mi, W., Luo, F., Liu, W., Qin, Y., Zhang, Y., Liu, K., &amp; Li, W. (2024). </w:t>
      </w:r>
      <w:r w:rsidRPr="006706B2">
        <w:rPr>
          <w:rFonts w:ascii="Times New Roman" w:eastAsia="Times New Roman" w:hAnsi="Times New Roman" w:cs="Times New Roman"/>
          <w:kern w:val="36"/>
          <w:sz w:val="24"/>
          <w:szCs w:val="24"/>
        </w:rPr>
        <w:t>Nitrogen addition enhances seed yield by improving soil enzyme activity and nutrients. </w:t>
      </w:r>
      <w:proofErr w:type="spellStart"/>
      <w:r w:rsidRPr="006706B2">
        <w:rPr>
          <w:rFonts w:ascii="Times New Roman" w:eastAsia="Times New Roman" w:hAnsi="Times New Roman" w:cs="Times New Roman"/>
          <w:i/>
          <w:iCs/>
          <w:kern w:val="36"/>
          <w:sz w:val="24"/>
          <w:szCs w:val="24"/>
        </w:rPr>
        <w:t>PeerJ</w:t>
      </w:r>
      <w:proofErr w:type="spellEnd"/>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12</w:t>
      </w:r>
      <w:r w:rsidRPr="006706B2">
        <w:rPr>
          <w:rFonts w:ascii="Times New Roman" w:eastAsia="Times New Roman" w:hAnsi="Times New Roman" w:cs="Times New Roman"/>
          <w:kern w:val="36"/>
          <w:sz w:val="24"/>
          <w:szCs w:val="24"/>
        </w:rPr>
        <w:t>, e16791.</w:t>
      </w:r>
    </w:p>
    <w:p w14:paraId="0031BD78"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lang w:val="nn-NO"/>
        </w:rPr>
      </w:pPr>
      <w:r w:rsidRPr="006706B2">
        <w:rPr>
          <w:rFonts w:ascii="Times New Roman" w:eastAsia="Times New Roman" w:hAnsi="Times New Roman" w:cs="Times New Roman"/>
          <w:kern w:val="36"/>
          <w:sz w:val="24"/>
          <w:szCs w:val="24"/>
        </w:rPr>
        <w:t>Miranda, K. M., Espey, M. G., &amp; Wink, D. A. (2001). A rapid, simple spectrophotometric method for simultaneous detection of nitrate and nitrite. </w:t>
      </w:r>
      <w:r w:rsidRPr="006706B2">
        <w:rPr>
          <w:rFonts w:ascii="Times New Roman" w:eastAsia="Times New Roman" w:hAnsi="Times New Roman" w:cs="Times New Roman"/>
          <w:i/>
          <w:iCs/>
          <w:kern w:val="36"/>
          <w:sz w:val="24"/>
          <w:szCs w:val="24"/>
          <w:lang w:val="nn-NO"/>
        </w:rPr>
        <w:t>Nitric oxide</w:t>
      </w:r>
      <w:r w:rsidRPr="006706B2">
        <w:rPr>
          <w:rFonts w:ascii="Times New Roman" w:eastAsia="Times New Roman" w:hAnsi="Times New Roman" w:cs="Times New Roman"/>
          <w:kern w:val="36"/>
          <w:sz w:val="24"/>
          <w:szCs w:val="24"/>
          <w:lang w:val="nn-NO"/>
        </w:rPr>
        <w:t>, </w:t>
      </w:r>
      <w:r w:rsidRPr="006706B2">
        <w:rPr>
          <w:rFonts w:ascii="Times New Roman" w:eastAsia="Times New Roman" w:hAnsi="Times New Roman" w:cs="Times New Roman"/>
          <w:i/>
          <w:iCs/>
          <w:kern w:val="36"/>
          <w:sz w:val="24"/>
          <w:szCs w:val="24"/>
          <w:lang w:val="nn-NO"/>
        </w:rPr>
        <w:t>5</w:t>
      </w:r>
      <w:r w:rsidRPr="006706B2">
        <w:rPr>
          <w:rFonts w:ascii="Times New Roman" w:eastAsia="Times New Roman" w:hAnsi="Times New Roman" w:cs="Times New Roman"/>
          <w:kern w:val="36"/>
          <w:sz w:val="24"/>
          <w:szCs w:val="24"/>
          <w:lang w:val="nn-NO"/>
        </w:rPr>
        <w:t>(1), 62-71.</w:t>
      </w:r>
    </w:p>
    <w:p w14:paraId="0F3E4843"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Motasim, A. M., Samsuri, A. W., Nabayi, A., Akter, A., Haque, M. A., Abdul Sukor, A. S., &amp; Adibah, A. M. (2024). </w:t>
      </w:r>
      <w:r w:rsidRPr="006706B2">
        <w:rPr>
          <w:rFonts w:ascii="Times New Roman" w:eastAsia="Times New Roman" w:hAnsi="Times New Roman" w:cs="Times New Roman"/>
          <w:kern w:val="36"/>
          <w:sz w:val="24"/>
          <w:szCs w:val="24"/>
        </w:rPr>
        <w:t>Urea application in soil: Processes, losses, and alternatives—A review. </w:t>
      </w:r>
      <w:r w:rsidRPr="006706B2">
        <w:rPr>
          <w:rFonts w:ascii="Times New Roman" w:eastAsia="Times New Roman" w:hAnsi="Times New Roman" w:cs="Times New Roman"/>
          <w:i/>
          <w:iCs/>
          <w:kern w:val="36"/>
          <w:sz w:val="24"/>
          <w:szCs w:val="24"/>
        </w:rPr>
        <w:t>Discover Agriculture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w:t>
      </w:r>
      <w:r w:rsidRPr="006706B2">
        <w:rPr>
          <w:rFonts w:ascii="Times New Roman" w:eastAsia="Times New Roman" w:hAnsi="Times New Roman" w:cs="Times New Roman"/>
          <w:kern w:val="36"/>
          <w:sz w:val="24"/>
          <w:szCs w:val="24"/>
        </w:rPr>
        <w:t>(1), 42.</w:t>
      </w:r>
    </w:p>
    <w:p w14:paraId="6366F780"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lastRenderedPageBreak/>
        <w:t xml:space="preserve">Motasim, A. M., Samsuri, A. W., Nabayi, A., Akter, A., Haque, M. A., Abdul Sukor, A. S., &amp; Adibah, A. M. (2024). </w:t>
      </w:r>
      <w:r w:rsidRPr="006706B2">
        <w:rPr>
          <w:rFonts w:ascii="Times New Roman" w:eastAsia="Times New Roman" w:hAnsi="Times New Roman" w:cs="Times New Roman"/>
          <w:kern w:val="36"/>
          <w:sz w:val="24"/>
          <w:szCs w:val="24"/>
        </w:rPr>
        <w:t>Urea application in soil: Processes, losses, and alternatives—A review. </w:t>
      </w:r>
      <w:r w:rsidRPr="006706B2">
        <w:rPr>
          <w:rFonts w:ascii="Times New Roman" w:eastAsia="Times New Roman" w:hAnsi="Times New Roman" w:cs="Times New Roman"/>
          <w:i/>
          <w:iCs/>
          <w:kern w:val="36"/>
          <w:sz w:val="24"/>
          <w:szCs w:val="24"/>
        </w:rPr>
        <w:t>Discover Agriculture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w:t>
      </w:r>
      <w:r w:rsidRPr="006706B2">
        <w:rPr>
          <w:rFonts w:ascii="Times New Roman" w:eastAsia="Times New Roman" w:hAnsi="Times New Roman" w:cs="Times New Roman"/>
          <w:kern w:val="36"/>
          <w:sz w:val="24"/>
          <w:szCs w:val="24"/>
        </w:rPr>
        <w:t>(1), 42.</w:t>
      </w:r>
    </w:p>
    <w:p w14:paraId="0031C473"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rPr>
        <w:t>Navarro, B. B., Machado, M. J., &amp; Figueira, A. (2025). Nitrogen use efficiency in agriculture: Integrating biotechnology, microbiology, and novel delivery systems for sustainable agriculture. </w:t>
      </w:r>
      <w:r w:rsidRPr="006706B2">
        <w:rPr>
          <w:rFonts w:ascii="Times New Roman" w:eastAsia="Times New Roman" w:hAnsi="Times New Roman" w:cs="Times New Roman"/>
          <w:i/>
          <w:iCs/>
          <w:sz w:val="24"/>
          <w:szCs w:val="24"/>
        </w:rPr>
        <w:t>Plants</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14</w:t>
      </w:r>
      <w:r w:rsidRPr="006706B2">
        <w:rPr>
          <w:rFonts w:ascii="Times New Roman" w:eastAsia="Times New Roman" w:hAnsi="Times New Roman" w:cs="Times New Roman"/>
          <w:sz w:val="24"/>
          <w:szCs w:val="24"/>
        </w:rPr>
        <w:t>(19), 2974.</w:t>
      </w:r>
    </w:p>
    <w:p w14:paraId="104A1864"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Nelson, D. W., &amp; Sommers, L. E. (1996). </w:t>
      </w:r>
      <w:r w:rsidRPr="006706B2">
        <w:rPr>
          <w:rFonts w:ascii="Times New Roman" w:eastAsia="Times New Roman" w:hAnsi="Times New Roman" w:cs="Times New Roman"/>
          <w:kern w:val="36"/>
          <w:sz w:val="24"/>
          <w:szCs w:val="24"/>
        </w:rPr>
        <w:t>Total carbon, organic carbon, and organic matter. </w:t>
      </w:r>
      <w:r w:rsidRPr="006706B2">
        <w:rPr>
          <w:rFonts w:ascii="Times New Roman" w:eastAsia="Times New Roman" w:hAnsi="Times New Roman" w:cs="Times New Roman"/>
          <w:i/>
          <w:iCs/>
          <w:kern w:val="36"/>
          <w:sz w:val="24"/>
          <w:szCs w:val="24"/>
        </w:rPr>
        <w:t>Methods of soil analysis: Part 3 Chemical methods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5</w:t>
      </w:r>
      <w:r w:rsidRPr="006706B2">
        <w:rPr>
          <w:rFonts w:ascii="Times New Roman" w:eastAsia="Times New Roman" w:hAnsi="Times New Roman" w:cs="Times New Roman"/>
          <w:kern w:val="36"/>
          <w:sz w:val="24"/>
          <w:szCs w:val="24"/>
        </w:rPr>
        <w:t>, 961-1010.</w:t>
      </w:r>
    </w:p>
    <w:p w14:paraId="0596790B"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Oertel, C., Matschullat, J., Zurba, K., Zimmermann, F., &amp; Erasmi, S. (2016). </w:t>
      </w:r>
      <w:r w:rsidRPr="006706B2">
        <w:rPr>
          <w:rFonts w:ascii="Times New Roman" w:eastAsia="Times New Roman" w:hAnsi="Times New Roman" w:cs="Times New Roman"/>
          <w:kern w:val="36"/>
          <w:sz w:val="24"/>
          <w:szCs w:val="24"/>
        </w:rPr>
        <w:t>Greenhouse gas emissions from soils—A review. </w:t>
      </w:r>
      <w:r w:rsidRPr="006706B2">
        <w:rPr>
          <w:rFonts w:ascii="Times New Roman" w:eastAsia="Times New Roman" w:hAnsi="Times New Roman" w:cs="Times New Roman"/>
          <w:i/>
          <w:iCs/>
          <w:kern w:val="36"/>
          <w:sz w:val="24"/>
          <w:szCs w:val="24"/>
        </w:rPr>
        <w:t>Geochemistry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76</w:t>
      </w:r>
      <w:r w:rsidRPr="006706B2">
        <w:rPr>
          <w:rFonts w:ascii="Times New Roman" w:eastAsia="Times New Roman" w:hAnsi="Times New Roman" w:cs="Times New Roman"/>
          <w:kern w:val="36"/>
          <w:sz w:val="24"/>
          <w:szCs w:val="24"/>
        </w:rPr>
        <w:t>(3), 327-352.</w:t>
      </w:r>
    </w:p>
    <w:p w14:paraId="78AE4C21"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Pan, L., &amp; Wang, X. (2025). Rare taxa in the rhizosphere primarily influence nitrogen dynamics in plantations in northeastern China, with minimal impact on carbon and phosphorus. </w:t>
      </w:r>
      <w:r w:rsidRPr="006706B2">
        <w:rPr>
          <w:rFonts w:ascii="Times New Roman" w:eastAsia="Times New Roman" w:hAnsi="Times New Roman" w:cs="Times New Roman"/>
          <w:i/>
          <w:iCs/>
          <w:kern w:val="36"/>
          <w:sz w:val="24"/>
          <w:szCs w:val="24"/>
        </w:rPr>
        <w:t>Journal of Soil Science and Plant Nutrition</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25</w:t>
      </w:r>
      <w:r w:rsidRPr="006706B2">
        <w:rPr>
          <w:rFonts w:ascii="Times New Roman" w:eastAsia="Times New Roman" w:hAnsi="Times New Roman" w:cs="Times New Roman"/>
          <w:kern w:val="36"/>
          <w:sz w:val="24"/>
          <w:szCs w:val="24"/>
        </w:rPr>
        <w:t>(2), 3140-3153.</w:t>
      </w:r>
    </w:p>
    <w:p w14:paraId="51AB75AB"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Paul, E., &amp; Frey, S. (Eds.). (2023). </w:t>
      </w:r>
      <w:r w:rsidRPr="006706B2">
        <w:rPr>
          <w:rFonts w:ascii="Times New Roman" w:eastAsia="Times New Roman" w:hAnsi="Times New Roman" w:cs="Times New Roman"/>
          <w:i/>
          <w:iCs/>
          <w:kern w:val="36"/>
          <w:sz w:val="24"/>
          <w:szCs w:val="24"/>
        </w:rPr>
        <w:t>Soil microbiology, ecology and biochemistry</w:t>
      </w:r>
      <w:r w:rsidRPr="006706B2">
        <w:rPr>
          <w:rFonts w:ascii="Times New Roman" w:eastAsia="Times New Roman" w:hAnsi="Times New Roman" w:cs="Times New Roman"/>
          <w:kern w:val="36"/>
          <w:sz w:val="24"/>
          <w:szCs w:val="24"/>
        </w:rPr>
        <w:t>. Elsevier.</w:t>
      </w:r>
    </w:p>
    <w:p w14:paraId="39CE11E4"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rPr>
        <w:t>Shi, H., Liu, G., &amp; Chen, Q. (2024). Research hotspots and trends of nitrification inhibitors: a bibliometric review from 2004–2023. </w:t>
      </w:r>
      <w:r w:rsidRPr="006706B2">
        <w:rPr>
          <w:rFonts w:ascii="Times New Roman" w:eastAsia="Times New Roman" w:hAnsi="Times New Roman" w:cs="Times New Roman"/>
          <w:i/>
          <w:iCs/>
          <w:sz w:val="24"/>
          <w:szCs w:val="24"/>
        </w:rPr>
        <w:t>Sustainability</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16</w:t>
      </w:r>
      <w:r w:rsidRPr="006706B2">
        <w:rPr>
          <w:rFonts w:ascii="Times New Roman" w:eastAsia="Times New Roman" w:hAnsi="Times New Roman" w:cs="Times New Roman"/>
          <w:sz w:val="24"/>
          <w:szCs w:val="24"/>
        </w:rPr>
        <w:t>(10), 3906.</w:t>
      </w:r>
    </w:p>
    <w:p w14:paraId="31911977"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proofErr w:type="spellStart"/>
      <w:r w:rsidRPr="006706B2">
        <w:rPr>
          <w:rFonts w:ascii="Times New Roman" w:eastAsia="Times New Roman" w:hAnsi="Times New Roman" w:cs="Times New Roman"/>
          <w:kern w:val="36"/>
          <w:sz w:val="24"/>
          <w:szCs w:val="24"/>
        </w:rPr>
        <w:t>Solangi</w:t>
      </w:r>
      <w:proofErr w:type="spellEnd"/>
      <w:r w:rsidRPr="006706B2">
        <w:rPr>
          <w:rFonts w:ascii="Times New Roman" w:eastAsia="Times New Roman" w:hAnsi="Times New Roman" w:cs="Times New Roman"/>
          <w:kern w:val="36"/>
          <w:sz w:val="24"/>
          <w:szCs w:val="24"/>
        </w:rPr>
        <w:t xml:space="preserve">, F., Zhu, X., </w:t>
      </w:r>
      <w:proofErr w:type="spellStart"/>
      <w:r w:rsidRPr="006706B2">
        <w:rPr>
          <w:rFonts w:ascii="Times New Roman" w:eastAsia="Times New Roman" w:hAnsi="Times New Roman" w:cs="Times New Roman"/>
          <w:kern w:val="36"/>
          <w:sz w:val="24"/>
          <w:szCs w:val="24"/>
        </w:rPr>
        <w:t>Solangi</w:t>
      </w:r>
      <w:proofErr w:type="spellEnd"/>
      <w:r w:rsidRPr="006706B2">
        <w:rPr>
          <w:rFonts w:ascii="Times New Roman" w:eastAsia="Times New Roman" w:hAnsi="Times New Roman" w:cs="Times New Roman"/>
          <w:kern w:val="36"/>
          <w:sz w:val="24"/>
          <w:szCs w:val="24"/>
        </w:rPr>
        <w:t xml:space="preserve">, K. A., Iqbal, R., </w:t>
      </w:r>
      <w:proofErr w:type="spellStart"/>
      <w:r w:rsidRPr="006706B2">
        <w:rPr>
          <w:rFonts w:ascii="Times New Roman" w:eastAsia="Times New Roman" w:hAnsi="Times New Roman" w:cs="Times New Roman"/>
          <w:kern w:val="36"/>
          <w:sz w:val="24"/>
          <w:szCs w:val="24"/>
        </w:rPr>
        <w:t>Elshikh</w:t>
      </w:r>
      <w:proofErr w:type="spellEnd"/>
      <w:r w:rsidRPr="006706B2">
        <w:rPr>
          <w:rFonts w:ascii="Times New Roman" w:eastAsia="Times New Roman" w:hAnsi="Times New Roman" w:cs="Times New Roman"/>
          <w:kern w:val="36"/>
          <w:sz w:val="24"/>
          <w:szCs w:val="24"/>
        </w:rPr>
        <w:t xml:space="preserve">, M. S., </w:t>
      </w:r>
      <w:proofErr w:type="spellStart"/>
      <w:r w:rsidRPr="006706B2">
        <w:rPr>
          <w:rFonts w:ascii="Times New Roman" w:eastAsia="Times New Roman" w:hAnsi="Times New Roman" w:cs="Times New Roman"/>
          <w:kern w:val="36"/>
          <w:sz w:val="24"/>
          <w:szCs w:val="24"/>
        </w:rPr>
        <w:t>Alarjani</w:t>
      </w:r>
      <w:proofErr w:type="spellEnd"/>
      <w:r w:rsidRPr="006706B2">
        <w:rPr>
          <w:rFonts w:ascii="Times New Roman" w:eastAsia="Times New Roman" w:hAnsi="Times New Roman" w:cs="Times New Roman"/>
          <w:kern w:val="36"/>
          <w:sz w:val="24"/>
          <w:szCs w:val="24"/>
        </w:rPr>
        <w:t xml:space="preserve">, K. M., &amp; </w:t>
      </w:r>
      <w:proofErr w:type="spellStart"/>
      <w:r w:rsidRPr="006706B2">
        <w:rPr>
          <w:rFonts w:ascii="Times New Roman" w:eastAsia="Times New Roman" w:hAnsi="Times New Roman" w:cs="Times New Roman"/>
          <w:kern w:val="36"/>
          <w:sz w:val="24"/>
          <w:szCs w:val="24"/>
        </w:rPr>
        <w:t>Elsalahy</w:t>
      </w:r>
      <w:proofErr w:type="spellEnd"/>
      <w:r w:rsidRPr="006706B2">
        <w:rPr>
          <w:rFonts w:ascii="Times New Roman" w:eastAsia="Times New Roman" w:hAnsi="Times New Roman" w:cs="Times New Roman"/>
          <w:kern w:val="36"/>
          <w:sz w:val="24"/>
          <w:szCs w:val="24"/>
        </w:rPr>
        <w:t>, H. H. (2024). Responses of soil enzymatic activities and microbial biomass phosphorus to improve nutrient accumulation abilities in leguminous species. </w:t>
      </w:r>
      <w:r w:rsidRPr="006706B2">
        <w:rPr>
          <w:rFonts w:ascii="Times New Roman" w:eastAsia="Times New Roman" w:hAnsi="Times New Roman" w:cs="Times New Roman"/>
          <w:i/>
          <w:iCs/>
          <w:kern w:val="36"/>
          <w:sz w:val="24"/>
          <w:szCs w:val="24"/>
        </w:rPr>
        <w:t>Scientific Reports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14</w:t>
      </w:r>
      <w:r w:rsidRPr="006706B2">
        <w:rPr>
          <w:rFonts w:ascii="Times New Roman" w:eastAsia="Times New Roman" w:hAnsi="Times New Roman" w:cs="Times New Roman"/>
          <w:kern w:val="36"/>
          <w:sz w:val="24"/>
          <w:szCs w:val="24"/>
        </w:rPr>
        <w:t>(1), 11139.</w:t>
      </w:r>
    </w:p>
    <w:p w14:paraId="268AC891"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Tabatabai, M. A., &amp; Bremner, J. M. (1972). </w:t>
      </w:r>
      <w:r w:rsidRPr="006706B2">
        <w:rPr>
          <w:rFonts w:ascii="Times New Roman" w:eastAsia="Times New Roman" w:hAnsi="Times New Roman" w:cs="Times New Roman"/>
          <w:kern w:val="36"/>
          <w:sz w:val="24"/>
          <w:szCs w:val="24"/>
        </w:rPr>
        <w:t>Assay of urease activity in soils. </w:t>
      </w:r>
      <w:r w:rsidRPr="006706B2">
        <w:rPr>
          <w:rFonts w:ascii="Times New Roman" w:eastAsia="Times New Roman" w:hAnsi="Times New Roman" w:cs="Times New Roman"/>
          <w:i/>
          <w:iCs/>
          <w:kern w:val="36"/>
          <w:sz w:val="24"/>
          <w:szCs w:val="24"/>
        </w:rPr>
        <w:t>Soil biology and Biochemistry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4</w:t>
      </w:r>
      <w:r w:rsidRPr="006706B2">
        <w:rPr>
          <w:rFonts w:ascii="Times New Roman" w:eastAsia="Times New Roman" w:hAnsi="Times New Roman" w:cs="Times New Roman"/>
          <w:kern w:val="36"/>
          <w:sz w:val="24"/>
          <w:szCs w:val="24"/>
        </w:rPr>
        <w:t>(4), 479-487.</w:t>
      </w:r>
    </w:p>
    <w:p w14:paraId="353D3074"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Wang, P., Xu, D., Lakshmanan, P., Deng, Y., Zhu, Q., &amp; Zhang, F. (2024). </w:t>
      </w:r>
      <w:r w:rsidRPr="006706B2">
        <w:rPr>
          <w:rFonts w:ascii="Times New Roman" w:eastAsia="Times New Roman" w:hAnsi="Times New Roman" w:cs="Times New Roman"/>
          <w:kern w:val="36"/>
          <w:sz w:val="24"/>
          <w:szCs w:val="24"/>
        </w:rPr>
        <w:t>Mitigation strategies for soil acidification based on optimal nitrogen management. </w:t>
      </w:r>
      <w:r w:rsidRPr="006706B2">
        <w:rPr>
          <w:rFonts w:ascii="Times New Roman" w:eastAsia="Times New Roman" w:hAnsi="Times New Roman" w:cs="Times New Roman"/>
          <w:i/>
          <w:iCs/>
          <w:kern w:val="36"/>
          <w:sz w:val="24"/>
          <w:szCs w:val="24"/>
        </w:rPr>
        <w:t>ENGINEERING Agriculture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11</w:t>
      </w:r>
      <w:r w:rsidRPr="006706B2">
        <w:rPr>
          <w:rFonts w:ascii="Times New Roman" w:eastAsia="Times New Roman" w:hAnsi="Times New Roman" w:cs="Times New Roman"/>
          <w:kern w:val="36"/>
          <w:sz w:val="24"/>
          <w:szCs w:val="24"/>
        </w:rPr>
        <w:t>(2), 229.</w:t>
      </w:r>
    </w:p>
    <w:p w14:paraId="07789A73"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lang w:val="nn-NO"/>
        </w:rPr>
        <w:t xml:space="preserve">Wang, X., Feng, J., Ao, G., Qin, W., Han, M., Shen, Y., ... </w:t>
      </w:r>
      <w:r w:rsidRPr="006706B2">
        <w:rPr>
          <w:rFonts w:ascii="Times New Roman" w:eastAsia="Times New Roman" w:hAnsi="Times New Roman" w:cs="Times New Roman"/>
          <w:kern w:val="36"/>
          <w:sz w:val="24"/>
          <w:szCs w:val="24"/>
        </w:rPr>
        <w:t>&amp; Zhu, B. (2023). Globally nitrogen addition alters soil microbial community structure, but has minor effects on soil microbial diversity and richness. </w:t>
      </w:r>
      <w:r w:rsidRPr="006706B2">
        <w:rPr>
          <w:rFonts w:ascii="Times New Roman" w:eastAsia="Times New Roman" w:hAnsi="Times New Roman" w:cs="Times New Roman"/>
          <w:i/>
          <w:iCs/>
          <w:kern w:val="36"/>
          <w:sz w:val="24"/>
          <w:szCs w:val="24"/>
        </w:rPr>
        <w:t>Soil Biology and Biochemistry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179</w:t>
      </w:r>
      <w:r w:rsidRPr="006706B2">
        <w:rPr>
          <w:rFonts w:ascii="Times New Roman" w:eastAsia="Times New Roman" w:hAnsi="Times New Roman" w:cs="Times New Roman"/>
          <w:kern w:val="36"/>
          <w:sz w:val="24"/>
          <w:szCs w:val="24"/>
        </w:rPr>
        <w:t xml:space="preserve">, 108982. </w:t>
      </w:r>
    </w:p>
    <w:p w14:paraId="38C9EC1E"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Warke, A., &amp; </w:t>
      </w:r>
      <w:proofErr w:type="spellStart"/>
      <w:r w:rsidRPr="006706B2">
        <w:rPr>
          <w:rFonts w:ascii="Times New Roman" w:eastAsia="Times New Roman" w:hAnsi="Times New Roman" w:cs="Times New Roman"/>
          <w:kern w:val="36"/>
          <w:sz w:val="24"/>
          <w:szCs w:val="24"/>
        </w:rPr>
        <w:t>Wakgari</w:t>
      </w:r>
      <w:proofErr w:type="spellEnd"/>
      <w:r w:rsidRPr="006706B2">
        <w:rPr>
          <w:rFonts w:ascii="Times New Roman" w:eastAsia="Times New Roman" w:hAnsi="Times New Roman" w:cs="Times New Roman"/>
          <w:kern w:val="36"/>
          <w:sz w:val="24"/>
          <w:szCs w:val="24"/>
        </w:rPr>
        <w:t>, T. (2024). A Review on the Impact of Soil Acidification on Plant Nutrient Availability, Crop Productivity, and Management Options in the Ethiopian Highlands. </w:t>
      </w:r>
      <w:r w:rsidRPr="006706B2">
        <w:rPr>
          <w:rFonts w:ascii="Times New Roman" w:eastAsia="Times New Roman" w:hAnsi="Times New Roman" w:cs="Times New Roman"/>
          <w:i/>
          <w:iCs/>
          <w:kern w:val="36"/>
          <w:sz w:val="24"/>
          <w:szCs w:val="24"/>
        </w:rPr>
        <w:t>Forestry and Fisheries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13</w:t>
      </w:r>
      <w:r w:rsidRPr="006706B2">
        <w:rPr>
          <w:rFonts w:ascii="Times New Roman" w:eastAsia="Times New Roman" w:hAnsi="Times New Roman" w:cs="Times New Roman"/>
          <w:kern w:val="36"/>
          <w:sz w:val="24"/>
          <w:szCs w:val="24"/>
        </w:rPr>
        <w:t>(2), 31-45.</w:t>
      </w:r>
    </w:p>
    <w:p w14:paraId="35741989"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lastRenderedPageBreak/>
        <w:t>Warren, C. R. (2019). Does silica solid-phase extraction of soil lipids isolate a pure phospholipid fraction. </w:t>
      </w:r>
      <w:r w:rsidRPr="006706B2">
        <w:rPr>
          <w:rFonts w:ascii="Times New Roman" w:eastAsia="Times New Roman" w:hAnsi="Times New Roman" w:cs="Times New Roman"/>
          <w:i/>
          <w:iCs/>
          <w:kern w:val="36"/>
          <w:sz w:val="24"/>
          <w:szCs w:val="24"/>
        </w:rPr>
        <w:t>Soil Biology and Biochemistry</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128</w:t>
      </w:r>
      <w:r w:rsidRPr="006706B2">
        <w:rPr>
          <w:rFonts w:ascii="Times New Roman" w:eastAsia="Times New Roman" w:hAnsi="Times New Roman" w:cs="Times New Roman"/>
          <w:kern w:val="36"/>
          <w:sz w:val="24"/>
          <w:szCs w:val="24"/>
        </w:rPr>
        <w:t>, 175-178.</w:t>
      </w:r>
    </w:p>
    <w:p w14:paraId="4204600E" w14:textId="77777777" w:rsidR="006706B2" w:rsidRPr="006706B2" w:rsidRDefault="006706B2" w:rsidP="00963A61">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Wollum, A. G. (1982). Cultural methods for soil microorganisms. </w:t>
      </w:r>
      <w:r w:rsidRPr="006706B2">
        <w:rPr>
          <w:rFonts w:ascii="Times New Roman" w:eastAsia="Times New Roman" w:hAnsi="Times New Roman" w:cs="Times New Roman"/>
          <w:i/>
          <w:iCs/>
          <w:kern w:val="36"/>
          <w:sz w:val="24"/>
          <w:szCs w:val="24"/>
        </w:rPr>
        <w:t>Methods of soil analysis: part 2 chemical and microbiological properties</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9</w:t>
      </w:r>
      <w:r w:rsidRPr="006706B2">
        <w:rPr>
          <w:rFonts w:ascii="Times New Roman" w:eastAsia="Times New Roman" w:hAnsi="Times New Roman" w:cs="Times New Roman"/>
          <w:kern w:val="36"/>
          <w:sz w:val="24"/>
          <w:szCs w:val="24"/>
        </w:rPr>
        <w:t>, 781-802.</w:t>
      </w:r>
    </w:p>
    <w:p w14:paraId="3CE5D745"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Zhang, L., Yin, W., Yu, W., Wang, P., Wang, H., Zhang, X., &amp; Zhu, P. (2023). Environmental exposure to outdoor artificial light at night during pregnancy and fetal size: a prospective cohort study. </w:t>
      </w:r>
      <w:r w:rsidRPr="006706B2">
        <w:rPr>
          <w:rFonts w:ascii="Times New Roman" w:eastAsia="Times New Roman" w:hAnsi="Times New Roman" w:cs="Times New Roman"/>
          <w:i/>
          <w:iCs/>
          <w:kern w:val="36"/>
          <w:sz w:val="24"/>
          <w:szCs w:val="24"/>
        </w:rPr>
        <w:t>Science of The Total Environment</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883</w:t>
      </w:r>
      <w:r w:rsidRPr="006706B2">
        <w:rPr>
          <w:rFonts w:ascii="Times New Roman" w:eastAsia="Times New Roman" w:hAnsi="Times New Roman" w:cs="Times New Roman"/>
          <w:kern w:val="36"/>
          <w:sz w:val="24"/>
          <w:szCs w:val="24"/>
        </w:rPr>
        <w:t>, 163521.</w:t>
      </w:r>
    </w:p>
    <w:p w14:paraId="58805844" w14:textId="77777777" w:rsidR="006706B2" w:rsidRPr="006706B2" w:rsidRDefault="006706B2" w:rsidP="00815A2D">
      <w:pPr>
        <w:spacing w:before="100" w:beforeAutospacing="1" w:after="100" w:afterAutospacing="1" w:line="276" w:lineRule="auto"/>
        <w:jc w:val="both"/>
        <w:outlineLvl w:val="0"/>
        <w:rPr>
          <w:rFonts w:ascii="Times New Roman" w:eastAsia="Times New Roman" w:hAnsi="Times New Roman" w:cs="Times New Roman"/>
          <w:kern w:val="36"/>
          <w:sz w:val="24"/>
          <w:szCs w:val="24"/>
        </w:rPr>
      </w:pPr>
      <w:r w:rsidRPr="006706B2">
        <w:rPr>
          <w:rFonts w:ascii="Times New Roman" w:eastAsia="Times New Roman" w:hAnsi="Times New Roman" w:cs="Times New Roman"/>
          <w:kern w:val="36"/>
          <w:sz w:val="24"/>
          <w:szCs w:val="24"/>
        </w:rPr>
        <w:t xml:space="preserve">Zhang, X., Davidson, E. A., </w:t>
      </w:r>
      <w:proofErr w:type="spellStart"/>
      <w:r w:rsidRPr="006706B2">
        <w:rPr>
          <w:rFonts w:ascii="Times New Roman" w:eastAsia="Times New Roman" w:hAnsi="Times New Roman" w:cs="Times New Roman"/>
          <w:kern w:val="36"/>
          <w:sz w:val="24"/>
          <w:szCs w:val="24"/>
        </w:rPr>
        <w:t>Mauzerall</w:t>
      </w:r>
      <w:proofErr w:type="spellEnd"/>
      <w:r w:rsidRPr="006706B2">
        <w:rPr>
          <w:rFonts w:ascii="Times New Roman" w:eastAsia="Times New Roman" w:hAnsi="Times New Roman" w:cs="Times New Roman"/>
          <w:kern w:val="36"/>
          <w:sz w:val="24"/>
          <w:szCs w:val="24"/>
        </w:rPr>
        <w:t xml:space="preserve">, D. L., </w:t>
      </w:r>
      <w:proofErr w:type="spellStart"/>
      <w:r w:rsidRPr="006706B2">
        <w:rPr>
          <w:rFonts w:ascii="Times New Roman" w:eastAsia="Times New Roman" w:hAnsi="Times New Roman" w:cs="Times New Roman"/>
          <w:kern w:val="36"/>
          <w:sz w:val="24"/>
          <w:szCs w:val="24"/>
        </w:rPr>
        <w:t>Searchinger</w:t>
      </w:r>
      <w:proofErr w:type="spellEnd"/>
      <w:r w:rsidRPr="006706B2">
        <w:rPr>
          <w:rFonts w:ascii="Times New Roman" w:eastAsia="Times New Roman" w:hAnsi="Times New Roman" w:cs="Times New Roman"/>
          <w:kern w:val="36"/>
          <w:sz w:val="24"/>
          <w:szCs w:val="24"/>
        </w:rPr>
        <w:t>, T. D., Dumas, P., &amp; Shen, Y. (2015). Managing nitrogen for sustainable development. </w:t>
      </w:r>
      <w:r w:rsidRPr="006706B2">
        <w:rPr>
          <w:rFonts w:ascii="Times New Roman" w:eastAsia="Times New Roman" w:hAnsi="Times New Roman" w:cs="Times New Roman"/>
          <w:i/>
          <w:iCs/>
          <w:kern w:val="36"/>
          <w:sz w:val="24"/>
          <w:szCs w:val="24"/>
        </w:rPr>
        <w:t>Nature</w:t>
      </w:r>
      <w:r w:rsidRPr="006706B2">
        <w:rPr>
          <w:rFonts w:ascii="Times New Roman" w:eastAsia="Times New Roman" w:hAnsi="Times New Roman" w:cs="Times New Roman"/>
          <w:kern w:val="36"/>
          <w:sz w:val="24"/>
          <w:szCs w:val="24"/>
        </w:rPr>
        <w:t>, </w:t>
      </w:r>
      <w:r w:rsidRPr="006706B2">
        <w:rPr>
          <w:rFonts w:ascii="Times New Roman" w:eastAsia="Times New Roman" w:hAnsi="Times New Roman" w:cs="Times New Roman"/>
          <w:i/>
          <w:iCs/>
          <w:kern w:val="36"/>
          <w:sz w:val="24"/>
          <w:szCs w:val="24"/>
        </w:rPr>
        <w:t>528</w:t>
      </w:r>
      <w:r w:rsidRPr="006706B2">
        <w:rPr>
          <w:rFonts w:ascii="Times New Roman" w:eastAsia="Times New Roman" w:hAnsi="Times New Roman" w:cs="Times New Roman"/>
          <w:kern w:val="36"/>
          <w:sz w:val="24"/>
          <w:szCs w:val="24"/>
        </w:rPr>
        <w:t>(7580), 51-59.</w:t>
      </w:r>
    </w:p>
    <w:p w14:paraId="4EC71F9D" w14:textId="77777777" w:rsidR="006706B2" w:rsidRPr="006706B2" w:rsidRDefault="006706B2" w:rsidP="00815A2D">
      <w:pPr>
        <w:spacing w:before="100" w:beforeAutospacing="1" w:after="100" w:afterAutospacing="1" w:line="276" w:lineRule="auto"/>
        <w:jc w:val="both"/>
        <w:outlineLvl w:val="2"/>
        <w:rPr>
          <w:rFonts w:ascii="Times New Roman" w:eastAsia="Times New Roman" w:hAnsi="Times New Roman" w:cs="Times New Roman"/>
          <w:sz w:val="24"/>
          <w:szCs w:val="24"/>
        </w:rPr>
      </w:pPr>
      <w:r w:rsidRPr="006706B2">
        <w:rPr>
          <w:rFonts w:ascii="Times New Roman" w:eastAsia="Times New Roman" w:hAnsi="Times New Roman" w:cs="Times New Roman"/>
          <w:sz w:val="24"/>
          <w:szCs w:val="24"/>
        </w:rPr>
        <w:t>Zhao, W., Chen, A., Han, W., Tang, Z., Xu, Z., Zhang, K., ... &amp; Zhang, X. (2026). Effects of modified biochar and fertilizer application on soil nitrification and acidification in subtropical regions of China. </w:t>
      </w:r>
      <w:r w:rsidRPr="006706B2">
        <w:rPr>
          <w:rFonts w:ascii="Times New Roman" w:eastAsia="Times New Roman" w:hAnsi="Times New Roman" w:cs="Times New Roman"/>
          <w:i/>
          <w:iCs/>
          <w:sz w:val="24"/>
          <w:szCs w:val="24"/>
        </w:rPr>
        <w:t>Journal of Soils and Sediments</w:t>
      </w:r>
      <w:r w:rsidRPr="006706B2">
        <w:rPr>
          <w:rFonts w:ascii="Times New Roman" w:eastAsia="Times New Roman" w:hAnsi="Times New Roman" w:cs="Times New Roman"/>
          <w:sz w:val="24"/>
          <w:szCs w:val="24"/>
        </w:rPr>
        <w:t>, </w:t>
      </w:r>
      <w:r w:rsidRPr="006706B2">
        <w:rPr>
          <w:rFonts w:ascii="Times New Roman" w:eastAsia="Times New Roman" w:hAnsi="Times New Roman" w:cs="Times New Roman"/>
          <w:i/>
          <w:iCs/>
          <w:sz w:val="24"/>
          <w:szCs w:val="24"/>
        </w:rPr>
        <w:t>26</w:t>
      </w:r>
      <w:r w:rsidRPr="006706B2">
        <w:rPr>
          <w:rFonts w:ascii="Times New Roman" w:eastAsia="Times New Roman" w:hAnsi="Times New Roman" w:cs="Times New Roman"/>
          <w:sz w:val="24"/>
          <w:szCs w:val="24"/>
        </w:rPr>
        <w:t>(2), 20.</w:t>
      </w:r>
    </w:p>
    <w:p w14:paraId="239B8C50" w14:textId="77777777" w:rsidR="00BB2B54" w:rsidRDefault="00BB2B54" w:rsidP="00815A2D">
      <w:pPr>
        <w:spacing w:before="100" w:beforeAutospacing="1" w:after="100" w:afterAutospacing="1" w:line="276" w:lineRule="auto"/>
        <w:jc w:val="both"/>
        <w:outlineLvl w:val="2"/>
        <w:rPr>
          <w:rFonts w:ascii="Times New Roman" w:eastAsia="Times New Roman" w:hAnsi="Times New Roman" w:cs="Times New Roman"/>
          <w:b/>
          <w:bCs/>
          <w:sz w:val="24"/>
          <w:szCs w:val="24"/>
        </w:rPr>
      </w:pPr>
    </w:p>
    <w:p w14:paraId="5E52EE29" w14:textId="557F7ECD" w:rsidR="00ED0D52" w:rsidRPr="00ED0D52" w:rsidRDefault="00ED0D52" w:rsidP="00815A2D">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ED0D52">
        <w:rPr>
          <w:rFonts w:ascii="Times New Roman" w:eastAsia="Times New Roman" w:hAnsi="Times New Roman" w:cs="Times New Roman"/>
          <w:b/>
          <w:bCs/>
          <w:sz w:val="24"/>
          <w:szCs w:val="24"/>
        </w:rPr>
        <w:t>Table 1. Soil physicochemical properties under urea treatments</w:t>
      </w:r>
    </w:p>
    <w:tbl>
      <w:tblPr>
        <w:tblStyle w:val="TableGrid"/>
        <w:tblW w:w="7984" w:type="dxa"/>
        <w:tblLook w:val="04A0" w:firstRow="1" w:lastRow="0" w:firstColumn="1" w:lastColumn="0" w:noHBand="0" w:noVBand="1"/>
      </w:tblPr>
      <w:tblGrid>
        <w:gridCol w:w="1996"/>
        <w:gridCol w:w="1996"/>
        <w:gridCol w:w="1996"/>
        <w:gridCol w:w="1996"/>
      </w:tblGrid>
      <w:tr w:rsidR="00ED0D52" w:rsidRPr="00ED0D52" w14:paraId="34656F4B" w14:textId="77777777" w:rsidTr="002E27A3">
        <w:trPr>
          <w:trHeight w:val="253"/>
        </w:trPr>
        <w:tc>
          <w:tcPr>
            <w:tcW w:w="1996" w:type="dxa"/>
            <w:vAlign w:val="center"/>
          </w:tcPr>
          <w:p w14:paraId="22DF8E5F"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Parameter</w:t>
            </w:r>
          </w:p>
        </w:tc>
        <w:tc>
          <w:tcPr>
            <w:tcW w:w="1996" w:type="dxa"/>
            <w:vAlign w:val="center"/>
          </w:tcPr>
          <w:p w14:paraId="7565A8AD"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1</w:t>
            </w:r>
            <w:r w:rsidRPr="00ED0D52">
              <w:rPr>
                <w:rFonts w:ascii="Times New Roman" w:eastAsia="Times New Roman" w:hAnsi="Times New Roman" w:cs="Times New Roman"/>
                <w:b/>
                <w:bCs/>
                <w:sz w:val="24"/>
                <w:szCs w:val="24"/>
              </w:rPr>
              <w:t xml:space="preserve"> (0%)</w:t>
            </w:r>
          </w:p>
        </w:tc>
        <w:tc>
          <w:tcPr>
            <w:tcW w:w="1996" w:type="dxa"/>
            <w:vAlign w:val="center"/>
          </w:tcPr>
          <w:p w14:paraId="5804F0B4"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2</w:t>
            </w:r>
            <w:r w:rsidRPr="00ED0D52">
              <w:rPr>
                <w:rFonts w:ascii="Times New Roman" w:eastAsia="Times New Roman" w:hAnsi="Times New Roman" w:cs="Times New Roman"/>
                <w:b/>
                <w:bCs/>
                <w:sz w:val="24"/>
                <w:szCs w:val="24"/>
              </w:rPr>
              <w:t xml:space="preserve"> (0.1%)</w:t>
            </w:r>
          </w:p>
        </w:tc>
        <w:tc>
          <w:tcPr>
            <w:tcW w:w="1996" w:type="dxa"/>
            <w:vAlign w:val="center"/>
          </w:tcPr>
          <w:p w14:paraId="50930CF8"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3</w:t>
            </w:r>
            <w:r w:rsidRPr="00ED0D52">
              <w:rPr>
                <w:rFonts w:ascii="Times New Roman" w:eastAsia="Times New Roman" w:hAnsi="Times New Roman" w:cs="Times New Roman"/>
                <w:b/>
                <w:bCs/>
                <w:sz w:val="24"/>
                <w:szCs w:val="24"/>
              </w:rPr>
              <w:t xml:space="preserve"> (0.2%)</w:t>
            </w:r>
          </w:p>
        </w:tc>
      </w:tr>
      <w:tr w:rsidR="00ED0D52" w:rsidRPr="00ED0D52" w14:paraId="2EFEDD17" w14:textId="77777777" w:rsidTr="002E27A3">
        <w:trPr>
          <w:trHeight w:val="244"/>
        </w:trPr>
        <w:tc>
          <w:tcPr>
            <w:tcW w:w="1996" w:type="dxa"/>
            <w:vAlign w:val="center"/>
          </w:tcPr>
          <w:p w14:paraId="326B6AFC"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pH</w:t>
            </w:r>
          </w:p>
        </w:tc>
        <w:tc>
          <w:tcPr>
            <w:tcW w:w="1996" w:type="dxa"/>
            <w:vAlign w:val="center"/>
          </w:tcPr>
          <w:p w14:paraId="5DF41E1C"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5.51 ± 0.02ᵃ</w:t>
            </w:r>
          </w:p>
        </w:tc>
        <w:tc>
          <w:tcPr>
            <w:tcW w:w="1996" w:type="dxa"/>
            <w:vAlign w:val="center"/>
          </w:tcPr>
          <w:p w14:paraId="79340CD5"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5.59 ± 0.01ᵃ</w:t>
            </w:r>
          </w:p>
        </w:tc>
        <w:tc>
          <w:tcPr>
            <w:tcW w:w="1996" w:type="dxa"/>
            <w:vAlign w:val="center"/>
          </w:tcPr>
          <w:p w14:paraId="5CDD4076"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5.71 ± 0.02ᵃ</w:t>
            </w:r>
          </w:p>
        </w:tc>
      </w:tr>
      <w:tr w:rsidR="00ED0D52" w:rsidRPr="00ED0D52" w14:paraId="4AC03F6B" w14:textId="77777777" w:rsidTr="002E27A3">
        <w:trPr>
          <w:trHeight w:val="253"/>
        </w:trPr>
        <w:tc>
          <w:tcPr>
            <w:tcW w:w="1996" w:type="dxa"/>
            <w:vAlign w:val="center"/>
          </w:tcPr>
          <w:p w14:paraId="02747641"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EC (</w:t>
            </w:r>
            <w:proofErr w:type="spellStart"/>
            <w:r w:rsidRPr="00ED0D52">
              <w:rPr>
                <w:rFonts w:ascii="Times New Roman" w:eastAsia="Times New Roman" w:hAnsi="Times New Roman" w:cs="Times New Roman"/>
                <w:sz w:val="24"/>
                <w:szCs w:val="24"/>
              </w:rPr>
              <w:t>dS</w:t>
            </w:r>
            <w:proofErr w:type="spellEnd"/>
            <w:r w:rsidRPr="00ED0D52">
              <w:rPr>
                <w:rFonts w:ascii="Times New Roman" w:eastAsia="Times New Roman" w:hAnsi="Times New Roman" w:cs="Times New Roman"/>
                <w:sz w:val="24"/>
                <w:szCs w:val="24"/>
              </w:rPr>
              <w:t xml:space="preserve"> m⁻¹)</w:t>
            </w:r>
          </w:p>
        </w:tc>
        <w:tc>
          <w:tcPr>
            <w:tcW w:w="1996" w:type="dxa"/>
            <w:vAlign w:val="center"/>
          </w:tcPr>
          <w:p w14:paraId="48E9463F"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0.22 ± 0.009ᵃ</w:t>
            </w:r>
          </w:p>
        </w:tc>
        <w:tc>
          <w:tcPr>
            <w:tcW w:w="1996" w:type="dxa"/>
            <w:vAlign w:val="center"/>
          </w:tcPr>
          <w:p w14:paraId="3838C64A"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0.36 ± 0.01ᵇ</w:t>
            </w:r>
          </w:p>
        </w:tc>
        <w:tc>
          <w:tcPr>
            <w:tcW w:w="1996" w:type="dxa"/>
            <w:vAlign w:val="center"/>
          </w:tcPr>
          <w:p w14:paraId="751BE8D6"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0.44 ± 0.01ᶜ</w:t>
            </w:r>
          </w:p>
        </w:tc>
      </w:tr>
      <w:tr w:rsidR="00ED0D52" w:rsidRPr="00ED0D52" w14:paraId="513144AF" w14:textId="77777777" w:rsidTr="002E27A3">
        <w:trPr>
          <w:trHeight w:val="244"/>
        </w:trPr>
        <w:tc>
          <w:tcPr>
            <w:tcW w:w="1996" w:type="dxa"/>
            <w:vAlign w:val="center"/>
          </w:tcPr>
          <w:p w14:paraId="4C4DD871"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SOC (%)</w:t>
            </w:r>
          </w:p>
        </w:tc>
        <w:tc>
          <w:tcPr>
            <w:tcW w:w="1996" w:type="dxa"/>
            <w:vAlign w:val="center"/>
          </w:tcPr>
          <w:p w14:paraId="61754875"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0.64 ± 0.03ᵃ</w:t>
            </w:r>
          </w:p>
        </w:tc>
        <w:tc>
          <w:tcPr>
            <w:tcW w:w="1996" w:type="dxa"/>
            <w:vAlign w:val="center"/>
          </w:tcPr>
          <w:p w14:paraId="6B698F70"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0.65 ± 0.00ᵃ</w:t>
            </w:r>
          </w:p>
        </w:tc>
        <w:tc>
          <w:tcPr>
            <w:tcW w:w="1996" w:type="dxa"/>
            <w:vAlign w:val="center"/>
          </w:tcPr>
          <w:p w14:paraId="4BB09AD9"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0.65 ± 0.04ᵃ</w:t>
            </w:r>
          </w:p>
        </w:tc>
      </w:tr>
      <w:tr w:rsidR="00ED0D52" w:rsidRPr="00ED0D52" w14:paraId="43285F88" w14:textId="77777777" w:rsidTr="002E27A3">
        <w:trPr>
          <w:trHeight w:val="253"/>
        </w:trPr>
        <w:tc>
          <w:tcPr>
            <w:tcW w:w="1996" w:type="dxa"/>
            <w:vAlign w:val="center"/>
          </w:tcPr>
          <w:p w14:paraId="6A24BCD9"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Bulk density (kg m⁻³)</w:t>
            </w:r>
          </w:p>
        </w:tc>
        <w:tc>
          <w:tcPr>
            <w:tcW w:w="1996" w:type="dxa"/>
            <w:vAlign w:val="center"/>
          </w:tcPr>
          <w:p w14:paraId="1E6DB16B" w14:textId="77777777" w:rsidR="00ED0D52" w:rsidRPr="00ED0D52" w:rsidRDefault="00ED0D52" w:rsidP="00815A2D">
            <w:pPr>
              <w:spacing w:line="276" w:lineRule="auto"/>
              <w:jc w:val="both"/>
              <w:rPr>
                <w:rFonts w:ascii="Times New Roman" w:eastAsia="Times New Roman" w:hAnsi="Times New Roman" w:cs="Times New Roman"/>
                <w:color w:val="000000"/>
                <w:sz w:val="24"/>
                <w:szCs w:val="24"/>
              </w:rPr>
            </w:pPr>
            <w:r w:rsidRPr="00ED0D52">
              <w:rPr>
                <w:rFonts w:ascii="Times New Roman" w:eastAsia="Times New Roman" w:hAnsi="Times New Roman" w:cs="Times New Roman"/>
                <w:color w:val="000000"/>
                <w:sz w:val="24"/>
                <w:szCs w:val="24"/>
              </w:rPr>
              <w:t>1351.25</w:t>
            </w:r>
          </w:p>
          <w:p w14:paraId="713C0E84"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color w:val="000000"/>
                <w:sz w:val="24"/>
                <w:szCs w:val="24"/>
              </w:rPr>
              <w:t>±6.99</w:t>
            </w:r>
            <w:r w:rsidRPr="00ED0D52">
              <w:rPr>
                <w:rFonts w:ascii="Times New Roman" w:eastAsia="Times New Roman" w:hAnsi="Times New Roman" w:cs="Times New Roman"/>
                <w:color w:val="000000"/>
                <w:sz w:val="24"/>
                <w:szCs w:val="24"/>
                <w:vertAlign w:val="superscript"/>
              </w:rPr>
              <w:t>a</w:t>
            </w:r>
          </w:p>
        </w:tc>
        <w:tc>
          <w:tcPr>
            <w:tcW w:w="1996" w:type="dxa"/>
            <w:vAlign w:val="center"/>
          </w:tcPr>
          <w:p w14:paraId="2805C415" w14:textId="77777777" w:rsidR="00ED0D52" w:rsidRPr="00ED0D52" w:rsidRDefault="00ED0D52" w:rsidP="00815A2D">
            <w:pPr>
              <w:spacing w:line="276" w:lineRule="auto"/>
              <w:jc w:val="both"/>
              <w:rPr>
                <w:rFonts w:ascii="Times New Roman" w:eastAsia="Times New Roman" w:hAnsi="Times New Roman" w:cs="Times New Roman"/>
                <w:color w:val="000000"/>
                <w:sz w:val="24"/>
                <w:szCs w:val="24"/>
              </w:rPr>
            </w:pPr>
            <w:r w:rsidRPr="00ED0D52">
              <w:rPr>
                <w:rFonts w:ascii="Times New Roman" w:eastAsia="Times New Roman" w:hAnsi="Times New Roman" w:cs="Times New Roman"/>
                <w:color w:val="000000"/>
                <w:sz w:val="24"/>
                <w:szCs w:val="24"/>
              </w:rPr>
              <w:t>1337.50</w:t>
            </w:r>
          </w:p>
          <w:p w14:paraId="0040234A"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color w:val="000000"/>
                <w:sz w:val="24"/>
                <w:szCs w:val="24"/>
              </w:rPr>
              <w:t>±2.08</w:t>
            </w:r>
            <w:r w:rsidRPr="00ED0D52">
              <w:rPr>
                <w:rFonts w:ascii="Times New Roman" w:eastAsia="Times New Roman" w:hAnsi="Times New Roman" w:cs="Times New Roman"/>
                <w:color w:val="000000"/>
                <w:sz w:val="24"/>
                <w:szCs w:val="24"/>
                <w:vertAlign w:val="superscript"/>
              </w:rPr>
              <w:t>a</w:t>
            </w:r>
          </w:p>
        </w:tc>
        <w:tc>
          <w:tcPr>
            <w:tcW w:w="1996" w:type="dxa"/>
            <w:vAlign w:val="center"/>
          </w:tcPr>
          <w:p w14:paraId="37967033" w14:textId="77777777" w:rsidR="00ED0D52" w:rsidRPr="00ED0D52" w:rsidRDefault="00ED0D52" w:rsidP="00815A2D">
            <w:pPr>
              <w:spacing w:line="276" w:lineRule="auto"/>
              <w:jc w:val="both"/>
              <w:rPr>
                <w:rFonts w:ascii="Times New Roman" w:eastAsia="Times New Roman" w:hAnsi="Times New Roman" w:cs="Times New Roman"/>
                <w:color w:val="000000"/>
                <w:sz w:val="24"/>
                <w:szCs w:val="24"/>
              </w:rPr>
            </w:pPr>
            <w:r w:rsidRPr="00ED0D52">
              <w:rPr>
                <w:rFonts w:ascii="Times New Roman" w:eastAsia="Times New Roman" w:hAnsi="Times New Roman" w:cs="Times New Roman"/>
                <w:color w:val="000000"/>
                <w:sz w:val="24"/>
                <w:szCs w:val="24"/>
              </w:rPr>
              <w:t>1329.75</w:t>
            </w:r>
          </w:p>
          <w:p w14:paraId="215B35B7"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color w:val="000000"/>
                <w:sz w:val="24"/>
                <w:szCs w:val="24"/>
              </w:rPr>
              <w:t>±2.63</w:t>
            </w:r>
            <w:r w:rsidRPr="00ED0D52">
              <w:rPr>
                <w:rFonts w:ascii="Times New Roman" w:eastAsia="Times New Roman" w:hAnsi="Times New Roman" w:cs="Times New Roman"/>
                <w:color w:val="000000"/>
                <w:sz w:val="24"/>
                <w:szCs w:val="24"/>
                <w:vertAlign w:val="superscript"/>
              </w:rPr>
              <w:t>a</w:t>
            </w:r>
          </w:p>
        </w:tc>
      </w:tr>
      <w:tr w:rsidR="00ED0D52" w:rsidRPr="00ED0D52" w14:paraId="496D8061" w14:textId="77777777" w:rsidTr="002E27A3">
        <w:trPr>
          <w:trHeight w:val="253"/>
        </w:trPr>
        <w:tc>
          <w:tcPr>
            <w:tcW w:w="1996" w:type="dxa"/>
            <w:vAlign w:val="center"/>
          </w:tcPr>
          <w:p w14:paraId="7EE5CB21"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CEC (</w:t>
            </w:r>
            <w:proofErr w:type="spellStart"/>
            <w:r w:rsidRPr="00ED0D52">
              <w:rPr>
                <w:rFonts w:ascii="Times New Roman" w:eastAsia="Times New Roman" w:hAnsi="Times New Roman" w:cs="Times New Roman"/>
                <w:sz w:val="24"/>
                <w:szCs w:val="24"/>
              </w:rPr>
              <w:t>cmol</w:t>
            </w:r>
            <w:proofErr w:type="spellEnd"/>
            <w:r w:rsidRPr="00ED0D52">
              <w:rPr>
                <w:rFonts w:ascii="Times New Roman" w:eastAsia="Times New Roman" w:hAnsi="Times New Roman" w:cs="Times New Roman"/>
                <w:sz w:val="24"/>
                <w:szCs w:val="24"/>
              </w:rPr>
              <w:t xml:space="preserve"> kg⁻¹)</w:t>
            </w:r>
          </w:p>
        </w:tc>
        <w:tc>
          <w:tcPr>
            <w:tcW w:w="1996" w:type="dxa"/>
            <w:vAlign w:val="center"/>
          </w:tcPr>
          <w:p w14:paraId="50AEB250"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6.29 ± 0.095ᵃ</w:t>
            </w:r>
          </w:p>
        </w:tc>
        <w:tc>
          <w:tcPr>
            <w:tcW w:w="1996" w:type="dxa"/>
            <w:vAlign w:val="center"/>
          </w:tcPr>
          <w:p w14:paraId="58FB94AE"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7.12 ± 0.082ᵇ</w:t>
            </w:r>
          </w:p>
        </w:tc>
        <w:tc>
          <w:tcPr>
            <w:tcW w:w="1996" w:type="dxa"/>
            <w:vAlign w:val="center"/>
          </w:tcPr>
          <w:p w14:paraId="4683CD73" w14:textId="77777777" w:rsidR="00ED0D52" w:rsidRPr="00ED0D52" w:rsidRDefault="00ED0D52"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7.99 ± 0.142ᶜ</w:t>
            </w:r>
          </w:p>
        </w:tc>
      </w:tr>
    </w:tbl>
    <w:p w14:paraId="1E3E545A" w14:textId="77777777" w:rsidR="00815A2D" w:rsidRDefault="00815A2D" w:rsidP="00815A2D">
      <w:pPr>
        <w:spacing w:before="315" w:after="105" w:line="276" w:lineRule="auto"/>
        <w:ind w:left="-30"/>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Pr="00815A2D">
        <w:rPr>
          <w:rFonts w:ascii="Times New Roman" w:hAnsi="Times New Roman" w:cs="Times New Roman"/>
          <w:sz w:val="24"/>
          <w:szCs w:val="24"/>
        </w:rPr>
        <w:t>Values are mean ± SD. Means with different letters differ significantly at p &lt; 0.05 based on ANOVA followed by DMRT.</w:t>
      </w:r>
    </w:p>
    <w:p w14:paraId="675E0DA5" w14:textId="5836B944" w:rsidR="00815A2D" w:rsidRDefault="00815A2D"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104BE5F9" w14:textId="77777777" w:rsidR="00DF0933" w:rsidRDefault="00DF0933"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17EB6132" w14:textId="77777777" w:rsidR="00DF0933" w:rsidRDefault="00DF0933"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6188D494" w14:textId="77777777" w:rsidR="00DF0933" w:rsidRDefault="00DF0933"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73D9316D" w14:textId="77777777" w:rsidR="00DF0933" w:rsidRDefault="00DF0933"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119CE920" w14:textId="59502CF2" w:rsidR="00ED0D52" w:rsidRPr="00ED0D52" w:rsidRDefault="00ED0D52" w:rsidP="00815A2D">
      <w:pPr>
        <w:spacing w:before="100" w:beforeAutospacing="1" w:after="100" w:afterAutospacing="1"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lastRenderedPageBreak/>
        <w:t xml:space="preserve">Table 2: </w:t>
      </w:r>
      <w:r w:rsidRPr="00865336">
        <w:rPr>
          <w:rFonts w:ascii="Times New Roman" w:eastAsia="Times New Roman" w:hAnsi="Times New Roman" w:cs="Times New Roman"/>
          <w:b/>
          <w:bCs/>
          <w:sz w:val="24"/>
          <w:szCs w:val="24"/>
        </w:rPr>
        <w:t>Effect of urea treatments on seed germination and early plant growth parameters</w:t>
      </w:r>
    </w:p>
    <w:tbl>
      <w:tblPr>
        <w:tblStyle w:val="TableGrid16"/>
        <w:tblW w:w="0" w:type="auto"/>
        <w:tblInd w:w="-5" w:type="dxa"/>
        <w:tblLook w:val="04A0" w:firstRow="1" w:lastRow="0" w:firstColumn="1" w:lastColumn="0" w:noHBand="0" w:noVBand="1"/>
      </w:tblPr>
      <w:tblGrid>
        <w:gridCol w:w="1980"/>
        <w:gridCol w:w="1824"/>
        <w:gridCol w:w="1834"/>
        <w:gridCol w:w="1834"/>
      </w:tblGrid>
      <w:tr w:rsidR="00ED0D52" w:rsidRPr="00ED0D52" w14:paraId="756DB3D3" w14:textId="77777777" w:rsidTr="002F22C5">
        <w:trPr>
          <w:trHeight w:val="187"/>
        </w:trPr>
        <w:tc>
          <w:tcPr>
            <w:tcW w:w="1980" w:type="dxa"/>
            <w:vAlign w:val="center"/>
          </w:tcPr>
          <w:p w14:paraId="4BA8254D"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Treatment details</w:t>
            </w:r>
          </w:p>
        </w:tc>
        <w:tc>
          <w:tcPr>
            <w:tcW w:w="1824" w:type="dxa"/>
            <w:vAlign w:val="center"/>
          </w:tcPr>
          <w:p w14:paraId="0CABC90D"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1</w:t>
            </w:r>
          </w:p>
        </w:tc>
        <w:tc>
          <w:tcPr>
            <w:tcW w:w="1834" w:type="dxa"/>
            <w:vAlign w:val="center"/>
          </w:tcPr>
          <w:p w14:paraId="354CB58A"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2</w:t>
            </w:r>
          </w:p>
        </w:tc>
        <w:tc>
          <w:tcPr>
            <w:tcW w:w="1834" w:type="dxa"/>
            <w:vAlign w:val="center"/>
          </w:tcPr>
          <w:p w14:paraId="5ADD435A"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3</w:t>
            </w:r>
          </w:p>
        </w:tc>
      </w:tr>
      <w:tr w:rsidR="00ED0D52" w:rsidRPr="00ED0D52" w14:paraId="239ACD63" w14:textId="77777777" w:rsidTr="002F22C5">
        <w:trPr>
          <w:trHeight w:val="187"/>
        </w:trPr>
        <w:tc>
          <w:tcPr>
            <w:tcW w:w="1980" w:type="dxa"/>
          </w:tcPr>
          <w:p w14:paraId="0C98A795"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Urea %</w:t>
            </w:r>
          </w:p>
        </w:tc>
        <w:tc>
          <w:tcPr>
            <w:tcW w:w="1824" w:type="dxa"/>
          </w:tcPr>
          <w:p w14:paraId="5761B168"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0</w:t>
            </w:r>
          </w:p>
        </w:tc>
        <w:tc>
          <w:tcPr>
            <w:tcW w:w="1834" w:type="dxa"/>
          </w:tcPr>
          <w:p w14:paraId="59DFB80C"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0.1</w:t>
            </w:r>
          </w:p>
        </w:tc>
        <w:tc>
          <w:tcPr>
            <w:tcW w:w="1834" w:type="dxa"/>
          </w:tcPr>
          <w:p w14:paraId="76A49952"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0.2</w:t>
            </w:r>
          </w:p>
        </w:tc>
      </w:tr>
      <w:tr w:rsidR="00ED0D52" w:rsidRPr="00ED0D52" w14:paraId="28438324" w14:textId="77777777" w:rsidTr="002F22C5">
        <w:trPr>
          <w:trHeight w:val="422"/>
        </w:trPr>
        <w:tc>
          <w:tcPr>
            <w:tcW w:w="1980" w:type="dxa"/>
          </w:tcPr>
          <w:p w14:paraId="04C60657" w14:textId="77777777" w:rsidR="00ED0D52" w:rsidRPr="00ED0D52" w:rsidRDefault="00ED0D52" w:rsidP="00815A2D">
            <w:pPr>
              <w:spacing w:line="276" w:lineRule="auto"/>
              <w:jc w:val="both"/>
              <w:rPr>
                <w:rFonts w:ascii="Times New Roman" w:eastAsia="Times New Roman" w:hAnsi="Times New Roman"/>
                <w:color w:val="000000"/>
                <w:sz w:val="24"/>
                <w:szCs w:val="24"/>
                <w:lang w:val="en-IN" w:eastAsia="en-IN"/>
              </w:rPr>
            </w:pPr>
            <w:r w:rsidRPr="00ED0D52">
              <w:rPr>
                <w:rFonts w:ascii="Times New Roman" w:eastAsia="Times New Roman" w:hAnsi="Times New Roman"/>
                <w:color w:val="000000"/>
                <w:sz w:val="24"/>
                <w:szCs w:val="24"/>
                <w:lang w:val="en-IN" w:eastAsia="en-IN"/>
              </w:rPr>
              <w:t>Germination%</w:t>
            </w:r>
          </w:p>
        </w:tc>
        <w:tc>
          <w:tcPr>
            <w:tcW w:w="1824" w:type="dxa"/>
          </w:tcPr>
          <w:p w14:paraId="3BEDF400"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100</w:t>
            </w:r>
          </w:p>
        </w:tc>
        <w:tc>
          <w:tcPr>
            <w:tcW w:w="1834" w:type="dxa"/>
          </w:tcPr>
          <w:p w14:paraId="32B666E9"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100</w:t>
            </w:r>
          </w:p>
        </w:tc>
        <w:tc>
          <w:tcPr>
            <w:tcW w:w="1834" w:type="dxa"/>
          </w:tcPr>
          <w:p w14:paraId="1A96DA5B"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100</w:t>
            </w:r>
          </w:p>
        </w:tc>
      </w:tr>
      <w:tr w:rsidR="00ED0D52" w:rsidRPr="00ED0D52" w14:paraId="75812692" w14:textId="77777777" w:rsidTr="002F22C5">
        <w:trPr>
          <w:trHeight w:val="541"/>
        </w:trPr>
        <w:tc>
          <w:tcPr>
            <w:tcW w:w="1980" w:type="dxa"/>
          </w:tcPr>
          <w:p w14:paraId="410ACAC1"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Shoot Length (cm)</w:t>
            </w:r>
          </w:p>
        </w:tc>
        <w:tc>
          <w:tcPr>
            <w:tcW w:w="1824" w:type="dxa"/>
          </w:tcPr>
          <w:p w14:paraId="56111D50"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27.85±0.50</w:t>
            </w:r>
            <w:r w:rsidRPr="00ED0D52">
              <w:rPr>
                <w:rFonts w:ascii="Times New Roman" w:eastAsia="Times New Roman" w:hAnsi="Times New Roman"/>
                <w:color w:val="000000"/>
                <w:sz w:val="24"/>
                <w:szCs w:val="24"/>
                <w:vertAlign w:val="superscript"/>
              </w:rPr>
              <w:t>a</w:t>
            </w:r>
          </w:p>
        </w:tc>
        <w:tc>
          <w:tcPr>
            <w:tcW w:w="1834" w:type="dxa"/>
          </w:tcPr>
          <w:p w14:paraId="699E5FAD"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32.92±0.69</w:t>
            </w:r>
            <w:r w:rsidRPr="00ED0D52">
              <w:rPr>
                <w:rFonts w:ascii="Times New Roman" w:eastAsia="Times New Roman" w:hAnsi="Times New Roman"/>
                <w:color w:val="000000"/>
                <w:sz w:val="24"/>
                <w:szCs w:val="24"/>
                <w:vertAlign w:val="superscript"/>
              </w:rPr>
              <w:t>b</w:t>
            </w:r>
          </w:p>
        </w:tc>
        <w:tc>
          <w:tcPr>
            <w:tcW w:w="1834" w:type="dxa"/>
          </w:tcPr>
          <w:p w14:paraId="7BC952F9"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34.90±0.83</w:t>
            </w:r>
            <w:r w:rsidRPr="00ED0D52">
              <w:rPr>
                <w:rFonts w:ascii="Times New Roman" w:eastAsia="Times New Roman" w:hAnsi="Times New Roman"/>
                <w:color w:val="000000"/>
                <w:sz w:val="24"/>
                <w:szCs w:val="24"/>
                <w:vertAlign w:val="superscript"/>
              </w:rPr>
              <w:t>c</w:t>
            </w:r>
          </w:p>
        </w:tc>
      </w:tr>
      <w:tr w:rsidR="00ED0D52" w:rsidRPr="00ED0D52" w14:paraId="73ABB66A" w14:textId="77777777" w:rsidTr="002F22C5">
        <w:trPr>
          <w:trHeight w:val="364"/>
        </w:trPr>
        <w:tc>
          <w:tcPr>
            <w:tcW w:w="1980" w:type="dxa"/>
          </w:tcPr>
          <w:p w14:paraId="76B1A2A7" w14:textId="77777777" w:rsidR="00ED0D52" w:rsidRPr="00ED0D52" w:rsidRDefault="00ED0D52"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Root Length (cm)</w:t>
            </w:r>
          </w:p>
        </w:tc>
        <w:tc>
          <w:tcPr>
            <w:tcW w:w="1824" w:type="dxa"/>
          </w:tcPr>
          <w:p w14:paraId="17B9C500"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12.37±0.263</w:t>
            </w:r>
            <w:r w:rsidRPr="00ED0D52">
              <w:rPr>
                <w:rFonts w:ascii="Times New Roman" w:eastAsia="Times New Roman" w:hAnsi="Times New Roman"/>
                <w:color w:val="000000"/>
                <w:sz w:val="24"/>
                <w:szCs w:val="24"/>
                <w:vertAlign w:val="superscript"/>
              </w:rPr>
              <w:t>a</w:t>
            </w:r>
          </w:p>
        </w:tc>
        <w:tc>
          <w:tcPr>
            <w:tcW w:w="1834" w:type="dxa"/>
          </w:tcPr>
          <w:p w14:paraId="4CC74CDE"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14.70±0.56</w:t>
            </w:r>
            <w:r w:rsidRPr="00ED0D52">
              <w:rPr>
                <w:rFonts w:ascii="Times New Roman" w:eastAsia="Times New Roman" w:hAnsi="Times New Roman"/>
                <w:color w:val="000000"/>
                <w:sz w:val="24"/>
                <w:szCs w:val="24"/>
                <w:vertAlign w:val="superscript"/>
              </w:rPr>
              <w:t>b</w:t>
            </w:r>
          </w:p>
        </w:tc>
        <w:tc>
          <w:tcPr>
            <w:tcW w:w="1834" w:type="dxa"/>
          </w:tcPr>
          <w:p w14:paraId="14DCBF83" w14:textId="77777777" w:rsidR="00ED0D52" w:rsidRPr="00ED0D52" w:rsidRDefault="00ED0D52"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15.62±0.26</w:t>
            </w:r>
            <w:r w:rsidRPr="00ED0D52">
              <w:rPr>
                <w:rFonts w:ascii="Times New Roman" w:eastAsia="Times New Roman" w:hAnsi="Times New Roman"/>
                <w:color w:val="000000"/>
                <w:sz w:val="24"/>
                <w:szCs w:val="24"/>
                <w:vertAlign w:val="superscript"/>
              </w:rPr>
              <w:t>b</w:t>
            </w:r>
          </w:p>
        </w:tc>
      </w:tr>
    </w:tbl>
    <w:p w14:paraId="08D727D8" w14:textId="77777777" w:rsidR="00815A2D" w:rsidRDefault="00815A2D" w:rsidP="00815A2D">
      <w:pPr>
        <w:spacing w:before="315" w:after="105" w:line="276" w:lineRule="auto"/>
        <w:jc w:val="both"/>
        <w:rPr>
          <w:rFonts w:ascii="Times New Roman" w:hAnsi="Times New Roman" w:cs="Times New Roman"/>
          <w:sz w:val="24"/>
          <w:szCs w:val="24"/>
        </w:rPr>
      </w:pPr>
      <w:r w:rsidRPr="00815A2D">
        <w:rPr>
          <w:rFonts w:ascii="Times New Roman" w:hAnsi="Times New Roman" w:cs="Times New Roman"/>
          <w:sz w:val="24"/>
          <w:szCs w:val="24"/>
        </w:rPr>
        <w:t>Values are mean ± SD. Means with different letters differ significantly at p &lt; 0.05 based on ANOVA followed by DMRT.</w:t>
      </w:r>
    </w:p>
    <w:p w14:paraId="5F598884" w14:textId="77777777" w:rsidR="00815A2D" w:rsidRPr="00ED0D52" w:rsidRDefault="00815A2D" w:rsidP="00815A2D">
      <w:pPr>
        <w:spacing w:after="0" w:line="276" w:lineRule="auto"/>
        <w:jc w:val="both"/>
        <w:rPr>
          <w:rFonts w:ascii="Times New Roman" w:eastAsia="Times New Roman" w:hAnsi="Times New Roman" w:cs="Times New Roman"/>
          <w:sz w:val="24"/>
          <w:szCs w:val="24"/>
        </w:rPr>
      </w:pPr>
    </w:p>
    <w:p w14:paraId="3F7D18A6" w14:textId="58AE7E72" w:rsidR="002F22C5" w:rsidRPr="00ED0D52" w:rsidRDefault="002F22C5" w:rsidP="00815A2D">
      <w:pPr>
        <w:spacing w:after="210" w:line="276" w:lineRule="auto"/>
        <w:jc w:val="both"/>
        <w:rPr>
          <w:rFonts w:ascii="Times New Roman" w:hAnsi="Times New Roman" w:cs="Times New Roman"/>
          <w:sz w:val="24"/>
          <w:szCs w:val="24"/>
        </w:rPr>
      </w:pPr>
      <w:r w:rsidRPr="00ED0D52">
        <w:rPr>
          <w:rFonts w:ascii="Times New Roman" w:eastAsia="Times New Roman" w:hAnsi="Times New Roman" w:cs="Times New Roman"/>
          <w:b/>
          <w:bCs/>
          <w:sz w:val="24"/>
          <w:szCs w:val="24"/>
        </w:rPr>
        <w:t>Table 3. Mineral nitrogen fractions under urea treatments</w:t>
      </w:r>
    </w:p>
    <w:tbl>
      <w:tblPr>
        <w:tblStyle w:val="TableGrid"/>
        <w:tblpPr w:leftFromText="180" w:rightFromText="180" w:vertAnchor="text" w:tblpY="1"/>
        <w:tblOverlap w:val="never"/>
        <w:tblW w:w="0" w:type="auto"/>
        <w:tblLook w:val="04A0" w:firstRow="1" w:lastRow="0" w:firstColumn="1" w:lastColumn="0" w:noHBand="0" w:noVBand="1"/>
      </w:tblPr>
      <w:tblGrid>
        <w:gridCol w:w="1874"/>
        <w:gridCol w:w="1874"/>
        <w:gridCol w:w="1874"/>
        <w:gridCol w:w="1874"/>
      </w:tblGrid>
      <w:tr w:rsidR="002F22C5" w:rsidRPr="00ED0D52" w14:paraId="4BA4B66A" w14:textId="77777777" w:rsidTr="002F22C5">
        <w:trPr>
          <w:trHeight w:val="435"/>
        </w:trPr>
        <w:tc>
          <w:tcPr>
            <w:tcW w:w="1874" w:type="dxa"/>
            <w:vAlign w:val="center"/>
          </w:tcPr>
          <w:p w14:paraId="3D276269"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Parameter</w:t>
            </w:r>
          </w:p>
        </w:tc>
        <w:tc>
          <w:tcPr>
            <w:tcW w:w="1874" w:type="dxa"/>
            <w:vAlign w:val="center"/>
          </w:tcPr>
          <w:p w14:paraId="2AF72246"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1</w:t>
            </w:r>
            <w:r w:rsidRPr="00ED0D52">
              <w:rPr>
                <w:rFonts w:ascii="Times New Roman" w:eastAsia="Times New Roman" w:hAnsi="Times New Roman" w:cs="Times New Roman"/>
                <w:b/>
                <w:bCs/>
                <w:sz w:val="24"/>
                <w:szCs w:val="24"/>
              </w:rPr>
              <w:t xml:space="preserve"> (0%)</w:t>
            </w:r>
          </w:p>
        </w:tc>
        <w:tc>
          <w:tcPr>
            <w:tcW w:w="1874" w:type="dxa"/>
            <w:vAlign w:val="center"/>
          </w:tcPr>
          <w:p w14:paraId="65EA9FE2"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2</w:t>
            </w:r>
            <w:r w:rsidRPr="00ED0D52">
              <w:rPr>
                <w:rFonts w:ascii="Times New Roman" w:eastAsia="Times New Roman" w:hAnsi="Times New Roman" w:cs="Times New Roman"/>
                <w:b/>
                <w:bCs/>
                <w:sz w:val="24"/>
                <w:szCs w:val="24"/>
              </w:rPr>
              <w:t xml:space="preserve"> (0.1%)</w:t>
            </w:r>
          </w:p>
        </w:tc>
        <w:tc>
          <w:tcPr>
            <w:tcW w:w="1874" w:type="dxa"/>
            <w:vAlign w:val="center"/>
          </w:tcPr>
          <w:p w14:paraId="750493BD"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b/>
                <w:bCs/>
                <w:sz w:val="24"/>
                <w:szCs w:val="24"/>
              </w:rPr>
              <w:t>T</w:t>
            </w:r>
            <w:r w:rsidRPr="00ED0D52">
              <w:rPr>
                <w:rFonts w:ascii="Times New Roman" w:eastAsia="Times New Roman" w:hAnsi="Times New Roman" w:cs="Times New Roman"/>
                <w:b/>
                <w:bCs/>
                <w:sz w:val="24"/>
                <w:szCs w:val="24"/>
                <w:vertAlign w:val="subscript"/>
              </w:rPr>
              <w:t>3</w:t>
            </w:r>
            <w:r w:rsidRPr="00ED0D52">
              <w:rPr>
                <w:rFonts w:ascii="Times New Roman" w:eastAsia="Times New Roman" w:hAnsi="Times New Roman" w:cs="Times New Roman"/>
                <w:b/>
                <w:bCs/>
                <w:sz w:val="24"/>
                <w:szCs w:val="24"/>
              </w:rPr>
              <w:t xml:space="preserve"> (0.2%)</w:t>
            </w:r>
          </w:p>
        </w:tc>
      </w:tr>
      <w:tr w:rsidR="002F22C5" w:rsidRPr="00ED0D52" w14:paraId="52D12446" w14:textId="77777777" w:rsidTr="002F22C5">
        <w:trPr>
          <w:trHeight w:val="476"/>
        </w:trPr>
        <w:tc>
          <w:tcPr>
            <w:tcW w:w="1874" w:type="dxa"/>
            <w:vAlign w:val="center"/>
          </w:tcPr>
          <w:p w14:paraId="08F6EAFC"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NH₄⁺ (mg kg⁻¹)</w:t>
            </w:r>
          </w:p>
        </w:tc>
        <w:tc>
          <w:tcPr>
            <w:tcW w:w="1874" w:type="dxa"/>
            <w:vAlign w:val="center"/>
          </w:tcPr>
          <w:p w14:paraId="03A17D4C"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12.70 ± 0.48ᵃ</w:t>
            </w:r>
          </w:p>
        </w:tc>
        <w:tc>
          <w:tcPr>
            <w:tcW w:w="1874" w:type="dxa"/>
            <w:vAlign w:val="center"/>
          </w:tcPr>
          <w:p w14:paraId="6550857A"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18.72 ± 0.55ᵇ</w:t>
            </w:r>
          </w:p>
        </w:tc>
        <w:tc>
          <w:tcPr>
            <w:tcW w:w="1874" w:type="dxa"/>
            <w:vAlign w:val="center"/>
          </w:tcPr>
          <w:p w14:paraId="5D1D945A"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23.47 ± 0.75ᶜ</w:t>
            </w:r>
          </w:p>
        </w:tc>
      </w:tr>
      <w:tr w:rsidR="002F22C5" w:rsidRPr="00ED0D52" w14:paraId="2E7A1BAD" w14:textId="77777777" w:rsidTr="002F22C5">
        <w:trPr>
          <w:trHeight w:val="484"/>
        </w:trPr>
        <w:tc>
          <w:tcPr>
            <w:tcW w:w="1874" w:type="dxa"/>
            <w:vAlign w:val="center"/>
          </w:tcPr>
          <w:p w14:paraId="3C697AA1"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NO₂⁻ (mg kg⁻¹)</w:t>
            </w:r>
          </w:p>
        </w:tc>
        <w:tc>
          <w:tcPr>
            <w:tcW w:w="1874" w:type="dxa"/>
            <w:vAlign w:val="center"/>
          </w:tcPr>
          <w:p w14:paraId="35924D3A"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0.79 ± 0.02ᵃ</w:t>
            </w:r>
          </w:p>
        </w:tc>
        <w:tc>
          <w:tcPr>
            <w:tcW w:w="1874" w:type="dxa"/>
            <w:vAlign w:val="center"/>
          </w:tcPr>
          <w:p w14:paraId="48A982A3"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0.90 ± 0.01ᵇ</w:t>
            </w:r>
          </w:p>
        </w:tc>
        <w:tc>
          <w:tcPr>
            <w:tcW w:w="1874" w:type="dxa"/>
            <w:vAlign w:val="center"/>
          </w:tcPr>
          <w:p w14:paraId="2A057584"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1.00 ± 0.05ᶜ</w:t>
            </w:r>
          </w:p>
        </w:tc>
      </w:tr>
      <w:tr w:rsidR="002F22C5" w:rsidRPr="00ED0D52" w14:paraId="69054AB2" w14:textId="77777777" w:rsidTr="002F22C5">
        <w:trPr>
          <w:trHeight w:val="394"/>
        </w:trPr>
        <w:tc>
          <w:tcPr>
            <w:tcW w:w="1874" w:type="dxa"/>
            <w:vAlign w:val="center"/>
          </w:tcPr>
          <w:p w14:paraId="1D8483B5"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NO₃⁻ (mg kg⁻¹)</w:t>
            </w:r>
          </w:p>
        </w:tc>
        <w:tc>
          <w:tcPr>
            <w:tcW w:w="1874" w:type="dxa"/>
            <w:vAlign w:val="center"/>
          </w:tcPr>
          <w:p w14:paraId="7FBD71A5"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21.92 ± 0.22ᵃ</w:t>
            </w:r>
          </w:p>
        </w:tc>
        <w:tc>
          <w:tcPr>
            <w:tcW w:w="1874" w:type="dxa"/>
            <w:vAlign w:val="center"/>
          </w:tcPr>
          <w:p w14:paraId="21BDBE4E"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28.75 ± 0.71ᵇ</w:t>
            </w:r>
          </w:p>
        </w:tc>
        <w:tc>
          <w:tcPr>
            <w:tcW w:w="1874" w:type="dxa"/>
            <w:vAlign w:val="center"/>
          </w:tcPr>
          <w:p w14:paraId="073A7774" w14:textId="77777777" w:rsidR="002F22C5" w:rsidRPr="00ED0D52" w:rsidRDefault="002F22C5" w:rsidP="00815A2D">
            <w:pPr>
              <w:spacing w:line="276" w:lineRule="auto"/>
              <w:jc w:val="both"/>
              <w:rPr>
                <w:rFonts w:ascii="Times New Roman" w:eastAsia="Times New Roman" w:hAnsi="Times New Roman" w:cs="Times New Roman"/>
                <w:sz w:val="24"/>
                <w:szCs w:val="24"/>
              </w:rPr>
            </w:pPr>
            <w:r w:rsidRPr="00ED0D52">
              <w:rPr>
                <w:rFonts w:ascii="Times New Roman" w:eastAsia="Times New Roman" w:hAnsi="Times New Roman" w:cs="Times New Roman"/>
                <w:sz w:val="24"/>
                <w:szCs w:val="24"/>
              </w:rPr>
              <w:t>33.47 ± 0.50ᶜ</w:t>
            </w:r>
          </w:p>
        </w:tc>
      </w:tr>
    </w:tbl>
    <w:p w14:paraId="0427291C" w14:textId="77777777"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p>
    <w:p w14:paraId="53B81EEB" w14:textId="77777777"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p>
    <w:p w14:paraId="7A603A65" w14:textId="77777777"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p>
    <w:p w14:paraId="092BF76C" w14:textId="77777777"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p>
    <w:p w14:paraId="1744A935" w14:textId="23FCD16F" w:rsidR="002F22C5" w:rsidRDefault="00815A2D" w:rsidP="00193490">
      <w:pPr>
        <w:spacing w:before="315" w:after="105" w:line="276" w:lineRule="auto"/>
        <w:ind w:left="-30"/>
        <w:jc w:val="both"/>
        <w:rPr>
          <w:rFonts w:ascii="Times New Roman" w:hAnsi="Times New Roman" w:cs="Times New Roman"/>
          <w:sz w:val="24"/>
          <w:szCs w:val="24"/>
        </w:rPr>
      </w:pPr>
      <w:r w:rsidRPr="00815A2D">
        <w:rPr>
          <w:rFonts w:ascii="Times New Roman" w:hAnsi="Times New Roman" w:cs="Times New Roman"/>
          <w:sz w:val="24"/>
          <w:szCs w:val="24"/>
        </w:rPr>
        <w:t>Values are mean ± SD. Means with different letters differ significantly at p &lt; 0.05 based on ANOVA followed by DMRT</w:t>
      </w:r>
      <w:r w:rsidR="00193490">
        <w:rPr>
          <w:rFonts w:ascii="Times New Roman" w:hAnsi="Times New Roman" w:cs="Times New Roman"/>
          <w:sz w:val="24"/>
          <w:szCs w:val="24"/>
        </w:rPr>
        <w:t>.</w:t>
      </w:r>
    </w:p>
    <w:p w14:paraId="2E36F803" w14:textId="77777777" w:rsidR="00DF0933" w:rsidRDefault="00DF0933" w:rsidP="00815A2D">
      <w:pPr>
        <w:spacing w:before="100" w:beforeAutospacing="1" w:after="100" w:afterAutospacing="1" w:line="276" w:lineRule="auto"/>
        <w:jc w:val="both"/>
        <w:rPr>
          <w:rFonts w:ascii="Times New Roman" w:hAnsi="Times New Roman" w:cs="Times New Roman"/>
          <w:b/>
          <w:bCs/>
          <w:sz w:val="24"/>
          <w:szCs w:val="24"/>
        </w:rPr>
      </w:pPr>
    </w:p>
    <w:p w14:paraId="49A88885" w14:textId="77777777" w:rsidR="00DF0933" w:rsidRDefault="00DF0933" w:rsidP="00815A2D">
      <w:pPr>
        <w:spacing w:before="100" w:beforeAutospacing="1" w:after="100" w:afterAutospacing="1" w:line="276" w:lineRule="auto"/>
        <w:jc w:val="both"/>
        <w:rPr>
          <w:rFonts w:ascii="Times New Roman" w:hAnsi="Times New Roman" w:cs="Times New Roman"/>
          <w:b/>
          <w:bCs/>
          <w:sz w:val="24"/>
          <w:szCs w:val="24"/>
        </w:rPr>
      </w:pPr>
    </w:p>
    <w:p w14:paraId="0C638BD9" w14:textId="77777777" w:rsidR="00DF0933" w:rsidRDefault="00DF0933" w:rsidP="00815A2D">
      <w:pPr>
        <w:spacing w:before="100" w:beforeAutospacing="1" w:after="100" w:afterAutospacing="1" w:line="276" w:lineRule="auto"/>
        <w:jc w:val="both"/>
        <w:rPr>
          <w:rFonts w:ascii="Times New Roman" w:hAnsi="Times New Roman" w:cs="Times New Roman"/>
          <w:b/>
          <w:bCs/>
          <w:sz w:val="24"/>
          <w:szCs w:val="24"/>
        </w:rPr>
      </w:pPr>
    </w:p>
    <w:p w14:paraId="1BA33A23" w14:textId="77777777" w:rsidR="00DF0933" w:rsidRDefault="00DF0933" w:rsidP="00815A2D">
      <w:pPr>
        <w:spacing w:before="100" w:beforeAutospacing="1" w:after="100" w:afterAutospacing="1" w:line="276" w:lineRule="auto"/>
        <w:jc w:val="both"/>
        <w:rPr>
          <w:rFonts w:ascii="Times New Roman" w:hAnsi="Times New Roman" w:cs="Times New Roman"/>
          <w:b/>
          <w:bCs/>
          <w:sz w:val="24"/>
          <w:szCs w:val="24"/>
        </w:rPr>
      </w:pPr>
    </w:p>
    <w:p w14:paraId="7CEF2A93" w14:textId="77777777" w:rsidR="00DF0933" w:rsidRDefault="00DF0933" w:rsidP="00815A2D">
      <w:pPr>
        <w:spacing w:before="100" w:beforeAutospacing="1" w:after="100" w:afterAutospacing="1" w:line="276" w:lineRule="auto"/>
        <w:jc w:val="both"/>
        <w:rPr>
          <w:rFonts w:ascii="Times New Roman" w:hAnsi="Times New Roman" w:cs="Times New Roman"/>
          <w:b/>
          <w:bCs/>
          <w:sz w:val="24"/>
          <w:szCs w:val="24"/>
        </w:rPr>
      </w:pPr>
    </w:p>
    <w:p w14:paraId="0F85B2E9" w14:textId="71B9B8B0"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00815A2D" w:rsidRPr="00815A2D">
        <w:t xml:space="preserve"> </w:t>
      </w:r>
      <w:r w:rsidR="00815A2D" w:rsidRPr="00815A2D">
        <w:rPr>
          <w:rFonts w:ascii="Times New Roman" w:hAnsi="Times New Roman" w:cs="Times New Roman"/>
          <w:b/>
          <w:bCs/>
          <w:sz w:val="24"/>
          <w:szCs w:val="24"/>
        </w:rPr>
        <w:t>Effect of urea on nitrification parameters</w:t>
      </w:r>
    </w:p>
    <w:tbl>
      <w:tblPr>
        <w:tblStyle w:val="TableGrid20"/>
        <w:tblW w:w="0" w:type="auto"/>
        <w:tblInd w:w="-612" w:type="dxa"/>
        <w:tblLayout w:type="fixed"/>
        <w:tblLook w:val="04A0" w:firstRow="1" w:lastRow="0" w:firstColumn="1" w:lastColumn="0" w:noHBand="0" w:noVBand="1"/>
      </w:tblPr>
      <w:tblGrid>
        <w:gridCol w:w="2907"/>
        <w:gridCol w:w="1700"/>
        <w:gridCol w:w="2465"/>
        <w:gridCol w:w="2698"/>
      </w:tblGrid>
      <w:tr w:rsidR="00815A2D" w:rsidRPr="002F22C5" w14:paraId="57A67769" w14:textId="77777777" w:rsidTr="00DF75A4">
        <w:trPr>
          <w:trHeight w:val="287"/>
        </w:trPr>
        <w:tc>
          <w:tcPr>
            <w:tcW w:w="2907" w:type="dxa"/>
            <w:vAlign w:val="center"/>
          </w:tcPr>
          <w:p w14:paraId="000A550C" w14:textId="6C641467" w:rsidR="00815A2D" w:rsidRPr="002F22C5" w:rsidRDefault="00815A2D" w:rsidP="00815A2D">
            <w:pPr>
              <w:spacing w:before="100" w:beforeAutospacing="1" w:after="100" w:afterAutospacing="1" w:line="276" w:lineRule="auto"/>
              <w:jc w:val="both"/>
              <w:rPr>
                <w:rFonts w:ascii="Times New Roman" w:hAnsi="Times New Roman"/>
                <w:sz w:val="24"/>
                <w:szCs w:val="24"/>
              </w:rPr>
            </w:pPr>
            <w:r w:rsidRPr="002F22C5">
              <w:rPr>
                <w:rFonts w:ascii="Times New Roman" w:hAnsi="Times New Roman"/>
                <w:kern w:val="0"/>
                <w:sz w:val="24"/>
                <w:szCs w:val="24"/>
              </w:rPr>
              <w:t>Treatment details</w:t>
            </w:r>
          </w:p>
        </w:tc>
        <w:tc>
          <w:tcPr>
            <w:tcW w:w="1700" w:type="dxa"/>
            <w:vAlign w:val="center"/>
          </w:tcPr>
          <w:p w14:paraId="276D5A9E" w14:textId="566F9E57" w:rsidR="00815A2D" w:rsidRPr="002F22C5" w:rsidRDefault="00815A2D" w:rsidP="00815A2D">
            <w:pPr>
              <w:spacing w:before="100" w:beforeAutospacing="1" w:after="100" w:afterAutospacing="1" w:line="276" w:lineRule="auto"/>
              <w:jc w:val="both"/>
              <w:rPr>
                <w:rFonts w:ascii="Times New Roman" w:hAnsi="Times New Roman"/>
                <w:sz w:val="24"/>
                <w:szCs w:val="24"/>
              </w:rPr>
            </w:pPr>
            <w:r w:rsidRPr="002F22C5">
              <w:rPr>
                <w:rFonts w:ascii="Times New Roman" w:hAnsi="Times New Roman"/>
                <w:kern w:val="0"/>
                <w:sz w:val="24"/>
                <w:szCs w:val="24"/>
              </w:rPr>
              <w:t>T</w:t>
            </w:r>
            <w:r w:rsidRPr="002F22C5">
              <w:rPr>
                <w:rFonts w:ascii="Times New Roman" w:hAnsi="Times New Roman"/>
                <w:kern w:val="0"/>
                <w:sz w:val="24"/>
                <w:szCs w:val="24"/>
                <w:vertAlign w:val="subscript"/>
              </w:rPr>
              <w:t>1</w:t>
            </w:r>
          </w:p>
        </w:tc>
        <w:tc>
          <w:tcPr>
            <w:tcW w:w="2465" w:type="dxa"/>
            <w:vAlign w:val="center"/>
          </w:tcPr>
          <w:p w14:paraId="293A2E27" w14:textId="131A513D" w:rsidR="00815A2D" w:rsidRPr="002F22C5" w:rsidRDefault="00815A2D" w:rsidP="00815A2D">
            <w:pPr>
              <w:spacing w:before="100" w:beforeAutospacing="1" w:after="100" w:afterAutospacing="1" w:line="276" w:lineRule="auto"/>
              <w:jc w:val="both"/>
              <w:rPr>
                <w:rFonts w:ascii="Times New Roman" w:hAnsi="Times New Roman"/>
                <w:sz w:val="24"/>
                <w:szCs w:val="24"/>
              </w:rPr>
            </w:pPr>
            <w:r w:rsidRPr="002F22C5">
              <w:rPr>
                <w:rFonts w:ascii="Times New Roman" w:hAnsi="Times New Roman"/>
                <w:kern w:val="0"/>
                <w:sz w:val="24"/>
                <w:szCs w:val="24"/>
              </w:rPr>
              <w:t>T</w:t>
            </w:r>
            <w:r w:rsidRPr="002F22C5">
              <w:rPr>
                <w:rFonts w:ascii="Times New Roman" w:hAnsi="Times New Roman"/>
                <w:kern w:val="0"/>
                <w:sz w:val="24"/>
                <w:szCs w:val="24"/>
                <w:vertAlign w:val="subscript"/>
              </w:rPr>
              <w:t>2</w:t>
            </w:r>
          </w:p>
        </w:tc>
        <w:tc>
          <w:tcPr>
            <w:tcW w:w="2698" w:type="dxa"/>
            <w:vAlign w:val="center"/>
          </w:tcPr>
          <w:p w14:paraId="38094B9C" w14:textId="73AB5EA2" w:rsidR="00815A2D" w:rsidRPr="002F22C5" w:rsidRDefault="00815A2D" w:rsidP="00815A2D">
            <w:pPr>
              <w:spacing w:before="100" w:beforeAutospacing="1" w:after="100" w:afterAutospacing="1" w:line="276" w:lineRule="auto"/>
              <w:jc w:val="both"/>
              <w:rPr>
                <w:rFonts w:ascii="Times New Roman" w:hAnsi="Times New Roman"/>
                <w:sz w:val="24"/>
                <w:szCs w:val="24"/>
              </w:rPr>
            </w:pPr>
            <w:r w:rsidRPr="002F22C5">
              <w:rPr>
                <w:rFonts w:ascii="Times New Roman" w:hAnsi="Times New Roman"/>
                <w:kern w:val="0"/>
                <w:sz w:val="24"/>
                <w:szCs w:val="24"/>
              </w:rPr>
              <w:t>T</w:t>
            </w:r>
            <w:r w:rsidRPr="002F22C5">
              <w:rPr>
                <w:rFonts w:ascii="Times New Roman" w:hAnsi="Times New Roman"/>
                <w:kern w:val="0"/>
                <w:sz w:val="24"/>
                <w:szCs w:val="24"/>
                <w:vertAlign w:val="subscript"/>
              </w:rPr>
              <w:t>3</w:t>
            </w:r>
          </w:p>
        </w:tc>
      </w:tr>
      <w:tr w:rsidR="002F22C5" w:rsidRPr="002F22C5" w14:paraId="11549F96" w14:textId="77777777" w:rsidTr="002F22C5">
        <w:trPr>
          <w:trHeight w:val="287"/>
        </w:trPr>
        <w:tc>
          <w:tcPr>
            <w:tcW w:w="2907" w:type="dxa"/>
          </w:tcPr>
          <w:p w14:paraId="4706F39D"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Urea %</w:t>
            </w:r>
          </w:p>
        </w:tc>
        <w:tc>
          <w:tcPr>
            <w:tcW w:w="1700" w:type="dxa"/>
          </w:tcPr>
          <w:p w14:paraId="70BCA0C1"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w:t>
            </w:r>
          </w:p>
        </w:tc>
        <w:tc>
          <w:tcPr>
            <w:tcW w:w="2465" w:type="dxa"/>
          </w:tcPr>
          <w:p w14:paraId="0F6FFA56"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0.1</w:t>
            </w:r>
          </w:p>
        </w:tc>
        <w:tc>
          <w:tcPr>
            <w:tcW w:w="2698" w:type="dxa"/>
          </w:tcPr>
          <w:p w14:paraId="55E37036"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0.2</w:t>
            </w:r>
          </w:p>
        </w:tc>
      </w:tr>
      <w:tr w:rsidR="002F22C5" w:rsidRPr="002F22C5" w14:paraId="7A0FE1AB" w14:textId="77777777" w:rsidTr="00815A2D">
        <w:trPr>
          <w:trHeight w:val="569"/>
        </w:trPr>
        <w:tc>
          <w:tcPr>
            <w:tcW w:w="2907" w:type="dxa"/>
          </w:tcPr>
          <w:p w14:paraId="390818D0"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Nitrification</w:t>
            </w:r>
          </w:p>
        </w:tc>
        <w:tc>
          <w:tcPr>
            <w:tcW w:w="1700" w:type="dxa"/>
          </w:tcPr>
          <w:p w14:paraId="06ACA3EE"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21.02±0.608a</w:t>
            </w:r>
          </w:p>
        </w:tc>
        <w:tc>
          <w:tcPr>
            <w:tcW w:w="2465" w:type="dxa"/>
          </w:tcPr>
          <w:p w14:paraId="28199610"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20.37±0.151a</w:t>
            </w:r>
          </w:p>
        </w:tc>
        <w:tc>
          <w:tcPr>
            <w:tcW w:w="2698" w:type="dxa"/>
          </w:tcPr>
          <w:p w14:paraId="789EAAEB"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21.72±0.655a</w:t>
            </w:r>
          </w:p>
        </w:tc>
      </w:tr>
      <w:tr w:rsidR="002F22C5" w:rsidRPr="002F22C5" w14:paraId="5A36E724" w14:textId="77777777" w:rsidTr="00815A2D">
        <w:trPr>
          <w:trHeight w:val="614"/>
        </w:trPr>
        <w:tc>
          <w:tcPr>
            <w:tcW w:w="2907" w:type="dxa"/>
          </w:tcPr>
          <w:p w14:paraId="4E515754"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lastRenderedPageBreak/>
              <w:t>Net nitrification</w:t>
            </w:r>
          </w:p>
        </w:tc>
        <w:tc>
          <w:tcPr>
            <w:tcW w:w="1700" w:type="dxa"/>
          </w:tcPr>
          <w:p w14:paraId="2190153F"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8.33±0.576a</w:t>
            </w:r>
          </w:p>
        </w:tc>
        <w:tc>
          <w:tcPr>
            <w:tcW w:w="2465" w:type="dxa"/>
          </w:tcPr>
          <w:p w14:paraId="2F8BE2A9"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8.38±0.741a</w:t>
            </w:r>
          </w:p>
        </w:tc>
        <w:tc>
          <w:tcPr>
            <w:tcW w:w="2698" w:type="dxa"/>
          </w:tcPr>
          <w:p w14:paraId="24833FE5"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9.86±0.554a</w:t>
            </w:r>
          </w:p>
        </w:tc>
      </w:tr>
      <w:tr w:rsidR="002F22C5" w:rsidRPr="002F22C5" w14:paraId="1AC02DF9" w14:textId="77777777" w:rsidTr="00815A2D">
        <w:trPr>
          <w:trHeight w:val="704"/>
        </w:trPr>
        <w:tc>
          <w:tcPr>
            <w:tcW w:w="2907" w:type="dxa"/>
          </w:tcPr>
          <w:p w14:paraId="074E3DB4"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NUE</w:t>
            </w:r>
          </w:p>
        </w:tc>
        <w:tc>
          <w:tcPr>
            <w:tcW w:w="1700" w:type="dxa"/>
          </w:tcPr>
          <w:p w14:paraId="5FA1CBE6"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0.00±0.000a</w:t>
            </w:r>
          </w:p>
        </w:tc>
        <w:tc>
          <w:tcPr>
            <w:tcW w:w="2465" w:type="dxa"/>
          </w:tcPr>
          <w:p w14:paraId="5D182885"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6705.00±5937.904b</w:t>
            </w:r>
          </w:p>
        </w:tc>
        <w:tc>
          <w:tcPr>
            <w:tcW w:w="2698" w:type="dxa"/>
          </w:tcPr>
          <w:p w14:paraId="02D75AB9"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2501.25±712.231b</w:t>
            </w:r>
          </w:p>
        </w:tc>
      </w:tr>
      <w:tr w:rsidR="002F22C5" w:rsidRPr="002F22C5" w14:paraId="27B4602E" w14:textId="77777777" w:rsidTr="00815A2D">
        <w:trPr>
          <w:trHeight w:val="443"/>
        </w:trPr>
        <w:tc>
          <w:tcPr>
            <w:tcW w:w="2907" w:type="dxa"/>
          </w:tcPr>
          <w:p w14:paraId="59B056DD"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Nitrification inhibition (%)</w:t>
            </w:r>
          </w:p>
        </w:tc>
        <w:tc>
          <w:tcPr>
            <w:tcW w:w="1700" w:type="dxa"/>
          </w:tcPr>
          <w:p w14:paraId="5D014FF9"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-0.25±2.411a</w:t>
            </w:r>
          </w:p>
        </w:tc>
        <w:tc>
          <w:tcPr>
            <w:tcW w:w="2465" w:type="dxa"/>
          </w:tcPr>
          <w:p w14:paraId="1665EEAF"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3.84±0.691a</w:t>
            </w:r>
          </w:p>
        </w:tc>
        <w:tc>
          <w:tcPr>
            <w:tcW w:w="2698" w:type="dxa"/>
          </w:tcPr>
          <w:p w14:paraId="5F826047"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-2.505±3.084a</w:t>
            </w:r>
          </w:p>
        </w:tc>
      </w:tr>
      <w:tr w:rsidR="002F22C5" w:rsidRPr="002F22C5" w14:paraId="77CA7ECC" w14:textId="77777777" w:rsidTr="00815A2D">
        <w:trPr>
          <w:trHeight w:val="623"/>
        </w:trPr>
        <w:tc>
          <w:tcPr>
            <w:tcW w:w="2907" w:type="dxa"/>
          </w:tcPr>
          <w:p w14:paraId="4DDA9D20"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Net Nitrification inhibition (%)</w:t>
            </w:r>
          </w:p>
        </w:tc>
        <w:tc>
          <w:tcPr>
            <w:tcW w:w="1700" w:type="dxa"/>
          </w:tcPr>
          <w:p w14:paraId="56CABB5A"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2.34±8.288a</w:t>
            </w:r>
          </w:p>
        </w:tc>
        <w:tc>
          <w:tcPr>
            <w:tcW w:w="2465" w:type="dxa"/>
          </w:tcPr>
          <w:p w14:paraId="3A8246A9"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-1.30±8.955a</w:t>
            </w:r>
          </w:p>
        </w:tc>
        <w:tc>
          <w:tcPr>
            <w:tcW w:w="2698" w:type="dxa"/>
          </w:tcPr>
          <w:p w14:paraId="32DD8881"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-22.6±7.434a</w:t>
            </w:r>
          </w:p>
        </w:tc>
      </w:tr>
      <w:tr w:rsidR="002F22C5" w:rsidRPr="002F22C5" w14:paraId="141590F6" w14:textId="77777777" w:rsidTr="00815A2D">
        <w:trPr>
          <w:trHeight w:val="605"/>
        </w:trPr>
        <w:tc>
          <w:tcPr>
            <w:tcW w:w="2907" w:type="dxa"/>
            <w:vAlign w:val="center"/>
          </w:tcPr>
          <w:p w14:paraId="2E6F5252"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pH</w:t>
            </w:r>
          </w:p>
        </w:tc>
        <w:tc>
          <w:tcPr>
            <w:tcW w:w="1700" w:type="dxa"/>
            <w:vAlign w:val="center"/>
          </w:tcPr>
          <w:p w14:paraId="7FB5D127"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5.51</w:t>
            </w:r>
          </w:p>
          <w:p w14:paraId="7D25BC4D"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±0.025</w:t>
            </w:r>
            <w:r w:rsidRPr="002F22C5">
              <w:rPr>
                <w:rFonts w:ascii="Times New Roman" w:hAnsi="Times New Roman"/>
                <w:kern w:val="0"/>
                <w:sz w:val="24"/>
                <w:szCs w:val="24"/>
                <w:vertAlign w:val="superscript"/>
              </w:rPr>
              <w:t>a</w:t>
            </w:r>
          </w:p>
        </w:tc>
        <w:tc>
          <w:tcPr>
            <w:tcW w:w="2465" w:type="dxa"/>
            <w:vAlign w:val="center"/>
          </w:tcPr>
          <w:p w14:paraId="2BB5CEFC"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5.59</w:t>
            </w:r>
          </w:p>
          <w:p w14:paraId="78D25A82"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 0.012</w:t>
            </w:r>
            <w:r w:rsidRPr="002F22C5">
              <w:rPr>
                <w:rFonts w:ascii="Times New Roman" w:hAnsi="Times New Roman"/>
                <w:kern w:val="0"/>
                <w:sz w:val="24"/>
                <w:szCs w:val="24"/>
                <w:vertAlign w:val="superscript"/>
              </w:rPr>
              <w:t>a</w:t>
            </w:r>
          </w:p>
        </w:tc>
        <w:tc>
          <w:tcPr>
            <w:tcW w:w="2698" w:type="dxa"/>
            <w:vAlign w:val="center"/>
          </w:tcPr>
          <w:p w14:paraId="38E71993"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5.71</w:t>
            </w:r>
          </w:p>
          <w:p w14:paraId="14CCE90F"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 0.027</w:t>
            </w:r>
            <w:r w:rsidRPr="002F22C5">
              <w:rPr>
                <w:rFonts w:ascii="Times New Roman" w:hAnsi="Times New Roman"/>
                <w:kern w:val="0"/>
                <w:sz w:val="24"/>
                <w:szCs w:val="24"/>
                <w:vertAlign w:val="superscript"/>
              </w:rPr>
              <w:t>a</w:t>
            </w:r>
          </w:p>
        </w:tc>
      </w:tr>
      <w:tr w:rsidR="002F22C5" w:rsidRPr="002F22C5" w14:paraId="73DE38FC" w14:textId="77777777" w:rsidTr="00815A2D">
        <w:trPr>
          <w:trHeight w:val="587"/>
        </w:trPr>
        <w:tc>
          <w:tcPr>
            <w:tcW w:w="2907" w:type="dxa"/>
          </w:tcPr>
          <w:p w14:paraId="1A66DCCD"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Acidification inhibition (%)</w:t>
            </w:r>
          </w:p>
        </w:tc>
        <w:tc>
          <w:tcPr>
            <w:tcW w:w="1700" w:type="dxa"/>
          </w:tcPr>
          <w:p w14:paraId="7731571F"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0.00±0.000a</w:t>
            </w:r>
          </w:p>
        </w:tc>
        <w:tc>
          <w:tcPr>
            <w:tcW w:w="2465" w:type="dxa"/>
          </w:tcPr>
          <w:p w14:paraId="3AE8385F"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0.18±0.000a</w:t>
            </w:r>
          </w:p>
        </w:tc>
        <w:tc>
          <w:tcPr>
            <w:tcW w:w="2698" w:type="dxa"/>
          </w:tcPr>
          <w:p w14:paraId="79C774F1" w14:textId="77777777" w:rsidR="002F22C5" w:rsidRPr="002F22C5" w:rsidRDefault="002F22C5" w:rsidP="00815A2D">
            <w:pPr>
              <w:spacing w:before="100" w:beforeAutospacing="1" w:after="100" w:afterAutospacing="1" w:line="276" w:lineRule="auto"/>
              <w:jc w:val="both"/>
              <w:rPr>
                <w:rFonts w:ascii="Times New Roman" w:hAnsi="Times New Roman"/>
                <w:kern w:val="0"/>
                <w:sz w:val="24"/>
                <w:szCs w:val="24"/>
              </w:rPr>
            </w:pPr>
            <w:r w:rsidRPr="002F22C5">
              <w:rPr>
                <w:rFonts w:ascii="Times New Roman" w:hAnsi="Times New Roman"/>
                <w:kern w:val="0"/>
                <w:sz w:val="24"/>
                <w:szCs w:val="24"/>
              </w:rPr>
              <w:t>0.55±0.000a</w:t>
            </w:r>
          </w:p>
        </w:tc>
      </w:tr>
    </w:tbl>
    <w:p w14:paraId="3E86D3B7" w14:textId="77777777" w:rsidR="00815A2D" w:rsidRDefault="00815A2D" w:rsidP="00815A2D">
      <w:pPr>
        <w:spacing w:before="315" w:after="105" w:line="276" w:lineRule="auto"/>
        <w:jc w:val="both"/>
        <w:rPr>
          <w:rFonts w:ascii="Times New Roman" w:hAnsi="Times New Roman" w:cs="Times New Roman"/>
          <w:sz w:val="24"/>
          <w:szCs w:val="24"/>
        </w:rPr>
      </w:pPr>
      <w:r w:rsidRPr="00815A2D">
        <w:rPr>
          <w:rFonts w:ascii="Times New Roman" w:hAnsi="Times New Roman" w:cs="Times New Roman"/>
          <w:sz w:val="24"/>
          <w:szCs w:val="24"/>
        </w:rPr>
        <w:t>Values are mean ± SD. Means with different letters differ significantly at p &lt; 0.05 based on ANOVA followed by DMRT.</w:t>
      </w:r>
    </w:p>
    <w:p w14:paraId="3ED00376" w14:textId="77777777" w:rsidR="002F22C5" w:rsidRDefault="002F22C5" w:rsidP="00815A2D">
      <w:pPr>
        <w:spacing w:before="100" w:beforeAutospacing="1" w:after="100" w:afterAutospacing="1" w:line="276" w:lineRule="auto"/>
        <w:jc w:val="both"/>
        <w:rPr>
          <w:rFonts w:ascii="Times New Roman" w:hAnsi="Times New Roman" w:cs="Times New Roman"/>
          <w:b/>
          <w:bCs/>
          <w:sz w:val="24"/>
          <w:szCs w:val="24"/>
        </w:rPr>
      </w:pPr>
    </w:p>
    <w:p w14:paraId="0B8338A9" w14:textId="1162D761" w:rsidR="002F22C5" w:rsidRPr="00ED0D52" w:rsidRDefault="002F22C5" w:rsidP="00815A2D">
      <w:pPr>
        <w:spacing w:before="100" w:beforeAutospacing="1" w:after="100" w:afterAutospacing="1" w:line="276" w:lineRule="auto"/>
        <w:jc w:val="both"/>
        <w:rPr>
          <w:rFonts w:ascii="Times New Roman" w:eastAsia="Times New Roman" w:hAnsi="Times New Roman" w:cs="Times New Roman"/>
          <w:b/>
          <w:bCs/>
          <w:sz w:val="24"/>
          <w:szCs w:val="24"/>
        </w:rPr>
      </w:pPr>
      <w:r w:rsidRPr="00ED0D52">
        <w:rPr>
          <w:rFonts w:ascii="Times New Roman" w:hAnsi="Times New Roman" w:cs="Times New Roman"/>
          <w:b/>
          <w:bCs/>
          <w:sz w:val="24"/>
          <w:szCs w:val="24"/>
        </w:rPr>
        <w:t xml:space="preserve">Table </w:t>
      </w:r>
      <w:r w:rsidR="00815A2D">
        <w:rPr>
          <w:rFonts w:ascii="Times New Roman" w:hAnsi="Times New Roman" w:cs="Times New Roman"/>
          <w:b/>
          <w:bCs/>
          <w:sz w:val="24"/>
          <w:szCs w:val="24"/>
        </w:rPr>
        <w:t>5</w:t>
      </w:r>
      <w:r w:rsidRPr="00ED0D52">
        <w:rPr>
          <w:rFonts w:ascii="Times New Roman" w:hAnsi="Times New Roman" w:cs="Times New Roman"/>
          <w:b/>
          <w:bCs/>
          <w:sz w:val="24"/>
          <w:szCs w:val="24"/>
        </w:rPr>
        <w:t xml:space="preserve">: </w:t>
      </w:r>
      <w:r w:rsidRPr="00ED0D52">
        <w:rPr>
          <w:rFonts w:ascii="Times New Roman" w:eastAsia="Times New Roman" w:hAnsi="Times New Roman" w:cs="Times New Roman"/>
          <w:b/>
          <w:bCs/>
          <w:sz w:val="24"/>
          <w:szCs w:val="24"/>
        </w:rPr>
        <w:t>Effect of urea treatments on soil microbial populations and enzyme activities</w:t>
      </w:r>
    </w:p>
    <w:tbl>
      <w:tblPr>
        <w:tblStyle w:val="TableGrid20"/>
        <w:tblpPr w:leftFromText="180" w:rightFromText="180" w:vertAnchor="text" w:horzAnchor="page" w:tblpX="1881" w:tblpY="69"/>
        <w:tblW w:w="0" w:type="auto"/>
        <w:tblLook w:val="04A0" w:firstRow="1" w:lastRow="0" w:firstColumn="1" w:lastColumn="0" w:noHBand="0" w:noVBand="1"/>
      </w:tblPr>
      <w:tblGrid>
        <w:gridCol w:w="2226"/>
        <w:gridCol w:w="1927"/>
        <w:gridCol w:w="1927"/>
        <w:gridCol w:w="1927"/>
      </w:tblGrid>
      <w:tr w:rsidR="002F22C5" w:rsidRPr="00ED0D52" w14:paraId="12339BEB" w14:textId="77777777" w:rsidTr="002E27A3">
        <w:trPr>
          <w:trHeight w:val="285"/>
        </w:trPr>
        <w:tc>
          <w:tcPr>
            <w:tcW w:w="2226" w:type="dxa"/>
            <w:vAlign w:val="center"/>
          </w:tcPr>
          <w:p w14:paraId="44215834"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b/>
                <w:bCs/>
                <w:color w:val="000000"/>
                <w:sz w:val="24"/>
                <w:szCs w:val="24"/>
              </w:rPr>
              <w:t>Treatment details</w:t>
            </w:r>
          </w:p>
        </w:tc>
        <w:tc>
          <w:tcPr>
            <w:tcW w:w="1927" w:type="dxa"/>
            <w:vAlign w:val="center"/>
          </w:tcPr>
          <w:p w14:paraId="4E418E31"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1</w:t>
            </w:r>
          </w:p>
        </w:tc>
        <w:tc>
          <w:tcPr>
            <w:tcW w:w="1927" w:type="dxa"/>
            <w:vAlign w:val="center"/>
          </w:tcPr>
          <w:p w14:paraId="43F8DCB2"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2</w:t>
            </w:r>
          </w:p>
        </w:tc>
        <w:tc>
          <w:tcPr>
            <w:tcW w:w="1927" w:type="dxa"/>
            <w:vAlign w:val="center"/>
          </w:tcPr>
          <w:p w14:paraId="3D376BE9"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b/>
                <w:bCs/>
                <w:color w:val="000000"/>
                <w:sz w:val="24"/>
                <w:szCs w:val="24"/>
              </w:rPr>
              <w:t>T</w:t>
            </w:r>
            <w:r w:rsidRPr="00ED0D52">
              <w:rPr>
                <w:rFonts w:ascii="Times New Roman" w:eastAsia="Times New Roman" w:hAnsi="Times New Roman"/>
                <w:b/>
                <w:bCs/>
                <w:color w:val="000000"/>
                <w:sz w:val="24"/>
                <w:szCs w:val="24"/>
                <w:vertAlign w:val="subscript"/>
              </w:rPr>
              <w:t>3</w:t>
            </w:r>
          </w:p>
        </w:tc>
      </w:tr>
      <w:tr w:rsidR="002F22C5" w:rsidRPr="00ED0D52" w14:paraId="2D28F941" w14:textId="77777777" w:rsidTr="002E27A3">
        <w:trPr>
          <w:trHeight w:val="356"/>
        </w:trPr>
        <w:tc>
          <w:tcPr>
            <w:tcW w:w="2226" w:type="dxa"/>
          </w:tcPr>
          <w:p w14:paraId="60F14AC7"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Bacteria (10⁵/g)</w:t>
            </w:r>
          </w:p>
        </w:tc>
        <w:tc>
          <w:tcPr>
            <w:tcW w:w="1927" w:type="dxa"/>
          </w:tcPr>
          <w:p w14:paraId="23CEAE47"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40.25±2.22</w:t>
            </w:r>
            <w:r w:rsidRPr="00ED0D52">
              <w:rPr>
                <w:rFonts w:ascii="Times New Roman" w:eastAsia="Times New Roman" w:hAnsi="Times New Roman"/>
                <w:color w:val="000000"/>
                <w:sz w:val="24"/>
                <w:szCs w:val="24"/>
                <w:vertAlign w:val="superscript"/>
              </w:rPr>
              <w:t>a</w:t>
            </w:r>
          </w:p>
        </w:tc>
        <w:tc>
          <w:tcPr>
            <w:tcW w:w="1927" w:type="dxa"/>
          </w:tcPr>
          <w:p w14:paraId="4B00A88B"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43.00±2.94</w:t>
            </w:r>
            <w:r w:rsidRPr="00ED0D52">
              <w:rPr>
                <w:rFonts w:ascii="Times New Roman" w:eastAsia="Times New Roman" w:hAnsi="Times New Roman"/>
                <w:color w:val="000000"/>
                <w:sz w:val="24"/>
                <w:szCs w:val="24"/>
                <w:vertAlign w:val="superscript"/>
              </w:rPr>
              <w:t>a</w:t>
            </w:r>
          </w:p>
        </w:tc>
        <w:tc>
          <w:tcPr>
            <w:tcW w:w="1927" w:type="dxa"/>
          </w:tcPr>
          <w:p w14:paraId="734EB2A9"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44.50±2.38</w:t>
            </w:r>
            <w:r w:rsidRPr="00ED0D52">
              <w:rPr>
                <w:rFonts w:ascii="Times New Roman" w:eastAsia="Times New Roman" w:hAnsi="Times New Roman"/>
                <w:color w:val="000000"/>
                <w:sz w:val="24"/>
                <w:szCs w:val="24"/>
                <w:vertAlign w:val="superscript"/>
              </w:rPr>
              <w:t>a</w:t>
            </w:r>
          </w:p>
        </w:tc>
      </w:tr>
      <w:tr w:rsidR="002F22C5" w:rsidRPr="00ED0D52" w14:paraId="1CFEC672" w14:textId="77777777" w:rsidTr="002E27A3">
        <w:trPr>
          <w:trHeight w:val="389"/>
        </w:trPr>
        <w:tc>
          <w:tcPr>
            <w:tcW w:w="2226" w:type="dxa"/>
          </w:tcPr>
          <w:p w14:paraId="17EEEFD5" w14:textId="77777777" w:rsidR="002F22C5" w:rsidRPr="00ED0D52" w:rsidRDefault="002F22C5" w:rsidP="00815A2D">
            <w:pPr>
              <w:spacing w:line="276" w:lineRule="auto"/>
              <w:jc w:val="both"/>
              <w:rPr>
                <w:rFonts w:ascii="Times New Roman" w:eastAsia="Times New Roman" w:hAnsi="Times New Roman"/>
                <w:color w:val="000000"/>
                <w:sz w:val="24"/>
                <w:szCs w:val="24"/>
                <w:lang w:val="en-IN" w:eastAsia="en-IN"/>
              </w:rPr>
            </w:pPr>
            <w:proofErr w:type="spellStart"/>
            <w:r w:rsidRPr="00ED0D52">
              <w:rPr>
                <w:rFonts w:ascii="Times New Roman" w:eastAsia="Times New Roman" w:hAnsi="Times New Roman"/>
                <w:color w:val="000000"/>
                <w:sz w:val="24"/>
                <w:szCs w:val="24"/>
                <w:lang w:val="en-IN" w:eastAsia="en-IN"/>
              </w:rPr>
              <w:t>Sapro</w:t>
            </w:r>
            <w:proofErr w:type="spellEnd"/>
            <w:r w:rsidRPr="00ED0D52">
              <w:rPr>
                <w:rFonts w:ascii="Times New Roman" w:eastAsia="Times New Roman" w:hAnsi="Times New Roman"/>
                <w:color w:val="000000"/>
                <w:sz w:val="24"/>
                <w:szCs w:val="24"/>
                <w:lang w:val="en-IN" w:eastAsia="en-IN"/>
              </w:rPr>
              <w:t>. Fungi (10³/g)</w:t>
            </w:r>
          </w:p>
        </w:tc>
        <w:tc>
          <w:tcPr>
            <w:tcW w:w="1927" w:type="dxa"/>
          </w:tcPr>
          <w:p w14:paraId="44738137"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30.00±1.41</w:t>
            </w:r>
            <w:r w:rsidRPr="00ED0D52">
              <w:rPr>
                <w:rFonts w:ascii="Times New Roman" w:eastAsia="Times New Roman" w:hAnsi="Times New Roman"/>
                <w:color w:val="000000"/>
                <w:sz w:val="24"/>
                <w:szCs w:val="24"/>
                <w:vertAlign w:val="superscript"/>
              </w:rPr>
              <w:t>a</w:t>
            </w:r>
          </w:p>
        </w:tc>
        <w:tc>
          <w:tcPr>
            <w:tcW w:w="1927" w:type="dxa"/>
          </w:tcPr>
          <w:p w14:paraId="1E30F5B9"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29.25±1.70</w:t>
            </w:r>
            <w:r w:rsidRPr="00ED0D52">
              <w:rPr>
                <w:rFonts w:ascii="Times New Roman" w:eastAsia="Times New Roman" w:hAnsi="Times New Roman"/>
                <w:color w:val="000000"/>
                <w:sz w:val="24"/>
                <w:szCs w:val="24"/>
                <w:vertAlign w:val="superscript"/>
              </w:rPr>
              <w:t>a</w:t>
            </w:r>
          </w:p>
        </w:tc>
        <w:tc>
          <w:tcPr>
            <w:tcW w:w="1927" w:type="dxa"/>
          </w:tcPr>
          <w:p w14:paraId="574F6C68"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27.75±1.50</w:t>
            </w:r>
            <w:r w:rsidRPr="00ED0D52">
              <w:rPr>
                <w:rFonts w:ascii="Times New Roman" w:eastAsia="Times New Roman" w:hAnsi="Times New Roman"/>
                <w:color w:val="000000"/>
                <w:sz w:val="24"/>
                <w:szCs w:val="24"/>
                <w:vertAlign w:val="superscript"/>
              </w:rPr>
              <w:t>a</w:t>
            </w:r>
          </w:p>
        </w:tc>
      </w:tr>
      <w:tr w:rsidR="002F22C5" w:rsidRPr="00ED0D52" w14:paraId="6D867578" w14:textId="77777777" w:rsidTr="002E27A3">
        <w:trPr>
          <w:trHeight w:val="322"/>
        </w:trPr>
        <w:tc>
          <w:tcPr>
            <w:tcW w:w="2226" w:type="dxa"/>
          </w:tcPr>
          <w:p w14:paraId="750FD622"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Actinomycetes (10³/g)</w:t>
            </w:r>
          </w:p>
        </w:tc>
        <w:tc>
          <w:tcPr>
            <w:tcW w:w="1927" w:type="dxa"/>
          </w:tcPr>
          <w:p w14:paraId="7B96C491"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5.00±0.81</w:t>
            </w:r>
            <w:r w:rsidRPr="00ED0D52">
              <w:rPr>
                <w:rFonts w:ascii="Times New Roman" w:eastAsia="Times New Roman" w:hAnsi="Times New Roman"/>
                <w:color w:val="000000"/>
                <w:sz w:val="24"/>
                <w:szCs w:val="24"/>
                <w:vertAlign w:val="superscript"/>
              </w:rPr>
              <w:t>a</w:t>
            </w:r>
          </w:p>
        </w:tc>
        <w:tc>
          <w:tcPr>
            <w:tcW w:w="1927" w:type="dxa"/>
          </w:tcPr>
          <w:p w14:paraId="61FFF65F"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5.00±0.81</w:t>
            </w:r>
            <w:r w:rsidRPr="00ED0D52">
              <w:rPr>
                <w:rFonts w:ascii="Times New Roman" w:eastAsia="Times New Roman" w:hAnsi="Times New Roman"/>
                <w:color w:val="000000"/>
                <w:sz w:val="24"/>
                <w:szCs w:val="24"/>
                <w:vertAlign w:val="superscript"/>
              </w:rPr>
              <w:t>a</w:t>
            </w:r>
          </w:p>
        </w:tc>
        <w:tc>
          <w:tcPr>
            <w:tcW w:w="1927" w:type="dxa"/>
          </w:tcPr>
          <w:p w14:paraId="339B728E"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5.75±0.95</w:t>
            </w:r>
            <w:r w:rsidRPr="00ED0D52">
              <w:rPr>
                <w:rFonts w:ascii="Times New Roman" w:eastAsia="Times New Roman" w:hAnsi="Times New Roman"/>
                <w:color w:val="000000"/>
                <w:sz w:val="24"/>
                <w:szCs w:val="24"/>
                <w:vertAlign w:val="superscript"/>
              </w:rPr>
              <w:t>a</w:t>
            </w:r>
          </w:p>
        </w:tc>
      </w:tr>
      <w:tr w:rsidR="002F22C5" w:rsidRPr="00ED0D52" w14:paraId="28A6D188" w14:textId="77777777" w:rsidTr="002E27A3">
        <w:trPr>
          <w:trHeight w:val="316"/>
        </w:trPr>
        <w:tc>
          <w:tcPr>
            <w:tcW w:w="2226" w:type="dxa"/>
          </w:tcPr>
          <w:p w14:paraId="5A556C29"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Urease (</w:t>
            </w:r>
            <w:proofErr w:type="spellStart"/>
            <w:r w:rsidRPr="00ED0D52">
              <w:rPr>
                <w:rFonts w:ascii="Times New Roman" w:eastAsia="Times New Roman" w:hAnsi="Times New Roman"/>
                <w:color w:val="000000"/>
                <w:sz w:val="24"/>
                <w:szCs w:val="24"/>
                <w:lang w:val="en-IN" w:eastAsia="en-IN"/>
              </w:rPr>
              <w:t>μg</w:t>
            </w:r>
            <w:proofErr w:type="spellEnd"/>
            <w:r w:rsidRPr="00ED0D52">
              <w:rPr>
                <w:rFonts w:ascii="Times New Roman" w:eastAsia="Times New Roman" w:hAnsi="Times New Roman"/>
                <w:color w:val="000000"/>
                <w:sz w:val="24"/>
                <w:szCs w:val="24"/>
                <w:lang w:val="en-IN" w:eastAsia="en-IN"/>
              </w:rPr>
              <w:t xml:space="preserve"> NH₄/g/h)</w:t>
            </w:r>
          </w:p>
        </w:tc>
        <w:tc>
          <w:tcPr>
            <w:tcW w:w="1927" w:type="dxa"/>
          </w:tcPr>
          <w:p w14:paraId="1A234C92"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9.97±0.75</w:t>
            </w:r>
            <w:r w:rsidRPr="00ED0D52">
              <w:rPr>
                <w:rFonts w:ascii="Times New Roman" w:eastAsia="Times New Roman" w:hAnsi="Times New Roman"/>
                <w:color w:val="000000"/>
                <w:sz w:val="24"/>
                <w:szCs w:val="24"/>
                <w:vertAlign w:val="superscript"/>
              </w:rPr>
              <w:t>a</w:t>
            </w:r>
          </w:p>
        </w:tc>
        <w:tc>
          <w:tcPr>
            <w:tcW w:w="1927" w:type="dxa"/>
          </w:tcPr>
          <w:p w14:paraId="573D3130"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11.05±0.58</w:t>
            </w:r>
            <w:r w:rsidRPr="00ED0D52">
              <w:rPr>
                <w:rFonts w:ascii="Times New Roman" w:eastAsia="Times New Roman" w:hAnsi="Times New Roman"/>
                <w:color w:val="000000"/>
                <w:sz w:val="24"/>
                <w:szCs w:val="24"/>
                <w:vertAlign w:val="superscript"/>
              </w:rPr>
              <w:t>a</w:t>
            </w:r>
          </w:p>
        </w:tc>
        <w:tc>
          <w:tcPr>
            <w:tcW w:w="1927" w:type="dxa"/>
          </w:tcPr>
          <w:p w14:paraId="6194E876"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12.25±0.95</w:t>
            </w:r>
            <w:r w:rsidRPr="00ED0D52">
              <w:rPr>
                <w:rFonts w:ascii="Times New Roman" w:eastAsia="Times New Roman" w:hAnsi="Times New Roman"/>
                <w:color w:val="000000"/>
                <w:sz w:val="24"/>
                <w:szCs w:val="24"/>
                <w:vertAlign w:val="superscript"/>
              </w:rPr>
              <w:t>a</w:t>
            </w:r>
          </w:p>
        </w:tc>
      </w:tr>
      <w:tr w:rsidR="002F22C5" w:rsidRPr="00ED0D52" w14:paraId="6D7AF88A" w14:textId="77777777" w:rsidTr="002E27A3">
        <w:trPr>
          <w:trHeight w:val="256"/>
        </w:trPr>
        <w:tc>
          <w:tcPr>
            <w:tcW w:w="2226" w:type="dxa"/>
          </w:tcPr>
          <w:p w14:paraId="22C12001"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proofErr w:type="spellStart"/>
            <w:r w:rsidRPr="00ED0D52">
              <w:rPr>
                <w:rFonts w:ascii="Times New Roman" w:eastAsia="Times New Roman" w:hAnsi="Times New Roman"/>
                <w:color w:val="000000"/>
                <w:sz w:val="24"/>
                <w:szCs w:val="24"/>
                <w:lang w:val="en-IN" w:eastAsia="en-IN"/>
              </w:rPr>
              <w:t>Dehydro</w:t>
            </w:r>
            <w:proofErr w:type="spellEnd"/>
            <w:r w:rsidRPr="00ED0D52">
              <w:rPr>
                <w:rFonts w:ascii="Times New Roman" w:eastAsia="Times New Roman" w:hAnsi="Times New Roman"/>
                <w:color w:val="000000"/>
                <w:sz w:val="24"/>
                <w:szCs w:val="24"/>
                <w:lang w:val="en-IN" w:eastAsia="en-IN"/>
              </w:rPr>
              <w:t>. (</w:t>
            </w:r>
            <w:proofErr w:type="spellStart"/>
            <w:r w:rsidRPr="00ED0D52">
              <w:rPr>
                <w:rFonts w:ascii="Times New Roman" w:eastAsia="Times New Roman" w:hAnsi="Times New Roman"/>
                <w:color w:val="000000"/>
                <w:sz w:val="24"/>
                <w:szCs w:val="24"/>
                <w:lang w:val="en-IN" w:eastAsia="en-IN"/>
              </w:rPr>
              <w:t>μg</w:t>
            </w:r>
            <w:proofErr w:type="spellEnd"/>
            <w:r w:rsidRPr="00ED0D52">
              <w:rPr>
                <w:rFonts w:ascii="Times New Roman" w:eastAsia="Times New Roman" w:hAnsi="Times New Roman"/>
                <w:color w:val="000000"/>
                <w:sz w:val="24"/>
                <w:szCs w:val="24"/>
                <w:lang w:val="en-IN" w:eastAsia="en-IN"/>
              </w:rPr>
              <w:t xml:space="preserve"> TPF/g/day)</w:t>
            </w:r>
          </w:p>
        </w:tc>
        <w:tc>
          <w:tcPr>
            <w:tcW w:w="1927" w:type="dxa"/>
          </w:tcPr>
          <w:p w14:paraId="65F598C8"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2.00±0.18</w:t>
            </w:r>
            <w:r w:rsidRPr="00ED0D52">
              <w:rPr>
                <w:rFonts w:ascii="Times New Roman" w:eastAsia="Times New Roman" w:hAnsi="Times New Roman"/>
                <w:color w:val="000000"/>
                <w:sz w:val="24"/>
                <w:szCs w:val="24"/>
                <w:vertAlign w:val="superscript"/>
              </w:rPr>
              <w:t>a</w:t>
            </w:r>
          </w:p>
        </w:tc>
        <w:tc>
          <w:tcPr>
            <w:tcW w:w="1927" w:type="dxa"/>
          </w:tcPr>
          <w:p w14:paraId="19F3295E"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2.15±0.17</w:t>
            </w:r>
            <w:r w:rsidRPr="00ED0D52">
              <w:rPr>
                <w:rFonts w:ascii="Times New Roman" w:eastAsia="Times New Roman" w:hAnsi="Times New Roman"/>
                <w:color w:val="000000"/>
                <w:sz w:val="24"/>
                <w:szCs w:val="24"/>
                <w:vertAlign w:val="superscript"/>
              </w:rPr>
              <w:t>a</w:t>
            </w:r>
          </w:p>
        </w:tc>
        <w:tc>
          <w:tcPr>
            <w:tcW w:w="1927" w:type="dxa"/>
          </w:tcPr>
          <w:p w14:paraId="2086C687"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2.30±0.14</w:t>
            </w:r>
            <w:r w:rsidRPr="00ED0D52">
              <w:rPr>
                <w:rFonts w:ascii="Times New Roman" w:eastAsia="Times New Roman" w:hAnsi="Times New Roman"/>
                <w:color w:val="000000"/>
                <w:sz w:val="24"/>
                <w:szCs w:val="24"/>
                <w:vertAlign w:val="superscript"/>
              </w:rPr>
              <w:t>a</w:t>
            </w:r>
          </w:p>
        </w:tc>
      </w:tr>
      <w:tr w:rsidR="002F22C5" w:rsidRPr="00ED0D52" w14:paraId="5ED78724" w14:textId="77777777" w:rsidTr="002E27A3">
        <w:trPr>
          <w:trHeight w:val="389"/>
        </w:trPr>
        <w:tc>
          <w:tcPr>
            <w:tcW w:w="2226" w:type="dxa"/>
          </w:tcPr>
          <w:p w14:paraId="219DBB9F" w14:textId="77777777" w:rsidR="002F22C5" w:rsidRPr="00ED0D52" w:rsidRDefault="002F22C5" w:rsidP="00815A2D">
            <w:pPr>
              <w:spacing w:line="276" w:lineRule="auto"/>
              <w:jc w:val="both"/>
              <w:rPr>
                <w:rFonts w:ascii="Times New Roman" w:eastAsia="Times New Roman" w:hAnsi="Times New Roman"/>
                <w:b/>
                <w:bCs/>
                <w:color w:val="000000"/>
                <w:sz w:val="24"/>
                <w:szCs w:val="24"/>
              </w:rPr>
            </w:pPr>
            <w:r w:rsidRPr="00ED0D52">
              <w:rPr>
                <w:rFonts w:ascii="Times New Roman" w:eastAsia="Times New Roman" w:hAnsi="Times New Roman"/>
                <w:color w:val="000000"/>
                <w:sz w:val="24"/>
                <w:szCs w:val="24"/>
                <w:lang w:val="en-IN" w:eastAsia="en-IN"/>
              </w:rPr>
              <w:t>FDA (</w:t>
            </w:r>
            <w:proofErr w:type="spellStart"/>
            <w:r w:rsidRPr="00ED0D52">
              <w:rPr>
                <w:rFonts w:ascii="Times New Roman" w:eastAsia="Times New Roman" w:hAnsi="Times New Roman"/>
                <w:color w:val="000000"/>
                <w:sz w:val="24"/>
                <w:szCs w:val="24"/>
                <w:lang w:val="en-IN" w:eastAsia="en-IN"/>
              </w:rPr>
              <w:t>μg</w:t>
            </w:r>
            <w:proofErr w:type="spellEnd"/>
            <w:r w:rsidRPr="00ED0D52">
              <w:rPr>
                <w:rFonts w:ascii="Times New Roman" w:eastAsia="Times New Roman" w:hAnsi="Times New Roman"/>
                <w:color w:val="000000"/>
                <w:sz w:val="24"/>
                <w:szCs w:val="24"/>
                <w:lang w:val="en-IN" w:eastAsia="en-IN"/>
              </w:rPr>
              <w:t xml:space="preserve"> fluorescein/g/h)</w:t>
            </w:r>
          </w:p>
        </w:tc>
        <w:tc>
          <w:tcPr>
            <w:tcW w:w="1927" w:type="dxa"/>
          </w:tcPr>
          <w:p w14:paraId="3B339569"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19.87±1.22</w:t>
            </w:r>
            <w:r w:rsidRPr="00ED0D52">
              <w:rPr>
                <w:rFonts w:ascii="Times New Roman" w:eastAsia="Times New Roman" w:hAnsi="Times New Roman"/>
                <w:color w:val="000000"/>
                <w:sz w:val="24"/>
                <w:szCs w:val="24"/>
                <w:vertAlign w:val="superscript"/>
              </w:rPr>
              <w:t>a</w:t>
            </w:r>
          </w:p>
        </w:tc>
        <w:tc>
          <w:tcPr>
            <w:tcW w:w="1927" w:type="dxa"/>
          </w:tcPr>
          <w:p w14:paraId="44F79E08"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22.12±1.10</w:t>
            </w:r>
            <w:r w:rsidRPr="00ED0D52">
              <w:rPr>
                <w:rFonts w:ascii="Times New Roman" w:eastAsia="Times New Roman" w:hAnsi="Times New Roman"/>
                <w:color w:val="000000"/>
                <w:sz w:val="24"/>
                <w:szCs w:val="24"/>
                <w:vertAlign w:val="superscript"/>
              </w:rPr>
              <w:t>a</w:t>
            </w:r>
          </w:p>
        </w:tc>
        <w:tc>
          <w:tcPr>
            <w:tcW w:w="1927" w:type="dxa"/>
          </w:tcPr>
          <w:p w14:paraId="6A767E48" w14:textId="77777777" w:rsidR="002F22C5" w:rsidRPr="00ED0D52" w:rsidRDefault="002F22C5" w:rsidP="00815A2D">
            <w:pPr>
              <w:spacing w:line="276" w:lineRule="auto"/>
              <w:jc w:val="both"/>
              <w:rPr>
                <w:rFonts w:ascii="Times New Roman" w:eastAsia="Times New Roman" w:hAnsi="Times New Roman"/>
                <w:color w:val="000000"/>
                <w:sz w:val="24"/>
                <w:szCs w:val="24"/>
              </w:rPr>
            </w:pPr>
            <w:r w:rsidRPr="00ED0D52">
              <w:rPr>
                <w:rFonts w:ascii="Times New Roman" w:eastAsia="Times New Roman" w:hAnsi="Times New Roman"/>
                <w:color w:val="000000"/>
                <w:sz w:val="24"/>
                <w:szCs w:val="24"/>
              </w:rPr>
              <w:t>23.32±1.27</w:t>
            </w:r>
            <w:r w:rsidRPr="00ED0D52">
              <w:rPr>
                <w:rFonts w:ascii="Times New Roman" w:eastAsia="Times New Roman" w:hAnsi="Times New Roman"/>
                <w:color w:val="000000"/>
                <w:sz w:val="24"/>
                <w:szCs w:val="24"/>
                <w:vertAlign w:val="superscript"/>
              </w:rPr>
              <w:t>a</w:t>
            </w:r>
          </w:p>
        </w:tc>
      </w:tr>
    </w:tbl>
    <w:p w14:paraId="0D685B01" w14:textId="77777777" w:rsidR="002F22C5" w:rsidRPr="00ED0D52" w:rsidRDefault="002F22C5" w:rsidP="00815A2D">
      <w:pPr>
        <w:spacing w:before="100" w:beforeAutospacing="1" w:after="100" w:afterAutospacing="1" w:line="276" w:lineRule="auto"/>
        <w:jc w:val="both"/>
        <w:rPr>
          <w:rFonts w:ascii="Times New Roman" w:eastAsia="Times New Roman" w:hAnsi="Times New Roman" w:cs="Times New Roman"/>
          <w:b/>
          <w:bCs/>
          <w:sz w:val="24"/>
          <w:szCs w:val="24"/>
        </w:rPr>
      </w:pPr>
    </w:p>
    <w:p w14:paraId="7777F08E" w14:textId="77777777" w:rsidR="002F22C5" w:rsidRPr="00ED0D52" w:rsidRDefault="002F22C5" w:rsidP="00815A2D">
      <w:pPr>
        <w:spacing w:before="100" w:beforeAutospacing="1" w:after="100" w:afterAutospacing="1" w:line="276" w:lineRule="auto"/>
        <w:jc w:val="both"/>
        <w:rPr>
          <w:rFonts w:ascii="Times New Roman" w:eastAsia="Times New Roman" w:hAnsi="Times New Roman" w:cs="Times New Roman"/>
          <w:sz w:val="24"/>
          <w:szCs w:val="24"/>
        </w:rPr>
      </w:pPr>
    </w:p>
    <w:p w14:paraId="4F546475" w14:textId="77777777" w:rsidR="002F22C5" w:rsidRPr="00ED0D52" w:rsidRDefault="002F22C5" w:rsidP="00815A2D">
      <w:pPr>
        <w:spacing w:after="0" w:line="276" w:lineRule="auto"/>
        <w:jc w:val="both"/>
        <w:rPr>
          <w:rFonts w:ascii="Times New Roman" w:eastAsia="Times New Roman" w:hAnsi="Times New Roman" w:cs="Times New Roman"/>
          <w:sz w:val="24"/>
          <w:szCs w:val="24"/>
        </w:rPr>
      </w:pPr>
    </w:p>
    <w:p w14:paraId="739EB37E" w14:textId="77777777" w:rsidR="002F22C5" w:rsidRPr="00ED0D52" w:rsidRDefault="002F22C5"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p>
    <w:p w14:paraId="2A58E48E" w14:textId="77777777" w:rsidR="002F22C5" w:rsidRPr="00ED0D52" w:rsidRDefault="002F22C5" w:rsidP="00815A2D">
      <w:pPr>
        <w:spacing w:before="100" w:beforeAutospacing="1" w:after="100" w:afterAutospacing="1" w:line="276" w:lineRule="auto"/>
        <w:jc w:val="both"/>
        <w:outlineLvl w:val="1"/>
        <w:rPr>
          <w:rFonts w:ascii="Times New Roman" w:eastAsia="Times New Roman" w:hAnsi="Times New Roman" w:cs="Times New Roman"/>
          <w:b/>
          <w:bCs/>
          <w:sz w:val="24"/>
          <w:szCs w:val="24"/>
        </w:rPr>
      </w:pPr>
    </w:p>
    <w:p w14:paraId="4F74FC43" w14:textId="69FE64C1" w:rsidR="005C5F90" w:rsidRDefault="005C5F90" w:rsidP="00815A2D">
      <w:pPr>
        <w:spacing w:before="315" w:after="105" w:line="276" w:lineRule="auto"/>
        <w:ind w:left="-30"/>
        <w:jc w:val="both"/>
        <w:rPr>
          <w:rFonts w:ascii="Times New Roman" w:hAnsi="Times New Roman" w:cs="Times New Roman"/>
          <w:sz w:val="24"/>
          <w:szCs w:val="24"/>
        </w:rPr>
      </w:pPr>
    </w:p>
    <w:p w14:paraId="1B649C86" w14:textId="2C604A5F" w:rsidR="002F22C5" w:rsidRDefault="00815A2D" w:rsidP="00815A2D">
      <w:pPr>
        <w:spacing w:before="315" w:after="105" w:line="276" w:lineRule="auto"/>
        <w:ind w:left="-30"/>
        <w:jc w:val="both"/>
        <w:rPr>
          <w:rFonts w:ascii="Times New Roman" w:hAnsi="Times New Roman" w:cs="Times New Roman"/>
          <w:sz w:val="24"/>
          <w:szCs w:val="24"/>
        </w:rPr>
      </w:pPr>
      <w:r w:rsidRPr="00815A2D">
        <w:rPr>
          <w:rFonts w:ascii="Times New Roman" w:hAnsi="Times New Roman" w:cs="Times New Roman"/>
          <w:sz w:val="24"/>
          <w:szCs w:val="24"/>
        </w:rPr>
        <w:t>Values are mean ± SD. Means with different letters differ significantly at p &lt; 0.05 based on ANOVA followed by DMRT.</w:t>
      </w:r>
    </w:p>
    <w:p w14:paraId="011DD0F9" w14:textId="77777777" w:rsidR="002F22C5" w:rsidRPr="00ED0D52" w:rsidRDefault="002F22C5" w:rsidP="00815A2D">
      <w:pPr>
        <w:spacing w:before="315" w:after="105" w:line="276" w:lineRule="auto"/>
        <w:ind w:left="-30"/>
        <w:jc w:val="both"/>
        <w:rPr>
          <w:rFonts w:ascii="Times New Roman" w:hAnsi="Times New Roman" w:cs="Times New Roman"/>
          <w:sz w:val="24"/>
          <w:szCs w:val="24"/>
        </w:rPr>
      </w:pPr>
    </w:p>
    <w:sectPr w:rsidR="002F22C5" w:rsidRPr="00ED0D52">
      <w:headerReference w:type="even" r:id="rId7"/>
      <w:headerReference w:type="default" r:id="rId8"/>
      <w:footerReference w:type="even" r:id="rId9"/>
      <w:footerReference w:type="default" r:id="rId10"/>
      <w:headerReference w:type="first" r:id="rId11"/>
      <w:footerReference w:type="first" r:id="rId12"/>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FE659" w14:textId="77777777" w:rsidR="0036116E" w:rsidRDefault="0036116E" w:rsidP="001C3C01">
      <w:pPr>
        <w:spacing w:after="0" w:line="240" w:lineRule="auto"/>
      </w:pPr>
      <w:r>
        <w:separator/>
      </w:r>
    </w:p>
  </w:endnote>
  <w:endnote w:type="continuationSeparator" w:id="0">
    <w:p w14:paraId="198C9708" w14:textId="77777777" w:rsidR="0036116E" w:rsidRDefault="0036116E" w:rsidP="001C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ADA47" w14:textId="77777777" w:rsidR="001C3C01" w:rsidRDefault="001C3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E3129" w14:textId="77777777" w:rsidR="001C3C01" w:rsidRDefault="001C3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B7834" w14:textId="77777777" w:rsidR="001C3C01" w:rsidRDefault="001C3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AE3E3" w14:textId="77777777" w:rsidR="0036116E" w:rsidRDefault="0036116E" w:rsidP="001C3C01">
      <w:pPr>
        <w:spacing w:after="0" w:line="240" w:lineRule="auto"/>
      </w:pPr>
      <w:r>
        <w:separator/>
      </w:r>
    </w:p>
  </w:footnote>
  <w:footnote w:type="continuationSeparator" w:id="0">
    <w:p w14:paraId="01BC58AA" w14:textId="77777777" w:rsidR="0036116E" w:rsidRDefault="0036116E" w:rsidP="001C3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EA95" w14:textId="0ED3368F" w:rsidR="001C3C01" w:rsidRDefault="001C3C01">
    <w:pPr>
      <w:pStyle w:val="Header"/>
    </w:pPr>
    <w:r>
      <w:rPr>
        <w:noProof/>
      </w:rPr>
      <w:pict w14:anchorId="35656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65266" o:spid="_x0000_s2050" type="#_x0000_t136" style="position:absolute;margin-left:0;margin-top:0;width:605.5pt;height:64.8pt;rotation:315;z-index:-251655168;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62DF" w14:textId="276A5593" w:rsidR="001C3C01" w:rsidRDefault="001C3C01">
    <w:pPr>
      <w:pStyle w:val="Header"/>
    </w:pPr>
    <w:r>
      <w:rPr>
        <w:noProof/>
      </w:rPr>
      <w:pict w14:anchorId="79FE2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65267" o:spid="_x0000_s2051" type="#_x0000_t136" style="position:absolute;margin-left:0;margin-top:0;width:605.5pt;height:64.8pt;rotation:315;z-index:-251653120;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0EC3" w14:textId="0CD4E510" w:rsidR="001C3C01" w:rsidRDefault="001C3C01">
    <w:pPr>
      <w:pStyle w:val="Header"/>
    </w:pPr>
    <w:r>
      <w:rPr>
        <w:noProof/>
      </w:rPr>
      <w:pict w14:anchorId="72D91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65265" o:spid="_x0000_s2049" type="#_x0000_t136" style="position:absolute;margin-left:0;margin-top:0;width:605.5pt;height:64.8pt;rotation:315;z-index:-25165721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A7D72"/>
    <w:multiLevelType w:val="hybridMultilevel"/>
    <w:tmpl w:val="21BA3926"/>
    <w:lvl w:ilvl="0" w:tplc="C174295E">
      <w:start w:val="1"/>
      <w:numFmt w:val="decimal"/>
      <w:lvlText w:val="%1."/>
      <w:lvlJc w:val="left"/>
      <w:pPr>
        <w:tabs>
          <w:tab w:val="num" w:pos="900"/>
        </w:tabs>
        <w:ind w:left="540" w:hanging="360"/>
      </w:pPr>
    </w:lvl>
    <w:lvl w:ilvl="1" w:tplc="649AFEF4">
      <w:numFmt w:val="decimal"/>
      <w:lvlText w:val=""/>
      <w:lvlJc w:val="left"/>
    </w:lvl>
    <w:lvl w:ilvl="2" w:tplc="60680A9E">
      <w:numFmt w:val="decimal"/>
      <w:lvlText w:val=""/>
      <w:lvlJc w:val="left"/>
    </w:lvl>
    <w:lvl w:ilvl="3" w:tplc="92C2BD9E">
      <w:numFmt w:val="decimal"/>
      <w:lvlText w:val=""/>
      <w:lvlJc w:val="left"/>
    </w:lvl>
    <w:lvl w:ilvl="4" w:tplc="F1701088">
      <w:numFmt w:val="decimal"/>
      <w:lvlText w:val=""/>
      <w:lvlJc w:val="left"/>
    </w:lvl>
    <w:lvl w:ilvl="5" w:tplc="98C66FD4">
      <w:numFmt w:val="decimal"/>
      <w:lvlText w:val=""/>
      <w:lvlJc w:val="left"/>
    </w:lvl>
    <w:lvl w:ilvl="6" w:tplc="9F26FA42">
      <w:numFmt w:val="decimal"/>
      <w:lvlText w:val=""/>
      <w:lvlJc w:val="left"/>
    </w:lvl>
    <w:lvl w:ilvl="7" w:tplc="3CF617C6">
      <w:numFmt w:val="decimal"/>
      <w:lvlText w:val=""/>
      <w:lvlJc w:val="left"/>
    </w:lvl>
    <w:lvl w:ilvl="8" w:tplc="460223AA">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90"/>
    <w:rsid w:val="00122E0A"/>
    <w:rsid w:val="00193490"/>
    <w:rsid w:val="001B57C4"/>
    <w:rsid w:val="001C3C01"/>
    <w:rsid w:val="002319DD"/>
    <w:rsid w:val="002F22C5"/>
    <w:rsid w:val="00337B28"/>
    <w:rsid w:val="00337BD3"/>
    <w:rsid w:val="0036116E"/>
    <w:rsid w:val="003B5826"/>
    <w:rsid w:val="00414E1F"/>
    <w:rsid w:val="00424D80"/>
    <w:rsid w:val="00443247"/>
    <w:rsid w:val="00457DF0"/>
    <w:rsid w:val="0046644D"/>
    <w:rsid w:val="004876DA"/>
    <w:rsid w:val="005C5F90"/>
    <w:rsid w:val="0060425F"/>
    <w:rsid w:val="00610383"/>
    <w:rsid w:val="006160B9"/>
    <w:rsid w:val="0062742F"/>
    <w:rsid w:val="00642F49"/>
    <w:rsid w:val="006706B2"/>
    <w:rsid w:val="00672843"/>
    <w:rsid w:val="006943F5"/>
    <w:rsid w:val="00701BB1"/>
    <w:rsid w:val="00731D85"/>
    <w:rsid w:val="007C378E"/>
    <w:rsid w:val="007E597B"/>
    <w:rsid w:val="00815A2D"/>
    <w:rsid w:val="00865336"/>
    <w:rsid w:val="008A41C6"/>
    <w:rsid w:val="009101C1"/>
    <w:rsid w:val="0095036A"/>
    <w:rsid w:val="00953B53"/>
    <w:rsid w:val="00963A61"/>
    <w:rsid w:val="0098357A"/>
    <w:rsid w:val="00987B53"/>
    <w:rsid w:val="009C28A1"/>
    <w:rsid w:val="009F75A3"/>
    <w:rsid w:val="00A4597C"/>
    <w:rsid w:val="00A723CE"/>
    <w:rsid w:val="00A94E57"/>
    <w:rsid w:val="00BB2B54"/>
    <w:rsid w:val="00C501C4"/>
    <w:rsid w:val="00C7753C"/>
    <w:rsid w:val="00CA6AB7"/>
    <w:rsid w:val="00CB1DEF"/>
    <w:rsid w:val="00DF0933"/>
    <w:rsid w:val="00E249D9"/>
    <w:rsid w:val="00E72575"/>
    <w:rsid w:val="00EC14DE"/>
    <w:rsid w:val="00ED0D52"/>
    <w:rsid w:val="00F56C48"/>
    <w:rsid w:val="00F71A41"/>
    <w:rsid w:val="00FB2589"/>
    <w:rsid w:val="00FB7F10"/>
    <w:rsid w:val="00FC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8A0BED"/>
  <w15:docId w15:val="{406A9194-819B-4D81-ADF6-A5E61C2E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character" w:styleId="Hyperlink">
    <w:name w:val="Hyperlink"/>
    <w:basedOn w:val="DefaultParagraphFont"/>
    <w:uiPriority w:val="99"/>
    <w:unhideWhenUsed/>
    <w:rsid w:val="00CB1DEF"/>
    <w:rPr>
      <w:color w:val="467886" w:themeColor="hyperlink"/>
      <w:u w:val="single"/>
    </w:rPr>
  </w:style>
  <w:style w:type="character" w:styleId="UnresolvedMention">
    <w:name w:val="Unresolved Mention"/>
    <w:basedOn w:val="DefaultParagraphFont"/>
    <w:uiPriority w:val="99"/>
    <w:semiHidden/>
    <w:unhideWhenUsed/>
    <w:rsid w:val="00CB1DEF"/>
    <w:rPr>
      <w:color w:val="605E5C"/>
      <w:shd w:val="clear" w:color="auto" w:fill="E1DFDD"/>
    </w:rPr>
  </w:style>
  <w:style w:type="table" w:styleId="TableGrid">
    <w:name w:val="Table Grid"/>
    <w:basedOn w:val="TableNormal"/>
    <w:uiPriority w:val="39"/>
    <w:rsid w:val="00953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337B28"/>
    <w:pPr>
      <w:spacing w:after="0" w:line="240" w:lineRule="auto"/>
    </w:pPr>
    <w:rPr>
      <w:rFonts w:ascii="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337B28"/>
    <w:pPr>
      <w:spacing w:after="0" w:line="240" w:lineRule="auto"/>
    </w:pPr>
    <w:rPr>
      <w:rFonts w:ascii="Calibri" w:hAnsi="Calibri" w:cs="Times New Roman"/>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C01"/>
  </w:style>
  <w:style w:type="paragraph" w:styleId="Footer">
    <w:name w:val="footer"/>
    <w:basedOn w:val="Normal"/>
    <w:link w:val="FooterChar"/>
    <w:uiPriority w:val="99"/>
    <w:unhideWhenUsed/>
    <w:rsid w:val="001C3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4187</Words>
  <Characters>23869</Characters>
  <Application>Microsoft Office Word</Application>
  <DocSecurity>0</DocSecurity>
  <Lines>198</Lines>
  <Paragraphs>55</Paragraphs>
  <ScaleCrop>false</ScaleCrop>
  <HeadingPairs>
    <vt:vector size="4" baseType="variant">
      <vt:variant>
        <vt:lpstr>Title</vt:lpstr>
      </vt:variant>
      <vt:variant>
        <vt:i4>1</vt:i4>
      </vt:variant>
      <vt:variant>
        <vt:lpstr>Headings</vt:lpstr>
      </vt:variant>
      <vt:variant>
        <vt:i4>58</vt:i4>
      </vt:variant>
    </vt:vector>
  </HeadingPairs>
  <TitlesOfParts>
    <vt:vector size="59" baseType="lpstr">
      <vt:lpstr/>
      <vt:lpstr>2. Materials and Methods</vt:lpstr>
      <vt:lpstr>    2.1 Soil and Experimental Treatments</vt:lpstr>
      <vt:lpstr>    2.3 Plant Growth Assessment</vt:lpstr>
      <vt:lpstr>    2.4 Mineral Nitrogen and Nitrification</vt:lpstr>
      <vt:lpstr>    2.5 Microbial Population Analysis</vt:lpstr>
      <vt:lpstr>    2.6 Enzyme Activities</vt:lpstr>
      <vt:lpstr>    2.7 Statistical Analysis</vt:lpstr>
      <vt:lpstr>Results and Discussion</vt:lpstr>
      <vt:lpstr>    3.1 Soil Physicochemical Properties</vt:lpstr>
      <vt:lpstr>    3.2 Plant Growth Response</vt:lpstr>
      <vt:lpstr>    3.3 Mineral Nitrogen Dynamics</vt:lpstr>
      <vt:lpstr>    3.4    Microbial Population Dynamics</vt:lpstr>
      <vt:lpstr/>
      <vt:lpstr>References </vt:lpstr>
      <vt:lpstr>Warke, A., &amp; Wakgari, T. (2024). A Review on the Impact of Soil Acidification on</vt:lpstr>
      <vt:lpstr>Bedassa, T. A., Abebe, A. T., &amp; Tolessa, A. R. (2022). Tolerance to soil acidity</vt:lpstr>
      <vt:lpstr>Gurmu, G., Beyene, S., &amp; Selassie, Y. G. (2025). Aluminum stress and lime applic</vt:lpstr>
      <vt:lpstr>Wang, P., Xu, D., Lakshmanan, P., Deng, Y., Zhu, Q., &amp; Zhang, F. (2024). Mitigat</vt:lpstr>
      <vt:lpstr>Guerrero-Zurita, F., Enesi, R. O., Gill, K., Lopez, S., Nallanthighal, S. V., Mb</vt:lpstr>
      <vt:lpstr>Abdalla, K., Sun, Y., Zarebanadkouki, M., Gaiser, T., Seidel, S., &amp; Pausch, J. (</vt:lpstr>
      <vt:lpstr>Adam, G., &amp; Duncan, H. (2001). Development of a sensitive and rapid method for t</vt:lpstr>
      <vt:lpstr>Atav, V., Gürbüz, M. A., Kayalı, E., Yalınkılıç, E., Avcı, G. G., Aydın, B., ...</vt:lpstr>
      <vt:lpstr>Barbarick, K. A., et al. (1994). Effects of nitrogen fertilization on soil prope</vt:lpstr>
      <vt:lpstr>Burns, R. G., DeForest, J. L., Marxsen, J., Sinsabaugh, R. L., Stromberger, M. E</vt:lpstr>
      <vt:lpstr>Cai, Z., et al. (2017). Nitrogen cycling and nitrification processes in soil. So</vt:lpstr>
      <vt:lpstr>Cantrell, K. B., Hunt, P. G., Uchimiya, M., Novak, J. M., &amp; Ro, K. S. (2011). Im</vt:lpstr>
      <vt:lpstr>Casida, L. E., Klein, D. A., &amp; Santoro, T. (1964). Soil dehydrogenase activity. </vt:lpstr>
      <vt:lpstr>Engel, R., Jones, C., Wallander, R., &amp; Jackson, G. (2015). Urea transformation a</vt:lpstr>
      <vt:lpstr>Fu, X., Zhang, Y., &amp; Li, F. (2019). Nitrogen addition impacts soil carbon and ni</vt:lpstr>
      <vt:lpstr>Giannopoulos, G., &amp; Elsgaard, L. (2024). Impact of nitrapyrin on urea-based fert</vt:lpstr>
      <vt:lpstr>Guo, J. H., Liu, X. J., Zhang, Y., Shen, J. L., Han, W. X., Zhang, W. F., Christ</vt:lpstr>
      <vt:lpstr>Han, Y., Lv, M., Liu, J., He, S., Shi, W., Li, M., &amp; Gao, Z. (2025). Agronomic p</vt:lpstr>
      <vt:lpstr>Jiang, Y., Zhu, Y., Lin, W., &amp; Luo, J. (2024). Urea fertilization effects on nit</vt:lpstr>
      <vt:lpstr>Keeney, D. R., &amp; Nelson, D. W. (1982). Nitrogen—Inorganic forms. In A. L. Page e</vt:lpstr>
      <vt:lpstr>Li, X., Su, L., Jing, M., Wang, K., Song, C., &amp; Song, Y. (2025). Nitrogen additi</vt:lpstr>
      <vt:lpstr>Liu, L., Greaver, T. L., &amp; Zhang, W. (2014). Nitrogen enrichment impacts soil mi</vt:lpstr>
      <vt:lpstr>Marschner, H. (1995). Mineral nutrition of higher plants (2nd ed.). Academic Pre</vt:lpstr>
      <vt:lpstr>Mi, W., Luo, F., Liu, W., Qin, Y., Zhang, Y., Liu, K., &amp; Li, W. (2024). Nitrogen</vt:lpstr>
      <vt:lpstr>Miranda, K. M., Espey, M. G., &amp; Wink, D. A. (2001). A rapid, simple spectrophoto</vt:lpstr>
      <vt:lpstr>Motasim, A. M., Samsuri, A. W., Nabayi, A., &amp; Akter, A. (2024). Urea application</vt:lpstr>
      <vt:lpstr>Navarro, B. B., Machado, M. J., &amp; Figueira, A. (2025). Nitrogen use efficiency i</vt:lpstr>
      <vt:lpstr>Nelson, D. W., &amp; Sommers, L. E. (1996). Total carbon, organic carbon, and organi</vt:lpstr>
      <vt:lpstr>Page, A. L., Miller, R. H., &amp; Keeney, D. R. (1982). Methods of soil analysis. AS</vt:lpstr>
      <vt:lpstr>Paul, E. A., &amp; Clark, F. E. (1996). Soil microbiology and biochemistry (2nd ed.)</vt:lpstr>
      <vt:lpstr>Shi, H., Liu, G., &amp; Chen, Q. (2024). Research trends in nitrification inhibitors</vt:lpstr>
      <vt:lpstr>Song, X., Ju, X., Topp, C. F. E., &amp; Rees, R. M. (2018). Nitrogen transformations</vt:lpstr>
      <vt:lpstr>Sun, R., Guo, X., Wang, D., &amp; Chu, H. (2019). Effects of long-term nitrogen fert</vt:lpstr>
      <vt:lpstr>Tabatabai, M. A., &amp; Bremner, J. M. (1972). Assay of urease activity in soils. So</vt:lpstr>
      <vt:lpstr>Venterea, R. T., Coulter, J. A., &amp; Dolan, M. S. (2018). Nitrogen losses and envi</vt:lpstr>
      <vt:lpstr>Vráblíková, J., et al. (1980). Effect of nitrogen fertilization on soil microorg</vt:lpstr>
      <vt:lpstr>Wollum, A. G. (1982). Cultural methods for soil microorganisms. In A. L. Page et</vt:lpstr>
      <vt:lpstr>Zhao, X., et al. (2022). Soil enzyme activity under nitrogen fertilization. Appl</vt:lpstr>
      <vt:lpstr/>
      <vt:lpstr>        </vt:lpstr>
      <vt:lpstr>        </vt:lpstr>
      <vt:lpstr>        Table 1. Soil physicochemical properties under urea treatments</vt:lpstr>
      <vt:lpstr>    </vt:lpstr>
      <vt: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Saideep Thallapally</dc:creator>
  <cp:keywords>html-to-docx</cp:keywords>
  <dc:description/>
  <cp:lastModifiedBy>SDI 1084</cp:lastModifiedBy>
  <cp:revision>6</cp:revision>
  <dcterms:created xsi:type="dcterms:W3CDTF">2026-04-06T06:06:00Z</dcterms:created>
  <dcterms:modified xsi:type="dcterms:W3CDTF">2026-04-07T13:39:00Z</dcterms:modified>
</cp:coreProperties>
</file>