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D815D" w14:textId="77777777" w:rsidR="00796D56" w:rsidRPr="00796D56" w:rsidRDefault="00796D56" w:rsidP="00796D56">
      <w:pPr>
        <w:spacing w:line="360" w:lineRule="auto"/>
        <w:jc w:val="both"/>
        <w:rPr>
          <w:rFonts w:ascii="Times New Roman" w:eastAsia="Times New Roman" w:hAnsi="Times New Roman" w:cs="Times New Roman"/>
          <w:b/>
          <w:bCs/>
          <w:i/>
          <w:iCs/>
          <w:u w:val="single"/>
          <w:lang w:val="en-US"/>
        </w:rPr>
      </w:pPr>
      <w:r w:rsidRPr="00796D56">
        <w:rPr>
          <w:rFonts w:ascii="Times New Roman" w:eastAsia="Times New Roman" w:hAnsi="Times New Roman" w:cs="Times New Roman"/>
          <w:b/>
          <w:bCs/>
          <w:i/>
          <w:iCs/>
          <w:u w:val="single"/>
          <w:lang w:val="en-US"/>
        </w:rPr>
        <w:t>Original Research Article</w:t>
      </w:r>
    </w:p>
    <w:p w14:paraId="5E100867" w14:textId="49AA7987" w:rsidR="0099756F" w:rsidRPr="0099756F" w:rsidRDefault="0099756F">
      <w:pPr>
        <w:spacing w:line="360" w:lineRule="auto"/>
        <w:jc w:val="both"/>
        <w:rPr>
          <w:rFonts w:ascii="Garamond" w:eastAsia="Garamond" w:hAnsi="Garamond" w:cs="Garamond"/>
          <w:b/>
          <w:bCs/>
        </w:rPr>
      </w:pPr>
      <w:r w:rsidRPr="0099756F">
        <w:rPr>
          <w:rFonts w:ascii="Times New Roman" w:eastAsia="Times New Roman" w:hAnsi="Times New Roman" w:cs="Times New Roman"/>
          <w:b/>
          <w:bCs/>
        </w:rPr>
        <w:t>The influence of flooding on food security in Baringo County Kenya</w:t>
      </w:r>
    </w:p>
    <w:p w14:paraId="50B9F6C0" w14:textId="77777777" w:rsidR="0099756F" w:rsidRDefault="0099756F">
      <w:pPr>
        <w:spacing w:line="360" w:lineRule="auto"/>
        <w:jc w:val="both"/>
        <w:rPr>
          <w:rFonts w:ascii="Garamond" w:eastAsia="Garamond" w:hAnsi="Garamond" w:cs="Garamond"/>
          <w:b/>
          <w:bCs/>
          <w:sz w:val="24"/>
          <w:szCs w:val="24"/>
        </w:rPr>
      </w:pPr>
    </w:p>
    <w:p w14:paraId="5E17948B" w14:textId="77777777" w:rsidR="0099756F" w:rsidRDefault="0099756F">
      <w:pPr>
        <w:spacing w:line="360" w:lineRule="auto"/>
        <w:jc w:val="both"/>
        <w:rPr>
          <w:rFonts w:ascii="Garamond" w:eastAsia="Garamond" w:hAnsi="Garamond" w:cs="Garamond"/>
          <w:b/>
          <w:bCs/>
          <w:sz w:val="24"/>
          <w:szCs w:val="24"/>
        </w:rPr>
      </w:pPr>
    </w:p>
    <w:p w14:paraId="0497CF45" w14:textId="77777777" w:rsidR="00B606BF" w:rsidRDefault="00B606BF">
      <w:pPr>
        <w:spacing w:line="360" w:lineRule="auto"/>
        <w:jc w:val="both"/>
        <w:rPr>
          <w:rFonts w:ascii="Garamond" w:eastAsia="Garamond" w:hAnsi="Garamond" w:cs="Garamond"/>
          <w:b/>
          <w:bCs/>
          <w:sz w:val="24"/>
          <w:szCs w:val="24"/>
        </w:rPr>
      </w:pPr>
    </w:p>
    <w:p w14:paraId="4D79A79C" w14:textId="241CEC09" w:rsidR="00203701" w:rsidRDefault="003D14C2">
      <w:pPr>
        <w:spacing w:line="360" w:lineRule="auto"/>
        <w:jc w:val="both"/>
        <w:rPr>
          <w:rFonts w:ascii="Garamond" w:eastAsia="Garamond" w:hAnsi="Garamond" w:cs="Garamond"/>
          <w:b/>
          <w:bCs/>
          <w:sz w:val="24"/>
          <w:szCs w:val="24"/>
        </w:rPr>
      </w:pPr>
      <w:bookmarkStart w:id="0" w:name="_GoBack"/>
      <w:bookmarkEnd w:id="0"/>
      <w:r>
        <w:rPr>
          <w:rFonts w:ascii="Garamond" w:eastAsia="Garamond" w:hAnsi="Garamond" w:cs="Garamond"/>
          <w:b/>
          <w:bCs/>
          <w:sz w:val="24"/>
          <w:szCs w:val="24"/>
        </w:rPr>
        <w:t xml:space="preserve">Abstract </w:t>
      </w:r>
    </w:p>
    <w:p w14:paraId="4F1FF00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Climate change continues to pose a significant global threat to food security, particularly in developing countries where livelihoods depend heavily on agriculture. In Kenya, flood-prone regions such as Baringo County have experienced increasing climate va</w:t>
      </w:r>
      <w:r>
        <w:rPr>
          <w:rFonts w:ascii="Garamond" w:eastAsia="Garamond" w:hAnsi="Garamond" w:cs="Garamond"/>
          <w:color w:val="000000"/>
          <w:sz w:val="24"/>
          <w:szCs w:val="24"/>
        </w:rPr>
        <w:t>riability, with recurrent flooding severely disrupting agricultural production and household livelihoods. Flood events undermine the four key dimensions of food security availability, access, utilization, and stability thereby increasing vulnerability amon</w:t>
      </w:r>
      <w:r>
        <w:rPr>
          <w:rFonts w:ascii="Garamond" w:eastAsia="Garamond" w:hAnsi="Garamond" w:cs="Garamond"/>
          <w:color w:val="000000"/>
          <w:sz w:val="24"/>
          <w:szCs w:val="24"/>
        </w:rPr>
        <w:t>g affected populations. Despite the growing frequency and intensity of floods, there is limited empirical evidence examining the relationship between flooding and food security in Baringo County. This study focuses on Baringo South Sub-County, an area high</w:t>
      </w:r>
      <w:r>
        <w:rPr>
          <w:rFonts w:ascii="Garamond" w:eastAsia="Garamond" w:hAnsi="Garamond" w:cs="Garamond"/>
          <w:color w:val="000000"/>
          <w:sz w:val="24"/>
          <w:szCs w:val="24"/>
        </w:rPr>
        <w:t xml:space="preserve">ly susceptible to flooding due to its proximity to Lakes Baringo and </w:t>
      </w:r>
      <w:proofErr w:type="spellStart"/>
      <w:r>
        <w:rPr>
          <w:rFonts w:ascii="Garamond" w:eastAsia="Garamond" w:hAnsi="Garamond" w:cs="Garamond"/>
          <w:color w:val="000000"/>
          <w:sz w:val="24"/>
          <w:szCs w:val="24"/>
        </w:rPr>
        <w:t>Bogoria</w:t>
      </w:r>
      <w:proofErr w:type="spellEnd"/>
      <w:r>
        <w:rPr>
          <w:rFonts w:ascii="Garamond" w:eastAsia="Garamond" w:hAnsi="Garamond" w:cs="Garamond"/>
          <w:color w:val="000000"/>
          <w:sz w:val="24"/>
          <w:szCs w:val="24"/>
        </w:rPr>
        <w:t>. The research aims to assess the frequency, causes, and extent of flooding, examine household vulnerability and adaptive capacity, identify determinants of food security, and eval</w:t>
      </w:r>
      <w:r>
        <w:rPr>
          <w:rFonts w:ascii="Garamond" w:eastAsia="Garamond" w:hAnsi="Garamond" w:cs="Garamond"/>
          <w:color w:val="000000"/>
          <w:sz w:val="24"/>
          <w:szCs w:val="24"/>
        </w:rPr>
        <w:t>uate the overall impact of flooding on food security. The study is guided by the hypothesis that there is no significant relationship between flooding and food security.</w:t>
      </w:r>
    </w:p>
    <w:p w14:paraId="17471229"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color w:val="000000"/>
          <w:sz w:val="24"/>
          <w:szCs w:val="24"/>
        </w:rPr>
        <w:t>Keywords:</w:t>
      </w:r>
      <w:r>
        <w:rPr>
          <w:rFonts w:ascii="Garamond" w:eastAsia="Garamond" w:hAnsi="Garamond" w:cs="Garamond"/>
          <w:b/>
          <w:bCs/>
          <w:color w:val="000000"/>
          <w:sz w:val="24"/>
          <w:szCs w:val="24"/>
        </w:rPr>
        <w:t xml:space="preserve"> Flooding, climate variability, natural disasters, agricultural loss, food se</w:t>
      </w:r>
      <w:r>
        <w:rPr>
          <w:rFonts w:ascii="Garamond" w:eastAsia="Garamond" w:hAnsi="Garamond" w:cs="Garamond"/>
          <w:b/>
          <w:bCs/>
          <w:color w:val="000000"/>
          <w:sz w:val="24"/>
          <w:szCs w:val="24"/>
        </w:rPr>
        <w:t>curity</w:t>
      </w:r>
    </w:p>
    <w:p w14:paraId="1C90606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1.0. Introduction </w:t>
      </w:r>
    </w:p>
    <w:p w14:paraId="69CFEB8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1.1. Flooding and Food Security </w:t>
      </w:r>
    </w:p>
    <w:p w14:paraId="688C2B4E"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is a major global environmental hazard that occurs when excess water inundates normally dry land, often due to irregular rainfall, snowmelt, or storm surges (World Health Organization, 202</w:t>
      </w:r>
      <w:r>
        <w:rPr>
          <w:rFonts w:ascii="Garamond" w:eastAsia="Garamond" w:hAnsi="Garamond" w:cs="Garamond"/>
          <w:sz w:val="24"/>
          <w:szCs w:val="24"/>
        </w:rPr>
        <w:t>4; Amerasinghe et al., 2020). Water-related disasters account for a large proportion of natural hazards, affecting billions of people and causing significant mortality and livelihood disruption (Food and Agriculture Organization of the United Nations [FAO]</w:t>
      </w:r>
      <w:r>
        <w:rPr>
          <w:rFonts w:ascii="Garamond" w:eastAsia="Garamond" w:hAnsi="Garamond" w:cs="Garamond"/>
          <w:sz w:val="24"/>
          <w:szCs w:val="24"/>
        </w:rPr>
        <w:t xml:space="preserve">, 2021b). The frequency of floods has increased over time, reflecting intensifying climate variability and environmental change (FAO, 2021b; </w:t>
      </w:r>
      <w:r>
        <w:rPr>
          <w:rFonts w:ascii="Garamond" w:eastAsia="Garamond" w:hAnsi="Garamond" w:cs="Garamond"/>
          <w:sz w:val="24"/>
          <w:szCs w:val="24"/>
        </w:rPr>
        <w:lastRenderedPageBreak/>
        <w:t xml:space="preserve">Intergovernmental Panel on Climate Change [IPCC], 2022). Flooding leads to destruction of crops, livestock losses, </w:t>
      </w:r>
      <w:r>
        <w:rPr>
          <w:rFonts w:ascii="Garamond" w:eastAsia="Garamond" w:hAnsi="Garamond" w:cs="Garamond"/>
          <w:sz w:val="24"/>
          <w:szCs w:val="24"/>
        </w:rPr>
        <w:t>infrastructure damage, and disruption of food systems (IPCC, 2020). Consequently, floods pose a major threat to food security and undermine global efforts to achieve zero hunger targets (Relief Web, 2023; FAO, 2021b).</w:t>
      </w:r>
    </w:p>
    <w:p w14:paraId="64663A2F"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1.2. Global and Regional Food </w:t>
      </w:r>
      <w:r>
        <w:rPr>
          <w:rFonts w:ascii="Garamond" w:eastAsia="Garamond" w:hAnsi="Garamond" w:cs="Garamond"/>
          <w:b/>
          <w:bCs/>
          <w:sz w:val="24"/>
          <w:szCs w:val="24"/>
        </w:rPr>
        <w:t>Insecurity Trends</w:t>
      </w:r>
    </w:p>
    <w:p w14:paraId="40D2F7AA"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Food security refers to consistent access to sufficient, safe, and nutritious food, yet climate shocks continue to undermine this goal (Relief Web, 2023; FAO, 2021a). Globally, hundreds of millions of people remain undernourished, while b</w:t>
      </w:r>
      <w:r>
        <w:rPr>
          <w:rFonts w:ascii="Garamond" w:eastAsia="Garamond" w:hAnsi="Garamond" w:cs="Garamond"/>
          <w:sz w:val="24"/>
          <w:szCs w:val="24"/>
        </w:rPr>
        <w:t xml:space="preserve">illions experience moderate to severe food insecurity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xml:space="preserve"> &amp; UNICEF, 2018; World Health Organization &amp;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FAOSTAT (2020) further highlights that a significant proportion of the global population faces food insecur</w:t>
      </w:r>
      <w:r>
        <w:rPr>
          <w:rFonts w:ascii="Garamond" w:eastAsia="Garamond" w:hAnsi="Garamond" w:cs="Garamond"/>
          <w:sz w:val="24"/>
          <w:szCs w:val="24"/>
        </w:rPr>
        <w:t>ity pressures. In Africa, food insecurity remains widespread due to climate variability, conflict, and economic instability (FAO, 2020). Eastern and Central Africa are particularly affected, with high vulnerability levels driven by environmental and socioe</w:t>
      </w:r>
      <w:r>
        <w:rPr>
          <w:rFonts w:ascii="Garamond" w:eastAsia="Garamond" w:hAnsi="Garamond" w:cs="Garamond"/>
          <w:sz w:val="24"/>
          <w:szCs w:val="24"/>
        </w:rPr>
        <w:t>conomic pressures (Perez et al., 2019; FAO, 2020).</w:t>
      </w:r>
    </w:p>
    <w:p w14:paraId="7873FF62"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1.3. Flooding and Food Security in Africa and Kenya</w:t>
      </w:r>
    </w:p>
    <w:p w14:paraId="15194F83"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has significantly affected food security across Africa by displacing populations and destroying agricultural systems (Anabaraonye, 2020). In </w:t>
      </w:r>
      <w:r>
        <w:rPr>
          <w:rFonts w:ascii="Garamond" w:eastAsia="Garamond" w:hAnsi="Garamond" w:cs="Garamond"/>
          <w:sz w:val="24"/>
          <w:szCs w:val="24"/>
        </w:rPr>
        <w:t>Nigeria, major flood events have led to widespread displacement and agricultural losses, worsening food insecurity (Anabaraonye, 2020). In Kenya, floods have caused extensive destruction of crops and livestock, undermining rural livelihoods (Kenya Red Cros</w:t>
      </w:r>
      <w:r>
        <w:rPr>
          <w:rFonts w:ascii="Garamond" w:eastAsia="Garamond" w:hAnsi="Garamond" w:cs="Garamond"/>
          <w:sz w:val="24"/>
          <w:szCs w:val="24"/>
        </w:rPr>
        <w:t>s Society, 2019). The country is highly vulnerable to climate change impacts, including flooding (Notre Dame Global Adaptation Initiative, 2023). Historical flood events have also contributed to economic losses and reduced agricultural productivity (Muia e</w:t>
      </w:r>
      <w:r>
        <w:rPr>
          <w:rFonts w:ascii="Garamond" w:eastAsia="Garamond" w:hAnsi="Garamond" w:cs="Garamond"/>
          <w:sz w:val="24"/>
          <w:szCs w:val="24"/>
        </w:rPr>
        <w:t>t al., 2020; Opere, 2019).</w:t>
      </w:r>
    </w:p>
    <w:p w14:paraId="070C0047"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1.4. Flooding and Food Security in Baringo County</w:t>
      </w:r>
    </w:p>
    <w:p w14:paraId="7273534B"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Baringo County experiences recurrent flooding linked to rising lake levels and increased rainfall variability (Opere, 2019). These floods have destroyed farmland, infrastructure, </w:t>
      </w:r>
      <w:r>
        <w:rPr>
          <w:rFonts w:ascii="Garamond" w:eastAsia="Garamond" w:hAnsi="Garamond" w:cs="Garamond"/>
          <w:sz w:val="24"/>
          <w:szCs w:val="24"/>
        </w:rPr>
        <w:t>and biodiversity, affecting household livelihoods. The expansion of Lake Baringo has further increased exposure of settlements and agricultural land to flooding risks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These environmental </w:t>
      </w:r>
      <w:r>
        <w:rPr>
          <w:rFonts w:ascii="Garamond" w:eastAsia="Garamond" w:hAnsi="Garamond" w:cs="Garamond"/>
          <w:sz w:val="24"/>
          <w:szCs w:val="24"/>
        </w:rPr>
        <w:lastRenderedPageBreak/>
        <w:t>changes have reduced agricultural producti</w:t>
      </w:r>
      <w:r>
        <w:rPr>
          <w:rFonts w:ascii="Garamond" w:eastAsia="Garamond" w:hAnsi="Garamond" w:cs="Garamond"/>
          <w:sz w:val="24"/>
          <w:szCs w:val="24"/>
        </w:rPr>
        <w:t>vity and grazing land availability, increasing food insecurity. However, limited empirical research exists on the direct flooding–food security nexus in the region.</w:t>
      </w:r>
    </w:p>
    <w:p w14:paraId="4D4F6A98" w14:textId="77777777" w:rsidR="00203701" w:rsidRDefault="003D14C2">
      <w:pPr>
        <w:spacing w:line="360" w:lineRule="auto"/>
        <w:jc w:val="both"/>
        <w:rPr>
          <w:rFonts w:ascii="Garamond" w:eastAsia="Garamond" w:hAnsi="Garamond" w:cs="Garamond"/>
          <w:b/>
          <w:bCs/>
          <w:sz w:val="24"/>
          <w:szCs w:val="24"/>
        </w:rPr>
      </w:pPr>
      <w:bookmarkStart w:id="1" w:name="_cxbq98gzq72p" w:colFirst="0" w:colLast="0"/>
      <w:bookmarkEnd w:id="1"/>
      <w:r>
        <w:rPr>
          <w:rFonts w:ascii="Garamond" w:eastAsia="Garamond" w:hAnsi="Garamond" w:cs="Garamond"/>
          <w:b/>
          <w:bCs/>
          <w:sz w:val="24"/>
          <w:szCs w:val="24"/>
        </w:rPr>
        <w:t>1.5. Statement of the Problem</w:t>
      </w:r>
    </w:p>
    <w:p w14:paraId="7AB916EB"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Baringo County is increasingly affected by climate variabilit</w:t>
      </w:r>
      <w:r>
        <w:rPr>
          <w:rFonts w:ascii="Garamond" w:eastAsia="Garamond" w:hAnsi="Garamond" w:cs="Garamond"/>
          <w:sz w:val="24"/>
          <w:szCs w:val="24"/>
        </w:rPr>
        <w:t>y characterized by alternating droughts and floods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Rising rainfall patterns have contributed to increased flooding frequency and lake expansion. This has led to land degradation, water quality challenges, and displacement of comm</w:t>
      </w:r>
      <w:r>
        <w:rPr>
          <w:rFonts w:ascii="Garamond" w:eastAsia="Garamond" w:hAnsi="Garamond" w:cs="Garamond"/>
          <w:sz w:val="24"/>
          <w:szCs w:val="24"/>
        </w:rPr>
        <w:t>unities. Irrigation schemes supporting thousands of households have also been affected (</w:t>
      </w:r>
      <w:proofErr w:type="spellStart"/>
      <w:r>
        <w:rPr>
          <w:rFonts w:ascii="Garamond" w:eastAsia="Garamond" w:hAnsi="Garamond" w:cs="Garamond"/>
          <w:sz w:val="24"/>
          <w:szCs w:val="24"/>
        </w:rPr>
        <w:t>Herrnegger</w:t>
      </w:r>
      <w:proofErr w:type="spellEnd"/>
      <w:r>
        <w:rPr>
          <w:rFonts w:ascii="Garamond" w:eastAsia="Garamond" w:hAnsi="Garamond" w:cs="Garamond"/>
          <w:sz w:val="24"/>
          <w:szCs w:val="24"/>
        </w:rPr>
        <w:t xml:space="preserve"> et al., 2021). Additionally, large-scale crop destruction has threatened food security and livelihoods in the region (Muia, 2021).</w:t>
      </w:r>
    </w:p>
    <w:p w14:paraId="29B11D13"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1.6. Research Questions</w:t>
      </w:r>
    </w:p>
    <w:p w14:paraId="0AB5245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w:t>
      </w:r>
      <w:r>
        <w:rPr>
          <w:rFonts w:ascii="Garamond" w:eastAsia="Garamond" w:hAnsi="Garamond" w:cs="Garamond"/>
          <w:color w:val="000000"/>
          <w:sz w:val="24"/>
          <w:szCs w:val="24"/>
        </w:rPr>
        <w:t>e study seeks to examine the frequency and extent of flooding in Baringo County and its implications for livelihoods. It explores how household vulnerability and adaptive capacity differ across the region in response to climate shocks. The research also in</w:t>
      </w:r>
      <w:r>
        <w:rPr>
          <w:rFonts w:ascii="Garamond" w:eastAsia="Garamond" w:hAnsi="Garamond" w:cs="Garamond"/>
          <w:color w:val="000000"/>
          <w:sz w:val="24"/>
          <w:szCs w:val="24"/>
        </w:rPr>
        <w:t>vestigates the key determinants influencing food security among households. Furthermore, it examines the relationship between flooding and food insecurity in the county. These questions aim to generate evidence for understanding the complex interaction bet</w:t>
      </w:r>
      <w:r>
        <w:rPr>
          <w:rFonts w:ascii="Garamond" w:eastAsia="Garamond" w:hAnsi="Garamond" w:cs="Garamond"/>
          <w:color w:val="000000"/>
          <w:sz w:val="24"/>
          <w:szCs w:val="24"/>
        </w:rPr>
        <w:t>ween environmental hazards and food systems.</w:t>
      </w:r>
    </w:p>
    <w:p w14:paraId="6240E20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1.7. Objectives of the Study</w:t>
      </w:r>
    </w:p>
    <w:p w14:paraId="6E2CAD2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general objective of the study is to assess the impact of flooding on food security in Baringo County, Kenya. Specifically, the study aims to determine the frequency, causes, and</w:t>
      </w:r>
      <w:r>
        <w:rPr>
          <w:rFonts w:ascii="Garamond" w:eastAsia="Garamond" w:hAnsi="Garamond" w:cs="Garamond"/>
          <w:color w:val="000000"/>
          <w:sz w:val="24"/>
          <w:szCs w:val="24"/>
        </w:rPr>
        <w:t xml:space="preserve"> extent of flooding in the region. It also seeks to examine variations in household vulnerability and adaptive capacity to flooding. Additionally, the study identifies key factors influencing food security status among households. Finally, it evaluates the</w:t>
      </w:r>
      <w:r>
        <w:rPr>
          <w:rFonts w:ascii="Garamond" w:eastAsia="Garamond" w:hAnsi="Garamond" w:cs="Garamond"/>
          <w:color w:val="000000"/>
          <w:sz w:val="24"/>
          <w:szCs w:val="24"/>
        </w:rPr>
        <w:t xml:space="preserve"> direct effects of flooding on food security outcomes in the county.</w:t>
      </w:r>
    </w:p>
    <w:p w14:paraId="42FC170C"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1.8. Research Hypothesis</w:t>
      </w:r>
    </w:p>
    <w:p w14:paraId="5C0D0BB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is guided by the null hypothesis that there is no significant relationship between flooding and food security in Baringo County. This hypothesis provide</w:t>
      </w:r>
      <w:r>
        <w:rPr>
          <w:rFonts w:ascii="Garamond" w:eastAsia="Garamond" w:hAnsi="Garamond" w:cs="Garamond"/>
          <w:color w:val="000000"/>
          <w:sz w:val="24"/>
          <w:szCs w:val="24"/>
        </w:rPr>
        <w:t xml:space="preserve">s a basis for statistical testing and empirical analysis. It assumes that flooding does not significantly influence food availability, access, or </w:t>
      </w:r>
      <w:r>
        <w:rPr>
          <w:rFonts w:ascii="Garamond" w:eastAsia="Garamond" w:hAnsi="Garamond" w:cs="Garamond"/>
          <w:color w:val="000000"/>
          <w:sz w:val="24"/>
          <w:szCs w:val="24"/>
        </w:rPr>
        <w:lastRenderedPageBreak/>
        <w:t>utilization. However, existing literature suggests a likely relationship between climate hazards and food inse</w:t>
      </w:r>
      <w:r>
        <w:rPr>
          <w:rFonts w:ascii="Garamond" w:eastAsia="Garamond" w:hAnsi="Garamond" w:cs="Garamond"/>
          <w:color w:val="000000"/>
          <w:sz w:val="24"/>
          <w:szCs w:val="24"/>
        </w:rPr>
        <w:t>curity (IPCC, 2020). Testing this hypothesis will help validate or refute these assumptions within the local context.</w:t>
      </w:r>
    </w:p>
    <w:p w14:paraId="7B864117"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1.9. Significance of the Study</w:t>
      </w:r>
    </w:p>
    <w:p w14:paraId="687C0D9C"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This study contributes to a better understanding of how flooding affects food security in Baringo County, w</w:t>
      </w:r>
      <w:r>
        <w:rPr>
          <w:rFonts w:ascii="Garamond" w:eastAsia="Garamond" w:hAnsi="Garamond" w:cs="Garamond"/>
          <w:color w:val="000000"/>
          <w:sz w:val="24"/>
          <w:szCs w:val="24"/>
        </w:rPr>
        <w:t>here limited empirical data currently exists. The findings support the development of effective mitigation and adaptation strategies to enhance community resilience. The research also raises awareness among local populations on sustainable coping mechanism</w:t>
      </w:r>
      <w:r>
        <w:rPr>
          <w:rFonts w:ascii="Garamond" w:eastAsia="Garamond" w:hAnsi="Garamond" w:cs="Garamond"/>
          <w:color w:val="000000"/>
          <w:sz w:val="24"/>
          <w:szCs w:val="24"/>
        </w:rPr>
        <w:t>s and disaster preparedness. Additionally, it provides valuable insights for policymakers, NGOs, and government agencies such as the Ministries of Agriculture and Environment. Ultimately, the study adds to the broader body of knowledge on climate change, f</w:t>
      </w:r>
      <w:r>
        <w:rPr>
          <w:rFonts w:ascii="Garamond" w:eastAsia="Garamond" w:hAnsi="Garamond" w:cs="Garamond"/>
          <w:color w:val="000000"/>
          <w:sz w:val="24"/>
          <w:szCs w:val="24"/>
        </w:rPr>
        <w:t>looding, and food security.</w:t>
      </w:r>
    </w:p>
    <w:p w14:paraId="7A22F60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2.0. Literature Review </w:t>
      </w:r>
    </w:p>
    <w:p w14:paraId="2A4675DE"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2.1. Theoretical framework </w:t>
      </w:r>
    </w:p>
    <w:p w14:paraId="6C24860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The study is anchored on a conceptual framework that links flooding to food insecurity through its impacts on agricultural production, livelihoods, infrastructure, and health c</w:t>
      </w:r>
      <w:r>
        <w:rPr>
          <w:rFonts w:ascii="Garamond" w:eastAsia="Garamond" w:hAnsi="Garamond" w:cs="Garamond"/>
          <w:color w:val="000000"/>
          <w:sz w:val="24"/>
          <w:szCs w:val="24"/>
        </w:rPr>
        <w:t>onditions. Flooding leads to crop destruction, livestock losses, and displacement, which in turn affect food availability and access, while poor sanitation and water contamination compromise food utilization and stability. Review of literature highlights t</w:t>
      </w:r>
      <w:r>
        <w:rPr>
          <w:rFonts w:ascii="Garamond" w:eastAsia="Garamond" w:hAnsi="Garamond" w:cs="Garamond"/>
          <w:color w:val="000000"/>
          <w:sz w:val="24"/>
          <w:szCs w:val="24"/>
        </w:rPr>
        <w:t>hat flooding is driven by both natural and human-induced factors, including excessive rainfall, poor land use practices, and environmental degradation. Vulnerability to flooding is influenced by socioeconomic and institutional factors such as income, educa</w:t>
      </w:r>
      <w:r>
        <w:rPr>
          <w:rFonts w:ascii="Garamond" w:eastAsia="Garamond" w:hAnsi="Garamond" w:cs="Garamond"/>
          <w:color w:val="000000"/>
          <w:sz w:val="24"/>
          <w:szCs w:val="24"/>
        </w:rPr>
        <w:t>tion, gender, and access to resources. Adaptation strategies range from structural measures like dykes to ecosystem-based approaches such as watershed restoration. However, existing studies have largely focused on socioeconomic determinants of food securit</w:t>
      </w:r>
      <w:r>
        <w:rPr>
          <w:rFonts w:ascii="Garamond" w:eastAsia="Garamond" w:hAnsi="Garamond" w:cs="Garamond"/>
          <w:color w:val="000000"/>
          <w:sz w:val="24"/>
          <w:szCs w:val="24"/>
        </w:rPr>
        <w:t>y, with limited attention to environmental shocks like flooding, particularly in the Kenyan context.</w:t>
      </w:r>
    </w:p>
    <w:p w14:paraId="5035FC0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2.2. Causes, Occurrence, and Magnitude of Floods in Baringo County</w:t>
      </w:r>
    </w:p>
    <w:p w14:paraId="42136C58"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is caused by heavy rainfall, river overflow, and environmental degradation (FAO</w:t>
      </w:r>
      <w:r>
        <w:rPr>
          <w:rFonts w:ascii="Garamond" w:eastAsia="Garamond" w:hAnsi="Garamond" w:cs="Garamond"/>
          <w:sz w:val="24"/>
          <w:szCs w:val="24"/>
        </w:rPr>
        <w:t xml:space="preserve">, 2021b). Its impacts include crop destruction, land degradation, and loss of human and animal life (IPCC, 2020). </w:t>
      </w:r>
      <w:r>
        <w:rPr>
          <w:rFonts w:ascii="Garamond" w:eastAsia="Garamond" w:hAnsi="Garamond" w:cs="Garamond"/>
          <w:sz w:val="24"/>
          <w:szCs w:val="24"/>
        </w:rPr>
        <w:lastRenderedPageBreak/>
        <w:t xml:space="preserve">Human activities such as deforestation and poor land use intensify flood severity (United Nations Environment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xml:space="preserve">, 2021). Vulnerability </w:t>
      </w:r>
      <w:r>
        <w:rPr>
          <w:rFonts w:ascii="Garamond" w:eastAsia="Garamond" w:hAnsi="Garamond" w:cs="Garamond"/>
          <w:sz w:val="24"/>
          <w:szCs w:val="24"/>
        </w:rPr>
        <w:t>is higher in low-lying and riparian areas (Perez et al., 2019). In Kenya, flooding significantly disrupts agriculture and food systems (Muia et al., 2020).</w:t>
      </w:r>
    </w:p>
    <w:p w14:paraId="7E303BD7" w14:textId="77777777" w:rsidR="00203701" w:rsidRDefault="00203701">
      <w:pPr>
        <w:spacing w:after="0" w:line="360" w:lineRule="auto"/>
        <w:jc w:val="both"/>
        <w:rPr>
          <w:rFonts w:ascii="Garamond" w:eastAsia="Garamond" w:hAnsi="Garamond" w:cs="Garamond"/>
          <w:sz w:val="24"/>
          <w:szCs w:val="24"/>
        </w:rPr>
      </w:pPr>
    </w:p>
    <w:p w14:paraId="1B749913"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2.3. Vulnerability and Adaptation</w:t>
      </w:r>
    </w:p>
    <w:p w14:paraId="63212C04"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Vulnerability refers to the susceptibility of systems to climate hazards, influenced by exposure, sensitivity, and adaptive capacity (IPCC, 2020). It varies across socioeconomic and environmental contexts (United Nations Environment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2021). Adapt</w:t>
      </w:r>
      <w:r>
        <w:rPr>
          <w:rFonts w:ascii="Garamond" w:eastAsia="Garamond" w:hAnsi="Garamond" w:cs="Garamond"/>
          <w:sz w:val="24"/>
          <w:szCs w:val="24"/>
        </w:rPr>
        <w:t>ation strategies include early warning systems, land-use planning, and ecosystem restoration (UNEP, 2021). Nature-based solutions improve resilience to flooding (UNEP, 2021). However, social inequality continues to limit adaptive capacity in many communiti</w:t>
      </w:r>
      <w:r>
        <w:rPr>
          <w:rFonts w:ascii="Garamond" w:eastAsia="Garamond" w:hAnsi="Garamond" w:cs="Garamond"/>
          <w:sz w:val="24"/>
          <w:szCs w:val="24"/>
        </w:rPr>
        <w:t>es (IPCC, 2022).</w:t>
      </w:r>
    </w:p>
    <w:p w14:paraId="0AA2858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2.4. Factors Affecting Food Security Status in Baringo County</w:t>
      </w:r>
    </w:p>
    <w:p w14:paraId="17EA1B83"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Food security is determined by four key pillars: availability, access, utilization, and stability (FAO, 2021). Availability refers to sufficient food supply from production, mar</w:t>
      </w:r>
      <w:r>
        <w:rPr>
          <w:rFonts w:ascii="Garamond" w:eastAsia="Garamond" w:hAnsi="Garamond" w:cs="Garamond"/>
          <w:sz w:val="24"/>
          <w:szCs w:val="24"/>
        </w:rPr>
        <w:t xml:space="preserve">kets, or aid, while access depends on household income and purchasing power. Utilization involves proper nutrition, food quality, and health conditions necessary for effective food consumption. Stability ensures consistent access to food over time despite </w:t>
      </w:r>
      <w:r>
        <w:rPr>
          <w:rFonts w:ascii="Garamond" w:eastAsia="Garamond" w:hAnsi="Garamond" w:cs="Garamond"/>
          <w:sz w:val="24"/>
          <w:szCs w:val="24"/>
        </w:rPr>
        <w:t>shocks such as climate variability or market disruptions. These interconnected factors collectively determine the food security status of households in Baringo County.</w:t>
      </w:r>
    </w:p>
    <w:p w14:paraId="0B2E274B"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2.5. Factors Affecting Food Security</w:t>
      </w:r>
    </w:p>
    <w:p w14:paraId="04A60C4A"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Food security is influenced by socioeconomic factor</w:t>
      </w:r>
      <w:r>
        <w:rPr>
          <w:rFonts w:ascii="Garamond" w:eastAsia="Garamond" w:hAnsi="Garamond" w:cs="Garamond"/>
          <w:sz w:val="24"/>
          <w:szCs w:val="24"/>
        </w:rPr>
        <w:t>s such as household size, age, gender, education, and income levels (Adeyanju et al., 2023). Large households tend to experience higher food insecurity due to increased consumption pressure and limited resources. Gender plays a critical role, as women sign</w:t>
      </w:r>
      <w:r>
        <w:rPr>
          <w:rFonts w:ascii="Garamond" w:eastAsia="Garamond" w:hAnsi="Garamond" w:cs="Garamond"/>
          <w:sz w:val="24"/>
          <w:szCs w:val="24"/>
        </w:rPr>
        <w:t>ificantly contribute to food production but often face limited access to land and resources (FAO, 2021). Education improves food security by enhancing income opportunities and adoption of improved agricultural practices (</w:t>
      </w:r>
      <w:proofErr w:type="spellStart"/>
      <w:r>
        <w:rPr>
          <w:rFonts w:ascii="Garamond" w:eastAsia="Garamond" w:hAnsi="Garamond" w:cs="Garamond"/>
          <w:sz w:val="24"/>
          <w:szCs w:val="24"/>
        </w:rPr>
        <w:t>Muluken</w:t>
      </w:r>
      <w:proofErr w:type="spellEnd"/>
      <w:r>
        <w:rPr>
          <w:rFonts w:ascii="Garamond" w:eastAsia="Garamond" w:hAnsi="Garamond" w:cs="Garamond"/>
          <w:sz w:val="24"/>
          <w:szCs w:val="24"/>
        </w:rPr>
        <w:t xml:space="preserve">, 2021). Additionally, high </w:t>
      </w:r>
      <w:r>
        <w:rPr>
          <w:rFonts w:ascii="Garamond" w:eastAsia="Garamond" w:hAnsi="Garamond" w:cs="Garamond"/>
          <w:sz w:val="24"/>
          <w:szCs w:val="24"/>
        </w:rPr>
        <w:t>food prices disproportionately affect low-income households, increasing vulnerability to food insecurity (IMF, 2022; Oluoko-Odingo, 2006).</w:t>
      </w:r>
    </w:p>
    <w:p w14:paraId="7132348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2.6. Effects of Floods on Food Security</w:t>
      </w:r>
    </w:p>
    <w:p w14:paraId="2E15B0A7"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reduces food availability by destroying crops and livestock (IPCC, 2</w:t>
      </w:r>
      <w:r>
        <w:rPr>
          <w:rFonts w:ascii="Garamond" w:eastAsia="Garamond" w:hAnsi="Garamond" w:cs="Garamond"/>
          <w:sz w:val="24"/>
          <w:szCs w:val="24"/>
        </w:rPr>
        <w:t xml:space="preserve">020). It disrupts transport and market systems, limiting food access (FAO, 2021a). Repeated flood exposure weakens household resilience and increases vulnerability to hunger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Flooding also reduces long-term agricultural product</w:t>
      </w:r>
      <w:r>
        <w:rPr>
          <w:rFonts w:ascii="Garamond" w:eastAsia="Garamond" w:hAnsi="Garamond" w:cs="Garamond"/>
          <w:sz w:val="24"/>
          <w:szCs w:val="24"/>
        </w:rPr>
        <w:t>ivity (FAO, 2021b). Overall, it significantly undermines food security systems.</w:t>
      </w:r>
    </w:p>
    <w:p w14:paraId="1126C486"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2.7. Literature Gap</w:t>
      </w:r>
    </w:p>
    <w:p w14:paraId="174DF198"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Existing studies highlight the importance of education and socioeconomic factors in influencing food security outcomes (</w:t>
      </w:r>
      <w:proofErr w:type="spellStart"/>
      <w:r>
        <w:rPr>
          <w:rFonts w:ascii="Garamond" w:eastAsia="Garamond" w:hAnsi="Garamond" w:cs="Garamond"/>
          <w:sz w:val="24"/>
          <w:szCs w:val="24"/>
        </w:rPr>
        <w:t>Muluken</w:t>
      </w:r>
      <w:proofErr w:type="spellEnd"/>
      <w:r>
        <w:rPr>
          <w:rFonts w:ascii="Garamond" w:eastAsia="Garamond" w:hAnsi="Garamond" w:cs="Garamond"/>
          <w:sz w:val="24"/>
          <w:szCs w:val="24"/>
        </w:rPr>
        <w:t>, 2021). However, limited res</w:t>
      </w:r>
      <w:r>
        <w:rPr>
          <w:rFonts w:ascii="Garamond" w:eastAsia="Garamond" w:hAnsi="Garamond" w:cs="Garamond"/>
          <w:sz w:val="24"/>
          <w:szCs w:val="24"/>
        </w:rPr>
        <w:t>earch has examined the direct relationship between flooding and food security, particularly in Kenya. Many studies focus on either physical or social vulnerability, without integrating both dimensions. There is also a lack of consensus on the most appropri</w:t>
      </w:r>
      <w:r>
        <w:rPr>
          <w:rFonts w:ascii="Garamond" w:eastAsia="Garamond" w:hAnsi="Garamond" w:cs="Garamond"/>
          <w:sz w:val="24"/>
          <w:szCs w:val="24"/>
        </w:rPr>
        <w:t>ate indicators for measuring food security. Furthermore, little research has explored how floods affect households with different socioeconomic characteristics within the same region, creating a significant knowledge gap.</w:t>
      </w:r>
    </w:p>
    <w:p w14:paraId="243A0E71"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3.0. Methodology </w:t>
      </w:r>
    </w:p>
    <w:p w14:paraId="6248BDB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3.1. Location </w:t>
      </w:r>
    </w:p>
    <w:p w14:paraId="1BA23BCB"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B</w:t>
      </w:r>
      <w:r>
        <w:rPr>
          <w:rFonts w:ascii="Garamond" w:eastAsia="Garamond" w:hAnsi="Garamond" w:cs="Garamond"/>
          <w:color w:val="000000"/>
          <w:sz w:val="24"/>
          <w:szCs w:val="24"/>
        </w:rPr>
        <w:t xml:space="preserve">aringo County is located in Kenya and is bordered by Turkana and West Pokot to the north, Samburu and Laikipia to the east, Nakuru and Kericho to the south, </w:t>
      </w:r>
      <w:proofErr w:type="spellStart"/>
      <w:r>
        <w:rPr>
          <w:rFonts w:ascii="Garamond" w:eastAsia="Garamond" w:hAnsi="Garamond" w:cs="Garamond"/>
          <w:color w:val="000000"/>
          <w:sz w:val="24"/>
          <w:szCs w:val="24"/>
        </w:rPr>
        <w:t>Uasin</w:t>
      </w:r>
      <w:proofErr w:type="spellEnd"/>
      <w:r>
        <w:rPr>
          <w:rFonts w:ascii="Garamond" w:eastAsia="Garamond" w:hAnsi="Garamond" w:cs="Garamond"/>
          <w:color w:val="000000"/>
          <w:sz w:val="24"/>
          <w:szCs w:val="24"/>
        </w:rPr>
        <w:t xml:space="preserve"> Gishu to the southwest, and </w:t>
      </w:r>
      <w:proofErr w:type="spellStart"/>
      <w:r>
        <w:rPr>
          <w:rFonts w:ascii="Garamond" w:eastAsia="Garamond" w:hAnsi="Garamond" w:cs="Garamond"/>
          <w:color w:val="000000"/>
          <w:sz w:val="24"/>
          <w:szCs w:val="24"/>
        </w:rPr>
        <w:t>Elgeyo</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Marakwet</w:t>
      </w:r>
      <w:proofErr w:type="spellEnd"/>
      <w:r>
        <w:rPr>
          <w:rFonts w:ascii="Garamond" w:eastAsia="Garamond" w:hAnsi="Garamond" w:cs="Garamond"/>
          <w:color w:val="000000"/>
          <w:sz w:val="24"/>
          <w:szCs w:val="24"/>
        </w:rPr>
        <w:t xml:space="preserve"> to the west. It covers approximately 8,655 km² an</w:t>
      </w:r>
      <w:r>
        <w:rPr>
          <w:rFonts w:ascii="Garamond" w:eastAsia="Garamond" w:hAnsi="Garamond" w:cs="Garamond"/>
          <w:color w:val="000000"/>
          <w:sz w:val="24"/>
          <w:szCs w:val="24"/>
        </w:rPr>
        <w:t xml:space="preserve">d lies between latitudes 0°13′ South and 1°40′ North, and longitudes 35°36′ and 36°30′ East. The study focuses on selected areas within the county, namely Salaam, Gumbo, </w:t>
      </w:r>
      <w:proofErr w:type="spellStart"/>
      <w:r>
        <w:rPr>
          <w:rFonts w:ascii="Garamond" w:eastAsia="Garamond" w:hAnsi="Garamond" w:cs="Garamond"/>
          <w:color w:val="000000"/>
          <w:sz w:val="24"/>
          <w:szCs w:val="24"/>
        </w:rPr>
        <w:t>Loruk</w:t>
      </w:r>
      <w:proofErr w:type="spellEnd"/>
      <w:r>
        <w:rPr>
          <w:rFonts w:ascii="Garamond" w:eastAsia="Garamond" w:hAnsi="Garamond" w:cs="Garamond"/>
          <w:color w:val="000000"/>
          <w:sz w:val="24"/>
          <w:szCs w:val="24"/>
        </w:rPr>
        <w:t xml:space="preserve">, and </w:t>
      </w:r>
      <w:proofErr w:type="spellStart"/>
      <w:r>
        <w:rPr>
          <w:rFonts w:ascii="Garamond" w:eastAsia="Garamond" w:hAnsi="Garamond" w:cs="Garamond"/>
          <w:color w:val="000000"/>
          <w:sz w:val="24"/>
          <w:szCs w:val="24"/>
        </w:rPr>
        <w:t>Kambiyasamaki</w:t>
      </w:r>
      <w:proofErr w:type="spellEnd"/>
      <w:r>
        <w:rPr>
          <w:rFonts w:ascii="Garamond" w:eastAsia="Garamond" w:hAnsi="Garamond" w:cs="Garamond"/>
          <w:color w:val="000000"/>
          <w:sz w:val="24"/>
          <w:szCs w:val="24"/>
        </w:rPr>
        <w:t>, which represent diverse geographical zones. The county is la</w:t>
      </w:r>
      <w:r>
        <w:rPr>
          <w:rFonts w:ascii="Garamond" w:eastAsia="Garamond" w:hAnsi="Garamond" w:cs="Garamond"/>
          <w:color w:val="000000"/>
          <w:sz w:val="24"/>
          <w:szCs w:val="24"/>
        </w:rPr>
        <w:t>rgely dry and semi-arid, with livestock keeping as the dominant livelihood, although droughts frequently threaten pastoral production. Agriculture also plays a key economic role, with crops such as maize, beans, sorghum, and cassava grown alongside cash cr</w:t>
      </w:r>
      <w:r>
        <w:rPr>
          <w:rFonts w:ascii="Garamond" w:eastAsia="Garamond" w:hAnsi="Garamond" w:cs="Garamond"/>
          <w:color w:val="000000"/>
          <w:sz w:val="24"/>
          <w:szCs w:val="24"/>
        </w:rPr>
        <w:t>ops and livestock products, though limited value addition reduces their economic returns.</w:t>
      </w:r>
    </w:p>
    <w:p w14:paraId="39DCA454"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noProof/>
          <w:color w:val="000000"/>
          <w:sz w:val="24"/>
          <w:szCs w:val="24"/>
        </w:rPr>
        <w:lastRenderedPageBreak/>
        <w:drawing>
          <wp:inline distT="0" distB="0" distL="0" distR="0" wp14:anchorId="412809C0" wp14:editId="380AEC02">
            <wp:extent cx="5943600" cy="2762250"/>
            <wp:effectExtent l="19050" t="19050" r="19050" b="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762250"/>
                    </a:xfrm>
                    <a:prstGeom prst="rect">
                      <a:avLst/>
                    </a:prstGeom>
                    <a:ln w="19050">
                      <a:solidFill>
                        <a:srgbClr val="000000"/>
                      </a:solidFill>
                      <a:prstDash val="solid"/>
                    </a:ln>
                  </pic:spPr>
                </pic:pic>
              </a:graphicData>
            </a:graphic>
          </wp:inline>
        </w:drawing>
      </w:r>
    </w:p>
    <w:p w14:paraId="6098EC3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Figure 1. Study area Map (Field research, 2025)</w:t>
      </w:r>
    </w:p>
    <w:p w14:paraId="65AB525F"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3.2. Study design </w:t>
      </w:r>
    </w:p>
    <w:p w14:paraId="7883F687" w14:textId="77777777" w:rsidR="00203701" w:rsidRDefault="003D14C2">
      <w:pPr>
        <w:spacing w:line="360" w:lineRule="auto"/>
        <w:jc w:val="both"/>
        <w:rPr>
          <w:rFonts w:ascii="Garamond" w:eastAsia="Garamond" w:hAnsi="Garamond" w:cs="Garamond"/>
          <w:sz w:val="24"/>
          <w:szCs w:val="24"/>
        </w:rPr>
      </w:pPr>
      <w:r>
        <w:rPr>
          <w:rFonts w:ascii="Garamond" w:eastAsia="Garamond" w:hAnsi="Garamond" w:cs="Garamond"/>
          <w:sz w:val="24"/>
          <w:szCs w:val="24"/>
        </w:rPr>
        <w:t>The study adopts a descriptive survey design incorporating both qualitative and quantitative appr</w:t>
      </w:r>
      <w:r>
        <w:rPr>
          <w:rFonts w:ascii="Garamond" w:eastAsia="Garamond" w:hAnsi="Garamond" w:cs="Garamond"/>
          <w:sz w:val="24"/>
          <w:szCs w:val="24"/>
        </w:rPr>
        <w:t xml:space="preserve">oaches to provide a comprehensive understanding of the research problem. The target population consists of households in selected flood-prone areas of Baringo South Sub-County, including </w:t>
      </w:r>
      <w:proofErr w:type="spellStart"/>
      <w:r>
        <w:rPr>
          <w:rFonts w:ascii="Garamond" w:eastAsia="Garamond" w:hAnsi="Garamond" w:cs="Garamond"/>
          <w:sz w:val="24"/>
          <w:szCs w:val="24"/>
        </w:rPr>
        <w:t>Salabani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Ngambo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Loruk</w:t>
      </w:r>
      <w:proofErr w:type="spellEnd"/>
      <w:r>
        <w:rPr>
          <w:rFonts w:ascii="Garamond" w:eastAsia="Garamond" w:hAnsi="Garamond" w:cs="Garamond"/>
          <w:sz w:val="24"/>
          <w:szCs w:val="24"/>
        </w:rPr>
        <w:t xml:space="preserve">, and </w:t>
      </w:r>
      <w:proofErr w:type="spellStart"/>
      <w:r>
        <w:rPr>
          <w:rFonts w:ascii="Garamond" w:eastAsia="Garamond" w:hAnsi="Garamond" w:cs="Garamond"/>
          <w:sz w:val="24"/>
          <w:szCs w:val="24"/>
        </w:rPr>
        <w:t>Kambi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ya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Samaki</w:t>
      </w:r>
      <w:proofErr w:type="spellEnd"/>
      <w:r>
        <w:rPr>
          <w:rFonts w:ascii="Garamond" w:eastAsia="Garamond" w:hAnsi="Garamond" w:cs="Garamond"/>
          <w:sz w:val="24"/>
          <w:szCs w:val="24"/>
        </w:rPr>
        <w:t>. Using stratified random</w:t>
      </w:r>
      <w:r>
        <w:rPr>
          <w:rFonts w:ascii="Garamond" w:eastAsia="Garamond" w:hAnsi="Garamond" w:cs="Garamond"/>
          <w:sz w:val="24"/>
          <w:szCs w:val="24"/>
        </w:rPr>
        <w:t xml:space="preserve"> sampling, a sample size of 389 respondents (384 household heads and key informants) was selected to ensure representativeness across different locations.</w:t>
      </w:r>
    </w:p>
    <w:p w14:paraId="79958815"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 xml:space="preserve"> 3.3. Population</w:t>
      </w:r>
    </w:p>
    <w:p w14:paraId="7892955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According to the 2019 national census, Baringo South Sub-County has a population of 90,955, while Baringo County has a total population of 666,763. The study focused on approximately 20,000 residents from </w:t>
      </w:r>
      <w:proofErr w:type="spellStart"/>
      <w:r>
        <w:rPr>
          <w:rFonts w:ascii="Garamond" w:eastAsia="Garamond" w:hAnsi="Garamond" w:cs="Garamond"/>
          <w:color w:val="000000"/>
          <w:sz w:val="24"/>
          <w:szCs w:val="24"/>
        </w:rPr>
        <w:t>Salabani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Ngambo</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Loruk</w:t>
      </w:r>
      <w:proofErr w:type="spellEnd"/>
      <w:r>
        <w:rPr>
          <w:rFonts w:ascii="Garamond" w:eastAsia="Garamond" w:hAnsi="Garamond" w:cs="Garamond"/>
          <w:color w:val="000000"/>
          <w:sz w:val="24"/>
          <w:szCs w:val="24"/>
        </w:rPr>
        <w:t xml:space="preserve">, and </w:t>
      </w:r>
      <w:proofErr w:type="spellStart"/>
      <w:r>
        <w:rPr>
          <w:rFonts w:ascii="Garamond" w:eastAsia="Garamond" w:hAnsi="Garamond" w:cs="Garamond"/>
          <w:color w:val="000000"/>
          <w:sz w:val="24"/>
          <w:szCs w:val="24"/>
        </w:rPr>
        <w:t>Kambi</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ya</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Samaki</w:t>
      </w:r>
      <w:proofErr w:type="spellEnd"/>
      <w:r>
        <w:rPr>
          <w:rFonts w:ascii="Garamond" w:eastAsia="Garamond" w:hAnsi="Garamond" w:cs="Garamond"/>
          <w:color w:val="000000"/>
          <w:sz w:val="24"/>
          <w:szCs w:val="24"/>
        </w:rPr>
        <w:t>. These</w:t>
      </w:r>
      <w:r>
        <w:rPr>
          <w:rFonts w:ascii="Garamond" w:eastAsia="Garamond" w:hAnsi="Garamond" w:cs="Garamond"/>
          <w:color w:val="000000"/>
          <w:sz w:val="24"/>
          <w:szCs w:val="24"/>
        </w:rPr>
        <w:t xml:space="preserve"> locations were selected due to their proximity to Lakes Baringo and </w:t>
      </w:r>
      <w:proofErr w:type="spellStart"/>
      <w:r>
        <w:rPr>
          <w:rFonts w:ascii="Garamond" w:eastAsia="Garamond" w:hAnsi="Garamond" w:cs="Garamond"/>
          <w:color w:val="000000"/>
          <w:sz w:val="24"/>
          <w:szCs w:val="24"/>
        </w:rPr>
        <w:t>Bogoria</w:t>
      </w:r>
      <w:proofErr w:type="spellEnd"/>
      <w:r>
        <w:rPr>
          <w:rFonts w:ascii="Garamond" w:eastAsia="Garamond" w:hAnsi="Garamond" w:cs="Garamond"/>
          <w:color w:val="000000"/>
          <w:sz w:val="24"/>
          <w:szCs w:val="24"/>
        </w:rPr>
        <w:t xml:space="preserve"> and their vulnerability to flooding. The research aimed to examine how this proximity influences household food security. It specifically assessed food security conditions during </w:t>
      </w:r>
      <w:r>
        <w:rPr>
          <w:rFonts w:ascii="Garamond" w:eastAsia="Garamond" w:hAnsi="Garamond" w:cs="Garamond"/>
          <w:color w:val="000000"/>
          <w:sz w:val="24"/>
          <w:szCs w:val="24"/>
        </w:rPr>
        <w:t>and after flood events.</w:t>
      </w:r>
    </w:p>
    <w:p w14:paraId="2A776932"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3.4. Sampling Procedure</w:t>
      </w:r>
    </w:p>
    <w:p w14:paraId="420B672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The study used a stratified random sampling technique to ensure representative population coverage. Households were grouped based on geographic location and randomly selected from each stratum. This method en</w:t>
      </w:r>
      <w:r>
        <w:rPr>
          <w:rFonts w:ascii="Garamond" w:eastAsia="Garamond" w:hAnsi="Garamond" w:cs="Garamond"/>
          <w:color w:val="000000"/>
          <w:sz w:val="24"/>
          <w:szCs w:val="24"/>
        </w:rPr>
        <w:t>sured equal and independent chances of selection for all households. It was suitable due to variations in flood exposure and socioeconomic characteristics across the study area. The approach enhanced the reliability and inclusiveness of the data collected.</w:t>
      </w:r>
    </w:p>
    <w:p w14:paraId="4A8006CC"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3.5. Sample Size</w:t>
      </w:r>
    </w:p>
    <w:p w14:paraId="2C91A796"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study sample consisted of 389 respondents, including 384 household heads and 3 key informants. The sample size was determined using a standard formula with a 5% margin of error, resulting in 384 households. Stratified proportional </w:t>
      </w:r>
      <w:r>
        <w:rPr>
          <w:rFonts w:ascii="Garamond" w:eastAsia="Garamond" w:hAnsi="Garamond" w:cs="Garamond"/>
          <w:color w:val="000000"/>
          <w:sz w:val="24"/>
          <w:szCs w:val="24"/>
        </w:rPr>
        <w:t>allocation was used to distribute respondents evenly across the four study locations. This ensured fair representation of each area in the research. The inclusion of key informants enriched the overall dataset.</w:t>
      </w:r>
    </w:p>
    <w:p w14:paraId="6AD6F96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 Instruments</w:t>
      </w:r>
    </w:p>
    <w:p w14:paraId="542B1BC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3.6.1. Questionnaire</w:t>
      </w:r>
    </w:p>
    <w:p w14:paraId="14D51A54"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we</w:t>
      </w:r>
      <w:r>
        <w:rPr>
          <w:rFonts w:ascii="Garamond" w:eastAsia="Garamond" w:hAnsi="Garamond" w:cs="Garamond"/>
          <w:color w:val="000000"/>
          <w:sz w:val="24"/>
          <w:szCs w:val="24"/>
        </w:rPr>
        <w:t>re collected using structured questionnaires to gather both qualitative and quantitative information. The tool captured demographic data and experiences related to flooding and food security. Both open-ended and closed-ended questions were included for com</w:t>
      </w:r>
      <w:r>
        <w:rPr>
          <w:rFonts w:ascii="Garamond" w:eastAsia="Garamond" w:hAnsi="Garamond" w:cs="Garamond"/>
          <w:color w:val="000000"/>
          <w:sz w:val="24"/>
          <w:szCs w:val="24"/>
        </w:rPr>
        <w:t>prehensive responses. Household heads were selected through stratified random sampling to ensure representation. Questionnaires were effective for collecting data from a large population.</w:t>
      </w:r>
    </w:p>
    <w:p w14:paraId="4E5FC01D"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3.6.2. Key Informant Interviews</w:t>
      </w:r>
    </w:p>
    <w:p w14:paraId="4A59E9D5"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Key informant interviews were conduc</w:t>
      </w:r>
      <w:r>
        <w:rPr>
          <w:rFonts w:ascii="Garamond" w:eastAsia="Garamond" w:hAnsi="Garamond" w:cs="Garamond"/>
          <w:color w:val="000000"/>
          <w:sz w:val="24"/>
          <w:szCs w:val="24"/>
        </w:rPr>
        <w:t>ted to obtain in-depth insights beyond questionnaire data. Participants included individuals with expertise in flooding and food security issues. A structured interview guide was used to maintain consistency. The interviews provided contextual and historic</w:t>
      </w:r>
      <w:r>
        <w:rPr>
          <w:rFonts w:ascii="Garamond" w:eastAsia="Garamond" w:hAnsi="Garamond" w:cs="Garamond"/>
          <w:color w:val="000000"/>
          <w:sz w:val="24"/>
          <w:szCs w:val="24"/>
        </w:rPr>
        <w:t>al perspectives on the study area. This enriched the overall quality and depth of the findings.</w:t>
      </w:r>
    </w:p>
    <w:p w14:paraId="766C6D4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3.6.3. Photographic Evidence</w:t>
      </w:r>
    </w:p>
    <w:p w14:paraId="38A992B7"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Photographs were taken during fieldwork to document flooding and food security conditions. These visual records supported and valid</w:t>
      </w:r>
      <w:r>
        <w:rPr>
          <w:rFonts w:ascii="Garamond" w:eastAsia="Garamond" w:hAnsi="Garamond" w:cs="Garamond"/>
          <w:color w:val="000000"/>
          <w:sz w:val="24"/>
          <w:szCs w:val="24"/>
        </w:rPr>
        <w:t xml:space="preserve">ated the data collected from respondents. They provided tangible </w:t>
      </w:r>
      <w:r>
        <w:rPr>
          <w:rFonts w:ascii="Garamond" w:eastAsia="Garamond" w:hAnsi="Garamond" w:cs="Garamond"/>
          <w:color w:val="000000"/>
          <w:sz w:val="24"/>
          <w:szCs w:val="24"/>
        </w:rPr>
        <w:lastRenderedPageBreak/>
        <w:t>evidence of observed events and environmental conditions. Photographic documentation enhanced the credibility of the study. It also helped illustrate key findings for better interpretation.</w:t>
      </w:r>
    </w:p>
    <w:p w14:paraId="5C6E406F"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3</w:t>
      </w:r>
      <w:r>
        <w:rPr>
          <w:rFonts w:ascii="Garamond" w:eastAsia="Garamond" w:hAnsi="Garamond" w:cs="Garamond"/>
          <w:b/>
          <w:bCs/>
          <w:color w:val="000000"/>
          <w:sz w:val="24"/>
          <w:szCs w:val="24"/>
        </w:rPr>
        <w:t xml:space="preserve">.7. Data collection </w:t>
      </w:r>
    </w:p>
    <w:p w14:paraId="0CAAC6E2"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collection was conducted using structured questionnaires, key informant interviews, and photographic documentation. Questionnaires captured demographic characteristics and household experiences related to flooding and food securit</w:t>
      </w:r>
      <w:r>
        <w:rPr>
          <w:rFonts w:ascii="Garamond" w:eastAsia="Garamond" w:hAnsi="Garamond" w:cs="Garamond"/>
          <w:color w:val="000000"/>
          <w:sz w:val="24"/>
          <w:szCs w:val="24"/>
        </w:rPr>
        <w:t>y, while interviews provided in-depth insights into local conditions and adaptive strategies.</w:t>
      </w:r>
    </w:p>
    <w:p w14:paraId="0E9C7670"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3.8. Data analysis </w:t>
      </w:r>
    </w:p>
    <w:p w14:paraId="23787238"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Data analysis employed both qualitative and quantitative techniques. Qualitative data were analyzed thematically to identify key patterns rela</w:t>
      </w:r>
      <w:r>
        <w:rPr>
          <w:rFonts w:ascii="Garamond" w:eastAsia="Garamond" w:hAnsi="Garamond" w:cs="Garamond"/>
          <w:color w:val="000000"/>
          <w:sz w:val="24"/>
          <w:szCs w:val="24"/>
        </w:rPr>
        <w:t>ted to flood impacts and coping mechanisms. Quantitative data were analyzed using descriptive statistics (frequencies, percentages, and means) and inferential statistics to examine relationships between flooding and food security indicators. The findings w</w:t>
      </w:r>
      <w:r>
        <w:rPr>
          <w:rFonts w:ascii="Garamond" w:eastAsia="Garamond" w:hAnsi="Garamond" w:cs="Garamond"/>
          <w:color w:val="000000"/>
          <w:sz w:val="24"/>
          <w:szCs w:val="24"/>
        </w:rPr>
        <w:t>ere presented using tables, graphs, and charts to facilitate interpretation and comparison. Overall, the study provides an integrated assessment of how flooding influences food security in Baringo County, combining statistical evidence with contextual insi</w:t>
      </w:r>
      <w:r>
        <w:rPr>
          <w:rFonts w:ascii="Garamond" w:eastAsia="Garamond" w:hAnsi="Garamond" w:cs="Garamond"/>
          <w:color w:val="000000"/>
          <w:sz w:val="24"/>
          <w:szCs w:val="24"/>
        </w:rPr>
        <w:t>ghts to address existing research gaps and inform policy and intervention strategies.</w:t>
      </w:r>
    </w:p>
    <w:p w14:paraId="5EC2856A" w14:textId="77777777" w:rsidR="00203701" w:rsidRDefault="003D14C2">
      <w:pPr>
        <w:pBdr>
          <w:top w:val="nil"/>
          <w:left w:val="nil"/>
          <w:bottom w:val="nil"/>
          <w:right w:val="nil"/>
          <w:between w:val="nil"/>
        </w:pBdr>
        <w:spacing w:before="280" w:after="28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4.0. Results </w:t>
      </w:r>
    </w:p>
    <w:p w14:paraId="678520C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4.1. Response Rate and Demographic Characteristics</w:t>
      </w:r>
    </w:p>
    <w:p w14:paraId="79465F8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The study achieved a response rate of 71.4% (274 out of 384 respondents), which is considered acceptable </w:t>
      </w:r>
      <w:r>
        <w:rPr>
          <w:rFonts w:ascii="Garamond" w:eastAsia="Garamond" w:hAnsi="Garamond" w:cs="Garamond"/>
          <w:sz w:val="24"/>
          <w:szCs w:val="24"/>
        </w:rPr>
        <w:t>in social science research for generating reliable and representative findings (</w:t>
      </w:r>
      <w:proofErr w:type="spellStart"/>
      <w:r>
        <w:rPr>
          <w:rFonts w:ascii="Garamond" w:eastAsia="Garamond" w:hAnsi="Garamond" w:cs="Garamond"/>
          <w:sz w:val="24"/>
          <w:szCs w:val="24"/>
        </w:rPr>
        <w:t>Sataloff</w:t>
      </w:r>
      <w:proofErr w:type="spellEnd"/>
      <w:r>
        <w:rPr>
          <w:rFonts w:ascii="Garamond" w:eastAsia="Garamond" w:hAnsi="Garamond" w:cs="Garamond"/>
          <w:sz w:val="24"/>
          <w:szCs w:val="24"/>
        </w:rPr>
        <w:t xml:space="preserve"> and </w:t>
      </w:r>
      <w:proofErr w:type="spellStart"/>
      <w:r>
        <w:rPr>
          <w:rFonts w:ascii="Garamond" w:eastAsia="Garamond" w:hAnsi="Garamond" w:cs="Garamond"/>
          <w:sz w:val="24"/>
          <w:szCs w:val="24"/>
        </w:rPr>
        <w:t>Vontela</w:t>
      </w:r>
      <w:proofErr w:type="spellEnd"/>
      <w:r>
        <w:rPr>
          <w:rFonts w:ascii="Garamond" w:eastAsia="Garamond" w:hAnsi="Garamond" w:cs="Garamond"/>
          <w:sz w:val="24"/>
          <w:szCs w:val="24"/>
        </w:rPr>
        <w:t>, 2021). The demographic analysis revealed a relatively young population (mean age = 35.23 years), with males constituting 66.8% and females 33.2% of respon</w:t>
      </w:r>
      <w:r>
        <w:rPr>
          <w:rFonts w:ascii="Garamond" w:eastAsia="Garamond" w:hAnsi="Garamond" w:cs="Garamond"/>
          <w:sz w:val="24"/>
          <w:szCs w:val="24"/>
        </w:rPr>
        <w:t>dents. Gender differences reflected local socio-economic roles, where men were primarily involved in decision-making on land use and production, while women played a central role in household food management. Educational attainment was relatively high, wit</w:t>
      </w:r>
      <w:r>
        <w:rPr>
          <w:rFonts w:ascii="Garamond" w:eastAsia="Garamond" w:hAnsi="Garamond" w:cs="Garamond"/>
          <w:sz w:val="24"/>
          <w:szCs w:val="24"/>
        </w:rPr>
        <w:t>h most respondents having at least secondary education, although disparities existed, particularly among men with lower formal education levels.</w:t>
      </w:r>
    </w:p>
    <w:p w14:paraId="1BCADE70"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lastRenderedPageBreak/>
        <w:t>Marital status patterns showed that the majority of respondents were married, particularly within the 25–34 age</w:t>
      </w:r>
      <w:r>
        <w:rPr>
          <w:rFonts w:ascii="Garamond" w:eastAsia="Garamond" w:hAnsi="Garamond" w:cs="Garamond"/>
          <w:sz w:val="24"/>
          <w:szCs w:val="24"/>
        </w:rPr>
        <w:t xml:space="preserve"> group, indicating active household formation and economic responsibility. These demographic characteristics are important in understanding vulnerability and resilience, as household structure and socio-economic status significantly influence coping capaci</w:t>
      </w:r>
      <w:r>
        <w:rPr>
          <w:rFonts w:ascii="Garamond" w:eastAsia="Garamond" w:hAnsi="Garamond" w:cs="Garamond"/>
          <w:sz w:val="24"/>
          <w:szCs w:val="24"/>
        </w:rPr>
        <w:t>ty during environmental shocks (IPCC, 2022).</w:t>
      </w:r>
    </w:p>
    <w:p w14:paraId="50C42ADB"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4.2. Flood Occurrence, Causes, and Trends</w:t>
      </w:r>
    </w:p>
    <w:p w14:paraId="10ACE7EE"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2" w:name="_7tnzuig8tlme" w:colFirst="0" w:colLast="0"/>
      <w:bookmarkEnd w:id="2"/>
      <w:r>
        <w:rPr>
          <w:rFonts w:ascii="Garamond" w:eastAsia="Garamond" w:hAnsi="Garamond" w:cs="Garamond"/>
          <w:b/>
          <w:bCs/>
          <w:color w:val="000000"/>
          <w:sz w:val="24"/>
          <w:szCs w:val="24"/>
          <w:highlight w:val="white"/>
        </w:rPr>
        <w:t>Table 1. Flood experience</w:t>
      </w:r>
    </w:p>
    <w:p w14:paraId="544A5D2B" w14:textId="77777777" w:rsidR="00203701" w:rsidRDefault="00203701">
      <w:pPr>
        <w:pBdr>
          <w:top w:val="nil"/>
          <w:left w:val="nil"/>
          <w:bottom w:val="nil"/>
          <w:right w:val="nil"/>
          <w:between w:val="nil"/>
        </w:pBdr>
        <w:spacing w:after="200" w:line="360" w:lineRule="auto"/>
        <w:jc w:val="both"/>
        <w:rPr>
          <w:rFonts w:ascii="Garamond" w:eastAsia="Garamond" w:hAnsi="Garamond" w:cs="Garamond"/>
          <w:i/>
          <w:iCs/>
          <w:color w:val="44546A"/>
          <w:sz w:val="24"/>
          <w:szCs w:val="24"/>
        </w:rPr>
      </w:pPr>
    </w:p>
    <w:tbl>
      <w:tblPr>
        <w:tblStyle w:val="a"/>
        <w:tblW w:w="9720"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970"/>
        <w:gridCol w:w="1530"/>
        <w:gridCol w:w="720"/>
        <w:gridCol w:w="1620"/>
        <w:gridCol w:w="1350"/>
        <w:gridCol w:w="1530"/>
      </w:tblGrid>
      <w:tr w:rsidR="00203701" w14:paraId="43129A55" w14:textId="77777777">
        <w:tc>
          <w:tcPr>
            <w:tcW w:w="2970" w:type="dxa"/>
            <w:tcBorders>
              <w:top w:val="single" w:sz="4" w:space="0" w:color="000000"/>
              <w:left w:val="nil"/>
              <w:bottom w:val="single" w:sz="4" w:space="0" w:color="000000"/>
              <w:right w:val="nil"/>
            </w:tcBorders>
            <w:tcMar>
              <w:top w:w="0" w:type="dxa"/>
              <w:left w:w="108" w:type="dxa"/>
              <w:bottom w:w="0" w:type="dxa"/>
              <w:right w:w="108" w:type="dxa"/>
            </w:tcMar>
          </w:tcPr>
          <w:p w14:paraId="43E50DF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 Farm</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4554AFC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Mean Age (Years)</w:t>
            </w:r>
          </w:p>
        </w:tc>
        <w:tc>
          <w:tcPr>
            <w:tcW w:w="720" w:type="dxa"/>
            <w:tcBorders>
              <w:top w:val="single" w:sz="4" w:space="0" w:color="000000"/>
              <w:left w:val="nil"/>
              <w:bottom w:val="single" w:sz="4" w:space="0" w:color="000000"/>
              <w:right w:val="nil"/>
            </w:tcBorders>
            <w:tcMar>
              <w:top w:w="0" w:type="dxa"/>
              <w:left w:w="108" w:type="dxa"/>
              <w:bottom w:w="0" w:type="dxa"/>
              <w:right w:w="108" w:type="dxa"/>
            </w:tcMar>
          </w:tcPr>
          <w:p w14:paraId="5CE8BF0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N</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67F5904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Std. Deviation</w:t>
            </w:r>
          </w:p>
        </w:tc>
        <w:tc>
          <w:tcPr>
            <w:tcW w:w="1350" w:type="dxa"/>
            <w:tcBorders>
              <w:top w:val="single" w:sz="4" w:space="0" w:color="000000"/>
              <w:left w:val="nil"/>
              <w:bottom w:val="single" w:sz="4" w:space="0" w:color="000000"/>
              <w:right w:val="nil"/>
            </w:tcBorders>
            <w:tcMar>
              <w:top w:w="0" w:type="dxa"/>
              <w:left w:w="108" w:type="dxa"/>
              <w:bottom w:w="0" w:type="dxa"/>
              <w:right w:w="108" w:type="dxa"/>
            </w:tcMar>
          </w:tcPr>
          <w:p w14:paraId="52AC4BE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Skewness</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36E9D16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 of Total N</w:t>
            </w:r>
          </w:p>
        </w:tc>
      </w:tr>
      <w:tr w:rsidR="00203701" w14:paraId="50D551D7" w14:textId="77777777">
        <w:tc>
          <w:tcPr>
            <w:tcW w:w="2970" w:type="dxa"/>
            <w:tcBorders>
              <w:top w:val="single" w:sz="4" w:space="0" w:color="000000"/>
              <w:left w:val="nil"/>
              <w:bottom w:val="nil"/>
              <w:right w:val="nil"/>
            </w:tcBorders>
            <w:tcMar>
              <w:top w:w="0" w:type="dxa"/>
              <w:left w:w="108" w:type="dxa"/>
              <w:bottom w:w="0" w:type="dxa"/>
              <w:right w:w="108" w:type="dxa"/>
            </w:tcMar>
          </w:tcPr>
          <w:p w14:paraId="3BB780C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No</w:t>
            </w:r>
          </w:p>
        </w:tc>
        <w:tc>
          <w:tcPr>
            <w:tcW w:w="1530" w:type="dxa"/>
            <w:tcBorders>
              <w:top w:val="single" w:sz="4" w:space="0" w:color="000000"/>
              <w:left w:val="nil"/>
              <w:bottom w:val="nil"/>
              <w:right w:val="nil"/>
            </w:tcBorders>
            <w:tcMar>
              <w:top w:w="0" w:type="dxa"/>
              <w:left w:w="108" w:type="dxa"/>
              <w:bottom w:w="0" w:type="dxa"/>
              <w:right w:w="108" w:type="dxa"/>
            </w:tcMar>
          </w:tcPr>
          <w:p w14:paraId="09D41A3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28.96</w:t>
            </w:r>
          </w:p>
        </w:tc>
        <w:tc>
          <w:tcPr>
            <w:tcW w:w="720" w:type="dxa"/>
            <w:tcBorders>
              <w:top w:val="single" w:sz="4" w:space="0" w:color="000000"/>
              <w:left w:val="nil"/>
              <w:bottom w:val="nil"/>
              <w:right w:val="nil"/>
            </w:tcBorders>
            <w:tcMar>
              <w:top w:w="0" w:type="dxa"/>
              <w:left w:w="108" w:type="dxa"/>
              <w:bottom w:w="0" w:type="dxa"/>
              <w:right w:w="108" w:type="dxa"/>
            </w:tcMar>
          </w:tcPr>
          <w:p w14:paraId="28FEE4E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w:t>
            </w:r>
          </w:p>
        </w:tc>
        <w:tc>
          <w:tcPr>
            <w:tcW w:w="1620" w:type="dxa"/>
            <w:tcBorders>
              <w:top w:val="single" w:sz="4" w:space="0" w:color="000000"/>
              <w:left w:val="nil"/>
              <w:bottom w:val="nil"/>
              <w:right w:val="nil"/>
            </w:tcBorders>
            <w:tcMar>
              <w:top w:w="0" w:type="dxa"/>
              <w:left w:w="108" w:type="dxa"/>
              <w:bottom w:w="0" w:type="dxa"/>
              <w:right w:w="108" w:type="dxa"/>
            </w:tcMar>
          </w:tcPr>
          <w:p w14:paraId="55A171B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8.513</w:t>
            </w:r>
          </w:p>
        </w:tc>
        <w:tc>
          <w:tcPr>
            <w:tcW w:w="1350" w:type="dxa"/>
            <w:tcBorders>
              <w:top w:val="single" w:sz="4" w:space="0" w:color="000000"/>
              <w:left w:val="nil"/>
              <w:bottom w:val="nil"/>
              <w:right w:val="nil"/>
            </w:tcBorders>
            <w:tcMar>
              <w:top w:w="0" w:type="dxa"/>
              <w:left w:w="108" w:type="dxa"/>
              <w:bottom w:w="0" w:type="dxa"/>
              <w:right w:w="108" w:type="dxa"/>
            </w:tcMar>
          </w:tcPr>
          <w:p w14:paraId="2D93C7C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1.599</w:t>
            </w:r>
          </w:p>
        </w:tc>
        <w:tc>
          <w:tcPr>
            <w:tcW w:w="1530" w:type="dxa"/>
            <w:tcBorders>
              <w:top w:val="single" w:sz="4" w:space="0" w:color="000000"/>
              <w:left w:val="nil"/>
              <w:bottom w:val="nil"/>
              <w:right w:val="nil"/>
            </w:tcBorders>
            <w:tcMar>
              <w:top w:w="0" w:type="dxa"/>
              <w:left w:w="108" w:type="dxa"/>
              <w:bottom w:w="0" w:type="dxa"/>
              <w:right w:w="108" w:type="dxa"/>
            </w:tcMar>
          </w:tcPr>
          <w:p w14:paraId="1964F345"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12.9%</w:t>
            </w:r>
          </w:p>
        </w:tc>
      </w:tr>
      <w:tr w:rsidR="00203701" w14:paraId="04587681" w14:textId="77777777">
        <w:tc>
          <w:tcPr>
            <w:tcW w:w="2970" w:type="dxa"/>
            <w:tcBorders>
              <w:top w:val="nil"/>
              <w:left w:val="nil"/>
              <w:bottom w:val="single" w:sz="4" w:space="0" w:color="000000"/>
              <w:right w:val="nil"/>
            </w:tcBorders>
            <w:tcMar>
              <w:top w:w="0" w:type="dxa"/>
              <w:left w:w="108" w:type="dxa"/>
              <w:bottom w:w="0" w:type="dxa"/>
              <w:right w:w="108" w:type="dxa"/>
            </w:tcMar>
          </w:tcPr>
          <w:p w14:paraId="22B192A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Yes</w:t>
            </w:r>
          </w:p>
        </w:tc>
        <w:tc>
          <w:tcPr>
            <w:tcW w:w="1530" w:type="dxa"/>
            <w:tcBorders>
              <w:top w:val="nil"/>
              <w:left w:val="nil"/>
              <w:bottom w:val="single" w:sz="4" w:space="0" w:color="000000"/>
              <w:right w:val="nil"/>
            </w:tcBorders>
            <w:tcMar>
              <w:top w:w="0" w:type="dxa"/>
              <w:left w:w="108" w:type="dxa"/>
              <w:bottom w:w="0" w:type="dxa"/>
              <w:right w:w="108" w:type="dxa"/>
            </w:tcMar>
          </w:tcPr>
          <w:p w14:paraId="1153D99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35.03</w:t>
            </w:r>
          </w:p>
        </w:tc>
        <w:tc>
          <w:tcPr>
            <w:tcW w:w="720" w:type="dxa"/>
            <w:tcBorders>
              <w:top w:val="nil"/>
              <w:left w:val="nil"/>
              <w:bottom w:val="single" w:sz="4" w:space="0" w:color="000000"/>
              <w:right w:val="nil"/>
            </w:tcBorders>
            <w:tcMar>
              <w:top w:w="0" w:type="dxa"/>
              <w:left w:w="108" w:type="dxa"/>
              <w:bottom w:w="0" w:type="dxa"/>
              <w:right w:w="108" w:type="dxa"/>
            </w:tcMar>
          </w:tcPr>
          <w:p w14:paraId="58CEAC2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162</w:t>
            </w:r>
          </w:p>
        </w:tc>
        <w:tc>
          <w:tcPr>
            <w:tcW w:w="1620" w:type="dxa"/>
            <w:tcBorders>
              <w:top w:val="nil"/>
              <w:left w:val="nil"/>
              <w:bottom w:val="single" w:sz="4" w:space="0" w:color="000000"/>
              <w:right w:val="nil"/>
            </w:tcBorders>
            <w:tcMar>
              <w:top w:w="0" w:type="dxa"/>
              <w:left w:w="108" w:type="dxa"/>
              <w:bottom w:w="0" w:type="dxa"/>
              <w:right w:w="108" w:type="dxa"/>
            </w:tcMar>
          </w:tcPr>
          <w:p w14:paraId="0BAE2BA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11.824</w:t>
            </w:r>
          </w:p>
        </w:tc>
        <w:tc>
          <w:tcPr>
            <w:tcW w:w="1350" w:type="dxa"/>
            <w:tcBorders>
              <w:top w:val="nil"/>
              <w:left w:val="nil"/>
              <w:bottom w:val="single" w:sz="4" w:space="0" w:color="000000"/>
              <w:right w:val="nil"/>
            </w:tcBorders>
            <w:tcMar>
              <w:top w:w="0" w:type="dxa"/>
              <w:left w:w="108" w:type="dxa"/>
              <w:bottom w:w="0" w:type="dxa"/>
              <w:right w:w="108" w:type="dxa"/>
            </w:tcMar>
          </w:tcPr>
          <w:p w14:paraId="33CD925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1.119</w:t>
            </w:r>
          </w:p>
        </w:tc>
        <w:tc>
          <w:tcPr>
            <w:tcW w:w="1530" w:type="dxa"/>
            <w:tcBorders>
              <w:top w:val="nil"/>
              <w:left w:val="nil"/>
              <w:bottom w:val="single" w:sz="4" w:space="0" w:color="000000"/>
              <w:right w:val="nil"/>
            </w:tcBorders>
            <w:tcMar>
              <w:top w:w="0" w:type="dxa"/>
              <w:left w:w="108" w:type="dxa"/>
              <w:bottom w:w="0" w:type="dxa"/>
              <w:right w:w="108" w:type="dxa"/>
            </w:tcMar>
          </w:tcPr>
          <w:p w14:paraId="7072EF6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87.1%</w:t>
            </w:r>
          </w:p>
        </w:tc>
      </w:tr>
      <w:tr w:rsidR="00203701" w14:paraId="370E92AF" w14:textId="77777777">
        <w:tc>
          <w:tcPr>
            <w:tcW w:w="2970" w:type="dxa"/>
            <w:tcBorders>
              <w:top w:val="single" w:sz="4" w:space="0" w:color="000000"/>
              <w:left w:val="nil"/>
              <w:bottom w:val="single" w:sz="4" w:space="0" w:color="000000"/>
              <w:right w:val="nil"/>
            </w:tcBorders>
            <w:tcMar>
              <w:top w:w="0" w:type="dxa"/>
              <w:left w:w="108" w:type="dxa"/>
              <w:bottom w:w="0" w:type="dxa"/>
              <w:right w:w="108" w:type="dxa"/>
            </w:tcMar>
          </w:tcPr>
          <w:p w14:paraId="50C6EC0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Total</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7A59DF7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34.25</w:t>
            </w:r>
          </w:p>
        </w:tc>
        <w:tc>
          <w:tcPr>
            <w:tcW w:w="720" w:type="dxa"/>
            <w:tcBorders>
              <w:top w:val="single" w:sz="4" w:space="0" w:color="000000"/>
              <w:left w:val="nil"/>
              <w:bottom w:val="single" w:sz="4" w:space="0" w:color="000000"/>
              <w:right w:val="nil"/>
            </w:tcBorders>
            <w:tcMar>
              <w:top w:w="0" w:type="dxa"/>
              <w:left w:w="108" w:type="dxa"/>
              <w:bottom w:w="0" w:type="dxa"/>
              <w:right w:w="108" w:type="dxa"/>
            </w:tcMar>
          </w:tcPr>
          <w:p w14:paraId="64DE11D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186</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366082C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11.612</w:t>
            </w:r>
          </w:p>
        </w:tc>
        <w:tc>
          <w:tcPr>
            <w:tcW w:w="1350" w:type="dxa"/>
            <w:tcBorders>
              <w:top w:val="single" w:sz="4" w:space="0" w:color="000000"/>
              <w:left w:val="nil"/>
              <w:bottom w:val="single" w:sz="4" w:space="0" w:color="000000"/>
              <w:right w:val="nil"/>
            </w:tcBorders>
            <w:tcMar>
              <w:top w:w="0" w:type="dxa"/>
              <w:left w:w="108" w:type="dxa"/>
              <w:bottom w:w="0" w:type="dxa"/>
              <w:right w:w="108" w:type="dxa"/>
            </w:tcMar>
          </w:tcPr>
          <w:p w14:paraId="2F862CA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1.179</w:t>
            </w:r>
          </w:p>
        </w:tc>
        <w:tc>
          <w:tcPr>
            <w:tcW w:w="1530" w:type="dxa"/>
            <w:tcBorders>
              <w:top w:val="single" w:sz="4" w:space="0" w:color="000000"/>
              <w:left w:val="nil"/>
              <w:bottom w:val="single" w:sz="4" w:space="0" w:color="000000"/>
              <w:right w:val="nil"/>
            </w:tcBorders>
            <w:tcMar>
              <w:top w:w="0" w:type="dxa"/>
              <w:left w:w="108" w:type="dxa"/>
              <w:bottom w:w="0" w:type="dxa"/>
              <w:right w:w="108" w:type="dxa"/>
            </w:tcMar>
          </w:tcPr>
          <w:p w14:paraId="496B5E5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100.0%</w:t>
            </w:r>
          </w:p>
        </w:tc>
      </w:tr>
    </w:tbl>
    <w:p w14:paraId="451E191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in the study area was highly prevalent, with most respondents reporting exposure to floods. This aligns with evidence that climate change is increasing flood frequency and intensity globally</w:t>
      </w:r>
      <w:r>
        <w:rPr>
          <w:rFonts w:ascii="Garamond" w:eastAsia="Garamond" w:hAnsi="Garamond" w:cs="Garamond"/>
          <w:sz w:val="24"/>
          <w:szCs w:val="24"/>
        </w:rPr>
        <w:t xml:space="preserve"> (IPCC, 2022). Rising lake levels and rainfall variability have contributed significantly to flood expansion (Kimtai et al., 2024). These findings are consistent with regional climate change trends reported by FAO (2021b). Environmental and structural fact</w:t>
      </w:r>
      <w:r>
        <w:rPr>
          <w:rFonts w:ascii="Garamond" w:eastAsia="Garamond" w:hAnsi="Garamond" w:cs="Garamond"/>
          <w:sz w:val="24"/>
          <w:szCs w:val="24"/>
        </w:rPr>
        <w:t>ors remain major drivers of flood risk.</w:t>
      </w:r>
    </w:p>
    <w:p w14:paraId="2EB484AF"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was predominantly severe (80.3%), with peak occurrences in April and August, corresponding to Kenya’s bimodal rainfall pattern. This aligns with broader climate evidence indicating increasing flood frequency</w:t>
      </w:r>
      <w:r>
        <w:rPr>
          <w:rFonts w:ascii="Garamond" w:eastAsia="Garamond" w:hAnsi="Garamond" w:cs="Garamond"/>
          <w:sz w:val="24"/>
          <w:szCs w:val="24"/>
        </w:rPr>
        <w:t xml:space="preserve"> and intensity due to changing precipitation patterns (Intergovernmental Panel on Climate Change, 2022). Trend analysis (2012–2024) revealed a steady increase in flood occurrences, with peaks in 2020, 2022, and 2024. The regression model (R² = 0.3789) conf</w:t>
      </w:r>
      <w:r>
        <w:rPr>
          <w:rFonts w:ascii="Garamond" w:eastAsia="Garamond" w:hAnsi="Garamond" w:cs="Garamond"/>
          <w:sz w:val="24"/>
          <w:szCs w:val="24"/>
        </w:rPr>
        <w:t>irmed a rising trend, although other factors such as land use and environmental degradation also contribute.</w:t>
      </w:r>
    </w:p>
    <w:p w14:paraId="5E52E97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Satellite-based observations further showed that Lake Baringo expanded significantly between 2010 and 2024, nearly doubling in size at its peak. Th</w:t>
      </w:r>
      <w:r>
        <w:rPr>
          <w:rFonts w:ascii="Garamond" w:eastAsia="Garamond" w:hAnsi="Garamond" w:cs="Garamond"/>
          <w:sz w:val="24"/>
          <w:szCs w:val="24"/>
        </w:rPr>
        <w:t>is expansion is consistent with studies linking Rift Valley lake level increases to climate variability and catchment degradation (Kimtai et al., 2024).</w:t>
      </w:r>
    </w:p>
    <w:p w14:paraId="2DD272E9"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4.3. Household Vulnerability and Adaptive Capacity</w:t>
      </w:r>
    </w:p>
    <w:p w14:paraId="7D8F2CD5"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Household resilience varied significantly across dem</w:t>
      </w:r>
      <w:r>
        <w:rPr>
          <w:rFonts w:ascii="Garamond" w:eastAsia="Garamond" w:hAnsi="Garamond" w:cs="Garamond"/>
          <w:sz w:val="24"/>
          <w:szCs w:val="24"/>
        </w:rPr>
        <w:t xml:space="preserve">ographic groups. Female-headed households, younger individuals (&lt;25 years), and older adults (&gt;55 years) experienced longer recovery periods, reflecting limited access to resources and reduced adaptive capacity. On average, households required 4.68 months </w:t>
      </w:r>
      <w:r>
        <w:rPr>
          <w:rFonts w:ascii="Garamond" w:eastAsia="Garamond" w:hAnsi="Garamond" w:cs="Garamond"/>
          <w:sz w:val="24"/>
          <w:szCs w:val="24"/>
        </w:rPr>
        <w:t>to recover from flooding, with longer durations associated with structural housing types such as brick buildings.</w:t>
      </w:r>
    </w:p>
    <w:p w14:paraId="78B7DF90"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These findings support the broader understanding that vulnerability is shaped by socio-economic and demographic factors, including gender, age</w:t>
      </w:r>
      <w:r>
        <w:rPr>
          <w:rFonts w:ascii="Garamond" w:eastAsia="Garamond" w:hAnsi="Garamond" w:cs="Garamond"/>
          <w:sz w:val="24"/>
          <w:szCs w:val="24"/>
        </w:rPr>
        <w:t xml:space="preserve">, and asset ownership (United Nations Environment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2021). Government interventions such as early warning systems, drainage construction, and relief services were reported, with early warning systems being the most common. However, their effective</w:t>
      </w:r>
      <w:r>
        <w:rPr>
          <w:rFonts w:ascii="Garamond" w:eastAsia="Garamond" w:hAnsi="Garamond" w:cs="Garamond"/>
          <w:sz w:val="24"/>
          <w:szCs w:val="24"/>
        </w:rPr>
        <w:t>ness appeared uneven, highlighting gaps in implementation and coverage.</w:t>
      </w:r>
    </w:p>
    <w:p w14:paraId="41087EA4" w14:textId="77777777" w:rsidR="00203701" w:rsidRDefault="003D14C2">
      <w:pPr>
        <w:spacing w:line="360" w:lineRule="auto"/>
        <w:jc w:val="both"/>
        <w:rPr>
          <w:rFonts w:ascii="Garamond" w:eastAsia="Garamond" w:hAnsi="Garamond" w:cs="Garamond"/>
          <w:b/>
          <w:bCs/>
          <w:sz w:val="24"/>
          <w:szCs w:val="24"/>
        </w:rPr>
      </w:pPr>
      <w:r>
        <w:rPr>
          <w:rFonts w:ascii="Garamond" w:eastAsia="Garamond" w:hAnsi="Garamond" w:cs="Garamond"/>
          <w:b/>
          <w:bCs/>
          <w:sz w:val="24"/>
          <w:szCs w:val="24"/>
        </w:rPr>
        <w:t>4.4. Factors Affecting Food Security</w:t>
      </w:r>
    </w:p>
    <w:p w14:paraId="7DEF1FA2"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Food security in the region is heavily dependent on subsistence agriculture, particularly maize production (FAO, 2023). Flooding significantly redu</w:t>
      </w:r>
      <w:r>
        <w:rPr>
          <w:rFonts w:ascii="Garamond" w:eastAsia="Garamond" w:hAnsi="Garamond" w:cs="Garamond"/>
          <w:sz w:val="24"/>
          <w:szCs w:val="24"/>
        </w:rPr>
        <w:t xml:space="preserve">ces agricultural productivity through crop destruction and soil degradation (IPCC, 2022). Repeated climate shocks further reduce household resilience and food availability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These findings align with evidence that agricultural d</w:t>
      </w:r>
      <w:r>
        <w:rPr>
          <w:rFonts w:ascii="Garamond" w:eastAsia="Garamond" w:hAnsi="Garamond" w:cs="Garamond"/>
          <w:sz w:val="24"/>
          <w:szCs w:val="24"/>
        </w:rPr>
        <w:t>ependency increases vulnerability to climate risks (FAO, 2021a). Structural poverty further worsens food insecurity outcomes</w:t>
      </w:r>
    </w:p>
    <w:p w14:paraId="599D83AF"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Flooding had a profound impact on agricultural productivity. Approximately 96.34% of respondents reported declining crop yields, wi</w:t>
      </w:r>
      <w:r>
        <w:rPr>
          <w:rFonts w:ascii="Garamond" w:eastAsia="Garamond" w:hAnsi="Garamond" w:cs="Garamond"/>
          <w:sz w:val="24"/>
          <w:szCs w:val="24"/>
        </w:rPr>
        <w:t>th severe flooding responsible for the majority of losses. Only 3.66% reported yield increases, primarily under moderate flooding conditions, suggesting limited beneficial effects through soil moisture replenishment. Over a five-year period, 96.4% of respo</w:t>
      </w:r>
      <w:r>
        <w:rPr>
          <w:rFonts w:ascii="Garamond" w:eastAsia="Garamond" w:hAnsi="Garamond" w:cs="Garamond"/>
          <w:sz w:val="24"/>
          <w:szCs w:val="24"/>
        </w:rPr>
        <w:t>ndents observed declining yields, particularly for maize, tomatoes, and kales.</w:t>
      </w:r>
    </w:p>
    <w:p w14:paraId="0AD1B7E7"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3" w:name="_bahx3pdtv1nk" w:colFirst="0" w:colLast="0"/>
      <w:bookmarkEnd w:id="3"/>
    </w:p>
    <w:p w14:paraId="2A88DEE7"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p>
    <w:p w14:paraId="5FDC106B"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p>
    <w:p w14:paraId="186EC42C" w14:textId="77777777" w:rsidR="00203701" w:rsidRDefault="00203701">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p>
    <w:p w14:paraId="6C6883A7"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Table 2. Binary Logistic Regression on Determinants of Flood Occurrence in Farms and Homes around Lake Baringo</w:t>
      </w:r>
    </w:p>
    <w:p w14:paraId="008F9C4D" w14:textId="77777777" w:rsidR="00203701" w:rsidRDefault="00203701">
      <w:pPr>
        <w:pBdr>
          <w:top w:val="nil"/>
          <w:left w:val="nil"/>
          <w:bottom w:val="nil"/>
          <w:right w:val="nil"/>
          <w:between w:val="nil"/>
        </w:pBdr>
        <w:spacing w:after="200" w:line="360" w:lineRule="auto"/>
        <w:jc w:val="both"/>
        <w:rPr>
          <w:rFonts w:ascii="Garamond" w:eastAsia="Garamond" w:hAnsi="Garamond" w:cs="Garamond"/>
          <w:i/>
          <w:iCs/>
          <w:color w:val="44546A"/>
          <w:sz w:val="24"/>
          <w:szCs w:val="24"/>
        </w:rPr>
      </w:pPr>
    </w:p>
    <w:tbl>
      <w:tblPr>
        <w:tblStyle w:val="a0"/>
        <w:tblW w:w="9450" w:type="dxa"/>
        <w:tblInd w:w="0" w:type="dxa"/>
        <w:tblLayout w:type="fixed"/>
        <w:tblLook w:val="0000" w:firstRow="0" w:lastRow="0" w:firstColumn="0" w:lastColumn="0" w:noHBand="0" w:noVBand="0"/>
      </w:tblPr>
      <w:tblGrid>
        <w:gridCol w:w="720"/>
        <w:gridCol w:w="286"/>
        <w:gridCol w:w="1784"/>
        <w:gridCol w:w="900"/>
        <w:gridCol w:w="1080"/>
        <w:gridCol w:w="810"/>
        <w:gridCol w:w="540"/>
        <w:gridCol w:w="540"/>
        <w:gridCol w:w="720"/>
        <w:gridCol w:w="900"/>
        <w:gridCol w:w="180"/>
        <w:gridCol w:w="990"/>
      </w:tblGrid>
      <w:tr w:rsidR="00203701" w14:paraId="48649DD3" w14:textId="77777777">
        <w:tc>
          <w:tcPr>
            <w:tcW w:w="2790" w:type="dxa"/>
            <w:gridSpan w:val="3"/>
            <w:vMerge w:val="restart"/>
            <w:tcBorders>
              <w:top w:val="single" w:sz="4" w:space="0" w:color="000000"/>
            </w:tcBorders>
            <w:tcMar>
              <w:top w:w="0" w:type="dxa"/>
              <w:left w:w="108" w:type="dxa"/>
              <w:bottom w:w="0" w:type="dxa"/>
              <w:right w:w="108" w:type="dxa"/>
            </w:tcMar>
          </w:tcPr>
          <w:p w14:paraId="206BE88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 Farm</w:t>
            </w:r>
            <w:r>
              <w:rPr>
                <w:rFonts w:ascii="Garamond" w:eastAsia="Garamond" w:hAnsi="Garamond" w:cs="Garamond"/>
                <w:color w:val="000000"/>
                <w:sz w:val="24"/>
                <w:szCs w:val="24"/>
                <w:vertAlign w:val="superscript"/>
              </w:rPr>
              <w:t>a</w:t>
            </w:r>
          </w:p>
        </w:tc>
        <w:tc>
          <w:tcPr>
            <w:tcW w:w="900" w:type="dxa"/>
            <w:vMerge w:val="restart"/>
            <w:tcBorders>
              <w:top w:val="single" w:sz="4" w:space="0" w:color="000000"/>
            </w:tcBorders>
            <w:tcMar>
              <w:top w:w="0" w:type="dxa"/>
              <w:left w:w="108" w:type="dxa"/>
              <w:bottom w:w="0" w:type="dxa"/>
              <w:right w:w="108" w:type="dxa"/>
            </w:tcMar>
          </w:tcPr>
          <w:p w14:paraId="66C5340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B</w:t>
            </w:r>
          </w:p>
        </w:tc>
        <w:tc>
          <w:tcPr>
            <w:tcW w:w="1080" w:type="dxa"/>
            <w:vMerge w:val="restart"/>
            <w:tcBorders>
              <w:top w:val="single" w:sz="4" w:space="0" w:color="000000"/>
            </w:tcBorders>
            <w:tcMar>
              <w:top w:w="0" w:type="dxa"/>
              <w:left w:w="108" w:type="dxa"/>
              <w:bottom w:w="0" w:type="dxa"/>
              <w:right w:w="108" w:type="dxa"/>
            </w:tcMar>
          </w:tcPr>
          <w:p w14:paraId="3668D3F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Std. Error</w:t>
            </w:r>
          </w:p>
        </w:tc>
        <w:tc>
          <w:tcPr>
            <w:tcW w:w="810" w:type="dxa"/>
            <w:vMerge w:val="restart"/>
            <w:tcBorders>
              <w:top w:val="single" w:sz="4" w:space="0" w:color="000000"/>
            </w:tcBorders>
            <w:tcMar>
              <w:top w:w="0" w:type="dxa"/>
              <w:left w:w="108" w:type="dxa"/>
              <w:bottom w:w="0" w:type="dxa"/>
              <w:right w:w="108" w:type="dxa"/>
            </w:tcMar>
          </w:tcPr>
          <w:p w14:paraId="6E991C9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Wald</w:t>
            </w:r>
          </w:p>
        </w:tc>
        <w:tc>
          <w:tcPr>
            <w:tcW w:w="540" w:type="dxa"/>
            <w:vMerge w:val="restart"/>
            <w:tcBorders>
              <w:top w:val="single" w:sz="4" w:space="0" w:color="000000"/>
            </w:tcBorders>
            <w:tcMar>
              <w:top w:w="0" w:type="dxa"/>
              <w:left w:w="108" w:type="dxa"/>
              <w:bottom w:w="0" w:type="dxa"/>
              <w:right w:w="108" w:type="dxa"/>
            </w:tcMar>
          </w:tcPr>
          <w:p w14:paraId="02EB005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df</w:t>
            </w:r>
          </w:p>
        </w:tc>
        <w:tc>
          <w:tcPr>
            <w:tcW w:w="540" w:type="dxa"/>
            <w:vMerge w:val="restart"/>
            <w:tcBorders>
              <w:top w:val="single" w:sz="4" w:space="0" w:color="000000"/>
            </w:tcBorders>
            <w:tcMar>
              <w:top w:w="0" w:type="dxa"/>
              <w:left w:w="108" w:type="dxa"/>
              <w:bottom w:w="0" w:type="dxa"/>
              <w:right w:w="108" w:type="dxa"/>
            </w:tcMar>
          </w:tcPr>
          <w:p w14:paraId="0C77B1B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Sig.</w:t>
            </w:r>
          </w:p>
        </w:tc>
        <w:tc>
          <w:tcPr>
            <w:tcW w:w="720" w:type="dxa"/>
            <w:vMerge w:val="restart"/>
            <w:tcBorders>
              <w:top w:val="single" w:sz="4" w:space="0" w:color="000000"/>
            </w:tcBorders>
            <w:tcMar>
              <w:top w:w="0" w:type="dxa"/>
              <w:left w:w="108" w:type="dxa"/>
              <w:bottom w:w="0" w:type="dxa"/>
              <w:right w:w="108" w:type="dxa"/>
            </w:tcMar>
          </w:tcPr>
          <w:p w14:paraId="66EA6DB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Exp(B)</w:t>
            </w:r>
          </w:p>
        </w:tc>
        <w:tc>
          <w:tcPr>
            <w:tcW w:w="2070" w:type="dxa"/>
            <w:gridSpan w:val="3"/>
            <w:tcBorders>
              <w:top w:val="single" w:sz="4" w:space="0" w:color="000000"/>
            </w:tcBorders>
            <w:tcMar>
              <w:top w:w="0" w:type="dxa"/>
              <w:left w:w="108" w:type="dxa"/>
              <w:bottom w:w="0" w:type="dxa"/>
              <w:right w:w="108" w:type="dxa"/>
            </w:tcMar>
          </w:tcPr>
          <w:p w14:paraId="4A80C07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95% Confidence Interval for Exp(B)</w:t>
            </w:r>
          </w:p>
        </w:tc>
      </w:tr>
      <w:tr w:rsidR="00203701" w14:paraId="411BE30D" w14:textId="77777777">
        <w:trPr>
          <w:trHeight w:val="288"/>
        </w:trPr>
        <w:tc>
          <w:tcPr>
            <w:tcW w:w="2790" w:type="dxa"/>
            <w:gridSpan w:val="3"/>
            <w:vMerge/>
            <w:tcBorders>
              <w:top w:val="single" w:sz="4" w:space="0" w:color="000000"/>
            </w:tcBorders>
            <w:tcMar>
              <w:top w:w="0" w:type="dxa"/>
              <w:left w:w="108" w:type="dxa"/>
              <w:bottom w:w="0" w:type="dxa"/>
              <w:right w:w="108" w:type="dxa"/>
            </w:tcMar>
          </w:tcPr>
          <w:p w14:paraId="57078683"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900" w:type="dxa"/>
            <w:vMerge/>
            <w:tcBorders>
              <w:top w:val="single" w:sz="4" w:space="0" w:color="000000"/>
            </w:tcBorders>
            <w:tcMar>
              <w:top w:w="0" w:type="dxa"/>
              <w:left w:w="108" w:type="dxa"/>
              <w:bottom w:w="0" w:type="dxa"/>
              <w:right w:w="108" w:type="dxa"/>
            </w:tcMar>
          </w:tcPr>
          <w:p w14:paraId="56C027C8"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080" w:type="dxa"/>
            <w:vMerge/>
            <w:tcBorders>
              <w:top w:val="single" w:sz="4" w:space="0" w:color="000000"/>
            </w:tcBorders>
            <w:tcMar>
              <w:top w:w="0" w:type="dxa"/>
              <w:left w:w="108" w:type="dxa"/>
              <w:bottom w:w="0" w:type="dxa"/>
              <w:right w:w="108" w:type="dxa"/>
            </w:tcMar>
          </w:tcPr>
          <w:p w14:paraId="24C2F57B"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810" w:type="dxa"/>
            <w:vMerge/>
            <w:tcBorders>
              <w:top w:val="single" w:sz="4" w:space="0" w:color="000000"/>
            </w:tcBorders>
            <w:tcMar>
              <w:top w:w="0" w:type="dxa"/>
              <w:left w:w="108" w:type="dxa"/>
              <w:bottom w:w="0" w:type="dxa"/>
              <w:right w:w="108" w:type="dxa"/>
            </w:tcMar>
          </w:tcPr>
          <w:p w14:paraId="665030A5"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540" w:type="dxa"/>
            <w:vMerge/>
            <w:tcBorders>
              <w:top w:val="single" w:sz="4" w:space="0" w:color="000000"/>
            </w:tcBorders>
            <w:tcMar>
              <w:top w:w="0" w:type="dxa"/>
              <w:left w:w="108" w:type="dxa"/>
              <w:bottom w:w="0" w:type="dxa"/>
              <w:right w:w="108" w:type="dxa"/>
            </w:tcMar>
          </w:tcPr>
          <w:p w14:paraId="2D67164A"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540" w:type="dxa"/>
            <w:vMerge/>
            <w:tcBorders>
              <w:top w:val="single" w:sz="4" w:space="0" w:color="000000"/>
            </w:tcBorders>
            <w:tcMar>
              <w:top w:w="0" w:type="dxa"/>
              <w:left w:w="108" w:type="dxa"/>
              <w:bottom w:w="0" w:type="dxa"/>
              <w:right w:w="108" w:type="dxa"/>
            </w:tcMar>
          </w:tcPr>
          <w:p w14:paraId="66CEE162"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720" w:type="dxa"/>
            <w:vMerge/>
            <w:tcBorders>
              <w:top w:val="single" w:sz="4" w:space="0" w:color="000000"/>
            </w:tcBorders>
            <w:tcMar>
              <w:top w:w="0" w:type="dxa"/>
              <w:left w:w="108" w:type="dxa"/>
              <w:bottom w:w="0" w:type="dxa"/>
              <w:right w:w="108" w:type="dxa"/>
            </w:tcMar>
          </w:tcPr>
          <w:p w14:paraId="29A957E7"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080" w:type="dxa"/>
            <w:gridSpan w:val="2"/>
            <w:tcMar>
              <w:top w:w="0" w:type="dxa"/>
              <w:left w:w="108" w:type="dxa"/>
              <w:bottom w:w="0" w:type="dxa"/>
              <w:right w:w="108" w:type="dxa"/>
            </w:tcMar>
          </w:tcPr>
          <w:p w14:paraId="609DF09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Lower Bound</w:t>
            </w:r>
          </w:p>
        </w:tc>
        <w:tc>
          <w:tcPr>
            <w:tcW w:w="990" w:type="dxa"/>
            <w:tcMar>
              <w:top w:w="0" w:type="dxa"/>
              <w:left w:w="108" w:type="dxa"/>
              <w:bottom w:w="0" w:type="dxa"/>
              <w:right w:w="108" w:type="dxa"/>
            </w:tcMar>
          </w:tcPr>
          <w:p w14:paraId="2623A91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Upper Bound</w:t>
            </w:r>
          </w:p>
        </w:tc>
      </w:tr>
      <w:tr w:rsidR="00203701" w14:paraId="1939E6D3" w14:textId="77777777">
        <w:tc>
          <w:tcPr>
            <w:tcW w:w="720" w:type="dxa"/>
            <w:vMerge w:val="restart"/>
            <w:tcMar>
              <w:top w:w="0" w:type="dxa"/>
              <w:left w:w="108" w:type="dxa"/>
              <w:bottom w:w="0" w:type="dxa"/>
              <w:right w:w="108" w:type="dxa"/>
            </w:tcMar>
          </w:tcPr>
          <w:p w14:paraId="65E24CE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Yes</w:t>
            </w:r>
          </w:p>
        </w:tc>
        <w:tc>
          <w:tcPr>
            <w:tcW w:w="2070" w:type="dxa"/>
            <w:gridSpan w:val="2"/>
            <w:tcBorders>
              <w:top w:val="single" w:sz="4" w:space="0" w:color="000000"/>
            </w:tcBorders>
            <w:tcMar>
              <w:top w:w="0" w:type="dxa"/>
              <w:left w:w="108" w:type="dxa"/>
              <w:bottom w:w="0" w:type="dxa"/>
              <w:right w:w="108" w:type="dxa"/>
            </w:tcMar>
          </w:tcPr>
          <w:p w14:paraId="35AE0CD2" w14:textId="77777777" w:rsidR="00203701" w:rsidRDefault="003D14C2">
            <w:pPr>
              <w:spacing w:after="0" w:line="360" w:lineRule="auto"/>
              <w:ind w:right="60"/>
              <w:jc w:val="both"/>
              <w:rPr>
                <w:rFonts w:ascii="Garamond" w:eastAsia="Garamond" w:hAnsi="Garamond" w:cs="Garamond"/>
                <w:color w:val="000000"/>
                <w:sz w:val="24"/>
                <w:szCs w:val="24"/>
              </w:rPr>
            </w:pPr>
            <w:r>
              <w:rPr>
                <w:rFonts w:ascii="Garamond" w:eastAsia="Garamond" w:hAnsi="Garamond" w:cs="Garamond"/>
                <w:color w:val="000000"/>
                <w:sz w:val="24"/>
                <w:szCs w:val="24"/>
              </w:rPr>
              <w:t>Intercept</w:t>
            </w:r>
          </w:p>
        </w:tc>
        <w:tc>
          <w:tcPr>
            <w:tcW w:w="900" w:type="dxa"/>
            <w:tcBorders>
              <w:top w:val="single" w:sz="4" w:space="0" w:color="000000"/>
            </w:tcBorders>
            <w:tcMar>
              <w:top w:w="0" w:type="dxa"/>
              <w:left w:w="108" w:type="dxa"/>
              <w:bottom w:w="0" w:type="dxa"/>
              <w:right w:w="108" w:type="dxa"/>
            </w:tcMar>
          </w:tcPr>
          <w:p w14:paraId="712E9D4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1.887</w:t>
            </w:r>
          </w:p>
        </w:tc>
        <w:tc>
          <w:tcPr>
            <w:tcW w:w="1080" w:type="dxa"/>
            <w:tcBorders>
              <w:top w:val="single" w:sz="4" w:space="0" w:color="000000"/>
            </w:tcBorders>
            <w:tcMar>
              <w:top w:w="0" w:type="dxa"/>
              <w:left w:w="108" w:type="dxa"/>
              <w:bottom w:w="0" w:type="dxa"/>
              <w:right w:w="108" w:type="dxa"/>
            </w:tcMar>
          </w:tcPr>
          <w:p w14:paraId="245436C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.240</w:t>
            </w:r>
          </w:p>
        </w:tc>
        <w:tc>
          <w:tcPr>
            <w:tcW w:w="810" w:type="dxa"/>
            <w:tcBorders>
              <w:top w:val="single" w:sz="4" w:space="0" w:color="000000"/>
            </w:tcBorders>
            <w:tcMar>
              <w:top w:w="0" w:type="dxa"/>
              <w:left w:w="108" w:type="dxa"/>
              <w:bottom w:w="0" w:type="dxa"/>
              <w:right w:w="108" w:type="dxa"/>
            </w:tcMar>
          </w:tcPr>
          <w:p w14:paraId="4DC5907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61.850</w:t>
            </w:r>
          </w:p>
        </w:tc>
        <w:tc>
          <w:tcPr>
            <w:tcW w:w="540" w:type="dxa"/>
            <w:tcBorders>
              <w:top w:val="single" w:sz="4" w:space="0" w:color="000000"/>
            </w:tcBorders>
            <w:tcMar>
              <w:top w:w="0" w:type="dxa"/>
              <w:left w:w="108" w:type="dxa"/>
              <w:bottom w:w="0" w:type="dxa"/>
              <w:right w:w="108" w:type="dxa"/>
            </w:tcMar>
          </w:tcPr>
          <w:p w14:paraId="2F43CC7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Borders>
              <w:top w:val="single" w:sz="4" w:space="0" w:color="000000"/>
            </w:tcBorders>
            <w:tcMar>
              <w:top w:w="0" w:type="dxa"/>
              <w:left w:w="108" w:type="dxa"/>
              <w:bottom w:w="0" w:type="dxa"/>
              <w:right w:w="108" w:type="dxa"/>
            </w:tcMar>
          </w:tcPr>
          <w:p w14:paraId="5708DE8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.000</w:t>
            </w:r>
          </w:p>
        </w:tc>
        <w:tc>
          <w:tcPr>
            <w:tcW w:w="720" w:type="dxa"/>
            <w:tcBorders>
              <w:top w:val="single" w:sz="4" w:space="0" w:color="000000"/>
            </w:tcBorders>
            <w:tcMar>
              <w:top w:w="0" w:type="dxa"/>
              <w:left w:w="108" w:type="dxa"/>
              <w:bottom w:w="0" w:type="dxa"/>
              <w:right w:w="108" w:type="dxa"/>
            </w:tcMar>
          </w:tcPr>
          <w:p w14:paraId="0A4CE7D0" w14:textId="77777777" w:rsidR="00203701" w:rsidRDefault="00203701">
            <w:pPr>
              <w:spacing w:after="0" w:line="360" w:lineRule="auto"/>
              <w:jc w:val="both"/>
              <w:rPr>
                <w:rFonts w:ascii="Garamond" w:eastAsia="Garamond" w:hAnsi="Garamond" w:cs="Garamond"/>
                <w:color w:val="000000"/>
                <w:sz w:val="24"/>
                <w:szCs w:val="24"/>
              </w:rPr>
            </w:pPr>
          </w:p>
        </w:tc>
        <w:tc>
          <w:tcPr>
            <w:tcW w:w="1080" w:type="dxa"/>
            <w:gridSpan w:val="2"/>
            <w:tcBorders>
              <w:top w:val="single" w:sz="4" w:space="0" w:color="000000"/>
            </w:tcBorders>
            <w:tcMar>
              <w:top w:w="0" w:type="dxa"/>
              <w:left w:w="108" w:type="dxa"/>
              <w:bottom w:w="0" w:type="dxa"/>
              <w:right w:w="108" w:type="dxa"/>
            </w:tcMar>
          </w:tcPr>
          <w:p w14:paraId="4365CE16" w14:textId="77777777" w:rsidR="00203701" w:rsidRDefault="00203701">
            <w:pPr>
              <w:spacing w:after="0" w:line="360" w:lineRule="auto"/>
              <w:jc w:val="both"/>
              <w:rPr>
                <w:rFonts w:ascii="Garamond" w:eastAsia="Garamond" w:hAnsi="Garamond" w:cs="Garamond"/>
                <w:color w:val="000000"/>
                <w:sz w:val="24"/>
                <w:szCs w:val="24"/>
              </w:rPr>
            </w:pPr>
          </w:p>
        </w:tc>
        <w:tc>
          <w:tcPr>
            <w:tcW w:w="990" w:type="dxa"/>
            <w:tcBorders>
              <w:top w:val="single" w:sz="4" w:space="0" w:color="000000"/>
            </w:tcBorders>
            <w:tcMar>
              <w:top w:w="0" w:type="dxa"/>
              <w:left w:w="108" w:type="dxa"/>
              <w:bottom w:w="0" w:type="dxa"/>
              <w:right w:w="108" w:type="dxa"/>
            </w:tcMar>
          </w:tcPr>
          <w:p w14:paraId="339FEC52" w14:textId="77777777" w:rsidR="00203701" w:rsidRDefault="00203701">
            <w:pPr>
              <w:spacing w:after="0" w:line="360" w:lineRule="auto"/>
              <w:jc w:val="both"/>
              <w:rPr>
                <w:rFonts w:ascii="Garamond" w:eastAsia="Garamond" w:hAnsi="Garamond" w:cs="Garamond"/>
                <w:color w:val="000000"/>
                <w:sz w:val="24"/>
                <w:szCs w:val="24"/>
              </w:rPr>
            </w:pPr>
          </w:p>
        </w:tc>
      </w:tr>
      <w:tr w:rsidR="00203701" w14:paraId="497F92B1" w14:textId="77777777">
        <w:tc>
          <w:tcPr>
            <w:tcW w:w="720" w:type="dxa"/>
            <w:vMerge/>
            <w:tcMar>
              <w:top w:w="0" w:type="dxa"/>
              <w:left w:w="108" w:type="dxa"/>
              <w:bottom w:w="0" w:type="dxa"/>
              <w:right w:w="108" w:type="dxa"/>
            </w:tcMar>
          </w:tcPr>
          <w:p w14:paraId="5D58E8B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Mar>
              <w:top w:w="0" w:type="dxa"/>
              <w:left w:w="108" w:type="dxa"/>
              <w:bottom w:w="0" w:type="dxa"/>
              <w:right w:w="108" w:type="dxa"/>
            </w:tcMar>
          </w:tcPr>
          <w:p w14:paraId="36E5B4CA"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Climate Change</w:t>
            </w:r>
          </w:p>
        </w:tc>
        <w:tc>
          <w:tcPr>
            <w:tcW w:w="900" w:type="dxa"/>
            <w:tcMar>
              <w:top w:w="0" w:type="dxa"/>
              <w:left w:w="108" w:type="dxa"/>
              <w:bottom w:w="0" w:type="dxa"/>
              <w:right w:w="108" w:type="dxa"/>
            </w:tcMar>
          </w:tcPr>
          <w:p w14:paraId="2555753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.821</w:t>
            </w:r>
          </w:p>
        </w:tc>
        <w:tc>
          <w:tcPr>
            <w:tcW w:w="1080" w:type="dxa"/>
            <w:tcMar>
              <w:top w:w="0" w:type="dxa"/>
              <w:left w:w="108" w:type="dxa"/>
              <w:bottom w:w="0" w:type="dxa"/>
              <w:right w:w="108" w:type="dxa"/>
            </w:tcMar>
          </w:tcPr>
          <w:p w14:paraId="5A7E6B9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.569</w:t>
            </w:r>
          </w:p>
        </w:tc>
        <w:tc>
          <w:tcPr>
            <w:tcW w:w="810" w:type="dxa"/>
            <w:tcMar>
              <w:top w:w="0" w:type="dxa"/>
              <w:left w:w="108" w:type="dxa"/>
              <w:bottom w:w="0" w:type="dxa"/>
              <w:right w:w="108" w:type="dxa"/>
            </w:tcMar>
          </w:tcPr>
          <w:p w14:paraId="3EF1501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2.079</w:t>
            </w:r>
          </w:p>
        </w:tc>
        <w:tc>
          <w:tcPr>
            <w:tcW w:w="540" w:type="dxa"/>
            <w:tcMar>
              <w:top w:w="0" w:type="dxa"/>
              <w:left w:w="108" w:type="dxa"/>
              <w:bottom w:w="0" w:type="dxa"/>
              <w:right w:w="108" w:type="dxa"/>
            </w:tcMar>
          </w:tcPr>
          <w:p w14:paraId="4A99BDC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07130D3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.149</w:t>
            </w:r>
          </w:p>
        </w:tc>
        <w:tc>
          <w:tcPr>
            <w:tcW w:w="720" w:type="dxa"/>
            <w:tcMar>
              <w:top w:w="0" w:type="dxa"/>
              <w:left w:w="108" w:type="dxa"/>
              <w:bottom w:w="0" w:type="dxa"/>
              <w:right w:w="108" w:type="dxa"/>
            </w:tcMar>
          </w:tcPr>
          <w:p w14:paraId="00EF6D4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2.273</w:t>
            </w:r>
          </w:p>
        </w:tc>
        <w:tc>
          <w:tcPr>
            <w:tcW w:w="1080" w:type="dxa"/>
            <w:gridSpan w:val="2"/>
            <w:tcMar>
              <w:top w:w="0" w:type="dxa"/>
              <w:left w:w="108" w:type="dxa"/>
              <w:bottom w:w="0" w:type="dxa"/>
              <w:right w:w="108" w:type="dxa"/>
            </w:tcMar>
          </w:tcPr>
          <w:p w14:paraId="7C3FCBE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.744</w:t>
            </w:r>
          </w:p>
        </w:tc>
        <w:tc>
          <w:tcPr>
            <w:tcW w:w="990" w:type="dxa"/>
            <w:tcMar>
              <w:top w:w="0" w:type="dxa"/>
              <w:left w:w="108" w:type="dxa"/>
              <w:bottom w:w="0" w:type="dxa"/>
              <w:right w:w="108" w:type="dxa"/>
            </w:tcMar>
          </w:tcPr>
          <w:p w14:paraId="367F377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6.938</w:t>
            </w:r>
          </w:p>
        </w:tc>
      </w:tr>
      <w:tr w:rsidR="00203701" w14:paraId="2F09BF3E" w14:textId="77777777">
        <w:tc>
          <w:tcPr>
            <w:tcW w:w="720" w:type="dxa"/>
            <w:vMerge/>
            <w:tcMar>
              <w:top w:w="0" w:type="dxa"/>
              <w:left w:w="108" w:type="dxa"/>
              <w:bottom w:w="0" w:type="dxa"/>
              <w:right w:w="108" w:type="dxa"/>
            </w:tcMar>
          </w:tcPr>
          <w:p w14:paraId="3E2B6E90"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Mar>
              <w:top w:w="0" w:type="dxa"/>
              <w:left w:w="108" w:type="dxa"/>
              <w:bottom w:w="0" w:type="dxa"/>
              <w:right w:w="108" w:type="dxa"/>
            </w:tcMar>
          </w:tcPr>
          <w:p w14:paraId="233D511F"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Flat Terrane</w:t>
            </w:r>
          </w:p>
        </w:tc>
        <w:tc>
          <w:tcPr>
            <w:tcW w:w="900" w:type="dxa"/>
            <w:tcMar>
              <w:top w:w="0" w:type="dxa"/>
              <w:left w:w="108" w:type="dxa"/>
              <w:bottom w:w="0" w:type="dxa"/>
              <w:right w:w="108" w:type="dxa"/>
            </w:tcMar>
          </w:tcPr>
          <w:p w14:paraId="025DDEB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.697</w:t>
            </w:r>
          </w:p>
        </w:tc>
        <w:tc>
          <w:tcPr>
            <w:tcW w:w="1080" w:type="dxa"/>
            <w:tcMar>
              <w:top w:w="0" w:type="dxa"/>
              <w:left w:w="108" w:type="dxa"/>
              <w:bottom w:w="0" w:type="dxa"/>
              <w:right w:w="108" w:type="dxa"/>
            </w:tcMar>
          </w:tcPr>
          <w:p w14:paraId="6634EA4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.571</w:t>
            </w:r>
          </w:p>
        </w:tc>
        <w:tc>
          <w:tcPr>
            <w:tcW w:w="810" w:type="dxa"/>
            <w:tcMar>
              <w:top w:w="0" w:type="dxa"/>
              <w:left w:w="108" w:type="dxa"/>
              <w:bottom w:w="0" w:type="dxa"/>
              <w:right w:w="108" w:type="dxa"/>
            </w:tcMar>
          </w:tcPr>
          <w:p w14:paraId="170C14D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1.488</w:t>
            </w:r>
          </w:p>
        </w:tc>
        <w:tc>
          <w:tcPr>
            <w:tcW w:w="540" w:type="dxa"/>
            <w:tcMar>
              <w:top w:w="0" w:type="dxa"/>
              <w:left w:w="108" w:type="dxa"/>
              <w:bottom w:w="0" w:type="dxa"/>
              <w:right w:w="108" w:type="dxa"/>
            </w:tcMar>
          </w:tcPr>
          <w:p w14:paraId="45892AD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3A3C672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.223</w:t>
            </w:r>
          </w:p>
        </w:tc>
        <w:tc>
          <w:tcPr>
            <w:tcW w:w="720" w:type="dxa"/>
            <w:tcMar>
              <w:top w:w="0" w:type="dxa"/>
              <w:left w:w="108" w:type="dxa"/>
              <w:bottom w:w="0" w:type="dxa"/>
              <w:right w:w="108" w:type="dxa"/>
            </w:tcMar>
          </w:tcPr>
          <w:p w14:paraId="3A4ED54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2.008</w:t>
            </w:r>
          </w:p>
        </w:tc>
        <w:tc>
          <w:tcPr>
            <w:tcW w:w="1080" w:type="dxa"/>
            <w:gridSpan w:val="2"/>
            <w:tcMar>
              <w:top w:w="0" w:type="dxa"/>
              <w:left w:w="108" w:type="dxa"/>
              <w:bottom w:w="0" w:type="dxa"/>
              <w:right w:w="108" w:type="dxa"/>
            </w:tcMar>
          </w:tcPr>
          <w:p w14:paraId="7D58096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.655</w:t>
            </w:r>
          </w:p>
        </w:tc>
        <w:tc>
          <w:tcPr>
            <w:tcW w:w="990" w:type="dxa"/>
            <w:tcMar>
              <w:top w:w="0" w:type="dxa"/>
              <w:left w:w="108" w:type="dxa"/>
              <w:bottom w:w="0" w:type="dxa"/>
              <w:right w:w="108" w:type="dxa"/>
            </w:tcMar>
          </w:tcPr>
          <w:p w14:paraId="356CEE9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6.152</w:t>
            </w:r>
          </w:p>
        </w:tc>
      </w:tr>
      <w:tr w:rsidR="00203701" w14:paraId="46460DAE" w14:textId="77777777">
        <w:tc>
          <w:tcPr>
            <w:tcW w:w="720" w:type="dxa"/>
            <w:vMerge/>
            <w:tcMar>
              <w:top w:w="0" w:type="dxa"/>
              <w:left w:w="108" w:type="dxa"/>
              <w:bottom w:w="0" w:type="dxa"/>
              <w:right w:w="108" w:type="dxa"/>
            </w:tcMar>
          </w:tcPr>
          <w:p w14:paraId="23FA83B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2070" w:type="dxa"/>
            <w:gridSpan w:val="2"/>
            <w:tcBorders>
              <w:bottom w:val="single" w:sz="4" w:space="0" w:color="000000"/>
            </w:tcBorders>
            <w:tcMar>
              <w:top w:w="0" w:type="dxa"/>
              <w:left w:w="108" w:type="dxa"/>
              <w:bottom w:w="0" w:type="dxa"/>
              <w:right w:w="108" w:type="dxa"/>
            </w:tcMar>
          </w:tcPr>
          <w:p w14:paraId="5C9AF2CB"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Overflow of Lake </w:t>
            </w:r>
            <w:r>
              <w:rPr>
                <w:rFonts w:ascii="Garamond" w:eastAsia="Garamond" w:hAnsi="Garamond" w:cs="Garamond"/>
                <w:color w:val="000000"/>
                <w:sz w:val="24"/>
                <w:szCs w:val="24"/>
              </w:rPr>
              <w:t>Baringo</w:t>
            </w:r>
          </w:p>
        </w:tc>
        <w:tc>
          <w:tcPr>
            <w:tcW w:w="900" w:type="dxa"/>
            <w:tcBorders>
              <w:bottom w:val="single" w:sz="4" w:space="0" w:color="000000"/>
            </w:tcBorders>
            <w:tcMar>
              <w:top w:w="0" w:type="dxa"/>
              <w:left w:w="108" w:type="dxa"/>
              <w:bottom w:w="0" w:type="dxa"/>
              <w:right w:w="108" w:type="dxa"/>
            </w:tcMar>
          </w:tcPr>
          <w:p w14:paraId="3F61394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r>
              <w:rPr>
                <w:rFonts w:ascii="Garamond" w:eastAsia="Garamond" w:hAnsi="Garamond" w:cs="Garamond"/>
                <w:color w:val="000000"/>
                <w:sz w:val="24"/>
                <w:szCs w:val="24"/>
                <w:vertAlign w:val="superscript"/>
              </w:rPr>
              <w:t>b</w:t>
            </w:r>
          </w:p>
        </w:tc>
        <w:tc>
          <w:tcPr>
            <w:tcW w:w="1080" w:type="dxa"/>
            <w:tcBorders>
              <w:bottom w:val="single" w:sz="4" w:space="0" w:color="000000"/>
            </w:tcBorders>
            <w:tcMar>
              <w:top w:w="0" w:type="dxa"/>
              <w:left w:w="108" w:type="dxa"/>
              <w:bottom w:w="0" w:type="dxa"/>
              <w:right w:w="108" w:type="dxa"/>
            </w:tcMar>
          </w:tcPr>
          <w:p w14:paraId="0FDE2E7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810" w:type="dxa"/>
            <w:tcBorders>
              <w:bottom w:val="single" w:sz="4" w:space="0" w:color="000000"/>
            </w:tcBorders>
            <w:tcMar>
              <w:top w:w="0" w:type="dxa"/>
              <w:left w:w="108" w:type="dxa"/>
              <w:bottom w:w="0" w:type="dxa"/>
              <w:right w:w="108" w:type="dxa"/>
            </w:tcMar>
          </w:tcPr>
          <w:p w14:paraId="59AA038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540" w:type="dxa"/>
            <w:tcBorders>
              <w:bottom w:val="single" w:sz="4" w:space="0" w:color="000000"/>
            </w:tcBorders>
            <w:tcMar>
              <w:top w:w="0" w:type="dxa"/>
              <w:left w:w="108" w:type="dxa"/>
              <w:bottom w:w="0" w:type="dxa"/>
              <w:right w:w="108" w:type="dxa"/>
            </w:tcMar>
          </w:tcPr>
          <w:p w14:paraId="6A56C3A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540" w:type="dxa"/>
            <w:tcBorders>
              <w:bottom w:val="single" w:sz="4" w:space="0" w:color="000000"/>
            </w:tcBorders>
            <w:tcMar>
              <w:top w:w="0" w:type="dxa"/>
              <w:left w:w="108" w:type="dxa"/>
              <w:bottom w:w="0" w:type="dxa"/>
              <w:right w:w="108" w:type="dxa"/>
            </w:tcMar>
          </w:tcPr>
          <w:p w14:paraId="1D9E08C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720" w:type="dxa"/>
            <w:tcBorders>
              <w:bottom w:val="single" w:sz="4" w:space="0" w:color="000000"/>
            </w:tcBorders>
            <w:tcMar>
              <w:top w:w="0" w:type="dxa"/>
              <w:left w:w="108" w:type="dxa"/>
              <w:bottom w:w="0" w:type="dxa"/>
              <w:right w:w="108" w:type="dxa"/>
            </w:tcMar>
          </w:tcPr>
          <w:p w14:paraId="52C2E1C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1080" w:type="dxa"/>
            <w:gridSpan w:val="2"/>
            <w:tcBorders>
              <w:bottom w:val="single" w:sz="4" w:space="0" w:color="000000"/>
            </w:tcBorders>
            <w:tcMar>
              <w:top w:w="0" w:type="dxa"/>
              <w:left w:w="108" w:type="dxa"/>
              <w:bottom w:w="0" w:type="dxa"/>
              <w:right w:w="108" w:type="dxa"/>
            </w:tcMar>
          </w:tcPr>
          <w:p w14:paraId="195D61D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990" w:type="dxa"/>
            <w:tcBorders>
              <w:bottom w:val="single" w:sz="4" w:space="0" w:color="000000"/>
            </w:tcBorders>
            <w:tcMar>
              <w:top w:w="0" w:type="dxa"/>
              <w:left w:w="108" w:type="dxa"/>
              <w:bottom w:w="0" w:type="dxa"/>
              <w:right w:w="108" w:type="dxa"/>
            </w:tcMar>
          </w:tcPr>
          <w:p w14:paraId="2E7E81CB"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r>
      <w:tr w:rsidR="00203701" w14:paraId="579B0B27" w14:textId="77777777">
        <w:trPr>
          <w:trHeight w:val="82"/>
        </w:trPr>
        <w:tc>
          <w:tcPr>
            <w:tcW w:w="9450" w:type="dxa"/>
            <w:gridSpan w:val="12"/>
            <w:tcBorders>
              <w:top w:val="single" w:sz="4" w:space="0" w:color="000000"/>
            </w:tcBorders>
            <w:tcMar>
              <w:top w:w="0" w:type="dxa"/>
              <w:left w:w="108" w:type="dxa"/>
              <w:bottom w:w="0" w:type="dxa"/>
              <w:right w:w="108" w:type="dxa"/>
            </w:tcMar>
          </w:tcPr>
          <w:p w14:paraId="0887AA4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Has flooding ever happened in your Home</w:t>
            </w:r>
            <w:r>
              <w:rPr>
                <w:rFonts w:ascii="Garamond" w:eastAsia="Garamond" w:hAnsi="Garamond" w:cs="Garamond"/>
                <w:color w:val="000000"/>
                <w:sz w:val="24"/>
                <w:szCs w:val="24"/>
                <w:vertAlign w:val="superscript"/>
              </w:rPr>
              <w:t>a</w:t>
            </w:r>
          </w:p>
        </w:tc>
      </w:tr>
      <w:tr w:rsidR="00203701" w14:paraId="547D3CC6" w14:textId="77777777">
        <w:tc>
          <w:tcPr>
            <w:tcW w:w="1006" w:type="dxa"/>
            <w:gridSpan w:val="2"/>
            <w:vMerge w:val="restart"/>
            <w:tcMar>
              <w:top w:w="0" w:type="dxa"/>
              <w:left w:w="108" w:type="dxa"/>
              <w:bottom w:w="0" w:type="dxa"/>
              <w:right w:w="108" w:type="dxa"/>
            </w:tcMar>
          </w:tcPr>
          <w:p w14:paraId="7207AFF5" w14:textId="77777777" w:rsidR="00203701" w:rsidRDefault="00203701">
            <w:pPr>
              <w:spacing w:after="0" w:line="360" w:lineRule="auto"/>
              <w:ind w:right="60"/>
              <w:jc w:val="both"/>
              <w:rPr>
                <w:rFonts w:ascii="Garamond" w:eastAsia="Garamond" w:hAnsi="Garamond" w:cs="Garamond"/>
                <w:color w:val="000000"/>
                <w:sz w:val="24"/>
                <w:szCs w:val="24"/>
              </w:rPr>
            </w:pPr>
          </w:p>
        </w:tc>
        <w:tc>
          <w:tcPr>
            <w:tcW w:w="1784" w:type="dxa"/>
            <w:tcMar>
              <w:top w:w="0" w:type="dxa"/>
              <w:left w:w="108" w:type="dxa"/>
              <w:bottom w:w="0" w:type="dxa"/>
              <w:right w:w="108" w:type="dxa"/>
            </w:tcMar>
          </w:tcPr>
          <w:p w14:paraId="2BF62D3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Intercept</w:t>
            </w:r>
          </w:p>
        </w:tc>
        <w:tc>
          <w:tcPr>
            <w:tcW w:w="900" w:type="dxa"/>
            <w:tcMar>
              <w:top w:w="0" w:type="dxa"/>
              <w:left w:w="108" w:type="dxa"/>
              <w:bottom w:w="0" w:type="dxa"/>
              <w:right w:w="108" w:type="dxa"/>
            </w:tcMar>
          </w:tcPr>
          <w:p w14:paraId="1E3136F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1.946</w:t>
            </w:r>
          </w:p>
        </w:tc>
        <w:tc>
          <w:tcPr>
            <w:tcW w:w="1080" w:type="dxa"/>
            <w:tcMar>
              <w:top w:w="0" w:type="dxa"/>
              <w:left w:w="108" w:type="dxa"/>
              <w:bottom w:w="0" w:type="dxa"/>
              <w:right w:w="108" w:type="dxa"/>
            </w:tcMar>
          </w:tcPr>
          <w:p w14:paraId="6116DDC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.245</w:t>
            </w:r>
          </w:p>
        </w:tc>
        <w:tc>
          <w:tcPr>
            <w:tcW w:w="810" w:type="dxa"/>
            <w:tcMar>
              <w:top w:w="0" w:type="dxa"/>
              <w:left w:w="108" w:type="dxa"/>
              <w:bottom w:w="0" w:type="dxa"/>
              <w:right w:w="108" w:type="dxa"/>
            </w:tcMar>
          </w:tcPr>
          <w:p w14:paraId="4547D82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62.952</w:t>
            </w:r>
          </w:p>
        </w:tc>
        <w:tc>
          <w:tcPr>
            <w:tcW w:w="540" w:type="dxa"/>
            <w:tcMar>
              <w:top w:w="0" w:type="dxa"/>
              <w:left w:w="108" w:type="dxa"/>
              <w:bottom w:w="0" w:type="dxa"/>
              <w:right w:w="108" w:type="dxa"/>
            </w:tcMar>
          </w:tcPr>
          <w:p w14:paraId="703CA32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614C6F4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.000</w:t>
            </w:r>
          </w:p>
        </w:tc>
        <w:tc>
          <w:tcPr>
            <w:tcW w:w="720" w:type="dxa"/>
            <w:tcMar>
              <w:top w:w="0" w:type="dxa"/>
              <w:left w:w="108" w:type="dxa"/>
              <w:bottom w:w="0" w:type="dxa"/>
              <w:right w:w="108" w:type="dxa"/>
            </w:tcMar>
          </w:tcPr>
          <w:p w14:paraId="4C55DBB9" w14:textId="77777777" w:rsidR="00203701" w:rsidRDefault="00203701">
            <w:pPr>
              <w:spacing w:after="0" w:line="360" w:lineRule="auto"/>
              <w:jc w:val="both"/>
              <w:rPr>
                <w:rFonts w:ascii="Garamond" w:eastAsia="Garamond" w:hAnsi="Garamond" w:cs="Garamond"/>
                <w:color w:val="000000"/>
                <w:sz w:val="24"/>
                <w:szCs w:val="24"/>
              </w:rPr>
            </w:pPr>
          </w:p>
        </w:tc>
        <w:tc>
          <w:tcPr>
            <w:tcW w:w="900" w:type="dxa"/>
            <w:tcMar>
              <w:top w:w="0" w:type="dxa"/>
              <w:left w:w="108" w:type="dxa"/>
              <w:bottom w:w="0" w:type="dxa"/>
              <w:right w:w="108" w:type="dxa"/>
            </w:tcMar>
          </w:tcPr>
          <w:p w14:paraId="14DB1563" w14:textId="77777777" w:rsidR="00203701" w:rsidRDefault="00203701">
            <w:pPr>
              <w:spacing w:after="0" w:line="360" w:lineRule="auto"/>
              <w:jc w:val="both"/>
              <w:rPr>
                <w:rFonts w:ascii="Garamond" w:eastAsia="Garamond" w:hAnsi="Garamond" w:cs="Garamond"/>
                <w:color w:val="000000"/>
                <w:sz w:val="24"/>
                <w:szCs w:val="24"/>
              </w:rPr>
            </w:pPr>
          </w:p>
        </w:tc>
        <w:tc>
          <w:tcPr>
            <w:tcW w:w="1170" w:type="dxa"/>
            <w:gridSpan w:val="2"/>
            <w:tcMar>
              <w:top w:w="0" w:type="dxa"/>
              <w:left w:w="108" w:type="dxa"/>
              <w:bottom w:w="0" w:type="dxa"/>
              <w:right w:w="108" w:type="dxa"/>
            </w:tcMar>
          </w:tcPr>
          <w:p w14:paraId="33D02DE3" w14:textId="77777777" w:rsidR="00203701" w:rsidRDefault="00203701">
            <w:pPr>
              <w:spacing w:after="0" w:line="360" w:lineRule="auto"/>
              <w:jc w:val="both"/>
              <w:rPr>
                <w:rFonts w:ascii="Garamond" w:eastAsia="Garamond" w:hAnsi="Garamond" w:cs="Garamond"/>
                <w:color w:val="000000"/>
                <w:sz w:val="24"/>
                <w:szCs w:val="24"/>
              </w:rPr>
            </w:pPr>
          </w:p>
        </w:tc>
      </w:tr>
      <w:tr w:rsidR="00203701" w14:paraId="30A42BC9" w14:textId="77777777">
        <w:tc>
          <w:tcPr>
            <w:tcW w:w="1006" w:type="dxa"/>
            <w:gridSpan w:val="2"/>
            <w:vMerge/>
            <w:tcMar>
              <w:top w:w="0" w:type="dxa"/>
              <w:left w:w="108" w:type="dxa"/>
              <w:bottom w:w="0" w:type="dxa"/>
              <w:right w:w="108" w:type="dxa"/>
            </w:tcMar>
          </w:tcPr>
          <w:p w14:paraId="6391539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Mar>
              <w:top w:w="0" w:type="dxa"/>
              <w:left w:w="108" w:type="dxa"/>
              <w:bottom w:w="0" w:type="dxa"/>
              <w:right w:w="108" w:type="dxa"/>
            </w:tcMar>
          </w:tcPr>
          <w:p w14:paraId="593FC12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Climate Change</w:t>
            </w:r>
          </w:p>
        </w:tc>
        <w:tc>
          <w:tcPr>
            <w:tcW w:w="900" w:type="dxa"/>
            <w:tcMar>
              <w:top w:w="0" w:type="dxa"/>
              <w:left w:w="108" w:type="dxa"/>
              <w:bottom w:w="0" w:type="dxa"/>
              <w:right w:w="108" w:type="dxa"/>
            </w:tcMar>
          </w:tcPr>
          <w:p w14:paraId="7DE11EE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.762</w:t>
            </w:r>
          </w:p>
        </w:tc>
        <w:tc>
          <w:tcPr>
            <w:tcW w:w="1080" w:type="dxa"/>
            <w:tcMar>
              <w:top w:w="0" w:type="dxa"/>
              <w:left w:w="108" w:type="dxa"/>
              <w:bottom w:w="0" w:type="dxa"/>
              <w:right w:w="108" w:type="dxa"/>
            </w:tcMar>
          </w:tcPr>
          <w:p w14:paraId="406C4151"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.572</w:t>
            </w:r>
          </w:p>
        </w:tc>
        <w:tc>
          <w:tcPr>
            <w:tcW w:w="810" w:type="dxa"/>
            <w:tcMar>
              <w:top w:w="0" w:type="dxa"/>
              <w:left w:w="108" w:type="dxa"/>
              <w:bottom w:w="0" w:type="dxa"/>
              <w:right w:w="108" w:type="dxa"/>
            </w:tcMar>
          </w:tcPr>
          <w:p w14:paraId="1412846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1.777</w:t>
            </w:r>
          </w:p>
        </w:tc>
        <w:tc>
          <w:tcPr>
            <w:tcW w:w="540" w:type="dxa"/>
            <w:tcMar>
              <w:top w:w="0" w:type="dxa"/>
              <w:left w:w="108" w:type="dxa"/>
              <w:bottom w:w="0" w:type="dxa"/>
              <w:right w:w="108" w:type="dxa"/>
            </w:tcMar>
          </w:tcPr>
          <w:p w14:paraId="256D9A2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78BF183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.182</w:t>
            </w:r>
          </w:p>
        </w:tc>
        <w:tc>
          <w:tcPr>
            <w:tcW w:w="720" w:type="dxa"/>
            <w:tcMar>
              <w:top w:w="0" w:type="dxa"/>
              <w:left w:w="108" w:type="dxa"/>
              <w:bottom w:w="0" w:type="dxa"/>
              <w:right w:w="108" w:type="dxa"/>
            </w:tcMar>
          </w:tcPr>
          <w:p w14:paraId="560FE3B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2.143</w:t>
            </w:r>
          </w:p>
        </w:tc>
        <w:tc>
          <w:tcPr>
            <w:tcW w:w="900" w:type="dxa"/>
            <w:tcMar>
              <w:top w:w="0" w:type="dxa"/>
              <w:left w:w="108" w:type="dxa"/>
              <w:bottom w:w="0" w:type="dxa"/>
              <w:right w:w="108" w:type="dxa"/>
            </w:tcMar>
          </w:tcPr>
          <w:p w14:paraId="3A9FF47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.699</w:t>
            </w:r>
          </w:p>
        </w:tc>
        <w:tc>
          <w:tcPr>
            <w:tcW w:w="1170" w:type="dxa"/>
            <w:gridSpan w:val="2"/>
            <w:tcMar>
              <w:top w:w="0" w:type="dxa"/>
              <w:left w:w="108" w:type="dxa"/>
              <w:bottom w:w="0" w:type="dxa"/>
              <w:right w:w="108" w:type="dxa"/>
            </w:tcMar>
          </w:tcPr>
          <w:p w14:paraId="2572654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6.571</w:t>
            </w:r>
          </w:p>
        </w:tc>
      </w:tr>
      <w:tr w:rsidR="00203701" w14:paraId="2381E4B6" w14:textId="77777777">
        <w:tc>
          <w:tcPr>
            <w:tcW w:w="1006" w:type="dxa"/>
            <w:gridSpan w:val="2"/>
            <w:vMerge/>
            <w:tcMar>
              <w:top w:w="0" w:type="dxa"/>
              <w:left w:w="108" w:type="dxa"/>
              <w:bottom w:w="0" w:type="dxa"/>
              <w:right w:w="108" w:type="dxa"/>
            </w:tcMar>
          </w:tcPr>
          <w:p w14:paraId="2530937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Mar>
              <w:top w:w="0" w:type="dxa"/>
              <w:left w:w="108" w:type="dxa"/>
              <w:bottom w:w="0" w:type="dxa"/>
              <w:right w:w="108" w:type="dxa"/>
            </w:tcMar>
          </w:tcPr>
          <w:p w14:paraId="53950C3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Flat Terrane</w:t>
            </w:r>
          </w:p>
        </w:tc>
        <w:tc>
          <w:tcPr>
            <w:tcW w:w="900" w:type="dxa"/>
            <w:tcMar>
              <w:top w:w="0" w:type="dxa"/>
              <w:left w:w="108" w:type="dxa"/>
              <w:bottom w:w="0" w:type="dxa"/>
              <w:right w:w="108" w:type="dxa"/>
            </w:tcMar>
          </w:tcPr>
          <w:p w14:paraId="1802CD10"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.638</w:t>
            </w:r>
          </w:p>
        </w:tc>
        <w:tc>
          <w:tcPr>
            <w:tcW w:w="1080" w:type="dxa"/>
            <w:tcMar>
              <w:top w:w="0" w:type="dxa"/>
              <w:left w:w="108" w:type="dxa"/>
              <w:bottom w:w="0" w:type="dxa"/>
              <w:right w:w="108" w:type="dxa"/>
            </w:tcMar>
          </w:tcPr>
          <w:p w14:paraId="3E8196E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.574</w:t>
            </w:r>
          </w:p>
        </w:tc>
        <w:tc>
          <w:tcPr>
            <w:tcW w:w="810" w:type="dxa"/>
            <w:tcMar>
              <w:top w:w="0" w:type="dxa"/>
              <w:left w:w="108" w:type="dxa"/>
              <w:bottom w:w="0" w:type="dxa"/>
              <w:right w:w="108" w:type="dxa"/>
            </w:tcMar>
          </w:tcPr>
          <w:p w14:paraId="0C882A8A"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1.237</w:t>
            </w:r>
          </w:p>
        </w:tc>
        <w:tc>
          <w:tcPr>
            <w:tcW w:w="540" w:type="dxa"/>
            <w:tcMar>
              <w:top w:w="0" w:type="dxa"/>
              <w:left w:w="108" w:type="dxa"/>
              <w:bottom w:w="0" w:type="dxa"/>
              <w:right w:w="108" w:type="dxa"/>
            </w:tcMar>
          </w:tcPr>
          <w:p w14:paraId="5ED4B03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w:t>
            </w:r>
          </w:p>
        </w:tc>
        <w:tc>
          <w:tcPr>
            <w:tcW w:w="540" w:type="dxa"/>
            <w:tcMar>
              <w:top w:w="0" w:type="dxa"/>
              <w:left w:w="108" w:type="dxa"/>
              <w:bottom w:w="0" w:type="dxa"/>
              <w:right w:w="108" w:type="dxa"/>
            </w:tcMar>
          </w:tcPr>
          <w:p w14:paraId="2078539F"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.266</w:t>
            </w:r>
          </w:p>
        </w:tc>
        <w:tc>
          <w:tcPr>
            <w:tcW w:w="720" w:type="dxa"/>
            <w:tcMar>
              <w:top w:w="0" w:type="dxa"/>
              <w:left w:w="108" w:type="dxa"/>
              <w:bottom w:w="0" w:type="dxa"/>
              <w:right w:w="108" w:type="dxa"/>
            </w:tcMar>
          </w:tcPr>
          <w:p w14:paraId="432CABFD"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1.893</w:t>
            </w:r>
          </w:p>
        </w:tc>
        <w:tc>
          <w:tcPr>
            <w:tcW w:w="900" w:type="dxa"/>
            <w:tcMar>
              <w:top w:w="0" w:type="dxa"/>
              <w:left w:w="108" w:type="dxa"/>
              <w:bottom w:w="0" w:type="dxa"/>
              <w:right w:w="108" w:type="dxa"/>
            </w:tcMar>
          </w:tcPr>
          <w:p w14:paraId="23CEEFB7"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.615</w:t>
            </w:r>
          </w:p>
        </w:tc>
        <w:tc>
          <w:tcPr>
            <w:tcW w:w="1170" w:type="dxa"/>
            <w:gridSpan w:val="2"/>
            <w:tcMar>
              <w:top w:w="0" w:type="dxa"/>
              <w:left w:w="108" w:type="dxa"/>
              <w:bottom w:w="0" w:type="dxa"/>
              <w:right w:w="108" w:type="dxa"/>
            </w:tcMar>
          </w:tcPr>
          <w:p w14:paraId="54CEFB0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5.826</w:t>
            </w:r>
          </w:p>
        </w:tc>
      </w:tr>
      <w:tr w:rsidR="00203701" w14:paraId="4D5CBD65" w14:textId="77777777">
        <w:tc>
          <w:tcPr>
            <w:tcW w:w="1006" w:type="dxa"/>
            <w:gridSpan w:val="2"/>
            <w:vMerge/>
            <w:tcMar>
              <w:top w:w="0" w:type="dxa"/>
              <w:left w:w="108" w:type="dxa"/>
              <w:bottom w:w="0" w:type="dxa"/>
              <w:right w:w="108" w:type="dxa"/>
            </w:tcMar>
          </w:tcPr>
          <w:p w14:paraId="492FDC6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784" w:type="dxa"/>
            <w:tcBorders>
              <w:bottom w:val="single" w:sz="4" w:space="0" w:color="000000"/>
            </w:tcBorders>
            <w:tcMar>
              <w:top w:w="0" w:type="dxa"/>
              <w:left w:w="108" w:type="dxa"/>
              <w:bottom w:w="0" w:type="dxa"/>
              <w:right w:w="108" w:type="dxa"/>
            </w:tcMar>
          </w:tcPr>
          <w:p w14:paraId="4C28384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Overflow of Lake Baringo</w:t>
            </w:r>
          </w:p>
        </w:tc>
        <w:tc>
          <w:tcPr>
            <w:tcW w:w="900" w:type="dxa"/>
            <w:tcBorders>
              <w:bottom w:val="single" w:sz="4" w:space="0" w:color="000000"/>
            </w:tcBorders>
            <w:tcMar>
              <w:top w:w="0" w:type="dxa"/>
              <w:left w:w="108" w:type="dxa"/>
              <w:bottom w:w="0" w:type="dxa"/>
              <w:right w:w="108" w:type="dxa"/>
            </w:tcMar>
          </w:tcPr>
          <w:p w14:paraId="3E041792"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r>
              <w:rPr>
                <w:rFonts w:ascii="Garamond" w:eastAsia="Garamond" w:hAnsi="Garamond" w:cs="Garamond"/>
                <w:color w:val="000000"/>
                <w:sz w:val="24"/>
                <w:szCs w:val="24"/>
                <w:vertAlign w:val="superscript"/>
              </w:rPr>
              <w:t>b</w:t>
            </w:r>
          </w:p>
        </w:tc>
        <w:tc>
          <w:tcPr>
            <w:tcW w:w="1080" w:type="dxa"/>
            <w:tcBorders>
              <w:bottom w:val="single" w:sz="4" w:space="0" w:color="000000"/>
            </w:tcBorders>
            <w:tcMar>
              <w:top w:w="0" w:type="dxa"/>
              <w:left w:w="108" w:type="dxa"/>
              <w:bottom w:w="0" w:type="dxa"/>
              <w:right w:w="108" w:type="dxa"/>
            </w:tcMar>
          </w:tcPr>
          <w:p w14:paraId="3E0907B8"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810" w:type="dxa"/>
            <w:tcBorders>
              <w:bottom w:val="single" w:sz="4" w:space="0" w:color="000000"/>
            </w:tcBorders>
            <w:tcMar>
              <w:top w:w="0" w:type="dxa"/>
              <w:left w:w="108" w:type="dxa"/>
              <w:bottom w:w="0" w:type="dxa"/>
              <w:right w:w="108" w:type="dxa"/>
            </w:tcMar>
          </w:tcPr>
          <w:p w14:paraId="7B79E2D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540" w:type="dxa"/>
            <w:tcBorders>
              <w:bottom w:val="single" w:sz="4" w:space="0" w:color="000000"/>
            </w:tcBorders>
            <w:tcMar>
              <w:top w:w="0" w:type="dxa"/>
              <w:left w:w="108" w:type="dxa"/>
              <w:bottom w:w="0" w:type="dxa"/>
              <w:right w:w="108" w:type="dxa"/>
            </w:tcMar>
          </w:tcPr>
          <w:p w14:paraId="0E00AA34"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540" w:type="dxa"/>
            <w:tcBorders>
              <w:bottom w:val="single" w:sz="4" w:space="0" w:color="000000"/>
            </w:tcBorders>
            <w:tcMar>
              <w:top w:w="0" w:type="dxa"/>
              <w:left w:w="108" w:type="dxa"/>
              <w:bottom w:w="0" w:type="dxa"/>
              <w:right w:w="108" w:type="dxa"/>
            </w:tcMar>
          </w:tcPr>
          <w:p w14:paraId="4A8E3AAC"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720" w:type="dxa"/>
            <w:tcBorders>
              <w:bottom w:val="single" w:sz="4" w:space="0" w:color="000000"/>
            </w:tcBorders>
            <w:tcMar>
              <w:top w:w="0" w:type="dxa"/>
              <w:left w:w="108" w:type="dxa"/>
              <w:bottom w:w="0" w:type="dxa"/>
              <w:right w:w="108" w:type="dxa"/>
            </w:tcMar>
          </w:tcPr>
          <w:p w14:paraId="4D6DB1A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900" w:type="dxa"/>
            <w:tcBorders>
              <w:bottom w:val="single" w:sz="4" w:space="0" w:color="000000"/>
            </w:tcBorders>
            <w:tcMar>
              <w:top w:w="0" w:type="dxa"/>
              <w:left w:w="108" w:type="dxa"/>
              <w:bottom w:w="0" w:type="dxa"/>
              <w:right w:w="108" w:type="dxa"/>
            </w:tcMar>
          </w:tcPr>
          <w:p w14:paraId="04450CFE"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c>
          <w:tcPr>
            <w:tcW w:w="1170" w:type="dxa"/>
            <w:gridSpan w:val="2"/>
            <w:tcBorders>
              <w:bottom w:val="single" w:sz="4" w:space="0" w:color="000000"/>
            </w:tcBorders>
            <w:tcMar>
              <w:top w:w="0" w:type="dxa"/>
              <w:left w:w="108" w:type="dxa"/>
              <w:bottom w:w="0" w:type="dxa"/>
              <w:right w:w="108" w:type="dxa"/>
            </w:tcMar>
          </w:tcPr>
          <w:p w14:paraId="68101E06"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w:t>
            </w:r>
          </w:p>
        </w:tc>
      </w:tr>
      <w:tr w:rsidR="00203701" w14:paraId="56B0A5AF" w14:textId="77777777">
        <w:tc>
          <w:tcPr>
            <w:tcW w:w="9450" w:type="dxa"/>
            <w:gridSpan w:val="12"/>
            <w:tcBorders>
              <w:top w:val="single" w:sz="4" w:space="0" w:color="000000"/>
            </w:tcBorders>
            <w:tcMar>
              <w:top w:w="0" w:type="dxa"/>
              <w:left w:w="108" w:type="dxa"/>
              <w:bottom w:w="0" w:type="dxa"/>
              <w:right w:w="108" w:type="dxa"/>
            </w:tcMar>
          </w:tcPr>
          <w:p w14:paraId="79DAB723"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a. The reference category is: No.</w:t>
            </w:r>
          </w:p>
        </w:tc>
      </w:tr>
      <w:tr w:rsidR="00203701" w14:paraId="5EED36C7" w14:textId="77777777">
        <w:tc>
          <w:tcPr>
            <w:tcW w:w="9450" w:type="dxa"/>
            <w:gridSpan w:val="12"/>
            <w:tcMar>
              <w:top w:w="0" w:type="dxa"/>
              <w:left w:w="108" w:type="dxa"/>
              <w:bottom w:w="0" w:type="dxa"/>
              <w:right w:w="108" w:type="dxa"/>
            </w:tcMar>
          </w:tcPr>
          <w:p w14:paraId="51D12109" w14:textId="77777777" w:rsidR="00203701" w:rsidRDefault="003D14C2">
            <w:pPr>
              <w:spacing w:after="0" w:line="360" w:lineRule="auto"/>
              <w:ind w:left="60" w:right="60"/>
              <w:jc w:val="both"/>
              <w:rPr>
                <w:rFonts w:ascii="Garamond" w:eastAsia="Garamond" w:hAnsi="Garamond" w:cs="Garamond"/>
                <w:color w:val="000000"/>
                <w:sz w:val="24"/>
                <w:szCs w:val="24"/>
              </w:rPr>
            </w:pPr>
            <w:r>
              <w:rPr>
                <w:rFonts w:ascii="Garamond" w:eastAsia="Garamond" w:hAnsi="Garamond" w:cs="Garamond"/>
                <w:color w:val="000000"/>
                <w:sz w:val="24"/>
                <w:szCs w:val="24"/>
              </w:rPr>
              <w:t>b. This parameter is set to zero because it is redundant.</w:t>
            </w:r>
          </w:p>
        </w:tc>
      </w:tr>
    </w:tbl>
    <w:p w14:paraId="4D5B4855"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Regression analysis confirmed a strong association between flooding and declining yields, consistent with findings that extreme climate events reduce </w:t>
      </w:r>
      <w:r>
        <w:rPr>
          <w:rFonts w:ascii="Garamond" w:eastAsia="Garamond" w:hAnsi="Garamond" w:cs="Garamond"/>
          <w:sz w:val="24"/>
          <w:szCs w:val="24"/>
        </w:rPr>
        <w:t>agricultural productivity through waterlogging, soil degradation, and crop damage (IPCC, 2022; FAO, 2021). However, the presence of extreme coefficients suggests possible model instability, a known issue in environmental regression analyses (Gujarati &amp; Por</w:t>
      </w:r>
      <w:r>
        <w:rPr>
          <w:rFonts w:ascii="Garamond" w:eastAsia="Garamond" w:hAnsi="Garamond" w:cs="Garamond"/>
          <w:sz w:val="24"/>
          <w:szCs w:val="24"/>
        </w:rPr>
        <w:t>ter, 2009).</w:t>
      </w:r>
    </w:p>
    <w:p w14:paraId="41F2CF21"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4.5. Flooding and Food Security Outcomes</w:t>
      </w:r>
    </w:p>
    <w:p w14:paraId="1B00EE32" w14:textId="77777777" w:rsidR="00203701" w:rsidRDefault="003D14C2">
      <w:pPr>
        <w:pBdr>
          <w:top w:val="nil"/>
          <w:left w:val="nil"/>
          <w:bottom w:val="nil"/>
          <w:right w:val="nil"/>
          <w:between w:val="nil"/>
        </w:pBdr>
        <w:tabs>
          <w:tab w:val="left" w:pos="1632"/>
        </w:tabs>
        <w:spacing w:after="0" w:line="360" w:lineRule="auto"/>
        <w:jc w:val="both"/>
        <w:rPr>
          <w:rFonts w:ascii="Garamond" w:eastAsia="Garamond" w:hAnsi="Garamond" w:cs="Garamond"/>
          <w:b/>
          <w:bCs/>
          <w:color w:val="000000"/>
          <w:sz w:val="24"/>
          <w:szCs w:val="24"/>
        </w:rPr>
      </w:pPr>
      <w:bookmarkStart w:id="4" w:name="_hem8v1sl7pcg" w:colFirst="0" w:colLast="0"/>
      <w:bookmarkEnd w:id="4"/>
      <w:r>
        <w:rPr>
          <w:rFonts w:ascii="Garamond" w:eastAsia="Garamond" w:hAnsi="Garamond" w:cs="Garamond"/>
          <w:b/>
          <w:bCs/>
          <w:color w:val="000000"/>
          <w:sz w:val="24"/>
          <w:szCs w:val="24"/>
        </w:rPr>
        <w:t xml:space="preserve">Table 3.  Crop yield and frequency of flooding </w:t>
      </w:r>
    </w:p>
    <w:tbl>
      <w:tblPr>
        <w:tblStyle w:val="a1"/>
        <w:tblW w:w="9624"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615"/>
        <w:gridCol w:w="1295"/>
        <w:gridCol w:w="1229"/>
        <w:gridCol w:w="1136"/>
        <w:gridCol w:w="1649"/>
        <w:gridCol w:w="2700"/>
      </w:tblGrid>
      <w:tr w:rsidR="00203701" w14:paraId="57D58A0A" w14:textId="77777777">
        <w:trPr>
          <w:trHeight w:val="288"/>
        </w:trPr>
        <w:tc>
          <w:tcPr>
            <w:tcW w:w="2910" w:type="dxa"/>
            <w:gridSpan w:val="2"/>
            <w:vMerge w:val="restart"/>
            <w:tcBorders>
              <w:top w:val="single" w:sz="4" w:space="0" w:color="000000"/>
              <w:left w:val="nil"/>
              <w:bottom w:val="single" w:sz="4" w:space="0" w:color="000000"/>
              <w:right w:val="nil"/>
            </w:tcBorders>
            <w:tcMar>
              <w:top w:w="0" w:type="dxa"/>
              <w:left w:w="108" w:type="dxa"/>
              <w:bottom w:w="0" w:type="dxa"/>
              <w:right w:w="108" w:type="dxa"/>
            </w:tcMar>
          </w:tcPr>
          <w:p w14:paraId="0DBEB967" w14:textId="77777777" w:rsidR="00203701" w:rsidRDefault="00203701">
            <w:pPr>
              <w:spacing w:after="0" w:line="360" w:lineRule="auto"/>
              <w:jc w:val="both"/>
              <w:rPr>
                <w:rFonts w:ascii="Garamond" w:eastAsia="Garamond" w:hAnsi="Garamond" w:cs="Garamond"/>
                <w:b/>
                <w:bCs/>
                <w:color w:val="000000"/>
                <w:sz w:val="24"/>
                <w:szCs w:val="24"/>
              </w:rPr>
            </w:pPr>
          </w:p>
        </w:tc>
        <w:tc>
          <w:tcPr>
            <w:tcW w:w="4014" w:type="dxa"/>
            <w:gridSpan w:val="3"/>
            <w:tcBorders>
              <w:top w:val="single" w:sz="4" w:space="0" w:color="000000"/>
              <w:left w:val="nil"/>
              <w:bottom w:val="single" w:sz="4" w:space="0" w:color="000000"/>
              <w:right w:val="nil"/>
            </w:tcBorders>
            <w:tcMar>
              <w:top w:w="0" w:type="dxa"/>
              <w:left w:w="108" w:type="dxa"/>
              <w:bottom w:w="0" w:type="dxa"/>
              <w:right w:w="108" w:type="dxa"/>
            </w:tcMar>
          </w:tcPr>
          <w:p w14:paraId="68DB5199"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Frequency of flooding </w:t>
            </w:r>
          </w:p>
        </w:tc>
        <w:tc>
          <w:tcPr>
            <w:tcW w:w="2700"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40D648BA"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 Total</w:t>
            </w:r>
          </w:p>
          <w:p w14:paraId="77B0E1DB" w14:textId="77777777" w:rsidR="00203701" w:rsidRDefault="00203701">
            <w:pPr>
              <w:spacing w:after="0" w:line="360" w:lineRule="auto"/>
              <w:jc w:val="both"/>
              <w:rPr>
                <w:rFonts w:ascii="Garamond" w:eastAsia="Garamond" w:hAnsi="Garamond" w:cs="Garamond"/>
                <w:b/>
                <w:bCs/>
                <w:color w:val="000000"/>
                <w:sz w:val="24"/>
                <w:szCs w:val="24"/>
              </w:rPr>
            </w:pPr>
          </w:p>
        </w:tc>
      </w:tr>
      <w:tr w:rsidR="00203701" w14:paraId="08E01F90" w14:textId="77777777">
        <w:trPr>
          <w:trHeight w:val="288"/>
        </w:trPr>
        <w:tc>
          <w:tcPr>
            <w:tcW w:w="2910" w:type="dxa"/>
            <w:gridSpan w:val="2"/>
            <w:vMerge/>
            <w:tcBorders>
              <w:top w:val="single" w:sz="4" w:space="0" w:color="000000"/>
              <w:left w:val="nil"/>
              <w:bottom w:val="single" w:sz="4" w:space="0" w:color="000000"/>
              <w:right w:val="nil"/>
            </w:tcBorders>
            <w:tcMar>
              <w:top w:w="0" w:type="dxa"/>
              <w:left w:w="108" w:type="dxa"/>
              <w:bottom w:w="0" w:type="dxa"/>
              <w:right w:w="108" w:type="dxa"/>
            </w:tcMar>
          </w:tcPr>
          <w:p w14:paraId="361D88A9"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b/>
                <w:bCs/>
                <w:color w:val="000000"/>
                <w:sz w:val="24"/>
                <w:szCs w:val="24"/>
              </w:rPr>
            </w:pP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26108BDF"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Mild</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63D2A0A2"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Moderate</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226950A7"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Severe</w:t>
            </w:r>
          </w:p>
        </w:tc>
        <w:tc>
          <w:tcPr>
            <w:tcW w:w="2700" w:type="dxa"/>
            <w:vMerge/>
            <w:tcBorders>
              <w:top w:val="single" w:sz="4" w:space="0" w:color="000000"/>
              <w:left w:val="nil"/>
              <w:bottom w:val="single" w:sz="4" w:space="0" w:color="000000"/>
              <w:right w:val="nil"/>
            </w:tcBorders>
            <w:tcMar>
              <w:top w:w="0" w:type="dxa"/>
              <w:left w:w="108" w:type="dxa"/>
              <w:bottom w:w="0" w:type="dxa"/>
              <w:right w:w="108" w:type="dxa"/>
            </w:tcMar>
          </w:tcPr>
          <w:p w14:paraId="3D47DC6D"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r>
      <w:tr w:rsidR="00203701" w14:paraId="79DF2882" w14:textId="77777777">
        <w:trPr>
          <w:trHeight w:val="288"/>
        </w:trPr>
        <w:tc>
          <w:tcPr>
            <w:tcW w:w="1615" w:type="dxa"/>
            <w:vMerge w:val="restart"/>
            <w:tcBorders>
              <w:top w:val="single" w:sz="4" w:space="0" w:color="000000"/>
              <w:left w:val="nil"/>
              <w:bottom w:val="nil"/>
              <w:right w:val="nil"/>
            </w:tcBorders>
            <w:tcMar>
              <w:top w:w="0" w:type="dxa"/>
              <w:left w:w="108" w:type="dxa"/>
              <w:bottom w:w="0" w:type="dxa"/>
              <w:right w:w="108" w:type="dxa"/>
            </w:tcMar>
          </w:tcPr>
          <w:p w14:paraId="1927824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Decreasing</w:t>
            </w:r>
          </w:p>
          <w:p w14:paraId="1BBC87CD"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2AB27FF1"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tc>
        <w:tc>
          <w:tcPr>
            <w:tcW w:w="1295" w:type="dxa"/>
            <w:tcBorders>
              <w:top w:val="single" w:sz="4" w:space="0" w:color="000000"/>
              <w:left w:val="nil"/>
              <w:bottom w:val="nil"/>
              <w:right w:val="nil"/>
            </w:tcBorders>
            <w:tcMar>
              <w:top w:w="0" w:type="dxa"/>
              <w:left w:w="108" w:type="dxa"/>
              <w:bottom w:w="0" w:type="dxa"/>
              <w:right w:w="108" w:type="dxa"/>
            </w:tcMar>
          </w:tcPr>
          <w:p w14:paraId="1CE30A6F"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Count</w:t>
            </w:r>
          </w:p>
        </w:tc>
        <w:tc>
          <w:tcPr>
            <w:tcW w:w="1229" w:type="dxa"/>
            <w:tcBorders>
              <w:top w:val="single" w:sz="4" w:space="0" w:color="000000"/>
              <w:left w:val="nil"/>
              <w:bottom w:val="nil"/>
              <w:right w:val="nil"/>
            </w:tcBorders>
            <w:tcMar>
              <w:top w:w="0" w:type="dxa"/>
              <w:left w:w="108" w:type="dxa"/>
              <w:bottom w:w="0" w:type="dxa"/>
              <w:right w:w="108" w:type="dxa"/>
            </w:tcMar>
          </w:tcPr>
          <w:p w14:paraId="4D13FB8C"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22</w:t>
            </w:r>
          </w:p>
        </w:tc>
        <w:tc>
          <w:tcPr>
            <w:tcW w:w="1136" w:type="dxa"/>
            <w:tcBorders>
              <w:top w:val="single" w:sz="4" w:space="0" w:color="000000"/>
              <w:left w:val="nil"/>
              <w:bottom w:val="nil"/>
              <w:right w:val="nil"/>
            </w:tcBorders>
            <w:tcMar>
              <w:top w:w="0" w:type="dxa"/>
              <w:left w:w="108" w:type="dxa"/>
              <w:bottom w:w="0" w:type="dxa"/>
              <w:right w:w="108" w:type="dxa"/>
            </w:tcMar>
          </w:tcPr>
          <w:p w14:paraId="12A5FEAE"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73</w:t>
            </w:r>
          </w:p>
        </w:tc>
        <w:tc>
          <w:tcPr>
            <w:tcW w:w="1649" w:type="dxa"/>
            <w:tcBorders>
              <w:top w:val="single" w:sz="4" w:space="0" w:color="000000"/>
              <w:left w:val="nil"/>
              <w:bottom w:val="nil"/>
              <w:right w:val="nil"/>
            </w:tcBorders>
            <w:tcMar>
              <w:top w:w="0" w:type="dxa"/>
              <w:left w:w="108" w:type="dxa"/>
              <w:bottom w:w="0" w:type="dxa"/>
              <w:right w:w="108" w:type="dxa"/>
            </w:tcMar>
          </w:tcPr>
          <w:p w14:paraId="0528245E"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168</w:t>
            </w:r>
          </w:p>
        </w:tc>
        <w:tc>
          <w:tcPr>
            <w:tcW w:w="2700" w:type="dxa"/>
            <w:tcBorders>
              <w:top w:val="single" w:sz="4" w:space="0" w:color="000000"/>
              <w:left w:val="nil"/>
              <w:bottom w:val="nil"/>
              <w:right w:val="nil"/>
            </w:tcBorders>
            <w:tcMar>
              <w:top w:w="0" w:type="dxa"/>
              <w:left w:w="108" w:type="dxa"/>
              <w:bottom w:w="0" w:type="dxa"/>
              <w:right w:w="108" w:type="dxa"/>
            </w:tcMar>
          </w:tcPr>
          <w:p w14:paraId="7007E4BD"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263</w:t>
            </w:r>
          </w:p>
        </w:tc>
      </w:tr>
      <w:tr w:rsidR="00203701" w14:paraId="7AD3F6F6" w14:textId="77777777">
        <w:trPr>
          <w:trHeight w:val="288"/>
        </w:trPr>
        <w:tc>
          <w:tcPr>
            <w:tcW w:w="1615" w:type="dxa"/>
            <w:vMerge/>
            <w:tcBorders>
              <w:top w:val="single" w:sz="4" w:space="0" w:color="000000"/>
              <w:left w:val="nil"/>
              <w:bottom w:val="nil"/>
              <w:right w:val="nil"/>
            </w:tcBorders>
            <w:tcMar>
              <w:top w:w="0" w:type="dxa"/>
              <w:left w:w="108" w:type="dxa"/>
              <w:bottom w:w="0" w:type="dxa"/>
              <w:right w:w="108" w:type="dxa"/>
            </w:tcMar>
          </w:tcPr>
          <w:p w14:paraId="0121FB3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nil"/>
              <w:left w:val="nil"/>
              <w:bottom w:val="nil"/>
              <w:right w:val="nil"/>
            </w:tcBorders>
            <w:tcMar>
              <w:top w:w="0" w:type="dxa"/>
              <w:left w:w="108" w:type="dxa"/>
              <w:bottom w:w="0" w:type="dxa"/>
              <w:right w:w="108" w:type="dxa"/>
            </w:tcMar>
          </w:tcPr>
          <w:p w14:paraId="0FAE32F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 of Row</w:t>
            </w:r>
          </w:p>
        </w:tc>
        <w:tc>
          <w:tcPr>
            <w:tcW w:w="1229" w:type="dxa"/>
            <w:tcBorders>
              <w:top w:val="nil"/>
              <w:left w:val="nil"/>
              <w:bottom w:val="nil"/>
              <w:right w:val="nil"/>
            </w:tcBorders>
            <w:tcMar>
              <w:top w:w="0" w:type="dxa"/>
              <w:left w:w="108" w:type="dxa"/>
              <w:bottom w:w="0" w:type="dxa"/>
              <w:right w:w="108" w:type="dxa"/>
            </w:tcMar>
          </w:tcPr>
          <w:p w14:paraId="28E4D42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8.37</w:t>
            </w:r>
          </w:p>
        </w:tc>
        <w:tc>
          <w:tcPr>
            <w:tcW w:w="1136" w:type="dxa"/>
            <w:tcBorders>
              <w:top w:val="nil"/>
              <w:left w:val="nil"/>
              <w:bottom w:val="nil"/>
              <w:right w:val="nil"/>
            </w:tcBorders>
            <w:tcMar>
              <w:top w:w="0" w:type="dxa"/>
              <w:left w:w="108" w:type="dxa"/>
              <w:bottom w:w="0" w:type="dxa"/>
              <w:right w:w="108" w:type="dxa"/>
            </w:tcMar>
          </w:tcPr>
          <w:p w14:paraId="6DAB3BD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27.76</w:t>
            </w:r>
          </w:p>
        </w:tc>
        <w:tc>
          <w:tcPr>
            <w:tcW w:w="1649" w:type="dxa"/>
            <w:tcBorders>
              <w:top w:val="nil"/>
              <w:left w:val="nil"/>
              <w:bottom w:val="nil"/>
              <w:right w:val="nil"/>
            </w:tcBorders>
            <w:tcMar>
              <w:top w:w="0" w:type="dxa"/>
              <w:left w:w="108" w:type="dxa"/>
              <w:bottom w:w="0" w:type="dxa"/>
              <w:right w:w="108" w:type="dxa"/>
            </w:tcMar>
          </w:tcPr>
          <w:p w14:paraId="5D235F43"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63.88</w:t>
            </w:r>
          </w:p>
        </w:tc>
        <w:tc>
          <w:tcPr>
            <w:tcW w:w="2700" w:type="dxa"/>
            <w:tcBorders>
              <w:top w:val="nil"/>
              <w:left w:val="nil"/>
              <w:bottom w:val="nil"/>
              <w:right w:val="nil"/>
            </w:tcBorders>
            <w:tcMar>
              <w:top w:w="0" w:type="dxa"/>
              <w:left w:w="108" w:type="dxa"/>
              <w:bottom w:w="0" w:type="dxa"/>
              <w:right w:w="108" w:type="dxa"/>
            </w:tcMar>
          </w:tcPr>
          <w:p w14:paraId="310A7FC2"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r>
      <w:tr w:rsidR="00203701" w14:paraId="7D0F28F2" w14:textId="77777777">
        <w:trPr>
          <w:trHeight w:val="288"/>
        </w:trPr>
        <w:tc>
          <w:tcPr>
            <w:tcW w:w="1615" w:type="dxa"/>
            <w:vMerge/>
            <w:tcBorders>
              <w:top w:val="single" w:sz="4" w:space="0" w:color="000000"/>
              <w:left w:val="nil"/>
              <w:bottom w:val="nil"/>
              <w:right w:val="nil"/>
            </w:tcBorders>
            <w:tcMar>
              <w:top w:w="0" w:type="dxa"/>
              <w:left w:w="108" w:type="dxa"/>
              <w:bottom w:w="0" w:type="dxa"/>
              <w:right w:w="108" w:type="dxa"/>
            </w:tcMar>
          </w:tcPr>
          <w:p w14:paraId="30B63221"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nil"/>
              <w:left w:val="nil"/>
              <w:bottom w:val="nil"/>
              <w:right w:val="nil"/>
            </w:tcBorders>
            <w:tcMar>
              <w:top w:w="0" w:type="dxa"/>
              <w:left w:w="108" w:type="dxa"/>
              <w:bottom w:w="0" w:type="dxa"/>
              <w:right w:w="108" w:type="dxa"/>
            </w:tcMar>
          </w:tcPr>
          <w:p w14:paraId="58ADF214"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Total</w:t>
            </w:r>
          </w:p>
        </w:tc>
        <w:tc>
          <w:tcPr>
            <w:tcW w:w="1229" w:type="dxa"/>
            <w:tcBorders>
              <w:top w:val="nil"/>
              <w:left w:val="nil"/>
              <w:bottom w:val="nil"/>
              <w:right w:val="nil"/>
            </w:tcBorders>
            <w:tcMar>
              <w:top w:w="0" w:type="dxa"/>
              <w:left w:w="108" w:type="dxa"/>
              <w:bottom w:w="0" w:type="dxa"/>
              <w:right w:w="108" w:type="dxa"/>
            </w:tcMar>
          </w:tcPr>
          <w:p w14:paraId="242CDE28"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8.06</w:t>
            </w:r>
          </w:p>
        </w:tc>
        <w:tc>
          <w:tcPr>
            <w:tcW w:w="1136" w:type="dxa"/>
            <w:tcBorders>
              <w:top w:val="nil"/>
              <w:left w:val="nil"/>
              <w:bottom w:val="nil"/>
              <w:right w:val="nil"/>
            </w:tcBorders>
            <w:tcMar>
              <w:top w:w="0" w:type="dxa"/>
              <w:left w:w="108" w:type="dxa"/>
              <w:bottom w:w="0" w:type="dxa"/>
              <w:right w:w="108" w:type="dxa"/>
            </w:tcMar>
          </w:tcPr>
          <w:p w14:paraId="685365CB"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26.74</w:t>
            </w:r>
          </w:p>
        </w:tc>
        <w:tc>
          <w:tcPr>
            <w:tcW w:w="1649" w:type="dxa"/>
            <w:tcBorders>
              <w:top w:val="nil"/>
              <w:left w:val="nil"/>
              <w:bottom w:val="nil"/>
              <w:right w:val="nil"/>
            </w:tcBorders>
            <w:tcMar>
              <w:top w:w="0" w:type="dxa"/>
              <w:left w:w="108" w:type="dxa"/>
              <w:bottom w:w="0" w:type="dxa"/>
              <w:right w:w="108" w:type="dxa"/>
            </w:tcMar>
          </w:tcPr>
          <w:p w14:paraId="6274FE9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61.54</w:t>
            </w:r>
          </w:p>
        </w:tc>
        <w:tc>
          <w:tcPr>
            <w:tcW w:w="2700" w:type="dxa"/>
            <w:tcBorders>
              <w:top w:val="nil"/>
              <w:left w:val="nil"/>
              <w:bottom w:val="nil"/>
              <w:right w:val="nil"/>
            </w:tcBorders>
            <w:tcMar>
              <w:top w:w="0" w:type="dxa"/>
              <w:left w:w="108" w:type="dxa"/>
              <w:bottom w:w="0" w:type="dxa"/>
              <w:right w:w="108" w:type="dxa"/>
            </w:tcMar>
          </w:tcPr>
          <w:p w14:paraId="3D583C5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96.34</w:t>
            </w:r>
          </w:p>
        </w:tc>
      </w:tr>
      <w:tr w:rsidR="00203701" w14:paraId="6D3DA2E6" w14:textId="77777777">
        <w:trPr>
          <w:trHeight w:val="288"/>
        </w:trPr>
        <w:tc>
          <w:tcPr>
            <w:tcW w:w="1615" w:type="dxa"/>
            <w:vMerge w:val="restart"/>
            <w:tcBorders>
              <w:top w:val="nil"/>
              <w:left w:val="nil"/>
              <w:bottom w:val="single" w:sz="4" w:space="0" w:color="000000"/>
              <w:right w:val="nil"/>
            </w:tcBorders>
            <w:tcMar>
              <w:top w:w="0" w:type="dxa"/>
              <w:left w:w="108" w:type="dxa"/>
              <w:bottom w:w="0" w:type="dxa"/>
              <w:right w:w="108" w:type="dxa"/>
            </w:tcMar>
          </w:tcPr>
          <w:p w14:paraId="49A2C23A"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Increasing </w:t>
            </w:r>
          </w:p>
          <w:p w14:paraId="0401FDB8"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5B6F3CBB"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 </w:t>
            </w:r>
          </w:p>
        </w:tc>
        <w:tc>
          <w:tcPr>
            <w:tcW w:w="1295" w:type="dxa"/>
            <w:tcBorders>
              <w:top w:val="nil"/>
              <w:left w:val="nil"/>
              <w:bottom w:val="single" w:sz="4" w:space="0" w:color="000000"/>
              <w:right w:val="nil"/>
            </w:tcBorders>
            <w:tcMar>
              <w:top w:w="0" w:type="dxa"/>
              <w:left w:w="108" w:type="dxa"/>
              <w:bottom w:w="0" w:type="dxa"/>
              <w:right w:w="108" w:type="dxa"/>
            </w:tcMar>
          </w:tcPr>
          <w:p w14:paraId="5579B75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Count</w:t>
            </w:r>
          </w:p>
        </w:tc>
        <w:tc>
          <w:tcPr>
            <w:tcW w:w="1229" w:type="dxa"/>
            <w:tcBorders>
              <w:top w:val="nil"/>
              <w:left w:val="nil"/>
              <w:bottom w:val="single" w:sz="4" w:space="0" w:color="000000"/>
              <w:right w:val="nil"/>
            </w:tcBorders>
            <w:tcMar>
              <w:top w:w="0" w:type="dxa"/>
              <w:left w:w="108" w:type="dxa"/>
              <w:bottom w:w="0" w:type="dxa"/>
              <w:right w:w="108" w:type="dxa"/>
            </w:tcMar>
          </w:tcPr>
          <w:p w14:paraId="397A48B0"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nil"/>
              <w:left w:val="nil"/>
              <w:bottom w:val="single" w:sz="4" w:space="0" w:color="000000"/>
              <w:right w:val="nil"/>
            </w:tcBorders>
            <w:tcMar>
              <w:top w:w="0" w:type="dxa"/>
              <w:left w:w="108" w:type="dxa"/>
              <w:bottom w:w="0" w:type="dxa"/>
              <w:right w:w="108" w:type="dxa"/>
            </w:tcMar>
          </w:tcPr>
          <w:p w14:paraId="23434C80"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c>
          <w:tcPr>
            <w:tcW w:w="1649" w:type="dxa"/>
            <w:tcBorders>
              <w:top w:val="nil"/>
              <w:left w:val="nil"/>
              <w:bottom w:val="single" w:sz="4" w:space="0" w:color="000000"/>
              <w:right w:val="nil"/>
            </w:tcBorders>
            <w:tcMar>
              <w:top w:w="0" w:type="dxa"/>
              <w:left w:w="108" w:type="dxa"/>
              <w:bottom w:w="0" w:type="dxa"/>
              <w:right w:w="108" w:type="dxa"/>
            </w:tcMar>
          </w:tcPr>
          <w:p w14:paraId="67DA85B1"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nil"/>
              <w:left w:val="nil"/>
              <w:bottom w:val="single" w:sz="4" w:space="0" w:color="000000"/>
              <w:right w:val="nil"/>
            </w:tcBorders>
            <w:tcMar>
              <w:top w:w="0" w:type="dxa"/>
              <w:left w:w="108" w:type="dxa"/>
              <w:bottom w:w="0" w:type="dxa"/>
              <w:right w:w="108" w:type="dxa"/>
            </w:tcMar>
          </w:tcPr>
          <w:p w14:paraId="4547C42C"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w:t>
            </w:r>
          </w:p>
        </w:tc>
      </w:tr>
      <w:tr w:rsidR="00203701" w14:paraId="6A5186EF" w14:textId="77777777">
        <w:trPr>
          <w:trHeight w:val="288"/>
        </w:trPr>
        <w:tc>
          <w:tcPr>
            <w:tcW w:w="1615" w:type="dxa"/>
            <w:vMerge/>
            <w:tcBorders>
              <w:top w:val="nil"/>
              <w:left w:val="nil"/>
              <w:bottom w:val="single" w:sz="4" w:space="0" w:color="000000"/>
              <w:right w:val="nil"/>
            </w:tcBorders>
            <w:tcMar>
              <w:top w:w="0" w:type="dxa"/>
              <w:left w:w="108" w:type="dxa"/>
              <w:bottom w:w="0" w:type="dxa"/>
              <w:right w:w="108" w:type="dxa"/>
            </w:tcMar>
          </w:tcPr>
          <w:p w14:paraId="709F465E"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single" w:sz="4" w:space="0" w:color="000000"/>
              <w:left w:val="nil"/>
              <w:bottom w:val="single" w:sz="4" w:space="0" w:color="000000"/>
              <w:right w:val="nil"/>
            </w:tcBorders>
            <w:tcMar>
              <w:top w:w="0" w:type="dxa"/>
              <w:left w:w="108" w:type="dxa"/>
              <w:bottom w:w="0" w:type="dxa"/>
              <w:right w:w="108" w:type="dxa"/>
            </w:tcMar>
          </w:tcPr>
          <w:p w14:paraId="295B64E2"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Row</w:t>
            </w: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3239F8C3"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75090F54"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779DF61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single" w:sz="4" w:space="0" w:color="000000"/>
              <w:left w:val="nil"/>
              <w:bottom w:val="single" w:sz="4" w:space="0" w:color="000000"/>
              <w:right w:val="nil"/>
            </w:tcBorders>
            <w:tcMar>
              <w:top w:w="0" w:type="dxa"/>
              <w:left w:w="108" w:type="dxa"/>
              <w:bottom w:w="0" w:type="dxa"/>
              <w:right w:w="108" w:type="dxa"/>
            </w:tcMar>
          </w:tcPr>
          <w:p w14:paraId="01F68B7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100</w:t>
            </w:r>
          </w:p>
        </w:tc>
      </w:tr>
      <w:tr w:rsidR="00203701" w14:paraId="1C11DDF6" w14:textId="77777777">
        <w:trPr>
          <w:trHeight w:val="288"/>
        </w:trPr>
        <w:tc>
          <w:tcPr>
            <w:tcW w:w="1615" w:type="dxa"/>
            <w:vMerge/>
            <w:tcBorders>
              <w:top w:val="nil"/>
              <w:left w:val="nil"/>
              <w:bottom w:val="single" w:sz="4" w:space="0" w:color="000000"/>
              <w:right w:val="nil"/>
            </w:tcBorders>
            <w:tcMar>
              <w:top w:w="0" w:type="dxa"/>
              <w:left w:w="108" w:type="dxa"/>
              <w:bottom w:w="0" w:type="dxa"/>
              <w:right w:w="108" w:type="dxa"/>
            </w:tcMar>
          </w:tcPr>
          <w:p w14:paraId="54B260D5" w14:textId="77777777" w:rsidR="00203701" w:rsidRDefault="00203701">
            <w:pPr>
              <w:widowControl w:val="0"/>
              <w:pBdr>
                <w:top w:val="nil"/>
                <w:left w:val="nil"/>
                <w:bottom w:val="nil"/>
                <w:right w:val="nil"/>
                <w:between w:val="nil"/>
              </w:pBdr>
              <w:spacing w:after="0" w:line="276" w:lineRule="auto"/>
              <w:rPr>
                <w:rFonts w:ascii="Garamond" w:eastAsia="Garamond" w:hAnsi="Garamond" w:cs="Garamond"/>
                <w:color w:val="000000"/>
                <w:sz w:val="24"/>
                <w:szCs w:val="24"/>
              </w:rPr>
            </w:pPr>
          </w:p>
        </w:tc>
        <w:tc>
          <w:tcPr>
            <w:tcW w:w="1295" w:type="dxa"/>
            <w:tcBorders>
              <w:top w:val="single" w:sz="4" w:space="0" w:color="000000"/>
              <w:left w:val="nil"/>
              <w:bottom w:val="single" w:sz="4" w:space="0" w:color="000000"/>
              <w:right w:val="nil"/>
            </w:tcBorders>
            <w:tcMar>
              <w:top w:w="0" w:type="dxa"/>
              <w:left w:w="108" w:type="dxa"/>
              <w:bottom w:w="0" w:type="dxa"/>
              <w:right w:w="108" w:type="dxa"/>
            </w:tcMar>
          </w:tcPr>
          <w:p w14:paraId="5A39AC56"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of Total</w:t>
            </w:r>
          </w:p>
        </w:tc>
        <w:tc>
          <w:tcPr>
            <w:tcW w:w="1229" w:type="dxa"/>
            <w:tcBorders>
              <w:top w:val="single" w:sz="4" w:space="0" w:color="000000"/>
              <w:left w:val="nil"/>
              <w:bottom w:val="single" w:sz="4" w:space="0" w:color="000000"/>
              <w:right w:val="nil"/>
            </w:tcBorders>
            <w:tcMar>
              <w:top w:w="0" w:type="dxa"/>
              <w:left w:w="108" w:type="dxa"/>
              <w:bottom w:w="0" w:type="dxa"/>
              <w:right w:w="108" w:type="dxa"/>
            </w:tcMar>
          </w:tcPr>
          <w:p w14:paraId="71953ABA"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1136" w:type="dxa"/>
            <w:tcBorders>
              <w:top w:val="single" w:sz="4" w:space="0" w:color="000000"/>
              <w:left w:val="nil"/>
              <w:bottom w:val="single" w:sz="4" w:space="0" w:color="000000"/>
              <w:right w:val="nil"/>
            </w:tcBorders>
            <w:tcMar>
              <w:top w:w="0" w:type="dxa"/>
              <w:left w:w="108" w:type="dxa"/>
              <w:bottom w:w="0" w:type="dxa"/>
              <w:right w:w="108" w:type="dxa"/>
            </w:tcMar>
          </w:tcPr>
          <w:p w14:paraId="04FAE976"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3.66</w:t>
            </w:r>
          </w:p>
        </w:tc>
        <w:tc>
          <w:tcPr>
            <w:tcW w:w="1649" w:type="dxa"/>
            <w:tcBorders>
              <w:top w:val="single" w:sz="4" w:space="0" w:color="000000"/>
              <w:left w:val="nil"/>
              <w:bottom w:val="single" w:sz="4" w:space="0" w:color="000000"/>
              <w:right w:val="nil"/>
            </w:tcBorders>
            <w:tcMar>
              <w:top w:w="0" w:type="dxa"/>
              <w:left w:w="108" w:type="dxa"/>
              <w:bottom w:w="0" w:type="dxa"/>
              <w:right w:w="108" w:type="dxa"/>
            </w:tcMar>
          </w:tcPr>
          <w:p w14:paraId="28DAF8F5"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0</w:t>
            </w:r>
          </w:p>
        </w:tc>
        <w:tc>
          <w:tcPr>
            <w:tcW w:w="2700" w:type="dxa"/>
            <w:tcBorders>
              <w:top w:val="single" w:sz="4" w:space="0" w:color="000000"/>
              <w:left w:val="nil"/>
              <w:bottom w:val="single" w:sz="4" w:space="0" w:color="000000"/>
              <w:right w:val="nil"/>
            </w:tcBorders>
            <w:tcMar>
              <w:top w:w="0" w:type="dxa"/>
              <w:left w:w="108" w:type="dxa"/>
              <w:bottom w:w="0" w:type="dxa"/>
              <w:right w:w="108" w:type="dxa"/>
            </w:tcMar>
          </w:tcPr>
          <w:p w14:paraId="738DA578" w14:textId="77777777" w:rsidR="00203701" w:rsidRDefault="003D14C2">
            <w:pPr>
              <w:spacing w:after="0" w:line="36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3.66</w:t>
            </w:r>
          </w:p>
        </w:tc>
      </w:tr>
    </w:tbl>
    <w:p w14:paraId="747CF976"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Flood intensity is strongly associated with declining crop yields, with severe flooding causing the greatest losses (IPCC, 2022). Floods damage soil structure and reduce agricultural productivity (FAO, 2021b). Although moderate flooding may temporarily imp</w:t>
      </w:r>
      <w:r>
        <w:rPr>
          <w:rFonts w:ascii="Garamond" w:eastAsia="Garamond" w:hAnsi="Garamond" w:cs="Garamond"/>
          <w:sz w:val="24"/>
          <w:szCs w:val="24"/>
        </w:rPr>
        <w:t xml:space="preserve">rove soil moisture, severe events lead to long-term degradation (World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These patterns reflect broader global findings on climate impacts on agriculture (FAO, 2021a). Overall, flooding negatively affects food security outcomes.</w:t>
      </w:r>
    </w:p>
    <w:p w14:paraId="797B0E90" w14:textId="77777777" w:rsidR="00203701" w:rsidRDefault="003D14C2">
      <w:p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From t</w:t>
      </w:r>
      <w:r>
        <w:rPr>
          <w:rFonts w:ascii="Garamond" w:eastAsia="Garamond" w:hAnsi="Garamond" w:cs="Garamond"/>
          <w:color w:val="000000"/>
          <w:sz w:val="24"/>
          <w:szCs w:val="24"/>
        </w:rPr>
        <w:t>he results, majority of respondents (96.34%) reported a decrease in crop yields, with the severity of flooding directly influencing the extent of this decline. Among those experiencing yield decreases, 63.88% attributed it to severe flooding, 27.76% to mod</w:t>
      </w:r>
      <w:r>
        <w:rPr>
          <w:rFonts w:ascii="Garamond" w:eastAsia="Garamond" w:hAnsi="Garamond" w:cs="Garamond"/>
          <w:color w:val="000000"/>
          <w:sz w:val="24"/>
          <w:szCs w:val="24"/>
        </w:rPr>
        <w:t xml:space="preserve">erate flooding, and only 8.37% to mild flooding. This indicates a strong correlation between the intensity of flooding and its detrimental effects on crop productivity. Severe flooding, which likely causes extensive damage to crops, soil </w:t>
      </w:r>
      <w:r>
        <w:rPr>
          <w:rFonts w:ascii="Garamond" w:eastAsia="Garamond" w:hAnsi="Garamond" w:cs="Garamond"/>
          <w:color w:val="000000"/>
          <w:sz w:val="24"/>
          <w:szCs w:val="24"/>
        </w:rPr>
        <w:lastRenderedPageBreak/>
        <w:t>erosion, and water</w:t>
      </w:r>
      <w:r>
        <w:rPr>
          <w:rFonts w:ascii="Garamond" w:eastAsia="Garamond" w:hAnsi="Garamond" w:cs="Garamond"/>
          <w:color w:val="000000"/>
          <w:sz w:val="24"/>
          <w:szCs w:val="24"/>
        </w:rPr>
        <w:t>logging, has the most pronounced impact on yields. Moderate and mild flooding also contribute to reduced productivity, albeit to a lesser extent.</w:t>
      </w:r>
    </w:p>
    <w:p w14:paraId="00EA9D55" w14:textId="77777777" w:rsidR="00203701" w:rsidRDefault="00203701">
      <w:pPr>
        <w:spacing w:after="0" w:line="360" w:lineRule="auto"/>
        <w:jc w:val="both"/>
        <w:rPr>
          <w:rFonts w:ascii="Garamond" w:eastAsia="Garamond" w:hAnsi="Garamond" w:cs="Garamond"/>
          <w:color w:val="000000"/>
          <w:sz w:val="24"/>
          <w:szCs w:val="24"/>
        </w:rPr>
      </w:pPr>
    </w:p>
    <w:p w14:paraId="43A27276" w14:textId="77777777" w:rsidR="00203701" w:rsidRDefault="003D14C2">
      <w:pPr>
        <w:spacing w:after="0" w:line="360" w:lineRule="auto"/>
        <w:jc w:val="both"/>
        <w:rPr>
          <w:rFonts w:ascii="Garamond" w:eastAsia="Garamond" w:hAnsi="Garamond" w:cs="Garamond"/>
          <w:b/>
          <w:bCs/>
          <w:color w:val="000000"/>
          <w:sz w:val="24"/>
          <w:szCs w:val="24"/>
        </w:rPr>
      </w:pPr>
      <w:r>
        <w:rPr>
          <w:rFonts w:ascii="Garamond" w:eastAsia="Garamond" w:hAnsi="Garamond" w:cs="Garamond"/>
          <w:b/>
          <w:bCs/>
          <w:color w:val="000000"/>
          <w:sz w:val="24"/>
          <w:szCs w:val="24"/>
        </w:rPr>
        <w:t>A</w:t>
      </w:r>
      <w:r>
        <w:rPr>
          <w:rFonts w:ascii="Garamond" w:eastAsia="Garamond" w:hAnsi="Garamond" w:cs="Garamond"/>
          <w:color w:val="000000"/>
          <w:sz w:val="24"/>
          <w:szCs w:val="24"/>
        </w:rPr>
        <w:t xml:space="preserve"> small subset of respondents (3.66%) reported increased crop yields, which were exclusively linked to modera</w:t>
      </w:r>
      <w:r>
        <w:rPr>
          <w:rFonts w:ascii="Garamond" w:eastAsia="Garamond" w:hAnsi="Garamond" w:cs="Garamond"/>
          <w:color w:val="000000"/>
          <w:sz w:val="24"/>
          <w:szCs w:val="24"/>
        </w:rPr>
        <w:t xml:space="preserve">te flooding. This suggests that moderate flooding, under certain conditions, might have a positive impact on crop growth, such as by replenishing soil moisture or depositing nutrient-rich sediments. However, no instances of increasing yields were reported </w:t>
      </w:r>
      <w:r>
        <w:rPr>
          <w:rFonts w:ascii="Garamond" w:eastAsia="Garamond" w:hAnsi="Garamond" w:cs="Garamond"/>
          <w:color w:val="000000"/>
          <w:sz w:val="24"/>
          <w:szCs w:val="24"/>
        </w:rPr>
        <w:t>under mild or severe flooding, emphasizing that while moderate flooding may occasionally be beneficial, excessive or insufficient flooding is detrimental to productivity.</w:t>
      </w:r>
    </w:p>
    <w:p w14:paraId="4A0DF5A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Flooding significantly disrupted all dimensions of food security. During flood </w:t>
      </w:r>
      <w:r>
        <w:rPr>
          <w:rFonts w:ascii="Garamond" w:eastAsia="Garamond" w:hAnsi="Garamond" w:cs="Garamond"/>
          <w:sz w:val="24"/>
          <w:szCs w:val="24"/>
        </w:rPr>
        <w:t>periods, households experienced severe food shortages (mean = 1.05), reduced access to resources (mean = 1.61), and increased reliance on coping strategies such as skipping meals (mean = 2.78). Although conditions improved after flooding, food security ind</w:t>
      </w:r>
      <w:r>
        <w:rPr>
          <w:rFonts w:ascii="Garamond" w:eastAsia="Garamond" w:hAnsi="Garamond" w:cs="Garamond"/>
          <w:sz w:val="24"/>
          <w:szCs w:val="24"/>
        </w:rPr>
        <w:t>icators remained below optimal levels, indicating prolonged recovery challenges.</w:t>
      </w:r>
    </w:p>
    <w:p w14:paraId="149501D9"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 xml:space="preserve">These findings are consistent with regional evidence showing that climate shocks exacerbate food insecurity by disrupting production, income, and market access (World Food </w:t>
      </w:r>
      <w:proofErr w:type="spellStart"/>
      <w:r>
        <w:rPr>
          <w:rFonts w:ascii="Garamond" w:eastAsia="Garamond" w:hAnsi="Garamond" w:cs="Garamond"/>
          <w:sz w:val="24"/>
          <w:szCs w:val="24"/>
        </w:rPr>
        <w:t>Pro</w:t>
      </w:r>
      <w:r>
        <w:rPr>
          <w:rFonts w:ascii="Garamond" w:eastAsia="Garamond" w:hAnsi="Garamond" w:cs="Garamond"/>
          <w:sz w:val="24"/>
          <w:szCs w:val="24"/>
        </w:rPr>
        <w:t>gramme</w:t>
      </w:r>
      <w:proofErr w:type="spellEnd"/>
      <w:r>
        <w:rPr>
          <w:rFonts w:ascii="Garamond" w:eastAsia="Garamond" w:hAnsi="Garamond" w:cs="Garamond"/>
          <w:sz w:val="24"/>
          <w:szCs w:val="24"/>
        </w:rPr>
        <w:t>, 2020). The persistence of food insecurity even under normal conditions highlights underlying structural poverty and limited resilience.</w:t>
      </w:r>
    </w:p>
    <w:p w14:paraId="3374ABF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5.6. Flood Mitigation and Hypothesis Testing</w:t>
      </w:r>
    </w:p>
    <w:p w14:paraId="1DF4E25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Government interventions were primarily focused on early warning sy</w:t>
      </w:r>
      <w:r>
        <w:rPr>
          <w:rFonts w:ascii="Garamond" w:eastAsia="Garamond" w:hAnsi="Garamond" w:cs="Garamond"/>
          <w:sz w:val="24"/>
          <w:szCs w:val="24"/>
        </w:rPr>
        <w:t xml:space="preserve">stems (42.5%), followed by drainage construction (34.4%) and relief services (23.1%). While these measures were more prevalent in flood-affected areas, their overall reach was limited. </w:t>
      </w:r>
    </w:p>
    <w:p w14:paraId="569B05E1"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Hypothesis testing revealed a statistically significant relationship b</w:t>
      </w:r>
      <w:r>
        <w:rPr>
          <w:rFonts w:ascii="Garamond" w:eastAsia="Garamond" w:hAnsi="Garamond" w:cs="Garamond"/>
          <w:sz w:val="24"/>
          <w:szCs w:val="24"/>
        </w:rPr>
        <w:t>etween flooding and food security. Households exposed to lower flooding were significantly less likely to report sufficient food production compared to those experiencing severe flooding (OR = 0.326, p = 0.006). This led to the rejection of the null hypoth</w:t>
      </w:r>
      <w:r>
        <w:rPr>
          <w:rFonts w:ascii="Garamond" w:eastAsia="Garamond" w:hAnsi="Garamond" w:cs="Garamond"/>
          <w:sz w:val="24"/>
          <w:szCs w:val="24"/>
        </w:rPr>
        <w:t>esis and confirmed that flooding is a key driver of food insecurity in the study area.</w:t>
      </w:r>
    </w:p>
    <w:p w14:paraId="143D7B62" w14:textId="77777777" w:rsidR="00203701" w:rsidRDefault="00203701">
      <w:pPr>
        <w:spacing w:before="280" w:after="280" w:line="360" w:lineRule="auto"/>
        <w:jc w:val="both"/>
        <w:rPr>
          <w:rFonts w:ascii="Garamond" w:eastAsia="Garamond" w:hAnsi="Garamond" w:cs="Garamond"/>
          <w:sz w:val="24"/>
          <w:szCs w:val="24"/>
        </w:rPr>
      </w:pPr>
    </w:p>
    <w:p w14:paraId="15B30EA2"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5.0. Summary and Conclusions</w:t>
      </w:r>
    </w:p>
    <w:p w14:paraId="114520E4" w14:textId="77777777" w:rsidR="00203701" w:rsidRDefault="003D14C2">
      <w:pPr>
        <w:spacing w:before="280" w:after="280" w:line="360" w:lineRule="auto"/>
        <w:jc w:val="both"/>
        <w:rPr>
          <w:rFonts w:ascii="Garamond" w:eastAsia="Garamond" w:hAnsi="Garamond" w:cs="Garamond"/>
          <w:sz w:val="24"/>
          <w:szCs w:val="24"/>
        </w:rPr>
      </w:pPr>
      <w:r>
        <w:rPr>
          <w:rFonts w:ascii="Garamond" w:eastAsia="Garamond" w:hAnsi="Garamond" w:cs="Garamond"/>
          <w:sz w:val="24"/>
          <w:szCs w:val="24"/>
        </w:rPr>
        <w:t>The study established that flooding in Baringo South Sub-County is frequent and increasing over time (IPCC, 2022). It significantly affects</w:t>
      </w:r>
      <w:r>
        <w:rPr>
          <w:rFonts w:ascii="Garamond" w:eastAsia="Garamond" w:hAnsi="Garamond" w:cs="Garamond"/>
          <w:sz w:val="24"/>
          <w:szCs w:val="24"/>
        </w:rPr>
        <w:t xml:space="preserve"> agricultural productivity and household livelihoods (FAO, 2021b). Vulnerability varies across demographic groups due to differences in adaptive capacity (UNEP, 2021). Flooding was identified as a major determinant of food insecurity in the study area (Wor</w:t>
      </w:r>
      <w:r>
        <w:rPr>
          <w:rFonts w:ascii="Garamond" w:eastAsia="Garamond" w:hAnsi="Garamond" w:cs="Garamond"/>
          <w:sz w:val="24"/>
          <w:szCs w:val="24"/>
        </w:rPr>
        <w:t xml:space="preserve">ld Food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2020). Overall, there is a strong and significant relationship between flooding and food security.</w:t>
      </w:r>
    </w:p>
    <w:p w14:paraId="240B7B9C"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t>5.1. Recommendations</w:t>
      </w:r>
    </w:p>
    <w:p w14:paraId="6791CCA9"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Strengthen</w:t>
      </w:r>
      <w:r>
        <w:rPr>
          <w:rFonts w:ascii="Garamond" w:eastAsia="Garamond" w:hAnsi="Garamond" w:cs="Garamond"/>
          <w:b/>
          <w:bCs/>
          <w:color w:val="000000"/>
          <w:sz w:val="24"/>
          <w:szCs w:val="24"/>
        </w:rPr>
        <w:t xml:space="preserve"> flood management and early warning systems:</w:t>
      </w:r>
      <w:r>
        <w:rPr>
          <w:rFonts w:ascii="Garamond" w:eastAsia="Garamond" w:hAnsi="Garamond" w:cs="Garamond"/>
          <w:color w:val="000000"/>
          <w:sz w:val="24"/>
          <w:szCs w:val="24"/>
        </w:rPr>
        <w:t xml:space="preserve"> Implement community-based early warning systems, improve drain</w:t>
      </w:r>
      <w:r>
        <w:rPr>
          <w:rFonts w:ascii="Garamond" w:eastAsia="Garamond" w:hAnsi="Garamond" w:cs="Garamond"/>
          <w:color w:val="000000"/>
          <w:sz w:val="24"/>
          <w:szCs w:val="24"/>
        </w:rPr>
        <w:t xml:space="preserve">age infrastructure, and enforce land-use regulations to prevent settlement in high-risk floodplains. </w:t>
      </w:r>
    </w:p>
    <w:p w14:paraId="5F656A0D"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Promote climate-smart agriculture (CSA):</w:t>
      </w:r>
      <w:r>
        <w:rPr>
          <w:rFonts w:ascii="Garamond" w:eastAsia="Garamond" w:hAnsi="Garamond" w:cs="Garamond"/>
          <w:color w:val="000000"/>
          <w:sz w:val="24"/>
          <w:szCs w:val="24"/>
        </w:rPr>
        <w:t xml:space="preserve"> Encourage adoption of drought- and flood-resistant crop varieties, improved irrigation methods, and sustainable soil management practices to enhance resilience and productivity. </w:t>
      </w:r>
    </w:p>
    <w:p w14:paraId="50A25BD3" w14:textId="77777777" w:rsidR="00203701" w:rsidRDefault="003D14C2">
      <w:pPr>
        <w:numPr>
          <w:ilvl w:val="0"/>
          <w:numId w:val="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Enhance livelihood diversification:</w:t>
      </w:r>
      <w:r>
        <w:rPr>
          <w:rFonts w:ascii="Garamond" w:eastAsia="Garamond" w:hAnsi="Garamond" w:cs="Garamond"/>
          <w:color w:val="000000"/>
          <w:sz w:val="24"/>
          <w:szCs w:val="24"/>
        </w:rPr>
        <w:t xml:space="preserve"> Support households to diversify income s</w:t>
      </w:r>
      <w:r>
        <w:rPr>
          <w:rFonts w:ascii="Garamond" w:eastAsia="Garamond" w:hAnsi="Garamond" w:cs="Garamond"/>
          <w:color w:val="000000"/>
          <w:sz w:val="24"/>
          <w:szCs w:val="24"/>
        </w:rPr>
        <w:t xml:space="preserve">ources beyond agriculture and livestock, such as small-scale enterprises and value addition, to reduce vulnerability to climate shocks. </w:t>
      </w:r>
    </w:p>
    <w:p w14:paraId="7FA98517" w14:textId="77777777" w:rsidR="00203701" w:rsidRDefault="003D14C2">
      <w:pPr>
        <w:numPr>
          <w:ilvl w:val="0"/>
          <w:numId w:val="1"/>
        </w:numPr>
        <w:pBdr>
          <w:top w:val="nil"/>
          <w:left w:val="nil"/>
          <w:bottom w:val="nil"/>
          <w:right w:val="nil"/>
          <w:between w:val="nil"/>
        </w:pBdr>
        <w:spacing w:after="280" w:line="360" w:lineRule="auto"/>
        <w:jc w:val="both"/>
        <w:rPr>
          <w:rFonts w:ascii="Garamond" w:eastAsia="Garamond" w:hAnsi="Garamond" w:cs="Garamond"/>
          <w:color w:val="000000"/>
          <w:sz w:val="24"/>
          <w:szCs w:val="24"/>
        </w:rPr>
      </w:pPr>
      <w:r>
        <w:rPr>
          <w:rFonts w:ascii="Garamond" w:eastAsia="Garamond" w:hAnsi="Garamond" w:cs="Garamond"/>
          <w:b/>
          <w:bCs/>
          <w:color w:val="000000"/>
          <w:sz w:val="24"/>
          <w:szCs w:val="24"/>
        </w:rPr>
        <w:t>Improve policy support and community capacity building:</w:t>
      </w:r>
      <w:r>
        <w:rPr>
          <w:rFonts w:ascii="Garamond" w:eastAsia="Garamond" w:hAnsi="Garamond" w:cs="Garamond"/>
          <w:color w:val="000000"/>
          <w:sz w:val="24"/>
          <w:szCs w:val="24"/>
        </w:rPr>
        <w:t xml:space="preserve"> Strengthen institutional frameworks, increase funding for adapt</w:t>
      </w:r>
      <w:r>
        <w:rPr>
          <w:rFonts w:ascii="Garamond" w:eastAsia="Garamond" w:hAnsi="Garamond" w:cs="Garamond"/>
          <w:color w:val="000000"/>
          <w:sz w:val="24"/>
          <w:szCs w:val="24"/>
        </w:rPr>
        <w:t>ation programs, and provide training on disaster preparedness, resource management, and food security strategies.</w:t>
      </w:r>
    </w:p>
    <w:p w14:paraId="2563C296" w14:textId="77777777" w:rsidR="00203701" w:rsidRDefault="00203701">
      <w:pPr>
        <w:spacing w:before="280" w:after="280" w:line="360" w:lineRule="auto"/>
        <w:jc w:val="both"/>
        <w:rPr>
          <w:rFonts w:ascii="Garamond" w:eastAsia="Garamond" w:hAnsi="Garamond" w:cs="Garamond"/>
          <w:b/>
          <w:bCs/>
          <w:sz w:val="24"/>
          <w:szCs w:val="24"/>
        </w:rPr>
      </w:pPr>
    </w:p>
    <w:p w14:paraId="7F2CB873" w14:textId="77777777" w:rsidR="00203701" w:rsidRDefault="00203701">
      <w:pPr>
        <w:spacing w:before="280" w:after="280" w:line="360" w:lineRule="auto"/>
        <w:jc w:val="both"/>
        <w:rPr>
          <w:rFonts w:ascii="Garamond" w:eastAsia="Garamond" w:hAnsi="Garamond" w:cs="Garamond"/>
          <w:b/>
          <w:bCs/>
          <w:sz w:val="24"/>
          <w:szCs w:val="24"/>
        </w:rPr>
      </w:pPr>
    </w:p>
    <w:p w14:paraId="71AD0A50" w14:textId="77777777" w:rsidR="00203701" w:rsidRDefault="00203701">
      <w:pPr>
        <w:spacing w:before="280" w:after="280" w:line="360" w:lineRule="auto"/>
        <w:jc w:val="both"/>
        <w:rPr>
          <w:rFonts w:ascii="Garamond" w:eastAsia="Garamond" w:hAnsi="Garamond" w:cs="Garamond"/>
          <w:b/>
          <w:bCs/>
          <w:sz w:val="24"/>
          <w:szCs w:val="24"/>
        </w:rPr>
      </w:pPr>
    </w:p>
    <w:p w14:paraId="167186B1" w14:textId="77777777" w:rsidR="00203701" w:rsidRDefault="00203701">
      <w:pPr>
        <w:spacing w:before="280" w:after="280" w:line="360" w:lineRule="auto"/>
        <w:jc w:val="both"/>
        <w:rPr>
          <w:rFonts w:ascii="Garamond" w:eastAsia="Garamond" w:hAnsi="Garamond" w:cs="Garamond"/>
          <w:b/>
          <w:bCs/>
          <w:sz w:val="24"/>
          <w:szCs w:val="24"/>
        </w:rPr>
      </w:pPr>
    </w:p>
    <w:p w14:paraId="1C48EFDF" w14:textId="77777777" w:rsidR="00203701" w:rsidRDefault="00203701">
      <w:pPr>
        <w:spacing w:before="280" w:after="280" w:line="360" w:lineRule="auto"/>
        <w:jc w:val="both"/>
        <w:rPr>
          <w:rFonts w:ascii="Garamond" w:eastAsia="Garamond" w:hAnsi="Garamond" w:cs="Garamond"/>
          <w:b/>
          <w:bCs/>
          <w:sz w:val="24"/>
          <w:szCs w:val="24"/>
        </w:rPr>
      </w:pPr>
    </w:p>
    <w:p w14:paraId="35270100" w14:textId="77777777" w:rsidR="00203701" w:rsidRDefault="00203701">
      <w:pPr>
        <w:spacing w:before="280" w:after="280" w:line="360" w:lineRule="auto"/>
        <w:jc w:val="both"/>
        <w:rPr>
          <w:rFonts w:ascii="Garamond" w:eastAsia="Garamond" w:hAnsi="Garamond" w:cs="Garamond"/>
          <w:b/>
          <w:bCs/>
          <w:sz w:val="24"/>
          <w:szCs w:val="24"/>
        </w:rPr>
      </w:pPr>
    </w:p>
    <w:p w14:paraId="345E1F50" w14:textId="77777777" w:rsidR="00203701" w:rsidRDefault="003D14C2">
      <w:pPr>
        <w:spacing w:before="280" w:after="280" w:line="36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 xml:space="preserve">References </w:t>
      </w:r>
    </w:p>
    <w:p w14:paraId="19E4106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Anabaraonye, B. (2020). Climate change and food security in Nigeria. </w:t>
      </w:r>
      <w:r>
        <w:rPr>
          <w:rFonts w:ascii="Times New Roman" w:eastAsia="Times New Roman" w:hAnsi="Times New Roman" w:cs="Times New Roman"/>
          <w:i/>
          <w:iCs/>
          <w:color w:val="000000"/>
          <w:sz w:val="24"/>
          <w:szCs w:val="24"/>
        </w:rPr>
        <w:t>International Journal of Environmental Studies, 77</w:t>
      </w: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1–12.</w:t>
      </w:r>
    </w:p>
    <w:p w14:paraId="5D55750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Amerasinghe, P., et al. (2020). Flood risk management and climate variability. </w:t>
      </w:r>
      <w:r>
        <w:rPr>
          <w:rFonts w:ascii="Times New Roman" w:eastAsia="Times New Roman" w:hAnsi="Times New Roman" w:cs="Times New Roman"/>
          <w:i/>
          <w:iCs/>
          <w:color w:val="000000"/>
          <w:sz w:val="24"/>
          <w:szCs w:val="24"/>
        </w:rPr>
        <w:t>International Water Management Institute (IWMI) Working Paper</w:t>
      </w:r>
      <w:r>
        <w:rPr>
          <w:rFonts w:ascii="Times New Roman" w:eastAsia="Times New Roman" w:hAnsi="Times New Roman" w:cs="Times New Roman"/>
          <w:color w:val="000000"/>
          <w:sz w:val="24"/>
          <w:szCs w:val="24"/>
        </w:rPr>
        <w:t>.</w:t>
      </w:r>
    </w:p>
    <w:p w14:paraId="3276E62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(2020</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state of food security and nutrition in </w:t>
      </w:r>
      <w:r>
        <w:rPr>
          <w:rFonts w:ascii="Times New Roman" w:eastAsia="Times New Roman" w:hAnsi="Times New Roman" w:cs="Times New Roman"/>
          <w:i/>
          <w:iCs/>
          <w:color w:val="000000"/>
          <w:sz w:val="24"/>
          <w:szCs w:val="24"/>
        </w:rPr>
        <w:t>the world 2020</w:t>
      </w:r>
      <w:r>
        <w:rPr>
          <w:rFonts w:ascii="Times New Roman" w:eastAsia="Times New Roman" w:hAnsi="Times New Roman" w:cs="Times New Roman"/>
          <w:color w:val="000000"/>
          <w:sz w:val="24"/>
          <w:szCs w:val="24"/>
        </w:rPr>
        <w:t xml:space="preserve">. FAO. </w:t>
      </w:r>
      <w:hyperlink r:id="rId8">
        <w:r w:rsidR="00203701">
          <w:rPr>
            <w:rFonts w:ascii="Times New Roman" w:eastAsia="Times New Roman" w:hAnsi="Times New Roman" w:cs="Times New Roman"/>
            <w:color w:val="0563C1"/>
            <w:sz w:val="24"/>
            <w:szCs w:val="24"/>
            <w:u w:val="single"/>
          </w:rPr>
          <w:t>https://www.fao.org</w:t>
        </w:r>
      </w:hyperlink>
    </w:p>
    <w:p w14:paraId="16676B5D"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(2021a</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state of food and agriculture 2021</w:t>
      </w:r>
      <w:r>
        <w:rPr>
          <w:rFonts w:ascii="Times New Roman" w:eastAsia="Times New Roman" w:hAnsi="Times New Roman" w:cs="Times New Roman"/>
          <w:color w:val="000000"/>
          <w:sz w:val="24"/>
          <w:szCs w:val="24"/>
        </w:rPr>
        <w:t>. FAO.</w:t>
      </w:r>
    </w:p>
    <w:p w14:paraId="188E8D6E"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(2021b</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impact of disasters on agriculture and food security</w:t>
      </w:r>
      <w:r>
        <w:rPr>
          <w:rFonts w:ascii="Times New Roman" w:eastAsia="Times New Roman" w:hAnsi="Times New Roman" w:cs="Times New Roman"/>
          <w:color w:val="000000"/>
          <w:sz w:val="24"/>
          <w:szCs w:val="24"/>
        </w:rPr>
        <w:t>. FAO.</w:t>
      </w:r>
    </w:p>
    <w:p w14:paraId="2FD462BE"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Agriculture Organization of the United Nations. (2023</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The</w:t>
      </w:r>
      <w:proofErr w:type="gramEnd"/>
      <w:r>
        <w:rPr>
          <w:rFonts w:ascii="Times New Roman" w:eastAsia="Times New Roman" w:hAnsi="Times New Roman" w:cs="Times New Roman"/>
          <w:i/>
          <w:iCs/>
          <w:color w:val="000000"/>
          <w:sz w:val="24"/>
          <w:szCs w:val="24"/>
        </w:rPr>
        <w:t xml:space="preserve"> state of food security and nutrition in the world 2023</w:t>
      </w:r>
      <w:r>
        <w:rPr>
          <w:rFonts w:ascii="Times New Roman" w:eastAsia="Times New Roman" w:hAnsi="Times New Roman" w:cs="Times New Roman"/>
          <w:color w:val="000000"/>
          <w:sz w:val="24"/>
          <w:szCs w:val="24"/>
        </w:rPr>
        <w:t>. FAO.</w:t>
      </w:r>
    </w:p>
    <w:p w14:paraId="01DCEC3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FAOSTAT. (2020). </w:t>
      </w:r>
      <w:r>
        <w:rPr>
          <w:rFonts w:ascii="Times New Roman" w:eastAsia="Times New Roman" w:hAnsi="Times New Roman" w:cs="Times New Roman"/>
          <w:i/>
          <w:iCs/>
          <w:color w:val="000000"/>
          <w:sz w:val="24"/>
          <w:szCs w:val="24"/>
        </w:rPr>
        <w:t>FAOSTAT statistical database</w:t>
      </w:r>
      <w:r>
        <w:rPr>
          <w:rFonts w:ascii="Times New Roman" w:eastAsia="Times New Roman" w:hAnsi="Times New Roman" w:cs="Times New Roman"/>
          <w:color w:val="000000"/>
          <w:sz w:val="24"/>
          <w:szCs w:val="24"/>
        </w:rPr>
        <w:t>. Food and Agricult</w:t>
      </w:r>
      <w:r>
        <w:rPr>
          <w:rFonts w:ascii="Times New Roman" w:eastAsia="Times New Roman" w:hAnsi="Times New Roman" w:cs="Times New Roman"/>
          <w:color w:val="000000"/>
          <w:sz w:val="24"/>
          <w:szCs w:val="24"/>
        </w:rPr>
        <w:t xml:space="preserve">ure Organization of the United Nations. </w:t>
      </w:r>
      <w:hyperlink r:id="rId9">
        <w:r w:rsidR="00203701">
          <w:rPr>
            <w:rFonts w:ascii="Times New Roman" w:eastAsia="Times New Roman" w:hAnsi="Times New Roman" w:cs="Times New Roman"/>
            <w:color w:val="0563C1"/>
            <w:sz w:val="24"/>
            <w:szCs w:val="24"/>
            <w:u w:val="single"/>
          </w:rPr>
          <w:t>https://www.fao.org/faostat</w:t>
        </w:r>
      </w:hyperlink>
    </w:p>
    <w:p w14:paraId="135DCD20"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Gujarati, D. N., &amp; Porter, D. C. (2009). </w:t>
      </w:r>
      <w:r>
        <w:rPr>
          <w:rFonts w:ascii="Times New Roman" w:eastAsia="Times New Roman" w:hAnsi="Times New Roman" w:cs="Times New Roman"/>
          <w:i/>
          <w:iCs/>
          <w:color w:val="000000"/>
          <w:sz w:val="24"/>
          <w:szCs w:val="24"/>
        </w:rPr>
        <w:t>Basic econometrics</w:t>
      </w:r>
      <w:r>
        <w:rPr>
          <w:rFonts w:ascii="Times New Roman" w:eastAsia="Times New Roman" w:hAnsi="Times New Roman" w:cs="Times New Roman"/>
          <w:color w:val="000000"/>
          <w:sz w:val="24"/>
          <w:szCs w:val="24"/>
        </w:rPr>
        <w:t xml:space="preserve"> (5th Ed.). McGraw-Hill.</w:t>
      </w:r>
    </w:p>
    <w:p w14:paraId="1092F66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Herrnegger</w:t>
      </w:r>
      <w:proofErr w:type="spellEnd"/>
      <w:r>
        <w:rPr>
          <w:rFonts w:ascii="Times New Roman" w:eastAsia="Times New Roman" w:hAnsi="Times New Roman" w:cs="Times New Roman"/>
          <w:color w:val="000000"/>
          <w:sz w:val="24"/>
          <w:szCs w:val="24"/>
        </w:rPr>
        <w:t>, M., et al. (2021). Hydrological changes in th</w:t>
      </w:r>
      <w:r>
        <w:rPr>
          <w:rFonts w:ascii="Times New Roman" w:eastAsia="Times New Roman" w:hAnsi="Times New Roman" w:cs="Times New Roman"/>
          <w:color w:val="000000"/>
          <w:sz w:val="24"/>
          <w:szCs w:val="24"/>
        </w:rPr>
        <w:t xml:space="preserve">e Baringo Basin. </w:t>
      </w:r>
      <w:r>
        <w:rPr>
          <w:rFonts w:ascii="Times New Roman" w:eastAsia="Times New Roman" w:hAnsi="Times New Roman" w:cs="Times New Roman"/>
          <w:i/>
          <w:iCs/>
          <w:color w:val="000000"/>
          <w:sz w:val="24"/>
          <w:szCs w:val="24"/>
        </w:rPr>
        <w:t>Hydrology and Earth System Sciences, 25</w:t>
      </w:r>
      <w:r>
        <w:rPr>
          <w:rFonts w:ascii="Times New Roman" w:eastAsia="Times New Roman" w:hAnsi="Times New Roman" w:cs="Times New Roman"/>
          <w:color w:val="000000"/>
          <w:sz w:val="24"/>
          <w:szCs w:val="24"/>
        </w:rPr>
        <w:t>(3), 1–15.</w:t>
      </w:r>
    </w:p>
    <w:p w14:paraId="7102C918"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Intergovernmental Panel on Climate Change. (2020). </w:t>
      </w:r>
      <w:r>
        <w:rPr>
          <w:rFonts w:ascii="Times New Roman" w:eastAsia="Times New Roman" w:hAnsi="Times New Roman" w:cs="Times New Roman"/>
          <w:i/>
          <w:iCs/>
          <w:color w:val="000000"/>
          <w:sz w:val="24"/>
          <w:szCs w:val="24"/>
        </w:rPr>
        <w:t>Climate change and land: An IPCC special report on climate change, desertification, land degradation, sustainable land management, and foo</w:t>
      </w:r>
      <w:r>
        <w:rPr>
          <w:rFonts w:ascii="Times New Roman" w:eastAsia="Times New Roman" w:hAnsi="Times New Roman" w:cs="Times New Roman"/>
          <w:i/>
          <w:iCs/>
          <w:color w:val="000000"/>
          <w:sz w:val="24"/>
          <w:szCs w:val="24"/>
        </w:rPr>
        <w:t>d security</w:t>
      </w:r>
      <w:r>
        <w:rPr>
          <w:rFonts w:ascii="Times New Roman" w:eastAsia="Times New Roman" w:hAnsi="Times New Roman" w:cs="Times New Roman"/>
          <w:color w:val="000000"/>
          <w:sz w:val="24"/>
          <w:szCs w:val="24"/>
        </w:rPr>
        <w:t>. IPCC.</w:t>
      </w:r>
    </w:p>
    <w:p w14:paraId="12E9801A"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Intergovernmental Panel on Climate Change. (2022). </w:t>
      </w:r>
      <w:r>
        <w:rPr>
          <w:rFonts w:ascii="Times New Roman" w:eastAsia="Times New Roman" w:hAnsi="Times New Roman" w:cs="Times New Roman"/>
          <w:i/>
          <w:iCs/>
          <w:color w:val="000000"/>
          <w:sz w:val="24"/>
          <w:szCs w:val="24"/>
        </w:rPr>
        <w:t>Climate change 2022: Impacts, adaptation and vulnerability</w:t>
      </w:r>
      <w:r>
        <w:rPr>
          <w:rFonts w:ascii="Times New Roman" w:eastAsia="Times New Roman" w:hAnsi="Times New Roman" w:cs="Times New Roman"/>
          <w:color w:val="000000"/>
          <w:sz w:val="24"/>
          <w:szCs w:val="24"/>
        </w:rPr>
        <w:t>. Cambridge University Press.</w:t>
      </w:r>
    </w:p>
    <w:p w14:paraId="22E42BF4"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Kenya National Bureau of Statistics. (2019). </w:t>
      </w:r>
      <w:r>
        <w:rPr>
          <w:rFonts w:ascii="Times New Roman" w:eastAsia="Times New Roman" w:hAnsi="Times New Roman" w:cs="Times New Roman"/>
          <w:i/>
          <w:iCs/>
          <w:color w:val="000000"/>
          <w:sz w:val="24"/>
          <w:szCs w:val="24"/>
        </w:rPr>
        <w:t>Kenya population and housing census: Volume on food se</w:t>
      </w:r>
      <w:r>
        <w:rPr>
          <w:rFonts w:ascii="Times New Roman" w:eastAsia="Times New Roman" w:hAnsi="Times New Roman" w:cs="Times New Roman"/>
          <w:i/>
          <w:iCs/>
          <w:color w:val="000000"/>
          <w:sz w:val="24"/>
          <w:szCs w:val="24"/>
        </w:rPr>
        <w:t>curity</w:t>
      </w:r>
      <w:r>
        <w:rPr>
          <w:rFonts w:ascii="Times New Roman" w:eastAsia="Times New Roman" w:hAnsi="Times New Roman" w:cs="Times New Roman"/>
          <w:color w:val="000000"/>
          <w:sz w:val="24"/>
          <w:szCs w:val="24"/>
        </w:rPr>
        <w:t>. KNBS.</w:t>
      </w:r>
    </w:p>
    <w:p w14:paraId="2677068F"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Kenya Red Cross Society. (2019). </w:t>
      </w:r>
      <w:r>
        <w:rPr>
          <w:rFonts w:ascii="Times New Roman" w:eastAsia="Times New Roman" w:hAnsi="Times New Roman" w:cs="Times New Roman"/>
          <w:i/>
          <w:iCs/>
          <w:color w:val="000000"/>
          <w:sz w:val="24"/>
          <w:szCs w:val="24"/>
        </w:rPr>
        <w:t>Floods situation report</w:t>
      </w:r>
      <w:r>
        <w:rPr>
          <w:rFonts w:ascii="Times New Roman" w:eastAsia="Times New Roman" w:hAnsi="Times New Roman" w:cs="Times New Roman"/>
          <w:color w:val="000000"/>
          <w:sz w:val="24"/>
          <w:szCs w:val="24"/>
        </w:rPr>
        <w:t>. KRCS.</w:t>
      </w:r>
    </w:p>
    <w:p w14:paraId="3F436A66"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Kimtai, A., et al. (2024). Hydro-climatic dynamics of Rift Valley lakes in Kenya. </w:t>
      </w:r>
      <w:r>
        <w:rPr>
          <w:rFonts w:ascii="Times New Roman" w:eastAsia="Times New Roman" w:hAnsi="Times New Roman" w:cs="Times New Roman"/>
          <w:i/>
          <w:iCs/>
          <w:color w:val="000000"/>
          <w:sz w:val="24"/>
          <w:szCs w:val="24"/>
        </w:rPr>
        <w:t>Journal of Hydrology: Regional Studies, 52</w:t>
      </w:r>
      <w:r>
        <w:rPr>
          <w:rFonts w:ascii="Times New Roman" w:eastAsia="Times New Roman" w:hAnsi="Times New Roman" w:cs="Times New Roman"/>
          <w:color w:val="000000"/>
          <w:sz w:val="24"/>
          <w:szCs w:val="24"/>
        </w:rPr>
        <w:t>, 101630.</w:t>
      </w:r>
    </w:p>
    <w:p w14:paraId="1855ABB7"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Muia, A. (2021). Flood impacts on agricultur</w:t>
      </w:r>
      <w:r>
        <w:rPr>
          <w:rFonts w:ascii="Times New Roman" w:eastAsia="Times New Roman" w:hAnsi="Times New Roman" w:cs="Times New Roman"/>
          <w:color w:val="000000"/>
          <w:sz w:val="24"/>
          <w:szCs w:val="24"/>
        </w:rPr>
        <w:t xml:space="preserve">e in Kenya. </w:t>
      </w:r>
      <w:r>
        <w:rPr>
          <w:rFonts w:ascii="Times New Roman" w:eastAsia="Times New Roman" w:hAnsi="Times New Roman" w:cs="Times New Roman"/>
          <w:i/>
          <w:iCs/>
          <w:color w:val="000000"/>
          <w:sz w:val="24"/>
          <w:szCs w:val="24"/>
        </w:rPr>
        <w:t>African Journal of Agricultural Research, 16</w:t>
      </w:r>
      <w:r>
        <w:rPr>
          <w:rFonts w:ascii="Times New Roman" w:eastAsia="Times New Roman" w:hAnsi="Times New Roman" w:cs="Times New Roman"/>
          <w:color w:val="000000"/>
          <w:sz w:val="24"/>
          <w:szCs w:val="24"/>
        </w:rPr>
        <w:t>(4), 450–462.</w:t>
      </w:r>
    </w:p>
    <w:p w14:paraId="29A94B19"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Muia, A., et al. (2020). Flood events and socioeconomic impacts in Kenya. </w:t>
      </w:r>
      <w:r>
        <w:rPr>
          <w:rFonts w:ascii="Times New Roman" w:eastAsia="Times New Roman" w:hAnsi="Times New Roman" w:cs="Times New Roman"/>
          <w:i/>
          <w:iCs/>
          <w:color w:val="000000"/>
          <w:sz w:val="24"/>
          <w:szCs w:val="24"/>
        </w:rPr>
        <w:t>Journal of Environmental Management, 270</w:t>
      </w:r>
      <w:r>
        <w:rPr>
          <w:rFonts w:ascii="Times New Roman" w:eastAsia="Times New Roman" w:hAnsi="Times New Roman" w:cs="Times New Roman"/>
          <w:color w:val="000000"/>
          <w:sz w:val="24"/>
          <w:szCs w:val="24"/>
        </w:rPr>
        <w:t>, 110–118.</w:t>
      </w:r>
    </w:p>
    <w:p w14:paraId="5EB2B9B9"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Notre Dame Global Adaptation Initiative. (2023). </w:t>
      </w:r>
      <w:r>
        <w:rPr>
          <w:rFonts w:ascii="Times New Roman" w:eastAsia="Times New Roman" w:hAnsi="Times New Roman" w:cs="Times New Roman"/>
          <w:i/>
          <w:iCs/>
          <w:color w:val="000000"/>
          <w:sz w:val="24"/>
          <w:szCs w:val="24"/>
        </w:rPr>
        <w:t xml:space="preserve">ND-GAIN </w:t>
      </w:r>
      <w:r>
        <w:rPr>
          <w:rFonts w:ascii="Times New Roman" w:eastAsia="Times New Roman" w:hAnsi="Times New Roman" w:cs="Times New Roman"/>
          <w:i/>
          <w:iCs/>
          <w:color w:val="000000"/>
          <w:sz w:val="24"/>
          <w:szCs w:val="24"/>
        </w:rPr>
        <w:t>country index</w:t>
      </w:r>
      <w:r>
        <w:rPr>
          <w:rFonts w:ascii="Times New Roman" w:eastAsia="Times New Roman" w:hAnsi="Times New Roman" w:cs="Times New Roman"/>
          <w:color w:val="000000"/>
          <w:sz w:val="24"/>
          <w:szCs w:val="24"/>
        </w:rPr>
        <w:t xml:space="preserve">. </w:t>
      </w:r>
      <w:hyperlink r:id="rId10">
        <w:r w:rsidR="00203701">
          <w:rPr>
            <w:rFonts w:ascii="Times New Roman" w:eastAsia="Times New Roman" w:hAnsi="Times New Roman" w:cs="Times New Roman"/>
            <w:color w:val="0563C1"/>
            <w:sz w:val="24"/>
            <w:szCs w:val="24"/>
            <w:u w:val="single"/>
          </w:rPr>
          <w:t>https://gain.nd.edu</w:t>
        </w:r>
      </w:hyperlink>
    </w:p>
    <w:p w14:paraId="098BDE87"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Opere, A. (2019). Lake Baringo flooding and environmental impacts. </w:t>
      </w:r>
      <w:r>
        <w:rPr>
          <w:rFonts w:ascii="Times New Roman" w:eastAsia="Times New Roman" w:hAnsi="Times New Roman" w:cs="Times New Roman"/>
          <w:i/>
          <w:iCs/>
          <w:color w:val="000000"/>
          <w:sz w:val="24"/>
          <w:szCs w:val="24"/>
        </w:rPr>
        <w:t>Journal of African Earth Sciences, 150</w:t>
      </w:r>
      <w:r>
        <w:rPr>
          <w:rFonts w:ascii="Times New Roman" w:eastAsia="Times New Roman" w:hAnsi="Times New Roman" w:cs="Times New Roman"/>
          <w:color w:val="000000"/>
          <w:sz w:val="24"/>
          <w:szCs w:val="24"/>
        </w:rPr>
        <w:t>, 1–10.</w:t>
      </w:r>
    </w:p>
    <w:p w14:paraId="55E49F3C"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Perez, C., et al. (2019). Food insecurity trends in Sub-Saharan Afric</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i/>
          <w:iCs/>
          <w:color w:val="000000"/>
          <w:sz w:val="24"/>
          <w:szCs w:val="24"/>
        </w:rPr>
        <w:t>Global Food Security, 23</w:t>
      </w:r>
      <w:r>
        <w:rPr>
          <w:rFonts w:ascii="Times New Roman" w:eastAsia="Times New Roman" w:hAnsi="Times New Roman" w:cs="Times New Roman"/>
          <w:color w:val="000000"/>
          <w:sz w:val="24"/>
          <w:szCs w:val="24"/>
        </w:rPr>
        <w:t>, 1–9.</w:t>
      </w:r>
    </w:p>
    <w:p w14:paraId="3EBD917F"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Relief Web. (2023). </w:t>
      </w:r>
      <w:r>
        <w:rPr>
          <w:rFonts w:ascii="Times New Roman" w:eastAsia="Times New Roman" w:hAnsi="Times New Roman" w:cs="Times New Roman"/>
          <w:i/>
          <w:iCs/>
          <w:color w:val="000000"/>
          <w:sz w:val="24"/>
          <w:szCs w:val="24"/>
        </w:rPr>
        <w:t>Food security overview and reports</w:t>
      </w:r>
      <w:r>
        <w:rPr>
          <w:rFonts w:ascii="Times New Roman" w:eastAsia="Times New Roman" w:hAnsi="Times New Roman" w:cs="Times New Roman"/>
          <w:color w:val="000000"/>
          <w:sz w:val="24"/>
          <w:szCs w:val="24"/>
        </w:rPr>
        <w:t xml:space="preserve">. </w:t>
      </w:r>
      <w:hyperlink r:id="rId11">
        <w:r w:rsidR="00203701">
          <w:rPr>
            <w:rFonts w:ascii="Times New Roman" w:eastAsia="Times New Roman" w:hAnsi="Times New Roman" w:cs="Times New Roman"/>
            <w:color w:val="0563C1"/>
            <w:sz w:val="24"/>
            <w:szCs w:val="24"/>
            <w:u w:val="single"/>
          </w:rPr>
          <w:t>https://reliefweb.int</w:t>
        </w:r>
      </w:hyperlink>
    </w:p>
    <w:p w14:paraId="098380AB"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Sataloff, R. T., &amp; </w:t>
      </w:r>
      <w:proofErr w:type="spellStart"/>
      <w:r>
        <w:rPr>
          <w:rFonts w:ascii="Times New Roman" w:eastAsia="Times New Roman" w:hAnsi="Times New Roman" w:cs="Times New Roman"/>
          <w:color w:val="000000"/>
          <w:sz w:val="24"/>
          <w:szCs w:val="24"/>
        </w:rPr>
        <w:t>Vontela</w:t>
      </w:r>
      <w:proofErr w:type="spellEnd"/>
      <w:r>
        <w:rPr>
          <w:rFonts w:ascii="Times New Roman" w:eastAsia="Times New Roman" w:hAnsi="Times New Roman" w:cs="Times New Roman"/>
          <w:color w:val="000000"/>
          <w:sz w:val="24"/>
          <w:szCs w:val="24"/>
        </w:rPr>
        <w:t xml:space="preserve">, S. (2021). </w:t>
      </w:r>
      <w:r>
        <w:rPr>
          <w:rFonts w:ascii="Times New Roman" w:eastAsia="Times New Roman" w:hAnsi="Times New Roman" w:cs="Times New Roman"/>
          <w:i/>
          <w:iCs/>
          <w:color w:val="000000"/>
          <w:sz w:val="24"/>
          <w:szCs w:val="24"/>
        </w:rPr>
        <w:t>Research methods in social sciences</w:t>
      </w:r>
      <w:r>
        <w:rPr>
          <w:rFonts w:ascii="Times New Roman" w:eastAsia="Times New Roman" w:hAnsi="Times New Roman" w:cs="Times New Roman"/>
          <w:color w:val="000000"/>
          <w:sz w:val="24"/>
          <w:szCs w:val="24"/>
        </w:rPr>
        <w:t>. Springer.</w:t>
      </w:r>
    </w:p>
    <w:p w14:paraId="14EBD732"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Nations Environment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iCs/>
          <w:color w:val="000000"/>
          <w:sz w:val="24"/>
          <w:szCs w:val="24"/>
        </w:rPr>
        <w:t>Adaptation gap report 2021</w:t>
      </w:r>
      <w:r>
        <w:rPr>
          <w:rFonts w:ascii="Times New Roman" w:eastAsia="Times New Roman" w:hAnsi="Times New Roman" w:cs="Times New Roman"/>
          <w:color w:val="000000"/>
          <w:sz w:val="24"/>
          <w:szCs w:val="24"/>
        </w:rPr>
        <w:t xml:space="preserve">. UNEP. </w:t>
      </w:r>
      <w:hyperlink r:id="rId12">
        <w:r w:rsidR="00203701">
          <w:rPr>
            <w:rFonts w:ascii="Times New Roman" w:eastAsia="Times New Roman" w:hAnsi="Times New Roman" w:cs="Times New Roman"/>
            <w:color w:val="0563C1"/>
            <w:sz w:val="24"/>
            <w:szCs w:val="24"/>
            <w:u w:val="single"/>
          </w:rPr>
          <w:t>https://www.unep.org</w:t>
        </w:r>
      </w:hyperlink>
    </w:p>
    <w:p w14:paraId="36AB600C"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Food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iCs/>
          <w:color w:val="000000"/>
          <w:sz w:val="24"/>
          <w:szCs w:val="24"/>
        </w:rPr>
        <w:t>Food security and climate change report</w:t>
      </w:r>
      <w:r>
        <w:rPr>
          <w:rFonts w:ascii="Times New Roman" w:eastAsia="Times New Roman" w:hAnsi="Times New Roman" w:cs="Times New Roman"/>
          <w:color w:val="000000"/>
          <w:sz w:val="24"/>
          <w:szCs w:val="24"/>
        </w:rPr>
        <w:t>. WFP.</w:t>
      </w:r>
    </w:p>
    <w:p w14:paraId="67907FC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Food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&amp; UNICEF. (2018). </w:t>
      </w:r>
      <w:r>
        <w:rPr>
          <w:rFonts w:ascii="Times New Roman" w:eastAsia="Times New Roman" w:hAnsi="Times New Roman" w:cs="Times New Roman"/>
          <w:i/>
          <w:iCs/>
          <w:color w:val="000000"/>
          <w:sz w:val="24"/>
          <w:szCs w:val="24"/>
        </w:rPr>
        <w:t>Global hunger statistics report</w:t>
      </w:r>
      <w:r>
        <w:rPr>
          <w:rFonts w:ascii="Times New Roman" w:eastAsia="Times New Roman" w:hAnsi="Times New Roman" w:cs="Times New Roman"/>
          <w:color w:val="000000"/>
          <w:sz w:val="24"/>
          <w:szCs w:val="24"/>
        </w:rPr>
        <w:t>. WFP.</w:t>
      </w:r>
    </w:p>
    <w:p w14:paraId="2D81EF53"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(2024). </w:t>
      </w:r>
      <w:r>
        <w:rPr>
          <w:rFonts w:ascii="Times New Roman" w:eastAsia="Times New Roman" w:hAnsi="Times New Roman" w:cs="Times New Roman"/>
          <w:i/>
          <w:iCs/>
          <w:color w:val="000000"/>
          <w:sz w:val="24"/>
          <w:szCs w:val="24"/>
        </w:rPr>
        <w:t>Flooding and health risks</w:t>
      </w:r>
      <w:r>
        <w:rPr>
          <w:rFonts w:ascii="Times New Roman" w:eastAsia="Times New Roman" w:hAnsi="Times New Roman" w:cs="Times New Roman"/>
          <w:color w:val="000000"/>
          <w:sz w:val="24"/>
          <w:szCs w:val="24"/>
        </w:rPr>
        <w:t>. WHO.</w:t>
      </w:r>
    </w:p>
    <w:p w14:paraId="6CC6FF51" w14:textId="77777777" w:rsidR="00203701" w:rsidRDefault="003D14C2">
      <w:pPr>
        <w:pBdr>
          <w:top w:val="nil"/>
          <w:left w:val="nil"/>
          <w:bottom w:val="nil"/>
          <w:right w:val="nil"/>
          <w:between w:val="nil"/>
        </w:pBdr>
        <w:spacing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&amp; World Food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iCs/>
          <w:color w:val="000000"/>
          <w:sz w:val="24"/>
          <w:szCs w:val="24"/>
        </w:rPr>
        <w:t>Global food security and nutrition report</w:t>
      </w:r>
      <w:r>
        <w:rPr>
          <w:rFonts w:ascii="Times New Roman" w:eastAsia="Times New Roman" w:hAnsi="Times New Roman" w:cs="Times New Roman"/>
          <w:color w:val="000000"/>
          <w:sz w:val="24"/>
          <w:szCs w:val="24"/>
        </w:rPr>
        <w:t>. WHO &amp; WFP.</w:t>
      </w:r>
    </w:p>
    <w:p w14:paraId="293DC129" w14:textId="77777777" w:rsidR="00203701" w:rsidRDefault="00203701">
      <w:pPr>
        <w:spacing w:line="360" w:lineRule="auto"/>
        <w:ind w:left="720" w:hanging="720"/>
        <w:jc w:val="both"/>
        <w:rPr>
          <w:rFonts w:ascii="Garamond" w:eastAsia="Garamond" w:hAnsi="Garamond" w:cs="Garamond"/>
          <w:sz w:val="24"/>
          <w:szCs w:val="24"/>
        </w:rPr>
      </w:pPr>
    </w:p>
    <w:sectPr w:rsidR="0020370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1FD02" w14:textId="77777777" w:rsidR="003D14C2" w:rsidRDefault="003D14C2" w:rsidP="00B606BF">
      <w:pPr>
        <w:spacing w:after="0" w:line="240" w:lineRule="auto"/>
      </w:pPr>
      <w:r>
        <w:separator/>
      </w:r>
    </w:p>
  </w:endnote>
  <w:endnote w:type="continuationSeparator" w:id="0">
    <w:p w14:paraId="6EAFE455" w14:textId="77777777" w:rsidR="003D14C2" w:rsidRDefault="003D14C2" w:rsidP="00B6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BE2D9B6-D9BB-4693-BF0E-5F82BDA326F5}"/>
    <w:embedBold r:id="rId2" w:fontKey="{AE52EB53-B11D-4768-B8CE-ED72313F41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578F446-619B-40ED-9D7A-AF1D04CFCC3A}"/>
  </w:font>
  <w:font w:name="Garamond">
    <w:panose1 w:val="02020404030301010803"/>
    <w:charset w:val="00"/>
    <w:family w:val="roman"/>
    <w:pitch w:val="variable"/>
    <w:sig w:usb0="00000287" w:usb1="00000000" w:usb2="00000000" w:usb3="00000000" w:csb0="0000009F" w:csb1="00000000"/>
    <w:embedRegular r:id="rId4" w:fontKey="{9D6C9731-24BD-44AE-BE51-222F4BF081AD}"/>
    <w:embedBold r:id="rId5" w:fontKey="{2A5B8CDC-D7EE-4A3E-A467-CD270CC9B4B1}"/>
    <w:embedItalic r:id="rId6" w:fontKey="{35444FCA-5164-4706-BB22-071FB8BE5FEB}"/>
  </w:font>
  <w:font w:name="Cambria">
    <w:panose1 w:val="02040503050406030204"/>
    <w:charset w:val="00"/>
    <w:family w:val="roman"/>
    <w:pitch w:val="variable"/>
    <w:sig w:usb0="E00006FF" w:usb1="420024FF" w:usb2="02000000" w:usb3="00000000" w:csb0="0000019F" w:csb1="00000000"/>
    <w:embedRegular r:id="rId7" w:fontKey="{BC9AA65F-E391-4B1F-8836-1086D14B6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CED0" w14:textId="77777777" w:rsidR="00B606BF" w:rsidRDefault="00B60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7A1B" w14:textId="77777777" w:rsidR="00B606BF" w:rsidRDefault="00B6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22575" w14:textId="77777777" w:rsidR="00B606BF" w:rsidRDefault="00B60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F349B" w14:textId="77777777" w:rsidR="003D14C2" w:rsidRDefault="003D14C2" w:rsidP="00B606BF">
      <w:pPr>
        <w:spacing w:after="0" w:line="240" w:lineRule="auto"/>
      </w:pPr>
      <w:r>
        <w:separator/>
      </w:r>
    </w:p>
  </w:footnote>
  <w:footnote w:type="continuationSeparator" w:id="0">
    <w:p w14:paraId="0C5BF492" w14:textId="77777777" w:rsidR="003D14C2" w:rsidRDefault="003D14C2" w:rsidP="00B60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646B" w14:textId="1794B1B1" w:rsidR="00B606BF" w:rsidRDefault="00B606BF">
    <w:pPr>
      <w:pStyle w:val="Header"/>
    </w:pPr>
    <w:r>
      <w:rPr>
        <w:noProof/>
      </w:rPr>
      <w:pict w14:anchorId="2DD32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6018B" w14:textId="3B7CE06F" w:rsidR="00B606BF" w:rsidRDefault="00B606BF">
    <w:pPr>
      <w:pStyle w:val="Header"/>
    </w:pPr>
    <w:r>
      <w:rPr>
        <w:noProof/>
      </w:rPr>
      <w:pict w14:anchorId="4978D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3F16" w14:textId="2EA417AB" w:rsidR="00B606BF" w:rsidRDefault="00B606BF">
    <w:pPr>
      <w:pStyle w:val="Header"/>
    </w:pPr>
    <w:r>
      <w:rPr>
        <w:noProof/>
      </w:rPr>
      <w:pict w14:anchorId="75CC0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575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84BA7"/>
    <w:multiLevelType w:val="multilevel"/>
    <w:tmpl w:val="14F8B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701"/>
    <w:rsid w:val="00203701"/>
    <w:rsid w:val="003D14C2"/>
    <w:rsid w:val="00410929"/>
    <w:rsid w:val="00796D56"/>
    <w:rsid w:val="0099756F"/>
    <w:rsid w:val="00B606BF"/>
    <w:rsid w:val="00C13443"/>
    <w:rsid w:val="00D9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4F881"/>
  <w15:docId w15:val="{D5DB5F28-F3FD-4ED6-9B37-1E65162C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B60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BF"/>
  </w:style>
  <w:style w:type="paragraph" w:styleId="Footer">
    <w:name w:val="footer"/>
    <w:basedOn w:val="Normal"/>
    <w:link w:val="FooterChar"/>
    <w:uiPriority w:val="99"/>
    <w:unhideWhenUsed/>
    <w:rsid w:val="00B60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o.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ep.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liefweb.in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gain.nd.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o.org/faosta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4752</Words>
  <Characters>27093</Characters>
  <Application>Microsoft Office Word</Application>
  <DocSecurity>0</DocSecurity>
  <Lines>225</Lines>
  <Paragraphs>63</Paragraphs>
  <ScaleCrop>false</ScaleCrop>
  <Company/>
  <LinksUpToDate>false</LinksUpToDate>
  <CharactersWithSpaces>31782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2026-04-01T05:53:00Z</dcterms:created>
  <dcterms:modified xsi:type="dcterms:W3CDTF">2026-04-01T11:53:00Z</dcterms:modified>
</cp:coreProperties>
</file>