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AFBD3" w14:textId="4A968983" w:rsidR="008B46A1" w:rsidRDefault="000D6C06" w:rsidP="00CD5A4C">
      <w:pPr>
        <w:spacing w:line="360" w:lineRule="auto"/>
        <w:jc w:val="center"/>
        <w:rPr>
          <w:rFonts w:ascii="Times New Roman" w:hAnsi="Times New Roman" w:cs="Times New Roman"/>
          <w:b/>
          <w:bCs/>
          <w:sz w:val="28"/>
          <w:szCs w:val="28"/>
        </w:rPr>
      </w:pPr>
      <w:r w:rsidRPr="00CD5A4C">
        <w:rPr>
          <w:rFonts w:ascii="Times New Roman" w:hAnsi="Times New Roman" w:cs="Times New Roman"/>
          <w:b/>
          <w:bCs/>
          <w:sz w:val="28"/>
          <w:szCs w:val="28"/>
        </w:rPr>
        <w:t>Perceptions of Communities on Climate Change and Climate Variability in the Lake Chad Basin, Diffa Region</w:t>
      </w:r>
    </w:p>
    <w:p w14:paraId="3A9F30CB" w14:textId="66231E7F"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b/>
          <w:bCs/>
          <w:sz w:val="24"/>
          <w:szCs w:val="24"/>
        </w:rPr>
        <w:t>Abstract</w:t>
      </w:r>
      <w:r w:rsidRPr="00CD5A4C">
        <w:rPr>
          <w:rFonts w:ascii="Times New Roman" w:hAnsi="Times New Roman" w:cs="Times New Roman"/>
          <w:sz w:val="24"/>
          <w:szCs w:val="24"/>
        </w:rPr>
        <w:br/>
        <w:t>In a Sahelian context characterized by strong hydroclimatic variability, the Diffa region experiences rainfall and temperature disturbances that exacerbate the vulnerability of agropastoral systems. This study examines perceptions of climate change and observed dynamics</w:t>
      </w:r>
      <w:r w:rsidR="00701ED5">
        <w:rPr>
          <w:rFonts w:ascii="Times New Roman" w:hAnsi="Times New Roman" w:cs="Times New Roman"/>
          <w:sz w:val="24"/>
          <w:szCs w:val="24"/>
        </w:rPr>
        <w:t>, based on a survey of 234 households, complemented by simulated climatic data for</w:t>
      </w:r>
      <w:r w:rsidRPr="00CD5A4C">
        <w:rPr>
          <w:rFonts w:ascii="Times New Roman" w:hAnsi="Times New Roman" w:cs="Times New Roman"/>
          <w:sz w:val="24"/>
          <w:szCs w:val="24"/>
        </w:rPr>
        <w:t xml:space="preserve"> the period 1995–2025. Agriculture represents the dominant livelihood activity (&gt;60%), followed by livestock rearing and trade. The analysis of SPI and SPEI indices, combined with the Mann–Kendall and Pettitt tests, reveals significant trends and recent shifts in the hydroclimatic regime, reflecting increased precipitation variability and an intensification of thermal extremes. These findings are consistent with local perceptions, which emphasize irregular rainfall patterns, rising temperatures, and an increasing frequency of climate-related hazards, affecting agricultural yields and livelihoods.</w:t>
      </w:r>
    </w:p>
    <w:p w14:paraId="203C6CAC" w14:textId="40132266" w:rsidR="000D6C06"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b/>
          <w:bCs/>
          <w:sz w:val="24"/>
          <w:szCs w:val="24"/>
        </w:rPr>
        <w:t>Keywords</w:t>
      </w:r>
      <w:r w:rsidR="00F3432B">
        <w:rPr>
          <w:rFonts w:ascii="Times New Roman" w:hAnsi="Times New Roman" w:cs="Times New Roman"/>
          <w:b/>
          <w:bCs/>
          <w:sz w:val="24"/>
          <w:szCs w:val="24"/>
        </w:rPr>
        <w:t xml:space="preserve"> </w:t>
      </w:r>
      <w:r w:rsidRPr="00CD5A4C">
        <w:rPr>
          <w:rFonts w:ascii="Times New Roman" w:hAnsi="Times New Roman" w:cs="Times New Roman"/>
          <w:b/>
          <w:bCs/>
          <w:sz w:val="24"/>
          <w:szCs w:val="24"/>
        </w:rPr>
        <w:t>:</w:t>
      </w:r>
      <w:r w:rsidRPr="00CD5A4C">
        <w:rPr>
          <w:rFonts w:ascii="Times New Roman" w:hAnsi="Times New Roman" w:cs="Times New Roman"/>
          <w:sz w:val="24"/>
          <w:szCs w:val="24"/>
        </w:rPr>
        <w:t xml:space="preserve"> Climate change and variability, Lake Chad, adaptation, strategies, Diffa, Niger.</w:t>
      </w:r>
    </w:p>
    <w:p w14:paraId="56EF359A" w14:textId="77777777" w:rsidR="00FD6F4A" w:rsidRDefault="00FD6F4A" w:rsidP="00CD5A4C">
      <w:pPr>
        <w:spacing w:line="360" w:lineRule="auto"/>
        <w:jc w:val="both"/>
        <w:rPr>
          <w:rFonts w:ascii="Times New Roman" w:hAnsi="Times New Roman" w:cs="Times New Roman"/>
          <w:sz w:val="24"/>
          <w:szCs w:val="24"/>
        </w:rPr>
      </w:pPr>
    </w:p>
    <w:p w14:paraId="332F6881" w14:textId="77777777" w:rsidR="00FD6F4A" w:rsidRPr="00CD5A4C" w:rsidRDefault="00FD6F4A" w:rsidP="00CD5A4C">
      <w:pPr>
        <w:spacing w:line="360" w:lineRule="auto"/>
        <w:jc w:val="both"/>
        <w:rPr>
          <w:rFonts w:ascii="Times New Roman" w:hAnsi="Times New Roman" w:cs="Times New Roman"/>
          <w:sz w:val="24"/>
          <w:szCs w:val="24"/>
        </w:rPr>
      </w:pPr>
    </w:p>
    <w:p w14:paraId="51E64BD8" w14:textId="28DC4B1F" w:rsidR="000D6C06"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INTRODUCTION</w:t>
      </w:r>
    </w:p>
    <w:p w14:paraId="0AF88998" w14:textId="7FD44995"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Climate change is one of the major drivers disrupting socio-ecological systems worldwide. Rising temperatures, shifts in rainfall regimes, and the intensification of extreme events directly affect rain-fed agricultural and pastoral systems (Masson-Delmotte et al., </w:t>
      </w:r>
      <w:r w:rsidR="00F3432B" w:rsidRPr="00CD5A4C">
        <w:rPr>
          <w:rFonts w:ascii="Times New Roman" w:hAnsi="Times New Roman" w:cs="Times New Roman"/>
          <w:sz w:val="24"/>
          <w:szCs w:val="24"/>
        </w:rPr>
        <w:t>2021 ;</w:t>
      </w:r>
      <w:r w:rsidRPr="00CD5A4C">
        <w:rPr>
          <w:rFonts w:ascii="Times New Roman" w:hAnsi="Times New Roman" w:cs="Times New Roman"/>
          <w:sz w:val="24"/>
          <w:szCs w:val="24"/>
        </w:rPr>
        <w:t xml:space="preserve"> Dosio et al., 2021). Beyond instrumental observations, however, the perception of climate change by local communities plays a decisive role in shaping adaptive responses. Recent studies indicate that these perceptions are constructed from lived experiences, climate memory, and socio-economic factors, which in turn influence the adoption of adaptation strategies (Ayal et al., 2021).</w:t>
      </w:r>
    </w:p>
    <w:p w14:paraId="7BC343D0"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The Sahel is widely recognized as a climate “hotspot”, characterized by strong interannual rainfall variability and a warming trend exceeding the global average (Dosio et al., 2021). Despite a partial recovery of rainfall since the 1990s, the region continues to experience increasing seasonal irregularity and a growing frequency of extreme events, particularly floods (Sanogo et al., 2022). In the Lake Chad Basin, these climatic dynamics interact with anthropogenic and demographic pressures, exacerbating the vulnerability of agropastoral </w:t>
      </w:r>
      <w:r w:rsidRPr="00CD5A4C">
        <w:rPr>
          <w:rFonts w:ascii="Times New Roman" w:hAnsi="Times New Roman" w:cs="Times New Roman"/>
          <w:sz w:val="24"/>
          <w:szCs w:val="24"/>
        </w:rPr>
        <w:lastRenderedPageBreak/>
        <w:t>systems and increasing dependence on natural resources (Okpara et al., 2021). Regional studies indicate that Sahelian populations perceive rising temperatures, a shortening of the rainy season, and increasing climatic unpredictability, perceptions that influence agricultural and pastoral decision-making (Salack et al., 2022).</w:t>
      </w:r>
    </w:p>
    <w:p w14:paraId="0D0D7A3A"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Niger is among the countries most exposed to climate hazards due to its Sahelian location and its strong dependence on rain-fed agriculture. Recent climatic analyses highlight a significant warming trend and increased rainfall variability, characterized by the alternation of droughts and floods (Ozer et al., 2020). Studies conducted among Nigerien farmers show that the majority perceive these changes and adjust their practices through modifications in cropping calendars, the use of early-maturing varieties, and the diversification of livelihood activities (Issa et al., 2022).</w:t>
      </w:r>
    </w:p>
    <w:p w14:paraId="5916B9B1"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In the Diffa region, which is part of the Lake Chad Basin, these dynamics take on a particular dimension. Agro-pastoral communities report increasing rainfall irregularity, rising temperatures, and a higher frequency of extreme events. These perceptions are reflected in the implementation of endogenous adaptation strategies, including crop diversification, increased pastoral mobility, improved soil management, and adjustments in herd size (Issa et al., 2022). However, adaptive capacities remain constrained by structural and socio-economic limitations. Therefore, the combined analysis of community perceptions, observed climatic variability, and adaptation strategies provides a better understanding of vulnerability and resilience dynamics in the Lake Chad Basin, particularly in the Diffa region.</w:t>
      </w:r>
    </w:p>
    <w:p w14:paraId="4704D5CC" w14:textId="77777777" w:rsidR="000D6C06" w:rsidRPr="00CD5A4C" w:rsidRDefault="000D6C06" w:rsidP="00CD5A4C">
      <w:pPr>
        <w:spacing w:line="360" w:lineRule="auto"/>
        <w:jc w:val="both"/>
        <w:rPr>
          <w:rFonts w:ascii="Times New Roman" w:hAnsi="Times New Roman" w:cs="Times New Roman"/>
          <w:b/>
          <w:bCs/>
          <w:sz w:val="24"/>
          <w:szCs w:val="24"/>
        </w:rPr>
      </w:pPr>
      <w:r w:rsidRPr="00CD5A4C">
        <w:rPr>
          <w:rFonts w:ascii="Times New Roman" w:hAnsi="Times New Roman" w:cs="Times New Roman"/>
          <w:b/>
          <w:bCs/>
          <w:sz w:val="24"/>
          <w:szCs w:val="24"/>
        </w:rPr>
        <w:t>Objectives</w:t>
      </w:r>
    </w:p>
    <w:p w14:paraId="1F8AC695"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analyze community perceptions of climate variability and climate change.</w:t>
      </w:r>
    </w:p>
    <w:p w14:paraId="29F102F2"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identify the adaptation strategies adopted by agropastoral communities in response to climate variability.</w:t>
      </w:r>
    </w:p>
    <w:p w14:paraId="47D6A429" w14:textId="364580FF" w:rsidR="000D6C06" w:rsidRPr="00B263D3" w:rsidRDefault="00FD6F4A" w:rsidP="00B263D3">
      <w:pPr>
        <w:pStyle w:val="ListParagraph"/>
        <w:numPr>
          <w:ilvl w:val="0"/>
          <w:numId w:val="18"/>
        </w:numPr>
        <w:rPr>
          <w:rFonts w:ascii="Times New Roman" w:hAnsi="Times New Roman" w:cs="Times New Roman"/>
          <w:b/>
          <w:bCs/>
          <w:sz w:val="24"/>
          <w:szCs w:val="24"/>
        </w:rPr>
      </w:pPr>
      <w:r w:rsidRPr="00B263D3">
        <w:rPr>
          <w:rFonts w:ascii="Times New Roman" w:hAnsi="Times New Roman" w:cs="Times New Roman"/>
          <w:b/>
          <w:bCs/>
          <w:sz w:val="24"/>
          <w:szCs w:val="24"/>
        </w:rPr>
        <w:t>METHODOLOGY</w:t>
      </w:r>
    </w:p>
    <w:p w14:paraId="106486F9" w14:textId="77777777" w:rsidR="000D6C06" w:rsidRPr="00B263D3" w:rsidRDefault="000D6C06" w:rsidP="00B263D3">
      <w:p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2.1. Study Area Description</w:t>
      </w:r>
    </w:p>
    <w:p w14:paraId="75EDC96F" w14:textId="09137BBC" w:rsidR="000D6C06" w:rsidRPr="00CD5A4C" w:rsidRDefault="000D6C06" w:rsidP="00CD5A4C">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CD5A4C">
        <w:rPr>
          <w:rFonts w:ascii="Times New Roman" w:eastAsia="Times New Roman" w:hAnsi="Times New Roman" w:cs="Times New Roman"/>
          <w:kern w:val="0"/>
          <w:sz w:val="24"/>
          <w:szCs w:val="24"/>
          <w14:ligatures w14:val="none"/>
        </w:rPr>
        <w:t>The Diffa region is located in the extreme southeastern part of Niger, between 13°–15° N and 10°–14° E. It covers an area of approximately 156,906 km² and shares borders with Nigeria, Chad, and Libya. As part of the Lake Chad Basin, the region lies within the Sahelian zone, which is characterized by high hydroclimatic variability (Okpara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 xml:space="preserve">The climate ranges from Sahelian to Sahelo-Saharan, with a short rainy season </w:t>
      </w:r>
      <w:r w:rsidR="00CD5A4C">
        <w:rPr>
          <w:rFonts w:ascii="Times New Roman" w:eastAsia="Times New Roman" w:hAnsi="Times New Roman" w:cs="Times New Roman"/>
          <w:kern w:val="0"/>
          <w:sz w:val="24"/>
          <w:szCs w:val="24"/>
          <w14:ligatures w14:val="none"/>
        </w:rPr>
        <w:t xml:space="preserve">from June to September and </w:t>
      </w:r>
      <w:r w:rsidR="00CD5A4C">
        <w:rPr>
          <w:rFonts w:ascii="Times New Roman" w:eastAsia="Times New Roman" w:hAnsi="Times New Roman" w:cs="Times New Roman"/>
          <w:kern w:val="0"/>
          <w:sz w:val="24"/>
          <w:szCs w:val="24"/>
          <w14:ligatures w14:val="none"/>
        </w:rPr>
        <w:lastRenderedPageBreak/>
        <w:t>annual rainfall between 200 and 400 mm, characterized</w:t>
      </w:r>
      <w:r w:rsidRPr="00CD5A4C">
        <w:rPr>
          <w:rFonts w:ascii="Times New Roman" w:eastAsia="Times New Roman" w:hAnsi="Times New Roman" w:cs="Times New Roman"/>
          <w:kern w:val="0"/>
          <w:sz w:val="24"/>
          <w:szCs w:val="24"/>
          <w14:ligatures w14:val="none"/>
        </w:rPr>
        <w:t xml:space="preserve"> by strong interannual variability (Ozer et al., 2020). Temperatures frequently exceed 40 °C during the hot season. Recent climatic trends indicate a significant warming pattern and an increasing alternation between droughts and floods in the Sahel (Dosio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The local economy mainly relies on rain-fed agriculture (millet and sorghum), pastoral livestock farming, and fishing. This strong dependence on natural resources, combined with environmental degradation and socio-economic pressures, increases the vulnerability of households to climate variability and climate change.</w:t>
      </w:r>
    </w:p>
    <w:p w14:paraId="29A2E9E3" w14:textId="77777777" w:rsidR="000D6C06" w:rsidRPr="004543E2" w:rsidRDefault="000D6C06" w:rsidP="000D6C06">
      <w:pPr>
        <w:spacing w:line="360" w:lineRule="auto"/>
        <w:jc w:val="center"/>
        <w:rPr>
          <w:rFonts w:ascii="Times New Roman" w:hAnsi="Times New Roman" w:cs="Times New Roman"/>
          <w:sz w:val="24"/>
          <w:szCs w:val="24"/>
        </w:rPr>
      </w:pPr>
      <w:r w:rsidRPr="004543E2">
        <w:rPr>
          <w:rFonts w:ascii="Times New Roman" w:hAnsi="Times New Roman" w:cs="Times New Roman"/>
          <w:noProof/>
          <w:sz w:val="24"/>
          <w:szCs w:val="24"/>
          <w:lang w:val="fr-FR" w:eastAsia="fr-FR"/>
        </w:rPr>
        <w:drawing>
          <wp:inline distT="0" distB="0" distL="0" distR="0" wp14:anchorId="3B5217EB" wp14:editId="116549E8">
            <wp:extent cx="4057585" cy="3016925"/>
            <wp:effectExtent l="0" t="0" r="635" b="0"/>
            <wp:docPr id="1" name="Image 1" descr="C:\Users\acer7\AppData\Local\Packages\Microsoft.Windows.Photos_8wekyb3d8bbwe\TempState\ShareServiceTempFolder\CARTE Z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acer7\AppData\Local\Packages\Microsoft.Windows.Photos_8wekyb3d8bbwe\TempState\ShareServiceTempFolder\CARTE ZON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68125" cy="3024762"/>
                    </a:xfrm>
                    <a:prstGeom prst="rect">
                      <a:avLst/>
                    </a:prstGeom>
                    <a:noFill/>
                    <a:ln>
                      <a:noFill/>
                    </a:ln>
                  </pic:spPr>
                </pic:pic>
              </a:graphicData>
            </a:graphic>
          </wp:inline>
        </w:drawing>
      </w:r>
    </w:p>
    <w:p w14:paraId="69F37165" w14:textId="73B13865" w:rsidR="000D6C06" w:rsidRPr="004543E2" w:rsidRDefault="000D6C06" w:rsidP="00CD5A4C">
      <w:pPr>
        <w:spacing w:line="360" w:lineRule="auto"/>
        <w:jc w:val="center"/>
        <w:rPr>
          <w:rFonts w:ascii="Times New Roman" w:hAnsi="Times New Roman" w:cs="Times New Roman"/>
          <w:sz w:val="24"/>
          <w:szCs w:val="24"/>
        </w:rPr>
      </w:pPr>
      <w:r w:rsidRPr="00CA4436">
        <w:rPr>
          <w:rFonts w:ascii="Times New Roman" w:hAnsi="Times New Roman" w:cs="Times New Roman"/>
          <w:b/>
          <w:bCs/>
          <w:sz w:val="24"/>
          <w:szCs w:val="24"/>
        </w:rPr>
        <w:t xml:space="preserve">Fig. </w:t>
      </w:r>
      <w:r w:rsidR="00FD6F4A" w:rsidRPr="00CA4436">
        <w:rPr>
          <w:rFonts w:ascii="Times New Roman" w:hAnsi="Times New Roman" w:cs="Times New Roman"/>
          <w:b/>
          <w:bCs/>
          <w:sz w:val="24"/>
          <w:szCs w:val="24"/>
        </w:rPr>
        <w:t>1</w:t>
      </w:r>
      <w:r w:rsidR="00FD6F4A" w:rsidRPr="004543E2">
        <w:rPr>
          <w:rFonts w:ascii="Times New Roman" w:hAnsi="Times New Roman" w:cs="Times New Roman"/>
          <w:sz w:val="24"/>
          <w:szCs w:val="24"/>
        </w:rPr>
        <w:t xml:space="preserve"> :</w:t>
      </w:r>
      <w:r w:rsidRPr="004543E2">
        <w:rPr>
          <w:rFonts w:ascii="Times New Roman" w:hAnsi="Times New Roman" w:cs="Times New Roman"/>
          <w:sz w:val="24"/>
          <w:szCs w:val="24"/>
        </w:rPr>
        <w:t xml:space="preserve"> Location Map of the Study Area</w:t>
      </w:r>
    </w:p>
    <w:p w14:paraId="76C6C206"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2.2. </w:t>
      </w:r>
      <w:r w:rsidRPr="00ED725F">
        <w:rPr>
          <w:rFonts w:ascii="Times New Roman" w:hAnsi="Times New Roman" w:cs="Times New Roman"/>
          <w:b/>
          <w:bCs/>
          <w:sz w:val="24"/>
          <w:szCs w:val="24"/>
        </w:rPr>
        <w:t>Climate of the Diffa Region</w:t>
      </w:r>
    </w:p>
    <w:p w14:paraId="1C265AE3" w14:textId="55C71836"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 ombrothermic curve of Diffa reveals a hot and dry Sahelian climate, characterized by high temperatures throughout the year (≈ 26.7 °C) and low annual rainfall (≈ 294 mm), concentrated within a short rainy season mainly occurring between July and August. The long dry season (8 to 9 months, P &lt; 2T) results in a persistent water deficit, further intensified by high evapotranspiration. This situation limits the duration of the growing season and increases the vulnerability of agropastoral systems and regional ecosystems to climatic hazards and climate change.</w:t>
      </w:r>
      <w:r w:rsidR="00CD5A4C" w:rsidRPr="00CD5A4C">
        <w:rPr>
          <w:rFonts w:ascii="Times New Roman" w:hAnsi="Times New Roman" w:cs="Times New Roman"/>
          <w:sz w:val="24"/>
          <w:szCs w:val="24"/>
        </w:rPr>
        <w:t xml:space="preserve"> </w:t>
      </w:r>
      <w:r w:rsidRPr="00CD5A4C">
        <w:rPr>
          <w:rFonts w:ascii="Times New Roman" w:hAnsi="Times New Roman" w:cs="Times New Roman"/>
          <w:sz w:val="24"/>
          <w:szCs w:val="24"/>
        </w:rPr>
        <w:t xml:space="preserve">This climatic pattern, marked by a prolonged dry season, low and irregular rainfall, and high temperatures, has major implications for agriculture and livestock production in Diffa. In agriculture, the reduction and instability of the rainy season significantly limit the length of the cropping cycle and expose rain-fed crops (millet, sorghum, and cowpea) to frequent water </w:t>
      </w:r>
      <w:r w:rsidRPr="00CD5A4C">
        <w:rPr>
          <w:rFonts w:ascii="Times New Roman" w:hAnsi="Times New Roman" w:cs="Times New Roman"/>
          <w:sz w:val="24"/>
          <w:szCs w:val="24"/>
        </w:rPr>
        <w:lastRenderedPageBreak/>
        <w:t>stress. This often leads to reduced yields, crop failure, and an increased reliance on short-cycle crop varieties. High temperatures further intensify evapotranspiration, reduce soil moisture, and accelerate land degradation, thereby compromising soil fertility and vegetation regeneration.</w:t>
      </w:r>
      <w:r w:rsidR="00CD5A4C" w:rsidRPr="00CD5A4C">
        <w:rPr>
          <w:rFonts w:ascii="Times New Roman" w:hAnsi="Times New Roman" w:cs="Times New Roman"/>
          <w:sz w:val="24"/>
          <w:szCs w:val="24"/>
        </w:rPr>
        <w:t xml:space="preserve"> </w:t>
      </w:r>
      <w:r w:rsidRPr="00CD5A4C">
        <w:rPr>
          <w:rFonts w:ascii="Times New Roman" w:hAnsi="Times New Roman" w:cs="Times New Roman"/>
          <w:sz w:val="24"/>
          <w:szCs w:val="24"/>
        </w:rPr>
        <w:t>In the livestock sector, the scarcity and concentration of rainfall lead to reduced forage biomass, early drying of water points, degradation of pastoral rangelands, and increased herd mobility, which may generate conflicts over resource use. These combined climatic constraints severely weaken agropastoral systems, increase the vulnerability of rural households, and contribute to growing food insecurity in the region.</w:t>
      </w:r>
    </w:p>
    <w:p w14:paraId="632A3E18" w14:textId="70383315" w:rsidR="000D6C06" w:rsidRPr="000D6C06" w:rsidRDefault="000D6C06" w:rsidP="000D6C06">
      <w:pPr>
        <w:jc w:val="center"/>
      </w:pPr>
      <w:r>
        <w:rPr>
          <w:noProof/>
        </w:rPr>
        <w:drawing>
          <wp:inline distT="0" distB="0" distL="0" distR="0" wp14:anchorId="370C9588" wp14:editId="66328AC6">
            <wp:extent cx="4831417" cy="2877303"/>
            <wp:effectExtent l="0" t="0" r="7620" b="0"/>
            <wp:docPr id="209498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997" cy="2931843"/>
                    </a:xfrm>
                    <a:prstGeom prst="rect">
                      <a:avLst/>
                    </a:prstGeom>
                    <a:noFill/>
                    <a:ln>
                      <a:noFill/>
                    </a:ln>
                  </pic:spPr>
                </pic:pic>
              </a:graphicData>
            </a:graphic>
          </wp:inline>
        </w:drawing>
      </w:r>
    </w:p>
    <w:p w14:paraId="2D8D212A" w14:textId="5DF66113" w:rsidR="000D6C06" w:rsidRPr="00CD5A4C" w:rsidRDefault="000D6C06" w:rsidP="000D6C06">
      <w:pPr>
        <w:jc w:val="center"/>
        <w:rPr>
          <w:rFonts w:ascii="Times New Roman" w:hAnsi="Times New Roman" w:cs="Times New Roman"/>
          <w:sz w:val="24"/>
          <w:szCs w:val="24"/>
        </w:rPr>
      </w:pPr>
      <w:r w:rsidRPr="00CD5A4C">
        <w:rPr>
          <w:rFonts w:ascii="Times New Roman" w:hAnsi="Times New Roman" w:cs="Times New Roman"/>
          <w:sz w:val="24"/>
          <w:szCs w:val="24"/>
        </w:rPr>
        <w:t>Fig. 2. Ombrothermic Curve of the Diffa Region</w:t>
      </w:r>
    </w:p>
    <w:p w14:paraId="4B656845"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 Sampling and Data Collection</w:t>
      </w:r>
    </w:p>
    <w:p w14:paraId="0C5E0A4B"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2.3.1. Sampling</w:t>
      </w:r>
    </w:p>
    <w:p w14:paraId="02D9072D" w14:textId="2BA76DBF" w:rsidR="000D6C06" w:rsidRPr="00ED725F" w:rsidRDefault="000D6C0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present study was conducted in the communes of </w:t>
      </w:r>
      <w:r w:rsidRPr="00475B47">
        <w:rPr>
          <w:rFonts w:ascii="Times New Roman" w:hAnsi="Times New Roman" w:cs="Times New Roman"/>
          <w:sz w:val="24"/>
          <w:szCs w:val="24"/>
        </w:rPr>
        <w:t>Chetimari</w:t>
      </w:r>
      <w:r w:rsidRPr="00ED725F">
        <w:rPr>
          <w:rFonts w:ascii="Times New Roman" w:hAnsi="Times New Roman" w:cs="Times New Roman"/>
          <w:sz w:val="24"/>
          <w:szCs w:val="24"/>
        </w:rPr>
        <w:t xml:space="preserve"> in the south and </w:t>
      </w:r>
      <w:r w:rsidRPr="00475B47">
        <w:rPr>
          <w:rFonts w:ascii="Times New Roman" w:hAnsi="Times New Roman" w:cs="Times New Roman"/>
          <w:sz w:val="24"/>
          <w:szCs w:val="24"/>
        </w:rPr>
        <w:t xml:space="preserve">N’Guel Bely </w:t>
      </w:r>
      <w:r w:rsidRPr="00ED725F">
        <w:rPr>
          <w:rFonts w:ascii="Times New Roman" w:hAnsi="Times New Roman" w:cs="Times New Roman"/>
          <w:sz w:val="24"/>
          <w:szCs w:val="24"/>
        </w:rPr>
        <w:t xml:space="preserve">and </w:t>
      </w:r>
      <w:r w:rsidRPr="00475B47">
        <w:rPr>
          <w:rFonts w:ascii="Times New Roman" w:hAnsi="Times New Roman" w:cs="Times New Roman"/>
          <w:sz w:val="24"/>
          <w:szCs w:val="24"/>
        </w:rPr>
        <w:t>Foulatar</w:t>
      </w:r>
      <w:r w:rsidRPr="00F3432B">
        <w:rPr>
          <w:rFonts w:ascii="Times New Roman" w:hAnsi="Times New Roman" w:cs="Times New Roman"/>
          <w:sz w:val="24"/>
          <w:szCs w:val="24"/>
        </w:rPr>
        <w:t xml:space="preserve">i </w:t>
      </w:r>
      <w:r w:rsidRPr="00ED725F">
        <w:rPr>
          <w:rFonts w:ascii="Times New Roman" w:hAnsi="Times New Roman" w:cs="Times New Roman"/>
          <w:sz w:val="24"/>
          <w:szCs w:val="24"/>
        </w:rPr>
        <w:t>in the north of the Diffa region. Due to security constraints in the study area, the research was limited to these three communes, which were relatively accessible for data collection. The selection also focused on villages located close to the communes.</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surveyed villages include </w:t>
      </w:r>
      <w:r w:rsidRPr="00475B47">
        <w:rPr>
          <w:rFonts w:ascii="Times New Roman" w:hAnsi="Times New Roman" w:cs="Times New Roman"/>
          <w:sz w:val="24"/>
          <w:szCs w:val="24"/>
        </w:rPr>
        <w:t>Gamari, Madouri, Boudouri, Kabi Bagara, Kabi Kollo, Kill Manga, Dassoram, Goujou, and Tacha Rogo, located within the communes of Chetimari, N’Guel Bely, and Foulatari,</w:t>
      </w:r>
      <w:r w:rsidRPr="00ED725F">
        <w:rPr>
          <w:rFonts w:ascii="Times New Roman" w:hAnsi="Times New Roman" w:cs="Times New Roman"/>
          <w:sz w:val="24"/>
          <w:szCs w:val="24"/>
        </w:rPr>
        <w:t xml:space="preserve"> representing a total of </w:t>
      </w:r>
      <w:r w:rsidRPr="00F3432B">
        <w:rPr>
          <w:rFonts w:ascii="Times New Roman" w:hAnsi="Times New Roman" w:cs="Times New Roman"/>
          <w:sz w:val="24"/>
          <w:szCs w:val="24"/>
        </w:rPr>
        <w:t>12 villages</w:t>
      </w:r>
      <w:r w:rsidRPr="00ED725F">
        <w:rPr>
          <w:rFonts w:ascii="Times New Roman" w:hAnsi="Times New Roman" w:cs="Times New Roman"/>
          <w:sz w:val="24"/>
          <w:szCs w:val="24"/>
        </w:rPr>
        <w:t>.</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These villages were selected primarily based on their </w:t>
      </w:r>
      <w:r w:rsidRPr="00475B47">
        <w:rPr>
          <w:rFonts w:ascii="Times New Roman" w:hAnsi="Times New Roman" w:cs="Times New Roman"/>
          <w:sz w:val="24"/>
          <w:szCs w:val="24"/>
        </w:rPr>
        <w:t>accessibility.</w:t>
      </w:r>
      <w:r w:rsidRPr="00ED725F">
        <w:rPr>
          <w:rFonts w:ascii="Times New Roman" w:hAnsi="Times New Roman" w:cs="Times New Roman"/>
          <w:sz w:val="24"/>
          <w:szCs w:val="24"/>
        </w:rPr>
        <w:t xml:space="preserve"> In addition, they possess significant </w:t>
      </w:r>
      <w:r w:rsidRPr="00475B47">
        <w:rPr>
          <w:rFonts w:ascii="Times New Roman" w:hAnsi="Times New Roman" w:cs="Times New Roman"/>
          <w:sz w:val="24"/>
          <w:szCs w:val="24"/>
        </w:rPr>
        <w:t>natural resources and local potentials</w:t>
      </w:r>
      <w:r w:rsidRPr="00ED725F">
        <w:rPr>
          <w:rFonts w:ascii="Times New Roman" w:hAnsi="Times New Roman" w:cs="Times New Roman"/>
          <w:sz w:val="24"/>
          <w:szCs w:val="24"/>
        </w:rPr>
        <w:t xml:space="preserve">, while at the same time being </w:t>
      </w:r>
      <w:r w:rsidRPr="00475B47">
        <w:rPr>
          <w:rFonts w:ascii="Times New Roman" w:hAnsi="Times New Roman" w:cs="Times New Roman"/>
          <w:sz w:val="24"/>
          <w:szCs w:val="24"/>
        </w:rPr>
        <w:t>highly exposed to the impacts of climate change,</w:t>
      </w:r>
      <w:r w:rsidRPr="00ED725F">
        <w:rPr>
          <w:rFonts w:ascii="Times New Roman" w:hAnsi="Times New Roman" w:cs="Times New Roman"/>
          <w:sz w:val="24"/>
          <w:szCs w:val="24"/>
        </w:rPr>
        <w:t xml:space="preserve"> making them relevant for the objectives of this study.</w:t>
      </w:r>
    </w:p>
    <w:p w14:paraId="5A2115E6"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lastRenderedPageBreak/>
        <w:t xml:space="preserve">The </w:t>
      </w:r>
      <w:r w:rsidRPr="00475B47">
        <w:rPr>
          <w:rFonts w:ascii="Times New Roman" w:hAnsi="Times New Roman" w:cs="Times New Roman"/>
          <w:sz w:val="24"/>
          <w:szCs w:val="24"/>
        </w:rPr>
        <w:t>sample size</w:t>
      </w:r>
      <w:r w:rsidRPr="00ED725F">
        <w:rPr>
          <w:rFonts w:ascii="Times New Roman" w:hAnsi="Times New Roman" w:cs="Times New Roman"/>
          <w:sz w:val="24"/>
          <w:szCs w:val="24"/>
        </w:rPr>
        <w:t xml:space="preserve"> was determined using the method proposed by </w:t>
      </w:r>
      <w:r w:rsidRPr="00ED725F">
        <w:rPr>
          <w:rFonts w:ascii="Times New Roman" w:hAnsi="Times New Roman" w:cs="Times New Roman"/>
          <w:b/>
          <w:bCs/>
          <w:sz w:val="24"/>
          <w:szCs w:val="24"/>
        </w:rPr>
        <w:t>Dagnelie (1998)</w:t>
      </w:r>
      <w:r w:rsidRPr="00ED725F">
        <w:rPr>
          <w:rFonts w:ascii="Times New Roman" w:hAnsi="Times New Roman" w:cs="Times New Roman"/>
          <w:sz w:val="24"/>
          <w:szCs w:val="24"/>
        </w:rPr>
        <w:t>:</w:t>
      </w:r>
    </w:p>
    <w:p w14:paraId="4251F9D0" w14:textId="552DE152" w:rsidR="00957E55" w:rsidRPr="00ED725F" w:rsidRDefault="00957E55" w:rsidP="00ED725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1-α</m:t>
                  </m:r>
                  <m:r>
                    <m:rPr>
                      <m:sty m:val="p"/>
                    </m:rPr>
                    <w:rPr>
                      <w:rFonts w:ascii="Cambria Math" w:hAnsi="Cambria Math" w:cs="Times New Roman"/>
                      <w:sz w:val="24"/>
                      <w:szCs w:val="24"/>
                    </w:rPr>
                    <m:t>/</m:t>
                  </m:r>
                  <m:r>
                    <w:rPr>
                      <w:rFonts w:ascii="Cambria Math" w:hAnsi="Cambria Math" w:cs="Times New Roman"/>
                      <w:sz w:val="24"/>
                      <w:szCs w:val="24"/>
                    </w:rPr>
                    <m:t>2</m:t>
                  </m:r>
                </m:sub>
                <m:sup>
                  <m:r>
                    <w:rPr>
                      <w:rFonts w:ascii="Cambria Math" w:hAnsi="Cambria Math" w:cs="Times New Roman"/>
                      <w:sz w:val="24"/>
                      <w:szCs w:val="24"/>
                    </w:rPr>
                    <m:t>2</m:t>
                  </m:r>
                </m:sup>
              </m:sSubSup>
              <m:r>
                <m:rPr>
                  <m:nor/>
                </m:rPr>
                <w:rPr>
                  <w:rFonts w:ascii="Times New Roman" w:hAnsi="Times New Roman" w:cs="Times New Roman"/>
                  <w:sz w:val="24"/>
                  <w:szCs w:val="24"/>
                </w:rPr>
                <m:t> </m:t>
              </m:r>
              <m:r>
                <w:rPr>
                  <w:rFonts w:ascii="Cambria Math" w:hAnsi="Cambria Math" w:cs="Times New Roman"/>
                  <w:sz w:val="24"/>
                  <w:szCs w:val="24"/>
                </w:rPr>
                <m:t>P(1-P)</m:t>
              </m:r>
            </m:num>
            <m:den>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5DE9718F"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Where:</w:t>
      </w:r>
    </w:p>
    <w:p w14:paraId="5FB66259"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N</w:t>
      </w:r>
      <w:r w:rsidRPr="00ED725F">
        <w:rPr>
          <w:rFonts w:ascii="Times New Roman" w:hAnsi="Times New Roman" w:cs="Times New Roman"/>
          <w:sz w:val="24"/>
          <w:szCs w:val="24"/>
        </w:rPr>
        <w:t xml:space="preserve"> = sample size</w:t>
      </w:r>
    </w:p>
    <w:p w14:paraId="72E7E3A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P</w:t>
      </w:r>
      <w:r w:rsidRPr="00ED725F">
        <w:rPr>
          <w:rFonts w:ascii="Times New Roman" w:hAnsi="Times New Roman" w:cs="Times New Roman"/>
          <w:sz w:val="24"/>
          <w:szCs w:val="24"/>
        </w:rPr>
        <w:t xml:space="preserve"> = expected proportion of a response in the population (set by default at </w:t>
      </w:r>
      <w:r w:rsidRPr="00ED725F">
        <w:rPr>
          <w:rFonts w:ascii="Times New Roman" w:hAnsi="Times New Roman" w:cs="Times New Roman"/>
          <w:b/>
          <w:bCs/>
          <w:sz w:val="24"/>
          <w:szCs w:val="24"/>
        </w:rPr>
        <w:t>0.5</w:t>
      </w:r>
      <w:r w:rsidRPr="00ED725F">
        <w:rPr>
          <w:rFonts w:ascii="Times New Roman" w:hAnsi="Times New Roman" w:cs="Times New Roman"/>
          <w:sz w:val="24"/>
          <w:szCs w:val="24"/>
        </w:rPr>
        <w:t>)</w:t>
      </w:r>
    </w:p>
    <w:p w14:paraId="45151FAF"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U₁₋α/₂</w:t>
      </w:r>
      <w:r w:rsidRPr="00ED725F">
        <w:rPr>
          <w:rFonts w:ascii="Times New Roman" w:hAnsi="Times New Roman" w:cs="Times New Roman"/>
          <w:sz w:val="24"/>
          <w:szCs w:val="24"/>
        </w:rPr>
        <w:t xml:space="preserve"> = confidence level corresponding to </w:t>
      </w:r>
      <w:r w:rsidRPr="00ED725F">
        <w:rPr>
          <w:rFonts w:ascii="Times New Roman" w:hAnsi="Times New Roman" w:cs="Times New Roman"/>
          <w:b/>
          <w:bCs/>
          <w:sz w:val="24"/>
          <w:szCs w:val="24"/>
        </w:rPr>
        <w:t>1.96</w:t>
      </w:r>
    </w:p>
    <w:p w14:paraId="566D686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d</w:t>
      </w:r>
      <w:r w:rsidRPr="00ED725F">
        <w:rPr>
          <w:rFonts w:ascii="Times New Roman" w:hAnsi="Times New Roman" w:cs="Times New Roman"/>
          <w:sz w:val="24"/>
          <w:szCs w:val="24"/>
        </w:rPr>
        <w:t xml:space="preserve"> = margin of error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3E4AD324"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α</w:t>
      </w:r>
      <w:r w:rsidRPr="00ED725F">
        <w:rPr>
          <w:rFonts w:ascii="Times New Roman" w:hAnsi="Times New Roman" w:cs="Times New Roman"/>
          <w:sz w:val="24"/>
          <w:szCs w:val="24"/>
        </w:rPr>
        <w:t xml:space="preserve"> = significance level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5792EDDC" w14:textId="01E43B1B"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 xml:space="preserve">Table 1: </w:t>
      </w:r>
      <w:r w:rsidRPr="00ED725F">
        <w:rPr>
          <w:rFonts w:ascii="Times New Roman" w:hAnsi="Times New Roman" w:cs="Times New Roman"/>
          <w:sz w:val="24"/>
          <w:szCs w:val="24"/>
        </w:rPr>
        <w:t>Number of respondents per village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1"/>
        <w:gridCol w:w="2551"/>
        <w:gridCol w:w="2693"/>
      </w:tblGrid>
      <w:tr w:rsidR="00957E55" w:rsidRPr="00957E55" w14:paraId="47CBEA46" w14:textId="77777777" w:rsidTr="00957E55">
        <w:trPr>
          <w:tblHeader/>
          <w:tblCellSpacing w:w="15" w:type="dxa"/>
        </w:trPr>
        <w:tc>
          <w:tcPr>
            <w:tcW w:w="3216" w:type="dxa"/>
            <w:vAlign w:val="center"/>
            <w:hideMark/>
          </w:tcPr>
          <w:p w14:paraId="6635E41C" w14:textId="77777777" w:rsidR="00957E55" w:rsidRPr="00957E55" w:rsidRDefault="00957E55" w:rsidP="00957E55">
            <w:pPr>
              <w:spacing w:after="0" w:line="240" w:lineRule="auto"/>
              <w:jc w:val="center"/>
              <w:rPr>
                <w:rFonts w:ascii="Times New Roman" w:eastAsia="Times New Roman" w:hAnsi="Times New Roman" w:cs="Times New Roman"/>
                <w:b/>
                <w:bCs/>
                <w:kern w:val="0"/>
                <w:sz w:val="24"/>
                <w:szCs w:val="24"/>
                <w14:ligatures w14:val="none"/>
              </w:rPr>
            </w:pPr>
            <w:r w:rsidRPr="00957E55">
              <w:rPr>
                <w:rFonts w:ascii="Times New Roman" w:eastAsia="Times New Roman" w:hAnsi="Times New Roman" w:cs="Times New Roman"/>
                <w:b/>
                <w:bCs/>
                <w:kern w:val="0"/>
                <w:sz w:val="24"/>
                <w:szCs w:val="24"/>
                <w14:ligatures w14:val="none"/>
              </w:rPr>
              <w:t>Communes</w:t>
            </w:r>
          </w:p>
        </w:tc>
        <w:tc>
          <w:tcPr>
            <w:tcW w:w="2521" w:type="dxa"/>
            <w:vAlign w:val="center"/>
            <w:hideMark/>
          </w:tcPr>
          <w:p w14:paraId="3C7CE6FB" w14:textId="77777777" w:rsidR="00957E55" w:rsidRPr="00957E55" w:rsidRDefault="00957E55" w:rsidP="00957E55">
            <w:pPr>
              <w:spacing w:after="0" w:line="240" w:lineRule="auto"/>
              <w:jc w:val="center"/>
              <w:rPr>
                <w:rFonts w:ascii="Times New Roman" w:eastAsia="Times New Roman" w:hAnsi="Times New Roman" w:cs="Times New Roman"/>
                <w:b/>
                <w:bCs/>
                <w:kern w:val="0"/>
                <w:sz w:val="24"/>
                <w:szCs w:val="24"/>
                <w14:ligatures w14:val="none"/>
              </w:rPr>
            </w:pPr>
            <w:r w:rsidRPr="00957E55">
              <w:rPr>
                <w:rFonts w:ascii="Times New Roman" w:eastAsia="Times New Roman" w:hAnsi="Times New Roman" w:cs="Times New Roman"/>
                <w:b/>
                <w:bCs/>
                <w:kern w:val="0"/>
                <w:sz w:val="24"/>
                <w:szCs w:val="24"/>
                <w14:ligatures w14:val="none"/>
              </w:rPr>
              <w:t>Villages</w:t>
            </w:r>
          </w:p>
        </w:tc>
        <w:tc>
          <w:tcPr>
            <w:tcW w:w="2648" w:type="dxa"/>
            <w:vAlign w:val="center"/>
            <w:hideMark/>
          </w:tcPr>
          <w:p w14:paraId="1EB60433" w14:textId="77777777" w:rsidR="00957E55" w:rsidRPr="00957E55" w:rsidRDefault="00957E55" w:rsidP="00957E55">
            <w:pPr>
              <w:spacing w:after="0" w:line="240" w:lineRule="auto"/>
              <w:jc w:val="center"/>
              <w:rPr>
                <w:rFonts w:ascii="Times New Roman" w:eastAsia="Times New Roman" w:hAnsi="Times New Roman" w:cs="Times New Roman"/>
                <w:b/>
                <w:bCs/>
                <w:kern w:val="0"/>
                <w:sz w:val="24"/>
                <w:szCs w:val="24"/>
                <w14:ligatures w14:val="none"/>
              </w:rPr>
            </w:pPr>
            <w:r w:rsidRPr="00957E55">
              <w:rPr>
                <w:rFonts w:ascii="Times New Roman" w:eastAsia="Times New Roman" w:hAnsi="Times New Roman" w:cs="Times New Roman"/>
                <w:b/>
                <w:bCs/>
                <w:kern w:val="0"/>
                <w:sz w:val="24"/>
                <w:szCs w:val="24"/>
                <w14:ligatures w14:val="none"/>
              </w:rPr>
              <w:t>Number of respondents</w:t>
            </w:r>
          </w:p>
        </w:tc>
      </w:tr>
      <w:tr w:rsidR="00957E55" w:rsidRPr="00957E55" w14:paraId="4B410389" w14:textId="77777777" w:rsidTr="00957E55">
        <w:trPr>
          <w:tblCellSpacing w:w="15" w:type="dxa"/>
        </w:trPr>
        <w:tc>
          <w:tcPr>
            <w:tcW w:w="3216" w:type="dxa"/>
            <w:vMerge w:val="restart"/>
            <w:vAlign w:val="center"/>
            <w:hideMark/>
          </w:tcPr>
          <w:p w14:paraId="74E75FC9"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b/>
                <w:bCs/>
                <w:kern w:val="0"/>
                <w:sz w:val="24"/>
                <w:szCs w:val="24"/>
                <w14:ligatures w14:val="none"/>
              </w:rPr>
              <w:t>Chetimari</w:t>
            </w:r>
          </w:p>
        </w:tc>
        <w:tc>
          <w:tcPr>
            <w:tcW w:w="2521" w:type="dxa"/>
            <w:vAlign w:val="center"/>
            <w:hideMark/>
          </w:tcPr>
          <w:p w14:paraId="6B52927C"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Gamari</w:t>
            </w:r>
          </w:p>
        </w:tc>
        <w:tc>
          <w:tcPr>
            <w:tcW w:w="2648" w:type="dxa"/>
            <w:vAlign w:val="center"/>
            <w:hideMark/>
          </w:tcPr>
          <w:p w14:paraId="59CA919C"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60</w:t>
            </w:r>
          </w:p>
        </w:tc>
      </w:tr>
      <w:tr w:rsidR="00957E55" w:rsidRPr="00957E55" w14:paraId="5651A9A6" w14:textId="77777777" w:rsidTr="00957E55">
        <w:trPr>
          <w:tblCellSpacing w:w="15" w:type="dxa"/>
        </w:trPr>
        <w:tc>
          <w:tcPr>
            <w:tcW w:w="3216" w:type="dxa"/>
            <w:vMerge/>
            <w:vAlign w:val="center"/>
            <w:hideMark/>
          </w:tcPr>
          <w:p w14:paraId="18316DE6"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3B51BCD7"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Boudouri</w:t>
            </w:r>
          </w:p>
        </w:tc>
        <w:tc>
          <w:tcPr>
            <w:tcW w:w="2648" w:type="dxa"/>
            <w:vAlign w:val="center"/>
            <w:hideMark/>
          </w:tcPr>
          <w:p w14:paraId="49C644FE"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9</w:t>
            </w:r>
          </w:p>
        </w:tc>
      </w:tr>
      <w:tr w:rsidR="00957E55" w:rsidRPr="00957E55" w14:paraId="76759E32" w14:textId="77777777" w:rsidTr="00957E55">
        <w:trPr>
          <w:tblCellSpacing w:w="15" w:type="dxa"/>
        </w:trPr>
        <w:tc>
          <w:tcPr>
            <w:tcW w:w="3216" w:type="dxa"/>
            <w:vMerge/>
            <w:vAlign w:val="center"/>
            <w:hideMark/>
          </w:tcPr>
          <w:p w14:paraId="15E63C4B"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3CA3CDCE"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Madouri</w:t>
            </w:r>
          </w:p>
        </w:tc>
        <w:tc>
          <w:tcPr>
            <w:tcW w:w="2648" w:type="dxa"/>
            <w:vAlign w:val="center"/>
            <w:hideMark/>
          </w:tcPr>
          <w:p w14:paraId="731B3964"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18</w:t>
            </w:r>
          </w:p>
        </w:tc>
      </w:tr>
      <w:tr w:rsidR="00957E55" w:rsidRPr="00957E55" w14:paraId="2951A3A0" w14:textId="77777777" w:rsidTr="00957E55">
        <w:trPr>
          <w:tblCellSpacing w:w="15" w:type="dxa"/>
        </w:trPr>
        <w:tc>
          <w:tcPr>
            <w:tcW w:w="3216" w:type="dxa"/>
            <w:vMerge/>
            <w:vAlign w:val="center"/>
            <w:hideMark/>
          </w:tcPr>
          <w:p w14:paraId="1942E186"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35D280CF"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Kourou</w:t>
            </w:r>
          </w:p>
        </w:tc>
        <w:tc>
          <w:tcPr>
            <w:tcW w:w="2648" w:type="dxa"/>
            <w:vAlign w:val="center"/>
            <w:hideMark/>
          </w:tcPr>
          <w:p w14:paraId="67A468B4"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10</w:t>
            </w:r>
          </w:p>
        </w:tc>
      </w:tr>
      <w:tr w:rsidR="00957E55" w:rsidRPr="00957E55" w14:paraId="24A70032" w14:textId="77777777" w:rsidTr="00957E55">
        <w:trPr>
          <w:tblCellSpacing w:w="15" w:type="dxa"/>
        </w:trPr>
        <w:tc>
          <w:tcPr>
            <w:tcW w:w="3216" w:type="dxa"/>
            <w:vMerge/>
            <w:vAlign w:val="center"/>
            <w:hideMark/>
          </w:tcPr>
          <w:p w14:paraId="3BFEE99F"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3D5550F4"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Kabi Bagara</w:t>
            </w:r>
          </w:p>
        </w:tc>
        <w:tc>
          <w:tcPr>
            <w:tcW w:w="2648" w:type="dxa"/>
            <w:vAlign w:val="center"/>
            <w:hideMark/>
          </w:tcPr>
          <w:p w14:paraId="0D0F7277"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19</w:t>
            </w:r>
          </w:p>
        </w:tc>
      </w:tr>
      <w:tr w:rsidR="00957E55" w:rsidRPr="00957E55" w14:paraId="0A7EB5E4" w14:textId="77777777" w:rsidTr="00957E55">
        <w:trPr>
          <w:tblCellSpacing w:w="15" w:type="dxa"/>
        </w:trPr>
        <w:tc>
          <w:tcPr>
            <w:tcW w:w="3216" w:type="dxa"/>
            <w:vMerge/>
            <w:vAlign w:val="center"/>
            <w:hideMark/>
          </w:tcPr>
          <w:p w14:paraId="35BF4426"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05A6324F"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Kabi Kollo</w:t>
            </w:r>
          </w:p>
        </w:tc>
        <w:tc>
          <w:tcPr>
            <w:tcW w:w="2648" w:type="dxa"/>
            <w:vAlign w:val="center"/>
            <w:hideMark/>
          </w:tcPr>
          <w:p w14:paraId="53E4C5A2"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10</w:t>
            </w:r>
          </w:p>
        </w:tc>
      </w:tr>
      <w:tr w:rsidR="00957E55" w:rsidRPr="00957E55" w14:paraId="4510B3DE" w14:textId="77777777" w:rsidTr="00957E55">
        <w:trPr>
          <w:tblCellSpacing w:w="15" w:type="dxa"/>
        </w:trPr>
        <w:tc>
          <w:tcPr>
            <w:tcW w:w="3216" w:type="dxa"/>
            <w:vMerge w:val="restart"/>
            <w:vAlign w:val="center"/>
            <w:hideMark/>
          </w:tcPr>
          <w:p w14:paraId="3A149DBB"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b/>
                <w:bCs/>
                <w:kern w:val="0"/>
                <w:sz w:val="24"/>
                <w:szCs w:val="24"/>
                <w14:ligatures w14:val="none"/>
              </w:rPr>
              <w:t>N’Guel Bely / Foulatari</w:t>
            </w:r>
          </w:p>
        </w:tc>
        <w:tc>
          <w:tcPr>
            <w:tcW w:w="2521" w:type="dxa"/>
            <w:vAlign w:val="center"/>
            <w:hideMark/>
          </w:tcPr>
          <w:p w14:paraId="43F3E7B9"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Tacha Rogo</w:t>
            </w:r>
          </w:p>
        </w:tc>
        <w:tc>
          <w:tcPr>
            <w:tcW w:w="2648" w:type="dxa"/>
            <w:vAlign w:val="center"/>
            <w:hideMark/>
          </w:tcPr>
          <w:p w14:paraId="7F0D8769"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13</w:t>
            </w:r>
          </w:p>
        </w:tc>
      </w:tr>
      <w:tr w:rsidR="00957E55" w:rsidRPr="00957E55" w14:paraId="7ACD71B2" w14:textId="77777777" w:rsidTr="00957E55">
        <w:trPr>
          <w:tblCellSpacing w:w="15" w:type="dxa"/>
        </w:trPr>
        <w:tc>
          <w:tcPr>
            <w:tcW w:w="3216" w:type="dxa"/>
            <w:vMerge/>
            <w:vAlign w:val="center"/>
            <w:hideMark/>
          </w:tcPr>
          <w:p w14:paraId="2CD114B4"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6C141B0C"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Kill Manga</w:t>
            </w:r>
          </w:p>
        </w:tc>
        <w:tc>
          <w:tcPr>
            <w:tcW w:w="2648" w:type="dxa"/>
            <w:vAlign w:val="center"/>
            <w:hideMark/>
          </w:tcPr>
          <w:p w14:paraId="5A5E9D82"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8</w:t>
            </w:r>
          </w:p>
        </w:tc>
      </w:tr>
      <w:tr w:rsidR="00957E55" w:rsidRPr="00957E55" w14:paraId="2E135C41" w14:textId="77777777" w:rsidTr="00957E55">
        <w:trPr>
          <w:tblCellSpacing w:w="15" w:type="dxa"/>
        </w:trPr>
        <w:tc>
          <w:tcPr>
            <w:tcW w:w="3216" w:type="dxa"/>
            <w:vMerge/>
            <w:vAlign w:val="center"/>
            <w:hideMark/>
          </w:tcPr>
          <w:p w14:paraId="368FA1F7"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3F455493"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Dassoram</w:t>
            </w:r>
          </w:p>
        </w:tc>
        <w:tc>
          <w:tcPr>
            <w:tcW w:w="2648" w:type="dxa"/>
            <w:vAlign w:val="center"/>
            <w:hideMark/>
          </w:tcPr>
          <w:p w14:paraId="61CA6F0E"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19</w:t>
            </w:r>
          </w:p>
        </w:tc>
      </w:tr>
      <w:tr w:rsidR="00957E55" w:rsidRPr="00957E55" w14:paraId="228D7426" w14:textId="77777777" w:rsidTr="00957E55">
        <w:trPr>
          <w:tblCellSpacing w:w="15" w:type="dxa"/>
        </w:trPr>
        <w:tc>
          <w:tcPr>
            <w:tcW w:w="3216" w:type="dxa"/>
            <w:vMerge/>
            <w:vAlign w:val="center"/>
            <w:hideMark/>
          </w:tcPr>
          <w:p w14:paraId="37C7003B"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6860B05F"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Goujou</w:t>
            </w:r>
          </w:p>
        </w:tc>
        <w:tc>
          <w:tcPr>
            <w:tcW w:w="2648" w:type="dxa"/>
            <w:vAlign w:val="center"/>
            <w:hideMark/>
          </w:tcPr>
          <w:p w14:paraId="605B1DA7"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16</w:t>
            </w:r>
          </w:p>
        </w:tc>
      </w:tr>
      <w:tr w:rsidR="00957E55" w:rsidRPr="00957E55" w14:paraId="09B2363B" w14:textId="77777777" w:rsidTr="00957E55">
        <w:trPr>
          <w:tblCellSpacing w:w="15" w:type="dxa"/>
        </w:trPr>
        <w:tc>
          <w:tcPr>
            <w:tcW w:w="3216" w:type="dxa"/>
            <w:vMerge/>
            <w:vAlign w:val="center"/>
            <w:hideMark/>
          </w:tcPr>
          <w:p w14:paraId="27AD9F89"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4ACE1A6B"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N’Guel Bely</w:t>
            </w:r>
          </w:p>
        </w:tc>
        <w:tc>
          <w:tcPr>
            <w:tcW w:w="2648" w:type="dxa"/>
            <w:vAlign w:val="center"/>
            <w:hideMark/>
          </w:tcPr>
          <w:p w14:paraId="5FD857EE"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22</w:t>
            </w:r>
          </w:p>
        </w:tc>
      </w:tr>
      <w:tr w:rsidR="00957E55" w:rsidRPr="00957E55" w14:paraId="69B94679" w14:textId="77777777" w:rsidTr="00957E55">
        <w:trPr>
          <w:tblCellSpacing w:w="15" w:type="dxa"/>
        </w:trPr>
        <w:tc>
          <w:tcPr>
            <w:tcW w:w="3216" w:type="dxa"/>
            <w:vMerge/>
            <w:vAlign w:val="center"/>
            <w:hideMark/>
          </w:tcPr>
          <w:p w14:paraId="14D73713"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521" w:type="dxa"/>
            <w:vAlign w:val="center"/>
            <w:hideMark/>
          </w:tcPr>
          <w:p w14:paraId="1F688BE0"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Foulatari</w:t>
            </w:r>
          </w:p>
        </w:tc>
        <w:tc>
          <w:tcPr>
            <w:tcW w:w="2648" w:type="dxa"/>
            <w:vAlign w:val="center"/>
            <w:hideMark/>
          </w:tcPr>
          <w:p w14:paraId="08CADE27" w14:textId="77777777" w:rsidR="00957E55" w:rsidRPr="00957E55" w:rsidRDefault="00957E55" w:rsidP="00957E55">
            <w:pPr>
              <w:spacing w:after="0" w:line="240" w:lineRule="auto"/>
              <w:jc w:val="center"/>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kern w:val="0"/>
                <w:sz w:val="24"/>
                <w:szCs w:val="24"/>
                <w14:ligatures w14:val="none"/>
              </w:rPr>
              <w:t>30</w:t>
            </w:r>
          </w:p>
        </w:tc>
      </w:tr>
      <w:tr w:rsidR="00957E55" w:rsidRPr="00957E55" w14:paraId="254919FD" w14:textId="77777777" w:rsidTr="00957E55">
        <w:trPr>
          <w:tblCellSpacing w:w="15" w:type="dxa"/>
        </w:trPr>
        <w:tc>
          <w:tcPr>
            <w:tcW w:w="3216" w:type="dxa"/>
            <w:vAlign w:val="center"/>
            <w:hideMark/>
          </w:tcPr>
          <w:p w14:paraId="03D174AA"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b/>
                <w:bCs/>
                <w:kern w:val="0"/>
                <w:sz w:val="24"/>
                <w:szCs w:val="24"/>
                <w14:ligatures w14:val="none"/>
              </w:rPr>
              <w:t>Total</w:t>
            </w:r>
          </w:p>
        </w:tc>
        <w:tc>
          <w:tcPr>
            <w:tcW w:w="2521" w:type="dxa"/>
            <w:vAlign w:val="center"/>
            <w:hideMark/>
          </w:tcPr>
          <w:p w14:paraId="15755608"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p>
        </w:tc>
        <w:tc>
          <w:tcPr>
            <w:tcW w:w="2648" w:type="dxa"/>
            <w:vAlign w:val="center"/>
            <w:hideMark/>
          </w:tcPr>
          <w:p w14:paraId="51723431" w14:textId="77777777" w:rsidR="00957E55" w:rsidRPr="00957E55" w:rsidRDefault="00957E55" w:rsidP="00957E55">
            <w:pPr>
              <w:spacing w:after="0" w:line="240" w:lineRule="auto"/>
              <w:rPr>
                <w:rFonts w:ascii="Times New Roman" w:eastAsia="Times New Roman" w:hAnsi="Times New Roman" w:cs="Times New Roman"/>
                <w:kern w:val="0"/>
                <w:sz w:val="24"/>
                <w:szCs w:val="24"/>
                <w14:ligatures w14:val="none"/>
              </w:rPr>
            </w:pPr>
            <w:r w:rsidRPr="00957E55">
              <w:rPr>
                <w:rFonts w:ascii="Times New Roman" w:eastAsia="Times New Roman" w:hAnsi="Times New Roman" w:cs="Times New Roman"/>
                <w:b/>
                <w:bCs/>
                <w:kern w:val="0"/>
                <w:sz w:val="24"/>
                <w:szCs w:val="24"/>
                <w14:ligatures w14:val="none"/>
              </w:rPr>
              <w:t>234</w:t>
            </w:r>
          </w:p>
        </w:tc>
      </w:tr>
    </w:tbl>
    <w:p w14:paraId="00BE71CF" w14:textId="77777777" w:rsidR="000D6C06" w:rsidRDefault="000D6C06" w:rsidP="000D6C06"/>
    <w:p w14:paraId="38850C8A" w14:textId="114A7274"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Three sub-sites (</w:t>
      </w:r>
      <w:r w:rsidRPr="00B263D3">
        <w:rPr>
          <w:rFonts w:ascii="Times New Roman" w:hAnsi="Times New Roman" w:cs="Times New Roman"/>
          <w:sz w:val="24"/>
          <w:szCs w:val="24"/>
        </w:rPr>
        <w:t>Chetimari, Foulatari, and N’Guel Bely</w:t>
      </w:r>
      <w:r w:rsidRPr="00ED725F">
        <w:rPr>
          <w:rFonts w:ascii="Times New Roman" w:hAnsi="Times New Roman" w:cs="Times New Roman"/>
          <w:sz w:val="24"/>
          <w:szCs w:val="24"/>
        </w:rPr>
        <w:t xml:space="preserve">) in the </w:t>
      </w:r>
      <w:r w:rsidRPr="00B263D3">
        <w:rPr>
          <w:rFonts w:ascii="Times New Roman" w:hAnsi="Times New Roman" w:cs="Times New Roman"/>
          <w:sz w:val="24"/>
          <w:szCs w:val="24"/>
        </w:rPr>
        <w:t>Lake Chad Basin</w:t>
      </w:r>
      <w:r w:rsidRPr="00ED725F">
        <w:rPr>
          <w:rFonts w:ascii="Times New Roman" w:hAnsi="Times New Roman" w:cs="Times New Roman"/>
          <w:sz w:val="24"/>
          <w:szCs w:val="24"/>
        </w:rPr>
        <w:t xml:space="preserve">, within the </w:t>
      </w:r>
      <w:r w:rsidRPr="00B263D3">
        <w:rPr>
          <w:rFonts w:ascii="Times New Roman" w:hAnsi="Times New Roman" w:cs="Times New Roman"/>
          <w:sz w:val="24"/>
          <w:szCs w:val="24"/>
        </w:rPr>
        <w:t>Diffa region</w:t>
      </w:r>
      <w:r w:rsidRPr="00ED725F">
        <w:rPr>
          <w:rFonts w:ascii="Times New Roman" w:hAnsi="Times New Roman" w:cs="Times New Roman"/>
          <w:sz w:val="24"/>
          <w:szCs w:val="24"/>
        </w:rPr>
        <w:t>, were selected due to their proximity to vulnerable ecosystems.</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study employed </w:t>
      </w:r>
      <w:r w:rsidR="00B263D3">
        <w:rPr>
          <w:rFonts w:ascii="Times New Roman" w:hAnsi="Times New Roman" w:cs="Times New Roman"/>
          <w:sz w:val="24"/>
          <w:szCs w:val="24"/>
        </w:rPr>
        <w:t>stratified random sampling, in which the number of households surveyed in each locality was determined proportionally to that locality's</w:t>
      </w:r>
      <w:r w:rsidRPr="00ED725F">
        <w:rPr>
          <w:rFonts w:ascii="Times New Roman" w:hAnsi="Times New Roman" w:cs="Times New Roman"/>
          <w:sz w:val="24"/>
          <w:szCs w:val="24"/>
        </w:rPr>
        <w:t xml:space="preserve"> share of the total population. This approach ensured that each locality was adequately represented in the sample.</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total number of households in each village/site was divided by the </w:t>
      </w:r>
      <w:r w:rsidRPr="00B263D3">
        <w:rPr>
          <w:rFonts w:ascii="Times New Roman" w:hAnsi="Times New Roman" w:cs="Times New Roman"/>
          <w:sz w:val="24"/>
          <w:szCs w:val="24"/>
        </w:rPr>
        <w:t>sample size (N)</w:t>
      </w:r>
      <w:r w:rsidRPr="00ED725F">
        <w:rPr>
          <w:rFonts w:ascii="Times New Roman" w:hAnsi="Times New Roman" w:cs="Times New Roman"/>
          <w:sz w:val="24"/>
          <w:szCs w:val="24"/>
        </w:rPr>
        <w:t xml:space="preserve"> in order to determine the </w:t>
      </w:r>
      <w:r w:rsidRPr="00B263D3">
        <w:rPr>
          <w:rFonts w:ascii="Times New Roman" w:hAnsi="Times New Roman" w:cs="Times New Roman"/>
          <w:sz w:val="24"/>
          <w:szCs w:val="24"/>
        </w:rPr>
        <w:t>sampling interval</w:t>
      </w:r>
      <w:r w:rsidRPr="00ED725F">
        <w:rPr>
          <w:rFonts w:ascii="Times New Roman" w:hAnsi="Times New Roman" w:cs="Times New Roman"/>
          <w:sz w:val="24"/>
          <w:szCs w:val="24"/>
        </w:rPr>
        <w:t xml:space="preserve"> (Table 1).</w:t>
      </w:r>
    </w:p>
    <w:p w14:paraId="2D4F6353" w14:textId="1B26BF49" w:rsidR="00957E55" w:rsidRDefault="00957E55" w:rsidP="00957E55">
      <w:pPr>
        <w:jc w:val="center"/>
      </w:pPr>
      <w:r>
        <w:rPr>
          <w:noProof/>
          <w:lang w:eastAsia="fr-FR"/>
        </w:rPr>
        <w:lastRenderedPageBreak/>
        <w:drawing>
          <wp:inline distT="0" distB="0" distL="0" distR="0" wp14:anchorId="692CC246" wp14:editId="7CF43ABA">
            <wp:extent cx="4876800" cy="3703557"/>
            <wp:effectExtent l="0" t="0" r="0" b="0"/>
            <wp:docPr id="59118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058" cy="3713626"/>
                    </a:xfrm>
                    <a:prstGeom prst="rect">
                      <a:avLst/>
                    </a:prstGeom>
                    <a:noFill/>
                    <a:ln>
                      <a:noFill/>
                    </a:ln>
                  </pic:spPr>
                </pic:pic>
              </a:graphicData>
            </a:graphic>
          </wp:inline>
        </w:drawing>
      </w:r>
    </w:p>
    <w:p w14:paraId="6C8A0AE1" w14:textId="46CAE76E" w:rsidR="00957E55" w:rsidRPr="00ED725F" w:rsidRDefault="00957E55" w:rsidP="00957E55">
      <w:pPr>
        <w:jc w:val="center"/>
        <w:rPr>
          <w:rFonts w:ascii="Times New Roman" w:hAnsi="Times New Roman" w:cs="Times New Roman"/>
          <w:sz w:val="24"/>
          <w:szCs w:val="24"/>
        </w:rPr>
      </w:pPr>
      <w:r w:rsidRPr="00ED725F">
        <w:rPr>
          <w:rFonts w:ascii="Times New Roman" w:hAnsi="Times New Roman" w:cs="Times New Roman"/>
          <w:sz w:val="24"/>
          <w:szCs w:val="24"/>
        </w:rPr>
        <w:t>Fig. 3. Location Map of the Survey Sites</w:t>
      </w:r>
    </w:p>
    <w:p w14:paraId="5787A0F1" w14:textId="77777777" w:rsidR="00957E55" w:rsidRPr="00ED725F" w:rsidRDefault="00957E55"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sz w:val="24"/>
          <w:szCs w:val="24"/>
        </w:rPr>
        <w:t xml:space="preserve">2.3.2. </w:t>
      </w:r>
      <w:r w:rsidRPr="00ED725F">
        <w:rPr>
          <w:rFonts w:ascii="Times New Roman" w:hAnsi="Times New Roman" w:cs="Times New Roman"/>
          <w:b/>
          <w:bCs/>
          <w:sz w:val="24"/>
          <w:szCs w:val="24"/>
        </w:rPr>
        <w:t>Data Collection</w:t>
      </w:r>
    </w:p>
    <w:p w14:paraId="093630C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To conduct this study, two categories of data were collected:</w:t>
      </w:r>
    </w:p>
    <w:p w14:paraId="15927D63" w14:textId="77777777" w:rsidR="00957E55" w:rsidRPr="00ED725F" w:rsidRDefault="00957E55" w:rsidP="00ED725F">
      <w:pPr>
        <w:pStyle w:val="ListParagraph"/>
        <w:numPr>
          <w:ilvl w:val="0"/>
          <w:numId w:val="7"/>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Survey data (social data)</w:t>
      </w:r>
    </w:p>
    <w:p w14:paraId="7EFA9D28" w14:textId="60EF87F2"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household survey questionnaire was divided into three </w:t>
      </w:r>
      <w:r w:rsidR="00120ACF" w:rsidRPr="00ED725F">
        <w:rPr>
          <w:rFonts w:ascii="Times New Roman" w:hAnsi="Times New Roman" w:cs="Times New Roman"/>
          <w:sz w:val="24"/>
          <w:szCs w:val="24"/>
        </w:rPr>
        <w:t>sections :</w:t>
      </w:r>
      <w:r w:rsidRPr="00ED725F">
        <w:rPr>
          <w:rFonts w:ascii="Times New Roman" w:hAnsi="Times New Roman" w:cs="Times New Roman"/>
          <w:sz w:val="24"/>
          <w:szCs w:val="24"/>
        </w:rPr>
        <w:t xml:space="preserve"> Section A (General information about the respondent), Section B (Perception of climate and observed changes), and Section C (Impacts of climate change on livelihoods). Section B also gathered community assessments regarding their perception of climatic factors such as rainfall and temperature, as well as their evaluation of the impacts of climate change.</w:t>
      </w:r>
    </w:p>
    <w:p w14:paraId="6F6BF752"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Face-to-face interviews were mainly conducted at the respondents’ homes, with each interview lasting approximately 20 to 30 minutes. The respondents were adult household members (≥ 40 years old), preferably household heads or their spouses. Prior to the survey, the questionnaire was pre-tested in five households in the village of Kourou to ensure its relevance and clarity.</w:t>
      </w:r>
    </w:p>
    <w:p w14:paraId="1BFC054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questionnaire was translated from French into the respondents’ local languages (Hausa, Kanuri, and Fulani) to facilitate better understanding. As recommended by Pearce et al. (2009), the ethical procedures followed in this research took into account local norms, language </w:t>
      </w:r>
      <w:r w:rsidRPr="00ED725F">
        <w:rPr>
          <w:rFonts w:ascii="Times New Roman" w:hAnsi="Times New Roman" w:cs="Times New Roman"/>
          <w:sz w:val="24"/>
          <w:szCs w:val="24"/>
        </w:rPr>
        <w:lastRenderedPageBreak/>
        <w:t>considerations, and the confidentiality of respondents, while ensuring their voluntary participation in the survey.</w:t>
      </w:r>
    </w:p>
    <w:p w14:paraId="41353E77"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Examples of questions administered during the survey:</w:t>
      </w:r>
    </w:p>
    <w:p w14:paraId="32AA2303"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Have you noticed climatic changes over the past 30 years?</w:t>
      </w:r>
    </w:p>
    <w:p w14:paraId="440E0461"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According to you, which months are the hottest today?</w:t>
      </w:r>
    </w:p>
    <w:p w14:paraId="68CAD25B" w14:textId="07CA89B1"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Have you observed a decline in agricultural </w:t>
      </w:r>
      <w:r w:rsidR="00FD6F4A" w:rsidRPr="00ED725F">
        <w:rPr>
          <w:rFonts w:ascii="Times New Roman" w:hAnsi="Times New Roman" w:cs="Times New Roman"/>
          <w:sz w:val="24"/>
          <w:szCs w:val="24"/>
        </w:rPr>
        <w:t>production ?</w:t>
      </w:r>
    </w:p>
    <w:p w14:paraId="47F4D416"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Have you lost livestock due to droughts or water shortages?</w:t>
      </w:r>
    </w:p>
    <w:p w14:paraId="16792078"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What adaptation practices and local strategies are used to cope with climate variability?</w:t>
      </w:r>
    </w:p>
    <w:p w14:paraId="3FDF5238"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Have you adopted strategies to adapt to the changing climate?</w:t>
      </w:r>
    </w:p>
    <w:p w14:paraId="7561F1C7" w14:textId="77777777" w:rsidR="00957E55" w:rsidRPr="00ED725F" w:rsidRDefault="00957E55" w:rsidP="00ED725F">
      <w:pPr>
        <w:numPr>
          <w:ilvl w:val="0"/>
          <w:numId w:val="5"/>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What traditional and innovative sustainable practices are used to address the impacts of climate change?</w:t>
      </w:r>
    </w:p>
    <w:p w14:paraId="3F6A8C66" w14:textId="77777777" w:rsidR="00957E55" w:rsidRPr="00ED725F" w:rsidRDefault="00957E55" w:rsidP="00ED725F">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Climatic data (meteorological data)</w:t>
      </w:r>
    </w:p>
    <w:p w14:paraId="7598F9CC"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climatic data used to analyze climate change and variability, as well as to calculate extreme climate and drought indices, were obtained from the NASA POWER database (</w:t>
      </w:r>
      <w:hyperlink r:id="rId10" w:tgtFrame="_new" w:history="1">
        <w:r w:rsidRPr="00ED725F">
          <w:rPr>
            <w:rStyle w:val="Hyperlink"/>
            <w:rFonts w:ascii="Times New Roman" w:hAnsi="Times New Roman" w:cs="Times New Roman"/>
            <w:sz w:val="24"/>
            <w:szCs w:val="24"/>
          </w:rPr>
          <w:t>https://power.larc.nasa.gov/</w:t>
        </w:r>
      </w:hyperlink>
      <w:r w:rsidRPr="00ED725F">
        <w:rPr>
          <w:rFonts w:ascii="Times New Roman" w:hAnsi="Times New Roman" w:cs="Times New Roman"/>
          <w:sz w:val="24"/>
          <w:szCs w:val="24"/>
        </w:rPr>
        <w:t>).</w:t>
      </w:r>
    </w:p>
    <w:p w14:paraId="08B3F1A9"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following variables were downloaded:</w:t>
      </w:r>
    </w:p>
    <w:p w14:paraId="7A4A9F42" w14:textId="1AA71159"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maximum temperatures from 1995 to </w:t>
      </w:r>
      <w:r w:rsidR="00FD6F4A" w:rsidRPr="00ED725F">
        <w:rPr>
          <w:rFonts w:ascii="Times New Roman" w:hAnsi="Times New Roman" w:cs="Times New Roman"/>
          <w:sz w:val="24"/>
          <w:szCs w:val="24"/>
        </w:rPr>
        <w:t>2025 ;</w:t>
      </w:r>
    </w:p>
    <w:p w14:paraId="1BCC9007" w14:textId="5F5F1C40"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minimum temperatures from 1995 to </w:t>
      </w:r>
      <w:r w:rsidR="00FD6F4A" w:rsidRPr="00ED725F">
        <w:rPr>
          <w:rFonts w:ascii="Times New Roman" w:hAnsi="Times New Roman" w:cs="Times New Roman"/>
          <w:sz w:val="24"/>
          <w:szCs w:val="24"/>
        </w:rPr>
        <w:t>2025 ;</w:t>
      </w:r>
    </w:p>
    <w:p w14:paraId="11BE297F" w14:textId="77777777"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Daily precipitation data from 1995 to 2025.</w:t>
      </w:r>
    </w:p>
    <w:p w14:paraId="72A25508" w14:textId="743E8AF2"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2.4. </w:t>
      </w:r>
      <w:r w:rsidRPr="00ED725F">
        <w:rPr>
          <w:rFonts w:ascii="Times New Roman" w:hAnsi="Times New Roman" w:cs="Times New Roman"/>
          <w:b/>
          <w:bCs/>
          <w:sz w:val="24"/>
          <w:szCs w:val="24"/>
        </w:rPr>
        <w:t>Data Analysis and Processing</w:t>
      </w:r>
    </w:p>
    <w:p w14:paraId="20D962D7" w14:textId="5F51AFDC" w:rsidR="00DD77FF" w:rsidRDefault="00DD77FF" w:rsidP="00ED725F">
      <w:pPr>
        <w:pStyle w:val="NormalWeb"/>
        <w:spacing w:line="360" w:lineRule="auto"/>
        <w:jc w:val="both"/>
      </w:pPr>
      <w:r w:rsidRPr="00ED725F">
        <w:t xml:space="preserve">The data collected for this study originate from both </w:t>
      </w:r>
      <w:r w:rsidRPr="00ED725F">
        <w:rPr>
          <w:rStyle w:val="Strong"/>
          <w:rFonts w:eastAsiaTheme="majorEastAsia"/>
          <w:b w:val="0"/>
          <w:bCs w:val="0"/>
        </w:rPr>
        <w:t>socio-economic surveys</w:t>
      </w:r>
      <w:r w:rsidRPr="00ED725F">
        <w:t xml:space="preserve"> conducted among </w:t>
      </w:r>
      <w:r w:rsidRPr="00ED725F">
        <w:rPr>
          <w:rStyle w:val="Strong"/>
          <w:rFonts w:eastAsiaTheme="majorEastAsia"/>
          <w:b w:val="0"/>
          <w:bCs w:val="0"/>
        </w:rPr>
        <w:t>234 households in 12 villages</w:t>
      </w:r>
      <w:r w:rsidRPr="00ED725F">
        <w:t xml:space="preserve"> in the Diffa region and </w:t>
      </w:r>
      <w:r w:rsidRPr="00ED725F">
        <w:rPr>
          <w:rStyle w:val="Strong"/>
          <w:rFonts w:eastAsiaTheme="majorEastAsia"/>
          <w:b w:val="0"/>
          <w:bCs w:val="0"/>
        </w:rPr>
        <w:t>simulated climatic data</w:t>
      </w:r>
      <w:r w:rsidRPr="00ED725F">
        <w:t xml:space="preserve"> derived from satellite-based databases and climate reanalysis products (</w:t>
      </w:r>
      <w:r w:rsidRPr="00ED725F">
        <w:rPr>
          <w:rStyle w:val="Strong"/>
          <w:rFonts w:eastAsiaTheme="majorEastAsia"/>
          <w:b w:val="0"/>
          <w:bCs w:val="0"/>
        </w:rPr>
        <w:t xml:space="preserve">NASA </w:t>
      </w:r>
      <w:r w:rsidR="00FD6F4A" w:rsidRPr="00ED725F">
        <w:rPr>
          <w:rStyle w:val="Strong"/>
          <w:rFonts w:eastAsiaTheme="majorEastAsia"/>
          <w:b w:val="0"/>
          <w:bCs w:val="0"/>
        </w:rPr>
        <w:t>POWER</w:t>
      </w:r>
      <w:r w:rsidR="00FD6F4A" w:rsidRPr="00ED725F">
        <w:t xml:space="preserve"> :</w:t>
      </w:r>
      <w:r w:rsidRPr="00ED725F">
        <w:t xml:space="preserve"> </w:t>
      </w:r>
      <w:hyperlink r:id="rId11" w:tgtFrame="_new" w:history="1">
        <w:r w:rsidRPr="00ED725F">
          <w:rPr>
            <w:rStyle w:val="Hyperlink"/>
            <w:rFonts w:eastAsiaTheme="majorEastAsia"/>
          </w:rPr>
          <w:t>https://power.larc.nasa.gov/</w:t>
        </w:r>
      </w:hyperlink>
      <w:r w:rsidRPr="00ED725F">
        <w:t xml:space="preserve">). Data processing and analysis were carried out using several complementary tools, particularly the </w:t>
      </w:r>
      <w:r w:rsidRPr="00ED725F">
        <w:rPr>
          <w:rStyle w:val="Strong"/>
          <w:rFonts w:eastAsiaTheme="majorEastAsia"/>
          <w:b w:val="0"/>
          <w:bCs w:val="0"/>
        </w:rPr>
        <w:t>R</w:t>
      </w:r>
      <w:r w:rsidRPr="00ED725F">
        <w:t xml:space="preserve"> and </w:t>
      </w:r>
      <w:r w:rsidRPr="00ED725F">
        <w:rPr>
          <w:rStyle w:val="Strong"/>
          <w:rFonts w:eastAsiaTheme="majorEastAsia"/>
          <w:b w:val="0"/>
          <w:bCs w:val="0"/>
        </w:rPr>
        <w:t>ArcGIS</w:t>
      </w:r>
      <w:r w:rsidRPr="00ED725F">
        <w:t xml:space="preserve"> software, to ensure rigorous </w:t>
      </w:r>
      <w:r w:rsidRPr="00ED725F">
        <w:rPr>
          <w:rStyle w:val="Strong"/>
          <w:rFonts w:eastAsiaTheme="majorEastAsia"/>
          <w:b w:val="0"/>
          <w:bCs w:val="0"/>
        </w:rPr>
        <w:t>statistical, spatial, and graphical analyses</w:t>
      </w:r>
      <w:r w:rsidRPr="00ED725F">
        <w:t>.</w:t>
      </w:r>
      <w:r w:rsidR="00120ACF" w:rsidRPr="00ED725F">
        <w:t xml:space="preserve"> </w:t>
      </w:r>
      <w:r w:rsidRPr="00ED725F">
        <w:t xml:space="preserve">The questionnaire data were first entered and coded in </w:t>
      </w:r>
      <w:r w:rsidRPr="00ED725F">
        <w:rPr>
          <w:rStyle w:val="Strong"/>
          <w:rFonts w:eastAsiaTheme="majorEastAsia"/>
          <w:b w:val="0"/>
          <w:bCs w:val="0"/>
        </w:rPr>
        <w:t>Excel spreadsheets</w:t>
      </w:r>
      <w:r w:rsidRPr="00ED725F">
        <w:t xml:space="preserve">. A data cleaning process was performed to correct inconsistencies, verify missing </w:t>
      </w:r>
      <w:r w:rsidRPr="00ED725F">
        <w:lastRenderedPageBreak/>
        <w:t xml:space="preserve">values, and harmonize variables. Qualitative responses were converted into </w:t>
      </w:r>
      <w:r w:rsidRPr="00ED725F">
        <w:rPr>
          <w:rStyle w:val="Strong"/>
          <w:rFonts w:eastAsiaTheme="majorEastAsia"/>
          <w:b w:val="0"/>
          <w:bCs w:val="0"/>
        </w:rPr>
        <w:t>quantitative variables</w:t>
      </w:r>
      <w:r w:rsidRPr="00ED725F">
        <w:t xml:space="preserve"> (binary or categorical coding) to facilitate statistical analysis. </w:t>
      </w:r>
      <w:r w:rsidRPr="00ED725F">
        <w:rPr>
          <w:rStyle w:val="Strong"/>
          <w:rFonts w:eastAsiaTheme="majorEastAsia"/>
          <w:b w:val="0"/>
          <w:bCs w:val="0"/>
        </w:rPr>
        <w:t>Descriptive statistics</w:t>
      </w:r>
      <w:r w:rsidRPr="00ED725F">
        <w:t xml:space="preserve"> (frequencies, percentages, and distributions) were used to analyze the </w:t>
      </w:r>
      <w:r w:rsidRPr="00ED725F">
        <w:rPr>
          <w:rStyle w:val="Strong"/>
          <w:rFonts w:eastAsiaTheme="majorEastAsia"/>
          <w:b w:val="0"/>
          <w:bCs w:val="0"/>
        </w:rPr>
        <w:t>socio-economic profile of respondents</w:t>
      </w:r>
      <w:r w:rsidRPr="00ED725F">
        <w:t xml:space="preserve">, their </w:t>
      </w:r>
      <w:r w:rsidRPr="00ED725F">
        <w:rPr>
          <w:rStyle w:val="Strong"/>
          <w:rFonts w:eastAsiaTheme="majorEastAsia"/>
          <w:b w:val="0"/>
          <w:bCs w:val="0"/>
        </w:rPr>
        <w:t>perceptions of climate change</w:t>
      </w:r>
      <w:r w:rsidRPr="00ED725F">
        <w:t xml:space="preserve">, the </w:t>
      </w:r>
      <w:r w:rsidRPr="00ED725F">
        <w:rPr>
          <w:rStyle w:val="Strong"/>
          <w:rFonts w:eastAsiaTheme="majorEastAsia"/>
          <w:b w:val="0"/>
          <w:bCs w:val="0"/>
        </w:rPr>
        <w:t>perceived impacts on livelihoods</w:t>
      </w:r>
      <w:r w:rsidRPr="00ED725F">
        <w:t xml:space="preserve">, and the </w:t>
      </w:r>
      <w:r w:rsidRPr="00ED725F">
        <w:rPr>
          <w:rStyle w:val="Strong"/>
          <w:rFonts w:eastAsiaTheme="majorEastAsia"/>
          <w:b w:val="0"/>
          <w:bCs w:val="0"/>
        </w:rPr>
        <w:t>adaptation strategies adopted by communities</w:t>
      </w:r>
      <w:r w:rsidRPr="00ED725F">
        <w:t xml:space="preserve">. Statistical analyses and graphical outputs were produced using the </w:t>
      </w:r>
      <w:r w:rsidRPr="00ED725F">
        <w:rPr>
          <w:rStyle w:val="Strong"/>
          <w:rFonts w:eastAsiaTheme="majorEastAsia"/>
          <w:b w:val="0"/>
          <w:bCs w:val="0"/>
        </w:rPr>
        <w:t>R software</w:t>
      </w:r>
      <w:r w:rsidRPr="00ED725F">
        <w:t xml:space="preserve">, which enabled the creation of </w:t>
      </w:r>
      <w:r w:rsidRPr="00ED725F">
        <w:rPr>
          <w:rStyle w:val="Strong"/>
          <w:rFonts w:eastAsiaTheme="majorEastAsia"/>
          <w:b w:val="0"/>
          <w:bCs w:val="0"/>
        </w:rPr>
        <w:t>bar charts and comparative graphs</w:t>
      </w:r>
      <w:r w:rsidRPr="00ED725F">
        <w:t xml:space="preserve"> illustrating community perceptions, the impacts of climate change, and adaptation strategies. The results are mainly presented in the form of </w:t>
      </w:r>
      <w:r w:rsidRPr="00ED725F">
        <w:rPr>
          <w:rStyle w:val="Strong"/>
          <w:rFonts w:eastAsiaTheme="majorEastAsia"/>
          <w:b w:val="0"/>
          <w:bCs w:val="0"/>
        </w:rPr>
        <w:t>percentages</w:t>
      </w:r>
      <w:r w:rsidRPr="00ED725F">
        <w:t xml:space="preserve"> to facilitate interpretation and comparison across different response categories.</w:t>
      </w:r>
      <w:r w:rsidR="00120ACF" w:rsidRPr="00ED725F">
        <w:t xml:space="preserve"> </w:t>
      </w:r>
      <w:r w:rsidRPr="00ED725F">
        <w:t>Daily climatic data (</w:t>
      </w:r>
      <w:r w:rsidRPr="00ED725F">
        <w:rPr>
          <w:rStyle w:val="Strong"/>
          <w:rFonts w:eastAsiaTheme="majorEastAsia"/>
          <w:b w:val="0"/>
          <w:bCs w:val="0"/>
        </w:rPr>
        <w:t>maximum and minimum temperatures, and precipitation</w:t>
      </w:r>
      <w:r w:rsidRPr="00ED725F">
        <w:t xml:space="preserve">) covering the period </w:t>
      </w:r>
      <w:r w:rsidRPr="00ED725F">
        <w:rPr>
          <w:rStyle w:val="Strong"/>
          <w:rFonts w:eastAsiaTheme="majorEastAsia"/>
          <w:b w:val="0"/>
          <w:bCs w:val="0"/>
        </w:rPr>
        <w:t>1995–2025</w:t>
      </w:r>
      <w:r w:rsidRPr="00ED725F">
        <w:t xml:space="preserve"> were analyzed to identify </w:t>
      </w:r>
      <w:r w:rsidRPr="00ED725F">
        <w:rPr>
          <w:rStyle w:val="Strong"/>
          <w:rFonts w:eastAsiaTheme="majorEastAsia"/>
          <w:b w:val="0"/>
          <w:bCs w:val="0"/>
        </w:rPr>
        <w:t>climatic trends and variability</w:t>
      </w:r>
      <w:r w:rsidRPr="00ED725F">
        <w:t xml:space="preserve">. Annual averages, moving averages, and graphical analyses were used to highlight the evolution of </w:t>
      </w:r>
      <w:r w:rsidRPr="00ED725F">
        <w:rPr>
          <w:rStyle w:val="Strong"/>
          <w:rFonts w:eastAsiaTheme="majorEastAsia"/>
          <w:b w:val="0"/>
          <w:bCs w:val="0"/>
        </w:rPr>
        <w:t>temperatures (Tmax and Tmin)</w:t>
      </w:r>
      <w:r w:rsidRPr="00ED725F">
        <w:t xml:space="preserve"> and </w:t>
      </w:r>
      <w:r w:rsidRPr="00ED725F">
        <w:rPr>
          <w:rStyle w:val="Strong"/>
          <w:rFonts w:eastAsiaTheme="majorEastAsia"/>
          <w:b w:val="0"/>
          <w:bCs w:val="0"/>
        </w:rPr>
        <w:t>interannual rainfall variability</w:t>
      </w:r>
      <w:r w:rsidRPr="00ED725F">
        <w:t>.</w:t>
      </w:r>
      <w:r w:rsidR="00120ACF" w:rsidRPr="00ED725F">
        <w:t xml:space="preserve"> </w:t>
      </w:r>
      <w:r w:rsidRPr="00ED725F">
        <w:t xml:space="preserve">Extreme climate indices were calculated in accordance with the recommendations of the </w:t>
      </w:r>
      <w:r w:rsidRPr="00ED725F">
        <w:rPr>
          <w:rStyle w:val="Strong"/>
          <w:rFonts w:eastAsiaTheme="majorEastAsia"/>
          <w:b w:val="0"/>
          <w:bCs w:val="0"/>
        </w:rPr>
        <w:t>Expert Team on Climate Change Detection and Indices (ETCCDI)</w:t>
      </w:r>
      <w:r w:rsidRPr="00ED725F">
        <w:t xml:space="preserve">, which provides standardized definitions for the analysis of climate extremes at the international level. Drought conditions were assessed using the </w:t>
      </w:r>
      <w:r w:rsidRPr="00ED725F">
        <w:rPr>
          <w:rStyle w:val="Strong"/>
          <w:rFonts w:eastAsiaTheme="majorEastAsia"/>
          <w:b w:val="0"/>
          <w:bCs w:val="0"/>
        </w:rPr>
        <w:t>Standardized Precipitation Index (SPI)</w:t>
      </w:r>
      <w:r w:rsidRPr="00ED725F">
        <w:t xml:space="preserve"> and the </w:t>
      </w:r>
      <w:r w:rsidRPr="00ED725F">
        <w:rPr>
          <w:rStyle w:val="Strong"/>
          <w:rFonts w:eastAsiaTheme="majorEastAsia"/>
          <w:b w:val="0"/>
          <w:bCs w:val="0"/>
        </w:rPr>
        <w:t>Standardized Precipitation Evapotranspiration Index (SPEI)</w:t>
      </w:r>
      <w:r w:rsidRPr="00ED725F">
        <w:t xml:space="preserve"> at </w:t>
      </w:r>
      <w:r w:rsidRPr="00ED725F">
        <w:rPr>
          <w:rStyle w:val="Strong"/>
          <w:rFonts w:eastAsiaTheme="majorEastAsia"/>
          <w:b w:val="0"/>
          <w:bCs w:val="0"/>
        </w:rPr>
        <w:t>3-, 6-, and 12-month timescales</w:t>
      </w:r>
      <w:r w:rsidRPr="00ED725F">
        <w:t xml:space="preserve">. Trend detection was performed using the </w:t>
      </w:r>
      <w:r w:rsidRPr="00ED725F">
        <w:rPr>
          <w:rStyle w:val="Strong"/>
          <w:rFonts w:eastAsiaTheme="majorEastAsia"/>
          <w:b w:val="0"/>
          <w:bCs w:val="0"/>
        </w:rPr>
        <w:t>non-parametric Mann–Kendall test</w:t>
      </w:r>
      <w:r w:rsidRPr="00ED725F">
        <w:t xml:space="preserve">, while </w:t>
      </w:r>
      <w:r w:rsidRPr="00ED725F">
        <w:rPr>
          <w:rStyle w:val="Strong"/>
          <w:rFonts w:eastAsiaTheme="majorEastAsia"/>
          <w:b w:val="0"/>
          <w:bCs w:val="0"/>
        </w:rPr>
        <w:t>structural breaks</w:t>
      </w:r>
      <w:r w:rsidRPr="00ED725F">
        <w:t xml:space="preserve"> were identified using the </w:t>
      </w:r>
      <w:r w:rsidRPr="00ED725F">
        <w:rPr>
          <w:rStyle w:val="Strong"/>
          <w:rFonts w:eastAsiaTheme="majorEastAsia"/>
          <w:b w:val="0"/>
          <w:bCs w:val="0"/>
        </w:rPr>
        <w:t>Pettitt test</w:t>
      </w:r>
      <w:r w:rsidRPr="00ED725F">
        <w:t>.</w:t>
      </w:r>
    </w:p>
    <w:p w14:paraId="538FE008" w14:textId="77777777" w:rsidR="00ED725F" w:rsidRDefault="00ED725F" w:rsidP="00ED725F">
      <w:pPr>
        <w:pStyle w:val="NormalWeb"/>
        <w:spacing w:line="360" w:lineRule="auto"/>
        <w:jc w:val="both"/>
      </w:pPr>
    </w:p>
    <w:p w14:paraId="7C3CCC35" w14:textId="77777777" w:rsidR="00ED725F" w:rsidRDefault="00ED725F" w:rsidP="00ED725F">
      <w:pPr>
        <w:pStyle w:val="NormalWeb"/>
        <w:spacing w:line="360" w:lineRule="auto"/>
        <w:jc w:val="both"/>
      </w:pPr>
    </w:p>
    <w:p w14:paraId="2E2326E9" w14:textId="77777777" w:rsidR="00ED725F" w:rsidRDefault="00ED725F" w:rsidP="00ED725F">
      <w:pPr>
        <w:pStyle w:val="NormalWeb"/>
        <w:spacing w:line="360" w:lineRule="auto"/>
        <w:jc w:val="both"/>
      </w:pPr>
    </w:p>
    <w:p w14:paraId="1655B1F5" w14:textId="77777777" w:rsidR="00ED725F" w:rsidRDefault="00ED725F" w:rsidP="00ED725F">
      <w:pPr>
        <w:pStyle w:val="NormalWeb"/>
        <w:spacing w:line="360" w:lineRule="auto"/>
        <w:jc w:val="both"/>
      </w:pPr>
    </w:p>
    <w:p w14:paraId="313073EA" w14:textId="77777777" w:rsidR="00ED725F" w:rsidRDefault="00ED725F" w:rsidP="00ED725F">
      <w:pPr>
        <w:pStyle w:val="NormalWeb"/>
        <w:spacing w:line="360" w:lineRule="auto"/>
        <w:jc w:val="both"/>
      </w:pPr>
    </w:p>
    <w:p w14:paraId="44D056B8" w14:textId="77777777" w:rsidR="00ED725F" w:rsidRDefault="00ED725F" w:rsidP="00ED725F">
      <w:pPr>
        <w:pStyle w:val="NormalWeb"/>
        <w:spacing w:line="360" w:lineRule="auto"/>
        <w:jc w:val="both"/>
      </w:pPr>
    </w:p>
    <w:p w14:paraId="77382C8A" w14:textId="77777777" w:rsidR="00ED725F" w:rsidRDefault="00ED725F" w:rsidP="00ED725F">
      <w:pPr>
        <w:pStyle w:val="NormalWeb"/>
        <w:spacing w:line="360" w:lineRule="auto"/>
        <w:jc w:val="both"/>
      </w:pPr>
    </w:p>
    <w:p w14:paraId="7FFEC1B2" w14:textId="77777777" w:rsidR="00FD6F4A" w:rsidRDefault="00FD6F4A" w:rsidP="00ED725F">
      <w:pPr>
        <w:pStyle w:val="NormalWeb"/>
        <w:spacing w:line="360" w:lineRule="auto"/>
        <w:jc w:val="both"/>
      </w:pPr>
    </w:p>
    <w:p w14:paraId="5DA97806" w14:textId="77777777" w:rsidR="00ED725F" w:rsidRDefault="00ED725F" w:rsidP="00ED725F">
      <w:pPr>
        <w:pStyle w:val="NormalWeb"/>
        <w:spacing w:line="360" w:lineRule="auto"/>
        <w:jc w:val="both"/>
      </w:pPr>
    </w:p>
    <w:p w14:paraId="3AF44145" w14:textId="045E6EF0" w:rsidR="00DD77FF" w:rsidRDefault="00DD77FF" w:rsidP="00DD77FF">
      <w:pPr>
        <w:pStyle w:val="NormalWeb"/>
      </w:pPr>
      <w:r w:rsidRPr="00DD77FF">
        <w:rPr>
          <w:b/>
          <w:bCs/>
        </w:rPr>
        <w:lastRenderedPageBreak/>
        <w:t>Table 2.</w:t>
      </w:r>
      <w:r w:rsidRPr="00DD77FF">
        <w:t xml:space="preserve"> Definition of indices/tests and formulas</w:t>
      </w:r>
    </w:p>
    <w:tbl>
      <w:tblPr>
        <w:tblW w:w="10348" w:type="dxa"/>
        <w:tblCellSpacing w:w="15" w:type="dxa"/>
        <w:tblInd w:w="-567" w:type="dxa"/>
        <w:tblCellMar>
          <w:top w:w="15" w:type="dxa"/>
          <w:left w:w="15" w:type="dxa"/>
          <w:bottom w:w="15" w:type="dxa"/>
          <w:right w:w="15" w:type="dxa"/>
        </w:tblCellMar>
        <w:tblLook w:val="04A0" w:firstRow="1" w:lastRow="0" w:firstColumn="1" w:lastColumn="0" w:noHBand="0" w:noVBand="1"/>
      </w:tblPr>
      <w:tblGrid>
        <w:gridCol w:w="1399"/>
        <w:gridCol w:w="2027"/>
        <w:gridCol w:w="2491"/>
        <w:gridCol w:w="1880"/>
        <w:gridCol w:w="2551"/>
      </w:tblGrid>
      <w:tr w:rsidR="00DD77FF" w:rsidRPr="00DD77FF" w14:paraId="40BE059F" w14:textId="77777777" w:rsidTr="00DD77FF">
        <w:trPr>
          <w:tblHeader/>
          <w:tblCellSpacing w:w="15" w:type="dxa"/>
        </w:trPr>
        <w:tc>
          <w:tcPr>
            <w:tcW w:w="1354" w:type="dxa"/>
            <w:vAlign w:val="center"/>
            <w:hideMark/>
          </w:tcPr>
          <w:p w14:paraId="6B033B2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Index / Test</w:t>
            </w:r>
          </w:p>
        </w:tc>
        <w:tc>
          <w:tcPr>
            <w:tcW w:w="0" w:type="auto"/>
            <w:vAlign w:val="center"/>
            <w:hideMark/>
          </w:tcPr>
          <w:p w14:paraId="7600B06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Full name</w:t>
            </w:r>
          </w:p>
        </w:tc>
        <w:tc>
          <w:tcPr>
            <w:tcW w:w="0" w:type="auto"/>
            <w:vAlign w:val="center"/>
            <w:hideMark/>
          </w:tcPr>
          <w:p w14:paraId="137BBDC7"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Definition</w:t>
            </w:r>
          </w:p>
        </w:tc>
        <w:tc>
          <w:tcPr>
            <w:tcW w:w="1850" w:type="dxa"/>
            <w:vAlign w:val="center"/>
            <w:hideMark/>
          </w:tcPr>
          <w:p w14:paraId="0D2C3FDB"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Interpretation</w:t>
            </w:r>
          </w:p>
        </w:tc>
        <w:tc>
          <w:tcPr>
            <w:tcW w:w="2506" w:type="dxa"/>
            <w:vAlign w:val="center"/>
            <w:hideMark/>
          </w:tcPr>
          <w:p w14:paraId="759A6FC0"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Mathematical formulas</w:t>
            </w:r>
          </w:p>
        </w:tc>
      </w:tr>
      <w:tr w:rsidR="00DD77FF" w:rsidRPr="00DD77FF" w14:paraId="16EA5322" w14:textId="77777777" w:rsidTr="00DD77FF">
        <w:trPr>
          <w:tblCellSpacing w:w="15" w:type="dxa"/>
        </w:trPr>
        <w:tc>
          <w:tcPr>
            <w:tcW w:w="1354" w:type="dxa"/>
            <w:vAlign w:val="center"/>
            <w:hideMark/>
          </w:tcPr>
          <w:p w14:paraId="54EA7BC1"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TX90p</w:t>
            </w:r>
          </w:p>
        </w:tc>
        <w:tc>
          <w:tcPr>
            <w:tcW w:w="0" w:type="auto"/>
            <w:vAlign w:val="center"/>
            <w:hideMark/>
          </w:tcPr>
          <w:p w14:paraId="429A7088"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Tmax &gt; 90th percentile</w:t>
            </w:r>
          </w:p>
        </w:tc>
        <w:tc>
          <w:tcPr>
            <w:tcW w:w="0" w:type="auto"/>
            <w:vAlign w:val="center"/>
            <w:hideMark/>
          </w:tcPr>
          <w:p w14:paraId="39DBEDF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(or seasonal) proportion of days when the daily maximum temperature exceeds the 90th percentile of the reference period</w:t>
            </w:r>
          </w:p>
        </w:tc>
        <w:tc>
          <w:tcPr>
            <w:tcW w:w="1850" w:type="dxa"/>
            <w:vAlign w:val="center"/>
            <w:hideMark/>
          </w:tcPr>
          <w:p w14:paraId="45441C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the frequency of extremely hot days</w:t>
            </w:r>
          </w:p>
        </w:tc>
        <w:tc>
          <w:tcPr>
            <w:tcW w:w="2506" w:type="dxa"/>
            <w:vAlign w:val="center"/>
            <w:hideMark/>
          </w:tcPr>
          <w:p w14:paraId="6115A867"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0C327C5" w14:textId="77777777" w:rsidTr="00DD77FF">
        <w:trPr>
          <w:tblCellSpacing w:w="15" w:type="dxa"/>
        </w:trPr>
        <w:tc>
          <w:tcPr>
            <w:tcW w:w="1354" w:type="dxa"/>
            <w:vAlign w:val="center"/>
            <w:hideMark/>
          </w:tcPr>
          <w:p w14:paraId="3683FF6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TN90p</w:t>
            </w:r>
          </w:p>
        </w:tc>
        <w:tc>
          <w:tcPr>
            <w:tcW w:w="0" w:type="auto"/>
            <w:vAlign w:val="center"/>
            <w:hideMark/>
          </w:tcPr>
          <w:p w14:paraId="00EA6AF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Tmin &gt; 90th percentile</w:t>
            </w:r>
          </w:p>
        </w:tc>
        <w:tc>
          <w:tcPr>
            <w:tcW w:w="0" w:type="auto"/>
            <w:vAlign w:val="center"/>
            <w:hideMark/>
          </w:tcPr>
          <w:p w14:paraId="3C1636F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Proportion of warm nights when the daily minimum temperature exceeds the 90th percentile</w:t>
            </w:r>
          </w:p>
        </w:tc>
        <w:tc>
          <w:tcPr>
            <w:tcW w:w="1850" w:type="dxa"/>
            <w:vAlign w:val="center"/>
            <w:hideMark/>
          </w:tcPr>
          <w:p w14:paraId="3B473BC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an increase in warm nights</w:t>
            </w:r>
          </w:p>
        </w:tc>
        <w:tc>
          <w:tcPr>
            <w:tcW w:w="2506" w:type="dxa"/>
            <w:vAlign w:val="center"/>
            <w:hideMark/>
          </w:tcPr>
          <w:p w14:paraId="36CE3B3B"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0CDF6EBC" w14:textId="77777777" w:rsidTr="00DD77FF">
        <w:trPr>
          <w:tblCellSpacing w:w="15" w:type="dxa"/>
        </w:trPr>
        <w:tc>
          <w:tcPr>
            <w:tcW w:w="1354" w:type="dxa"/>
            <w:vAlign w:val="center"/>
            <w:hideMark/>
          </w:tcPr>
          <w:p w14:paraId="79D9622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R95p</w:t>
            </w:r>
          </w:p>
        </w:tc>
        <w:tc>
          <w:tcPr>
            <w:tcW w:w="0" w:type="auto"/>
            <w:vAlign w:val="center"/>
            <w:hideMark/>
          </w:tcPr>
          <w:p w14:paraId="2397EE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Very intense precipitation</w:t>
            </w:r>
          </w:p>
        </w:tc>
        <w:tc>
          <w:tcPr>
            <w:tcW w:w="0" w:type="auto"/>
            <w:vAlign w:val="center"/>
            <w:hideMark/>
          </w:tcPr>
          <w:p w14:paraId="16B4E15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total of daily precipitation exceeding the 95th percentile</w:t>
            </w:r>
          </w:p>
        </w:tc>
        <w:tc>
          <w:tcPr>
            <w:tcW w:w="1850" w:type="dxa"/>
            <w:vAlign w:val="center"/>
            <w:hideMark/>
          </w:tcPr>
          <w:p w14:paraId="3434D29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Measures the intensity of extreme rainfall</w:t>
            </w:r>
          </w:p>
        </w:tc>
        <w:tc>
          <w:tcPr>
            <w:tcW w:w="2506" w:type="dxa"/>
            <w:vAlign w:val="center"/>
            <w:hideMark/>
          </w:tcPr>
          <w:p w14:paraId="6980CA58"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BF1057C" w14:textId="77777777" w:rsidTr="00DD77FF">
        <w:trPr>
          <w:tblCellSpacing w:w="15" w:type="dxa"/>
        </w:trPr>
        <w:tc>
          <w:tcPr>
            <w:tcW w:w="1354" w:type="dxa"/>
            <w:vAlign w:val="center"/>
            <w:hideMark/>
          </w:tcPr>
          <w:p w14:paraId="72A7D0D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w:t>
            </w:r>
          </w:p>
        </w:tc>
        <w:tc>
          <w:tcPr>
            <w:tcW w:w="0" w:type="auto"/>
            <w:vAlign w:val="center"/>
            <w:hideMark/>
          </w:tcPr>
          <w:p w14:paraId="2B03272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Index</w:t>
            </w:r>
          </w:p>
        </w:tc>
        <w:tc>
          <w:tcPr>
            <w:tcW w:w="0" w:type="auto"/>
            <w:vAlign w:val="center"/>
            <w:hideMark/>
          </w:tcPr>
          <w:p w14:paraId="3301468D"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only on precipitation, calculated at different time scales (3, 6, 12 months)</w:t>
            </w:r>
          </w:p>
        </w:tc>
        <w:tc>
          <w:tcPr>
            <w:tcW w:w="1850" w:type="dxa"/>
            <w:vAlign w:val="center"/>
            <w:hideMark/>
          </w:tcPr>
          <w:p w14:paraId="52FC6B1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Negative values = drought; positive values = wet conditions</w:t>
            </w:r>
          </w:p>
        </w:tc>
        <w:tc>
          <w:tcPr>
            <w:tcW w:w="2506" w:type="dxa"/>
            <w:vAlign w:val="center"/>
            <w:hideMark/>
          </w:tcPr>
          <w:p w14:paraId="38A4F8F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 = (Pᵢ − μ) / σ</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Pᵢ</w:t>
            </w:r>
            <w:r w:rsidRPr="00ED725F">
              <w:rPr>
                <w:rFonts w:ascii="Times New Roman" w:hAnsi="Times New Roman" w:cs="Times New Roman"/>
                <w:sz w:val="24"/>
                <w:szCs w:val="24"/>
              </w:rPr>
              <w:t xml:space="preserve"> is the cumulative precipitation at the considered timescale, </w:t>
            </w:r>
            <w:r w:rsidRPr="00ED725F">
              <w:rPr>
                <w:rFonts w:ascii="Times New Roman" w:hAnsi="Times New Roman" w:cs="Times New Roman"/>
                <w:i/>
                <w:iCs/>
                <w:sz w:val="24"/>
                <w:szCs w:val="24"/>
              </w:rPr>
              <w:t>μ</w:t>
            </w:r>
            <w:r w:rsidRPr="00ED725F">
              <w:rPr>
                <w:rFonts w:ascii="Times New Roman" w:hAnsi="Times New Roman" w:cs="Times New Roman"/>
                <w:sz w:val="24"/>
                <w:szCs w:val="24"/>
              </w:rPr>
              <w:t xml:space="preserve"> is the mean, and </w:t>
            </w:r>
            <w:r w:rsidRPr="00ED725F">
              <w:rPr>
                <w:rFonts w:ascii="Times New Roman" w:hAnsi="Times New Roman" w:cs="Times New Roman"/>
                <w:i/>
                <w:iCs/>
                <w:sz w:val="24"/>
                <w:szCs w:val="24"/>
              </w:rPr>
              <w:t>σ</w:t>
            </w:r>
            <w:r w:rsidRPr="00ED725F">
              <w:rPr>
                <w:rFonts w:ascii="Times New Roman" w:hAnsi="Times New Roman" w:cs="Times New Roman"/>
                <w:sz w:val="24"/>
                <w:szCs w:val="24"/>
              </w:rPr>
              <w:t xml:space="preserve"> is the standard deviation.</w:t>
            </w:r>
          </w:p>
        </w:tc>
      </w:tr>
      <w:tr w:rsidR="00DD77FF" w:rsidRPr="00DD77FF" w14:paraId="1FCA9408" w14:textId="77777777" w:rsidTr="00DD77FF">
        <w:trPr>
          <w:tblCellSpacing w:w="15" w:type="dxa"/>
        </w:trPr>
        <w:tc>
          <w:tcPr>
            <w:tcW w:w="1354" w:type="dxa"/>
            <w:vAlign w:val="center"/>
            <w:hideMark/>
          </w:tcPr>
          <w:p w14:paraId="586C3E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SPEI</w:t>
            </w:r>
          </w:p>
        </w:tc>
        <w:tc>
          <w:tcPr>
            <w:tcW w:w="0" w:type="auto"/>
            <w:vAlign w:val="center"/>
            <w:hideMark/>
          </w:tcPr>
          <w:p w14:paraId="4BA23BB9"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Evapotranspiration Index</w:t>
            </w:r>
          </w:p>
        </w:tc>
        <w:tc>
          <w:tcPr>
            <w:tcW w:w="0" w:type="auto"/>
            <w:vAlign w:val="center"/>
            <w:hideMark/>
          </w:tcPr>
          <w:p w14:paraId="29DA074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 the climatic water balance (Precipitation − Potential Evapotranspiration), sensitive to global warming</w:t>
            </w:r>
          </w:p>
        </w:tc>
        <w:tc>
          <w:tcPr>
            <w:tcW w:w="1850" w:type="dxa"/>
            <w:vAlign w:val="center"/>
            <w:hideMark/>
          </w:tcPr>
          <w:p w14:paraId="2C568EF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Incorporates the effect of evaporative demand</w:t>
            </w:r>
          </w:p>
        </w:tc>
        <w:tc>
          <w:tcPr>
            <w:tcW w:w="2506" w:type="dxa"/>
            <w:vAlign w:val="center"/>
            <w:hideMark/>
          </w:tcPr>
          <w:p w14:paraId="0FB7F8A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Dᵢ = Pᵢ − PETᵢ</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SPEI = (Dᵢ − μᴅ) / σᴅ</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Dᵢ</w:t>
            </w:r>
            <w:r w:rsidRPr="00ED725F">
              <w:rPr>
                <w:rFonts w:ascii="Times New Roman" w:hAnsi="Times New Roman" w:cs="Times New Roman"/>
                <w:sz w:val="24"/>
                <w:szCs w:val="24"/>
              </w:rPr>
              <w:t xml:space="preserve"> is the water balance, </w:t>
            </w:r>
            <w:r w:rsidRPr="00ED725F">
              <w:rPr>
                <w:rFonts w:ascii="Times New Roman" w:hAnsi="Times New Roman" w:cs="Times New Roman"/>
                <w:i/>
                <w:iCs/>
                <w:sz w:val="24"/>
                <w:szCs w:val="24"/>
              </w:rPr>
              <w:t>μᴅ</w:t>
            </w:r>
            <w:r w:rsidRPr="00ED725F">
              <w:rPr>
                <w:rFonts w:ascii="Times New Roman" w:hAnsi="Times New Roman" w:cs="Times New Roman"/>
                <w:sz w:val="24"/>
                <w:szCs w:val="24"/>
              </w:rPr>
              <w:t xml:space="preserve"> the mean, and </w:t>
            </w:r>
            <w:r w:rsidRPr="00ED725F">
              <w:rPr>
                <w:rFonts w:ascii="Times New Roman" w:hAnsi="Times New Roman" w:cs="Times New Roman"/>
                <w:i/>
                <w:iCs/>
                <w:sz w:val="24"/>
                <w:szCs w:val="24"/>
              </w:rPr>
              <w:t>σᴅ</w:t>
            </w:r>
            <w:r w:rsidRPr="00ED725F">
              <w:rPr>
                <w:rFonts w:ascii="Times New Roman" w:hAnsi="Times New Roman" w:cs="Times New Roman"/>
                <w:sz w:val="24"/>
                <w:szCs w:val="24"/>
              </w:rPr>
              <w:t xml:space="preserve"> the standard deviation.</w:t>
            </w:r>
          </w:p>
        </w:tc>
      </w:tr>
      <w:tr w:rsidR="00DD77FF" w:rsidRPr="00DD77FF" w14:paraId="16ACC7B5" w14:textId="77777777" w:rsidTr="00DD77FF">
        <w:trPr>
          <w:tblCellSpacing w:w="15" w:type="dxa"/>
        </w:trPr>
        <w:tc>
          <w:tcPr>
            <w:tcW w:w="1354" w:type="dxa"/>
            <w:vAlign w:val="center"/>
            <w:hideMark/>
          </w:tcPr>
          <w:p w14:paraId="399DB25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Mann–Kendall Test</w:t>
            </w:r>
          </w:p>
        </w:tc>
        <w:tc>
          <w:tcPr>
            <w:tcW w:w="0" w:type="auto"/>
            <w:vAlign w:val="center"/>
            <w:hideMark/>
          </w:tcPr>
          <w:p w14:paraId="71CEF590"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test for monotonic trend</w:t>
            </w:r>
          </w:p>
        </w:tc>
        <w:tc>
          <w:tcPr>
            <w:tcW w:w="0" w:type="auto"/>
            <w:vAlign w:val="center"/>
            <w:hideMark/>
          </w:tcPr>
          <w:p w14:paraId="2BAF863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Assesses the presence of a significant trend in a time series without assuming a normal distribution</w:t>
            </w:r>
          </w:p>
        </w:tc>
        <w:tc>
          <w:tcPr>
            <w:tcW w:w="1850" w:type="dxa"/>
            <w:vAlign w:val="center"/>
            <w:hideMark/>
          </w:tcPr>
          <w:p w14:paraId="07BD5516"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Tau &gt; 0:</w:t>
            </w:r>
            <w:r w:rsidRPr="00ED725F">
              <w:rPr>
                <w:rFonts w:ascii="Times New Roman" w:hAnsi="Times New Roman" w:cs="Times New Roman"/>
                <w:sz w:val="24"/>
                <w:szCs w:val="24"/>
              </w:rPr>
              <w:t xml:space="preserve"> increasing trend; </w:t>
            </w:r>
            <w:r w:rsidRPr="00ED725F">
              <w:rPr>
                <w:rFonts w:ascii="Times New Roman" w:hAnsi="Times New Roman" w:cs="Times New Roman"/>
                <w:b/>
                <w:bCs/>
                <w:sz w:val="24"/>
                <w:szCs w:val="24"/>
              </w:rPr>
              <w:t>Tau &lt; 0:</w:t>
            </w:r>
            <w:r w:rsidRPr="00ED725F">
              <w:rPr>
                <w:rFonts w:ascii="Times New Roman" w:hAnsi="Times New Roman" w:cs="Times New Roman"/>
                <w:sz w:val="24"/>
                <w:szCs w:val="24"/>
              </w:rPr>
              <w:t xml:space="preserve"> decreasing trend</w:t>
            </w:r>
          </w:p>
        </w:tc>
        <w:tc>
          <w:tcPr>
            <w:tcW w:w="2506" w:type="dxa"/>
            <w:vAlign w:val="center"/>
            <w:hideMark/>
          </w:tcPr>
          <w:p w14:paraId="0575E3B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 = Σ Σ sign(xⱼ − xᵢ)</w:t>
            </w:r>
            <w:r w:rsidRPr="00ED725F">
              <w:rPr>
                <w:rFonts w:ascii="Times New Roman" w:hAnsi="Times New Roman" w:cs="Times New Roman"/>
                <w:sz w:val="24"/>
                <w:szCs w:val="24"/>
              </w:rPr>
              <w:t xml:space="preserve"> for </w:t>
            </w:r>
            <w:r w:rsidRPr="00ED725F">
              <w:rPr>
                <w:rFonts w:ascii="Times New Roman" w:hAnsi="Times New Roman" w:cs="Times New Roman"/>
                <w:i/>
                <w:iCs/>
                <w:sz w:val="24"/>
                <w:szCs w:val="24"/>
              </w:rPr>
              <w:t>j &gt; i</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Tau = S / [n(n−1)/2]</w:t>
            </w:r>
          </w:p>
        </w:tc>
      </w:tr>
      <w:tr w:rsidR="00DD77FF" w:rsidRPr="00DD77FF" w14:paraId="3FCEFB25" w14:textId="77777777" w:rsidTr="00DD77FF">
        <w:trPr>
          <w:tblCellSpacing w:w="15" w:type="dxa"/>
        </w:trPr>
        <w:tc>
          <w:tcPr>
            <w:tcW w:w="1354" w:type="dxa"/>
            <w:vAlign w:val="center"/>
            <w:hideMark/>
          </w:tcPr>
          <w:p w14:paraId="7D762C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Pettitt Test</w:t>
            </w:r>
          </w:p>
        </w:tc>
        <w:tc>
          <w:tcPr>
            <w:tcW w:w="0" w:type="auto"/>
            <w:vAlign w:val="center"/>
            <w:hideMark/>
          </w:tcPr>
          <w:p w14:paraId="3991D6A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change-point test</w:t>
            </w:r>
          </w:p>
        </w:tc>
        <w:tc>
          <w:tcPr>
            <w:tcW w:w="0" w:type="auto"/>
            <w:vAlign w:val="center"/>
            <w:hideMark/>
          </w:tcPr>
          <w:p w14:paraId="2AE5059C"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Detects a significant break (regime shift) in a time series</w:t>
            </w:r>
          </w:p>
        </w:tc>
        <w:tc>
          <w:tcPr>
            <w:tcW w:w="1850" w:type="dxa"/>
            <w:vAlign w:val="center"/>
            <w:hideMark/>
          </w:tcPr>
          <w:p w14:paraId="2F1500F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Identifies the year of structural change</w:t>
            </w:r>
          </w:p>
        </w:tc>
        <w:tc>
          <w:tcPr>
            <w:tcW w:w="2506" w:type="dxa"/>
            <w:vAlign w:val="center"/>
            <w:hideMark/>
          </w:tcPr>
          <w:p w14:paraId="53D2247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**Kₜ = max</w:t>
            </w:r>
          </w:p>
        </w:tc>
      </w:tr>
    </w:tbl>
    <w:p w14:paraId="6E59EA2A" w14:textId="6B43C231" w:rsidR="00DD77FF"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lastRenderedPageBreak/>
        <w:t>RESULTS</w:t>
      </w:r>
    </w:p>
    <w:p w14:paraId="0A794F43" w14:textId="77777777"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3.1. </w:t>
      </w:r>
      <w:r w:rsidRPr="00ED725F">
        <w:rPr>
          <w:rFonts w:ascii="Times New Roman" w:hAnsi="Times New Roman" w:cs="Times New Roman"/>
          <w:b/>
          <w:bCs/>
          <w:sz w:val="24"/>
          <w:szCs w:val="24"/>
        </w:rPr>
        <w:t>Socio-economic Profile of the Respondents</w:t>
      </w:r>
    </w:p>
    <w:p w14:paraId="24EF7C83" w14:textId="7BE6B1FE"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results show a clear dominance of agriculture, which represents the main activity across all study sites, with proportions generally exceeding 60% and reaching 100% in Boudouri, Goujou, Kill Manga, Kourou, and Tacha Rogo. Livestock farming constitutes the second most important activity, particularly among women, with high frequencies observed in Foulatari (75%), Dassoram (60%), Kabi Kolo (100%), and N’Guelbelly (100%). Trade remains a secondary activity but reaches notable levels in Gamari (23.8% among men and 33.3% among women) and Madouri (30.8% among men). Fishing and public service employment remain marginal activities, accounting for less than 5% of respondents.</w:t>
      </w:r>
    </w:p>
    <w:p w14:paraId="249AF092" w14:textId="0683C7DA" w:rsidR="00DD77FF" w:rsidRDefault="00DD77FF" w:rsidP="00DD77FF">
      <w:pPr>
        <w:jc w:val="center"/>
      </w:pPr>
      <w:r>
        <w:rPr>
          <w:noProof/>
        </w:rPr>
        <w:drawing>
          <wp:inline distT="0" distB="0" distL="0" distR="0" wp14:anchorId="3DCD8089" wp14:editId="567CB8B6">
            <wp:extent cx="4152265" cy="3200400"/>
            <wp:effectExtent l="0" t="0" r="635" b="0"/>
            <wp:docPr id="609201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208" cy="3239665"/>
                    </a:xfrm>
                    <a:prstGeom prst="rect">
                      <a:avLst/>
                    </a:prstGeom>
                    <a:noFill/>
                  </pic:spPr>
                </pic:pic>
              </a:graphicData>
            </a:graphic>
          </wp:inline>
        </w:drawing>
      </w:r>
    </w:p>
    <w:p w14:paraId="48D9F8C8" w14:textId="3D282F36" w:rsidR="00DD77FF" w:rsidRPr="00ED725F" w:rsidRDefault="00DD77FF" w:rsidP="00DD77FF">
      <w:pPr>
        <w:jc w:val="center"/>
        <w:rPr>
          <w:rFonts w:ascii="Times New Roman" w:hAnsi="Times New Roman" w:cs="Times New Roman"/>
          <w:sz w:val="24"/>
          <w:szCs w:val="24"/>
        </w:rPr>
      </w:pPr>
      <w:r w:rsidRPr="00ED725F">
        <w:rPr>
          <w:rFonts w:ascii="Times New Roman" w:hAnsi="Times New Roman" w:cs="Times New Roman"/>
          <w:sz w:val="24"/>
          <w:szCs w:val="24"/>
        </w:rPr>
        <w:t>Fig. 3. Socio-economic Profile of the Respondents</w:t>
      </w:r>
    </w:p>
    <w:p w14:paraId="1EF4D566" w14:textId="77777777" w:rsidR="00D80E86" w:rsidRPr="00ED725F" w:rsidRDefault="00D80E86" w:rsidP="00ED725F">
      <w:pPr>
        <w:spacing w:line="360" w:lineRule="auto"/>
        <w:jc w:val="both"/>
        <w:rPr>
          <w:rFonts w:ascii="Times New Roman" w:hAnsi="Times New Roman" w:cs="Times New Roman"/>
          <w:sz w:val="24"/>
          <w:szCs w:val="24"/>
        </w:rPr>
      </w:pPr>
      <w:r w:rsidRPr="00D80E86">
        <w:rPr>
          <w:b/>
          <w:bCs/>
        </w:rPr>
        <w:t xml:space="preserve">3.2. </w:t>
      </w:r>
      <w:r w:rsidRPr="00ED725F">
        <w:rPr>
          <w:rFonts w:ascii="Times New Roman" w:hAnsi="Times New Roman" w:cs="Times New Roman"/>
          <w:b/>
          <w:bCs/>
          <w:sz w:val="24"/>
          <w:szCs w:val="24"/>
        </w:rPr>
        <w:t>Community Perceptions of Climate and Observed Changes</w:t>
      </w:r>
    </w:p>
    <w:p w14:paraId="1938192A" w14:textId="6419EEA8" w:rsidR="00D80E86" w:rsidRPr="00ED725F" w:rsidRDefault="00D80E8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4 shows that local populations perceive climate change through several indicators, with perception levels ranging between 7.4% and 11.2%. The most frequently cited phenomena include intense rainfall (11.2%), rising temperatures (10.6%), and variability in the rainy season, particularly late onset (10.6%), as well as strong winds (10.7%), indicating a high sensitivity to extreme climatic events and seasonal disruptions. In contrast, floods (7.4%) and the early end of the rainy season (8.7%) are less frequently mentioned. Overall, these results </w:t>
      </w:r>
      <w:r w:rsidRPr="00ED725F">
        <w:rPr>
          <w:rFonts w:ascii="Times New Roman" w:hAnsi="Times New Roman" w:cs="Times New Roman"/>
          <w:sz w:val="24"/>
          <w:szCs w:val="24"/>
        </w:rPr>
        <w:lastRenderedPageBreak/>
        <w:t>indicate that local populations mainly associate climate change with increasing climatic variability rather than with a gradual modification of average climatic conditions.</w:t>
      </w:r>
    </w:p>
    <w:p w14:paraId="6C6A2361" w14:textId="5E78A204" w:rsidR="00D80E86" w:rsidRPr="00D80E86" w:rsidRDefault="00D80E86" w:rsidP="00D80E86">
      <w:pPr>
        <w:jc w:val="center"/>
      </w:pPr>
      <w:r>
        <w:rPr>
          <w:noProof/>
        </w:rPr>
        <w:drawing>
          <wp:inline distT="0" distB="0" distL="0" distR="0" wp14:anchorId="744080B3" wp14:editId="6F9F87E9">
            <wp:extent cx="5619750" cy="2844800"/>
            <wp:effectExtent l="0" t="0" r="0" b="0"/>
            <wp:docPr id="17416784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4117" t="5775"/>
                    <a:stretch>
                      <a:fillRect/>
                    </a:stretch>
                  </pic:blipFill>
                  <pic:spPr bwMode="auto">
                    <a:xfrm>
                      <a:off x="0" y="0"/>
                      <a:ext cx="5639529" cy="2854812"/>
                    </a:xfrm>
                    <a:prstGeom prst="rect">
                      <a:avLst/>
                    </a:prstGeom>
                    <a:noFill/>
                    <a:ln>
                      <a:noFill/>
                    </a:ln>
                    <a:extLst>
                      <a:ext uri="{53640926-AAD7-44D8-BBD7-CCE9431645EC}">
                        <a14:shadowObscured xmlns:a14="http://schemas.microsoft.com/office/drawing/2010/main"/>
                      </a:ext>
                    </a:extLst>
                  </pic:spPr>
                </pic:pic>
              </a:graphicData>
            </a:graphic>
          </wp:inline>
        </w:drawing>
      </w:r>
    </w:p>
    <w:p w14:paraId="3CDE52AF" w14:textId="77777777" w:rsidR="00D80E86" w:rsidRPr="00ED725F" w:rsidRDefault="00D80E86" w:rsidP="00D80E86">
      <w:pPr>
        <w:jc w:val="center"/>
        <w:rPr>
          <w:rFonts w:ascii="Times New Roman" w:hAnsi="Times New Roman" w:cs="Times New Roman"/>
          <w:sz w:val="24"/>
          <w:szCs w:val="24"/>
        </w:rPr>
      </w:pPr>
      <w:r w:rsidRPr="00ED725F">
        <w:rPr>
          <w:rFonts w:ascii="Times New Roman" w:hAnsi="Times New Roman" w:cs="Times New Roman"/>
          <w:b/>
          <w:bCs/>
          <w:sz w:val="24"/>
          <w:szCs w:val="24"/>
        </w:rPr>
        <w:t>Fig. 4.</w:t>
      </w:r>
      <w:r w:rsidRPr="00ED725F">
        <w:rPr>
          <w:rFonts w:ascii="Times New Roman" w:hAnsi="Times New Roman" w:cs="Times New Roman"/>
          <w:sz w:val="24"/>
          <w:szCs w:val="24"/>
        </w:rPr>
        <w:t xml:space="preserve"> Community Perceptions of Climate Change</w:t>
      </w:r>
    </w:p>
    <w:p w14:paraId="56AAB77D" w14:textId="3CF7F47E" w:rsidR="00D80E86" w:rsidRPr="00ED725F" w:rsidRDefault="00D80E86" w:rsidP="00ED725F">
      <w:pPr>
        <w:spacing w:line="360" w:lineRule="auto"/>
        <w:jc w:val="both"/>
        <w:rPr>
          <w:rFonts w:ascii="Times New Roman" w:hAnsi="Times New Roman" w:cs="Times New Roman"/>
          <w:sz w:val="24"/>
          <w:szCs w:val="24"/>
        </w:rPr>
      </w:pPr>
      <w:r>
        <w:rPr>
          <w:b/>
          <w:bCs/>
        </w:rPr>
        <w:t>3.3</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Impacts of Climate Change on Livelihoods</w:t>
      </w:r>
    </w:p>
    <w:p w14:paraId="6E4E2108" w14:textId="77777777" w:rsidR="00D80E86" w:rsidRPr="00ED725F" w:rsidRDefault="00D80E8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3.3.1</w:t>
      </w:r>
      <w:r w:rsidRPr="00ED725F">
        <w:rPr>
          <w:rFonts w:ascii="Times New Roman" w:hAnsi="Times New Roman" w:cs="Times New Roman"/>
          <w:b/>
          <w:bCs/>
          <w:sz w:val="24"/>
          <w:szCs w:val="24"/>
        </w:rPr>
        <w:t>. Impact of Climate Change on Agricultural Production</w:t>
      </w:r>
    </w:p>
    <w:p w14:paraId="41F17A03" w14:textId="6524C4E9" w:rsidR="00D80E86" w:rsidRPr="00ED725F" w:rsidRDefault="00D80E8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Figure 5 indicates that farmers perceive the impacts of climate change mainly through decreasing rainfall (16.45%) and the late onset of the rainy season (15.37%), followed by rising temperatures (13.79%), soil degradation (13.70%), and increased pest pressure (13.29%). Similar to the other perception figures, these results highlight a strong sensitivity of farmers to rainfall variability and climate-related constraints directly affecting agricultural activities, while phenomena perceived as more occasional, such as excess rainfall (5.73%), are less frequently mentioned. This convergence across the different figures indicates a consistent perception of climate change, mainly centered on seasonal disturbances and their direct effects on production and livelihoods. These changes directly affect agricultural production at all stages of the cropping cycle, from germination to harvest, by reducing crop emergence, limiting vegetative growth, disrupting flowering, and ultimately leading to a significant decline in yields and the quality of agricultural outputs.</w:t>
      </w:r>
    </w:p>
    <w:p w14:paraId="5E150ADB" w14:textId="1D261981" w:rsidR="00D80E86" w:rsidRDefault="00D80E86" w:rsidP="00D80E86">
      <w:pPr>
        <w:jc w:val="center"/>
      </w:pPr>
      <w:r>
        <w:rPr>
          <w:noProof/>
        </w:rPr>
        <w:lastRenderedPageBreak/>
        <w:drawing>
          <wp:inline distT="0" distB="0" distL="0" distR="0" wp14:anchorId="62E38323" wp14:editId="0AA5E66D">
            <wp:extent cx="5534025" cy="2793805"/>
            <wp:effectExtent l="0" t="0" r="0" b="6985"/>
            <wp:docPr id="2417834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4387" t="5909"/>
                    <a:stretch>
                      <a:fillRect/>
                    </a:stretch>
                  </pic:blipFill>
                  <pic:spPr bwMode="auto">
                    <a:xfrm>
                      <a:off x="0" y="0"/>
                      <a:ext cx="5576962" cy="2815481"/>
                    </a:xfrm>
                    <a:prstGeom prst="rect">
                      <a:avLst/>
                    </a:prstGeom>
                    <a:noFill/>
                    <a:ln>
                      <a:noFill/>
                    </a:ln>
                    <a:extLst>
                      <a:ext uri="{53640926-AAD7-44D8-BBD7-CCE9431645EC}">
                        <a14:shadowObscured xmlns:a14="http://schemas.microsoft.com/office/drawing/2010/main"/>
                      </a:ext>
                    </a:extLst>
                  </pic:spPr>
                </pic:pic>
              </a:graphicData>
            </a:graphic>
          </wp:inline>
        </w:drawing>
      </w:r>
    </w:p>
    <w:p w14:paraId="3CCE1235" w14:textId="2FFA04FD" w:rsidR="00D80E86" w:rsidRPr="00ED725F" w:rsidRDefault="00D80E86" w:rsidP="00D80E86">
      <w:pPr>
        <w:jc w:val="center"/>
        <w:rPr>
          <w:rFonts w:ascii="Times New Roman" w:hAnsi="Times New Roman" w:cs="Times New Roman"/>
          <w:sz w:val="24"/>
          <w:szCs w:val="24"/>
        </w:rPr>
      </w:pPr>
      <w:r w:rsidRPr="00ED725F">
        <w:rPr>
          <w:rFonts w:ascii="Times New Roman" w:hAnsi="Times New Roman" w:cs="Times New Roman"/>
          <w:b/>
          <w:bCs/>
          <w:sz w:val="24"/>
          <w:szCs w:val="24"/>
        </w:rPr>
        <w:t>Fig. 5.</w:t>
      </w:r>
      <w:r w:rsidRPr="00ED725F">
        <w:rPr>
          <w:rFonts w:ascii="Times New Roman" w:hAnsi="Times New Roman" w:cs="Times New Roman"/>
          <w:sz w:val="24"/>
          <w:szCs w:val="24"/>
        </w:rPr>
        <w:t xml:space="preserve"> Impacts of Climate Change on Agricultural Production</w:t>
      </w:r>
    </w:p>
    <w:p w14:paraId="6820D66B" w14:textId="77777777" w:rsidR="006417B0" w:rsidRPr="00ED725F" w:rsidRDefault="006417B0" w:rsidP="00ED725F">
      <w:pPr>
        <w:spacing w:line="360" w:lineRule="auto"/>
        <w:jc w:val="both"/>
        <w:rPr>
          <w:rFonts w:ascii="Times New Roman" w:hAnsi="Times New Roman" w:cs="Times New Roman"/>
          <w:sz w:val="24"/>
          <w:szCs w:val="24"/>
        </w:rPr>
      </w:pPr>
      <w:r w:rsidRPr="006417B0">
        <w:rPr>
          <w:b/>
          <w:bCs/>
        </w:rPr>
        <w:t>3.3.2</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Livestock Herders’ Adaptation Strategies to Climate Change</w:t>
      </w:r>
    </w:p>
    <w:p w14:paraId="20B58027" w14:textId="1A623597" w:rsidR="006417B0" w:rsidRPr="00ED725F" w:rsidRDefault="006417B0"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Figure 6 presents the adaptation practices implemented by livestock herders in response to climatic constraints, with a predominance of reducing herd size (10.56%), diversifying fodder resources (10.19%), and changing livestock breeds (10.19%). Practices related to securing livestock feed and water access, such as feed supplementation, improvement of water points, and fodder storage, are also widely adopted, whereas modifications in transhumance patterns and optimization of livestock watering practices appear less frequent. Overall, these results show that herders tend to prioritize practical, flexible, and directly applicable adaptation strategies, aimed at reducing the vulnerability of livestock production systems to climate variability.</w:t>
      </w:r>
    </w:p>
    <w:p w14:paraId="497E693C" w14:textId="296E961B" w:rsidR="00DD77FF" w:rsidRDefault="006417B0" w:rsidP="006417B0">
      <w:pPr>
        <w:jc w:val="center"/>
      </w:pPr>
      <w:r>
        <w:rPr>
          <w:noProof/>
        </w:rPr>
        <w:drawing>
          <wp:inline distT="0" distB="0" distL="0" distR="0" wp14:anchorId="33E737AB" wp14:editId="36BDC480">
            <wp:extent cx="5651500" cy="2755900"/>
            <wp:effectExtent l="0" t="0" r="6350" b="6350"/>
            <wp:docPr id="21083851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4411" t="5783"/>
                    <a:stretch>
                      <a:fillRect/>
                    </a:stretch>
                  </pic:blipFill>
                  <pic:spPr bwMode="auto">
                    <a:xfrm>
                      <a:off x="0" y="0"/>
                      <a:ext cx="5678341" cy="2768989"/>
                    </a:xfrm>
                    <a:prstGeom prst="rect">
                      <a:avLst/>
                    </a:prstGeom>
                    <a:noFill/>
                    <a:ln>
                      <a:noFill/>
                    </a:ln>
                    <a:extLst>
                      <a:ext uri="{53640926-AAD7-44D8-BBD7-CCE9431645EC}">
                        <a14:shadowObscured xmlns:a14="http://schemas.microsoft.com/office/drawing/2010/main"/>
                      </a:ext>
                    </a:extLst>
                  </pic:spPr>
                </pic:pic>
              </a:graphicData>
            </a:graphic>
          </wp:inline>
        </w:drawing>
      </w:r>
    </w:p>
    <w:p w14:paraId="74370EAE" w14:textId="77777777" w:rsidR="006417B0" w:rsidRPr="00ED725F" w:rsidRDefault="006417B0" w:rsidP="006417B0">
      <w:pPr>
        <w:jc w:val="center"/>
        <w:rPr>
          <w:rFonts w:ascii="Times New Roman" w:hAnsi="Times New Roman" w:cs="Times New Roman"/>
          <w:sz w:val="24"/>
          <w:szCs w:val="24"/>
        </w:rPr>
      </w:pPr>
      <w:r w:rsidRPr="00ED725F">
        <w:rPr>
          <w:rFonts w:ascii="Times New Roman" w:hAnsi="Times New Roman" w:cs="Times New Roman"/>
          <w:b/>
          <w:bCs/>
          <w:sz w:val="24"/>
          <w:szCs w:val="24"/>
        </w:rPr>
        <w:lastRenderedPageBreak/>
        <w:t xml:space="preserve">Fig. 6. </w:t>
      </w:r>
      <w:r w:rsidRPr="00ED725F">
        <w:rPr>
          <w:rFonts w:ascii="Times New Roman" w:hAnsi="Times New Roman" w:cs="Times New Roman"/>
          <w:sz w:val="24"/>
          <w:szCs w:val="24"/>
        </w:rPr>
        <w:t>Livestock Herders’ Adaptation Strategies to Climate Change</w:t>
      </w:r>
    </w:p>
    <w:p w14:paraId="24BBF2FB" w14:textId="345E8319" w:rsidR="00120ACF" w:rsidRPr="00120ACF" w:rsidRDefault="00120ACF" w:rsidP="00ED725F">
      <w:pPr>
        <w:spacing w:line="360" w:lineRule="auto"/>
        <w:jc w:val="both"/>
        <w:rPr>
          <w:rFonts w:ascii="Times New Roman" w:hAnsi="Times New Roman" w:cs="Times New Roman"/>
          <w:b/>
          <w:bCs/>
          <w:sz w:val="24"/>
          <w:szCs w:val="24"/>
        </w:rPr>
      </w:pPr>
      <w:r>
        <w:rPr>
          <w:b/>
          <w:bCs/>
        </w:rPr>
        <w:t xml:space="preserve">3.3.3. </w:t>
      </w:r>
      <w:r w:rsidRPr="00120ACF">
        <w:rPr>
          <w:rFonts w:ascii="Times New Roman" w:hAnsi="Times New Roman" w:cs="Times New Roman"/>
          <w:b/>
          <w:bCs/>
          <w:sz w:val="24"/>
          <w:szCs w:val="24"/>
        </w:rPr>
        <w:t>Farmers’ Adaptation Strategies to Climate Change</w:t>
      </w:r>
    </w:p>
    <w:p w14:paraId="1B76F7D8" w14:textId="233E02E8" w:rsidR="00120ACF" w:rsidRPr="00120ACF" w:rsidRDefault="00120ACF" w:rsidP="00ED725F">
      <w:pPr>
        <w:spacing w:line="360" w:lineRule="auto"/>
        <w:jc w:val="both"/>
        <w:rPr>
          <w:rFonts w:ascii="Times New Roman" w:hAnsi="Times New Roman" w:cs="Times New Roman"/>
          <w:sz w:val="24"/>
          <w:szCs w:val="24"/>
        </w:rPr>
      </w:pPr>
      <w:r w:rsidRPr="00120ACF">
        <w:rPr>
          <w:rFonts w:ascii="Times New Roman" w:hAnsi="Times New Roman" w:cs="Times New Roman"/>
          <w:sz w:val="24"/>
          <w:szCs w:val="24"/>
        </w:rPr>
        <w:t xml:space="preserve">Figure 7 shows that farming communities primarily prioritize adaptation strategies directly related to </w:t>
      </w:r>
      <w:r w:rsidRPr="00120ACF">
        <w:rPr>
          <w:rFonts w:ascii="Times New Roman" w:hAnsi="Times New Roman" w:cs="Times New Roman"/>
          <w:b/>
          <w:bCs/>
          <w:sz w:val="24"/>
          <w:szCs w:val="24"/>
        </w:rPr>
        <w:t>securing agricultural production and livelihoods</w:t>
      </w:r>
      <w:r w:rsidRPr="00120ACF">
        <w:rPr>
          <w:rFonts w:ascii="Times New Roman" w:hAnsi="Times New Roman" w:cs="Times New Roman"/>
          <w:sz w:val="24"/>
          <w:szCs w:val="24"/>
        </w:rPr>
        <w:t xml:space="preserve">, particularly </w:t>
      </w:r>
      <w:r w:rsidRPr="00120ACF">
        <w:rPr>
          <w:rFonts w:ascii="Times New Roman" w:hAnsi="Times New Roman" w:cs="Times New Roman"/>
          <w:b/>
          <w:bCs/>
          <w:sz w:val="24"/>
          <w:szCs w:val="24"/>
        </w:rPr>
        <w:t>pest control (12.6%)</w:t>
      </w:r>
      <w:r w:rsidRPr="00120ACF">
        <w:rPr>
          <w:rFonts w:ascii="Times New Roman" w:hAnsi="Times New Roman" w:cs="Times New Roman"/>
          <w:sz w:val="24"/>
          <w:szCs w:val="24"/>
        </w:rPr>
        <w:t xml:space="preserve">, the </w:t>
      </w:r>
      <w:r w:rsidRPr="00120ACF">
        <w:rPr>
          <w:rFonts w:ascii="Times New Roman" w:hAnsi="Times New Roman" w:cs="Times New Roman"/>
          <w:b/>
          <w:bCs/>
          <w:sz w:val="24"/>
          <w:szCs w:val="24"/>
        </w:rPr>
        <w:t>adoption of drought-resistant crops (12.3%)</w:t>
      </w:r>
      <w:r w:rsidRPr="00120ACF">
        <w:rPr>
          <w:rFonts w:ascii="Times New Roman" w:hAnsi="Times New Roman" w:cs="Times New Roman"/>
          <w:sz w:val="24"/>
          <w:szCs w:val="24"/>
        </w:rPr>
        <w:t xml:space="preserve">, and </w:t>
      </w:r>
      <w:r w:rsidRPr="00120ACF">
        <w:rPr>
          <w:rFonts w:ascii="Times New Roman" w:hAnsi="Times New Roman" w:cs="Times New Roman"/>
          <w:b/>
          <w:bCs/>
          <w:sz w:val="24"/>
          <w:szCs w:val="24"/>
        </w:rPr>
        <w:t>environmental restoration actions such as reforestation (11.3%)</w:t>
      </w:r>
      <w:r w:rsidRPr="00120ACF">
        <w:rPr>
          <w:rFonts w:ascii="Times New Roman" w:hAnsi="Times New Roman" w:cs="Times New Roman"/>
          <w:sz w:val="24"/>
          <w:szCs w:val="24"/>
        </w:rPr>
        <w:t xml:space="preserve">.In contrast, strategies related to </w:t>
      </w:r>
      <w:r w:rsidRPr="00120ACF">
        <w:rPr>
          <w:rFonts w:ascii="Times New Roman" w:hAnsi="Times New Roman" w:cs="Times New Roman"/>
          <w:b/>
          <w:bCs/>
          <w:sz w:val="24"/>
          <w:szCs w:val="24"/>
        </w:rPr>
        <w:t>specific extreme risks</w:t>
      </w:r>
      <w:r w:rsidRPr="00120ACF">
        <w:rPr>
          <w:rFonts w:ascii="Times New Roman" w:hAnsi="Times New Roman" w:cs="Times New Roman"/>
          <w:sz w:val="24"/>
          <w:szCs w:val="24"/>
        </w:rPr>
        <w:t xml:space="preserve">, such as the </w:t>
      </w:r>
      <w:r w:rsidRPr="00120ACF">
        <w:rPr>
          <w:rFonts w:ascii="Times New Roman" w:hAnsi="Times New Roman" w:cs="Times New Roman"/>
          <w:b/>
          <w:bCs/>
          <w:sz w:val="24"/>
          <w:szCs w:val="24"/>
        </w:rPr>
        <w:t>adoption of flood-resistant crops (6.8%)</w:t>
      </w:r>
      <w:r w:rsidRPr="00120ACF">
        <w:rPr>
          <w:rFonts w:ascii="Times New Roman" w:hAnsi="Times New Roman" w:cs="Times New Roman"/>
          <w:sz w:val="24"/>
          <w:szCs w:val="24"/>
        </w:rPr>
        <w:t>, are less frequently implemented.</w:t>
      </w:r>
    </w:p>
    <w:p w14:paraId="5044BFF2" w14:textId="5C190539" w:rsidR="006417B0" w:rsidRDefault="00120ACF" w:rsidP="00120ACF">
      <w:pPr>
        <w:jc w:val="center"/>
      </w:pPr>
      <w:r>
        <w:rPr>
          <w:noProof/>
        </w:rPr>
        <w:drawing>
          <wp:inline distT="0" distB="0" distL="0" distR="0" wp14:anchorId="24BD160D" wp14:editId="62D9B0B0">
            <wp:extent cx="5415280" cy="2603500"/>
            <wp:effectExtent l="0" t="0" r="0" b="6350"/>
            <wp:docPr id="8835486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58"/>
                    <a:stretch>
                      <a:fillRect/>
                    </a:stretch>
                  </pic:blipFill>
                  <pic:spPr bwMode="auto">
                    <a:xfrm>
                      <a:off x="0" y="0"/>
                      <a:ext cx="5433986" cy="2612493"/>
                    </a:xfrm>
                    <a:prstGeom prst="rect">
                      <a:avLst/>
                    </a:prstGeom>
                    <a:noFill/>
                    <a:ln>
                      <a:noFill/>
                    </a:ln>
                    <a:extLst>
                      <a:ext uri="{53640926-AAD7-44D8-BBD7-CCE9431645EC}">
                        <a14:shadowObscured xmlns:a14="http://schemas.microsoft.com/office/drawing/2010/main"/>
                      </a:ext>
                    </a:extLst>
                  </pic:spPr>
                </pic:pic>
              </a:graphicData>
            </a:graphic>
          </wp:inline>
        </w:drawing>
      </w:r>
    </w:p>
    <w:p w14:paraId="771C6DCC" w14:textId="56498842" w:rsidR="00120ACF" w:rsidRPr="00ED725F" w:rsidRDefault="00670B75" w:rsidP="00120ACF">
      <w:pPr>
        <w:jc w:val="center"/>
        <w:rPr>
          <w:rFonts w:ascii="Times New Roman" w:hAnsi="Times New Roman" w:cs="Times New Roman"/>
          <w:sz w:val="24"/>
          <w:szCs w:val="24"/>
        </w:rPr>
      </w:pPr>
      <w:r w:rsidRPr="00ED725F">
        <w:rPr>
          <w:rFonts w:ascii="Times New Roman" w:hAnsi="Times New Roman" w:cs="Times New Roman"/>
          <w:b/>
          <w:bCs/>
          <w:sz w:val="24"/>
          <w:szCs w:val="24"/>
        </w:rPr>
        <w:t>Fig. 7.</w:t>
      </w:r>
      <w:r w:rsidRPr="00ED725F">
        <w:rPr>
          <w:rFonts w:ascii="Times New Roman" w:hAnsi="Times New Roman" w:cs="Times New Roman"/>
          <w:sz w:val="24"/>
          <w:szCs w:val="24"/>
        </w:rPr>
        <w:t xml:space="preserve"> Farmers’ Adaptation Strategies to Climate Change</w:t>
      </w:r>
    </w:p>
    <w:p w14:paraId="66FC471F" w14:textId="77777777" w:rsidR="00670B75" w:rsidRPr="00670B75" w:rsidRDefault="00670B75" w:rsidP="00ED725F">
      <w:pPr>
        <w:spacing w:line="360" w:lineRule="auto"/>
        <w:jc w:val="both"/>
        <w:rPr>
          <w:rFonts w:ascii="Times New Roman" w:hAnsi="Times New Roman" w:cs="Times New Roman"/>
          <w:b/>
          <w:bCs/>
          <w:sz w:val="24"/>
          <w:szCs w:val="24"/>
        </w:rPr>
      </w:pPr>
      <w:r w:rsidRPr="00670B75">
        <w:rPr>
          <w:b/>
          <w:bCs/>
        </w:rPr>
        <w:t>3.4</w:t>
      </w:r>
      <w:r w:rsidRPr="00670B75">
        <w:rPr>
          <w:rFonts w:ascii="Times New Roman" w:hAnsi="Times New Roman" w:cs="Times New Roman"/>
          <w:b/>
          <w:bCs/>
          <w:sz w:val="24"/>
          <w:szCs w:val="24"/>
        </w:rPr>
        <w:t>. Climate Trends</w:t>
      </w:r>
    </w:p>
    <w:p w14:paraId="77414D2B" w14:textId="77777777" w:rsidR="00670B75" w:rsidRPr="00670B75" w:rsidRDefault="00670B75" w:rsidP="00ED725F">
      <w:pPr>
        <w:spacing w:line="360" w:lineRule="auto"/>
        <w:jc w:val="both"/>
        <w:rPr>
          <w:rFonts w:ascii="Times New Roman" w:hAnsi="Times New Roman" w:cs="Times New Roman"/>
          <w:b/>
          <w:bCs/>
          <w:sz w:val="24"/>
          <w:szCs w:val="24"/>
        </w:rPr>
      </w:pPr>
      <w:r w:rsidRPr="00670B75">
        <w:rPr>
          <w:rFonts w:ascii="Times New Roman" w:hAnsi="Times New Roman" w:cs="Times New Roman"/>
          <w:b/>
          <w:bCs/>
          <w:sz w:val="24"/>
          <w:szCs w:val="24"/>
        </w:rPr>
        <w:t>3.4.1. Calculation of Extreme Climate Indices</w:t>
      </w:r>
    </w:p>
    <w:p w14:paraId="6C97339D" w14:textId="3F2D1A6A" w:rsidR="00120ACF" w:rsidRPr="00ED725F" w:rsidRDefault="00670B75" w:rsidP="00ED725F">
      <w:pPr>
        <w:pStyle w:val="ListParagraph"/>
        <w:numPr>
          <w:ilvl w:val="0"/>
          <w:numId w:val="6"/>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Analysis of the TX90p Index</w:t>
      </w:r>
    </w:p>
    <w:p w14:paraId="0F8E8B7D" w14:textId="5BA9E0E0" w:rsidR="00670B75" w:rsidRPr="00ED725F" w:rsidRDefault="00670B75" w:rsidP="00ED725F">
      <w:pPr>
        <w:pStyle w:val="NormalWeb"/>
        <w:spacing w:line="360" w:lineRule="auto"/>
        <w:jc w:val="both"/>
      </w:pPr>
      <w:r w:rsidRPr="00ED725F">
        <w:t xml:space="preserve">The results of the analysis show the evolution of </w:t>
      </w:r>
      <w:r w:rsidRPr="00ED725F">
        <w:rPr>
          <w:rStyle w:val="Strong"/>
          <w:rFonts w:eastAsiaTheme="majorEastAsia"/>
          <w:b w:val="0"/>
          <w:bCs w:val="0"/>
        </w:rPr>
        <w:t>maximum temperatures (Tmax)</w:t>
      </w:r>
      <w:r w:rsidRPr="00ED725F">
        <w:t xml:space="preserve"> over </w:t>
      </w:r>
      <w:r w:rsidR="00ED725F" w:rsidRPr="00ED725F">
        <w:t>time ;</w:t>
      </w:r>
      <w:r w:rsidRPr="00ED725F">
        <w:t xml:space="preserve"> the calculated </w:t>
      </w:r>
      <w:r w:rsidRPr="00ED725F">
        <w:rPr>
          <w:rStyle w:val="Strong"/>
          <w:rFonts w:eastAsiaTheme="majorEastAsia"/>
          <w:b w:val="0"/>
          <w:bCs w:val="0"/>
        </w:rPr>
        <w:t>TX90p index is 41.88 °C</w:t>
      </w:r>
      <w:r w:rsidRPr="00ED725F">
        <w:t xml:space="preserve"> for the reference period </w:t>
      </w:r>
      <w:r w:rsidRPr="00ED725F">
        <w:rPr>
          <w:rStyle w:val="Strong"/>
          <w:rFonts w:eastAsiaTheme="majorEastAsia"/>
          <w:b w:val="0"/>
          <w:bCs w:val="0"/>
        </w:rPr>
        <w:t>1995–2014</w:t>
      </w:r>
      <w:r w:rsidRPr="00ED725F">
        <w:t xml:space="preserve">. A day is considered </w:t>
      </w:r>
      <w:r w:rsidRPr="00ED725F">
        <w:rPr>
          <w:rStyle w:val="Strong"/>
          <w:rFonts w:eastAsiaTheme="majorEastAsia"/>
          <w:b w:val="0"/>
          <w:bCs w:val="0"/>
        </w:rPr>
        <w:t>extremely hot</w:t>
      </w:r>
      <w:r w:rsidRPr="00ED725F">
        <w:t xml:space="preserve"> when the maximum temperature exceeds </w:t>
      </w:r>
      <w:r w:rsidRPr="00ED725F">
        <w:rPr>
          <w:rStyle w:val="Strong"/>
          <w:rFonts w:eastAsiaTheme="majorEastAsia"/>
          <w:b w:val="0"/>
          <w:bCs w:val="0"/>
        </w:rPr>
        <w:t>41.9 °C</w:t>
      </w:r>
      <w:r w:rsidRPr="00ED725F">
        <w:t xml:space="preserve">, corresponding on average to </w:t>
      </w:r>
      <w:r w:rsidRPr="00ED725F">
        <w:rPr>
          <w:rStyle w:val="Strong"/>
          <w:rFonts w:eastAsiaTheme="majorEastAsia"/>
          <w:b w:val="0"/>
          <w:bCs w:val="0"/>
        </w:rPr>
        <w:t>36 to 37 days per year</w:t>
      </w:r>
      <w:r w:rsidRPr="00ED725F">
        <w:t xml:space="preserve"> (10% of 365 days). In a </w:t>
      </w:r>
      <w:r w:rsidRPr="00ED725F">
        <w:rPr>
          <w:rStyle w:val="Strong"/>
          <w:rFonts w:eastAsiaTheme="majorEastAsia"/>
          <w:b w:val="0"/>
          <w:bCs w:val="0"/>
        </w:rPr>
        <w:t>Sahelian context such as Diffa</w:t>
      </w:r>
      <w:r w:rsidRPr="00ED725F">
        <w:t xml:space="preserve">, such a frequency of extreme heat has direct repercussions on </w:t>
      </w:r>
      <w:r w:rsidRPr="00ED725F">
        <w:rPr>
          <w:rStyle w:val="Strong"/>
          <w:rFonts w:eastAsiaTheme="majorEastAsia"/>
          <w:b w:val="0"/>
          <w:bCs w:val="0"/>
        </w:rPr>
        <w:t>socio-economic activities</w:t>
      </w:r>
      <w:r w:rsidRPr="00ED725F">
        <w:t xml:space="preserve">. These include </w:t>
      </w:r>
      <w:r w:rsidRPr="00ED725F">
        <w:rPr>
          <w:rStyle w:val="Strong"/>
          <w:rFonts w:eastAsiaTheme="majorEastAsia"/>
          <w:b w:val="0"/>
          <w:bCs w:val="0"/>
        </w:rPr>
        <w:t>reduced agricultural productivity</w:t>
      </w:r>
      <w:r w:rsidRPr="00ED725F">
        <w:rPr>
          <w:b/>
          <w:bCs/>
        </w:rPr>
        <w:t xml:space="preserve"> </w:t>
      </w:r>
      <w:r w:rsidRPr="00ED725F">
        <w:t xml:space="preserve">due to water and heat stress affecting crops, </w:t>
      </w:r>
      <w:r w:rsidRPr="00ED725F">
        <w:rPr>
          <w:rStyle w:val="Strong"/>
          <w:rFonts w:eastAsiaTheme="majorEastAsia"/>
          <w:b w:val="0"/>
          <w:bCs w:val="0"/>
        </w:rPr>
        <w:t>declining livestock</w:t>
      </w:r>
      <w:r w:rsidRPr="00ED725F">
        <w:rPr>
          <w:rStyle w:val="Strong"/>
          <w:rFonts w:eastAsiaTheme="majorEastAsia"/>
        </w:rPr>
        <w:t xml:space="preserve"> </w:t>
      </w:r>
      <w:r w:rsidRPr="00ED725F">
        <w:rPr>
          <w:rStyle w:val="Strong"/>
          <w:rFonts w:eastAsiaTheme="majorEastAsia"/>
          <w:b w:val="0"/>
          <w:bCs w:val="0"/>
        </w:rPr>
        <w:t>performance</w:t>
      </w:r>
      <w:r w:rsidRPr="00ED725F">
        <w:rPr>
          <w:b/>
          <w:bCs/>
        </w:rPr>
        <w:t xml:space="preserve">, </w:t>
      </w:r>
      <w:r w:rsidRPr="00ED725F">
        <w:rPr>
          <w:rStyle w:val="Strong"/>
          <w:rFonts w:eastAsiaTheme="majorEastAsia"/>
          <w:b w:val="0"/>
          <w:bCs w:val="0"/>
        </w:rPr>
        <w:t>reduced capacity for outdoor work</w:t>
      </w:r>
      <w:r w:rsidRPr="00ED725F">
        <w:t xml:space="preserve"> (agriculture, trade, construction), </w:t>
      </w:r>
      <w:r w:rsidRPr="00ED725F">
        <w:rPr>
          <w:rStyle w:val="Strong"/>
          <w:rFonts w:eastAsiaTheme="majorEastAsia"/>
          <w:b w:val="0"/>
          <w:bCs w:val="0"/>
        </w:rPr>
        <w:t>increased energy expenditures related to cooling</w:t>
      </w:r>
      <w:r w:rsidRPr="00ED725F">
        <w:t xml:space="preserve">, and </w:t>
      </w:r>
      <w:r w:rsidRPr="00ED725F">
        <w:rPr>
          <w:rStyle w:val="Strong"/>
          <w:rFonts w:eastAsiaTheme="majorEastAsia"/>
          <w:b w:val="0"/>
          <w:bCs w:val="0"/>
        </w:rPr>
        <w:t>heightened health risks</w:t>
      </w:r>
      <w:r w:rsidRPr="00ED725F">
        <w:t xml:space="preserve"> such as dehydration and heatstroke. Thus, this high threshold reflects not only </w:t>
      </w:r>
      <w:r w:rsidRPr="00ED725F">
        <w:rPr>
          <w:rStyle w:val="Strong"/>
          <w:rFonts w:eastAsiaTheme="majorEastAsia"/>
          <w:b w:val="0"/>
          <w:bCs w:val="0"/>
        </w:rPr>
        <w:t>pronounced climatic intensity</w:t>
      </w:r>
      <w:r w:rsidR="00ED725F">
        <w:t xml:space="preserve"> but also heightened</w:t>
      </w:r>
      <w:r w:rsidRPr="00ED725F">
        <w:rPr>
          <w:rStyle w:val="Strong"/>
          <w:rFonts w:eastAsiaTheme="majorEastAsia"/>
        </w:rPr>
        <w:t xml:space="preserve"> </w:t>
      </w:r>
      <w:r w:rsidRPr="00ED725F">
        <w:rPr>
          <w:rStyle w:val="Strong"/>
          <w:rFonts w:eastAsiaTheme="majorEastAsia"/>
          <w:b w:val="0"/>
          <w:bCs w:val="0"/>
        </w:rPr>
        <w:t>vulnerability of local livelihoods to thermal extremes</w:t>
      </w:r>
      <w:r w:rsidRPr="00ED725F">
        <w:t>.</w:t>
      </w:r>
    </w:p>
    <w:p w14:paraId="08AABA2C" w14:textId="24B639AA" w:rsidR="00670B75" w:rsidRDefault="00A35824" w:rsidP="00205B83">
      <w:pPr>
        <w:pStyle w:val="NormalWeb"/>
        <w:jc w:val="center"/>
      </w:pPr>
      <w:r w:rsidRPr="00A35824">
        <w:rPr>
          <w:rFonts w:eastAsiaTheme="minorHAnsi"/>
          <w:noProof/>
        </w:rPr>
        <w:lastRenderedPageBreak/>
        <w:drawing>
          <wp:inline distT="0" distB="0" distL="0" distR="0" wp14:anchorId="3693DB3A" wp14:editId="75785733">
            <wp:extent cx="5759450" cy="2089150"/>
            <wp:effectExtent l="0" t="0" r="0" b="0"/>
            <wp:docPr id="19564893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089150"/>
                    </a:xfrm>
                    <a:prstGeom prst="rect">
                      <a:avLst/>
                    </a:prstGeom>
                    <a:noFill/>
                    <a:ln>
                      <a:noFill/>
                    </a:ln>
                  </pic:spPr>
                </pic:pic>
              </a:graphicData>
            </a:graphic>
          </wp:inline>
        </w:drawing>
      </w:r>
      <w:r w:rsidR="00205B83" w:rsidRPr="00205B83">
        <w:rPr>
          <w:b/>
          <w:bCs/>
        </w:rPr>
        <w:t>Fig. 8.</w:t>
      </w:r>
      <w:r w:rsidR="00205B83" w:rsidRPr="00205B83">
        <w:t xml:space="preserve"> Evolution of Maximum Temperatures (Tmax) from 1995 to 2025</w:t>
      </w:r>
    </w:p>
    <w:p w14:paraId="5094668F" w14:textId="77777777" w:rsidR="00205B83" w:rsidRPr="00ED725F" w:rsidRDefault="00205B83" w:rsidP="00ED725F">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Analysis of the TN90 Index</w:t>
      </w:r>
    </w:p>
    <w:p w14:paraId="1C2F1039" w14:textId="310A0667" w:rsidR="00205B83" w:rsidRPr="00205B83" w:rsidRDefault="00205B83" w:rsidP="00ED725F">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t>The analysis of the evolution of minimum temperatures (Tmin) indicates that TN90 = 27.36 °C, meaning that during the reference period, about 10% of nights (approximately 36–37 nights per year) recorded minimum temperatures exceeding 27.3 °C.</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context such as Diffa, where nighttime temperatures during the hot season may exceed 28 °C, this situation reflects the persistence of nocturnal heat. From a socio-economic perspective, the limited nighttime cooling increases thermal stress among populations, reduces the quality of rest and work capacity the following day, and raises health risks.</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It may also affect agricultural productivity, particularly the nighttime metabolic processes of crops, and reduce livestock well-being, while increasing energy needs for cooling. Thus, a high TN90 value reflects continuous thermal pressure, which can weaken local livelihoods and adaptive capacities.</w:t>
      </w:r>
    </w:p>
    <w:p w14:paraId="05589AA5" w14:textId="2D293792" w:rsidR="00670B75" w:rsidRPr="00ED725F" w:rsidRDefault="00A35824" w:rsidP="00205B83">
      <w:pPr>
        <w:jc w:val="center"/>
        <w:rPr>
          <w:rFonts w:ascii="Times New Roman" w:hAnsi="Times New Roman" w:cs="Times New Roman"/>
        </w:rPr>
      </w:pPr>
      <w:r w:rsidRPr="00A35824">
        <w:rPr>
          <w:noProof/>
        </w:rPr>
        <w:drawing>
          <wp:inline distT="0" distB="0" distL="0" distR="0" wp14:anchorId="0F5A7456" wp14:editId="54B65842">
            <wp:extent cx="5760720" cy="2232660"/>
            <wp:effectExtent l="0" t="0" r="0" b="0"/>
            <wp:docPr id="7564043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232660"/>
                    </a:xfrm>
                    <a:prstGeom prst="rect">
                      <a:avLst/>
                    </a:prstGeom>
                    <a:noFill/>
                    <a:ln>
                      <a:noFill/>
                    </a:ln>
                  </pic:spPr>
                </pic:pic>
              </a:graphicData>
            </a:graphic>
          </wp:inline>
        </w:drawing>
      </w:r>
      <w:r w:rsidR="00205B83" w:rsidRPr="00ED725F">
        <w:rPr>
          <w:rFonts w:ascii="Times New Roman" w:hAnsi="Times New Roman" w:cs="Times New Roman"/>
          <w:b/>
          <w:bCs/>
        </w:rPr>
        <w:t>Fig. 9.</w:t>
      </w:r>
      <w:r w:rsidR="00205B83" w:rsidRPr="00ED725F">
        <w:rPr>
          <w:rFonts w:ascii="Times New Roman" w:hAnsi="Times New Roman" w:cs="Times New Roman"/>
        </w:rPr>
        <w:t xml:space="preserve"> Evolution of Minimum Temperatures (Tmin) from 1995 to 2025</w:t>
      </w:r>
    </w:p>
    <w:p w14:paraId="4FC71265" w14:textId="42B99A18" w:rsidR="00205B83" w:rsidRPr="00ED725F" w:rsidRDefault="00205B83" w:rsidP="00ED725F">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 xml:space="preserve">Analysis of the R95p Index </w:t>
      </w:r>
    </w:p>
    <w:p w14:paraId="34F600B8" w14:textId="0868AE7D" w:rsidR="00205B83" w:rsidRPr="00205B83" w:rsidRDefault="00205B83" w:rsidP="00ED725F">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t xml:space="preserve">The analysis of this index, R95p = 10.43 mm, indicates that 5% of rainy days record precipitation amounts exceeding 10.4 mm/day, characterizing a rainfall regime where </w:t>
      </w:r>
      <w:r w:rsidRPr="00205B83">
        <w:rPr>
          <w:rFonts w:ascii="Times New Roman" w:hAnsi="Times New Roman" w:cs="Times New Roman"/>
          <w:sz w:val="24"/>
          <w:szCs w:val="24"/>
        </w:rPr>
        <w:lastRenderedPageBreak/>
        <w:t>precipitation is generally infrequent but occasionally marked by intense events.</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region such as Diffa, this pattern corresponds to short but intense convective rainfall events. From a socio-economic perspective, this irregularity promotes rapid runoff, sudden floods, and soil degradation, while reducing the effectiveness of water infiltration for rain-fed agriculture.</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Consequently, these conditions can weaken agricultural production, affect local infrastructure, and increase the exposure of rural households to hydrometeorological hazards.</w:t>
      </w:r>
    </w:p>
    <w:p w14:paraId="3E4B175A" w14:textId="411ACA01" w:rsidR="00205B83" w:rsidRDefault="00A35824" w:rsidP="00205B83">
      <w:pPr>
        <w:jc w:val="center"/>
      </w:pPr>
      <w:r w:rsidRPr="00A35824">
        <w:rPr>
          <w:noProof/>
        </w:rPr>
        <w:drawing>
          <wp:inline distT="0" distB="0" distL="0" distR="0" wp14:anchorId="7800D07F" wp14:editId="58517EB6">
            <wp:extent cx="5760720" cy="2366010"/>
            <wp:effectExtent l="0" t="0" r="0" b="0"/>
            <wp:docPr id="764136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366010"/>
                    </a:xfrm>
                    <a:prstGeom prst="rect">
                      <a:avLst/>
                    </a:prstGeom>
                    <a:noFill/>
                    <a:ln>
                      <a:noFill/>
                    </a:ln>
                  </pic:spPr>
                </pic:pic>
              </a:graphicData>
            </a:graphic>
          </wp:inline>
        </w:drawing>
      </w:r>
      <w:r w:rsidR="00205B83" w:rsidRPr="00ED725F">
        <w:rPr>
          <w:rFonts w:ascii="Times New Roman" w:hAnsi="Times New Roman" w:cs="Times New Roman"/>
          <w:b/>
          <w:bCs/>
          <w:sz w:val="24"/>
          <w:szCs w:val="24"/>
        </w:rPr>
        <w:t>Fig. 10.</w:t>
      </w:r>
      <w:r w:rsidR="00205B83" w:rsidRPr="00ED725F">
        <w:rPr>
          <w:rFonts w:ascii="Times New Roman" w:hAnsi="Times New Roman" w:cs="Times New Roman"/>
          <w:sz w:val="24"/>
          <w:szCs w:val="24"/>
        </w:rPr>
        <w:t xml:space="preserve"> Evolution of Rainfall from 1995 to 2025</w:t>
      </w:r>
    </w:p>
    <w:p w14:paraId="7386C6EE" w14:textId="77777777" w:rsidR="00A35824" w:rsidRPr="00A35824" w:rsidRDefault="00A35824" w:rsidP="00ED725F">
      <w:p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t>3.4.2. Analysis of Drought Indices</w:t>
      </w:r>
    </w:p>
    <w:p w14:paraId="148A882F" w14:textId="41AECD28" w:rsidR="00A35824" w:rsidRPr="00ED725F" w:rsidRDefault="00A35824" w:rsidP="00ED725F">
      <w:pPr>
        <w:pStyle w:val="ListParagraph"/>
        <w:numPr>
          <w:ilvl w:val="0"/>
          <w:numId w:val="11"/>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Analysis of the SPI at 3-month, 6-month, and 12-month timescales</w:t>
      </w:r>
    </w:p>
    <w:p w14:paraId="04AD7AAB" w14:textId="5F22602A" w:rsidR="00A35824" w:rsidRPr="00ED725F" w:rsidRDefault="00A35824" w:rsidP="00ED725F">
      <w:pPr>
        <w:pStyle w:val="NormalWeb"/>
        <w:spacing w:line="360" w:lineRule="auto"/>
        <w:jc w:val="both"/>
        <w:rPr>
          <w:b/>
          <w:bCs/>
        </w:rPr>
      </w:pPr>
      <w:r w:rsidRPr="00ED725F">
        <w:t>The</w:t>
      </w:r>
      <w:r w:rsidRPr="00ED725F">
        <w:rPr>
          <w:b/>
          <w:bCs/>
        </w:rPr>
        <w:t xml:space="preserve"> </w:t>
      </w:r>
      <w:r w:rsidRPr="00ED725F">
        <w:rPr>
          <w:rStyle w:val="Strong"/>
          <w:rFonts w:eastAsiaTheme="majorEastAsia"/>
          <w:b w:val="0"/>
          <w:bCs w:val="0"/>
        </w:rPr>
        <w:t>multi-scale analysis of the SPI</w:t>
      </w:r>
      <w:r w:rsidRPr="00ED725F">
        <w:rPr>
          <w:b/>
          <w:bCs/>
        </w:rPr>
        <w:t xml:space="preserve"> </w:t>
      </w:r>
      <w:r w:rsidRPr="00ED725F">
        <w:t>reveals strong variability in</w:t>
      </w:r>
      <w:r w:rsidRPr="00ED725F">
        <w:rPr>
          <w:b/>
          <w:bCs/>
        </w:rPr>
        <w:t xml:space="preserve"> </w:t>
      </w:r>
      <w:r w:rsidRPr="00ED725F">
        <w:rPr>
          <w:rStyle w:val="Strong"/>
          <w:rFonts w:eastAsiaTheme="majorEastAsia"/>
          <w:b w:val="0"/>
          <w:bCs w:val="0"/>
        </w:rPr>
        <w:t>short-term drought conditions (3 months)</w:t>
      </w:r>
      <w:r w:rsidRPr="00ED725F">
        <w:rPr>
          <w:b/>
          <w:bCs/>
        </w:rPr>
        <w:t xml:space="preserve">, </w:t>
      </w:r>
      <w:r w:rsidRPr="00ED725F">
        <w:t>while a more</w:t>
      </w:r>
      <w:r w:rsidRPr="00ED725F">
        <w:rPr>
          <w:b/>
          <w:bCs/>
        </w:rPr>
        <w:t xml:space="preserve"> </w:t>
      </w:r>
      <w:r w:rsidRPr="00ED725F">
        <w:rPr>
          <w:rStyle w:val="Strong"/>
          <w:rFonts w:eastAsiaTheme="majorEastAsia"/>
          <w:b w:val="0"/>
          <w:bCs w:val="0"/>
        </w:rPr>
        <w:t>structural dynamic emerges at the annual scale (12 months)</w:t>
      </w:r>
      <w:r w:rsidRPr="00ED725F">
        <w:rPr>
          <w:b/>
          <w:bCs/>
        </w:rPr>
        <w:t xml:space="preserve">. </w:t>
      </w:r>
      <w:r w:rsidRPr="00ED725F">
        <w:t>A phase of</w:t>
      </w:r>
      <w:r w:rsidRPr="00ED725F">
        <w:rPr>
          <w:b/>
          <w:bCs/>
        </w:rPr>
        <w:t xml:space="preserve"> </w:t>
      </w:r>
      <w:r w:rsidRPr="00ED725F">
        <w:rPr>
          <w:rStyle w:val="Strong"/>
          <w:rFonts w:eastAsiaTheme="majorEastAsia"/>
          <w:b w:val="0"/>
          <w:bCs w:val="0"/>
        </w:rPr>
        <w:t>prolonged hydrological deficit</w:t>
      </w:r>
      <w:r w:rsidRPr="00ED725F">
        <w:rPr>
          <w:b/>
          <w:bCs/>
        </w:rPr>
        <w:t xml:space="preserve"> </w:t>
      </w:r>
      <w:r w:rsidRPr="00ED725F">
        <w:t>is observed until the</w:t>
      </w:r>
      <w:r w:rsidRPr="00ED725F">
        <w:rPr>
          <w:b/>
          <w:bCs/>
        </w:rPr>
        <w:t xml:space="preserve"> </w:t>
      </w:r>
      <w:r w:rsidRPr="00ED725F">
        <w:rPr>
          <w:rStyle w:val="Strong"/>
          <w:rFonts w:eastAsiaTheme="majorEastAsia"/>
          <w:b w:val="0"/>
          <w:bCs w:val="0"/>
        </w:rPr>
        <w:t>early 2010s</w:t>
      </w:r>
      <w:r w:rsidRPr="00ED725F">
        <w:rPr>
          <w:b/>
          <w:bCs/>
        </w:rPr>
        <w:t xml:space="preserve">, </w:t>
      </w:r>
      <w:r w:rsidRPr="00ED725F">
        <w:t>followed by a</w:t>
      </w:r>
      <w:r w:rsidRPr="00ED725F">
        <w:rPr>
          <w:b/>
          <w:bCs/>
        </w:rPr>
        <w:t xml:space="preserve"> </w:t>
      </w:r>
      <w:r w:rsidRPr="00ED725F">
        <w:rPr>
          <w:rStyle w:val="Strong"/>
          <w:rFonts w:eastAsiaTheme="majorEastAsia"/>
          <w:b w:val="0"/>
          <w:bCs w:val="0"/>
        </w:rPr>
        <w:t>shift toward wetter conditions after 2015</w:t>
      </w:r>
      <w:r w:rsidRPr="00ED725F">
        <w:rPr>
          <w:b/>
          <w:bCs/>
        </w:rPr>
        <w:t xml:space="preserve">. </w:t>
      </w:r>
      <w:r w:rsidRPr="00ED725F">
        <w:t>This transition may indicate a</w:t>
      </w:r>
      <w:r w:rsidRPr="00ED725F">
        <w:rPr>
          <w:b/>
          <w:bCs/>
        </w:rPr>
        <w:t xml:space="preserve"> </w:t>
      </w:r>
      <w:r w:rsidRPr="00ED725F">
        <w:rPr>
          <w:rStyle w:val="Strong"/>
          <w:rFonts w:eastAsiaTheme="majorEastAsia"/>
          <w:b w:val="0"/>
          <w:bCs w:val="0"/>
        </w:rPr>
        <w:t>change in the regional rainfall regime</w:t>
      </w:r>
      <w:r w:rsidRPr="00ED725F">
        <w:rPr>
          <w:b/>
          <w:bCs/>
        </w:rPr>
        <w:t>.</w:t>
      </w:r>
    </w:p>
    <w:p w14:paraId="7E6B5EB4" w14:textId="5A007883" w:rsidR="00A35824" w:rsidRDefault="00A35824" w:rsidP="00A35824">
      <w:pPr>
        <w:pStyle w:val="NormalWeb"/>
        <w:jc w:val="center"/>
      </w:pPr>
      <w:r w:rsidRPr="00A35824">
        <w:rPr>
          <w:rFonts w:eastAsiaTheme="minorHAnsi"/>
          <w:noProof/>
        </w:rPr>
        <w:drawing>
          <wp:inline distT="0" distB="0" distL="0" distR="0" wp14:anchorId="53394AFA" wp14:editId="010EAC8B">
            <wp:extent cx="5760720" cy="1573530"/>
            <wp:effectExtent l="0" t="0" r="0" b="0"/>
            <wp:docPr id="8692872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573530"/>
                    </a:xfrm>
                    <a:prstGeom prst="rect">
                      <a:avLst/>
                    </a:prstGeom>
                    <a:noFill/>
                    <a:ln>
                      <a:noFill/>
                    </a:ln>
                  </pic:spPr>
                </pic:pic>
              </a:graphicData>
            </a:graphic>
          </wp:inline>
        </w:drawing>
      </w:r>
      <w:r w:rsidRPr="00A35824">
        <w:rPr>
          <w:b/>
          <w:bCs/>
        </w:rPr>
        <w:t>Fig. 11.</w:t>
      </w:r>
      <w:r w:rsidRPr="00A35824">
        <w:t xml:space="preserve"> </w:t>
      </w:r>
      <w:r w:rsidR="00B263D3" w:rsidRPr="00A35824">
        <w:t>A :</w:t>
      </w:r>
      <w:r w:rsidRPr="00A35824">
        <w:t xml:space="preserve"> SPI at the 3-month timescale; </w:t>
      </w:r>
      <w:r w:rsidR="00B263D3" w:rsidRPr="00A35824">
        <w:t>B :</w:t>
      </w:r>
      <w:r w:rsidRPr="00A35824">
        <w:t xml:space="preserve"> SPI at the 6-month timescale; </w:t>
      </w:r>
      <w:r w:rsidR="00B263D3" w:rsidRPr="00A35824">
        <w:t>C :</w:t>
      </w:r>
      <w:r w:rsidRPr="00A35824">
        <w:t xml:space="preserve"> SPI at the 12-month timescale.</w:t>
      </w:r>
    </w:p>
    <w:p w14:paraId="35C5A893" w14:textId="77777777" w:rsidR="00A35824" w:rsidRPr="00A35824" w:rsidRDefault="00A35824" w:rsidP="00B263D3">
      <w:pPr>
        <w:pStyle w:val="ListParagraph"/>
        <w:numPr>
          <w:ilvl w:val="0"/>
          <w:numId w:val="12"/>
        </w:num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lastRenderedPageBreak/>
        <w:t>Mann–Kendall and Pettitt Tests on SPI at 3-, 6-, and 12-Month Timescales</w:t>
      </w:r>
    </w:p>
    <w:p w14:paraId="1D672EFB" w14:textId="58274272"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sz w:val="24"/>
          <w:szCs w:val="24"/>
        </w:rPr>
        <w:t>The Mann–Kendall test reveals a significant positive trend at all timescales, increasing from SPI-3 to SPI-12, while the Pettitt test identifies a structural break around 2010, marking the transition from a dry regime to a wetter phase.</w:t>
      </w:r>
      <w:r>
        <w:rPr>
          <w:rFonts w:ascii="Times New Roman" w:hAnsi="Times New Roman" w:cs="Times New Roman"/>
          <w:sz w:val="24"/>
          <w:szCs w:val="24"/>
        </w:rPr>
        <w:t xml:space="preserve"> </w:t>
      </w:r>
      <w:r w:rsidRPr="00A35824">
        <w:rPr>
          <w:rFonts w:ascii="Times New Roman" w:hAnsi="Times New Roman" w:cs="Times New Roman"/>
          <w:sz w:val="24"/>
          <w:szCs w:val="24"/>
        </w:rPr>
        <w:t>This evolution reflects a sustained hydrological recovery, which could improve water availability and agricultural production. However, the intensification of extreme events indicates increasing climatic variability, whose socio-economic impacts remain strongly dependent on the adaptive capacity of local communities.</w:t>
      </w:r>
    </w:p>
    <w:p w14:paraId="0B06F9A0" w14:textId="66E680E2"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b/>
          <w:bCs/>
          <w:sz w:val="24"/>
          <w:szCs w:val="24"/>
        </w:rPr>
        <w:t>Table 3</w:t>
      </w:r>
      <w:r w:rsidRPr="00A35824">
        <w:rPr>
          <w:rFonts w:ascii="Times New Roman" w:hAnsi="Times New Roman" w:cs="Times New Roman"/>
          <w:sz w:val="24"/>
          <w:szCs w:val="24"/>
        </w:rPr>
        <w:t>. Results of the Mann–Kendall trend test and Pettitt change-point test applied to the SPI indices at 3-, 6-, and 12-month time scales for the period 1995–2025 in the Diffa region.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3"/>
        <w:gridCol w:w="1796"/>
        <w:gridCol w:w="1180"/>
        <w:gridCol w:w="1134"/>
        <w:gridCol w:w="1701"/>
        <w:gridCol w:w="1560"/>
      </w:tblGrid>
      <w:tr w:rsidR="00A349BE" w:rsidRPr="00A349BE" w14:paraId="0E9E49B4" w14:textId="77777777" w:rsidTr="00A349BE">
        <w:trPr>
          <w:tblHeader/>
          <w:tblCellSpacing w:w="15" w:type="dxa"/>
          <w:jc w:val="center"/>
        </w:trPr>
        <w:tc>
          <w:tcPr>
            <w:tcW w:w="948" w:type="dxa"/>
            <w:vAlign w:val="center"/>
            <w:hideMark/>
          </w:tcPr>
          <w:p w14:paraId="05B98E49"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766" w:type="dxa"/>
            <w:vAlign w:val="center"/>
            <w:hideMark/>
          </w:tcPr>
          <w:p w14:paraId="3A9444B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1150" w:type="dxa"/>
            <w:vAlign w:val="center"/>
            <w:hideMark/>
          </w:tcPr>
          <w:p w14:paraId="651CCAD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104" w:type="dxa"/>
            <w:vAlign w:val="center"/>
            <w:hideMark/>
          </w:tcPr>
          <w:p w14:paraId="1C9D7F7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671" w:type="dxa"/>
            <w:vAlign w:val="center"/>
            <w:hideMark/>
          </w:tcPr>
          <w:p w14:paraId="612F6293"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5" w:type="dxa"/>
            <w:vAlign w:val="center"/>
            <w:hideMark/>
          </w:tcPr>
          <w:p w14:paraId="71E58EA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0785A7FE" w14:textId="77777777" w:rsidTr="00A349BE">
        <w:trPr>
          <w:tblCellSpacing w:w="15" w:type="dxa"/>
          <w:jc w:val="center"/>
        </w:trPr>
        <w:tc>
          <w:tcPr>
            <w:tcW w:w="948" w:type="dxa"/>
            <w:vAlign w:val="center"/>
            <w:hideMark/>
          </w:tcPr>
          <w:p w14:paraId="697E384F"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2A4318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1150" w:type="dxa"/>
            <w:vAlign w:val="center"/>
            <w:hideMark/>
          </w:tcPr>
          <w:p w14:paraId="6B042C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0.211</w:t>
            </w:r>
          </w:p>
        </w:tc>
        <w:tc>
          <w:tcPr>
            <w:tcW w:w="1104" w:type="dxa"/>
            <w:vAlign w:val="center"/>
            <w:hideMark/>
          </w:tcPr>
          <w:p w14:paraId="1A36966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3B33B0D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4913613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2018</w:t>
            </w:r>
          </w:p>
        </w:tc>
      </w:tr>
      <w:tr w:rsidR="00A349BE" w:rsidRPr="00A349BE" w14:paraId="1E04B948" w14:textId="77777777" w:rsidTr="00A349BE">
        <w:trPr>
          <w:tblCellSpacing w:w="15" w:type="dxa"/>
          <w:jc w:val="center"/>
        </w:trPr>
        <w:tc>
          <w:tcPr>
            <w:tcW w:w="948" w:type="dxa"/>
            <w:vAlign w:val="center"/>
            <w:hideMark/>
          </w:tcPr>
          <w:p w14:paraId="2D8A7E6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35205265"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1150" w:type="dxa"/>
            <w:vAlign w:val="center"/>
            <w:hideMark/>
          </w:tcPr>
          <w:p w14:paraId="3405B4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0.292</w:t>
            </w:r>
          </w:p>
        </w:tc>
        <w:tc>
          <w:tcPr>
            <w:tcW w:w="1104" w:type="dxa"/>
            <w:vAlign w:val="center"/>
            <w:hideMark/>
          </w:tcPr>
          <w:p w14:paraId="59F4DFB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2237CD92"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51D61C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r w:rsidR="00A349BE" w:rsidRPr="00A349BE" w14:paraId="33A44878" w14:textId="77777777" w:rsidTr="00A349BE">
        <w:trPr>
          <w:tblCellSpacing w:w="15" w:type="dxa"/>
          <w:jc w:val="center"/>
        </w:trPr>
        <w:tc>
          <w:tcPr>
            <w:tcW w:w="948" w:type="dxa"/>
            <w:vAlign w:val="center"/>
            <w:hideMark/>
          </w:tcPr>
          <w:p w14:paraId="3644B01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042406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1150" w:type="dxa"/>
            <w:vAlign w:val="center"/>
            <w:hideMark/>
          </w:tcPr>
          <w:p w14:paraId="752A57C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0.497</w:t>
            </w:r>
          </w:p>
        </w:tc>
        <w:tc>
          <w:tcPr>
            <w:tcW w:w="1104" w:type="dxa"/>
            <w:vAlign w:val="center"/>
            <w:hideMark/>
          </w:tcPr>
          <w:p w14:paraId="7476A1DE"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062CB89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7CB129F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bl>
    <w:p w14:paraId="7D9C7CE1" w14:textId="77777777" w:rsidR="00A349BE" w:rsidRDefault="00A349BE" w:rsidP="00B263D3">
      <w:pPr>
        <w:spacing w:after="0" w:line="360" w:lineRule="auto"/>
        <w:jc w:val="both"/>
        <w:rPr>
          <w:rFonts w:ascii="Times New Roman" w:hAnsi="Times New Roman" w:cs="Times New Roman"/>
          <w:sz w:val="24"/>
          <w:szCs w:val="24"/>
        </w:rPr>
      </w:pPr>
    </w:p>
    <w:p w14:paraId="01E2193F" w14:textId="77777777" w:rsidR="00A349BE" w:rsidRPr="00A349BE" w:rsidRDefault="00A349BE" w:rsidP="00B263D3">
      <w:pPr>
        <w:pStyle w:val="ListParagraph"/>
        <w:numPr>
          <w:ilvl w:val="0"/>
          <w:numId w:val="11"/>
        </w:numPr>
        <w:spacing w:after="0" w:line="360" w:lineRule="auto"/>
        <w:jc w:val="both"/>
        <w:rPr>
          <w:rFonts w:ascii="Times New Roman" w:hAnsi="Times New Roman" w:cs="Times New Roman"/>
          <w:sz w:val="24"/>
          <w:szCs w:val="24"/>
        </w:rPr>
      </w:pPr>
      <w:r w:rsidRPr="00A349BE">
        <w:rPr>
          <w:rFonts w:ascii="Times New Roman" w:hAnsi="Times New Roman" w:cs="Times New Roman"/>
          <w:b/>
          <w:bCs/>
          <w:sz w:val="24"/>
          <w:szCs w:val="24"/>
        </w:rPr>
        <w:t>Analysis of SPEI at the 3-, 6-, and 12-month time scales</w:t>
      </w:r>
    </w:p>
    <w:p w14:paraId="59EF481F" w14:textId="77777777" w:rsidR="00A349BE" w:rsidRPr="00A349BE" w:rsidRDefault="00A349BE" w:rsidP="00B263D3">
      <w:pPr>
        <w:spacing w:after="0" w:line="360" w:lineRule="auto"/>
        <w:jc w:val="both"/>
        <w:rPr>
          <w:rFonts w:ascii="Times New Roman" w:hAnsi="Times New Roman" w:cs="Times New Roman"/>
          <w:sz w:val="24"/>
          <w:szCs w:val="24"/>
        </w:rPr>
      </w:pPr>
      <w:r w:rsidRPr="00A349BE">
        <w:rPr>
          <w:rFonts w:ascii="Times New Roman" w:hAnsi="Times New Roman" w:cs="Times New Roman"/>
          <w:sz w:val="24"/>
          <w:szCs w:val="24"/>
        </w:rPr>
        <w:t>The SPEI confirms the transition toward a wetter regime observed with the SPI, but it further highlights the role of atmospheric evaporative demand. The recent humidification does not necessarily imply a reduction in climate risk; rather, it is accompanied by an increase in extreme events, thereby intensifying the exposure of Sahelian socio-ecological systems.</w:t>
      </w:r>
    </w:p>
    <w:p w14:paraId="451DD2D0" w14:textId="77777777" w:rsidR="00A35824" w:rsidRDefault="00A35824" w:rsidP="00A35824">
      <w:pPr>
        <w:spacing w:after="0" w:line="360" w:lineRule="auto"/>
        <w:rPr>
          <w:rFonts w:ascii="Times New Roman" w:hAnsi="Times New Roman" w:cs="Times New Roman"/>
          <w:sz w:val="24"/>
          <w:szCs w:val="24"/>
        </w:rPr>
      </w:pPr>
    </w:p>
    <w:p w14:paraId="7E062874" w14:textId="4299D6AB" w:rsidR="00A35824" w:rsidRPr="00A349BE" w:rsidRDefault="00A35824" w:rsidP="00A349BE">
      <w:pPr>
        <w:jc w:val="center"/>
        <w:rPr>
          <w:rFonts w:ascii="Times New Roman" w:hAnsi="Times New Roman" w:cs="Times New Roman"/>
          <w:sz w:val="24"/>
          <w:szCs w:val="24"/>
        </w:rPr>
      </w:pPr>
      <w:r w:rsidRPr="00A35824">
        <w:rPr>
          <w:noProof/>
        </w:rPr>
        <w:drawing>
          <wp:inline distT="0" distB="0" distL="0" distR="0" wp14:anchorId="4AC1048E" wp14:editId="44408C69">
            <wp:extent cx="5759450" cy="1670050"/>
            <wp:effectExtent l="0" t="0" r="0" b="0"/>
            <wp:docPr id="21103518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670050"/>
                    </a:xfrm>
                    <a:prstGeom prst="rect">
                      <a:avLst/>
                    </a:prstGeom>
                    <a:noFill/>
                    <a:ln>
                      <a:noFill/>
                    </a:ln>
                  </pic:spPr>
                </pic:pic>
              </a:graphicData>
            </a:graphic>
          </wp:inline>
        </w:drawing>
      </w:r>
    </w:p>
    <w:p w14:paraId="40E1B898" w14:textId="0264FEF9" w:rsidR="00205B83" w:rsidRPr="00B263D3" w:rsidRDefault="00A349BE" w:rsidP="00B263D3">
      <w:pPr>
        <w:jc w:val="center"/>
        <w:rPr>
          <w:rFonts w:ascii="Times New Roman" w:hAnsi="Times New Roman" w:cs="Times New Roman"/>
          <w:sz w:val="24"/>
          <w:szCs w:val="24"/>
        </w:rPr>
      </w:pPr>
      <w:r w:rsidRPr="00B263D3">
        <w:rPr>
          <w:rFonts w:ascii="Times New Roman" w:hAnsi="Times New Roman" w:cs="Times New Roman"/>
          <w:sz w:val="24"/>
          <w:szCs w:val="24"/>
        </w:rPr>
        <w:t xml:space="preserve">Fig. 12. </w:t>
      </w:r>
      <w:r w:rsidR="00B263D3" w:rsidRPr="00B263D3">
        <w:rPr>
          <w:rFonts w:ascii="Times New Roman" w:hAnsi="Times New Roman" w:cs="Times New Roman"/>
          <w:sz w:val="24"/>
          <w:szCs w:val="24"/>
        </w:rPr>
        <w:t>D :</w:t>
      </w:r>
      <w:r w:rsidRPr="00B263D3">
        <w:rPr>
          <w:rFonts w:ascii="Times New Roman" w:hAnsi="Times New Roman" w:cs="Times New Roman"/>
          <w:sz w:val="24"/>
          <w:szCs w:val="24"/>
        </w:rPr>
        <w:t xml:space="preserve"> SPEI at the 3-month time scale; </w:t>
      </w:r>
      <w:r w:rsidR="00B263D3" w:rsidRPr="00B263D3">
        <w:rPr>
          <w:rFonts w:ascii="Times New Roman" w:hAnsi="Times New Roman" w:cs="Times New Roman"/>
          <w:sz w:val="24"/>
          <w:szCs w:val="24"/>
        </w:rPr>
        <w:t>E :</w:t>
      </w:r>
      <w:r w:rsidRPr="00B263D3">
        <w:rPr>
          <w:rFonts w:ascii="Times New Roman" w:hAnsi="Times New Roman" w:cs="Times New Roman"/>
          <w:sz w:val="24"/>
          <w:szCs w:val="24"/>
        </w:rPr>
        <w:t xml:space="preserve"> SPEI at the 6-month time scale; </w:t>
      </w:r>
      <w:r w:rsidR="00B263D3" w:rsidRPr="00B263D3">
        <w:rPr>
          <w:rFonts w:ascii="Times New Roman" w:hAnsi="Times New Roman" w:cs="Times New Roman"/>
          <w:sz w:val="24"/>
          <w:szCs w:val="24"/>
        </w:rPr>
        <w:t>F :</w:t>
      </w:r>
      <w:r w:rsidRPr="00B263D3">
        <w:rPr>
          <w:rFonts w:ascii="Times New Roman" w:hAnsi="Times New Roman" w:cs="Times New Roman"/>
          <w:sz w:val="24"/>
          <w:szCs w:val="24"/>
        </w:rPr>
        <w:t xml:space="preserve"> SPEI at the 12-month time scale.</w:t>
      </w:r>
    </w:p>
    <w:p w14:paraId="6599FFAC" w14:textId="77777777" w:rsidR="00A349BE" w:rsidRDefault="00A349BE" w:rsidP="00B263D3">
      <w:pPr>
        <w:pStyle w:val="NormalWeb"/>
        <w:numPr>
          <w:ilvl w:val="0"/>
          <w:numId w:val="12"/>
        </w:numPr>
        <w:spacing w:line="360" w:lineRule="auto"/>
        <w:jc w:val="both"/>
      </w:pPr>
      <w:r>
        <w:rPr>
          <w:rStyle w:val="Strong"/>
          <w:rFonts w:eastAsiaTheme="majorEastAsia"/>
        </w:rPr>
        <w:t>Mann–Kendall and Pettitt tests on SPEI at the 3-, 6-, and 12-month time scales</w:t>
      </w:r>
    </w:p>
    <w:p w14:paraId="5FF245CC" w14:textId="77777777" w:rsidR="00A349BE" w:rsidRDefault="00A349BE" w:rsidP="00B263D3">
      <w:pPr>
        <w:pStyle w:val="NormalWeb"/>
        <w:spacing w:line="360" w:lineRule="auto"/>
        <w:jc w:val="both"/>
      </w:pPr>
      <w:r>
        <w:lastRenderedPageBreak/>
        <w:t>The Mann–Kendall test reveals a significant positive trend in the SPEI at all time scales (τ increasing from 0.122 to 0.309; p &lt; 0.001), while the Pettitt test identifies a structural break in 2016, indicating a shift toward a wetter hydroclimatic regime and a sustained hydrological recovery. This evolution may improve agricultural yields, pasture regeneration, and water availability; however, the intensification of extremes simultaneously increases the risks of flooding, erosion, and instability of agro-pastoral systems, making the socio-economic benefits highly dependent on local adaptive capacities.</w:t>
      </w:r>
    </w:p>
    <w:p w14:paraId="3FFB303C" w14:textId="73CEE2A2" w:rsidR="00A349BE" w:rsidRDefault="00A349BE" w:rsidP="00B263D3">
      <w:pPr>
        <w:pStyle w:val="NormalWeb"/>
        <w:spacing w:after="0" w:afterAutospacing="0" w:line="360" w:lineRule="auto"/>
        <w:jc w:val="both"/>
      </w:pPr>
      <w:r w:rsidRPr="00A349BE">
        <w:rPr>
          <w:b/>
          <w:bCs/>
        </w:rPr>
        <w:t>Table 4 :</w:t>
      </w:r>
      <w:r w:rsidRPr="00A349BE">
        <w:t xml:space="preserve"> Results of the Mann–Kendall (MK) and Pettitt tests on SPEI at the 3-, 6-, and 12-month time scales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4"/>
        <w:gridCol w:w="1843"/>
        <w:gridCol w:w="992"/>
        <w:gridCol w:w="1418"/>
        <w:gridCol w:w="1559"/>
        <w:gridCol w:w="1559"/>
      </w:tblGrid>
      <w:tr w:rsidR="00A349BE" w:rsidRPr="00A349BE" w14:paraId="737D81D6" w14:textId="77777777" w:rsidTr="00A349BE">
        <w:trPr>
          <w:tblHeader/>
          <w:tblCellSpacing w:w="15" w:type="dxa"/>
          <w:jc w:val="center"/>
        </w:trPr>
        <w:tc>
          <w:tcPr>
            <w:tcW w:w="1089" w:type="dxa"/>
            <w:vAlign w:val="center"/>
            <w:hideMark/>
          </w:tcPr>
          <w:p w14:paraId="4691E16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813" w:type="dxa"/>
            <w:vAlign w:val="center"/>
            <w:hideMark/>
          </w:tcPr>
          <w:p w14:paraId="658232CB"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962" w:type="dxa"/>
            <w:vAlign w:val="center"/>
            <w:hideMark/>
          </w:tcPr>
          <w:p w14:paraId="4EE37CEC"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388" w:type="dxa"/>
            <w:vAlign w:val="center"/>
            <w:hideMark/>
          </w:tcPr>
          <w:p w14:paraId="083C482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529" w:type="dxa"/>
            <w:vAlign w:val="center"/>
            <w:hideMark/>
          </w:tcPr>
          <w:p w14:paraId="0BA8883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4" w:type="dxa"/>
            <w:vAlign w:val="center"/>
            <w:hideMark/>
          </w:tcPr>
          <w:p w14:paraId="5B7D5D9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7D03C080" w14:textId="77777777" w:rsidTr="00A349BE">
        <w:trPr>
          <w:tblCellSpacing w:w="15" w:type="dxa"/>
          <w:jc w:val="center"/>
        </w:trPr>
        <w:tc>
          <w:tcPr>
            <w:tcW w:w="1089" w:type="dxa"/>
            <w:vAlign w:val="center"/>
            <w:hideMark/>
          </w:tcPr>
          <w:p w14:paraId="30EAF038"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400E696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962" w:type="dxa"/>
            <w:vAlign w:val="center"/>
            <w:hideMark/>
          </w:tcPr>
          <w:p w14:paraId="03EDDB0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0.122</w:t>
            </w:r>
          </w:p>
        </w:tc>
        <w:tc>
          <w:tcPr>
            <w:tcW w:w="1388" w:type="dxa"/>
            <w:vAlign w:val="center"/>
            <w:hideMark/>
          </w:tcPr>
          <w:p w14:paraId="56F849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5e-04</w:t>
            </w:r>
          </w:p>
        </w:tc>
        <w:tc>
          <w:tcPr>
            <w:tcW w:w="1529" w:type="dxa"/>
            <w:vAlign w:val="center"/>
            <w:hideMark/>
          </w:tcPr>
          <w:p w14:paraId="0E330D8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1e-04</w:t>
            </w:r>
          </w:p>
        </w:tc>
        <w:tc>
          <w:tcPr>
            <w:tcW w:w="1514" w:type="dxa"/>
            <w:vAlign w:val="center"/>
            <w:hideMark/>
          </w:tcPr>
          <w:p w14:paraId="579B547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49D15F5D" w14:textId="77777777" w:rsidTr="00A349BE">
        <w:trPr>
          <w:tblCellSpacing w:w="15" w:type="dxa"/>
          <w:jc w:val="center"/>
        </w:trPr>
        <w:tc>
          <w:tcPr>
            <w:tcW w:w="1089" w:type="dxa"/>
            <w:vAlign w:val="center"/>
            <w:hideMark/>
          </w:tcPr>
          <w:p w14:paraId="13FCF0F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69B47D4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962" w:type="dxa"/>
            <w:vAlign w:val="center"/>
            <w:hideMark/>
          </w:tcPr>
          <w:p w14:paraId="4C3624C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0.205</w:t>
            </w:r>
          </w:p>
        </w:tc>
        <w:tc>
          <w:tcPr>
            <w:tcW w:w="1388" w:type="dxa"/>
            <w:vAlign w:val="center"/>
            <w:hideMark/>
          </w:tcPr>
          <w:p w14:paraId="542E551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08328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12C5D03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16F2B5ED" w14:textId="77777777" w:rsidTr="00A349BE">
        <w:trPr>
          <w:tblCellSpacing w:w="15" w:type="dxa"/>
          <w:jc w:val="center"/>
        </w:trPr>
        <w:tc>
          <w:tcPr>
            <w:tcW w:w="1089" w:type="dxa"/>
            <w:vAlign w:val="center"/>
            <w:hideMark/>
          </w:tcPr>
          <w:p w14:paraId="0044520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580B5E7C"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962" w:type="dxa"/>
            <w:vAlign w:val="center"/>
            <w:hideMark/>
          </w:tcPr>
          <w:p w14:paraId="47349EA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0.309</w:t>
            </w:r>
          </w:p>
        </w:tc>
        <w:tc>
          <w:tcPr>
            <w:tcW w:w="1388" w:type="dxa"/>
            <w:vAlign w:val="center"/>
            <w:hideMark/>
          </w:tcPr>
          <w:p w14:paraId="48B657B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64FB71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0B2EA16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bl>
    <w:p w14:paraId="291BB5DF" w14:textId="77777777" w:rsidR="00914402" w:rsidRPr="00914402" w:rsidRDefault="00914402" w:rsidP="00B263D3">
      <w:pPr>
        <w:pStyle w:val="NormalWeb"/>
        <w:spacing w:before="0" w:beforeAutospacing="0"/>
      </w:pPr>
    </w:p>
    <w:p w14:paraId="1227E021" w14:textId="162F2143" w:rsidR="00914402" w:rsidRPr="00914402" w:rsidRDefault="00914402" w:rsidP="00B263D3">
      <w:pPr>
        <w:pStyle w:val="NormalWeb"/>
        <w:numPr>
          <w:ilvl w:val="0"/>
          <w:numId w:val="11"/>
        </w:numPr>
        <w:spacing w:line="360" w:lineRule="auto"/>
        <w:jc w:val="both"/>
      </w:pPr>
      <w:r w:rsidRPr="00914402">
        <w:rPr>
          <w:b/>
          <w:bCs/>
        </w:rPr>
        <w:t>Comparative analysis of SPEI and SPI at the 3-, 6-, and 12-month time scales</w:t>
      </w:r>
    </w:p>
    <w:p w14:paraId="640191E1" w14:textId="1E4E3B31" w:rsidR="00914402" w:rsidRPr="00914402" w:rsidRDefault="00914402" w:rsidP="00B263D3">
      <w:pPr>
        <w:pStyle w:val="NormalWeb"/>
        <w:spacing w:line="360" w:lineRule="auto"/>
        <w:jc w:val="both"/>
      </w:pPr>
      <w:r w:rsidRPr="00914402">
        <w:t>The overall positive trend observed in both SPI and SPEI, particularly at the 12-month scale, suggests a relative improvement in long-term moisture conditions in the Diffa region, which could be favorable for rain-fed agriculture, pasture regeneration, and groundwater recharge. However, the strong variability observed at the 3- and 6-month scales indicates the persistence of abrupt dry or wet episodes that may disrupt agricultural calendars, affect pastoral production, and damage infrastructure during periods of excessive rainfall.</w:t>
      </w:r>
      <w:r>
        <w:t xml:space="preserve"> </w:t>
      </w:r>
      <w:r w:rsidRPr="00914402">
        <w:t>Furthermore, the larger deviations observed in SPEI highlight the influence of thermal stress, which may offset the benefits of increased rainfall by intensifying evapotranspiration. Thus, despite an overall trend toward wetter conditions, local livelihoods remain vulnerable to intra-annual climate variability and hydroclimatic extremes.</w:t>
      </w:r>
    </w:p>
    <w:p w14:paraId="04BCCBB0" w14:textId="77777777" w:rsidR="00914402" w:rsidRDefault="00914402" w:rsidP="00914402">
      <w:pPr>
        <w:jc w:val="center"/>
      </w:pPr>
      <w:r w:rsidRPr="00B3231E">
        <w:rPr>
          <w:noProof/>
        </w:rPr>
        <w:lastRenderedPageBreak/>
        <w:drawing>
          <wp:inline distT="0" distB="0" distL="0" distR="0" wp14:anchorId="59DED33C" wp14:editId="545A9CC2">
            <wp:extent cx="5760720" cy="3225800"/>
            <wp:effectExtent l="0" t="0" r="0" b="0"/>
            <wp:docPr id="17022268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25800"/>
                    </a:xfrm>
                    <a:prstGeom prst="rect">
                      <a:avLst/>
                    </a:prstGeom>
                    <a:noFill/>
                    <a:ln>
                      <a:noFill/>
                    </a:ln>
                  </pic:spPr>
                </pic:pic>
              </a:graphicData>
            </a:graphic>
          </wp:inline>
        </w:drawing>
      </w:r>
    </w:p>
    <w:p w14:paraId="0E2CCFA3" w14:textId="4C092116" w:rsidR="00A349BE" w:rsidRDefault="00914402" w:rsidP="00914402">
      <w:pPr>
        <w:pStyle w:val="NormalWeb"/>
        <w:jc w:val="center"/>
      </w:pPr>
      <w:r w:rsidRPr="00914402">
        <w:rPr>
          <w:b/>
          <w:bCs/>
        </w:rPr>
        <w:t>Fig.13</w:t>
      </w:r>
      <w:r w:rsidRPr="00914402">
        <w:t>. Multi-scale hydroclimatic trends (SPI/SPEI) over the period 1995–2025.</w:t>
      </w:r>
    </w:p>
    <w:p w14:paraId="30B39E2B" w14:textId="77777777" w:rsidR="009F497E" w:rsidRPr="00B263D3" w:rsidRDefault="009F497E" w:rsidP="00B263D3">
      <w:pPr>
        <w:pStyle w:val="ListParagraph"/>
        <w:numPr>
          <w:ilvl w:val="0"/>
          <w:numId w:val="12"/>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Mann–Kendall (MK) and Pettitt Tests on SPI/SPEI (1995–2025)</w:t>
      </w:r>
    </w:p>
    <w:p w14:paraId="4002B3CB" w14:textId="7D7DB86B" w:rsidR="009F497E" w:rsidRDefault="009F497E" w:rsidP="00B263D3">
      <w:pPr>
        <w:spacing w:line="360" w:lineRule="auto"/>
        <w:jc w:val="both"/>
        <w:rPr>
          <w:rFonts w:ascii="Times New Roman" w:hAnsi="Times New Roman" w:cs="Times New Roman"/>
          <w:sz w:val="24"/>
          <w:szCs w:val="24"/>
        </w:rPr>
      </w:pPr>
      <w:r w:rsidRPr="009F497E">
        <w:rPr>
          <w:rFonts w:ascii="Times New Roman" w:hAnsi="Times New Roman" w:cs="Times New Roman"/>
          <w:sz w:val="24"/>
          <w:szCs w:val="24"/>
        </w:rPr>
        <w:t>The results of the Mann–Kendall (MK) test highlight highly significant positive trends in both SPI and SPEI at all temporal scales, indicating a gradual shift toward wetter conditions in the Diffa region. In addition, the Pettitt test identifies structural breaks in the hydroclimatic regime between 2010 and 2018, marking a notable change in rainfall and hydrological dynamics.</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From a socio-economic perspective, this reconfiguration may support agricultural production, pastoral resource availability, and groundwater recharge, while simultaneously increasing the exposure of territories to intense rainfall events and flooding risks. Furthermore, the divergence observed between SPI and SPEI highlights the influence of warming through evapotranspiration, which may partially offset the benefits associated with increased precipitation.</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Thus, despite an overall favorable trend, the detected variability and regime shifts imply significant adaptation challenges for local socio-economic systems.</w:t>
      </w:r>
    </w:p>
    <w:p w14:paraId="3B42603A" w14:textId="77777777" w:rsidR="00B263D3" w:rsidRDefault="00B263D3" w:rsidP="00B263D3">
      <w:pPr>
        <w:spacing w:line="360" w:lineRule="auto"/>
        <w:jc w:val="both"/>
        <w:rPr>
          <w:rFonts w:ascii="Times New Roman" w:hAnsi="Times New Roman" w:cs="Times New Roman"/>
          <w:sz w:val="24"/>
          <w:szCs w:val="24"/>
        </w:rPr>
      </w:pPr>
    </w:p>
    <w:p w14:paraId="49828096" w14:textId="77777777" w:rsidR="00B263D3" w:rsidRDefault="00B263D3" w:rsidP="00B263D3">
      <w:pPr>
        <w:spacing w:line="360" w:lineRule="auto"/>
        <w:jc w:val="both"/>
        <w:rPr>
          <w:rFonts w:ascii="Times New Roman" w:hAnsi="Times New Roman" w:cs="Times New Roman"/>
          <w:sz w:val="24"/>
          <w:szCs w:val="24"/>
        </w:rPr>
      </w:pPr>
    </w:p>
    <w:p w14:paraId="47FE344A" w14:textId="77777777" w:rsidR="00B263D3" w:rsidRDefault="00B263D3" w:rsidP="00B263D3">
      <w:pPr>
        <w:spacing w:line="360" w:lineRule="auto"/>
        <w:jc w:val="both"/>
        <w:rPr>
          <w:rFonts w:ascii="Times New Roman" w:hAnsi="Times New Roman" w:cs="Times New Roman"/>
          <w:sz w:val="24"/>
          <w:szCs w:val="24"/>
        </w:rPr>
      </w:pPr>
    </w:p>
    <w:p w14:paraId="7E9B18B4" w14:textId="77777777" w:rsidR="00B263D3" w:rsidRPr="00B263D3" w:rsidRDefault="00B263D3" w:rsidP="00B263D3">
      <w:pPr>
        <w:spacing w:line="360" w:lineRule="auto"/>
        <w:jc w:val="both"/>
        <w:rPr>
          <w:rFonts w:ascii="Times New Roman" w:hAnsi="Times New Roman" w:cs="Times New Roman"/>
          <w:sz w:val="24"/>
          <w:szCs w:val="24"/>
        </w:rPr>
      </w:pPr>
    </w:p>
    <w:p w14:paraId="4EFB7224" w14:textId="6A0661BE" w:rsidR="009F497E" w:rsidRPr="009F497E" w:rsidRDefault="009F497E" w:rsidP="00B263D3">
      <w:pPr>
        <w:spacing w:line="360" w:lineRule="auto"/>
        <w:rPr>
          <w:rFonts w:ascii="Times New Roman" w:hAnsi="Times New Roman" w:cs="Times New Roman"/>
          <w:sz w:val="24"/>
          <w:szCs w:val="24"/>
        </w:rPr>
      </w:pPr>
      <w:r w:rsidRPr="00B263D3">
        <w:rPr>
          <w:rFonts w:ascii="Times New Roman" w:hAnsi="Times New Roman" w:cs="Times New Roman"/>
          <w:b/>
          <w:bCs/>
          <w:sz w:val="24"/>
          <w:szCs w:val="24"/>
        </w:rPr>
        <w:lastRenderedPageBreak/>
        <w:t>Table 5:</w:t>
      </w:r>
      <w:r w:rsidRPr="00B263D3">
        <w:rPr>
          <w:rFonts w:ascii="Times New Roman" w:hAnsi="Times New Roman" w:cs="Times New Roman"/>
          <w:sz w:val="24"/>
          <w:szCs w:val="24"/>
        </w:rPr>
        <w:t xml:space="preserve"> Analysis of Hydroclimatic Trends and Breakpoints (Mann–Kendall and Pettitt Tests) – (1995–2025)</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1553"/>
        <w:gridCol w:w="1424"/>
        <w:gridCol w:w="1701"/>
        <w:gridCol w:w="1559"/>
        <w:gridCol w:w="1418"/>
      </w:tblGrid>
      <w:tr w:rsidR="009F497E" w:rsidRPr="00B263D3" w14:paraId="280161B1" w14:textId="77777777" w:rsidTr="009F497E">
        <w:trPr>
          <w:tblHeader/>
          <w:tblCellSpacing w:w="15" w:type="dxa"/>
          <w:jc w:val="center"/>
        </w:trPr>
        <w:tc>
          <w:tcPr>
            <w:tcW w:w="1231" w:type="dxa"/>
            <w:vAlign w:val="center"/>
            <w:hideMark/>
          </w:tcPr>
          <w:p w14:paraId="2743513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Index</w:t>
            </w:r>
          </w:p>
        </w:tc>
        <w:tc>
          <w:tcPr>
            <w:tcW w:w="1523" w:type="dxa"/>
            <w:vAlign w:val="center"/>
            <w:hideMark/>
          </w:tcPr>
          <w:p w14:paraId="5C8EDC3B"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Time Scale (months)</w:t>
            </w:r>
          </w:p>
        </w:tc>
        <w:tc>
          <w:tcPr>
            <w:tcW w:w="1394" w:type="dxa"/>
            <w:vAlign w:val="center"/>
            <w:hideMark/>
          </w:tcPr>
          <w:p w14:paraId="6FA3A0F1"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MK_tau</w:t>
            </w:r>
          </w:p>
        </w:tc>
        <w:tc>
          <w:tcPr>
            <w:tcW w:w="1671" w:type="dxa"/>
            <w:vAlign w:val="center"/>
            <w:hideMark/>
          </w:tcPr>
          <w:p w14:paraId="736231C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MK_pvalue</w:t>
            </w:r>
          </w:p>
        </w:tc>
        <w:tc>
          <w:tcPr>
            <w:tcW w:w="1529" w:type="dxa"/>
            <w:vAlign w:val="center"/>
            <w:hideMark/>
          </w:tcPr>
          <w:p w14:paraId="191BFB8E"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Pettitt_pvalue</w:t>
            </w:r>
          </w:p>
        </w:tc>
        <w:tc>
          <w:tcPr>
            <w:tcW w:w="1373" w:type="dxa"/>
            <w:vAlign w:val="center"/>
            <w:hideMark/>
          </w:tcPr>
          <w:p w14:paraId="618E37D9"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Break Year</w:t>
            </w:r>
          </w:p>
        </w:tc>
      </w:tr>
      <w:tr w:rsidR="009F497E" w:rsidRPr="00B263D3" w14:paraId="4E45E349" w14:textId="77777777" w:rsidTr="009F497E">
        <w:trPr>
          <w:tblCellSpacing w:w="15" w:type="dxa"/>
          <w:jc w:val="center"/>
        </w:trPr>
        <w:tc>
          <w:tcPr>
            <w:tcW w:w="1231" w:type="dxa"/>
            <w:vAlign w:val="center"/>
            <w:hideMark/>
          </w:tcPr>
          <w:p w14:paraId="580D7F5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18DA333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05EBE1A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0.122</w:t>
            </w:r>
          </w:p>
        </w:tc>
        <w:tc>
          <w:tcPr>
            <w:tcW w:w="1671" w:type="dxa"/>
            <w:vAlign w:val="center"/>
            <w:hideMark/>
          </w:tcPr>
          <w:p w14:paraId="453CBC9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5e-04</w:t>
            </w:r>
          </w:p>
        </w:tc>
        <w:tc>
          <w:tcPr>
            <w:tcW w:w="1529" w:type="dxa"/>
            <w:vAlign w:val="center"/>
            <w:hideMark/>
          </w:tcPr>
          <w:p w14:paraId="461C403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1e-04</w:t>
            </w:r>
          </w:p>
        </w:tc>
        <w:tc>
          <w:tcPr>
            <w:tcW w:w="1373" w:type="dxa"/>
            <w:vAlign w:val="center"/>
            <w:hideMark/>
          </w:tcPr>
          <w:p w14:paraId="44D8DA9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B755472" w14:textId="77777777" w:rsidTr="009F497E">
        <w:trPr>
          <w:tblCellSpacing w:w="15" w:type="dxa"/>
          <w:jc w:val="center"/>
        </w:trPr>
        <w:tc>
          <w:tcPr>
            <w:tcW w:w="1231" w:type="dxa"/>
            <w:vAlign w:val="center"/>
            <w:hideMark/>
          </w:tcPr>
          <w:p w14:paraId="6A2D55F6"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6847B487"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6</w:t>
            </w:r>
          </w:p>
        </w:tc>
        <w:tc>
          <w:tcPr>
            <w:tcW w:w="1394" w:type="dxa"/>
            <w:vAlign w:val="center"/>
            <w:hideMark/>
          </w:tcPr>
          <w:p w14:paraId="21E58A0B"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0.205</w:t>
            </w:r>
          </w:p>
        </w:tc>
        <w:tc>
          <w:tcPr>
            <w:tcW w:w="1671" w:type="dxa"/>
            <w:vAlign w:val="center"/>
            <w:hideMark/>
          </w:tcPr>
          <w:p w14:paraId="7DED8A2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CDA094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73A2E69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78D83A83" w14:textId="77777777" w:rsidTr="009F497E">
        <w:trPr>
          <w:tblCellSpacing w:w="15" w:type="dxa"/>
          <w:jc w:val="center"/>
        </w:trPr>
        <w:tc>
          <w:tcPr>
            <w:tcW w:w="1231" w:type="dxa"/>
            <w:vAlign w:val="center"/>
            <w:hideMark/>
          </w:tcPr>
          <w:p w14:paraId="6F3583BC"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730BB9D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12</w:t>
            </w:r>
          </w:p>
        </w:tc>
        <w:tc>
          <w:tcPr>
            <w:tcW w:w="1394" w:type="dxa"/>
            <w:vAlign w:val="center"/>
            <w:hideMark/>
          </w:tcPr>
          <w:p w14:paraId="23E5080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0.309</w:t>
            </w:r>
          </w:p>
        </w:tc>
        <w:tc>
          <w:tcPr>
            <w:tcW w:w="1671" w:type="dxa"/>
            <w:vAlign w:val="center"/>
            <w:hideMark/>
          </w:tcPr>
          <w:p w14:paraId="2470F04C"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BBF569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1669EDE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6921DA0" w14:textId="77777777" w:rsidTr="009F497E">
        <w:trPr>
          <w:tblCellSpacing w:w="15" w:type="dxa"/>
          <w:jc w:val="center"/>
        </w:trPr>
        <w:tc>
          <w:tcPr>
            <w:tcW w:w="1231" w:type="dxa"/>
            <w:vAlign w:val="center"/>
            <w:hideMark/>
          </w:tcPr>
          <w:p w14:paraId="1A49A90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SPI</w:t>
            </w:r>
          </w:p>
        </w:tc>
        <w:tc>
          <w:tcPr>
            <w:tcW w:w="1523" w:type="dxa"/>
            <w:vAlign w:val="center"/>
            <w:hideMark/>
          </w:tcPr>
          <w:p w14:paraId="16E5571E"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774BE5DF"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0.211</w:t>
            </w:r>
          </w:p>
        </w:tc>
        <w:tc>
          <w:tcPr>
            <w:tcW w:w="1671" w:type="dxa"/>
            <w:vAlign w:val="center"/>
            <w:hideMark/>
          </w:tcPr>
          <w:p w14:paraId="35BEA34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6D89EF91"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5FB890A6"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2018</w:t>
            </w:r>
          </w:p>
        </w:tc>
      </w:tr>
      <w:tr w:rsidR="009F497E" w:rsidRPr="009F497E" w14:paraId="7718E4D0" w14:textId="77777777" w:rsidTr="009F497E">
        <w:trPr>
          <w:tblCellSpacing w:w="15" w:type="dxa"/>
          <w:jc w:val="center"/>
        </w:trPr>
        <w:tc>
          <w:tcPr>
            <w:tcW w:w="1231" w:type="dxa"/>
            <w:vAlign w:val="center"/>
            <w:hideMark/>
          </w:tcPr>
          <w:p w14:paraId="6E875D7C"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5A1A607F"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6</w:t>
            </w:r>
          </w:p>
        </w:tc>
        <w:tc>
          <w:tcPr>
            <w:tcW w:w="1394" w:type="dxa"/>
            <w:vAlign w:val="center"/>
            <w:hideMark/>
          </w:tcPr>
          <w:p w14:paraId="40F4CB1E"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0.292</w:t>
            </w:r>
          </w:p>
        </w:tc>
        <w:tc>
          <w:tcPr>
            <w:tcW w:w="1671" w:type="dxa"/>
            <w:vAlign w:val="center"/>
            <w:hideMark/>
          </w:tcPr>
          <w:p w14:paraId="0A2115B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324AE2D3"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7DEC8E3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r w:rsidR="009F497E" w:rsidRPr="009F497E" w14:paraId="304D7825" w14:textId="77777777" w:rsidTr="009F497E">
        <w:trPr>
          <w:tblCellSpacing w:w="15" w:type="dxa"/>
          <w:jc w:val="center"/>
        </w:trPr>
        <w:tc>
          <w:tcPr>
            <w:tcW w:w="1231" w:type="dxa"/>
            <w:vAlign w:val="center"/>
            <w:hideMark/>
          </w:tcPr>
          <w:p w14:paraId="110F041D"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081D8C7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12</w:t>
            </w:r>
          </w:p>
        </w:tc>
        <w:tc>
          <w:tcPr>
            <w:tcW w:w="1394" w:type="dxa"/>
            <w:vAlign w:val="center"/>
            <w:hideMark/>
          </w:tcPr>
          <w:p w14:paraId="70A1EF4A"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0.497</w:t>
            </w:r>
          </w:p>
        </w:tc>
        <w:tc>
          <w:tcPr>
            <w:tcW w:w="1671" w:type="dxa"/>
            <w:vAlign w:val="center"/>
            <w:hideMark/>
          </w:tcPr>
          <w:p w14:paraId="0F65F015"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54B8156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35198D46"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bl>
    <w:p w14:paraId="67CA389B" w14:textId="77777777" w:rsidR="00CD5A4C" w:rsidRDefault="00CD5A4C" w:rsidP="00A349BE"/>
    <w:p w14:paraId="3902DB9F" w14:textId="77777777" w:rsidR="00B263D3" w:rsidRDefault="00B263D3" w:rsidP="00A349BE"/>
    <w:p w14:paraId="2AA1EDAF" w14:textId="77777777" w:rsidR="00B263D3" w:rsidRDefault="00B263D3" w:rsidP="00A349BE"/>
    <w:p w14:paraId="1934BE9C" w14:textId="77777777" w:rsidR="00B263D3" w:rsidRDefault="00B263D3" w:rsidP="00A349BE"/>
    <w:p w14:paraId="520270E0" w14:textId="77777777" w:rsidR="00B263D3" w:rsidRDefault="00B263D3" w:rsidP="00A349BE"/>
    <w:p w14:paraId="22CF17BA" w14:textId="77777777" w:rsidR="00B263D3" w:rsidRDefault="00B263D3" w:rsidP="00A349BE"/>
    <w:p w14:paraId="63F508B5" w14:textId="77777777" w:rsidR="00B263D3" w:rsidRDefault="00B263D3" w:rsidP="00A349BE"/>
    <w:p w14:paraId="41F015A2" w14:textId="77777777" w:rsidR="00B263D3" w:rsidRDefault="00B263D3" w:rsidP="00A349BE"/>
    <w:p w14:paraId="291803FA" w14:textId="77777777" w:rsidR="00B263D3" w:rsidRDefault="00B263D3" w:rsidP="00A349BE"/>
    <w:p w14:paraId="2C33F48A" w14:textId="77777777" w:rsidR="00B263D3" w:rsidRDefault="00B263D3" w:rsidP="00A349BE"/>
    <w:p w14:paraId="0836F0B9" w14:textId="77777777" w:rsidR="00B263D3" w:rsidRDefault="00B263D3" w:rsidP="00A349BE"/>
    <w:p w14:paraId="0E2D54D9" w14:textId="77777777" w:rsidR="00B263D3" w:rsidRDefault="00B263D3" w:rsidP="00A349BE"/>
    <w:p w14:paraId="77D258F3" w14:textId="77777777" w:rsidR="00B263D3" w:rsidRDefault="00B263D3" w:rsidP="00A349BE"/>
    <w:p w14:paraId="5A2FCBF2" w14:textId="77777777" w:rsidR="00B263D3" w:rsidRDefault="00B263D3" w:rsidP="00A349BE">
      <w:bookmarkStart w:id="0" w:name="_GoBack"/>
      <w:bookmarkEnd w:id="0"/>
    </w:p>
    <w:p w14:paraId="5480C09A" w14:textId="77777777" w:rsidR="00B263D3" w:rsidRDefault="00B263D3" w:rsidP="00A349BE"/>
    <w:p w14:paraId="755371A2" w14:textId="77777777" w:rsidR="00B263D3" w:rsidRDefault="00B263D3" w:rsidP="00A349BE"/>
    <w:p w14:paraId="081FEE52" w14:textId="77777777" w:rsidR="00B263D3" w:rsidRDefault="00B263D3" w:rsidP="00A349BE"/>
    <w:p w14:paraId="2D027A94" w14:textId="77777777" w:rsidR="00B263D3" w:rsidRDefault="00B263D3" w:rsidP="00A349BE"/>
    <w:p w14:paraId="56C0F0F6" w14:textId="77777777" w:rsidR="00B263D3" w:rsidRDefault="00B263D3" w:rsidP="00A349BE"/>
    <w:p w14:paraId="7B11D866" w14:textId="77777777" w:rsidR="00B263D3" w:rsidRDefault="00B263D3" w:rsidP="00A349BE"/>
    <w:p w14:paraId="618CCF9E" w14:textId="7A6444B3"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lastRenderedPageBreak/>
        <w:t>DISCUSSION</w:t>
      </w:r>
    </w:p>
    <w:p w14:paraId="05F0BA45" w14:textId="40F85EC2" w:rsidR="00CD5A4C" w:rsidRP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 predominance of agriculture in the studied sites confirms the strong structural dependence of Sahelian households on rainfed systems, which are highly exposed to hydroclimatic variability (Hamer et al., 2025). This dependence increases the sensitivity of household income and food security to seasonal fluctuations. Livestock farming, often practiced by women, plays a strategic role in livelihood diversification and acts as a buffer against agricultural shocks (Slayi et al., 2023), while trade and fishing remain secondary activities, constrained by limited market access and weak economic structuring (OECD/CSAO, 2025). This socio-economic configuration reinforces the systemic vulnerability of households to climate hazards.</w:t>
      </w:r>
      <w:r w:rsidRPr="00B263D3">
        <w:rPr>
          <w:rFonts w:ascii="Times New Roman" w:hAnsi="Times New Roman" w:cs="Times New Roman"/>
          <w:sz w:val="24"/>
          <w:szCs w:val="24"/>
        </w:rPr>
        <w:t xml:space="preserve"> </w:t>
      </w:r>
      <w:r w:rsidRPr="00CD5A4C">
        <w:rPr>
          <w:rFonts w:ascii="Times New Roman" w:hAnsi="Times New Roman" w:cs="Times New Roman"/>
          <w:sz w:val="24"/>
          <w:szCs w:val="24"/>
        </w:rPr>
        <w:t xml:space="preserve">Community perceptions—rising temperatures, irregular rainfall, and increasing intense events—are consistent with the findings of the Intergovernmental Panel on Climate Change (2021), which highlights the growing frequency of climate extremes in West Africa. Several recent studies (Sanogo et al., </w:t>
      </w:r>
      <w:r w:rsidR="00B263D3" w:rsidRPr="00CD5A4C">
        <w:rPr>
          <w:rFonts w:ascii="Times New Roman" w:hAnsi="Times New Roman" w:cs="Times New Roman"/>
          <w:sz w:val="24"/>
          <w:szCs w:val="24"/>
        </w:rPr>
        <w:t>2022 ;</w:t>
      </w:r>
      <w:r w:rsidRPr="00CD5A4C">
        <w:rPr>
          <w:rFonts w:ascii="Times New Roman" w:hAnsi="Times New Roman" w:cs="Times New Roman"/>
          <w:sz w:val="24"/>
          <w:szCs w:val="24"/>
        </w:rPr>
        <w:t xml:space="preserve"> Ouédraogo et al., 2023) confirm increasing disruptions in agricultural calendars, while Sultan et al. (2019) and Roudier et al. (2020) emphasize yield declines linked to water and heat stress. The predominance of perceptions related to delayed and reduced rainfall underscores the central role of rainfall variability in weakening production systems.</w:t>
      </w:r>
      <w:r w:rsidRPr="00B263D3">
        <w:rPr>
          <w:rFonts w:ascii="Times New Roman" w:hAnsi="Times New Roman" w:cs="Times New Roman"/>
          <w:sz w:val="24"/>
          <w:szCs w:val="24"/>
        </w:rPr>
        <w:t xml:space="preserve"> </w:t>
      </w:r>
      <w:r w:rsidRPr="00CD5A4C">
        <w:rPr>
          <w:rFonts w:ascii="Times New Roman" w:hAnsi="Times New Roman" w:cs="Times New Roman"/>
          <w:sz w:val="24"/>
          <w:szCs w:val="24"/>
        </w:rPr>
        <w:t xml:space="preserve">The observed adaptation strategies—reduction of herd size, diversification of fodder resources, adoption of drought-tolerant varieties, phytosanitary control, and environmental restoration—mainly reflect reactive and short-term responses. These strategies fall within an incremental adaptation framework, often constrained by financial and institutional limitations (FAO, </w:t>
      </w:r>
      <w:r w:rsidR="00B263D3" w:rsidRPr="00CD5A4C">
        <w:rPr>
          <w:rFonts w:ascii="Times New Roman" w:hAnsi="Times New Roman" w:cs="Times New Roman"/>
          <w:sz w:val="24"/>
          <w:szCs w:val="24"/>
        </w:rPr>
        <w:t>2021 ;</w:t>
      </w:r>
      <w:r w:rsidRPr="00CD5A4C">
        <w:rPr>
          <w:rFonts w:ascii="Times New Roman" w:hAnsi="Times New Roman" w:cs="Times New Roman"/>
          <w:sz w:val="24"/>
          <w:szCs w:val="24"/>
        </w:rPr>
        <w:t xml:space="preserve"> IPCC, 2022), yet consistent with agroecological approaches recommended to strengthen local resilience (Abid et al., </w:t>
      </w:r>
      <w:r w:rsidR="00B263D3" w:rsidRPr="00CD5A4C">
        <w:rPr>
          <w:rFonts w:ascii="Times New Roman" w:hAnsi="Times New Roman" w:cs="Times New Roman"/>
          <w:sz w:val="24"/>
          <w:szCs w:val="24"/>
        </w:rPr>
        <w:t>2020 ;</w:t>
      </w:r>
      <w:r w:rsidRPr="00CD5A4C">
        <w:rPr>
          <w:rFonts w:ascii="Times New Roman" w:hAnsi="Times New Roman" w:cs="Times New Roman"/>
          <w:sz w:val="24"/>
          <w:szCs w:val="24"/>
        </w:rPr>
        <w:t xml:space="preserve"> Ouédraogo et al., 2021).</w:t>
      </w:r>
      <w:r w:rsidRPr="00B263D3">
        <w:rPr>
          <w:rFonts w:ascii="Times New Roman" w:hAnsi="Times New Roman" w:cs="Times New Roman"/>
          <w:sz w:val="24"/>
          <w:szCs w:val="24"/>
        </w:rPr>
        <w:t xml:space="preserve"> </w:t>
      </w:r>
      <w:r w:rsidRPr="00CD5A4C">
        <w:rPr>
          <w:rFonts w:ascii="Times New Roman" w:hAnsi="Times New Roman" w:cs="Times New Roman"/>
          <w:sz w:val="24"/>
          <w:szCs w:val="24"/>
        </w:rPr>
        <w:t xml:space="preserve">Extreme climate indices confirm the intensification of environmental constraints. The high values of TX90p (41.88 °C) and TN90 (27.36 °C) indicate an increase in both daytime and nighttime heat extremes, consistent with regional projections showing a higher frequency of heat waves in West Africa (Odunmorayo et al., </w:t>
      </w:r>
      <w:r w:rsidR="00B263D3" w:rsidRPr="00CD5A4C">
        <w:rPr>
          <w:rFonts w:ascii="Times New Roman" w:hAnsi="Times New Roman" w:cs="Times New Roman"/>
          <w:sz w:val="24"/>
          <w:szCs w:val="24"/>
        </w:rPr>
        <w:t>2025 ;</w:t>
      </w:r>
      <w:r w:rsidRPr="00CD5A4C">
        <w:rPr>
          <w:rFonts w:ascii="Times New Roman" w:hAnsi="Times New Roman" w:cs="Times New Roman"/>
          <w:sz w:val="24"/>
          <w:szCs w:val="24"/>
        </w:rPr>
        <w:t xml:space="preserve"> Siabi et al., 2024). This </w:t>
      </w:r>
      <w:r w:rsidR="00B263D3" w:rsidRPr="00CD5A4C">
        <w:rPr>
          <w:rFonts w:ascii="Times New Roman" w:hAnsi="Times New Roman" w:cs="Times New Roman"/>
          <w:sz w:val="24"/>
          <w:szCs w:val="24"/>
        </w:rPr>
        <w:t>persiste</w:t>
      </w:r>
      <w:r w:rsidRPr="00CD5A4C">
        <w:rPr>
          <w:rFonts w:ascii="Times New Roman" w:hAnsi="Times New Roman" w:cs="Times New Roman"/>
          <w:sz w:val="24"/>
          <w:szCs w:val="24"/>
        </w:rPr>
        <w:t xml:space="preserve"> heat increases crop water stress, affects livestock productivity, and raises health risks. Furthermore, the R95 index (10.43 mm) highlights a rainfall regime characterized by infrequent but intense precipitation events, consistent with the observations of Aryee et al. (2024) and recent analyses published in </w:t>
      </w:r>
      <w:r w:rsidRPr="00CD5A4C">
        <w:rPr>
          <w:rFonts w:ascii="Times New Roman" w:hAnsi="Times New Roman" w:cs="Times New Roman"/>
          <w:i/>
          <w:iCs/>
          <w:sz w:val="24"/>
          <w:szCs w:val="24"/>
        </w:rPr>
        <w:t>Theoretical and Applied Climatology</w:t>
      </w:r>
      <w:r w:rsidRPr="00CD5A4C">
        <w:rPr>
          <w:rFonts w:ascii="Times New Roman" w:hAnsi="Times New Roman" w:cs="Times New Roman"/>
          <w:sz w:val="24"/>
          <w:szCs w:val="24"/>
        </w:rPr>
        <w:t xml:space="preserve"> (2025), which emphasize an increasing concentration of rainfall and a higher risk of flooding in the Sahel.</w:t>
      </w:r>
      <w:r w:rsidRPr="00B263D3">
        <w:rPr>
          <w:rFonts w:ascii="Times New Roman" w:hAnsi="Times New Roman" w:cs="Times New Roman"/>
          <w:sz w:val="24"/>
          <w:szCs w:val="24"/>
        </w:rPr>
        <w:t xml:space="preserve"> </w:t>
      </w:r>
      <w:r w:rsidRPr="00CD5A4C">
        <w:rPr>
          <w:rFonts w:ascii="Times New Roman" w:hAnsi="Times New Roman" w:cs="Times New Roman"/>
          <w:sz w:val="24"/>
          <w:szCs w:val="24"/>
        </w:rPr>
        <w:t xml:space="preserve">The multi-scale analysis of SPI and SPEI in Diffa, through the Mann–Kendall and Pettitt tests, reveals a transition toward wetter conditions after the early 2010s, accompanied by structural breaks in the hydroclimatic regime. This </w:t>
      </w:r>
      <w:r w:rsidRPr="00CD5A4C">
        <w:rPr>
          <w:rFonts w:ascii="Times New Roman" w:hAnsi="Times New Roman" w:cs="Times New Roman"/>
          <w:sz w:val="24"/>
          <w:szCs w:val="24"/>
        </w:rPr>
        <w:lastRenderedPageBreak/>
        <w:t>evolution suggests a relative hydrological recovery, potentially favorable for rainfed agriculture and the recharge of water resources. However, the divergence between SPI and SPEI highlights the growing influence of atmospheric evaporative demand, indicating that warming may offset the benefits of increased rainfall. Thus, despite an overall wetter trend, the intensification of extremes and intra-seasonal variability continues to maintain high vulnerability in agropastoral systems, situating these results within a broader regional dynamic of warming and increasing hydroclimatic instability.</w:t>
      </w:r>
    </w:p>
    <w:p w14:paraId="74CB247A" w14:textId="3BF7FDC0"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CONCLUSION</w:t>
      </w:r>
    </w:p>
    <w:p w14:paraId="30435BB3" w14:textId="77777777" w:rsidR="00CD5A4C" w:rsidRP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 results highlight a significant evolution of the hydroclimatic regime in the Diffa region, characterized by positive trends detected by the Mann–Kendall test and structural breaks confirmed by the Pettitt test. The combined analysis of the SPI and SPEI indices reveals increased rainfall variability and an intensification of thermal extremes, with a more pronounced signal at the annual scale. The consistency between instrumental observations and community perceptions strengthens the robustness of the findings and confirms the existence of a recent hydroclimatic change.</w:t>
      </w:r>
    </w:p>
    <w:p w14:paraId="2321B3C7" w14:textId="3EDABF17" w:rsidR="00CD5A4C" w:rsidRPr="00B263D3"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These dynamics reflect a reconfiguration of the regional climate regime, which may durably affect the functioning of agropastoral systems. Therefore, the integration of multi-scale statistical analyses and socio-empirical approaches appears essential for a comprehensive understanding of climate trajectories and their territorial implications</w:t>
      </w:r>
      <w:r w:rsidR="00B263D3" w:rsidRPr="00B263D3">
        <w:rPr>
          <w:rFonts w:ascii="Times New Roman" w:hAnsi="Times New Roman" w:cs="Times New Roman"/>
          <w:sz w:val="24"/>
          <w:szCs w:val="24"/>
        </w:rPr>
        <w:t>.</w:t>
      </w:r>
    </w:p>
    <w:p w14:paraId="1AE4C737" w14:textId="77777777" w:rsidR="00B263D3" w:rsidRDefault="00B263D3" w:rsidP="00CD5A4C"/>
    <w:p w14:paraId="0B72A186" w14:textId="77777777" w:rsidR="00B263D3" w:rsidRDefault="00B263D3" w:rsidP="00CD5A4C"/>
    <w:p w14:paraId="113B1930" w14:textId="77777777" w:rsidR="00B263D3" w:rsidRDefault="00B263D3" w:rsidP="00CD5A4C"/>
    <w:p w14:paraId="370041F4" w14:textId="77777777" w:rsidR="00B263D3" w:rsidRDefault="00B263D3" w:rsidP="00CD5A4C"/>
    <w:p w14:paraId="2FA88F3D" w14:textId="77777777" w:rsidR="00B263D3" w:rsidRDefault="00B263D3" w:rsidP="00CD5A4C"/>
    <w:p w14:paraId="3F2012EB" w14:textId="77777777" w:rsidR="00B263D3" w:rsidRDefault="00B263D3" w:rsidP="00CD5A4C"/>
    <w:p w14:paraId="4BC81E6C" w14:textId="77777777" w:rsidR="00B263D3" w:rsidRDefault="00B263D3" w:rsidP="00CD5A4C"/>
    <w:p w14:paraId="671D1C35" w14:textId="77777777" w:rsidR="00B263D3" w:rsidRDefault="00B263D3" w:rsidP="00CD5A4C"/>
    <w:p w14:paraId="60D99349" w14:textId="77777777" w:rsidR="00B263D3" w:rsidRDefault="00B263D3" w:rsidP="00CD5A4C"/>
    <w:p w14:paraId="53CBAB75" w14:textId="77777777" w:rsidR="00B263D3" w:rsidRDefault="00B263D3" w:rsidP="00CD5A4C"/>
    <w:p w14:paraId="7669B2C2" w14:textId="77777777" w:rsidR="00B263D3" w:rsidRDefault="00B263D3" w:rsidP="00CD5A4C"/>
    <w:p w14:paraId="2002E086" w14:textId="77777777" w:rsidR="00B263D3" w:rsidRPr="00CD5A4C" w:rsidRDefault="00B263D3" w:rsidP="00CD5A4C"/>
    <w:p w14:paraId="7BB7D400" w14:textId="160D1283"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lastRenderedPageBreak/>
        <w:t>BIBLIOGRAPHIC REFERENCES</w:t>
      </w:r>
    </w:p>
    <w:p w14:paraId="564D0074"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Abid, M., Scheffran, J., Schneider, U. A., &amp; Elahi, E. (2020). Farmer perceptions of climate change, observed trends and adaptation of agriculture in Pakistan. </w:t>
      </w:r>
      <w:r w:rsidRPr="00B263D3">
        <w:rPr>
          <w:rFonts w:ascii="Times New Roman" w:hAnsi="Times New Roman" w:cs="Times New Roman"/>
          <w:i/>
          <w:iCs/>
          <w:sz w:val="24"/>
          <w:szCs w:val="24"/>
        </w:rPr>
        <w:t>Environmental Management, 63</w:t>
      </w:r>
      <w:r w:rsidRPr="00B263D3">
        <w:rPr>
          <w:rFonts w:ascii="Times New Roman" w:hAnsi="Times New Roman" w:cs="Times New Roman"/>
          <w:sz w:val="24"/>
          <w:szCs w:val="24"/>
        </w:rPr>
        <w:t xml:space="preserve">(1), 110–123. </w:t>
      </w:r>
      <w:hyperlink r:id="rId23" w:tgtFrame="_new" w:history="1">
        <w:r w:rsidRPr="00B263D3">
          <w:rPr>
            <w:rStyle w:val="Hyperlink"/>
            <w:rFonts w:ascii="Times New Roman" w:hAnsi="Times New Roman" w:cs="Times New Roman"/>
            <w:sz w:val="24"/>
            <w:szCs w:val="24"/>
          </w:rPr>
          <w:t>https://doi.org/10.1007/s00267-018-1113-7</w:t>
        </w:r>
      </w:hyperlink>
    </w:p>
    <w:p w14:paraId="6317571A"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Afrobarometer. (2022). </w:t>
      </w:r>
      <w:r w:rsidRPr="00B263D3">
        <w:rPr>
          <w:rFonts w:ascii="Times New Roman" w:hAnsi="Times New Roman" w:cs="Times New Roman"/>
          <w:i/>
          <w:iCs/>
          <w:sz w:val="24"/>
          <w:szCs w:val="24"/>
        </w:rPr>
        <w:t>Les Africains et le changement climatique : perceptions, impacts et adaptation</w:t>
      </w:r>
      <w:r w:rsidRPr="00B263D3">
        <w:rPr>
          <w:rFonts w:ascii="Times New Roman" w:hAnsi="Times New Roman" w:cs="Times New Roman"/>
          <w:sz w:val="24"/>
          <w:szCs w:val="24"/>
        </w:rPr>
        <w:t xml:space="preserve"> (Policy Paper No. 97). Accra, Ghana. 24p.</w:t>
      </w:r>
    </w:p>
    <w:p w14:paraId="11756F0B" w14:textId="77777777" w:rsidR="00CD5A4C" w:rsidRPr="00B263D3" w:rsidRDefault="00CD5A4C" w:rsidP="00B263D3">
      <w:pPr>
        <w:pStyle w:val="NormalWeb"/>
        <w:numPr>
          <w:ilvl w:val="0"/>
          <w:numId w:val="13"/>
        </w:numPr>
        <w:spacing w:line="360" w:lineRule="auto"/>
      </w:pPr>
      <w:r w:rsidRPr="00B263D3">
        <w:t xml:space="preserve">Aryee, J. N. A., Afrifa, F. O. T., Agyapong, K.-H., Gyau Frimpong, N. A., Quagraine, K. T., &amp; Davies, P. (2024). Quantifying climatic heavy-precipitation-induced floods in West Africa using multiple precipitation indices. </w:t>
      </w:r>
      <w:r w:rsidRPr="00B263D3">
        <w:rPr>
          <w:rStyle w:val="Emphasis"/>
          <w:rFonts w:eastAsiaTheme="majorEastAsia"/>
        </w:rPr>
        <w:t>Scientific African, 25</w:t>
      </w:r>
      <w:r w:rsidRPr="00B263D3">
        <w:t>, e02309.    https://doi.org/10.1016/j.sciaf.2024.e02309</w:t>
      </w:r>
    </w:p>
    <w:p w14:paraId="6131B05E"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Ayal, D. Y., Leal Filho, W., &amp; Biesbroek, R. (2021).</w:t>
      </w:r>
      <w:r w:rsidRPr="00B263D3">
        <w:t xml:space="preserve"> Determinants of climate change perception and adaptation strategies in Sub-Saharan Africa. </w:t>
      </w:r>
      <w:r w:rsidRPr="00B263D3">
        <w:rPr>
          <w:rStyle w:val="Emphasis"/>
          <w:rFonts w:eastAsiaTheme="majorEastAsia"/>
        </w:rPr>
        <w:t>Climate Risk Management, 32</w:t>
      </w:r>
      <w:r w:rsidRPr="00B263D3">
        <w:t xml:space="preserve">, 100300. 12 pages.   </w:t>
      </w:r>
      <w:hyperlink r:id="rId24" w:history="1">
        <w:r w:rsidRPr="00B263D3">
          <w:rPr>
            <w:rStyle w:val="Hyperlink"/>
            <w:rFonts w:eastAsiaTheme="majorEastAsia"/>
          </w:rPr>
          <w:t>https://doi.org/10.1016/j.crm.2021.100300</w:t>
        </w:r>
      </w:hyperlink>
    </w:p>
    <w:p w14:paraId="4A47E8E7"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Dosio, A., Jones, R. G., Jack, C., Lennard, C., Nikulin, G., &amp; Hewitson, B. (2021).</w:t>
      </w:r>
      <w:r w:rsidRPr="00B263D3">
        <w:t xml:space="preserve"> Projected future temperature and precipitation extremes over Africa. </w:t>
      </w:r>
      <w:r w:rsidRPr="00B263D3">
        <w:rPr>
          <w:rStyle w:val="Emphasis"/>
          <w:rFonts w:eastAsiaTheme="majorEastAsia"/>
        </w:rPr>
        <w:t>Earth’s Future, 9</w:t>
      </w:r>
      <w:r w:rsidRPr="00B263D3">
        <w:t xml:space="preserve">(11), e2021EF002092. 18 pages.  </w:t>
      </w:r>
      <w:hyperlink r:id="rId25" w:history="1">
        <w:r w:rsidRPr="00B263D3">
          <w:rPr>
            <w:rStyle w:val="Hyperlink"/>
          </w:rPr>
          <w:t>https://doi.org/10.1029/2021EF002092</w:t>
        </w:r>
      </w:hyperlink>
    </w:p>
    <w:p w14:paraId="43BECF31"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FAO. (2021). </w:t>
      </w:r>
      <w:r w:rsidRPr="00B263D3">
        <w:rPr>
          <w:rFonts w:ascii="Times New Roman" w:hAnsi="Times New Roman" w:cs="Times New Roman"/>
          <w:i/>
          <w:iCs/>
          <w:sz w:val="24"/>
          <w:szCs w:val="24"/>
        </w:rPr>
        <w:t>Pastoralism and climate change in the Sahel</w:t>
      </w:r>
      <w:r w:rsidRPr="00B263D3">
        <w:rPr>
          <w:rFonts w:ascii="Times New Roman" w:hAnsi="Times New Roman" w:cs="Times New Roman"/>
          <w:sz w:val="24"/>
          <w:szCs w:val="24"/>
        </w:rPr>
        <w:t>. Rome: Food and Agriculture Organization of the United Nations. 24p.</w:t>
      </w:r>
    </w:p>
    <w:p w14:paraId="0A1F6C83"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Intergovernmental Panel on Climate Change (2023). </w:t>
      </w:r>
      <w:r w:rsidRPr="00B263D3">
        <w:rPr>
          <w:rFonts w:ascii="Times New Roman" w:hAnsi="Times New Roman" w:cs="Times New Roman"/>
          <w:i/>
          <w:iCs/>
          <w:sz w:val="24"/>
          <w:szCs w:val="24"/>
        </w:rPr>
        <w:t>Climate Change 2023: Synthesis Report. Contribution of Working Groups I, II and III to the Sixth Assessment Report (AR6).</w:t>
      </w:r>
      <w:r w:rsidRPr="00B263D3">
        <w:rPr>
          <w:rFonts w:ascii="Times New Roman" w:hAnsi="Times New Roman" w:cs="Times New Roman"/>
          <w:sz w:val="24"/>
          <w:szCs w:val="24"/>
        </w:rPr>
        <w:t xml:space="preserve"> IPCC.</w:t>
      </w:r>
    </w:p>
    <w:p w14:paraId="72928BAB"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IPCC. (2022). </w:t>
      </w:r>
      <w:r w:rsidRPr="00B263D3">
        <w:rPr>
          <w:rFonts w:ascii="Times New Roman" w:hAnsi="Times New Roman" w:cs="Times New Roman"/>
          <w:i/>
          <w:iCs/>
          <w:sz w:val="24"/>
          <w:szCs w:val="24"/>
        </w:rPr>
        <w:t>Climate Change 2022: Impacts, Adaptation and Vulnerability</w:t>
      </w:r>
      <w:r w:rsidRPr="00B263D3">
        <w:rPr>
          <w:rFonts w:ascii="Times New Roman" w:hAnsi="Times New Roman" w:cs="Times New Roman"/>
          <w:sz w:val="24"/>
          <w:szCs w:val="24"/>
        </w:rPr>
        <w:t>. Contribution of Working Group II to the Sixth Assessment Report. Cambridge: Cambridge University Press. 3949p.</w:t>
      </w:r>
    </w:p>
    <w:p w14:paraId="7B051428"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Issa, S., Moussa, I. B., &amp; Soumana, I. (2022).</w:t>
      </w:r>
      <w:r w:rsidRPr="00B263D3">
        <w:t xml:space="preserve"> Farmers’ perception of climate variability and adaptation strategies in Niger. </w:t>
      </w:r>
      <w:r w:rsidRPr="00B263D3">
        <w:rPr>
          <w:rStyle w:val="Emphasis"/>
          <w:rFonts w:eastAsiaTheme="majorEastAsia"/>
        </w:rPr>
        <w:t>Sustainability, 14</w:t>
      </w:r>
      <w:r w:rsidRPr="00B263D3">
        <w:t>(9), 5432. 16 pages.</w:t>
      </w:r>
      <w:r w:rsidRPr="00B263D3">
        <w:br/>
        <w:t>https://doi.org/10.3390/su14095432</w:t>
      </w:r>
    </w:p>
    <w:p w14:paraId="0CE3383F"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Masson-Delmotte, V., Zhai, P., Pirani, A., et al. (2021).</w:t>
      </w:r>
      <w:r w:rsidRPr="00B263D3">
        <w:t xml:space="preserve"> Climate change 2021: The physical science basis. </w:t>
      </w:r>
      <w:r w:rsidRPr="00B263D3">
        <w:rPr>
          <w:rStyle w:val="Emphasis"/>
          <w:rFonts w:eastAsiaTheme="majorEastAsia"/>
        </w:rPr>
        <w:t>Climate Dynamics, 58</w:t>
      </w:r>
      <w:r w:rsidRPr="00B263D3">
        <w:t>, 1–34. 34 pages.</w:t>
      </w:r>
      <w:r w:rsidRPr="00B263D3">
        <w:br/>
        <w:t>https://doi.org/10.1007/s00382-021-06060-1</w:t>
      </w:r>
    </w:p>
    <w:p w14:paraId="03F18A27"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OCDE / CSAO. (2025). </w:t>
      </w:r>
      <w:r w:rsidRPr="00B263D3">
        <w:rPr>
          <w:rFonts w:ascii="Times New Roman" w:hAnsi="Times New Roman" w:cs="Times New Roman"/>
          <w:i/>
          <w:iCs/>
          <w:sz w:val="24"/>
          <w:szCs w:val="24"/>
        </w:rPr>
        <w:t>Commerce et diversification des moyens d’existence en Afrique de l’Ouest</w:t>
      </w:r>
      <w:r w:rsidRPr="00B263D3">
        <w:rPr>
          <w:rFonts w:ascii="Times New Roman" w:hAnsi="Times New Roman" w:cs="Times New Roman"/>
          <w:sz w:val="24"/>
          <w:szCs w:val="24"/>
        </w:rPr>
        <w:t>. Paris: OCDE. 138p.</w:t>
      </w:r>
    </w:p>
    <w:p w14:paraId="644DB5A9" w14:textId="77777777" w:rsidR="00CD5A4C" w:rsidRPr="00B263D3" w:rsidRDefault="00CD5A4C" w:rsidP="00B263D3">
      <w:pPr>
        <w:pStyle w:val="NormalWeb"/>
        <w:numPr>
          <w:ilvl w:val="0"/>
          <w:numId w:val="13"/>
        </w:numPr>
        <w:spacing w:line="360" w:lineRule="auto"/>
      </w:pPr>
      <w:r w:rsidRPr="00B263D3">
        <w:lastRenderedPageBreak/>
        <w:t xml:space="preserve">Odunmorayo, M. T., Alani, B. O., &amp; Adefisan, E. A. (2025). Projected change in occurrence and severity of heatwaves over West Africa as simulated by CMIP6 models. </w:t>
      </w:r>
      <w:r w:rsidRPr="00B263D3">
        <w:rPr>
          <w:rStyle w:val="Emphasis"/>
          <w:rFonts w:eastAsiaTheme="majorEastAsia"/>
        </w:rPr>
        <w:t>Journal of Disaster Science and Management, 1</w:t>
      </w:r>
      <w:r w:rsidRPr="00B263D3">
        <w:t>, Article 16. https://doi.org/10.1007/s44367-025-00017-z</w:t>
      </w:r>
    </w:p>
    <w:p w14:paraId="143EF6C7"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Okpara, U. T., Stringer, L. C., &amp; Dougill, A. J. (2021).</w:t>
      </w:r>
      <w:r w:rsidRPr="00B263D3">
        <w:t xml:space="preserve"> Climate variability and socio-ecological vulnerability in the Lake Chad Basin. </w:t>
      </w:r>
      <w:r w:rsidRPr="00B263D3">
        <w:rPr>
          <w:rStyle w:val="Emphasis"/>
          <w:rFonts w:eastAsiaTheme="majorEastAsia"/>
        </w:rPr>
        <w:t>Regional Environmental Change, 21</w:t>
      </w:r>
      <w:r w:rsidRPr="00B263D3">
        <w:t>, 85. 14 pages.    https://doi.org/10.1007/s10113-021-01800-9</w:t>
      </w:r>
    </w:p>
    <w:p w14:paraId="4E8DF6BA" w14:textId="77777777" w:rsidR="00CD5A4C" w:rsidRPr="00B263D3" w:rsidRDefault="00CD5A4C" w:rsidP="00B263D3">
      <w:pPr>
        <w:pStyle w:val="NormalWeb"/>
        <w:numPr>
          <w:ilvl w:val="0"/>
          <w:numId w:val="13"/>
        </w:numPr>
        <w:spacing w:line="360" w:lineRule="auto"/>
      </w:pPr>
      <w:r w:rsidRPr="00B263D3">
        <w:t xml:space="preserve">Okpara, U. T., Stringer, L. C., &amp; Dougill, A. J. (2021). Climate variability and socio-ecological vulnerability in the Lake Chad Basin. </w:t>
      </w:r>
      <w:r w:rsidRPr="00B263D3">
        <w:rPr>
          <w:rStyle w:val="Emphasis"/>
          <w:rFonts w:eastAsiaTheme="majorEastAsia"/>
        </w:rPr>
        <w:t>Regional Environmental Change, 21</w:t>
      </w:r>
      <w:r w:rsidRPr="00B263D3">
        <w:t>, 85. 14 pages. https://doi.org/10.1007/s10113-021-01800-9</w:t>
      </w:r>
    </w:p>
    <w:p w14:paraId="373F0D85"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Ouédraogo, M., Barbier, B., &amp; Barry, S. (2023). Perceptions paysannes du changement climatique et stratégies d’adaptation en Afrique de l’Ouest sahélienne. </w:t>
      </w:r>
      <w:r w:rsidRPr="00B263D3">
        <w:rPr>
          <w:rFonts w:ascii="Times New Roman" w:hAnsi="Times New Roman" w:cs="Times New Roman"/>
          <w:i/>
          <w:iCs/>
          <w:sz w:val="24"/>
          <w:szCs w:val="24"/>
        </w:rPr>
        <w:t>Climate and Development, 15</w:t>
      </w:r>
      <w:r w:rsidRPr="00B263D3">
        <w:rPr>
          <w:rFonts w:ascii="Times New Roman" w:hAnsi="Times New Roman" w:cs="Times New Roman"/>
          <w:sz w:val="24"/>
          <w:szCs w:val="24"/>
        </w:rPr>
        <w:t>(3), 245–258.</w:t>
      </w:r>
    </w:p>
    <w:p w14:paraId="08F679E4"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Ozer, P., Hountondji, Y.-C., Laminou Manzo, O., &amp; Yabi, I. (2020).</w:t>
      </w:r>
      <w:r w:rsidRPr="00B263D3">
        <w:t xml:space="preserve"> Trends and variability in rainfall and temperature over Niger. </w:t>
      </w:r>
      <w:r w:rsidRPr="00B263D3">
        <w:rPr>
          <w:rStyle w:val="Emphasis"/>
          <w:rFonts w:eastAsiaTheme="majorEastAsia"/>
        </w:rPr>
        <w:t>Theoretical and Applied Climatology, 141</w:t>
      </w:r>
      <w:r w:rsidRPr="00B263D3">
        <w:t>, 1621–1635. 15 pages.  https://doi.org/10.1007/s00704-020-03246-9</w:t>
      </w:r>
    </w:p>
    <w:p w14:paraId="72AED9BF" w14:textId="77777777" w:rsidR="00CD5A4C" w:rsidRPr="00B263D3" w:rsidRDefault="00CD5A4C" w:rsidP="00B263D3">
      <w:pPr>
        <w:pStyle w:val="NormalWeb"/>
        <w:numPr>
          <w:ilvl w:val="0"/>
          <w:numId w:val="13"/>
        </w:numPr>
        <w:spacing w:line="360" w:lineRule="auto"/>
      </w:pPr>
      <w:r w:rsidRPr="00B263D3">
        <w:t xml:space="preserve">Ozer, P., Hountondji, Y.-C., Laminou Manzo, O., &amp; Yabi, I. (2020). Trends and variability in rainfall and temperature over Niger. </w:t>
      </w:r>
      <w:r w:rsidRPr="00B263D3">
        <w:rPr>
          <w:rStyle w:val="Emphasis"/>
          <w:rFonts w:eastAsiaTheme="majorEastAsia"/>
        </w:rPr>
        <w:t>Theoretical and Applied Climatology, 141</w:t>
      </w:r>
      <w:r w:rsidRPr="00B263D3">
        <w:t xml:space="preserve">, 1621–1635. 15 pages. </w:t>
      </w:r>
      <w:hyperlink r:id="rId26" w:history="1">
        <w:r w:rsidRPr="00B263D3">
          <w:rPr>
            <w:rStyle w:val="Hyperlink"/>
          </w:rPr>
          <w:t>https://doi.org/10.1007/s00704-020-03246-9</w:t>
        </w:r>
      </w:hyperlink>
    </w:p>
    <w:p w14:paraId="38E45DE3"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Pearce, T. D., Ford, J. D., Laidler, G. J., Smit, B., Duerden, F., Allarut, M., Andrachuk, M., Baryluk, S., Dialla, A., Elee, P., Goose, A., Ikummaq, T., Joamie, E., Kataoyak, F., Loring, E., Meakin, S., Nickels, S., Shappa, K., Shirley, J., &amp; Wandel, J. (2009). Community collaboration and climate change research in the Canadian Arctic. </w:t>
      </w:r>
      <w:r w:rsidRPr="00B263D3">
        <w:rPr>
          <w:rFonts w:ascii="Times New Roman" w:hAnsi="Times New Roman" w:cs="Times New Roman"/>
          <w:i/>
          <w:iCs/>
          <w:sz w:val="24"/>
          <w:szCs w:val="24"/>
        </w:rPr>
        <w:t>Polar Geography, 28</w:t>
      </w:r>
      <w:r w:rsidRPr="00B263D3">
        <w:rPr>
          <w:rFonts w:ascii="Times New Roman" w:hAnsi="Times New Roman" w:cs="Times New Roman"/>
          <w:sz w:val="24"/>
          <w:szCs w:val="24"/>
        </w:rPr>
        <w:t>(1), 10–27. https://doi.org/10.1111/j.1751-8369.2008.00094.x</w:t>
      </w:r>
    </w:p>
    <w:p w14:paraId="2BF29DB7" w14:textId="77777777" w:rsidR="00CD5A4C" w:rsidRPr="00B263D3" w:rsidRDefault="00CD5A4C" w:rsidP="00B263D3">
      <w:pPr>
        <w:pStyle w:val="NormalWeb"/>
        <w:numPr>
          <w:ilvl w:val="0"/>
          <w:numId w:val="13"/>
        </w:numPr>
        <w:spacing w:line="360" w:lineRule="auto"/>
      </w:pPr>
      <w:r w:rsidRPr="00B263D3">
        <w:t xml:space="preserve">Rainfall variability and drought in West Africa: challenges and implications for rainfed agriculture. (2025). </w:t>
      </w:r>
      <w:r w:rsidRPr="00B263D3">
        <w:rPr>
          <w:rStyle w:val="Emphasis"/>
          <w:rFonts w:eastAsiaTheme="majorEastAsia"/>
        </w:rPr>
        <w:t>Theoretical and Applied Climatology, 156</w:t>
      </w:r>
      <w:r w:rsidRPr="00B263D3">
        <w:t>, Article 41. https://doi.org/10.1007/s00704-024-05251-8</w:t>
      </w:r>
    </w:p>
    <w:p w14:paraId="15993D90" w14:textId="77777777" w:rsidR="00CD5A4C" w:rsidRPr="00B263D3" w:rsidRDefault="00CD5A4C" w:rsidP="00B263D3">
      <w:pPr>
        <w:pStyle w:val="NormalWeb"/>
        <w:numPr>
          <w:ilvl w:val="0"/>
          <w:numId w:val="13"/>
        </w:numPr>
        <w:spacing w:line="360" w:lineRule="auto"/>
        <w:rPr>
          <w:rFonts w:eastAsiaTheme="minorHAnsi"/>
          <w:kern w:val="2"/>
          <w14:ligatures w14:val="standardContextual"/>
        </w:rPr>
      </w:pPr>
      <w:r w:rsidRPr="00B263D3">
        <w:rPr>
          <w:rFonts w:eastAsiaTheme="minorHAnsi"/>
          <w:kern w:val="2"/>
          <w14:ligatures w14:val="standardContextual"/>
        </w:rPr>
        <w:t xml:space="preserve">Roudier, P., Alhassane, A., Baron, C., &amp; Sultan, B. (2020). Assessing the impacts of climate variability and change on agricultural systems in West Africa. </w:t>
      </w:r>
      <w:r w:rsidRPr="00B263D3">
        <w:rPr>
          <w:rFonts w:eastAsiaTheme="minorHAnsi"/>
          <w:i/>
          <w:iCs/>
          <w:kern w:val="2"/>
          <w14:ligatures w14:val="standardContextual"/>
        </w:rPr>
        <w:t>Climatic Change, 159</w:t>
      </w:r>
      <w:r w:rsidRPr="00B263D3">
        <w:rPr>
          <w:rFonts w:eastAsiaTheme="minorHAnsi"/>
          <w:kern w:val="2"/>
          <w14:ligatures w14:val="standardContextual"/>
        </w:rPr>
        <w:t>(4), 583–601.</w:t>
      </w:r>
      <w:r w:rsidRPr="00B263D3">
        <w:rPr>
          <w:rFonts w:eastAsiaTheme="minorHAnsi"/>
          <w:kern w:val="2"/>
          <w14:ligatures w14:val="standardContextual"/>
        </w:rPr>
        <w:br/>
        <w:t>https://doi.org/10.1007/s10584-020-02692-1</w:t>
      </w:r>
    </w:p>
    <w:p w14:paraId="32DB8D1D" w14:textId="77777777" w:rsidR="00CD5A4C" w:rsidRPr="00B263D3" w:rsidRDefault="00CD5A4C" w:rsidP="00B263D3">
      <w:pPr>
        <w:pStyle w:val="NormalWeb"/>
        <w:numPr>
          <w:ilvl w:val="0"/>
          <w:numId w:val="13"/>
        </w:numPr>
        <w:spacing w:line="360" w:lineRule="auto"/>
      </w:pPr>
      <w:r w:rsidRPr="00B263D3">
        <w:rPr>
          <w:rStyle w:val="Strong"/>
          <w:rFonts w:eastAsiaTheme="majorEastAsia"/>
        </w:rPr>
        <w:lastRenderedPageBreak/>
        <w:t>Salack, S., Giannini, A., Diakhate, M., et al. (2022).</w:t>
      </w:r>
      <w:r w:rsidRPr="00B263D3">
        <w:t xml:space="preserve"> Climate extremes and agricultural risk in the Sahel. </w:t>
      </w:r>
      <w:r w:rsidRPr="00B263D3">
        <w:rPr>
          <w:rStyle w:val="Emphasis"/>
          <w:rFonts w:eastAsiaTheme="majorEastAsia"/>
        </w:rPr>
        <w:t>Weather and Climate Extremes, 36</w:t>
      </w:r>
      <w:r w:rsidRPr="00B263D3">
        <w:t>, 100456. 11 pages.</w:t>
      </w:r>
      <w:r w:rsidRPr="00B263D3">
        <w:br/>
      </w:r>
      <w:hyperlink r:id="rId27" w:tgtFrame="_new" w:history="1">
        <w:r w:rsidRPr="00B263D3">
          <w:rPr>
            <w:rStyle w:val="Hyperlink"/>
            <w:rFonts w:eastAsiaTheme="majorEastAsia"/>
          </w:rPr>
          <w:t>https://doi.org/10.1016/j.wace.2022.100456</w:t>
        </w:r>
      </w:hyperlink>
    </w:p>
    <w:p w14:paraId="2BC1562C"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Moussa, B., Yabi, J. A., &amp; Baco, M. N. (2022). Stratégies d’adaptation des ménages agricoles face au changement climatique en Afrique de l’Ouest. </w:t>
      </w:r>
      <w:r w:rsidRPr="00B263D3">
        <w:rPr>
          <w:rFonts w:ascii="Times New Roman" w:hAnsi="Times New Roman" w:cs="Times New Roman"/>
          <w:i/>
          <w:iCs/>
          <w:sz w:val="24"/>
          <w:szCs w:val="24"/>
        </w:rPr>
        <w:t>Climate and Development, 14</w:t>
      </w:r>
      <w:r w:rsidRPr="00B263D3">
        <w:rPr>
          <w:rFonts w:ascii="Times New Roman" w:hAnsi="Times New Roman" w:cs="Times New Roman"/>
          <w:sz w:val="24"/>
          <w:szCs w:val="24"/>
        </w:rPr>
        <w:t>(4), 345–357.</w:t>
      </w:r>
    </w:p>
    <w:p w14:paraId="33139826"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Traoré, B., &amp; Diarra, S. (2022). Changements climatiques et perceptions locales dans les zones agro-pastorales du Sahel. </w:t>
      </w:r>
      <w:r w:rsidRPr="00B263D3">
        <w:rPr>
          <w:rFonts w:ascii="Times New Roman" w:hAnsi="Times New Roman" w:cs="Times New Roman"/>
          <w:i/>
          <w:iCs/>
          <w:sz w:val="24"/>
          <w:szCs w:val="24"/>
        </w:rPr>
        <w:t>Journal of Arid Environments, 196</w:t>
      </w:r>
      <w:r w:rsidRPr="00B263D3">
        <w:rPr>
          <w:rFonts w:ascii="Times New Roman" w:hAnsi="Times New Roman" w:cs="Times New Roman"/>
          <w:sz w:val="24"/>
          <w:szCs w:val="24"/>
        </w:rPr>
        <w:t>, 104657.</w:t>
      </w:r>
    </w:p>
    <w:p w14:paraId="11C0AC32" w14:textId="77777777" w:rsidR="00CD5A4C" w:rsidRPr="00B263D3" w:rsidRDefault="00CD5A4C" w:rsidP="00B263D3">
      <w:pPr>
        <w:pStyle w:val="NormalWeb"/>
        <w:numPr>
          <w:ilvl w:val="0"/>
          <w:numId w:val="13"/>
        </w:numPr>
        <w:spacing w:line="360" w:lineRule="auto"/>
      </w:pPr>
      <w:r w:rsidRPr="00B263D3">
        <w:rPr>
          <w:rStyle w:val="Strong"/>
          <w:rFonts w:eastAsiaTheme="majorEastAsia"/>
        </w:rPr>
        <w:t>Sanogo, S., et al. (2022).</w:t>
      </w:r>
      <w:r w:rsidRPr="00B263D3">
        <w:t xml:space="preserve"> Flood intensification in the Sahel: Evidence from recent decades. </w:t>
      </w:r>
      <w:r w:rsidRPr="00B263D3">
        <w:rPr>
          <w:rStyle w:val="Emphasis"/>
          <w:rFonts w:eastAsiaTheme="majorEastAsia"/>
        </w:rPr>
        <w:t>Journal of Hydrology, 608</w:t>
      </w:r>
      <w:r w:rsidRPr="00B263D3">
        <w:t>, 127659. 13pages.    https://doi.org/10.1016/j.jhydrol.2022.127659</w:t>
      </w:r>
    </w:p>
    <w:p w14:paraId="279AAB18" w14:textId="77777777" w:rsidR="00CD5A4C" w:rsidRPr="00B263D3" w:rsidRDefault="00CD5A4C" w:rsidP="00B263D3">
      <w:pPr>
        <w:pStyle w:val="NormalWeb"/>
        <w:numPr>
          <w:ilvl w:val="0"/>
          <w:numId w:val="13"/>
        </w:numPr>
        <w:spacing w:line="360" w:lineRule="auto"/>
      </w:pPr>
      <w:r w:rsidRPr="00B263D3">
        <w:t xml:space="preserve">Siabi, E. K., Awafo, E. A., Kabobah, A. T., … &amp; Yazdanie, M. (2024). Quantifying future climate extreme indices: implications for sustainable urban development in West Africa, with a focus on the Greater Accra region. </w:t>
      </w:r>
      <w:r w:rsidRPr="00B263D3">
        <w:rPr>
          <w:rStyle w:val="Emphasis"/>
          <w:rFonts w:eastAsiaTheme="majorEastAsia"/>
        </w:rPr>
        <w:t>Discover Sustainability, 5</w:t>
      </w:r>
      <w:r w:rsidRPr="00B263D3">
        <w:t>, Article 167. https://doi.org/10.1007/s43621-024-00352-w</w:t>
      </w:r>
    </w:p>
    <w:p w14:paraId="73A282A5"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Sultan, B., Defrance, D., &amp; Iizumi, T. (2019). Evidence of crop production losses in West Africa due to historical global warming in two crop models. </w:t>
      </w:r>
      <w:r w:rsidRPr="00B263D3">
        <w:rPr>
          <w:rFonts w:ascii="Times New Roman" w:hAnsi="Times New Roman" w:cs="Times New Roman"/>
          <w:i/>
          <w:iCs/>
          <w:sz w:val="24"/>
          <w:szCs w:val="24"/>
        </w:rPr>
        <w:t>Scientific Reports, 9</w:t>
      </w:r>
      <w:r w:rsidRPr="00B263D3">
        <w:rPr>
          <w:rFonts w:ascii="Times New Roman" w:hAnsi="Times New Roman" w:cs="Times New Roman"/>
          <w:sz w:val="24"/>
          <w:szCs w:val="24"/>
        </w:rPr>
        <w:t xml:space="preserve">, 12834.      </w:t>
      </w:r>
      <w:hyperlink r:id="rId28" w:history="1">
        <w:r w:rsidRPr="00B263D3">
          <w:rPr>
            <w:rStyle w:val="Hyperlink"/>
            <w:rFonts w:ascii="Times New Roman" w:hAnsi="Times New Roman" w:cs="Times New Roman"/>
            <w:sz w:val="24"/>
            <w:szCs w:val="24"/>
          </w:rPr>
          <w:t>https://doi.org/10.1038/s41598-019-49167-0</w:t>
        </w:r>
      </w:hyperlink>
    </w:p>
    <w:p w14:paraId="3C7AE65C"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Zorom, M., Hien, M., &amp; Somda, J. (2021). Perceptions locales des risques climatiques et vulnérabilité des systèmes agricoles au Burkina Faso. </w:t>
      </w:r>
      <w:r w:rsidRPr="00B263D3">
        <w:rPr>
          <w:rFonts w:ascii="Times New Roman" w:hAnsi="Times New Roman" w:cs="Times New Roman"/>
          <w:i/>
          <w:iCs/>
          <w:sz w:val="24"/>
          <w:szCs w:val="24"/>
        </w:rPr>
        <w:t>Sustainability, 13</w:t>
      </w:r>
      <w:r w:rsidRPr="00B263D3">
        <w:rPr>
          <w:rFonts w:ascii="Times New Roman" w:hAnsi="Times New Roman" w:cs="Times New Roman"/>
          <w:sz w:val="24"/>
          <w:szCs w:val="24"/>
        </w:rPr>
        <w:t>(9), 487. 41p.</w:t>
      </w:r>
    </w:p>
    <w:p w14:paraId="79377C24" w14:textId="77777777" w:rsidR="00CD5A4C" w:rsidRPr="00670B75" w:rsidRDefault="00CD5A4C" w:rsidP="00A349BE"/>
    <w:sectPr w:rsidR="00CD5A4C" w:rsidRPr="00670B75">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70249" w14:textId="77777777" w:rsidR="00BD127F" w:rsidRDefault="00BD127F" w:rsidP="0007661F">
      <w:pPr>
        <w:spacing w:after="0" w:line="240" w:lineRule="auto"/>
      </w:pPr>
      <w:r>
        <w:separator/>
      </w:r>
    </w:p>
  </w:endnote>
  <w:endnote w:type="continuationSeparator" w:id="0">
    <w:p w14:paraId="5F832133" w14:textId="77777777" w:rsidR="00BD127F" w:rsidRDefault="00BD127F" w:rsidP="0007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D267" w14:textId="77777777" w:rsidR="0007661F" w:rsidRDefault="00076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7F0C" w14:textId="77777777" w:rsidR="0007661F" w:rsidRDefault="00076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23BFE" w14:textId="77777777" w:rsidR="0007661F" w:rsidRDefault="00076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FA058" w14:textId="77777777" w:rsidR="00BD127F" w:rsidRDefault="00BD127F" w:rsidP="0007661F">
      <w:pPr>
        <w:spacing w:after="0" w:line="240" w:lineRule="auto"/>
      </w:pPr>
      <w:r>
        <w:separator/>
      </w:r>
    </w:p>
  </w:footnote>
  <w:footnote w:type="continuationSeparator" w:id="0">
    <w:p w14:paraId="37F5948F" w14:textId="77777777" w:rsidR="00BD127F" w:rsidRDefault="00BD127F" w:rsidP="00076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A4B6" w14:textId="5324D16E" w:rsidR="0007661F" w:rsidRDefault="0007661F">
    <w:pPr>
      <w:pStyle w:val="Header"/>
    </w:pPr>
    <w:r>
      <w:rPr>
        <w:noProof/>
      </w:rPr>
      <w:pict w14:anchorId="4A26F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FA8C" w14:textId="7120979B" w:rsidR="0007661F" w:rsidRDefault="0007661F">
    <w:pPr>
      <w:pStyle w:val="Header"/>
    </w:pPr>
    <w:r>
      <w:rPr>
        <w:noProof/>
      </w:rPr>
      <w:pict w14:anchorId="59BE3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55F5" w14:textId="2DEFC7B7" w:rsidR="0007661F" w:rsidRDefault="0007661F">
    <w:pPr>
      <w:pStyle w:val="Header"/>
    </w:pPr>
    <w:r>
      <w:rPr>
        <w:noProof/>
      </w:rPr>
      <w:pict w14:anchorId="4B699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2pt" o:bullet="t">
        <v:imagedata r:id="rId1" o:title="mso9C36"/>
      </v:shape>
    </w:pict>
  </w:numPicBullet>
  <w:abstractNum w:abstractNumId="0" w15:restartNumberingAfterBreak="0">
    <w:nsid w:val="0B5566FB"/>
    <w:multiLevelType w:val="hybridMultilevel"/>
    <w:tmpl w:val="D5F4ABB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0657B4"/>
    <w:multiLevelType w:val="multilevel"/>
    <w:tmpl w:val="B308D7A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D024A4"/>
    <w:multiLevelType w:val="hybridMultilevel"/>
    <w:tmpl w:val="AA923DE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FC4F65"/>
    <w:multiLevelType w:val="hybridMultilevel"/>
    <w:tmpl w:val="9B467A8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EE333E"/>
    <w:multiLevelType w:val="hybridMultilevel"/>
    <w:tmpl w:val="882CA510"/>
    <w:lvl w:ilvl="0" w:tplc="F77CE14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A0B48DC"/>
    <w:multiLevelType w:val="hybridMultilevel"/>
    <w:tmpl w:val="8C8416B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CA81625"/>
    <w:multiLevelType w:val="multilevel"/>
    <w:tmpl w:val="8848A04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B044E"/>
    <w:multiLevelType w:val="multilevel"/>
    <w:tmpl w:val="3B6632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56E0C"/>
    <w:multiLevelType w:val="multilevel"/>
    <w:tmpl w:val="4556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0749A"/>
    <w:multiLevelType w:val="hybridMultilevel"/>
    <w:tmpl w:val="FD32F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ABA3CC7"/>
    <w:multiLevelType w:val="hybridMultilevel"/>
    <w:tmpl w:val="308CC75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822267"/>
    <w:multiLevelType w:val="multilevel"/>
    <w:tmpl w:val="0268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5478BD"/>
    <w:multiLevelType w:val="multilevel"/>
    <w:tmpl w:val="32FAFE24"/>
    <w:lvl w:ilvl="0">
      <w:start w:val="1"/>
      <w:numFmt w:val="upperRoman"/>
      <w:lvlText w:val="%1."/>
      <w:lvlJc w:val="right"/>
      <w:pPr>
        <w:ind w:left="720" w:hanging="360"/>
      </w:pPr>
    </w:lvl>
    <w:lvl w:ilvl="1">
      <w:start w:val="1"/>
      <w:numFmt w:val="decimal"/>
      <w:isLgl/>
      <w:lvlText w:val="%1.%2."/>
      <w:lvlJc w:val="left"/>
      <w:pPr>
        <w:ind w:left="1211"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C75472"/>
    <w:multiLevelType w:val="hybridMultilevel"/>
    <w:tmpl w:val="4EAA5BF8"/>
    <w:lvl w:ilvl="0" w:tplc="2000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F869E0"/>
    <w:multiLevelType w:val="multilevel"/>
    <w:tmpl w:val="F884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A5050"/>
    <w:multiLevelType w:val="hybridMultilevel"/>
    <w:tmpl w:val="9B4632F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B714957"/>
    <w:multiLevelType w:val="multilevel"/>
    <w:tmpl w:val="8796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B94937"/>
    <w:multiLevelType w:val="hybridMultilevel"/>
    <w:tmpl w:val="3B2C6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CF67399"/>
    <w:multiLevelType w:val="hybridMultilevel"/>
    <w:tmpl w:val="103C2F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16"/>
  </w:num>
  <w:num w:numId="3">
    <w:abstractNumId w:val="11"/>
  </w:num>
  <w:num w:numId="4">
    <w:abstractNumId w:val="8"/>
  </w:num>
  <w:num w:numId="5">
    <w:abstractNumId w:val="6"/>
  </w:num>
  <w:num w:numId="6">
    <w:abstractNumId w:val="17"/>
  </w:num>
  <w:num w:numId="7">
    <w:abstractNumId w:val="9"/>
  </w:num>
  <w:num w:numId="8">
    <w:abstractNumId w:val="7"/>
  </w:num>
  <w:num w:numId="9">
    <w:abstractNumId w:val="12"/>
  </w:num>
  <w:num w:numId="10">
    <w:abstractNumId w:val="3"/>
  </w:num>
  <w:num w:numId="11">
    <w:abstractNumId w:val="10"/>
  </w:num>
  <w:num w:numId="12">
    <w:abstractNumId w:val="5"/>
  </w:num>
  <w:num w:numId="13">
    <w:abstractNumId w:val="1"/>
  </w:num>
  <w:num w:numId="14">
    <w:abstractNumId w:val="0"/>
  </w:num>
  <w:num w:numId="15">
    <w:abstractNumId w:val="2"/>
  </w:num>
  <w:num w:numId="16">
    <w:abstractNumId w:val="15"/>
  </w:num>
  <w:num w:numId="17">
    <w:abstractNumId w:val="4"/>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C06"/>
    <w:rsid w:val="0007661F"/>
    <w:rsid w:val="000D6C06"/>
    <w:rsid w:val="00120ACF"/>
    <w:rsid w:val="00205B83"/>
    <w:rsid w:val="002120BE"/>
    <w:rsid w:val="00475B47"/>
    <w:rsid w:val="005113B9"/>
    <w:rsid w:val="006034BB"/>
    <w:rsid w:val="006417B0"/>
    <w:rsid w:val="006568C5"/>
    <w:rsid w:val="00670B75"/>
    <w:rsid w:val="006D12B8"/>
    <w:rsid w:val="00701ED5"/>
    <w:rsid w:val="008B46A1"/>
    <w:rsid w:val="008B5954"/>
    <w:rsid w:val="00907AE6"/>
    <w:rsid w:val="00914402"/>
    <w:rsid w:val="00957E55"/>
    <w:rsid w:val="009F497E"/>
    <w:rsid w:val="00A26132"/>
    <w:rsid w:val="00A349BE"/>
    <w:rsid w:val="00A35824"/>
    <w:rsid w:val="00AC1941"/>
    <w:rsid w:val="00B263D3"/>
    <w:rsid w:val="00BB0E5E"/>
    <w:rsid w:val="00BD127F"/>
    <w:rsid w:val="00CD5A4C"/>
    <w:rsid w:val="00D028C0"/>
    <w:rsid w:val="00D80E86"/>
    <w:rsid w:val="00DD77FF"/>
    <w:rsid w:val="00E9608D"/>
    <w:rsid w:val="00ED725F"/>
    <w:rsid w:val="00F3432B"/>
    <w:rsid w:val="00FD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A5C3B7"/>
  <w15:chartTrackingRefBased/>
  <w15:docId w15:val="{599782E0-C889-4BC7-8D69-1E23F47F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C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6C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6C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6C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6C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6C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6C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6C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6C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6C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6C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6C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6C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6C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6C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6C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6C06"/>
    <w:rPr>
      <w:rFonts w:eastAsiaTheme="majorEastAsia" w:cstheme="majorBidi"/>
      <w:color w:val="272727" w:themeColor="text1" w:themeTint="D8"/>
    </w:rPr>
  </w:style>
  <w:style w:type="paragraph" w:styleId="Title">
    <w:name w:val="Title"/>
    <w:basedOn w:val="Normal"/>
    <w:next w:val="Normal"/>
    <w:link w:val="TitleChar"/>
    <w:uiPriority w:val="10"/>
    <w:qFormat/>
    <w:rsid w:val="000D6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C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C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6C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6C06"/>
    <w:pPr>
      <w:spacing w:before="160"/>
      <w:jc w:val="center"/>
    </w:pPr>
    <w:rPr>
      <w:i/>
      <w:iCs/>
      <w:color w:val="404040" w:themeColor="text1" w:themeTint="BF"/>
    </w:rPr>
  </w:style>
  <w:style w:type="character" w:customStyle="1" w:styleId="QuoteChar">
    <w:name w:val="Quote Char"/>
    <w:basedOn w:val="DefaultParagraphFont"/>
    <w:link w:val="Quote"/>
    <w:uiPriority w:val="29"/>
    <w:rsid w:val="000D6C06"/>
    <w:rPr>
      <w:i/>
      <w:iCs/>
      <w:color w:val="404040" w:themeColor="text1" w:themeTint="BF"/>
    </w:rPr>
  </w:style>
  <w:style w:type="paragraph" w:styleId="ListParagraph">
    <w:name w:val="List Paragraph"/>
    <w:basedOn w:val="Normal"/>
    <w:link w:val="ListParagraphChar"/>
    <w:uiPriority w:val="34"/>
    <w:qFormat/>
    <w:rsid w:val="000D6C06"/>
    <w:pPr>
      <w:ind w:left="720"/>
      <w:contextualSpacing/>
    </w:pPr>
  </w:style>
  <w:style w:type="character" w:styleId="IntenseEmphasis">
    <w:name w:val="Intense Emphasis"/>
    <w:basedOn w:val="DefaultParagraphFont"/>
    <w:uiPriority w:val="21"/>
    <w:qFormat/>
    <w:rsid w:val="000D6C06"/>
    <w:rPr>
      <w:i/>
      <w:iCs/>
      <w:color w:val="2F5496" w:themeColor="accent1" w:themeShade="BF"/>
    </w:rPr>
  </w:style>
  <w:style w:type="paragraph" w:styleId="IntenseQuote">
    <w:name w:val="Intense Quote"/>
    <w:basedOn w:val="Normal"/>
    <w:next w:val="Normal"/>
    <w:link w:val="IntenseQuoteChar"/>
    <w:uiPriority w:val="30"/>
    <w:qFormat/>
    <w:rsid w:val="000D6C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6C06"/>
    <w:rPr>
      <w:i/>
      <w:iCs/>
      <w:color w:val="2F5496" w:themeColor="accent1" w:themeShade="BF"/>
    </w:rPr>
  </w:style>
  <w:style w:type="character" w:styleId="IntenseReference">
    <w:name w:val="Intense Reference"/>
    <w:basedOn w:val="DefaultParagraphFont"/>
    <w:uiPriority w:val="32"/>
    <w:qFormat/>
    <w:rsid w:val="000D6C06"/>
    <w:rPr>
      <w:b/>
      <w:bCs/>
      <w:smallCaps/>
      <w:color w:val="2F5496" w:themeColor="accent1" w:themeShade="BF"/>
      <w:spacing w:val="5"/>
    </w:rPr>
  </w:style>
  <w:style w:type="paragraph" w:styleId="NormalWeb">
    <w:name w:val="Normal (Web)"/>
    <w:basedOn w:val="Normal"/>
    <w:uiPriority w:val="99"/>
    <w:unhideWhenUsed/>
    <w:rsid w:val="000D6C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D6C06"/>
    <w:rPr>
      <w:b/>
      <w:bCs/>
    </w:rPr>
  </w:style>
  <w:style w:type="character" w:styleId="Hyperlink">
    <w:name w:val="Hyperlink"/>
    <w:basedOn w:val="DefaultParagraphFont"/>
    <w:uiPriority w:val="99"/>
    <w:unhideWhenUsed/>
    <w:rsid w:val="00957E55"/>
    <w:rPr>
      <w:color w:val="0563C1" w:themeColor="hyperlink"/>
      <w:u w:val="single"/>
    </w:rPr>
  </w:style>
  <w:style w:type="character" w:styleId="UnresolvedMention">
    <w:name w:val="Unresolved Mention"/>
    <w:basedOn w:val="DefaultParagraphFont"/>
    <w:uiPriority w:val="99"/>
    <w:semiHidden/>
    <w:unhideWhenUsed/>
    <w:rsid w:val="00957E55"/>
    <w:rPr>
      <w:color w:val="605E5C"/>
      <w:shd w:val="clear" w:color="auto" w:fill="E1DFDD"/>
    </w:rPr>
  </w:style>
  <w:style w:type="character" w:customStyle="1" w:styleId="ListParagraphChar">
    <w:name w:val="List Paragraph Char"/>
    <w:link w:val="ListParagraph"/>
    <w:uiPriority w:val="34"/>
    <w:qFormat/>
    <w:locked/>
    <w:rsid w:val="00205B83"/>
  </w:style>
  <w:style w:type="character" w:styleId="Emphasis">
    <w:name w:val="Emphasis"/>
    <w:basedOn w:val="DefaultParagraphFont"/>
    <w:uiPriority w:val="20"/>
    <w:qFormat/>
    <w:rsid w:val="00CD5A4C"/>
    <w:rPr>
      <w:i/>
      <w:iCs/>
    </w:rPr>
  </w:style>
  <w:style w:type="paragraph" w:styleId="Header">
    <w:name w:val="header"/>
    <w:basedOn w:val="Normal"/>
    <w:link w:val="HeaderChar"/>
    <w:uiPriority w:val="99"/>
    <w:unhideWhenUsed/>
    <w:rsid w:val="00076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61F"/>
  </w:style>
  <w:style w:type="paragraph" w:styleId="Footer">
    <w:name w:val="footer"/>
    <w:basedOn w:val="Normal"/>
    <w:link w:val="FooterChar"/>
    <w:uiPriority w:val="99"/>
    <w:unhideWhenUsed/>
    <w:rsid w:val="00076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doi.org/10.1007/s00704-020-03246-9"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doi.org/10.1029/2021EF00209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wer.larc.nasa.gov/" TargetMode="External"/><Relationship Id="rId24" Type="http://schemas.openxmlformats.org/officeDocument/2006/relationships/hyperlink" Target="https://doi.org/10.1016/j.crm.2021.10030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00267-018-1113-7" TargetMode="External"/><Relationship Id="rId28" Type="http://schemas.openxmlformats.org/officeDocument/2006/relationships/hyperlink" Target="https://doi.org/10.1038/s41598-019-49167-0" TargetMode="External"/><Relationship Id="rId36" Type="http://schemas.openxmlformats.org/officeDocument/2006/relationships/theme" Target="theme/theme1.xml"/><Relationship Id="rId10" Type="http://schemas.openxmlformats.org/officeDocument/2006/relationships/hyperlink" Target="https://power.larc.nasa.gov/" TargetMode="External"/><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doi.org/10.1016/j.wace.2022.100456"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24</Pages>
  <Words>5884</Words>
  <Characters>33541</Characters>
  <Application>Microsoft Office Word</Application>
  <DocSecurity>0</DocSecurity>
  <Lines>279</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 CHAIBOU Abdoul Kader</dc:creator>
  <cp:keywords/>
  <dc:description/>
  <cp:lastModifiedBy>SDI 1166</cp:lastModifiedBy>
  <cp:revision>7</cp:revision>
  <dcterms:created xsi:type="dcterms:W3CDTF">2026-03-06T10:52:00Z</dcterms:created>
  <dcterms:modified xsi:type="dcterms:W3CDTF">2026-03-28T12:17:00Z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0cee508b-d784-4fa6-8233-9f6daf2c525c</vt:lpwstr>
  </property>
</Properties>
</file>