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80A70" w14:textId="77777777" w:rsidR="00463B34" w:rsidRDefault="00463B34" w:rsidP="00781B95">
      <w:pPr>
        <w:spacing w:after="247" w:line="276" w:lineRule="auto"/>
        <w:ind w:left="0" w:right="45" w:firstLine="0"/>
        <w:rPr>
          <w:b/>
          <w:sz w:val="48"/>
        </w:rPr>
      </w:pPr>
      <w:r w:rsidRPr="00463B34">
        <w:rPr>
          <w:b/>
          <w:sz w:val="48"/>
        </w:rPr>
        <w:t xml:space="preserve">Original Research Article </w:t>
      </w:r>
    </w:p>
    <w:p w14:paraId="342067B4" w14:textId="77777777" w:rsidR="00463B34" w:rsidRDefault="00463B34" w:rsidP="00781B95">
      <w:pPr>
        <w:spacing w:after="247" w:line="276" w:lineRule="auto"/>
        <w:ind w:left="0" w:right="45" w:firstLine="0"/>
        <w:rPr>
          <w:b/>
          <w:sz w:val="48"/>
        </w:rPr>
      </w:pPr>
    </w:p>
    <w:p w14:paraId="2485D64F" w14:textId="13155311" w:rsidR="00BC3AE3" w:rsidRPr="00CA54B7" w:rsidRDefault="003F4DCB" w:rsidP="00781B95">
      <w:pPr>
        <w:spacing w:after="247" w:line="276" w:lineRule="auto"/>
        <w:ind w:left="0" w:right="45" w:firstLine="0"/>
      </w:pPr>
      <w:r>
        <w:rPr>
          <w:b/>
          <w:sz w:val="48"/>
        </w:rPr>
        <w:t>Heavy Metal Pollution in Soils at</w:t>
      </w:r>
      <w:r w:rsidR="00BC3AE3">
        <w:rPr>
          <w:b/>
          <w:sz w:val="48"/>
        </w:rPr>
        <w:t xml:space="preserve"> </w:t>
      </w:r>
      <w:r>
        <w:rPr>
          <w:b/>
          <w:sz w:val="48"/>
        </w:rPr>
        <w:t>Informal Waste</w:t>
      </w:r>
      <w:r w:rsidR="00BC3AE3">
        <w:rPr>
          <w:b/>
          <w:sz w:val="48"/>
        </w:rPr>
        <w:t xml:space="preserve"> </w:t>
      </w:r>
      <w:r>
        <w:rPr>
          <w:b/>
          <w:sz w:val="48"/>
        </w:rPr>
        <w:t>Electrical and Electronic Equipment (WEEE) Recycling Sites in Benin</w:t>
      </w:r>
    </w:p>
    <w:p w14:paraId="07A2CFE9" w14:textId="77777777" w:rsidR="00463B34" w:rsidRDefault="00463B34" w:rsidP="00781B95">
      <w:pPr>
        <w:spacing w:after="2" w:line="360" w:lineRule="auto"/>
        <w:ind w:left="-5" w:right="68"/>
        <w:jc w:val="left"/>
      </w:pPr>
      <w:bookmarkStart w:id="0" w:name="_GoBack"/>
      <w:bookmarkEnd w:id="0"/>
    </w:p>
    <w:p w14:paraId="5DB4FA8A" w14:textId="77777777" w:rsidR="00307F34" w:rsidRDefault="00746597" w:rsidP="00781B95">
      <w:pPr>
        <w:spacing w:after="0" w:line="360" w:lineRule="auto"/>
        <w:ind w:left="0" w:right="17" w:firstLine="0"/>
        <w:jc w:val="right"/>
      </w:pPr>
      <w:r>
        <w:rPr>
          <w:rFonts w:ascii="Calibri" w:eastAsia="Calibri" w:hAnsi="Calibri" w:cs="Calibri"/>
          <w:noProof/>
          <w:sz w:val="22"/>
        </w:rPr>
        <mc:AlternateContent>
          <mc:Choice Requires="wpg">
            <w:drawing>
              <wp:inline distT="0" distB="0" distL="0" distR="0" wp14:anchorId="5A11B2BC" wp14:editId="7402BAA4">
                <wp:extent cx="5723890" cy="19050"/>
                <wp:effectExtent l="0" t="0" r="0" b="0"/>
                <wp:docPr id="49793" name="Group 49793"/>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3705" name="Shape 3705"/>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9793" style="width:450.7pt;height:1.5pt;mso-position-horizontal-relative:char;mso-position-vertical-relative:line" coordsize="57238,190">
                <v:shape id="Shape 3705" style="position:absolute;width:57238;height:0;left:0;top:0;" coordsize="5723890,0" path="m0,0l5723890,0">
                  <v:stroke weight="1.5pt" endcap="flat" joinstyle="round" on="true" color="#000000"/>
                  <v:fill on="false" color="#000000" opacity="0"/>
                </v:shape>
              </v:group>
            </w:pict>
          </mc:Fallback>
        </mc:AlternateContent>
      </w:r>
      <w:r>
        <w:rPr>
          <w:b/>
          <w:sz w:val="24"/>
        </w:rPr>
        <w:t xml:space="preserve"> </w:t>
      </w:r>
    </w:p>
    <w:p w14:paraId="02FC5661" w14:textId="77777777" w:rsidR="00307F34" w:rsidRDefault="00746597" w:rsidP="00781B95">
      <w:pPr>
        <w:pStyle w:val="Heading1"/>
        <w:spacing w:line="360" w:lineRule="auto"/>
        <w:ind w:left="-5"/>
      </w:pPr>
      <w:r>
        <w:t xml:space="preserve">ABSTRACT </w:t>
      </w:r>
    </w:p>
    <w:p w14:paraId="258A7D57" w14:textId="77777777" w:rsidR="00307F34" w:rsidRDefault="00746597"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Introduction:</w:t>
      </w:r>
      <w:r w:rsidR="00E5720C" w:rsidRPr="00E5720C">
        <w:t xml:space="preserve"> </w:t>
      </w:r>
      <w:r w:rsidR="00E5720C">
        <w:t>Informal management of Waste Electrical and Electronic Equipment (WEEE) can lead to the release of heavy metals into surrounding soils, posing environmental concerns.</w:t>
      </w:r>
    </w:p>
    <w:p w14:paraId="4CF72BA1" w14:textId="77777777" w:rsidR="00E5720C" w:rsidRDefault="00746597" w:rsidP="00781B95">
      <w:pPr>
        <w:pBdr>
          <w:top w:val="single" w:sz="4" w:space="0" w:color="000000"/>
          <w:left w:val="single" w:sz="4" w:space="0" w:color="000000"/>
          <w:bottom w:val="single" w:sz="4" w:space="0" w:color="000000"/>
          <w:right w:val="single" w:sz="4" w:space="0" w:color="000000"/>
        </w:pBdr>
        <w:spacing w:after="155" w:line="360" w:lineRule="auto"/>
        <w:ind w:left="96" w:right="199"/>
      </w:pPr>
      <w:r>
        <w:rPr>
          <w:b/>
        </w:rPr>
        <w:t xml:space="preserve">Aims: </w:t>
      </w:r>
      <w:bookmarkStart w:id="1" w:name="OLE_LINK1"/>
      <w:r w:rsidR="00E5720C">
        <w:t>This study aims to assess heavy metal contamination in soils at informal WEEE management sites in three cities of Benin (Abomey-Calavi, Cotonou, and Natitingou)</w:t>
      </w:r>
      <w:r w:rsidR="00C572D9">
        <w:t>.</w:t>
      </w:r>
    </w:p>
    <w:bookmarkEnd w:id="1"/>
    <w:p w14:paraId="415192BC" w14:textId="77777777" w:rsidR="00E5720C" w:rsidRDefault="00E5720C"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Methodology</w:t>
      </w:r>
      <w:r>
        <w:t>: Soil samples were collected from informal WEEE sites and analyzed for eight heavy metals including arsenic (As), cadmium (Cd), chromium (Cr), copper (Cu), iron (Fe), nickel (Ni), lead (Pb), and zinc (Zn). Metal concentrations were determined using atomic absorption spectrometry and UV</w:t>
      </w:r>
      <w:r w:rsidR="00C572D9">
        <w:t xml:space="preserve"> </w:t>
      </w:r>
      <w:r>
        <w:t>Visible spectrophotometry. The geoaccumulation index (Igeo) was applied to evaluate the degree of soil contamination.</w:t>
      </w:r>
    </w:p>
    <w:p w14:paraId="71770891" w14:textId="77777777" w:rsidR="00E5720C" w:rsidRDefault="00E5720C"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Results:</w:t>
      </w:r>
      <w:r>
        <w:t xml:space="preserve"> The results showed very low metal concentrations at non-burning sites, with negative or zero Igeo values (class 0), indicating the absence of pollution. Only isolated cases of cadmium reached class 1 (unpolluted to moderately polluted). In contrast, the burning site in Abomey-Calavi exhibited extreme contamination levels, particularly for Cd (119.08 mg/kg, Igeo &gt; 9, class 6), Pb (503.02 mg/kg, class 5), and Cu (416.97 mg/kg, class 4).</w:t>
      </w:r>
    </w:p>
    <w:p w14:paraId="7E908D72" w14:textId="77777777" w:rsidR="00E5720C" w:rsidRDefault="00E5720C" w:rsidP="00781B95">
      <w:pPr>
        <w:pBdr>
          <w:top w:val="single" w:sz="4" w:space="0" w:color="000000"/>
          <w:left w:val="single" w:sz="4" w:space="0" w:color="000000"/>
          <w:bottom w:val="single" w:sz="4" w:space="0" w:color="000000"/>
          <w:right w:val="single" w:sz="4" w:space="0" w:color="000000"/>
        </w:pBdr>
        <w:spacing w:after="0" w:line="360" w:lineRule="auto"/>
        <w:ind w:left="96" w:right="199"/>
      </w:pPr>
      <w:r>
        <w:rPr>
          <w:b/>
        </w:rPr>
        <w:t>Conclusion:</w:t>
      </w:r>
      <w:r>
        <w:t xml:space="preserve"> These findings highlight the significant impact of open burning practices at informal WEEE sites, which create severe soil pollution hotspots and pose substantial risks to environmental quality and public health.</w:t>
      </w:r>
      <w:r>
        <w:rPr>
          <w:i/>
        </w:rPr>
        <w:t xml:space="preserve"> </w:t>
      </w:r>
    </w:p>
    <w:p w14:paraId="0A8F487A" w14:textId="77777777" w:rsidR="00307F34" w:rsidRDefault="00746597" w:rsidP="00781B95">
      <w:pPr>
        <w:spacing w:after="0" w:line="360" w:lineRule="auto"/>
        <w:ind w:left="0" w:right="0" w:firstLine="0"/>
        <w:jc w:val="left"/>
      </w:pPr>
      <w:r>
        <w:rPr>
          <w:i/>
        </w:rPr>
        <w:t xml:space="preserve"> </w:t>
      </w:r>
    </w:p>
    <w:p w14:paraId="35DC1FC0" w14:textId="77777777" w:rsidR="00CA54B7" w:rsidRPr="00781B95" w:rsidRDefault="00746597" w:rsidP="00781B95">
      <w:pPr>
        <w:spacing w:line="360" w:lineRule="auto"/>
        <w:rPr>
          <w:i/>
          <w:iCs/>
          <w:szCs w:val="20"/>
        </w:rPr>
      </w:pPr>
      <w:r>
        <w:rPr>
          <w:i/>
        </w:rPr>
        <w:t xml:space="preserve">Keywords: </w:t>
      </w:r>
      <w:r w:rsidR="002428A6" w:rsidRPr="002428A6">
        <w:rPr>
          <w:i/>
          <w:iCs/>
          <w:szCs w:val="20"/>
        </w:rPr>
        <w:t>WEEE, Heavy metals, Soils, Igeo, Contamination</w:t>
      </w:r>
      <w:r w:rsidR="002428A6">
        <w:rPr>
          <w:i/>
          <w:iCs/>
          <w:szCs w:val="20"/>
        </w:rPr>
        <w:t>, Be</w:t>
      </w:r>
      <w:r w:rsidR="00EE726D">
        <w:rPr>
          <w:i/>
          <w:iCs/>
          <w:szCs w:val="20"/>
        </w:rPr>
        <w:t>nin.</w:t>
      </w:r>
    </w:p>
    <w:p w14:paraId="58BAE1C3" w14:textId="77777777" w:rsidR="003C3D22" w:rsidRDefault="003C3D22" w:rsidP="00781B95">
      <w:pPr>
        <w:pStyle w:val="Heading1"/>
        <w:spacing w:line="360" w:lineRule="auto"/>
        <w:ind w:left="0" w:firstLine="0"/>
        <w:jc w:val="both"/>
        <w:rPr>
          <w:bCs/>
          <w:color w:val="000000" w:themeColor="text1"/>
          <w:szCs w:val="22"/>
        </w:rPr>
        <w:sectPr w:rsidR="003C3D22" w:rsidSect="00BC3AE3">
          <w:headerReference w:type="even" r:id="rId6"/>
          <w:headerReference w:type="default" r:id="rId7"/>
          <w:footerReference w:type="even" r:id="rId8"/>
          <w:footerReference w:type="default" r:id="rId9"/>
          <w:headerReference w:type="first" r:id="rId10"/>
          <w:footerReference w:type="first" r:id="rId11"/>
          <w:type w:val="continuous"/>
          <w:pgSz w:w="11906" w:h="16838"/>
          <w:pgMar w:top="1417" w:right="1417" w:bottom="1417" w:left="1417" w:header="708" w:footer="708" w:gutter="0"/>
          <w:cols w:space="708"/>
          <w:docGrid w:linePitch="360"/>
        </w:sectPr>
      </w:pPr>
    </w:p>
    <w:p w14:paraId="1473EDF4" w14:textId="77777777" w:rsidR="00EE726D" w:rsidRPr="00155B6E" w:rsidRDefault="00EE726D" w:rsidP="00781B95">
      <w:pPr>
        <w:pStyle w:val="Heading1"/>
        <w:spacing w:line="360" w:lineRule="auto"/>
        <w:ind w:left="0" w:firstLine="0"/>
        <w:jc w:val="both"/>
        <w:rPr>
          <w:b w:val="0"/>
          <w:bCs/>
          <w:color w:val="000000" w:themeColor="text1"/>
          <w:szCs w:val="22"/>
        </w:rPr>
      </w:pPr>
      <w:r w:rsidRPr="00155B6E">
        <w:rPr>
          <w:bCs/>
          <w:color w:val="000000" w:themeColor="text1"/>
          <w:szCs w:val="22"/>
        </w:rPr>
        <w:t>1. Introduction</w:t>
      </w:r>
    </w:p>
    <w:p w14:paraId="3E7C63A3" w14:textId="77777777" w:rsidR="00BC3AE3" w:rsidRPr="00CF362F" w:rsidRDefault="00EE726D" w:rsidP="00781B95">
      <w:pPr>
        <w:spacing w:line="360" w:lineRule="auto"/>
        <w:rPr>
          <w:szCs w:val="20"/>
        </w:rPr>
      </w:pPr>
      <w:r w:rsidRPr="00CF362F">
        <w:rPr>
          <w:szCs w:val="20"/>
        </w:rPr>
        <w:t>Waste electrical and electronic equipment (WEEE) currently represents the fastest-</w:t>
      </w:r>
      <w:r w:rsidRPr="00CF362F">
        <w:rPr>
          <w:szCs w:val="20"/>
        </w:rPr>
        <w:t xml:space="preserve">growing waste stream worldwide, with an estimated generation of over 62 million tonnes in 2022 and an annual increase of 3 to 5% </w:t>
      </w:r>
      <w:r w:rsidRPr="00CF362F">
        <w:rPr>
          <w:szCs w:val="20"/>
        </w:rPr>
        <w:lastRenderedPageBreak/>
        <w:t>(Owusu-Sekyere et al., 2024). This waste consists of complex materials and contains more than a thousand substances, including numerous heavy metals (Pb, Cd, Cu, Ni, Cr, Zn, As) considered hazardous to the environment and human health (Yekeen et al., 2016; Udousoro et al., 2025). Informal WEEE recycling, widespread in Africa and Asia, often involves the burning of cables and electronic boards or dismantling—practices that promote the accumulation of these contaminants in soils (Ackah, 2019; Pibul et al., 2023).</w:t>
      </w:r>
    </w:p>
    <w:p w14:paraId="45072E52" w14:textId="77777777" w:rsidR="00EE726D" w:rsidRDefault="00EE726D" w:rsidP="00781B95">
      <w:pPr>
        <w:spacing w:line="360" w:lineRule="auto"/>
        <w:rPr>
          <w:szCs w:val="20"/>
        </w:rPr>
      </w:pPr>
    </w:p>
    <w:p w14:paraId="3F88CBEB" w14:textId="77777777" w:rsidR="00BC3AE3" w:rsidRPr="00CF362F" w:rsidRDefault="00BC3AE3" w:rsidP="00781B95">
      <w:pPr>
        <w:spacing w:line="360" w:lineRule="auto"/>
        <w:rPr>
          <w:szCs w:val="20"/>
        </w:rPr>
      </w:pPr>
      <w:r w:rsidRPr="00CF362F">
        <w:rPr>
          <w:szCs w:val="20"/>
        </w:rPr>
        <w:t xml:space="preserve">Several studies conducted worldwide confirm that these practices lead to significant heavy metal accumulation in soils. At Agbogbloshie (Ghana), </w:t>
      </w:r>
      <w:proofErr w:type="gramStart"/>
      <w:r w:rsidRPr="00CF362F">
        <w:rPr>
          <w:szCs w:val="20"/>
        </w:rPr>
        <w:t>a</w:t>
      </w:r>
      <w:proofErr w:type="gramEnd"/>
      <w:r w:rsidRPr="00CF362F">
        <w:rPr>
          <w:szCs w:val="20"/>
        </w:rPr>
        <w:t xml:space="preserve"> emblematic informal recycling site in West Africa, extreme levels of lead and copper were observed in surface soils, far exceeding international guideline values (Ackah, 2019; Teye &amp; Tetteh, 2023). In Guiyu, China, lead and cadmium reach 448.7 mg/kg and 0.71 mg/kg respectively—concentrations several times higher than those in reference areas (Yekeen et al., 2016). Similar trends have been reported in Thailand and Bangladesh, where informal repair and recycling activities are associated with notable soil contamination (Abedin et al., 2025; Pibul et al., 2023). These findings underscore the scale of the issue and the need for reliable assessment tools to characterize pollution levels. The geoaccumulation index (Igeo), developed by Müller, is widely used to estimate the intensity of metal contamination in soils. It classifies sites into seven categories ranging from 0 (unpolluted) to 6 (extremely polluted) by comparing measured concentrations with geochemical background values (Akanchise et al., 2020). Numerous studies have shown that </w:t>
      </w:r>
      <w:r w:rsidRPr="00CF362F">
        <w:rPr>
          <w:szCs w:val="20"/>
        </w:rPr>
        <w:t xml:space="preserve">informal WEEE burning sites exhibit high Igeo values for Cd, Pb, and Cu, reflecting situations of heavy to extreme pollution, while certain metals such as Cr or </w:t>
      </w:r>
      <w:proofErr w:type="gramStart"/>
      <w:r w:rsidRPr="00CF362F">
        <w:rPr>
          <w:szCs w:val="20"/>
        </w:rPr>
        <w:t>As</w:t>
      </w:r>
      <w:proofErr w:type="gramEnd"/>
      <w:r w:rsidRPr="00CF362F">
        <w:rPr>
          <w:szCs w:val="20"/>
        </w:rPr>
        <w:t xml:space="preserve"> sometimes remain at background levels (Owusu-Sekyere et al., 2024; Udousoro et al., 2025; Fosu-Mensah et al., 2017).</w:t>
      </w:r>
    </w:p>
    <w:p w14:paraId="7E03BED3" w14:textId="77777777" w:rsidR="00BC3AE3" w:rsidRPr="00CF362F" w:rsidRDefault="00BC3AE3" w:rsidP="00781B95">
      <w:pPr>
        <w:spacing w:line="360" w:lineRule="auto"/>
        <w:rPr>
          <w:szCs w:val="20"/>
        </w:rPr>
      </w:pPr>
    </w:p>
    <w:p w14:paraId="70BC974A" w14:textId="77777777" w:rsidR="00BC3AE3" w:rsidRPr="00CF362F" w:rsidRDefault="00BC3AE3" w:rsidP="00781B95">
      <w:pPr>
        <w:spacing w:line="360" w:lineRule="auto"/>
        <w:rPr>
          <w:szCs w:val="20"/>
        </w:rPr>
      </w:pPr>
      <w:r w:rsidRPr="00CF362F">
        <w:rPr>
          <w:szCs w:val="20"/>
        </w:rPr>
        <w:t>However, while these dynamics are well documented in some West African countries (Ghana, Nigeria) and Asia (China, Thailand, Bangladesh), few studies exist in Benin, where WEEE management remains largely informal. Estimating e-waste quantities can be difficult in Benin for various reasons. These include the fraudulent entry of most equipment, both new and second-hand, which therefore goes unrecorded in statistics. E-waste proliferates along roadsides or in illegal dumpsites. This method of WEEE management exacerbates the nuisances they cause in the environment. In the country's various regions, end-of-life e-waste, after multiple unsuccessful repairs, undergoes no appropriate treatment. In Cotonou, as in other cities across the country, non-recoverable e-waste residues are stored in warehouses, discarded in illegal dumpsites, buried near repair workshops, or burned. These practices lead to the accumulation of heavy metals in soils, with environmental and health consequences.</w:t>
      </w:r>
    </w:p>
    <w:p w14:paraId="0E04EECB" w14:textId="77777777" w:rsidR="00BC3AE3" w:rsidRPr="00CF362F" w:rsidRDefault="00BC3AE3" w:rsidP="00781B95">
      <w:pPr>
        <w:spacing w:line="360" w:lineRule="auto"/>
        <w:rPr>
          <w:szCs w:val="20"/>
        </w:rPr>
      </w:pPr>
    </w:p>
    <w:p w14:paraId="6E498D6D" w14:textId="77777777" w:rsidR="00CA54B7" w:rsidRDefault="00BC3AE3" w:rsidP="00781B95">
      <w:pPr>
        <w:spacing w:line="360" w:lineRule="auto"/>
        <w:rPr>
          <w:szCs w:val="20"/>
        </w:rPr>
      </w:pPr>
      <w:r w:rsidRPr="00CF362F">
        <w:rPr>
          <w:szCs w:val="20"/>
        </w:rPr>
        <w:t xml:space="preserve">In this context, the present study aims to assess metal contamination of soils in Abomey-Calavi, Cotonou, and Natitingou, distinguishing between passive disposal sites and a burning site. The objective is to measure heavy metal concentrations, calculate the Igeo to determine pollution levels, and compare the results obtained with international guideline </w:t>
      </w:r>
      <w:r w:rsidRPr="00CF362F">
        <w:rPr>
          <w:szCs w:val="20"/>
        </w:rPr>
        <w:lastRenderedPageBreak/>
        <w:t>values as well as with observations from the literature.</w:t>
      </w:r>
    </w:p>
    <w:p w14:paraId="16C38AD5" w14:textId="77777777" w:rsidR="00781B95" w:rsidRDefault="00781B95" w:rsidP="00781B95">
      <w:pPr>
        <w:spacing w:line="360" w:lineRule="auto"/>
        <w:rPr>
          <w:szCs w:val="20"/>
        </w:rPr>
      </w:pPr>
    </w:p>
    <w:p w14:paraId="66B1C726" w14:textId="77777777" w:rsidR="00BC3AE3" w:rsidRPr="00155B6E" w:rsidRDefault="00BC3AE3" w:rsidP="00781B95">
      <w:pPr>
        <w:spacing w:line="360" w:lineRule="auto"/>
        <w:ind w:left="0" w:firstLine="0"/>
        <w:rPr>
          <w:b/>
          <w:bCs/>
          <w:sz w:val="22"/>
          <w:szCs w:val="22"/>
        </w:rPr>
      </w:pPr>
      <w:r w:rsidRPr="00155B6E">
        <w:rPr>
          <w:b/>
          <w:bCs/>
          <w:sz w:val="22"/>
          <w:szCs w:val="22"/>
        </w:rPr>
        <w:t>2. Materials and Methods</w:t>
      </w:r>
    </w:p>
    <w:p w14:paraId="4D31D85E" w14:textId="77777777" w:rsidR="00BC3AE3" w:rsidRPr="00CF362F" w:rsidRDefault="00BC3AE3" w:rsidP="00781B95">
      <w:pPr>
        <w:spacing w:line="360" w:lineRule="auto"/>
        <w:rPr>
          <w:szCs w:val="20"/>
        </w:rPr>
      </w:pPr>
      <w:r w:rsidRPr="00CF362F">
        <w:rPr>
          <w:b/>
          <w:bCs/>
          <w:szCs w:val="20"/>
        </w:rPr>
        <w:t>2.1. Study Area</w:t>
      </w:r>
    </w:p>
    <w:p w14:paraId="0C4666A4" w14:textId="77777777" w:rsidR="00BC3AE3" w:rsidRPr="00CF362F" w:rsidRDefault="00BC3AE3" w:rsidP="00781B95">
      <w:pPr>
        <w:spacing w:line="360" w:lineRule="auto"/>
        <w:rPr>
          <w:szCs w:val="20"/>
        </w:rPr>
      </w:pPr>
      <w:r w:rsidRPr="00CF362F">
        <w:rPr>
          <w:szCs w:val="20"/>
        </w:rPr>
        <w:t>The study was conducted in three cities in Benin: Cotonou, Abomey-Calavi, and Natitingou.</w:t>
      </w:r>
    </w:p>
    <w:p w14:paraId="03DC68EA" w14:textId="77777777" w:rsidR="00CA54B7" w:rsidRDefault="00BC3AE3" w:rsidP="00781B95">
      <w:pPr>
        <w:spacing w:line="360" w:lineRule="auto"/>
        <w:rPr>
          <w:szCs w:val="20"/>
        </w:rPr>
      </w:pPr>
      <w:r w:rsidRPr="00CF362F">
        <w:rPr>
          <w:szCs w:val="20"/>
        </w:rPr>
        <w:t>These locations were chosen due to the presence of informal management sites or waste electrical and electronic equipment (WEEE) dumps. Furthermore, these three selected cities reflect the country's different realities through their geographical distribution, covering both the South, with Cotonou and Abomey-Calavi, and the North, with Natitingou, thereby ensuring territorial and socio-economic representativeness while providing favorable conditions for observing WEEE management. Cotonou is located in the Littoral department and is the economic capital of Benin. It hosts the main seaport and serves as a hub for commerce and industry. Abomey-Calavi is a rapidly expanding municipality located in the Atlantic department and is experiencing rapid population growth. Natitingou, in the northwest of the country, represents a less industrialized area, chosen for comparison with more urbanized zones.</w:t>
      </w:r>
    </w:p>
    <w:p w14:paraId="39B1897D" w14:textId="77777777" w:rsidR="00CA54B7" w:rsidRDefault="00CA54B7" w:rsidP="00781B95">
      <w:pPr>
        <w:spacing w:line="360" w:lineRule="auto"/>
        <w:rPr>
          <w:szCs w:val="20"/>
        </w:rPr>
      </w:pPr>
    </w:p>
    <w:p w14:paraId="6AF447E4" w14:textId="77777777" w:rsidR="00BC3AE3" w:rsidRPr="00CF362F" w:rsidRDefault="00BC3AE3" w:rsidP="00781B95">
      <w:pPr>
        <w:spacing w:line="360" w:lineRule="auto"/>
        <w:rPr>
          <w:b/>
          <w:bCs/>
          <w:szCs w:val="20"/>
        </w:rPr>
      </w:pPr>
      <w:r w:rsidRPr="00CF362F">
        <w:rPr>
          <w:b/>
          <w:bCs/>
          <w:szCs w:val="20"/>
        </w:rPr>
        <w:t>2.2. Sampling</w:t>
      </w:r>
    </w:p>
    <w:p w14:paraId="3876DA9C" w14:textId="77777777" w:rsidR="00BC3AE3" w:rsidRPr="00444A39" w:rsidRDefault="00BC3AE3" w:rsidP="00781B95">
      <w:pPr>
        <w:spacing w:line="360" w:lineRule="auto"/>
        <w:rPr>
          <w:szCs w:val="20"/>
        </w:rPr>
      </w:pPr>
      <w:r w:rsidRPr="00CF362F">
        <w:rPr>
          <w:szCs w:val="20"/>
        </w:rPr>
        <w:t xml:space="preserve">The soil sampling methodology adopted in this study follows the guidelines of ISO 18400-101:2017, which provides a framework for preparing and implementing a sampling plan, ensuring the representativeness and reliability of the collected samples. Soil sampling was carried out at WEEE disposal or informal treatment sites in the three studied cities </w:t>
      </w:r>
      <w:r w:rsidRPr="00CF362F">
        <w:rPr>
          <w:szCs w:val="20"/>
        </w:rPr>
        <w:t xml:space="preserve">(Cotonou, Abomey-Calavi, and Natitingou) using a </w:t>
      </w:r>
      <w:r w:rsidR="00EE726D" w:rsidRPr="00CF362F">
        <w:rPr>
          <w:szCs w:val="20"/>
        </w:rPr>
        <w:t>stainless-steel</w:t>
      </w:r>
      <w:r w:rsidRPr="00CF362F">
        <w:rPr>
          <w:szCs w:val="20"/>
        </w:rPr>
        <w:t xml:space="preserve"> auger to limit contamination. At each site, a sampling plan was implemented according to a three-point sampling scheme spaced 50 meters apart, covering a total distance of 100 meters per site. In Cotonou and Abomey-Calavi, samples were collected following a uniform protocol: three points spaced 50 m apart at each site, with two depths per point (0–20 cm and 20–40 cm). In Natitingou, the protocol was adapted based on local constraints: the first site was sampled at both depths (0–20 cm and 20–40 cm), while subsequent sites were sampled only at the surface (0–20 cm).</w:t>
      </w:r>
    </w:p>
    <w:p w14:paraId="42AD51FD" w14:textId="77777777" w:rsidR="00BC3AE3" w:rsidRDefault="00BC3AE3" w:rsidP="00781B95">
      <w:pPr>
        <w:spacing w:line="360" w:lineRule="auto"/>
        <w:rPr>
          <w:szCs w:val="20"/>
        </w:rPr>
      </w:pPr>
      <w:r w:rsidRPr="00CF362F">
        <w:rPr>
          <w:szCs w:val="20"/>
        </w:rPr>
        <w:t>Each sample was uniquely coded and accompanied by precise location information (city, site, and depth) to ensure traceability. A total of 72 samples were collected. The samples were manually retrieved directly into clean, labeled plastic bags, then grouped into appropriate bags. The samples were immediately transported to the laboratory.</w:t>
      </w:r>
    </w:p>
    <w:p w14:paraId="0E2F1D0C" w14:textId="77777777" w:rsidR="00CA54B7" w:rsidRDefault="00CA54B7" w:rsidP="00781B95">
      <w:pPr>
        <w:spacing w:line="360" w:lineRule="auto"/>
        <w:ind w:left="0" w:firstLine="0"/>
        <w:rPr>
          <w:szCs w:val="20"/>
        </w:rPr>
        <w:sectPr w:rsidR="00CA54B7" w:rsidSect="003C3D22">
          <w:type w:val="continuous"/>
          <w:pgSz w:w="11906" w:h="16838"/>
          <w:pgMar w:top="1417" w:right="1417" w:bottom="1417" w:left="1417" w:header="708" w:footer="708" w:gutter="0"/>
          <w:cols w:num="2" w:space="708"/>
          <w:docGrid w:linePitch="360"/>
        </w:sectPr>
      </w:pPr>
    </w:p>
    <w:p w14:paraId="407A096F" w14:textId="77777777" w:rsidR="00CA54B7" w:rsidRDefault="00CA54B7" w:rsidP="00781B95">
      <w:pPr>
        <w:spacing w:line="360" w:lineRule="auto"/>
        <w:ind w:left="0" w:firstLine="0"/>
        <w:rPr>
          <w:szCs w:val="20"/>
        </w:rPr>
      </w:pPr>
    </w:p>
    <w:p w14:paraId="24C8CA62" w14:textId="77777777" w:rsidR="00CA54B7" w:rsidRDefault="00CA54B7" w:rsidP="00781B95">
      <w:pPr>
        <w:spacing w:line="360" w:lineRule="auto"/>
        <w:jc w:val="center"/>
        <w:rPr>
          <w:szCs w:val="20"/>
        </w:rPr>
      </w:pPr>
      <w:r>
        <w:rPr>
          <w:noProof/>
          <w:szCs w:val="20"/>
        </w:rPr>
        <w:drawing>
          <wp:inline distT="0" distB="0" distL="0" distR="0" wp14:anchorId="27BF263B" wp14:editId="6B2A7AA0">
            <wp:extent cx="7491730" cy="5300036"/>
            <wp:effectExtent l="0" t="0" r="1270" b="0"/>
            <wp:docPr id="12052091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09136" name="Image 120520913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483" cy="5368484"/>
                    </a:xfrm>
                    <a:prstGeom prst="rect">
                      <a:avLst/>
                    </a:prstGeom>
                  </pic:spPr>
                </pic:pic>
              </a:graphicData>
            </a:graphic>
          </wp:inline>
        </w:drawing>
      </w:r>
    </w:p>
    <w:p w14:paraId="4608CA06" w14:textId="77777777" w:rsidR="00CA54B7" w:rsidRPr="00CA54B7" w:rsidRDefault="00CA54B7" w:rsidP="00781B95">
      <w:pPr>
        <w:spacing w:after="240" w:line="360" w:lineRule="auto"/>
        <w:ind w:right="0"/>
        <w:jc w:val="center"/>
        <w:sectPr w:rsidR="00CA54B7" w:rsidRPr="00CA54B7" w:rsidSect="00CA54B7">
          <w:pgSz w:w="16838" w:h="11906" w:orient="landscape"/>
          <w:pgMar w:top="1417" w:right="1417" w:bottom="1417" w:left="1417" w:header="708" w:footer="708" w:gutter="0"/>
          <w:cols w:space="708"/>
          <w:docGrid w:linePitch="360"/>
        </w:sectPr>
      </w:pPr>
      <w:r>
        <w:rPr>
          <w:b/>
        </w:rPr>
        <w:t>Fig. 1. Location of sampling sites</w:t>
      </w:r>
    </w:p>
    <w:p w14:paraId="5A3B1967" w14:textId="77777777" w:rsidR="00BC3AE3" w:rsidRPr="00155B6E" w:rsidRDefault="00BC3AE3" w:rsidP="00781B95">
      <w:pPr>
        <w:spacing w:line="360" w:lineRule="auto"/>
        <w:ind w:left="0" w:firstLine="0"/>
        <w:rPr>
          <w:sz w:val="22"/>
          <w:szCs w:val="22"/>
        </w:rPr>
      </w:pPr>
      <w:r w:rsidRPr="00155B6E">
        <w:rPr>
          <w:b/>
          <w:bCs/>
          <w:sz w:val="22"/>
          <w:szCs w:val="22"/>
        </w:rPr>
        <w:lastRenderedPageBreak/>
        <w:t>2.3. Laboratory Analyses</w:t>
      </w:r>
    </w:p>
    <w:p w14:paraId="284A5A5D" w14:textId="77777777" w:rsidR="00BC3AE3" w:rsidRPr="00CF362F" w:rsidRDefault="00BC3AE3" w:rsidP="00781B95">
      <w:pPr>
        <w:spacing w:line="360" w:lineRule="auto"/>
        <w:rPr>
          <w:b/>
          <w:bCs/>
          <w:szCs w:val="20"/>
        </w:rPr>
      </w:pPr>
      <w:r>
        <w:rPr>
          <w:b/>
          <w:bCs/>
          <w:szCs w:val="20"/>
        </w:rPr>
        <w:t xml:space="preserve">2.3.1. </w:t>
      </w:r>
      <w:r w:rsidRPr="00CF362F">
        <w:rPr>
          <w:b/>
          <w:bCs/>
          <w:szCs w:val="20"/>
        </w:rPr>
        <w:t xml:space="preserve">Soil Preparation at the Laboratory </w:t>
      </w:r>
      <w:r>
        <w:rPr>
          <w:b/>
          <w:bCs/>
          <w:szCs w:val="20"/>
        </w:rPr>
        <w:t xml:space="preserve">of </w:t>
      </w:r>
      <w:r w:rsidRPr="00CF362F">
        <w:rPr>
          <w:b/>
          <w:bCs/>
          <w:szCs w:val="20"/>
        </w:rPr>
        <w:t>National Institute of Agricultural Research of Benin (INRAB)</w:t>
      </w:r>
    </w:p>
    <w:p w14:paraId="47796260" w14:textId="77777777" w:rsidR="00BC3AE3" w:rsidRDefault="00BC3AE3" w:rsidP="00781B95">
      <w:pPr>
        <w:spacing w:line="360" w:lineRule="auto"/>
        <w:rPr>
          <w:szCs w:val="20"/>
        </w:rPr>
      </w:pPr>
      <w:r w:rsidRPr="00CF362F">
        <w:rPr>
          <w:szCs w:val="20"/>
        </w:rPr>
        <w:t>Upon arrival at the laboratory, the samples were air-dried for 24 hours to reduce their natural moisture content. Once dry, they were first sieved to remove coarse particles, stones, or unrepresentative debris. The resulting fractions were then manually ground using a porcelain mortar until a fine, homogeneous powder was obtained. This powder was processed using a 2 mm mesh sieve, in accordance with standard recommendations for sample preparation for physicochemical analyses. Finally, the prepared samples were stored in hermetically sealed plastic bags, kept in a dry environment at room temperature (ISO, 2007), pending use for analyses. This preparation follows ISO 11464:2006 standard.</w:t>
      </w:r>
    </w:p>
    <w:p w14:paraId="16BFC662" w14:textId="77777777" w:rsidR="00CA54B7" w:rsidRPr="00975B0A" w:rsidRDefault="00CA54B7" w:rsidP="00781B95">
      <w:pPr>
        <w:spacing w:line="360" w:lineRule="auto"/>
        <w:rPr>
          <w:rFonts w:eastAsiaTheme="minorHAnsi"/>
          <w:szCs w:val="20"/>
        </w:rPr>
      </w:pPr>
    </w:p>
    <w:p w14:paraId="562A5858" w14:textId="77777777" w:rsidR="00BC3AE3" w:rsidRPr="00155B6E" w:rsidRDefault="00BC3AE3" w:rsidP="00781B95">
      <w:pPr>
        <w:spacing w:line="360" w:lineRule="auto"/>
        <w:rPr>
          <w:b/>
          <w:bCs/>
          <w:szCs w:val="20"/>
        </w:rPr>
      </w:pPr>
      <w:r w:rsidRPr="00155B6E">
        <w:rPr>
          <w:b/>
          <w:bCs/>
          <w:szCs w:val="20"/>
        </w:rPr>
        <w:t>2.3.2. Soil Preparation at the Laboratory (Iasi)</w:t>
      </w:r>
    </w:p>
    <w:p w14:paraId="318C1165" w14:textId="77777777" w:rsidR="00BC3AE3" w:rsidRPr="00CF362F" w:rsidRDefault="00BC3AE3" w:rsidP="00781B95">
      <w:pPr>
        <w:spacing w:line="360" w:lineRule="auto"/>
        <w:rPr>
          <w:szCs w:val="20"/>
        </w:rPr>
      </w:pPr>
      <w:r w:rsidRPr="00CF362F">
        <w:rPr>
          <w:szCs w:val="20"/>
        </w:rPr>
        <w:t xml:space="preserve">The soil samples were first dried in an oven (80 °C) and then weighed. Ten grams of dry soil were subsequently transferred into beakers and digested by successive addition of concentrated nitric acid and heating on a hot plate at 200 °C, until complete mineralization was achieved. The solution was then diluted with distilled water and filtered into 50 ml volumetric flasks. The process was </w:t>
      </w:r>
      <w:r w:rsidR="00EE726D" w:rsidRPr="00CF362F">
        <w:rPr>
          <w:szCs w:val="20"/>
        </w:rPr>
        <w:t>repeated,</w:t>
      </w:r>
      <w:r w:rsidRPr="00CF362F">
        <w:rPr>
          <w:szCs w:val="20"/>
        </w:rPr>
        <w:t xml:space="preserve"> if necessary, until a clear solution was obtained, indicating the absence of residual organic matter, following ISO 16729:2013 standard.</w:t>
      </w:r>
    </w:p>
    <w:p w14:paraId="658418F8" w14:textId="77777777" w:rsidR="00BC3AE3" w:rsidRPr="00CF362F" w:rsidRDefault="00BC3AE3" w:rsidP="00781B95">
      <w:pPr>
        <w:spacing w:line="360" w:lineRule="auto"/>
        <w:rPr>
          <w:szCs w:val="20"/>
        </w:rPr>
      </w:pPr>
    </w:p>
    <w:p w14:paraId="17BED4A9" w14:textId="77777777" w:rsidR="00BC3AE3" w:rsidRPr="00155B6E" w:rsidRDefault="00BC3AE3" w:rsidP="00781B95">
      <w:pPr>
        <w:spacing w:after="0" w:line="360" w:lineRule="auto"/>
        <w:rPr>
          <w:b/>
          <w:bCs/>
          <w:szCs w:val="20"/>
        </w:rPr>
      </w:pPr>
      <w:r w:rsidRPr="00155B6E">
        <w:rPr>
          <w:b/>
          <w:bCs/>
          <w:szCs w:val="20"/>
        </w:rPr>
        <w:t>2.3.3. Analytical Technique</w:t>
      </w:r>
    </w:p>
    <w:p w14:paraId="0EF126D2" w14:textId="77777777" w:rsidR="00BC3AE3" w:rsidRPr="00CF362F" w:rsidRDefault="00BC3AE3" w:rsidP="00781B95">
      <w:pPr>
        <w:spacing w:after="0" w:line="360" w:lineRule="auto"/>
        <w:rPr>
          <w:szCs w:val="20"/>
        </w:rPr>
      </w:pPr>
      <w:r w:rsidRPr="00CF362F">
        <w:rPr>
          <w:szCs w:val="20"/>
        </w:rPr>
        <w:t>Metal concentrations were determined by atomic absorption spectrometry (AAS) and UV-Visible spectrophotometry.</w:t>
      </w:r>
    </w:p>
    <w:p w14:paraId="546B0E72" w14:textId="77777777" w:rsidR="00BC3AE3" w:rsidRPr="00CF362F" w:rsidRDefault="00BC3AE3" w:rsidP="00781B95">
      <w:pPr>
        <w:spacing w:after="0" w:line="360" w:lineRule="auto"/>
        <w:rPr>
          <w:szCs w:val="20"/>
        </w:rPr>
      </w:pPr>
      <w:r w:rsidRPr="00CF362F">
        <w:rPr>
          <w:szCs w:val="20"/>
        </w:rPr>
        <w:t>AAS was used for the quantification of copper (Cu), cadmium (Cd), lead (Pb), nickel (Ni), arsenic (As), and zinc (Zn). This technique is based on measuring the absorbance of light by atoms vaporized in a flame, with each metal detected at a specific wavelength using a hollow cathode lamp.</w:t>
      </w:r>
    </w:p>
    <w:p w14:paraId="2A16022F" w14:textId="77777777" w:rsidR="00BC3AE3" w:rsidRPr="00CF362F" w:rsidRDefault="00BC3AE3" w:rsidP="00781B95">
      <w:pPr>
        <w:spacing w:after="0" w:line="360" w:lineRule="auto"/>
        <w:rPr>
          <w:szCs w:val="20"/>
        </w:rPr>
      </w:pPr>
      <w:r w:rsidRPr="00CF362F">
        <w:rPr>
          <w:szCs w:val="20"/>
        </w:rPr>
        <w:t>The solutions resulting from mineralization were analyzed after preparing standard solutions for each metal. The flow rate of the air-acetylene mixture was optimized to ensure flame stability. Calibration curves obtained from standard solutions were used to calculate sample concentrations, expressed in mg/kg. This method refers to ISO 8288:1986 standard and Standard Methods 3111 B (2017).</w:t>
      </w:r>
    </w:p>
    <w:p w14:paraId="295E8597" w14:textId="77777777" w:rsidR="00BC3AE3" w:rsidRPr="00CF362F" w:rsidRDefault="00BC3AE3" w:rsidP="00781B95">
      <w:pPr>
        <w:spacing w:after="0" w:line="360" w:lineRule="auto"/>
        <w:rPr>
          <w:szCs w:val="20"/>
        </w:rPr>
      </w:pPr>
      <w:r w:rsidRPr="00CF362F">
        <w:rPr>
          <w:szCs w:val="20"/>
        </w:rPr>
        <w:t>Spectrophotometry was used for the analysis of iron (Fe) and chromium (Cr).</w:t>
      </w:r>
    </w:p>
    <w:p w14:paraId="2A37B465" w14:textId="77777777" w:rsidR="00BC3AE3" w:rsidRPr="00CF362F" w:rsidRDefault="00BC3AE3" w:rsidP="00781B95">
      <w:pPr>
        <w:spacing w:after="0" w:line="360" w:lineRule="auto"/>
        <w:rPr>
          <w:szCs w:val="20"/>
        </w:rPr>
      </w:pPr>
      <w:r w:rsidRPr="00CF362F">
        <w:rPr>
          <w:szCs w:val="20"/>
        </w:rPr>
        <w:t>For iron, the method is based on the formation of a red complex between Fe³</w:t>
      </w:r>
      <w:r w:rsidRPr="00CF362F">
        <w:rPr>
          <w:rFonts w:ascii="Cambria Math" w:hAnsi="Cambria Math" w:cs="Cambria Math"/>
          <w:szCs w:val="20"/>
        </w:rPr>
        <w:t>⁺</w:t>
      </w:r>
      <w:r w:rsidRPr="00CF362F">
        <w:rPr>
          <w:szCs w:val="20"/>
        </w:rPr>
        <w:t xml:space="preserve"> and thiocyanate ion (KSCN), measured at a wavelength of 480 nm. Standard solutions were prepared from Fe and KSCN stock solutions, and sample concentrations were calculated from the calibration curve.</w:t>
      </w:r>
    </w:p>
    <w:p w14:paraId="3610458F" w14:textId="77777777" w:rsidR="00BC3AE3" w:rsidRPr="00CF362F" w:rsidRDefault="00BC3AE3" w:rsidP="00781B95">
      <w:pPr>
        <w:spacing w:after="0" w:line="360" w:lineRule="auto"/>
        <w:rPr>
          <w:szCs w:val="20"/>
        </w:rPr>
      </w:pPr>
      <w:r w:rsidRPr="00CF362F">
        <w:rPr>
          <w:szCs w:val="20"/>
        </w:rPr>
        <w:t>For chromium, a colored complex was formed with diphenyl carbazide, whose absorbance was measured at 540 nm. Standard solutions prepared from the stock solution were used to establish the calibration curve. These methods conform to ISO 6332:1988 (iron determination), ISO 11083:1994 (chromium determination), and Standard Methods 3500-Fe B (2017).</w:t>
      </w:r>
    </w:p>
    <w:p w14:paraId="294941A3" w14:textId="77777777" w:rsidR="00EE726D" w:rsidRDefault="00EE726D" w:rsidP="00781B95">
      <w:pPr>
        <w:spacing w:after="0" w:line="360" w:lineRule="auto"/>
        <w:ind w:left="0" w:firstLine="0"/>
        <w:rPr>
          <w:b/>
          <w:bCs/>
          <w:szCs w:val="20"/>
        </w:rPr>
      </w:pPr>
    </w:p>
    <w:p w14:paraId="7A67D703" w14:textId="77777777" w:rsidR="00CA54B7" w:rsidRDefault="00CA54B7" w:rsidP="00781B95">
      <w:pPr>
        <w:spacing w:after="0" w:line="360" w:lineRule="auto"/>
        <w:ind w:left="0" w:firstLine="0"/>
        <w:rPr>
          <w:b/>
          <w:bCs/>
          <w:szCs w:val="20"/>
        </w:rPr>
      </w:pPr>
    </w:p>
    <w:p w14:paraId="7CB09542" w14:textId="77777777" w:rsidR="00BC3AE3" w:rsidRPr="00155B6E" w:rsidRDefault="00BC3AE3" w:rsidP="00781B95">
      <w:pPr>
        <w:spacing w:after="0" w:line="360" w:lineRule="auto"/>
        <w:rPr>
          <w:b/>
          <w:bCs/>
          <w:sz w:val="22"/>
          <w:szCs w:val="22"/>
        </w:rPr>
      </w:pPr>
      <w:r w:rsidRPr="00155B6E">
        <w:rPr>
          <w:b/>
          <w:bCs/>
          <w:sz w:val="22"/>
          <w:szCs w:val="22"/>
        </w:rPr>
        <w:lastRenderedPageBreak/>
        <w:t>2.4. Statistical Analyses</w:t>
      </w:r>
    </w:p>
    <w:p w14:paraId="1D5AF8E5" w14:textId="77777777" w:rsidR="00BC3AE3" w:rsidRDefault="00BC3AE3" w:rsidP="00781B95">
      <w:pPr>
        <w:spacing w:line="360" w:lineRule="auto"/>
        <w:rPr>
          <w:rFonts w:eastAsia="Times New Roman"/>
          <w:szCs w:val="20"/>
          <w:lang w:eastAsia="fr-FR"/>
        </w:rPr>
      </w:pPr>
      <w:r w:rsidRPr="00CF362F">
        <w:rPr>
          <w:rFonts w:eastAsia="Times New Roman"/>
          <w:szCs w:val="20"/>
          <w:lang w:eastAsia="fr-FR"/>
        </w:rPr>
        <w:t>Statistical analyses were performed using R software. Metal concentration data were first organized in Excel before processing. Differences in concentrations between sites were assessed using the Kruskal-Wallis test, which is better suited for environmental data. When significant differences were observed, Dunn's post-hoc test was used to identify sites with significant variations. To examine relationships between metals, Spearman correlations were calculated. Furthermore, Principal Component Analysis (PCA) was conducted to highlight associations between metals and characterize similarities or differences between sites. The measured concentrations were then compared with guideline values to assess the potential contamination risk. Finally, the pollution level was estimated using the geoaccumulation index (Igeo), calculated according to the formula proposed by Müller (1969):</w:t>
      </w:r>
    </w:p>
    <w:p w14:paraId="460B1CAB" w14:textId="77777777" w:rsidR="00BC3AE3" w:rsidRDefault="00BC3AE3" w:rsidP="00781B95">
      <w:pPr>
        <w:spacing w:line="360" w:lineRule="auto"/>
        <w:rPr>
          <w:rFonts w:eastAsia="Times New Roman"/>
          <w:szCs w:val="20"/>
          <w:lang w:eastAsia="fr-FR"/>
        </w:rPr>
      </w:pPr>
      <m:oMathPara>
        <m:oMath>
          <m:r>
            <m:rPr>
              <m:sty m:val="p"/>
            </m:rPr>
            <w:rPr>
              <w:rFonts w:ascii="Cambria Math" w:eastAsia="Times New Roman" w:hAnsi="Cambria Math"/>
              <w:szCs w:val="20"/>
              <w:lang w:eastAsia="fr-FR"/>
            </w:rPr>
            <m:t xml:space="preserve">Igeo = </m:t>
          </m:r>
          <m:sSup>
            <m:sSupPr>
              <m:ctrlPr>
                <w:rPr>
                  <w:rFonts w:ascii="Cambria Math" w:eastAsia="Times New Roman" w:hAnsi="Cambria Math" w:cs="Cambria Math"/>
                  <w:szCs w:val="20"/>
                  <w:lang w:eastAsia="fr-FR"/>
                </w:rPr>
              </m:ctrlPr>
            </m:sSupPr>
            <m:e>
              <m:r>
                <m:rPr>
                  <m:sty m:val="p"/>
                </m:rPr>
                <w:rPr>
                  <w:rFonts w:ascii="Cambria Math" w:eastAsia="Times New Roman" w:hAnsi="Cambria Math"/>
                  <w:szCs w:val="20"/>
                  <w:lang w:eastAsia="fr-FR"/>
                </w:rPr>
                <m:t>log</m:t>
              </m:r>
              <m:ctrlPr>
                <w:rPr>
                  <w:rFonts w:ascii="Cambria Math" w:eastAsia="Times New Roman" w:hAnsi="Cambria Math"/>
                  <w:szCs w:val="20"/>
                  <w:lang w:eastAsia="fr-FR"/>
                </w:rPr>
              </m:ctrlPr>
            </m:e>
            <m:sup>
              <m:r>
                <m:rPr>
                  <m:sty m:val="p"/>
                </m:rPr>
                <w:rPr>
                  <w:rFonts w:ascii="Cambria Math" w:eastAsia="Times New Roman" w:hAnsi="Cambria Math" w:cs="Cambria Math"/>
                  <w:szCs w:val="20"/>
                  <w:lang w:eastAsia="fr-FR"/>
                </w:rPr>
                <m:t>2</m:t>
              </m:r>
            </m:sup>
          </m:sSup>
          <m:d>
            <m:dPr>
              <m:ctrlPr>
                <w:rPr>
                  <w:rFonts w:ascii="Cambria Math" w:eastAsia="Times New Roman" w:hAnsi="Cambria Math"/>
                  <w:szCs w:val="20"/>
                  <w:lang w:eastAsia="fr-FR"/>
                </w:rPr>
              </m:ctrlPr>
            </m:dPr>
            <m:e>
              <m:f>
                <m:fPr>
                  <m:ctrlPr>
                    <w:rPr>
                      <w:rFonts w:ascii="Cambria Math" w:eastAsia="Times New Roman" w:hAnsi="Cambria Math"/>
                      <w:szCs w:val="20"/>
                      <w:lang w:eastAsia="fr-FR"/>
                    </w:rPr>
                  </m:ctrlPr>
                </m:fPr>
                <m:num>
                  <m:r>
                    <m:rPr>
                      <m:sty m:val="p"/>
                    </m:rPr>
                    <w:rPr>
                      <w:rFonts w:ascii="Cambria Math" w:eastAsia="Times New Roman" w:hAnsi="Cambria Math"/>
                      <w:szCs w:val="20"/>
                      <w:lang w:eastAsia="fr-FR"/>
                    </w:rPr>
                    <m:t>Cn</m:t>
                  </m:r>
                </m:num>
                <m:den>
                  <m:r>
                    <m:rPr>
                      <m:sty m:val="p"/>
                    </m:rPr>
                    <w:rPr>
                      <w:rFonts w:ascii="Cambria Math" w:eastAsia="Times New Roman"/>
                      <w:szCs w:val="20"/>
                      <w:lang w:eastAsia="fr-FR"/>
                    </w:rPr>
                    <m:t>1,5</m:t>
                  </m:r>
                  <m:r>
                    <m:rPr>
                      <m:sty m:val="p"/>
                    </m:rPr>
                    <w:rPr>
                      <w:rFonts w:ascii="Cambria Math" w:eastAsia="Times New Roman" w:hAnsi="Cambria Math" w:cs="Cambria Math"/>
                      <w:szCs w:val="20"/>
                      <w:lang w:eastAsia="fr-FR"/>
                    </w:rPr>
                    <m:t>*</m:t>
                  </m:r>
                  <m:r>
                    <m:rPr>
                      <m:sty m:val="p"/>
                    </m:rPr>
                    <w:rPr>
                      <w:rFonts w:ascii="Cambria Math" w:eastAsia="Times New Roman"/>
                      <w:szCs w:val="20"/>
                      <w:lang w:eastAsia="fr-FR"/>
                    </w:rPr>
                    <m:t>Bn</m:t>
                  </m:r>
                </m:den>
              </m:f>
            </m:e>
          </m:d>
          <m:r>
            <w:rPr>
              <w:rFonts w:ascii="Cambria Math" w:eastAsia="Times New Roman"/>
              <w:szCs w:val="20"/>
              <w:lang w:eastAsia="fr-FR"/>
            </w:rPr>
            <m:t xml:space="preserve">                              (1)</m:t>
          </m:r>
        </m:oMath>
      </m:oMathPara>
    </w:p>
    <w:p w14:paraId="33579DC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Where Cn corresponds to the measured concentration and Bn to the geochemical background value of the element from the literature (Turekian &amp; Wedepohl, 1961). The values obtained were interpreted according to the seven classes defined by Müller.</w:t>
      </w:r>
    </w:p>
    <w:p w14:paraId="434D4E23" w14:textId="77777777" w:rsidR="00BC3AE3" w:rsidRPr="00155B6E" w:rsidRDefault="00BC3AE3" w:rsidP="00781B95">
      <w:pPr>
        <w:spacing w:line="360" w:lineRule="auto"/>
        <w:rPr>
          <w:rFonts w:eastAsia="Times New Roman"/>
          <w:sz w:val="22"/>
          <w:szCs w:val="22"/>
          <w:lang w:eastAsia="fr-FR"/>
        </w:rPr>
      </w:pPr>
      <w:r w:rsidRPr="00155B6E">
        <w:rPr>
          <w:rFonts w:eastAsia="Times New Roman"/>
          <w:b/>
          <w:bCs/>
          <w:sz w:val="22"/>
          <w:szCs w:val="22"/>
          <w:lang w:eastAsia="fr-FR"/>
        </w:rPr>
        <w:t>3. Results</w:t>
      </w:r>
    </w:p>
    <w:p w14:paraId="07BB62F2" w14:textId="77777777" w:rsidR="00BC3AE3" w:rsidRPr="00CF362F" w:rsidRDefault="00BC3AE3" w:rsidP="00781B95">
      <w:pPr>
        <w:spacing w:line="360" w:lineRule="auto"/>
        <w:rPr>
          <w:rFonts w:eastAsia="Times New Roman"/>
          <w:szCs w:val="20"/>
          <w:lang w:eastAsia="fr-FR"/>
        </w:rPr>
      </w:pPr>
      <w:r w:rsidRPr="00CF362F">
        <w:rPr>
          <w:rFonts w:eastAsia="Times New Roman"/>
          <w:b/>
          <w:bCs/>
          <w:szCs w:val="20"/>
          <w:lang w:eastAsia="fr-FR"/>
        </w:rPr>
        <w:t>3.1. Metal Concentrations in Soils</w:t>
      </w:r>
    </w:p>
    <w:p w14:paraId="3ACF834E"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Descriptive statistical analysis of heavy metal concentrations in soil samples collected from Abomey-Calavi, Cotonou, and Natitingou shows variations depending on the site.</w:t>
      </w:r>
    </w:p>
    <w:p w14:paraId="45ED1350" w14:textId="77777777" w:rsidR="00781B95" w:rsidRDefault="00BC3AE3" w:rsidP="00781B95">
      <w:pPr>
        <w:spacing w:line="360" w:lineRule="auto"/>
        <w:rPr>
          <w:rFonts w:eastAsia="Times New Roman"/>
          <w:szCs w:val="20"/>
          <w:lang w:eastAsia="fr-FR"/>
        </w:rPr>
      </w:pPr>
      <w:r w:rsidRPr="00CF362F">
        <w:rPr>
          <w:rFonts w:eastAsia="Times New Roman"/>
          <w:szCs w:val="20"/>
          <w:lang w:eastAsia="fr-FR"/>
        </w:rPr>
        <w:t xml:space="preserve">Overall, arsenic (As) levels remain extremely low, often below 0.005 mg/kg, with zero medians for all three cities, indicating an absence of significant contamination by this </w:t>
      </w:r>
      <w:r w:rsidRPr="00CF362F">
        <w:rPr>
          <w:rFonts w:eastAsia="Times New Roman"/>
          <w:szCs w:val="20"/>
          <w:lang w:eastAsia="fr-FR"/>
        </w:rPr>
        <w:t xml:space="preserve">element. Cadmium (Cd) reveals a marked presence across cities: while mean concentrations are low in Cotonou (0.077 mg/kg) and Natitingou (0.167 mg/kg), Abomey-Calavi presents a much higher mean value (3.95 mg/kg) with a maximum reaching 119 mg/kg. This value is explained by the presence of the WEEE burning site, which constitutes a point source of pollution and strongly influences the mean. Copper (Cu) and iron (Fe) follow a similar trend: levels are low in Cotonou and Natitingou, but abnormally high in Abomey-Calavi (respective means of 23.18 and 123.33 mg/kg), with maximum values (416.97 mg/kg for Cu and 2040.32 mg/kg for Fe), again due to the burning site. For lead (Pb) and zinc (Zn), means remain low in all cities, but Abomey-Calavi still stands out with maximum values (503.02 mg/kg for Pb and 1.06 mg/kg for Zn), reflecting localized rather than widespread pollution. Nickel (Ni) and chromium (Cr) also exhibit low to moderate concentrations, with respective maximum values of 226.83 mg/kg and 7.78 mg/kg in Abomey-Calavi, compared to much lower levels in the other two cities. Overall, these results suggest that metal contamination of soils by WEEE remains limited at most study sites. However, the waste burning area in Abomey-Calavi constitutes a marked anomaly, with elevated levels of several heavy metals, illustrating the direct impact of burning practices on soil pollution (See Table </w:t>
      </w:r>
      <w:r>
        <w:rPr>
          <w:rFonts w:eastAsia="Times New Roman"/>
          <w:szCs w:val="20"/>
          <w:lang w:eastAsia="fr-FR"/>
        </w:rPr>
        <w:t>A</w:t>
      </w:r>
      <w:r w:rsidRPr="00CF362F">
        <w:rPr>
          <w:rFonts w:eastAsia="Times New Roman"/>
          <w:szCs w:val="20"/>
          <w:lang w:eastAsia="fr-FR"/>
        </w:rPr>
        <w:t>1</w:t>
      </w:r>
      <w:r>
        <w:rPr>
          <w:rFonts w:eastAsia="Times New Roman"/>
          <w:szCs w:val="20"/>
          <w:lang w:eastAsia="fr-FR"/>
        </w:rPr>
        <w:t xml:space="preserve"> in appendix</w:t>
      </w:r>
      <w:r w:rsidRPr="00CF362F">
        <w:rPr>
          <w:rFonts w:eastAsia="Times New Roman"/>
          <w:szCs w:val="20"/>
          <w:lang w:eastAsia="fr-FR"/>
        </w:rPr>
        <w:t>).</w:t>
      </w:r>
    </w:p>
    <w:p w14:paraId="330AC4F2" w14:textId="77777777" w:rsidR="00781B95" w:rsidRPr="00BF1DC0" w:rsidRDefault="00781B95" w:rsidP="00781B95">
      <w:pPr>
        <w:spacing w:line="360" w:lineRule="auto"/>
        <w:rPr>
          <w:rFonts w:eastAsia="Times New Roman"/>
          <w:szCs w:val="20"/>
          <w:lang w:eastAsia="fr-FR"/>
        </w:rPr>
      </w:pPr>
    </w:p>
    <w:p w14:paraId="3F324C6F" w14:textId="77777777" w:rsidR="00BC3AE3" w:rsidRPr="00CF362F" w:rsidRDefault="00BC3AE3" w:rsidP="00781B95">
      <w:pPr>
        <w:spacing w:line="360" w:lineRule="auto"/>
        <w:rPr>
          <w:szCs w:val="20"/>
        </w:rPr>
      </w:pPr>
      <w:r w:rsidRPr="00CF362F">
        <w:rPr>
          <w:b/>
          <w:bCs/>
          <w:szCs w:val="20"/>
        </w:rPr>
        <w:t>3.2. Spatial Variability of Metals</w:t>
      </w:r>
    </w:p>
    <w:p w14:paraId="07AB13F9" w14:textId="77777777" w:rsidR="00BC3AE3" w:rsidRDefault="00BC3AE3" w:rsidP="00781B95">
      <w:pPr>
        <w:spacing w:line="360" w:lineRule="auto"/>
        <w:rPr>
          <w:szCs w:val="20"/>
        </w:rPr>
      </w:pPr>
      <w:r w:rsidRPr="00CF362F">
        <w:rPr>
          <w:szCs w:val="20"/>
        </w:rPr>
        <w:t xml:space="preserve">Comparison between cities shows that all metals except </w:t>
      </w:r>
      <w:proofErr w:type="gramStart"/>
      <w:r w:rsidRPr="00CF362F">
        <w:rPr>
          <w:szCs w:val="20"/>
        </w:rPr>
        <w:t>As</w:t>
      </w:r>
      <w:proofErr w:type="gramEnd"/>
      <w:r w:rsidRPr="00CF362F">
        <w:rPr>
          <w:szCs w:val="20"/>
        </w:rPr>
        <w:t xml:space="preserve"> vary significantly across cities. Kruskal-Wallis analysis (Table </w:t>
      </w:r>
      <w:r>
        <w:rPr>
          <w:szCs w:val="20"/>
        </w:rPr>
        <w:t>A</w:t>
      </w:r>
      <w:r w:rsidRPr="00CF362F">
        <w:rPr>
          <w:szCs w:val="20"/>
        </w:rPr>
        <w:t>2</w:t>
      </w:r>
      <w:r>
        <w:rPr>
          <w:szCs w:val="20"/>
        </w:rPr>
        <w:t xml:space="preserve"> in appendix</w:t>
      </w:r>
      <w:r w:rsidRPr="00CF362F">
        <w:rPr>
          <w:szCs w:val="20"/>
        </w:rPr>
        <w:t xml:space="preserve">) revealed significant differences in </w:t>
      </w:r>
      <w:r w:rsidRPr="00CF362F">
        <w:rPr>
          <w:szCs w:val="20"/>
        </w:rPr>
        <w:lastRenderedPageBreak/>
        <w:t xml:space="preserve">concentrations between sites for the majority of studied metals (Cd, Cu, Fe, Pb, Zn, Ni, Cr; p &lt; 0.05), with the exception of arsenic (p = 0.078), whose variations were not significant. Dunn's post-hoc tests (Table </w:t>
      </w:r>
      <w:r>
        <w:rPr>
          <w:szCs w:val="20"/>
        </w:rPr>
        <w:t>A</w:t>
      </w:r>
      <w:r w:rsidRPr="00CF362F">
        <w:rPr>
          <w:szCs w:val="20"/>
        </w:rPr>
        <w:t>3</w:t>
      </w:r>
      <w:r>
        <w:rPr>
          <w:szCs w:val="20"/>
        </w:rPr>
        <w:t xml:space="preserve"> in appendix</w:t>
      </w:r>
      <w:r w:rsidRPr="00CF362F">
        <w:rPr>
          <w:szCs w:val="20"/>
        </w:rPr>
        <w:t xml:space="preserve">) allowed for detailed inter-site comparisons. Results indicate that lead (Pb) and cadmium (Cd) exhibited the most marked differences, with significantly higher concentrations in Abomey-Calavi compared to other localities (p &lt; 0.001). Furthermore, a clear difference was observed between Cotonou and Natitingou (p &lt; 0.001 for Pb; p = 0.0027 for Cd). Copper (Cu) and zinc (Zn) also showed significant variations, particularly between Abomey-Calavi and other </w:t>
      </w:r>
      <w:r w:rsidRPr="00CF362F">
        <w:rPr>
          <w:szCs w:val="20"/>
        </w:rPr>
        <w:t>sites (p &lt; 0.05), as well as between Cotonou and Natitingou (p = 0.025 and p = 0.032, respectively). For iron (Fe) and nickel (Ni), differences were significant between Abomey-Calavi and other sites (p = 0.001 and p = 0.003 respectively), as well as between Cotonou and Natitingou (p &lt; 0.05). Chromium (Cr) showed a significant difference only between Abomey-Calavi and other localities (p = 0.038).</w:t>
      </w:r>
    </w:p>
    <w:p w14:paraId="4929DC2C" w14:textId="77777777" w:rsidR="00781B95" w:rsidRPr="00CF362F" w:rsidRDefault="00781B95" w:rsidP="00781B95">
      <w:pPr>
        <w:spacing w:line="360" w:lineRule="auto"/>
        <w:rPr>
          <w:szCs w:val="20"/>
        </w:rPr>
      </w:pPr>
    </w:p>
    <w:p w14:paraId="65F05DF9" w14:textId="77777777" w:rsidR="00BC3AE3" w:rsidRPr="00CF362F" w:rsidRDefault="00BC3AE3" w:rsidP="00781B95">
      <w:pPr>
        <w:spacing w:line="360" w:lineRule="auto"/>
        <w:rPr>
          <w:szCs w:val="20"/>
        </w:rPr>
      </w:pPr>
      <w:r w:rsidRPr="00CF362F">
        <w:rPr>
          <w:b/>
          <w:bCs/>
          <w:szCs w:val="20"/>
        </w:rPr>
        <w:t>3.3. Specific Analysis of the Burning Site</w:t>
      </w:r>
    </w:p>
    <w:p w14:paraId="5151F911" w14:textId="77777777" w:rsidR="00BC3AE3" w:rsidRPr="00CF362F" w:rsidRDefault="00BC3AE3" w:rsidP="00781B95">
      <w:pPr>
        <w:spacing w:line="360" w:lineRule="auto"/>
        <w:rPr>
          <w:szCs w:val="20"/>
        </w:rPr>
      </w:pPr>
      <w:r w:rsidRPr="00CF362F">
        <w:rPr>
          <w:szCs w:val="20"/>
        </w:rPr>
        <w:t>The results shown in the figure reveal marked differences in the distribution of heavy metals according to the studied sites.</w:t>
      </w:r>
    </w:p>
    <w:p w14:paraId="50CCD253" w14:textId="77777777" w:rsidR="00BC3AE3" w:rsidRPr="00CF362F" w:rsidRDefault="00BC3AE3" w:rsidP="00781B95">
      <w:pPr>
        <w:spacing w:line="360" w:lineRule="auto"/>
        <w:rPr>
          <w:szCs w:val="20"/>
        </w:rPr>
      </w:pPr>
    </w:p>
    <w:p w14:paraId="5CAD8920" w14:textId="77777777" w:rsidR="003C3D22" w:rsidRDefault="003C3D22" w:rsidP="00781B95">
      <w:pPr>
        <w:spacing w:line="360" w:lineRule="auto"/>
        <w:rPr>
          <w:szCs w:val="20"/>
        </w:rPr>
        <w:sectPr w:rsidR="003C3D22" w:rsidSect="003C3D22">
          <w:pgSz w:w="11906" w:h="16838"/>
          <w:pgMar w:top="1417" w:right="1417" w:bottom="1417" w:left="1417" w:header="708" w:footer="708" w:gutter="0"/>
          <w:cols w:num="2" w:space="708"/>
          <w:docGrid w:linePitch="360"/>
        </w:sectPr>
      </w:pPr>
    </w:p>
    <w:p w14:paraId="08727BB4" w14:textId="77777777" w:rsidR="00BC3AE3" w:rsidRPr="00CF362F" w:rsidRDefault="00BC3AE3" w:rsidP="00DA7C10">
      <w:pPr>
        <w:spacing w:line="360" w:lineRule="auto"/>
        <w:jc w:val="center"/>
        <w:rPr>
          <w:szCs w:val="20"/>
        </w:rPr>
      </w:pPr>
      <w:r w:rsidRPr="00CF362F">
        <w:rPr>
          <w:b/>
          <w:bCs/>
          <w:noProof/>
          <w:szCs w:val="20"/>
        </w:rPr>
        <w:drawing>
          <wp:inline distT="0" distB="0" distL="0" distR="0" wp14:anchorId="57AF3A1E" wp14:editId="7855839C">
            <wp:extent cx="5749447" cy="4395930"/>
            <wp:effectExtent l="0" t="0" r="0" b="0"/>
            <wp:docPr id="1807183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8311" name="Image 180718311"/>
                    <pic:cNvPicPr/>
                  </pic:nvPicPr>
                  <pic:blipFill>
                    <a:blip r:embed="rId13"/>
                    <a:stretch>
                      <a:fillRect/>
                    </a:stretch>
                  </pic:blipFill>
                  <pic:spPr>
                    <a:xfrm>
                      <a:off x="0" y="0"/>
                      <a:ext cx="5749447" cy="4395930"/>
                    </a:xfrm>
                    <a:prstGeom prst="rect">
                      <a:avLst/>
                    </a:prstGeom>
                  </pic:spPr>
                </pic:pic>
              </a:graphicData>
            </a:graphic>
          </wp:inline>
        </w:drawing>
      </w:r>
    </w:p>
    <w:p w14:paraId="2B004B29" w14:textId="77777777" w:rsidR="00BC3AE3" w:rsidRPr="00CF362F" w:rsidRDefault="00BC3AE3" w:rsidP="00DA7C10">
      <w:pPr>
        <w:pStyle w:val="NormalWeb"/>
        <w:spacing w:line="360" w:lineRule="auto"/>
        <w:jc w:val="center"/>
        <w:rPr>
          <w:rStyle w:val="Strong"/>
          <w:rFonts w:ascii="Arial" w:hAnsi="Arial" w:cs="Arial"/>
          <w:sz w:val="20"/>
          <w:szCs w:val="20"/>
          <w:lang w:val="en-US"/>
        </w:rPr>
      </w:pPr>
      <w:r w:rsidRPr="00155B6E">
        <w:rPr>
          <w:rStyle w:val="Strong"/>
          <w:rFonts w:ascii="Arial" w:hAnsi="Arial" w:cs="Arial"/>
          <w:sz w:val="20"/>
          <w:szCs w:val="20"/>
          <w:lang w:val="en-US"/>
        </w:rPr>
        <w:t>Fig</w:t>
      </w:r>
      <w:r w:rsidR="00155B6E" w:rsidRPr="00155B6E">
        <w:rPr>
          <w:rStyle w:val="Strong"/>
          <w:rFonts w:ascii="Arial" w:hAnsi="Arial" w:cs="Arial"/>
          <w:sz w:val="20"/>
          <w:szCs w:val="20"/>
          <w:lang w:val="en-US"/>
        </w:rPr>
        <w:t>.</w:t>
      </w:r>
      <w:r w:rsidRPr="00155B6E">
        <w:rPr>
          <w:rStyle w:val="Strong"/>
          <w:rFonts w:ascii="Arial" w:hAnsi="Arial" w:cs="Arial"/>
          <w:sz w:val="20"/>
          <w:szCs w:val="20"/>
          <w:lang w:val="en-US"/>
        </w:rPr>
        <w:t>2</w:t>
      </w:r>
      <w:r w:rsidR="00155B6E">
        <w:rPr>
          <w:rStyle w:val="Strong"/>
          <w:rFonts w:ascii="Arial" w:hAnsi="Arial" w:cs="Arial"/>
          <w:sz w:val="20"/>
          <w:szCs w:val="20"/>
          <w:lang w:val="en-US"/>
        </w:rPr>
        <w:t xml:space="preserve">. </w:t>
      </w:r>
      <w:r w:rsidRPr="00CF362F">
        <w:rPr>
          <w:rFonts w:ascii="Arial" w:hAnsi="Arial" w:cs="Arial"/>
          <w:b/>
          <w:bCs/>
          <w:sz w:val="20"/>
          <w:szCs w:val="20"/>
          <w:lang w:val="en-US"/>
        </w:rPr>
        <w:t>Comparison of heavy metal concentrations between cities and the burning site.</w:t>
      </w:r>
    </w:p>
    <w:p w14:paraId="45502229" w14:textId="77777777" w:rsidR="003C3D22" w:rsidRDefault="003C3D22" w:rsidP="00781B95">
      <w:pPr>
        <w:pStyle w:val="NormalWeb"/>
        <w:spacing w:before="0" w:beforeAutospacing="0" w:after="0" w:afterAutospacing="0"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p>
    <w:p w14:paraId="2E3B5690" w14:textId="77777777" w:rsidR="00E8791C" w:rsidRPr="00CF362F" w:rsidRDefault="00BC3AE3" w:rsidP="00781B95">
      <w:pPr>
        <w:pStyle w:val="NormalWeb"/>
        <w:spacing w:before="0" w:beforeAutospacing="0" w:after="0" w:afterAutospacing="0" w:line="360" w:lineRule="auto"/>
        <w:jc w:val="both"/>
        <w:rPr>
          <w:rFonts w:ascii="Arial" w:hAnsi="Arial" w:cs="Arial"/>
          <w:sz w:val="20"/>
          <w:szCs w:val="20"/>
          <w:lang w:val="en-US"/>
        </w:rPr>
      </w:pPr>
      <w:r w:rsidRPr="00CF362F">
        <w:rPr>
          <w:rFonts w:ascii="Arial" w:hAnsi="Arial" w:cs="Arial"/>
          <w:sz w:val="20"/>
          <w:szCs w:val="20"/>
          <w:lang w:val="en-US"/>
        </w:rPr>
        <w:lastRenderedPageBreak/>
        <w:t xml:space="preserve">Overall, arsenic (As), cadmium (Cd), copper (Cu), iron (Fe), lead (Pb), zinc (Zn), nickel (Ni), and chromium (Cr) concentrations are very low in soils collected from Abomey-Calavi, Cotonou, and Natitingou, with values close to zero for the majority of samples. In contrast, a completely different situation is observed at the WEEE burning site in Abomey-Calavi. The boxplots </w:t>
      </w:r>
      <w:r w:rsidRPr="00CF362F">
        <w:rPr>
          <w:rFonts w:ascii="Arial" w:hAnsi="Arial" w:cs="Arial"/>
          <w:sz w:val="20"/>
          <w:szCs w:val="20"/>
          <w:lang w:val="en-US"/>
        </w:rPr>
        <w:t>show extremely high concentrations for practically all metals analyzed. This strong differentiation thus highlights a characteristic of pollution from WEEE burning, where soils accumulate very high levels of heavy metals, far beyond the variability observed in other cities.</w:t>
      </w:r>
    </w:p>
    <w:p w14:paraId="357499B8" w14:textId="77777777" w:rsidR="00BC3AE3" w:rsidRPr="00CF362F" w:rsidRDefault="00BC3AE3" w:rsidP="00781B95">
      <w:pPr>
        <w:pStyle w:val="NormalWeb"/>
        <w:spacing w:before="0" w:after="0" w:line="360" w:lineRule="auto"/>
        <w:jc w:val="both"/>
        <w:rPr>
          <w:rFonts w:ascii="Arial" w:hAnsi="Arial" w:cs="Arial"/>
          <w:b/>
          <w:bCs/>
          <w:sz w:val="20"/>
          <w:szCs w:val="20"/>
          <w:lang w:val="en-US"/>
        </w:rPr>
      </w:pPr>
      <w:r w:rsidRPr="00CF362F">
        <w:rPr>
          <w:rFonts w:ascii="Arial" w:hAnsi="Arial" w:cs="Arial"/>
          <w:b/>
          <w:bCs/>
          <w:sz w:val="20"/>
          <w:szCs w:val="20"/>
          <w:lang w:val="en-US"/>
        </w:rPr>
        <w:t>3.4 Correlations Between Metals</w:t>
      </w:r>
    </w:p>
    <w:p w14:paraId="553A05A7" w14:textId="77777777" w:rsidR="003C3D22" w:rsidRDefault="003C3D22" w:rsidP="00781B95">
      <w:pPr>
        <w:pStyle w:val="NormalWeb"/>
        <w:spacing w:before="0" w:after="0"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num="2" w:space="708"/>
          <w:docGrid w:linePitch="360"/>
        </w:sectPr>
      </w:pPr>
    </w:p>
    <w:p w14:paraId="2DF7C165" w14:textId="77777777" w:rsidR="00BC3AE3" w:rsidRDefault="00BC3AE3" w:rsidP="000C0887">
      <w:pPr>
        <w:pStyle w:val="NormalWeb"/>
        <w:spacing w:before="0" w:after="0" w:line="360" w:lineRule="auto"/>
        <w:jc w:val="center"/>
        <w:rPr>
          <w:rFonts w:ascii="Arial" w:hAnsi="Arial" w:cs="Arial"/>
          <w:sz w:val="20"/>
          <w:szCs w:val="20"/>
          <w:lang w:val="en-US"/>
        </w:rPr>
      </w:pPr>
      <w:r w:rsidRPr="00CF362F">
        <w:rPr>
          <w:rFonts w:ascii="Arial" w:hAnsi="Arial" w:cs="Arial"/>
          <w:sz w:val="20"/>
          <w:szCs w:val="20"/>
          <w:lang w:val="en-US"/>
        </w:rPr>
        <w:t>The matrix shows that several metals exhibit strong positive correlations.</w:t>
      </w:r>
    </w:p>
    <w:p w14:paraId="14C2FE7C" w14:textId="77777777" w:rsidR="00E8791C" w:rsidRPr="00CF362F" w:rsidRDefault="00E8791C" w:rsidP="000C0887">
      <w:pPr>
        <w:pStyle w:val="NormalWeb"/>
        <w:spacing w:line="360" w:lineRule="auto"/>
        <w:jc w:val="center"/>
        <w:rPr>
          <w:rFonts w:ascii="Arial" w:hAnsi="Arial" w:cs="Arial"/>
          <w:sz w:val="20"/>
          <w:szCs w:val="20"/>
        </w:rPr>
      </w:pPr>
      <w:r w:rsidRPr="00CF362F">
        <w:rPr>
          <w:rFonts w:ascii="Arial" w:hAnsi="Arial" w:cs="Arial"/>
          <w:b/>
          <w:bCs/>
          <w:noProof/>
          <w:sz w:val="20"/>
          <w:szCs w:val="20"/>
        </w:rPr>
        <w:drawing>
          <wp:inline distT="0" distB="0" distL="0" distR="0" wp14:anchorId="03A6FB66" wp14:editId="3807381F">
            <wp:extent cx="5601005" cy="4282440"/>
            <wp:effectExtent l="0" t="0" r="0" b="0"/>
            <wp:docPr id="2334766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24833" name="Image 384324833"/>
                    <pic:cNvPicPr/>
                  </pic:nvPicPr>
                  <pic:blipFill>
                    <a:blip r:embed="rId14"/>
                    <a:stretch>
                      <a:fillRect/>
                    </a:stretch>
                  </pic:blipFill>
                  <pic:spPr>
                    <a:xfrm>
                      <a:off x="0" y="0"/>
                      <a:ext cx="5628360" cy="4303356"/>
                    </a:xfrm>
                    <a:prstGeom prst="rect">
                      <a:avLst/>
                    </a:prstGeom>
                  </pic:spPr>
                </pic:pic>
              </a:graphicData>
            </a:graphic>
          </wp:inline>
        </w:drawing>
      </w:r>
    </w:p>
    <w:p w14:paraId="17A996C4" w14:textId="77777777" w:rsidR="00E8791C" w:rsidRPr="00E8791C" w:rsidRDefault="00E8791C" w:rsidP="000C0887">
      <w:pPr>
        <w:pStyle w:val="NormalWeb"/>
        <w:spacing w:line="360" w:lineRule="auto"/>
        <w:jc w:val="center"/>
        <w:rPr>
          <w:rFonts w:ascii="Arial" w:hAnsi="Arial" w:cs="Arial"/>
          <w:sz w:val="20"/>
          <w:szCs w:val="20"/>
        </w:rPr>
      </w:pPr>
      <w:r w:rsidRPr="00CF362F">
        <w:rPr>
          <w:rFonts w:ascii="Arial" w:hAnsi="Arial" w:cs="Arial"/>
          <w:b/>
          <w:bCs/>
          <w:sz w:val="20"/>
          <w:szCs w:val="20"/>
        </w:rPr>
        <w:t>Fig</w:t>
      </w:r>
      <w:r w:rsidR="00155B6E">
        <w:rPr>
          <w:rFonts w:ascii="Arial" w:hAnsi="Arial" w:cs="Arial"/>
          <w:b/>
          <w:bCs/>
          <w:sz w:val="20"/>
          <w:szCs w:val="20"/>
        </w:rPr>
        <w:t>.</w:t>
      </w:r>
      <w:r w:rsidRPr="00CF362F">
        <w:rPr>
          <w:rFonts w:ascii="Arial" w:hAnsi="Arial" w:cs="Arial"/>
          <w:b/>
          <w:bCs/>
          <w:sz w:val="20"/>
          <w:szCs w:val="20"/>
        </w:rPr>
        <w:t>3</w:t>
      </w:r>
      <w:r w:rsidR="00155B6E">
        <w:rPr>
          <w:rFonts w:ascii="Arial" w:hAnsi="Arial" w:cs="Arial"/>
          <w:b/>
          <w:bCs/>
          <w:sz w:val="20"/>
          <w:szCs w:val="20"/>
        </w:rPr>
        <w:t xml:space="preserve">. </w:t>
      </w:r>
      <w:r w:rsidRPr="00CF362F">
        <w:rPr>
          <w:rFonts w:ascii="Arial" w:hAnsi="Arial" w:cs="Arial"/>
          <w:b/>
          <w:bCs/>
          <w:sz w:val="20"/>
          <w:szCs w:val="20"/>
        </w:rPr>
        <w:t>Correlation between metals</w:t>
      </w:r>
    </w:p>
    <w:p w14:paraId="6009AE20" w14:textId="77777777" w:rsidR="00E8791C" w:rsidRPr="00CF362F" w:rsidRDefault="00E8791C" w:rsidP="000C0887">
      <w:pPr>
        <w:pStyle w:val="NormalWeb"/>
        <w:spacing w:line="360" w:lineRule="auto"/>
        <w:jc w:val="center"/>
        <w:rPr>
          <w:rFonts w:ascii="Arial" w:hAnsi="Arial" w:cs="Arial"/>
          <w:noProof/>
          <w:sz w:val="20"/>
          <w:szCs w:val="20"/>
        </w:rPr>
      </w:pPr>
      <w:r w:rsidRPr="00CF362F">
        <w:rPr>
          <w:rFonts w:ascii="Arial" w:hAnsi="Arial" w:cs="Arial"/>
          <w:noProof/>
          <w:sz w:val="20"/>
          <w:szCs w:val="20"/>
        </w:rPr>
        <w:lastRenderedPageBreak/>
        <w:drawing>
          <wp:inline distT="0" distB="0" distL="0" distR="0" wp14:anchorId="0800BC5B" wp14:editId="1F46A04A">
            <wp:extent cx="5620941" cy="4297680"/>
            <wp:effectExtent l="0" t="0" r="5715" b="0"/>
            <wp:docPr id="2909709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3094" name="Image 170123094"/>
                    <pic:cNvPicPr/>
                  </pic:nvPicPr>
                  <pic:blipFill>
                    <a:blip r:embed="rId15"/>
                    <a:stretch>
                      <a:fillRect/>
                    </a:stretch>
                  </pic:blipFill>
                  <pic:spPr>
                    <a:xfrm>
                      <a:off x="0" y="0"/>
                      <a:ext cx="5858823" cy="4479560"/>
                    </a:xfrm>
                    <a:prstGeom prst="rect">
                      <a:avLst/>
                    </a:prstGeom>
                  </pic:spPr>
                </pic:pic>
              </a:graphicData>
            </a:graphic>
          </wp:inline>
        </w:drawing>
      </w:r>
    </w:p>
    <w:p w14:paraId="6E69E20E" w14:textId="77777777" w:rsidR="00E8791C" w:rsidRDefault="00E8791C" w:rsidP="000C0887">
      <w:pPr>
        <w:pStyle w:val="NormalWeb"/>
        <w:spacing w:line="360" w:lineRule="auto"/>
        <w:jc w:val="center"/>
        <w:rPr>
          <w:rFonts w:ascii="Arial" w:hAnsi="Arial" w:cs="Arial"/>
          <w:sz w:val="20"/>
          <w:szCs w:val="20"/>
        </w:rPr>
      </w:pPr>
      <w:r w:rsidRPr="00CF362F">
        <w:rPr>
          <w:rFonts w:ascii="Arial" w:hAnsi="Arial" w:cs="Arial"/>
          <w:b/>
          <w:bCs/>
          <w:sz w:val="20"/>
          <w:szCs w:val="20"/>
        </w:rPr>
        <w:t>Fig</w:t>
      </w:r>
      <w:r w:rsidR="00155B6E">
        <w:rPr>
          <w:rFonts w:ascii="Arial" w:hAnsi="Arial" w:cs="Arial"/>
          <w:b/>
          <w:bCs/>
          <w:sz w:val="20"/>
          <w:szCs w:val="20"/>
        </w:rPr>
        <w:t xml:space="preserve">. </w:t>
      </w:r>
      <w:r w:rsidRPr="00CF362F">
        <w:rPr>
          <w:rFonts w:ascii="Arial" w:hAnsi="Arial" w:cs="Arial"/>
          <w:b/>
          <w:bCs/>
          <w:sz w:val="20"/>
          <w:szCs w:val="20"/>
        </w:rPr>
        <w:t>4</w:t>
      </w:r>
      <w:r w:rsidR="00155B6E">
        <w:rPr>
          <w:rFonts w:ascii="Arial" w:hAnsi="Arial" w:cs="Arial"/>
          <w:b/>
          <w:bCs/>
          <w:sz w:val="20"/>
          <w:szCs w:val="20"/>
        </w:rPr>
        <w:t>.</w:t>
      </w:r>
      <w:r w:rsidRPr="00CF362F">
        <w:rPr>
          <w:rFonts w:ascii="Arial" w:hAnsi="Arial" w:cs="Arial"/>
          <w:b/>
          <w:bCs/>
          <w:sz w:val="20"/>
          <w:szCs w:val="20"/>
        </w:rPr>
        <w:t xml:space="preserve"> Correlation between metals at the burning site</w:t>
      </w:r>
    </w:p>
    <w:p w14:paraId="6F122A85" w14:textId="77777777" w:rsidR="003C3D22" w:rsidRDefault="003C3D22" w:rsidP="00781B95">
      <w:pPr>
        <w:pStyle w:val="NormalWeb"/>
        <w:spacing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p>
    <w:p w14:paraId="26F61ED6" w14:textId="77777777" w:rsidR="00BC3AE3" w:rsidRPr="00E8791C" w:rsidRDefault="00BC3AE3" w:rsidP="00781B95">
      <w:pPr>
        <w:pStyle w:val="NormalWeb"/>
        <w:spacing w:line="360" w:lineRule="auto"/>
        <w:jc w:val="both"/>
        <w:rPr>
          <w:rFonts w:ascii="Arial" w:hAnsi="Arial" w:cs="Arial"/>
          <w:sz w:val="20"/>
          <w:szCs w:val="20"/>
        </w:rPr>
      </w:pPr>
      <w:r w:rsidRPr="00CF362F">
        <w:rPr>
          <w:rFonts w:ascii="Arial" w:hAnsi="Arial" w:cs="Arial"/>
          <w:sz w:val="20"/>
          <w:szCs w:val="20"/>
          <w:lang w:val="en-US"/>
        </w:rPr>
        <w:t>Figure 3 illustrates the correlations between metals. Strong associations are observed between Cu–Fe (</w:t>
      </w:r>
      <w:r w:rsidRPr="00CF362F">
        <w:rPr>
          <w:rFonts w:ascii="Arial" w:hAnsi="Arial" w:cs="Arial"/>
          <w:sz w:val="20"/>
          <w:szCs w:val="20"/>
        </w:rPr>
        <w:t>ρ</w:t>
      </w:r>
      <w:r w:rsidRPr="00CF362F">
        <w:rPr>
          <w:rFonts w:ascii="Arial" w:hAnsi="Arial" w:cs="Arial"/>
          <w:sz w:val="20"/>
          <w:szCs w:val="20"/>
          <w:lang w:val="en-US"/>
        </w:rPr>
        <w:t xml:space="preserve"> = 0.91), Cu–Pb (</w:t>
      </w:r>
      <w:r w:rsidRPr="00CF362F">
        <w:rPr>
          <w:rFonts w:ascii="Arial" w:hAnsi="Arial" w:cs="Arial"/>
          <w:sz w:val="20"/>
          <w:szCs w:val="20"/>
        </w:rPr>
        <w:t>ρ</w:t>
      </w:r>
      <w:r w:rsidRPr="00CF362F">
        <w:rPr>
          <w:rFonts w:ascii="Arial" w:hAnsi="Arial" w:cs="Arial"/>
          <w:sz w:val="20"/>
          <w:szCs w:val="20"/>
          <w:lang w:val="en-US"/>
        </w:rPr>
        <w:t xml:space="preserve"> = 0.85), Fe–Pb (</w:t>
      </w:r>
      <w:r w:rsidRPr="00CF362F">
        <w:rPr>
          <w:rFonts w:ascii="Arial" w:hAnsi="Arial" w:cs="Arial"/>
          <w:sz w:val="20"/>
          <w:szCs w:val="20"/>
        </w:rPr>
        <w:t>ρ</w:t>
      </w:r>
      <w:r w:rsidRPr="00CF362F">
        <w:rPr>
          <w:rFonts w:ascii="Arial" w:hAnsi="Arial" w:cs="Arial"/>
          <w:sz w:val="20"/>
          <w:szCs w:val="20"/>
          <w:lang w:val="en-US"/>
        </w:rPr>
        <w:t xml:space="preserve"> = 0.92), Zn–Fe (</w:t>
      </w:r>
      <w:r w:rsidRPr="00CF362F">
        <w:rPr>
          <w:rFonts w:ascii="Arial" w:hAnsi="Arial" w:cs="Arial"/>
          <w:sz w:val="20"/>
          <w:szCs w:val="20"/>
        </w:rPr>
        <w:t>ρ</w:t>
      </w:r>
      <w:r w:rsidRPr="00CF362F">
        <w:rPr>
          <w:rFonts w:ascii="Arial" w:hAnsi="Arial" w:cs="Arial"/>
          <w:sz w:val="20"/>
          <w:szCs w:val="20"/>
          <w:lang w:val="en-US"/>
        </w:rPr>
        <w:t xml:space="preserve"> = 0.84), and Zn–Pb (</w:t>
      </w:r>
      <w:r w:rsidRPr="00CF362F">
        <w:rPr>
          <w:rFonts w:ascii="Arial" w:hAnsi="Arial" w:cs="Arial"/>
          <w:sz w:val="20"/>
          <w:szCs w:val="20"/>
        </w:rPr>
        <w:t>ρ</w:t>
      </w:r>
      <w:r w:rsidRPr="00CF362F">
        <w:rPr>
          <w:rFonts w:ascii="Arial" w:hAnsi="Arial" w:cs="Arial"/>
          <w:sz w:val="20"/>
          <w:szCs w:val="20"/>
          <w:lang w:val="en-US"/>
        </w:rPr>
        <w:t xml:space="preserve"> = 0.77), reflecting the joint presence of these elements in electrical and electronic equipment as well as their simultaneous release during dumping and incineration activities. Nickel is very strongly correlated with base metals, particularly with Cu (</w:t>
      </w:r>
      <w:r w:rsidRPr="00CF362F">
        <w:rPr>
          <w:rFonts w:ascii="Arial" w:hAnsi="Arial" w:cs="Arial"/>
          <w:sz w:val="20"/>
          <w:szCs w:val="20"/>
        </w:rPr>
        <w:t>ρ</w:t>
      </w:r>
      <w:r w:rsidRPr="00CF362F">
        <w:rPr>
          <w:rFonts w:ascii="Arial" w:hAnsi="Arial" w:cs="Arial"/>
          <w:sz w:val="20"/>
          <w:szCs w:val="20"/>
          <w:lang w:val="en-US"/>
        </w:rPr>
        <w:t xml:space="preserve"> = 0.98), Fe (</w:t>
      </w:r>
      <w:r w:rsidRPr="00CF362F">
        <w:rPr>
          <w:rFonts w:ascii="Arial" w:hAnsi="Arial" w:cs="Arial"/>
          <w:sz w:val="20"/>
          <w:szCs w:val="20"/>
        </w:rPr>
        <w:t>ρ</w:t>
      </w:r>
      <w:r w:rsidRPr="00CF362F">
        <w:rPr>
          <w:rFonts w:ascii="Arial" w:hAnsi="Arial" w:cs="Arial"/>
          <w:sz w:val="20"/>
          <w:szCs w:val="20"/>
          <w:lang w:val="en-US"/>
        </w:rPr>
        <w:t xml:space="preserve"> = 0.89), and Zn (</w:t>
      </w:r>
      <w:r w:rsidRPr="00CF362F">
        <w:rPr>
          <w:rFonts w:ascii="Arial" w:hAnsi="Arial" w:cs="Arial"/>
          <w:sz w:val="20"/>
          <w:szCs w:val="20"/>
        </w:rPr>
        <w:t>ρ</w:t>
      </w:r>
      <w:r w:rsidRPr="00CF362F">
        <w:rPr>
          <w:rFonts w:ascii="Arial" w:hAnsi="Arial" w:cs="Arial"/>
          <w:sz w:val="20"/>
          <w:szCs w:val="20"/>
          <w:lang w:val="en-US"/>
        </w:rPr>
        <w:t xml:space="preserve"> = 0.72). Cadmium shows moderate correlations with Cu (</w:t>
      </w:r>
      <w:r w:rsidRPr="00CF362F">
        <w:rPr>
          <w:rFonts w:ascii="Arial" w:hAnsi="Arial" w:cs="Arial"/>
          <w:sz w:val="20"/>
          <w:szCs w:val="20"/>
        </w:rPr>
        <w:t>ρ</w:t>
      </w:r>
      <w:r w:rsidRPr="00CF362F">
        <w:rPr>
          <w:rFonts w:ascii="Arial" w:hAnsi="Arial" w:cs="Arial"/>
          <w:sz w:val="20"/>
          <w:szCs w:val="20"/>
          <w:lang w:val="en-US"/>
        </w:rPr>
        <w:t xml:space="preserve"> = 0.79) and Fe (</w:t>
      </w:r>
      <w:r w:rsidRPr="00CF362F">
        <w:rPr>
          <w:rFonts w:ascii="Arial" w:hAnsi="Arial" w:cs="Arial"/>
          <w:sz w:val="20"/>
          <w:szCs w:val="20"/>
        </w:rPr>
        <w:t>ρ</w:t>
      </w:r>
      <w:r w:rsidRPr="00CF362F">
        <w:rPr>
          <w:rFonts w:ascii="Arial" w:hAnsi="Arial" w:cs="Arial"/>
          <w:sz w:val="20"/>
          <w:szCs w:val="20"/>
          <w:lang w:val="en-US"/>
        </w:rPr>
        <w:t xml:space="preserve"> = 0.80), while arsenic is only weakly correlated with other metals (</w:t>
      </w:r>
      <w:r w:rsidRPr="00CF362F">
        <w:rPr>
          <w:rFonts w:ascii="Arial" w:hAnsi="Arial" w:cs="Arial"/>
          <w:sz w:val="20"/>
          <w:szCs w:val="20"/>
        </w:rPr>
        <w:t>ρ</w:t>
      </w:r>
      <w:r w:rsidRPr="00CF362F">
        <w:rPr>
          <w:rFonts w:ascii="Arial" w:hAnsi="Arial" w:cs="Arial"/>
          <w:sz w:val="20"/>
          <w:szCs w:val="20"/>
          <w:lang w:val="en-US"/>
        </w:rPr>
        <w:t xml:space="preserve"> between 0.30 and 0.48). Chromium stands out with very weak or even negative correlations (</w:t>
      </w:r>
      <w:r w:rsidRPr="00CF362F">
        <w:rPr>
          <w:rFonts w:ascii="Arial" w:hAnsi="Arial" w:cs="Arial"/>
          <w:sz w:val="20"/>
          <w:szCs w:val="20"/>
        </w:rPr>
        <w:t>ρ</w:t>
      </w:r>
      <w:r w:rsidRPr="00CF362F">
        <w:rPr>
          <w:rFonts w:ascii="Arial" w:hAnsi="Arial" w:cs="Arial"/>
          <w:sz w:val="20"/>
          <w:szCs w:val="20"/>
          <w:lang w:val="en-US"/>
        </w:rPr>
        <w:t xml:space="preserve"> = –0.07 with </w:t>
      </w:r>
      <w:proofErr w:type="gramStart"/>
      <w:r w:rsidRPr="00CF362F">
        <w:rPr>
          <w:rFonts w:ascii="Arial" w:hAnsi="Arial" w:cs="Arial"/>
          <w:sz w:val="20"/>
          <w:szCs w:val="20"/>
          <w:lang w:val="en-US"/>
        </w:rPr>
        <w:t>As</w:t>
      </w:r>
      <w:proofErr w:type="gramEnd"/>
      <w:r w:rsidRPr="00CF362F">
        <w:rPr>
          <w:rFonts w:ascii="Arial" w:hAnsi="Arial" w:cs="Arial"/>
          <w:sz w:val="20"/>
          <w:szCs w:val="20"/>
          <w:lang w:val="en-US"/>
        </w:rPr>
        <w:t xml:space="preserve">; </w:t>
      </w:r>
      <w:r w:rsidRPr="00CF362F">
        <w:rPr>
          <w:rFonts w:ascii="Arial" w:hAnsi="Arial" w:cs="Arial"/>
          <w:sz w:val="20"/>
          <w:szCs w:val="20"/>
        </w:rPr>
        <w:t>ρ</w:t>
      </w:r>
      <w:r w:rsidRPr="00CF362F">
        <w:rPr>
          <w:rFonts w:ascii="Arial" w:hAnsi="Arial" w:cs="Arial"/>
          <w:sz w:val="20"/>
          <w:szCs w:val="20"/>
          <w:lang w:val="en-US"/>
        </w:rPr>
        <w:t xml:space="preserve"> = </w:t>
      </w:r>
      <w:r w:rsidRPr="00CF362F">
        <w:rPr>
          <w:rFonts w:ascii="Arial" w:hAnsi="Arial" w:cs="Arial"/>
          <w:sz w:val="20"/>
          <w:szCs w:val="20"/>
          <w:lang w:val="en-US"/>
        </w:rPr>
        <w:t>0.10–0.33 with other metals).</w:t>
      </w:r>
      <w:r w:rsidR="00E8791C">
        <w:rPr>
          <w:rFonts w:ascii="Arial" w:hAnsi="Arial" w:cs="Arial"/>
          <w:sz w:val="20"/>
          <w:szCs w:val="20"/>
        </w:rPr>
        <w:t xml:space="preserve"> </w:t>
      </w:r>
      <w:r w:rsidRPr="00CF362F">
        <w:rPr>
          <w:rFonts w:ascii="Arial" w:hAnsi="Arial" w:cs="Arial"/>
          <w:sz w:val="20"/>
          <w:szCs w:val="20"/>
          <w:lang w:val="en-US"/>
        </w:rPr>
        <w:t>Figure 4, focusing on the burning site, reveals a different situation. Correlations appear extremely strong and homogeneous among almost all studied metals. Cu, Fe, Pb, Zn, and Ni form an almost perfectly correlated block (</w:t>
      </w:r>
      <w:r w:rsidRPr="00CF362F">
        <w:rPr>
          <w:rFonts w:ascii="Arial" w:hAnsi="Arial" w:cs="Arial"/>
          <w:sz w:val="20"/>
          <w:szCs w:val="20"/>
        </w:rPr>
        <w:t>ρ</w:t>
      </w:r>
      <w:r w:rsidRPr="00CF362F">
        <w:rPr>
          <w:rFonts w:ascii="Arial" w:hAnsi="Arial" w:cs="Arial"/>
          <w:sz w:val="20"/>
          <w:szCs w:val="20"/>
          <w:lang w:val="en-US"/>
        </w:rPr>
        <w:t xml:space="preserve"> &gt; 0.90). Cd and </w:t>
      </w:r>
      <w:proofErr w:type="gramStart"/>
      <w:r w:rsidRPr="00CF362F">
        <w:rPr>
          <w:rFonts w:ascii="Arial" w:hAnsi="Arial" w:cs="Arial"/>
          <w:sz w:val="20"/>
          <w:szCs w:val="20"/>
          <w:lang w:val="en-US"/>
        </w:rPr>
        <w:t>As</w:t>
      </w:r>
      <w:proofErr w:type="gramEnd"/>
      <w:r w:rsidRPr="00CF362F">
        <w:rPr>
          <w:rFonts w:ascii="Arial" w:hAnsi="Arial" w:cs="Arial"/>
          <w:sz w:val="20"/>
          <w:szCs w:val="20"/>
          <w:lang w:val="en-US"/>
        </w:rPr>
        <w:t xml:space="preserve"> also join this group with high coefficients (</w:t>
      </w:r>
      <w:r w:rsidRPr="00CF362F">
        <w:rPr>
          <w:rFonts w:ascii="Arial" w:hAnsi="Arial" w:cs="Arial"/>
          <w:sz w:val="20"/>
          <w:szCs w:val="20"/>
        </w:rPr>
        <w:t>ρ</w:t>
      </w:r>
      <w:r w:rsidRPr="00CF362F">
        <w:rPr>
          <w:rFonts w:ascii="Arial" w:hAnsi="Arial" w:cs="Arial"/>
          <w:sz w:val="20"/>
          <w:szCs w:val="20"/>
          <w:lang w:val="en-US"/>
        </w:rPr>
        <w:t xml:space="preserve"> &gt; 0.80), contrary to what was observed at other sites, where their behavior appeared more diffuse or independent. Cr, although less correlated (</w:t>
      </w:r>
      <w:r w:rsidRPr="00CF362F">
        <w:rPr>
          <w:rFonts w:ascii="Arial" w:hAnsi="Arial" w:cs="Arial"/>
          <w:sz w:val="20"/>
          <w:szCs w:val="20"/>
        </w:rPr>
        <w:t>ρ</w:t>
      </w:r>
      <w:r w:rsidRPr="00CF362F">
        <w:rPr>
          <w:rFonts w:ascii="Arial" w:hAnsi="Arial" w:cs="Arial"/>
          <w:sz w:val="20"/>
          <w:szCs w:val="20"/>
          <w:lang w:val="en-US"/>
        </w:rPr>
        <w:t xml:space="preserve"> = 0.36–0.55), remains associated with the group.</w:t>
      </w:r>
    </w:p>
    <w:p w14:paraId="4B09CE95" w14:textId="77777777"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sz w:val="20"/>
          <w:szCs w:val="20"/>
          <w:lang w:val="en-US"/>
        </w:rPr>
        <w:t xml:space="preserve">Principal Component Analysis (PCA) confirms these trends while providing a visual synthesis (Figure 5). The first dimension (59.1% of variance) opposes a group of base metals (Fe, </w:t>
      </w:r>
      <w:r w:rsidRPr="00CF362F">
        <w:rPr>
          <w:rFonts w:ascii="Arial" w:hAnsi="Arial" w:cs="Arial"/>
          <w:sz w:val="20"/>
          <w:szCs w:val="20"/>
          <w:lang w:val="en-US"/>
        </w:rPr>
        <w:lastRenderedPageBreak/>
        <w:t>Cu, Pb, Ni, Cd, Cr) to As and Zn, while the second dimension (16.7%) highlights the specificity of Cd</w:t>
      </w:r>
    </w:p>
    <w:p w14:paraId="524717F9" w14:textId="77777777" w:rsidR="003C3D22" w:rsidRDefault="003C3D22" w:rsidP="00781B95">
      <w:pPr>
        <w:pStyle w:val="NormalWeb"/>
        <w:spacing w:line="360" w:lineRule="auto"/>
        <w:jc w:val="both"/>
        <w:rPr>
          <w:rStyle w:val="Strong"/>
          <w:rFonts w:ascii="Arial" w:hAnsi="Arial" w:cs="Arial"/>
          <w:sz w:val="20"/>
          <w:szCs w:val="20"/>
        </w:rPr>
        <w:sectPr w:rsidR="003C3D22" w:rsidSect="003C3D22">
          <w:type w:val="continuous"/>
          <w:pgSz w:w="11906" w:h="16838"/>
          <w:pgMar w:top="1417" w:right="1417" w:bottom="1417" w:left="1417" w:header="708" w:footer="708" w:gutter="0"/>
          <w:cols w:num="2" w:space="708"/>
          <w:docGrid w:linePitch="360"/>
        </w:sectPr>
      </w:pPr>
    </w:p>
    <w:p w14:paraId="0C6F903D" w14:textId="77777777" w:rsidR="00BC3AE3" w:rsidRPr="00CF362F" w:rsidRDefault="00BC3AE3" w:rsidP="000C0887">
      <w:pPr>
        <w:pStyle w:val="NormalWeb"/>
        <w:spacing w:line="360" w:lineRule="auto"/>
        <w:jc w:val="center"/>
        <w:rPr>
          <w:rStyle w:val="Strong"/>
          <w:rFonts w:ascii="Arial" w:hAnsi="Arial" w:cs="Arial"/>
          <w:sz w:val="20"/>
          <w:szCs w:val="20"/>
        </w:rPr>
      </w:pPr>
      <w:r w:rsidRPr="00CF362F">
        <w:rPr>
          <w:rFonts w:ascii="Arial" w:hAnsi="Arial" w:cs="Arial"/>
          <w:b/>
          <w:bCs/>
          <w:noProof/>
          <w:sz w:val="20"/>
          <w:szCs w:val="20"/>
        </w:rPr>
        <w:drawing>
          <wp:inline distT="0" distB="0" distL="0" distR="0" wp14:anchorId="737FF751" wp14:editId="0F3FE6B9">
            <wp:extent cx="5197151" cy="3973657"/>
            <wp:effectExtent l="0" t="0" r="0" b="1905"/>
            <wp:docPr id="1475203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312" name="Image 147520312"/>
                    <pic:cNvPicPr/>
                  </pic:nvPicPr>
                  <pic:blipFill>
                    <a:blip r:embed="rId16"/>
                    <a:stretch>
                      <a:fillRect/>
                    </a:stretch>
                  </pic:blipFill>
                  <pic:spPr>
                    <a:xfrm>
                      <a:off x="0" y="0"/>
                      <a:ext cx="5282294" cy="4038756"/>
                    </a:xfrm>
                    <a:prstGeom prst="rect">
                      <a:avLst/>
                    </a:prstGeom>
                  </pic:spPr>
                </pic:pic>
              </a:graphicData>
            </a:graphic>
          </wp:inline>
        </w:drawing>
      </w:r>
    </w:p>
    <w:p w14:paraId="2EFD3367" w14:textId="77777777" w:rsidR="00BC3AE3" w:rsidRPr="00CF362F" w:rsidRDefault="00BC3AE3" w:rsidP="000C0887">
      <w:pPr>
        <w:pStyle w:val="NormalWeb"/>
        <w:spacing w:before="0" w:after="0" w:line="360" w:lineRule="auto"/>
        <w:jc w:val="center"/>
        <w:rPr>
          <w:rFonts w:ascii="Arial" w:hAnsi="Arial" w:cs="Arial"/>
          <w:b/>
          <w:bCs/>
          <w:sz w:val="20"/>
          <w:szCs w:val="20"/>
        </w:rPr>
      </w:pPr>
      <w:r w:rsidRPr="00155B6E">
        <w:rPr>
          <w:rFonts w:ascii="Arial" w:hAnsi="Arial" w:cs="Arial"/>
          <w:b/>
          <w:bCs/>
          <w:sz w:val="20"/>
          <w:szCs w:val="20"/>
        </w:rPr>
        <w:t>Fig</w:t>
      </w:r>
      <w:r w:rsidR="00155B6E" w:rsidRPr="00155B6E">
        <w:rPr>
          <w:rFonts w:ascii="Arial" w:hAnsi="Arial" w:cs="Arial"/>
          <w:b/>
          <w:bCs/>
          <w:sz w:val="20"/>
          <w:szCs w:val="20"/>
        </w:rPr>
        <w:t xml:space="preserve">. 5. </w:t>
      </w:r>
      <w:r w:rsidRPr="00CF362F">
        <w:rPr>
          <w:rFonts w:ascii="Arial" w:hAnsi="Arial" w:cs="Arial"/>
          <w:b/>
          <w:bCs/>
          <w:sz w:val="20"/>
          <w:szCs w:val="20"/>
        </w:rPr>
        <w:t>Correlation circle</w:t>
      </w:r>
    </w:p>
    <w:p w14:paraId="42A9B595" w14:textId="77777777" w:rsidR="003C3D22" w:rsidRDefault="003C3D22" w:rsidP="00781B95">
      <w:pPr>
        <w:pStyle w:val="NormalWeb"/>
        <w:spacing w:before="0" w:after="0" w:line="360" w:lineRule="auto"/>
        <w:jc w:val="both"/>
        <w:rPr>
          <w:rFonts w:ascii="Arial" w:hAnsi="Arial" w:cs="Arial"/>
          <w:sz w:val="20"/>
          <w:szCs w:val="20"/>
        </w:rPr>
        <w:sectPr w:rsidR="003C3D22" w:rsidSect="003C3D22">
          <w:type w:val="continuous"/>
          <w:pgSz w:w="11906" w:h="16838"/>
          <w:pgMar w:top="1417" w:right="1417" w:bottom="1417" w:left="1417" w:header="708" w:footer="708" w:gutter="0"/>
          <w:cols w:space="708"/>
          <w:docGrid w:linePitch="360"/>
        </w:sectPr>
      </w:pPr>
    </w:p>
    <w:p w14:paraId="03A7F3B1" w14:textId="77777777" w:rsidR="00BC3AE3" w:rsidRPr="00CF362F" w:rsidRDefault="00BC3AE3" w:rsidP="00781B95">
      <w:pPr>
        <w:pStyle w:val="NormalWeb"/>
        <w:spacing w:before="0" w:after="0" w:line="360" w:lineRule="auto"/>
        <w:jc w:val="both"/>
        <w:rPr>
          <w:rFonts w:ascii="Arial" w:hAnsi="Arial" w:cs="Arial"/>
          <w:sz w:val="20"/>
          <w:szCs w:val="20"/>
        </w:rPr>
      </w:pPr>
      <w:r w:rsidRPr="00CF362F">
        <w:rPr>
          <w:rFonts w:ascii="Arial" w:hAnsi="Arial" w:cs="Arial"/>
          <w:sz w:val="20"/>
          <w:szCs w:val="20"/>
        </w:rPr>
        <w:t>Long arrows close to the circle, such as those for iron, copper, lead, and nickel, reflect a good representation of these elements by the two axes and confirm their strong correlations. Cadmium lies in the same general direction as this group, suggesting an association, but with a slightly distinct position that highlights certain particularities. Arsenic and zinc project opposite to this block, indicating a negative relationship with the base metals and different behavior. Thus, the arrows in the circle show a block of strongly linked metals (Fe, Cu, Pb, Ni, Cd), opposed to As and Zn.</w:t>
      </w:r>
    </w:p>
    <w:p w14:paraId="5D3C899E" w14:textId="77777777" w:rsidR="00BC3AE3" w:rsidRPr="00CF362F" w:rsidRDefault="00BC3AE3" w:rsidP="00781B95">
      <w:pPr>
        <w:spacing w:line="360" w:lineRule="auto"/>
        <w:rPr>
          <w:rFonts w:eastAsia="Times New Roman"/>
          <w:b/>
          <w:bCs/>
          <w:kern w:val="0"/>
          <w:szCs w:val="20"/>
          <w:lang w:eastAsia="fr-FR"/>
          <w14:ligatures w14:val="none"/>
        </w:rPr>
      </w:pPr>
      <w:r w:rsidRPr="00CF362F">
        <w:rPr>
          <w:rFonts w:eastAsia="Times New Roman"/>
          <w:b/>
          <w:bCs/>
          <w:kern w:val="0"/>
          <w:szCs w:val="20"/>
          <w:lang w:eastAsia="fr-FR"/>
          <w14:ligatures w14:val="none"/>
        </w:rPr>
        <w:t>3.5. Comparison with International Standards</w:t>
      </w:r>
    </w:p>
    <w:p w14:paraId="767854B4" w14:textId="77777777" w:rsidR="00BC3AE3" w:rsidRDefault="00BC3AE3" w:rsidP="00781B95">
      <w:pPr>
        <w:spacing w:line="360" w:lineRule="auto"/>
        <w:rPr>
          <w:szCs w:val="20"/>
        </w:rPr>
      </w:pPr>
      <w:r w:rsidRPr="00CF362F">
        <w:rPr>
          <w:rFonts w:eastAsia="Times New Roman"/>
          <w:kern w:val="0"/>
          <w:szCs w:val="20"/>
          <w:lang w:eastAsia="fr-FR"/>
          <w14:ligatures w14:val="none"/>
        </w:rPr>
        <w:t xml:space="preserve">Maximum concentrations observed in soils from Abomey-Calavi (excluding incineration), Cotonou, and Natitingou are reported in Table </w:t>
      </w:r>
      <w:r>
        <w:rPr>
          <w:rFonts w:eastAsia="Times New Roman"/>
          <w:kern w:val="0"/>
          <w:szCs w:val="20"/>
          <w:lang w:eastAsia="fr-FR"/>
          <w14:ligatures w14:val="none"/>
        </w:rPr>
        <w:t>1</w:t>
      </w:r>
      <w:r w:rsidRPr="00CF362F">
        <w:rPr>
          <w:rFonts w:eastAsia="Times New Roman"/>
          <w:kern w:val="0"/>
          <w:szCs w:val="20"/>
          <w:lang w:eastAsia="fr-FR"/>
          <w14:ligatures w14:val="none"/>
        </w:rPr>
        <w:t>. The interpretation of results is based on guideline values defined in the BRGM methodological report (Mossmann &amp; Koch-Mathian, 2001), which proposes source definition values (VDSS) for various heavy metals in soils.</w:t>
      </w:r>
    </w:p>
    <w:p w14:paraId="01566339" w14:textId="77777777" w:rsidR="003C3D22" w:rsidRDefault="003C3D22" w:rsidP="00781B95">
      <w:pPr>
        <w:spacing w:line="360" w:lineRule="auto"/>
        <w:jc w:val="center"/>
        <w:rPr>
          <w:b/>
          <w:bCs/>
          <w:szCs w:val="20"/>
        </w:rPr>
        <w:sectPr w:rsidR="003C3D22" w:rsidSect="003C3D22">
          <w:type w:val="continuous"/>
          <w:pgSz w:w="11906" w:h="16838"/>
          <w:pgMar w:top="1417" w:right="1417" w:bottom="1417" w:left="1417" w:header="708" w:footer="708" w:gutter="0"/>
          <w:cols w:num="2" w:space="708"/>
          <w:docGrid w:linePitch="360"/>
        </w:sectPr>
      </w:pPr>
    </w:p>
    <w:p w14:paraId="6A292F7C" w14:textId="77777777" w:rsidR="000C0887" w:rsidRDefault="000C0887" w:rsidP="00781B95">
      <w:pPr>
        <w:spacing w:line="360" w:lineRule="auto"/>
        <w:jc w:val="center"/>
        <w:rPr>
          <w:b/>
          <w:bCs/>
          <w:szCs w:val="20"/>
        </w:rPr>
      </w:pPr>
    </w:p>
    <w:p w14:paraId="490FA793" w14:textId="77777777" w:rsidR="000C0887" w:rsidRDefault="000C0887" w:rsidP="00781B95">
      <w:pPr>
        <w:spacing w:line="360" w:lineRule="auto"/>
        <w:jc w:val="center"/>
        <w:rPr>
          <w:b/>
          <w:bCs/>
          <w:szCs w:val="20"/>
        </w:rPr>
      </w:pPr>
    </w:p>
    <w:p w14:paraId="789C9D8C" w14:textId="77777777" w:rsidR="00BC3AE3" w:rsidRPr="00BF1DC0" w:rsidRDefault="00BC3AE3" w:rsidP="00781B95">
      <w:pPr>
        <w:spacing w:line="360" w:lineRule="auto"/>
        <w:jc w:val="center"/>
        <w:rPr>
          <w:rFonts w:eastAsia="Times New Roman"/>
          <w:kern w:val="0"/>
          <w:szCs w:val="20"/>
          <w:lang w:eastAsia="fr-FR"/>
          <w14:ligatures w14:val="none"/>
        </w:rPr>
      </w:pPr>
      <w:r w:rsidRPr="00155B6E">
        <w:rPr>
          <w:b/>
          <w:bCs/>
          <w:szCs w:val="20"/>
        </w:rPr>
        <w:lastRenderedPageBreak/>
        <w:t>Table 1</w:t>
      </w:r>
      <w:r w:rsidR="00155B6E" w:rsidRPr="00155B6E">
        <w:rPr>
          <w:b/>
          <w:bCs/>
          <w:szCs w:val="20"/>
        </w:rPr>
        <w:t>.</w:t>
      </w:r>
      <w:r w:rsidR="00155B6E">
        <w:rPr>
          <w:b/>
          <w:bCs/>
          <w:szCs w:val="20"/>
        </w:rPr>
        <w:t xml:space="preserve"> </w:t>
      </w:r>
      <w:r w:rsidRPr="00CF362F">
        <w:rPr>
          <w:szCs w:val="20"/>
        </w:rPr>
        <w:t>Heavy metal concentrations in soils outside the burning site</w:t>
      </w:r>
    </w:p>
    <w:tbl>
      <w:tblPr>
        <w:tblStyle w:val="PlainTable2"/>
        <w:tblW w:w="0" w:type="auto"/>
        <w:jc w:val="center"/>
        <w:tblLook w:val="04A0" w:firstRow="1" w:lastRow="0" w:firstColumn="1" w:lastColumn="0" w:noHBand="0" w:noVBand="1"/>
      </w:tblPr>
      <w:tblGrid>
        <w:gridCol w:w="1352"/>
        <w:gridCol w:w="1719"/>
        <w:gridCol w:w="1685"/>
        <w:gridCol w:w="1852"/>
        <w:gridCol w:w="1785"/>
      </w:tblGrid>
      <w:tr w:rsidR="00BC3AE3" w:rsidRPr="00CF362F" w14:paraId="0ADC1D1E"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54FA53" w14:textId="77777777" w:rsidR="00BC3AE3" w:rsidRPr="00CF362F" w:rsidRDefault="00BC3AE3" w:rsidP="00781B95">
            <w:pPr>
              <w:spacing w:line="360" w:lineRule="auto"/>
              <w:rPr>
                <w:rFonts w:eastAsia="Times New Roman"/>
                <w:b w:val="0"/>
                <w:bCs w:val="0"/>
                <w:szCs w:val="20"/>
                <w:lang w:val="fr-FR" w:eastAsia="fr-FR"/>
              </w:rPr>
            </w:pPr>
            <w:r w:rsidRPr="00CF362F">
              <w:rPr>
                <w:rFonts w:eastAsia="Times New Roman"/>
                <w:szCs w:val="20"/>
                <w:lang w:val="fr-FR" w:eastAsia="fr-FR"/>
              </w:rPr>
              <w:t>Metal</w:t>
            </w:r>
          </w:p>
          <w:p w14:paraId="7613FC5E" w14:textId="77777777" w:rsidR="00BC3AE3" w:rsidRPr="00CF362F" w:rsidRDefault="00BC3AE3" w:rsidP="00781B95">
            <w:pPr>
              <w:spacing w:line="360" w:lineRule="auto"/>
              <w:rPr>
                <w:rFonts w:eastAsia="Times New Roman"/>
                <w:b w:val="0"/>
                <w:bCs w:val="0"/>
                <w:szCs w:val="20"/>
                <w:lang w:val="fr-FR" w:eastAsia="fr-FR"/>
              </w:rPr>
            </w:pPr>
            <w:r w:rsidRPr="00CF362F">
              <w:rPr>
                <w:rFonts w:eastAsia="Times New Roman"/>
                <w:szCs w:val="20"/>
                <w:lang w:eastAsia="fr-FR"/>
              </w:rPr>
              <w:t>(mg/kg MS)</w:t>
            </w:r>
          </w:p>
        </w:tc>
        <w:tc>
          <w:tcPr>
            <w:tcW w:w="0" w:type="auto"/>
            <w:hideMark/>
          </w:tcPr>
          <w:p w14:paraId="77C5A785"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Abomey-Calavi</w:t>
            </w:r>
          </w:p>
          <w:p w14:paraId="74B87F7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val="fr-FR" w:eastAsia="fr-FR"/>
              </w:rPr>
            </w:pPr>
            <w:r w:rsidRPr="00CF362F">
              <w:rPr>
                <w:rFonts w:eastAsia="Times New Roman"/>
                <w:szCs w:val="20"/>
                <w:lang w:eastAsia="fr-FR"/>
              </w:rPr>
              <w:t>(max</w:t>
            </w:r>
            <w:r w:rsidRPr="00CF362F">
              <w:rPr>
                <w:rFonts w:eastAsia="Times New Roman"/>
                <w:szCs w:val="20"/>
                <w:lang w:val="fr-FR" w:eastAsia="fr-FR"/>
              </w:rPr>
              <w:t>)</w:t>
            </w:r>
          </w:p>
        </w:tc>
        <w:tc>
          <w:tcPr>
            <w:tcW w:w="0" w:type="auto"/>
            <w:hideMark/>
          </w:tcPr>
          <w:p w14:paraId="64FE021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Cotonou (max)</w:t>
            </w:r>
          </w:p>
        </w:tc>
        <w:tc>
          <w:tcPr>
            <w:tcW w:w="0" w:type="auto"/>
            <w:hideMark/>
          </w:tcPr>
          <w:p w14:paraId="7FA2354A"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Natitingou (max)</w:t>
            </w:r>
          </w:p>
        </w:tc>
        <w:tc>
          <w:tcPr>
            <w:tcW w:w="1785" w:type="dxa"/>
            <w:hideMark/>
          </w:tcPr>
          <w:p w14:paraId="0CE36666"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Guideline Values (France VDSS)</w:t>
            </w:r>
          </w:p>
        </w:tc>
      </w:tr>
      <w:tr w:rsidR="00BC3AE3" w:rsidRPr="00CF362F" w14:paraId="18A0B5D6"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55B502"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As</w:t>
            </w:r>
          </w:p>
        </w:tc>
        <w:tc>
          <w:tcPr>
            <w:tcW w:w="0" w:type="auto"/>
            <w:hideMark/>
          </w:tcPr>
          <w:p w14:paraId="280DCE8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0.017</w:t>
            </w:r>
          </w:p>
        </w:tc>
        <w:tc>
          <w:tcPr>
            <w:tcW w:w="0" w:type="auto"/>
            <w:hideMark/>
          </w:tcPr>
          <w:p w14:paraId="34B9628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0.011</w:t>
            </w:r>
          </w:p>
        </w:tc>
        <w:tc>
          <w:tcPr>
            <w:tcW w:w="0" w:type="auto"/>
            <w:hideMark/>
          </w:tcPr>
          <w:p w14:paraId="4706433D"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0.003</w:t>
            </w:r>
          </w:p>
        </w:tc>
        <w:tc>
          <w:tcPr>
            <w:tcW w:w="1785" w:type="dxa"/>
            <w:hideMark/>
          </w:tcPr>
          <w:p w14:paraId="564E65B5"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19</w:t>
            </w:r>
          </w:p>
        </w:tc>
      </w:tr>
      <w:tr w:rsidR="00BC3AE3" w:rsidRPr="00CF362F" w14:paraId="7D3FD3C2"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6C877D"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Cd</w:t>
            </w:r>
          </w:p>
        </w:tc>
        <w:tc>
          <w:tcPr>
            <w:tcW w:w="0" w:type="auto"/>
            <w:hideMark/>
          </w:tcPr>
          <w:p w14:paraId="2696C1D2"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4.49</w:t>
            </w:r>
          </w:p>
        </w:tc>
        <w:tc>
          <w:tcPr>
            <w:tcW w:w="0" w:type="auto"/>
            <w:hideMark/>
          </w:tcPr>
          <w:p w14:paraId="00964EFD"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0.283</w:t>
            </w:r>
          </w:p>
        </w:tc>
        <w:tc>
          <w:tcPr>
            <w:tcW w:w="0" w:type="auto"/>
            <w:hideMark/>
          </w:tcPr>
          <w:p w14:paraId="2160EE25"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0.358</w:t>
            </w:r>
          </w:p>
        </w:tc>
        <w:tc>
          <w:tcPr>
            <w:tcW w:w="1785" w:type="dxa"/>
            <w:hideMark/>
          </w:tcPr>
          <w:p w14:paraId="1E9CB7B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10</w:t>
            </w:r>
          </w:p>
        </w:tc>
      </w:tr>
      <w:tr w:rsidR="00BC3AE3" w:rsidRPr="00CF362F" w14:paraId="7AA80B19"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ABA27E"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Cu</w:t>
            </w:r>
          </w:p>
        </w:tc>
        <w:tc>
          <w:tcPr>
            <w:tcW w:w="0" w:type="auto"/>
            <w:hideMark/>
          </w:tcPr>
          <w:p w14:paraId="178571F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2.34</w:t>
            </w:r>
          </w:p>
        </w:tc>
        <w:tc>
          <w:tcPr>
            <w:tcW w:w="0" w:type="auto"/>
            <w:hideMark/>
          </w:tcPr>
          <w:p w14:paraId="7571374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2.34</w:t>
            </w:r>
          </w:p>
        </w:tc>
        <w:tc>
          <w:tcPr>
            <w:tcW w:w="0" w:type="auto"/>
            <w:hideMark/>
          </w:tcPr>
          <w:p w14:paraId="13620A3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4.49</w:t>
            </w:r>
          </w:p>
        </w:tc>
        <w:tc>
          <w:tcPr>
            <w:tcW w:w="1785" w:type="dxa"/>
            <w:hideMark/>
          </w:tcPr>
          <w:p w14:paraId="332DAF3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95</w:t>
            </w:r>
          </w:p>
        </w:tc>
      </w:tr>
      <w:tr w:rsidR="00BC3AE3" w:rsidRPr="00CF362F" w14:paraId="4F9880D0"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BEC5C8"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Fe</w:t>
            </w:r>
          </w:p>
        </w:tc>
        <w:tc>
          <w:tcPr>
            <w:tcW w:w="0" w:type="auto"/>
            <w:hideMark/>
          </w:tcPr>
          <w:p w14:paraId="00B63B57"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3.70</w:t>
            </w:r>
          </w:p>
        </w:tc>
        <w:tc>
          <w:tcPr>
            <w:tcW w:w="0" w:type="auto"/>
            <w:hideMark/>
          </w:tcPr>
          <w:p w14:paraId="6A0F162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3.70</w:t>
            </w:r>
          </w:p>
        </w:tc>
        <w:tc>
          <w:tcPr>
            <w:tcW w:w="0" w:type="auto"/>
            <w:hideMark/>
          </w:tcPr>
          <w:p w14:paraId="5FD0B93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6.39</w:t>
            </w:r>
          </w:p>
        </w:tc>
        <w:tc>
          <w:tcPr>
            <w:tcW w:w="1785" w:type="dxa"/>
            <w:hideMark/>
          </w:tcPr>
          <w:p w14:paraId="655D83DC"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r>
      <w:tr w:rsidR="00BC3AE3" w:rsidRPr="00CF362F" w14:paraId="6D27A4F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928900"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Pb</w:t>
            </w:r>
          </w:p>
        </w:tc>
        <w:tc>
          <w:tcPr>
            <w:tcW w:w="0" w:type="auto"/>
            <w:hideMark/>
          </w:tcPr>
          <w:p w14:paraId="189E8BE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0.571</w:t>
            </w:r>
          </w:p>
        </w:tc>
        <w:tc>
          <w:tcPr>
            <w:tcW w:w="0" w:type="auto"/>
            <w:hideMark/>
          </w:tcPr>
          <w:p w14:paraId="15693080"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0.036</w:t>
            </w:r>
          </w:p>
        </w:tc>
        <w:tc>
          <w:tcPr>
            <w:tcW w:w="0" w:type="auto"/>
            <w:hideMark/>
          </w:tcPr>
          <w:p w14:paraId="7F765857"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0.571</w:t>
            </w:r>
          </w:p>
        </w:tc>
        <w:tc>
          <w:tcPr>
            <w:tcW w:w="1785" w:type="dxa"/>
            <w:hideMark/>
          </w:tcPr>
          <w:p w14:paraId="7A280A7F"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200</w:t>
            </w:r>
          </w:p>
        </w:tc>
      </w:tr>
      <w:tr w:rsidR="00BC3AE3" w:rsidRPr="00CF362F" w14:paraId="138049C5"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EFA6AA"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Zn</w:t>
            </w:r>
          </w:p>
        </w:tc>
        <w:tc>
          <w:tcPr>
            <w:tcW w:w="0" w:type="auto"/>
            <w:hideMark/>
          </w:tcPr>
          <w:p w14:paraId="18D99E0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1.83</w:t>
            </w:r>
          </w:p>
        </w:tc>
        <w:tc>
          <w:tcPr>
            <w:tcW w:w="0" w:type="auto"/>
            <w:hideMark/>
          </w:tcPr>
          <w:p w14:paraId="6F8F4275"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1.83</w:t>
            </w:r>
          </w:p>
        </w:tc>
        <w:tc>
          <w:tcPr>
            <w:tcW w:w="0" w:type="auto"/>
            <w:hideMark/>
          </w:tcPr>
          <w:p w14:paraId="65F5884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3.12</w:t>
            </w:r>
          </w:p>
        </w:tc>
        <w:tc>
          <w:tcPr>
            <w:tcW w:w="1785" w:type="dxa"/>
            <w:hideMark/>
          </w:tcPr>
          <w:p w14:paraId="1778E1EF"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4500</w:t>
            </w:r>
          </w:p>
        </w:tc>
      </w:tr>
      <w:tr w:rsidR="00BC3AE3" w:rsidRPr="00CF362F" w14:paraId="6591CA37"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9ACA08"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Ni</w:t>
            </w:r>
          </w:p>
        </w:tc>
        <w:tc>
          <w:tcPr>
            <w:tcW w:w="0" w:type="auto"/>
            <w:hideMark/>
          </w:tcPr>
          <w:p w14:paraId="3C4568F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1.27</w:t>
            </w:r>
          </w:p>
        </w:tc>
        <w:tc>
          <w:tcPr>
            <w:tcW w:w="0" w:type="auto"/>
            <w:hideMark/>
          </w:tcPr>
          <w:p w14:paraId="4DD91104"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1.27</w:t>
            </w:r>
          </w:p>
        </w:tc>
        <w:tc>
          <w:tcPr>
            <w:tcW w:w="0" w:type="auto"/>
            <w:hideMark/>
          </w:tcPr>
          <w:p w14:paraId="1B6EAA43"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0.74</w:t>
            </w:r>
          </w:p>
        </w:tc>
        <w:tc>
          <w:tcPr>
            <w:tcW w:w="1785" w:type="dxa"/>
            <w:hideMark/>
          </w:tcPr>
          <w:p w14:paraId="7F867DB7"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70</w:t>
            </w:r>
          </w:p>
        </w:tc>
      </w:tr>
      <w:tr w:rsidR="00BC3AE3" w:rsidRPr="00CF362F" w14:paraId="0DFFC485"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07A02F"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Cr</w:t>
            </w:r>
          </w:p>
        </w:tc>
        <w:tc>
          <w:tcPr>
            <w:tcW w:w="0" w:type="auto"/>
            <w:hideMark/>
          </w:tcPr>
          <w:p w14:paraId="3098FCBF"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0.060</w:t>
            </w:r>
          </w:p>
        </w:tc>
        <w:tc>
          <w:tcPr>
            <w:tcW w:w="0" w:type="auto"/>
            <w:hideMark/>
          </w:tcPr>
          <w:p w14:paraId="782504C6"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0.057</w:t>
            </w:r>
          </w:p>
        </w:tc>
        <w:tc>
          <w:tcPr>
            <w:tcW w:w="0" w:type="auto"/>
            <w:hideMark/>
          </w:tcPr>
          <w:p w14:paraId="3F351485"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0.057</w:t>
            </w:r>
          </w:p>
        </w:tc>
        <w:tc>
          <w:tcPr>
            <w:tcW w:w="1785" w:type="dxa"/>
            <w:hideMark/>
          </w:tcPr>
          <w:p w14:paraId="7260FE1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65</w:t>
            </w:r>
          </w:p>
        </w:tc>
      </w:tr>
    </w:tbl>
    <w:p w14:paraId="2822DCFD" w14:textId="77777777" w:rsidR="00BC3AE3" w:rsidRPr="00CF362F" w:rsidRDefault="00BC3AE3" w:rsidP="00781B95">
      <w:pPr>
        <w:pStyle w:val="NormalWeb"/>
        <w:spacing w:before="0" w:beforeAutospacing="0" w:after="0" w:afterAutospacing="0" w:line="360" w:lineRule="auto"/>
        <w:jc w:val="both"/>
        <w:rPr>
          <w:rFonts w:ascii="Arial" w:hAnsi="Arial" w:cs="Arial"/>
          <w:sz w:val="20"/>
          <w:szCs w:val="20"/>
        </w:rPr>
      </w:pPr>
    </w:p>
    <w:p w14:paraId="5C849200" w14:textId="77777777" w:rsidR="003C3D22" w:rsidRDefault="003C3D22" w:rsidP="00781B95">
      <w:pPr>
        <w:pStyle w:val="NormalWeb"/>
        <w:spacing w:line="360" w:lineRule="auto"/>
        <w:jc w:val="both"/>
        <w:rPr>
          <w:rFonts w:ascii="Arial" w:hAnsi="Arial" w:cs="Arial"/>
          <w:sz w:val="20"/>
          <w:szCs w:val="20"/>
        </w:rPr>
        <w:sectPr w:rsidR="003C3D22" w:rsidSect="003C3D22">
          <w:type w:val="continuous"/>
          <w:pgSz w:w="11906" w:h="16838"/>
          <w:pgMar w:top="1417" w:right="1417" w:bottom="1417" w:left="1417" w:header="708" w:footer="708" w:gutter="0"/>
          <w:cols w:space="708"/>
          <w:docGrid w:linePitch="360"/>
        </w:sectPr>
      </w:pPr>
    </w:p>
    <w:p w14:paraId="64E1FDC3" w14:textId="77777777" w:rsidR="00BC3AE3" w:rsidRPr="00CF362F" w:rsidRDefault="00BC3AE3" w:rsidP="00781B95">
      <w:pPr>
        <w:pStyle w:val="NormalWeb"/>
        <w:spacing w:line="360" w:lineRule="auto"/>
        <w:jc w:val="both"/>
        <w:rPr>
          <w:rFonts w:ascii="Arial" w:hAnsi="Arial" w:cs="Arial"/>
          <w:sz w:val="20"/>
          <w:szCs w:val="20"/>
        </w:rPr>
      </w:pPr>
      <w:r w:rsidRPr="00CF362F">
        <w:rPr>
          <w:rFonts w:ascii="Arial" w:hAnsi="Arial" w:cs="Arial"/>
          <w:sz w:val="20"/>
          <w:szCs w:val="20"/>
        </w:rPr>
        <w:t>The levels of As, Cd, Cu, Pb, Zn, Ni, and Cr are low, with values generally below international reference thresholds.</w:t>
      </w:r>
    </w:p>
    <w:p w14:paraId="4CD11408" w14:textId="77777777" w:rsidR="00E8791C" w:rsidRPr="00CF362F" w:rsidRDefault="00BC3AE3" w:rsidP="00781B95">
      <w:pPr>
        <w:pStyle w:val="NormalWeb"/>
        <w:spacing w:line="360" w:lineRule="auto"/>
        <w:jc w:val="both"/>
        <w:rPr>
          <w:rFonts w:ascii="Arial" w:hAnsi="Arial" w:cs="Arial"/>
          <w:sz w:val="20"/>
          <w:szCs w:val="20"/>
        </w:rPr>
      </w:pPr>
      <w:r w:rsidRPr="00CF362F">
        <w:rPr>
          <w:rFonts w:ascii="Arial" w:hAnsi="Arial" w:cs="Arial"/>
          <w:sz w:val="20"/>
          <w:szCs w:val="20"/>
        </w:rPr>
        <w:t xml:space="preserve">In Abomey-Calavi, the maximum concentrations measured were 0.017 mg/kg for As, 4.49 mg/kg for Cd, 2.34 mg/kg for Cu, 2040.32 mg/kg for Fe, 503.02 mg/kg for Pb, 3.12 mg/kg for Zn, 1.27 mg/kg for Ni, and 0.060 </w:t>
      </w:r>
      <w:r w:rsidRPr="00CF362F">
        <w:rPr>
          <w:rFonts w:ascii="Arial" w:hAnsi="Arial" w:cs="Arial"/>
          <w:sz w:val="20"/>
          <w:szCs w:val="20"/>
        </w:rPr>
        <w:t>mg/kg for Cr. In Cotonou, the maximum values were 0.011 mg/kg (As), 0.283 mg/kg (Cd), 2.34 mg/kg (Cu), 3.70 mg/kg (Fe), 0.036 mg/kg (Pb), 1.83 mg/kg (Zn), 1.27 mg/kg (Ni), and 0.057 mg/kg (Cr). Finally, in Natitingou, the maximum concentrations reached 0.003 mg/kg (As), 0.358 mg/kg (Cd), 4.49 mg/kg (Cu), 6.39 mg/kg (Fe), 0.571 mg/kg (Pb), 3.12 mg/kg (Zn), 0.737 mg/kg (Ni), and 0.057 mg/kg (Cr).</w:t>
      </w:r>
    </w:p>
    <w:p w14:paraId="0BFA49DB" w14:textId="77777777" w:rsidR="003C3D22" w:rsidRDefault="003C3D22" w:rsidP="00781B95">
      <w:pPr>
        <w:pStyle w:val="NormalWeb"/>
        <w:spacing w:line="360" w:lineRule="auto"/>
        <w:jc w:val="center"/>
        <w:rPr>
          <w:rFonts w:ascii="Arial" w:hAnsi="Arial" w:cs="Arial"/>
          <w:b/>
          <w:bCs/>
          <w:sz w:val="20"/>
          <w:szCs w:val="20"/>
        </w:rPr>
        <w:sectPr w:rsidR="003C3D22" w:rsidSect="003C3D22">
          <w:type w:val="continuous"/>
          <w:pgSz w:w="11906" w:h="16838"/>
          <w:pgMar w:top="1417" w:right="1417" w:bottom="1417" w:left="1417" w:header="708" w:footer="708" w:gutter="0"/>
          <w:cols w:num="2" w:space="708"/>
          <w:docGrid w:linePitch="360"/>
        </w:sectPr>
      </w:pPr>
    </w:p>
    <w:p w14:paraId="1BF00CF6" w14:textId="77777777" w:rsidR="00BC3AE3" w:rsidRPr="00CF362F" w:rsidRDefault="00BC3AE3" w:rsidP="00781B95">
      <w:pPr>
        <w:pStyle w:val="NormalWeb"/>
        <w:spacing w:line="360" w:lineRule="auto"/>
        <w:jc w:val="center"/>
        <w:rPr>
          <w:rFonts w:ascii="Arial" w:hAnsi="Arial" w:cs="Arial"/>
          <w:sz w:val="20"/>
          <w:szCs w:val="20"/>
        </w:rPr>
      </w:pPr>
      <w:r w:rsidRPr="00155B6E">
        <w:rPr>
          <w:rFonts w:ascii="Arial" w:hAnsi="Arial" w:cs="Arial"/>
          <w:b/>
          <w:bCs/>
          <w:sz w:val="20"/>
          <w:szCs w:val="20"/>
        </w:rPr>
        <w:t>Table 2</w:t>
      </w:r>
      <w:r w:rsidR="00155B6E">
        <w:rPr>
          <w:rFonts w:ascii="Arial" w:hAnsi="Arial" w:cs="Arial"/>
          <w:b/>
          <w:bCs/>
          <w:sz w:val="20"/>
          <w:szCs w:val="20"/>
        </w:rPr>
        <w:t>.</w:t>
      </w:r>
      <w:r w:rsidRPr="00CF362F">
        <w:rPr>
          <w:rFonts w:ascii="Arial" w:hAnsi="Arial" w:cs="Arial"/>
          <w:b/>
          <w:bCs/>
          <w:sz w:val="20"/>
          <w:szCs w:val="20"/>
        </w:rPr>
        <w:t xml:space="preserve"> </w:t>
      </w:r>
      <w:r w:rsidRPr="00CF362F">
        <w:rPr>
          <w:rFonts w:ascii="Arial" w:hAnsi="Arial" w:cs="Arial"/>
          <w:sz w:val="20"/>
          <w:szCs w:val="20"/>
        </w:rPr>
        <w:t>Heavy metal concentrations at the burning site</w:t>
      </w:r>
    </w:p>
    <w:tbl>
      <w:tblPr>
        <w:tblStyle w:val="PlainTable2"/>
        <w:tblW w:w="0" w:type="auto"/>
        <w:tblLook w:val="04A0" w:firstRow="1" w:lastRow="0" w:firstColumn="1" w:lastColumn="0" w:noHBand="0" w:noVBand="1"/>
      </w:tblPr>
      <w:tblGrid>
        <w:gridCol w:w="1352"/>
        <w:gridCol w:w="2030"/>
        <w:gridCol w:w="3331"/>
        <w:gridCol w:w="1431"/>
      </w:tblGrid>
      <w:tr w:rsidR="00BC3AE3" w:rsidRPr="00CF362F" w14:paraId="7F880309" w14:textId="77777777" w:rsidTr="0013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2DE7E5" w14:textId="77777777" w:rsidR="00BC3AE3" w:rsidRPr="00CF362F" w:rsidRDefault="00BC3AE3" w:rsidP="00781B95">
            <w:pPr>
              <w:spacing w:line="360" w:lineRule="auto"/>
              <w:jc w:val="center"/>
              <w:rPr>
                <w:rFonts w:eastAsia="Times New Roman"/>
                <w:b w:val="0"/>
                <w:bCs w:val="0"/>
                <w:szCs w:val="20"/>
                <w:lang w:val="fr-FR" w:eastAsia="fr-FR"/>
              </w:rPr>
            </w:pPr>
            <w:r w:rsidRPr="00CF362F">
              <w:rPr>
                <w:rFonts w:eastAsia="Times New Roman"/>
                <w:szCs w:val="20"/>
                <w:lang w:val="fr-FR" w:eastAsia="fr-FR"/>
              </w:rPr>
              <w:t>Metal</w:t>
            </w:r>
          </w:p>
          <w:p w14:paraId="732634AC" w14:textId="77777777" w:rsidR="00BC3AE3" w:rsidRPr="00CF362F" w:rsidRDefault="00BC3AE3" w:rsidP="00781B95">
            <w:pPr>
              <w:spacing w:line="360" w:lineRule="auto"/>
              <w:jc w:val="center"/>
              <w:rPr>
                <w:rFonts w:eastAsia="Times New Roman"/>
                <w:b w:val="0"/>
                <w:bCs w:val="0"/>
                <w:szCs w:val="20"/>
                <w:lang w:eastAsia="fr-FR"/>
              </w:rPr>
            </w:pPr>
            <w:r w:rsidRPr="00CF362F">
              <w:rPr>
                <w:rFonts w:eastAsia="Times New Roman"/>
                <w:szCs w:val="20"/>
                <w:lang w:eastAsia="fr-FR"/>
              </w:rPr>
              <w:t>(mg/kg MS)</w:t>
            </w:r>
          </w:p>
        </w:tc>
        <w:tc>
          <w:tcPr>
            <w:tcW w:w="0" w:type="auto"/>
            <w:hideMark/>
          </w:tcPr>
          <w:p w14:paraId="1BBFADB0"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Burning site (max)</w:t>
            </w:r>
          </w:p>
        </w:tc>
        <w:tc>
          <w:tcPr>
            <w:tcW w:w="0" w:type="auto"/>
            <w:hideMark/>
          </w:tcPr>
          <w:p w14:paraId="2376EE83"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Guideline Values (France VDSS)</w:t>
            </w:r>
          </w:p>
        </w:tc>
        <w:tc>
          <w:tcPr>
            <w:tcW w:w="0" w:type="auto"/>
            <w:hideMark/>
          </w:tcPr>
          <w:p w14:paraId="24A8EC8F"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Exceedance</w:t>
            </w:r>
          </w:p>
        </w:tc>
      </w:tr>
      <w:tr w:rsidR="00BC3AE3" w:rsidRPr="00CF362F" w14:paraId="5A5D31F2"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E96F5A"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As</w:t>
            </w:r>
          </w:p>
        </w:tc>
        <w:tc>
          <w:tcPr>
            <w:tcW w:w="0" w:type="auto"/>
            <w:hideMark/>
          </w:tcPr>
          <w:p w14:paraId="59618591"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w:t>
            </w:r>
          </w:p>
        </w:tc>
        <w:tc>
          <w:tcPr>
            <w:tcW w:w="0" w:type="auto"/>
            <w:hideMark/>
          </w:tcPr>
          <w:p w14:paraId="0D4DFC85"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19</w:t>
            </w:r>
          </w:p>
        </w:tc>
        <w:tc>
          <w:tcPr>
            <w:tcW w:w="0" w:type="auto"/>
            <w:hideMark/>
          </w:tcPr>
          <w:p w14:paraId="03DD42E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No</w:t>
            </w:r>
          </w:p>
        </w:tc>
      </w:tr>
      <w:tr w:rsidR="00BC3AE3" w:rsidRPr="00CF362F" w14:paraId="64F41CA0"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4452056D"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Cd</w:t>
            </w:r>
          </w:p>
        </w:tc>
        <w:tc>
          <w:tcPr>
            <w:tcW w:w="0" w:type="auto"/>
            <w:hideMark/>
          </w:tcPr>
          <w:p w14:paraId="19A711B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r w:rsidRPr="00CF362F">
              <w:rPr>
                <w:rFonts w:eastAsia="Times New Roman"/>
                <w:b/>
                <w:bCs/>
                <w:szCs w:val="20"/>
                <w:lang w:eastAsia="fr-FR"/>
              </w:rPr>
              <w:t>119.08</w:t>
            </w:r>
          </w:p>
        </w:tc>
        <w:tc>
          <w:tcPr>
            <w:tcW w:w="0" w:type="auto"/>
            <w:hideMark/>
          </w:tcPr>
          <w:p w14:paraId="39609C7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10</w:t>
            </w:r>
          </w:p>
        </w:tc>
        <w:tc>
          <w:tcPr>
            <w:tcW w:w="0" w:type="auto"/>
            <w:hideMark/>
          </w:tcPr>
          <w:p w14:paraId="4A60218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Cs w:val="20"/>
                <w:lang w:val="fr-FR" w:eastAsia="fr-FR"/>
              </w:rPr>
            </w:pPr>
            <w:r w:rsidRPr="00CF362F">
              <w:rPr>
                <w:rFonts w:eastAsia="Times New Roman"/>
                <w:b/>
                <w:bCs/>
                <w:color w:val="ED7D31" w:themeColor="accent2"/>
                <w:szCs w:val="20"/>
                <w:lang w:val="fr-FR" w:eastAsia="fr-FR"/>
              </w:rPr>
              <w:t>Yes</w:t>
            </w:r>
          </w:p>
        </w:tc>
      </w:tr>
      <w:tr w:rsidR="00BC3AE3" w:rsidRPr="00CF362F" w14:paraId="2B33E629"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FB1061"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Cu</w:t>
            </w:r>
          </w:p>
        </w:tc>
        <w:tc>
          <w:tcPr>
            <w:tcW w:w="0" w:type="auto"/>
            <w:hideMark/>
          </w:tcPr>
          <w:p w14:paraId="51AFFC1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szCs w:val="20"/>
                <w:lang w:eastAsia="fr-FR"/>
              </w:rPr>
              <w:t>416.97</w:t>
            </w:r>
          </w:p>
        </w:tc>
        <w:tc>
          <w:tcPr>
            <w:tcW w:w="0" w:type="auto"/>
            <w:hideMark/>
          </w:tcPr>
          <w:p w14:paraId="676676D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95</w:t>
            </w:r>
          </w:p>
        </w:tc>
        <w:tc>
          <w:tcPr>
            <w:tcW w:w="0" w:type="auto"/>
            <w:hideMark/>
          </w:tcPr>
          <w:p w14:paraId="60EACFD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ED7D31" w:themeColor="accent2"/>
                <w:szCs w:val="20"/>
                <w:lang w:val="fr-FR" w:eastAsia="fr-FR"/>
              </w:rPr>
            </w:pPr>
            <w:r w:rsidRPr="00CF362F">
              <w:rPr>
                <w:rFonts w:eastAsia="Times New Roman"/>
                <w:b/>
                <w:bCs/>
                <w:color w:val="ED7D31" w:themeColor="accent2"/>
                <w:szCs w:val="20"/>
                <w:lang w:val="fr-FR" w:eastAsia="fr-FR"/>
              </w:rPr>
              <w:t>Yes</w:t>
            </w:r>
          </w:p>
        </w:tc>
      </w:tr>
      <w:tr w:rsidR="00BC3AE3" w:rsidRPr="00CF362F" w14:paraId="4E462082"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01118D30"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Fe</w:t>
            </w:r>
          </w:p>
        </w:tc>
        <w:tc>
          <w:tcPr>
            <w:tcW w:w="0" w:type="auto"/>
            <w:hideMark/>
          </w:tcPr>
          <w:p w14:paraId="1962193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2040.32</w:t>
            </w:r>
          </w:p>
        </w:tc>
        <w:tc>
          <w:tcPr>
            <w:tcW w:w="0" w:type="auto"/>
            <w:hideMark/>
          </w:tcPr>
          <w:p w14:paraId="636D53D4"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c>
          <w:tcPr>
            <w:tcW w:w="0" w:type="auto"/>
            <w:hideMark/>
          </w:tcPr>
          <w:p w14:paraId="7435C7FD"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r>
      <w:tr w:rsidR="00BC3AE3" w:rsidRPr="00CF362F" w14:paraId="70C5615C"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9EEC5"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Pb</w:t>
            </w:r>
          </w:p>
        </w:tc>
        <w:tc>
          <w:tcPr>
            <w:tcW w:w="0" w:type="auto"/>
            <w:hideMark/>
          </w:tcPr>
          <w:p w14:paraId="5C29E9B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themeColor="text1"/>
                <w:szCs w:val="20"/>
                <w:lang w:eastAsia="fr-FR"/>
              </w:rPr>
            </w:pPr>
            <w:r w:rsidRPr="00CF362F">
              <w:rPr>
                <w:rFonts w:eastAsia="Times New Roman"/>
                <w:b/>
                <w:bCs/>
                <w:color w:val="000000" w:themeColor="text1"/>
                <w:szCs w:val="20"/>
                <w:lang w:eastAsia="fr-FR"/>
              </w:rPr>
              <w:t>503.02</w:t>
            </w:r>
          </w:p>
        </w:tc>
        <w:tc>
          <w:tcPr>
            <w:tcW w:w="0" w:type="auto"/>
            <w:hideMark/>
          </w:tcPr>
          <w:p w14:paraId="4EF7C58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200</w:t>
            </w:r>
          </w:p>
        </w:tc>
        <w:tc>
          <w:tcPr>
            <w:tcW w:w="0" w:type="auto"/>
            <w:hideMark/>
          </w:tcPr>
          <w:p w14:paraId="1262BBA5"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val="fr-FR" w:eastAsia="fr-FR"/>
              </w:rPr>
            </w:pPr>
            <w:r w:rsidRPr="00CF362F">
              <w:rPr>
                <w:rFonts w:eastAsia="Times New Roman"/>
                <w:b/>
                <w:bCs/>
                <w:color w:val="ED7D31" w:themeColor="accent2"/>
                <w:szCs w:val="20"/>
                <w:lang w:val="fr-FR" w:eastAsia="fr-FR"/>
              </w:rPr>
              <w:t>Yes</w:t>
            </w:r>
          </w:p>
        </w:tc>
      </w:tr>
      <w:tr w:rsidR="00BC3AE3" w:rsidRPr="00CF362F" w14:paraId="5A0857E3"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5F34FE01"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Zn</w:t>
            </w:r>
          </w:p>
        </w:tc>
        <w:tc>
          <w:tcPr>
            <w:tcW w:w="0" w:type="auto"/>
            <w:hideMark/>
          </w:tcPr>
          <w:p w14:paraId="0F0168A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w:t>
            </w:r>
          </w:p>
        </w:tc>
        <w:tc>
          <w:tcPr>
            <w:tcW w:w="0" w:type="auto"/>
            <w:hideMark/>
          </w:tcPr>
          <w:p w14:paraId="44194F13"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4500</w:t>
            </w:r>
          </w:p>
        </w:tc>
        <w:tc>
          <w:tcPr>
            <w:tcW w:w="0" w:type="auto"/>
            <w:hideMark/>
          </w:tcPr>
          <w:p w14:paraId="19FB5569"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No</w:t>
            </w:r>
          </w:p>
        </w:tc>
      </w:tr>
      <w:tr w:rsidR="00BC3AE3" w:rsidRPr="00CF362F" w14:paraId="6C14B620"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2088E4"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Ni</w:t>
            </w:r>
          </w:p>
        </w:tc>
        <w:tc>
          <w:tcPr>
            <w:tcW w:w="0" w:type="auto"/>
            <w:hideMark/>
          </w:tcPr>
          <w:p w14:paraId="34305C1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7.78</w:t>
            </w:r>
          </w:p>
        </w:tc>
        <w:tc>
          <w:tcPr>
            <w:tcW w:w="0" w:type="auto"/>
            <w:hideMark/>
          </w:tcPr>
          <w:p w14:paraId="3E4A6A6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70</w:t>
            </w:r>
          </w:p>
        </w:tc>
        <w:tc>
          <w:tcPr>
            <w:tcW w:w="0" w:type="auto"/>
            <w:hideMark/>
          </w:tcPr>
          <w:p w14:paraId="47DFB44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w:t>
            </w:r>
            <w:r w:rsidRPr="00CF362F">
              <w:rPr>
                <w:rFonts w:eastAsia="Times New Roman"/>
                <w:szCs w:val="20"/>
                <w:lang w:val="fr-FR" w:eastAsia="fr-FR"/>
              </w:rPr>
              <w:t>o</w:t>
            </w:r>
          </w:p>
        </w:tc>
      </w:tr>
      <w:tr w:rsidR="00BC3AE3" w:rsidRPr="00CF362F" w14:paraId="054F0CF2"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719BE6C1"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Cr</w:t>
            </w:r>
          </w:p>
        </w:tc>
        <w:tc>
          <w:tcPr>
            <w:tcW w:w="0" w:type="auto"/>
            <w:hideMark/>
          </w:tcPr>
          <w:p w14:paraId="04F0612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0.060</w:t>
            </w:r>
          </w:p>
        </w:tc>
        <w:tc>
          <w:tcPr>
            <w:tcW w:w="0" w:type="auto"/>
            <w:hideMark/>
          </w:tcPr>
          <w:p w14:paraId="14CB72A1"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val="fr-FR" w:eastAsia="fr-FR"/>
              </w:rPr>
              <w:t>65</w:t>
            </w:r>
          </w:p>
        </w:tc>
        <w:tc>
          <w:tcPr>
            <w:tcW w:w="0" w:type="auto"/>
            <w:hideMark/>
          </w:tcPr>
          <w:p w14:paraId="5BF94814"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No</w:t>
            </w:r>
          </w:p>
        </w:tc>
      </w:tr>
    </w:tbl>
    <w:p w14:paraId="44B0660C" w14:textId="77777777" w:rsidR="003C3D22" w:rsidRDefault="003C3D22" w:rsidP="00781B95">
      <w:pPr>
        <w:pStyle w:val="NormalWeb"/>
        <w:spacing w:line="360" w:lineRule="auto"/>
        <w:jc w:val="both"/>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p>
    <w:p w14:paraId="3E47B4CC" w14:textId="77777777"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sz w:val="20"/>
          <w:szCs w:val="20"/>
          <w:lang w:val="en-US"/>
        </w:rPr>
        <w:lastRenderedPageBreak/>
        <w:t xml:space="preserve">The results for the burning site (Table </w:t>
      </w:r>
      <w:r>
        <w:rPr>
          <w:rFonts w:ascii="Arial" w:hAnsi="Arial" w:cs="Arial"/>
          <w:sz w:val="20"/>
          <w:szCs w:val="20"/>
          <w:lang w:val="en-US"/>
        </w:rPr>
        <w:t>2</w:t>
      </w:r>
      <w:r w:rsidRPr="00CF362F">
        <w:rPr>
          <w:rFonts w:ascii="Arial" w:hAnsi="Arial" w:cs="Arial"/>
          <w:sz w:val="20"/>
          <w:szCs w:val="20"/>
          <w:lang w:val="en-US"/>
        </w:rPr>
        <w:t>) reveal particularly high levels for certain metals. Maximum concentrations reach 119.08 mg/kg for Cd, 416.97 mg/kg for Cu, and 503.02 mg/kg for Pb, values exceeding reference thresholds. Fe also shows elevated levels (2040.32 mg/kg). In contrast, Ni (7.78 mg/kg) and Cr (0.060 mg/kg) levels remain low.</w:t>
      </w:r>
    </w:p>
    <w:p w14:paraId="5FEFD92A" w14:textId="77777777"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b/>
          <w:bCs/>
          <w:sz w:val="20"/>
          <w:szCs w:val="20"/>
          <w:lang w:val="en-US"/>
        </w:rPr>
        <w:t>3.6. Geoaccumulation Index (Igeo)</w:t>
      </w:r>
    </w:p>
    <w:p w14:paraId="0F6AFF0C" w14:textId="7953196F" w:rsidR="00BC3AE3" w:rsidRPr="00CF362F" w:rsidRDefault="00BC3AE3" w:rsidP="00781B95">
      <w:pPr>
        <w:pStyle w:val="NormalWeb"/>
        <w:spacing w:line="360" w:lineRule="auto"/>
        <w:jc w:val="both"/>
        <w:rPr>
          <w:rFonts w:ascii="Arial" w:hAnsi="Arial" w:cs="Arial"/>
          <w:sz w:val="20"/>
          <w:szCs w:val="20"/>
          <w:lang w:val="en-US"/>
        </w:rPr>
      </w:pPr>
      <w:r w:rsidRPr="00CF362F">
        <w:rPr>
          <w:rFonts w:ascii="Arial" w:hAnsi="Arial" w:cs="Arial"/>
          <w:sz w:val="20"/>
          <w:szCs w:val="20"/>
          <w:lang w:val="en-US"/>
        </w:rPr>
        <w:t xml:space="preserve">The geoaccumulation index (Igeo) was calculated for soils from WEEE disposal sites in Abomey-Calavi, Cotonou, and Natitingou, as well as for the burning site in Abomey-Calavi. In </w:t>
      </w:r>
      <w:r w:rsidRPr="00CF362F">
        <w:rPr>
          <w:rFonts w:ascii="Arial" w:hAnsi="Arial" w:cs="Arial"/>
          <w:sz w:val="20"/>
          <w:szCs w:val="20"/>
          <w:lang w:val="en-US"/>
        </w:rPr>
        <w:t xml:space="preserve">the three cities (excluding incineration), Igeo values for all heavy metals are predominantly in class 0 (unpolluted). A few isolated samples show slightly positive indices for cadmium, corresponding to class 1 (unpolluted to moderately polluted), but overall remain below critical thresholds (Table </w:t>
      </w:r>
      <w:r w:rsidR="00463B34">
        <w:rPr>
          <w:rFonts w:ascii="Arial" w:hAnsi="Arial" w:cs="Arial"/>
          <w:sz w:val="20"/>
          <w:szCs w:val="20"/>
          <w:lang w:val="en-US"/>
        </w:rPr>
        <w:t>5</w:t>
      </w:r>
      <w:r w:rsidRPr="00CF362F">
        <w:rPr>
          <w:rFonts w:ascii="Arial" w:hAnsi="Arial" w:cs="Arial"/>
          <w:sz w:val="20"/>
          <w:szCs w:val="20"/>
          <w:lang w:val="en-US"/>
        </w:rPr>
        <w:t xml:space="preserve">). In contrast, soils from the burning site exhibit significantly higher values. The maximum Igeo reaches 9.63 for cadmium (class 6: extremely polluted), followed by lead (4.07; class 5: heavily to extremely polluted) and copper (3.47; class 4: heavily polluted). Nickel appears in class 2 (moderately polluted), while chromium remains in class 0 (unpolluted) (Table </w:t>
      </w:r>
      <w:r>
        <w:rPr>
          <w:rFonts w:ascii="Arial" w:hAnsi="Arial" w:cs="Arial"/>
          <w:sz w:val="20"/>
          <w:szCs w:val="20"/>
          <w:lang w:val="en-US"/>
        </w:rPr>
        <w:t>3</w:t>
      </w:r>
      <w:r w:rsidRPr="00CF362F">
        <w:rPr>
          <w:rFonts w:ascii="Arial" w:hAnsi="Arial" w:cs="Arial"/>
          <w:sz w:val="20"/>
          <w:szCs w:val="20"/>
          <w:lang w:val="en-US"/>
        </w:rPr>
        <w:t>).</w:t>
      </w:r>
    </w:p>
    <w:p w14:paraId="16C71A39" w14:textId="77777777" w:rsidR="003C3D22" w:rsidRDefault="003C3D22" w:rsidP="00781B95">
      <w:pPr>
        <w:pStyle w:val="NormalWeb"/>
        <w:spacing w:line="360" w:lineRule="auto"/>
        <w:jc w:val="center"/>
        <w:rPr>
          <w:rFonts w:ascii="Arial" w:hAnsi="Arial" w:cs="Arial"/>
          <w:b/>
          <w:bCs/>
          <w:sz w:val="20"/>
          <w:szCs w:val="20"/>
          <w:lang w:val="en-US"/>
        </w:rPr>
        <w:sectPr w:rsidR="003C3D22" w:rsidSect="003C3D22">
          <w:type w:val="continuous"/>
          <w:pgSz w:w="11906" w:h="16838"/>
          <w:pgMar w:top="1417" w:right="1417" w:bottom="1417" w:left="1417" w:header="708" w:footer="708" w:gutter="0"/>
          <w:cols w:num="2" w:space="708"/>
          <w:docGrid w:linePitch="360"/>
        </w:sectPr>
      </w:pPr>
    </w:p>
    <w:p w14:paraId="6F45AC49" w14:textId="77777777" w:rsidR="00BC3AE3" w:rsidRPr="00CF362F" w:rsidRDefault="00BC3AE3" w:rsidP="00781B95">
      <w:pPr>
        <w:pStyle w:val="NormalWeb"/>
        <w:spacing w:line="360" w:lineRule="auto"/>
        <w:jc w:val="center"/>
        <w:rPr>
          <w:rFonts w:ascii="Arial" w:hAnsi="Arial" w:cs="Arial"/>
          <w:sz w:val="20"/>
          <w:szCs w:val="20"/>
          <w:lang w:val="en-US"/>
        </w:rPr>
      </w:pPr>
      <w:r w:rsidRPr="00155B6E">
        <w:rPr>
          <w:rFonts w:ascii="Arial" w:hAnsi="Arial" w:cs="Arial"/>
          <w:b/>
          <w:bCs/>
          <w:sz w:val="20"/>
          <w:szCs w:val="20"/>
          <w:lang w:val="en-US"/>
        </w:rPr>
        <w:t>Table 3</w:t>
      </w:r>
      <w:r w:rsidR="00155B6E">
        <w:rPr>
          <w:rFonts w:ascii="Arial" w:hAnsi="Arial" w:cs="Arial"/>
          <w:b/>
          <w:bCs/>
          <w:sz w:val="20"/>
          <w:szCs w:val="20"/>
          <w:lang w:val="en-US"/>
        </w:rPr>
        <w:t>.</w:t>
      </w:r>
      <w:r w:rsidRPr="00CF362F">
        <w:rPr>
          <w:rFonts w:ascii="Arial" w:hAnsi="Arial" w:cs="Arial"/>
          <w:b/>
          <w:bCs/>
          <w:sz w:val="20"/>
          <w:szCs w:val="20"/>
          <w:lang w:val="en-US"/>
        </w:rPr>
        <w:t xml:space="preserve"> </w:t>
      </w:r>
      <w:r w:rsidRPr="00CF362F">
        <w:rPr>
          <w:rFonts w:ascii="Arial" w:hAnsi="Arial" w:cs="Arial"/>
          <w:sz w:val="20"/>
          <w:szCs w:val="20"/>
          <w:lang w:val="en-US"/>
        </w:rPr>
        <w:t>Igeo by city (excluding burning site</w:t>
      </w:r>
      <w:r>
        <w:rPr>
          <w:rFonts w:ascii="Arial" w:hAnsi="Arial" w:cs="Arial"/>
          <w:sz w:val="20"/>
          <w:szCs w:val="20"/>
          <w:lang w:val="en-US"/>
        </w:rPr>
        <w:t>)</w:t>
      </w:r>
    </w:p>
    <w:tbl>
      <w:tblPr>
        <w:tblStyle w:val="PlainTable2"/>
        <w:tblW w:w="0" w:type="auto"/>
        <w:tblLook w:val="04A0" w:firstRow="1" w:lastRow="0" w:firstColumn="1" w:lastColumn="0" w:noHBand="0" w:noVBand="1"/>
      </w:tblPr>
      <w:tblGrid>
        <w:gridCol w:w="786"/>
        <w:gridCol w:w="2762"/>
        <w:gridCol w:w="2762"/>
        <w:gridCol w:w="2762"/>
      </w:tblGrid>
      <w:tr w:rsidR="00BC3AE3" w:rsidRPr="00CF362F" w14:paraId="0F079DCA" w14:textId="77777777" w:rsidTr="0013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EF5378" w14:textId="77777777" w:rsidR="00BC3AE3" w:rsidRPr="00CF362F" w:rsidRDefault="00BC3AE3" w:rsidP="00781B95">
            <w:pPr>
              <w:spacing w:line="360" w:lineRule="auto"/>
              <w:jc w:val="center"/>
              <w:rPr>
                <w:rFonts w:eastAsia="Times New Roman"/>
                <w:b w:val="0"/>
                <w:bCs w:val="0"/>
                <w:szCs w:val="20"/>
                <w:lang w:val="fr-FR" w:eastAsia="fr-FR"/>
              </w:rPr>
            </w:pPr>
            <w:r w:rsidRPr="00CF362F">
              <w:rPr>
                <w:rFonts w:eastAsia="Times New Roman"/>
                <w:szCs w:val="20"/>
                <w:lang w:val="fr-FR" w:eastAsia="fr-FR"/>
              </w:rPr>
              <w:t>Metal</w:t>
            </w:r>
          </w:p>
        </w:tc>
        <w:tc>
          <w:tcPr>
            <w:tcW w:w="0" w:type="auto"/>
            <w:hideMark/>
          </w:tcPr>
          <w:p w14:paraId="1E62129D"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Abomey-Calavi (Igeo </w:t>
            </w:r>
            <w:proofErr w:type="gramStart"/>
            <w:r w:rsidRPr="00CF362F">
              <w:rPr>
                <w:rFonts w:eastAsia="Times New Roman"/>
                <w:szCs w:val="20"/>
                <w:lang w:eastAsia="fr-FR"/>
              </w:rPr>
              <w:t>max ;</w:t>
            </w:r>
            <w:proofErr w:type="gramEnd"/>
            <w:r w:rsidRPr="00CF362F">
              <w:rPr>
                <w:rFonts w:eastAsia="Times New Roman"/>
                <w:szCs w:val="20"/>
                <w:lang w:eastAsia="fr-FR"/>
              </w:rPr>
              <w:t xml:space="preserve"> Class)</w:t>
            </w:r>
          </w:p>
        </w:tc>
        <w:tc>
          <w:tcPr>
            <w:tcW w:w="0" w:type="auto"/>
            <w:hideMark/>
          </w:tcPr>
          <w:p w14:paraId="3370D9B7"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Cotonou (Igeo </w:t>
            </w:r>
            <w:proofErr w:type="gramStart"/>
            <w:r w:rsidRPr="00CF362F">
              <w:rPr>
                <w:rFonts w:eastAsia="Times New Roman"/>
                <w:szCs w:val="20"/>
                <w:lang w:eastAsia="fr-FR"/>
              </w:rPr>
              <w:t>max ;</w:t>
            </w:r>
            <w:proofErr w:type="gramEnd"/>
            <w:r w:rsidRPr="00CF362F">
              <w:rPr>
                <w:rFonts w:eastAsia="Times New Roman"/>
                <w:szCs w:val="20"/>
                <w:lang w:eastAsia="fr-FR"/>
              </w:rPr>
              <w:t xml:space="preserve"> Class)</w:t>
            </w:r>
          </w:p>
        </w:tc>
        <w:tc>
          <w:tcPr>
            <w:tcW w:w="0" w:type="auto"/>
            <w:hideMark/>
          </w:tcPr>
          <w:p w14:paraId="0B5D22AA"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Natitingou (Igeo </w:t>
            </w:r>
            <w:proofErr w:type="gramStart"/>
            <w:r w:rsidRPr="00CF362F">
              <w:rPr>
                <w:rFonts w:eastAsia="Times New Roman"/>
                <w:szCs w:val="20"/>
                <w:lang w:eastAsia="fr-FR"/>
              </w:rPr>
              <w:t>max ;</w:t>
            </w:r>
            <w:proofErr w:type="gramEnd"/>
            <w:r w:rsidRPr="00CF362F">
              <w:rPr>
                <w:rFonts w:eastAsia="Times New Roman"/>
                <w:szCs w:val="20"/>
                <w:lang w:eastAsia="fr-FR"/>
              </w:rPr>
              <w:t xml:space="preserve"> Class)</w:t>
            </w:r>
          </w:p>
        </w:tc>
      </w:tr>
      <w:tr w:rsidR="00BC3AE3" w:rsidRPr="00CF362F" w14:paraId="2F9879D3"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3D138B"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As</w:t>
            </w:r>
          </w:p>
        </w:tc>
        <w:tc>
          <w:tcPr>
            <w:tcW w:w="0" w:type="auto"/>
            <w:hideMark/>
          </w:tcPr>
          <w:p w14:paraId="6C23881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−7.05 → Class 0</w:t>
            </w:r>
          </w:p>
          <w:p w14:paraId="2A280CC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5D8014D3"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−7.68 → Class 0</w:t>
            </w:r>
          </w:p>
          <w:p w14:paraId="15ABC24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7948557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−9.55 → Class 0</w:t>
            </w:r>
          </w:p>
          <w:p w14:paraId="67046B6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r>
      <w:tr w:rsidR="00BC3AE3" w:rsidRPr="00CF362F" w14:paraId="077D0C98"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07866AB9"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Cd</w:t>
            </w:r>
          </w:p>
        </w:tc>
        <w:tc>
          <w:tcPr>
            <w:tcW w:w="0" w:type="auto"/>
            <w:hideMark/>
          </w:tcPr>
          <w:p w14:paraId="4AB8F13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7B7B7B" w:themeColor="accent3" w:themeShade="BF"/>
                <w:szCs w:val="20"/>
                <w:lang w:eastAsia="fr-FR"/>
              </w:rPr>
            </w:pPr>
            <w:r w:rsidRPr="00CF362F">
              <w:rPr>
                <w:rFonts w:eastAsia="Times New Roman"/>
                <w:b/>
                <w:bCs/>
                <w:color w:val="7B7B7B" w:themeColor="accent3" w:themeShade="BF"/>
                <w:szCs w:val="20"/>
                <w:lang w:eastAsia="fr-FR"/>
              </w:rPr>
              <w:t>0.07 → Class 1</w:t>
            </w:r>
          </w:p>
          <w:p w14:paraId="340B3CD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7B7B7B" w:themeColor="accent3" w:themeShade="BF"/>
                <w:szCs w:val="20"/>
                <w:lang w:eastAsia="fr-FR"/>
              </w:rPr>
            </w:pPr>
            <w:r w:rsidRPr="00CF362F">
              <w:rPr>
                <w:rFonts w:eastAsia="Times New Roman"/>
                <w:b/>
                <w:bCs/>
                <w:color w:val="7B7B7B" w:themeColor="accent3" w:themeShade="BF"/>
                <w:szCs w:val="20"/>
                <w:lang w:eastAsia="fr-FR"/>
              </w:rPr>
              <w:t>(unpolluted to moderately polluted)</w:t>
            </w:r>
          </w:p>
        </w:tc>
        <w:tc>
          <w:tcPr>
            <w:tcW w:w="0" w:type="auto"/>
            <w:hideMark/>
          </w:tcPr>
          <w:p w14:paraId="2E2A378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7B7B7B" w:themeColor="accent3" w:themeShade="BF"/>
                <w:szCs w:val="20"/>
                <w:lang w:eastAsia="fr-FR"/>
              </w:rPr>
            </w:pPr>
            <w:r w:rsidRPr="00CF362F">
              <w:rPr>
                <w:rFonts w:eastAsia="Times New Roman"/>
                <w:b/>
                <w:bCs/>
                <w:color w:val="7B7B7B" w:themeColor="accent3" w:themeShade="BF"/>
                <w:szCs w:val="20"/>
                <w:lang w:eastAsia="fr-FR"/>
              </w:rPr>
              <w:t>0.92 → Class 1</w:t>
            </w:r>
          </w:p>
          <w:p w14:paraId="24A243E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7B7B7B" w:themeColor="accent3" w:themeShade="BF"/>
                <w:szCs w:val="20"/>
                <w:lang w:eastAsia="fr-FR"/>
              </w:rPr>
            </w:pPr>
            <w:r w:rsidRPr="00CF362F">
              <w:rPr>
                <w:rFonts w:eastAsia="Times New Roman"/>
                <w:b/>
                <w:bCs/>
                <w:color w:val="7B7B7B" w:themeColor="accent3" w:themeShade="BF"/>
                <w:szCs w:val="20"/>
                <w:lang w:eastAsia="fr-FR"/>
              </w:rPr>
              <w:t>(unpolluted to moderately polluted)</w:t>
            </w:r>
          </w:p>
        </w:tc>
        <w:tc>
          <w:tcPr>
            <w:tcW w:w="0" w:type="auto"/>
            <w:hideMark/>
          </w:tcPr>
          <w:p w14:paraId="00142F1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7B7B7B" w:themeColor="accent3" w:themeShade="BF"/>
                <w:szCs w:val="20"/>
                <w:lang w:eastAsia="fr-FR"/>
              </w:rPr>
            </w:pPr>
            <w:r w:rsidRPr="00CF362F">
              <w:rPr>
                <w:rFonts w:eastAsia="Times New Roman"/>
                <w:b/>
                <w:bCs/>
                <w:color w:val="7B7B7B" w:themeColor="accent3" w:themeShade="BF"/>
                <w:szCs w:val="20"/>
                <w:lang w:eastAsia="fr-FR"/>
              </w:rPr>
              <w:t>1.25 → Class 2</w:t>
            </w:r>
          </w:p>
          <w:p w14:paraId="216053D6"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7B7B7B" w:themeColor="accent3" w:themeShade="BF"/>
                <w:szCs w:val="20"/>
                <w:lang w:eastAsia="fr-FR"/>
              </w:rPr>
            </w:pPr>
            <w:r w:rsidRPr="00CF362F">
              <w:rPr>
                <w:rFonts w:eastAsia="Times New Roman"/>
                <w:b/>
                <w:bCs/>
                <w:color w:val="7B7B7B" w:themeColor="accent3" w:themeShade="BF"/>
                <w:szCs w:val="20"/>
                <w:lang w:eastAsia="fr-FR"/>
              </w:rPr>
              <w:t>(unpolluted to moderately polluted)</w:t>
            </w:r>
          </w:p>
        </w:tc>
      </w:tr>
      <w:tr w:rsidR="00BC3AE3" w:rsidRPr="00CF362F" w14:paraId="6C4B4C75"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58C7C8"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Cu</w:t>
            </w:r>
          </w:p>
        </w:tc>
        <w:tc>
          <w:tcPr>
            <w:tcW w:w="0" w:type="auto"/>
            <w:hideMark/>
          </w:tcPr>
          <w:p w14:paraId="5FF5361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−5.15 → Class 0</w:t>
            </w:r>
          </w:p>
          <w:p w14:paraId="5D283863"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proofErr w:type="gramStart"/>
            <w:r w:rsidRPr="00CF362F">
              <w:rPr>
                <w:rFonts w:eastAsia="Times New Roman"/>
                <w:szCs w:val="20"/>
                <w:lang w:val="fr-FR" w:eastAsia="fr-FR"/>
              </w:rPr>
              <w:t>unpolluted</w:t>
            </w:r>
            <w:proofErr w:type="gramEnd"/>
            <w:r w:rsidRPr="00CF362F">
              <w:rPr>
                <w:rFonts w:eastAsia="Times New Roman"/>
                <w:szCs w:val="20"/>
                <w:lang w:eastAsia="fr-FR"/>
              </w:rPr>
              <w:t>)</w:t>
            </w:r>
          </w:p>
        </w:tc>
        <w:tc>
          <w:tcPr>
            <w:tcW w:w="0" w:type="auto"/>
            <w:hideMark/>
          </w:tcPr>
          <w:p w14:paraId="6B0824B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−4.00 → Class 0</w:t>
            </w:r>
          </w:p>
          <w:p w14:paraId="3275C99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6BC36D6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−3.06 → Class 0</w:t>
            </w:r>
          </w:p>
          <w:p w14:paraId="434940E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r>
      <w:tr w:rsidR="00BC3AE3" w:rsidRPr="00CF362F" w14:paraId="7BADF71E"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1FC11858"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Pb</w:t>
            </w:r>
          </w:p>
        </w:tc>
        <w:tc>
          <w:tcPr>
            <w:tcW w:w="0" w:type="auto"/>
            <w:hideMark/>
          </w:tcPr>
          <w:p w14:paraId="4DCFBAE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−10.30 → Class 0</w:t>
            </w:r>
          </w:p>
          <w:p w14:paraId="35427FC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532C7D76"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−9.70 → Class 0</w:t>
            </w:r>
          </w:p>
          <w:p w14:paraId="6CD5E9F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657E6BB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−5.72 → Class 0</w:t>
            </w:r>
          </w:p>
          <w:p w14:paraId="3DF85A53"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r>
      <w:tr w:rsidR="00BC3AE3" w:rsidRPr="00CF362F" w14:paraId="2F2D46AB"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EE395A"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Zn</w:t>
            </w:r>
          </w:p>
        </w:tc>
        <w:tc>
          <w:tcPr>
            <w:tcW w:w="0" w:type="auto"/>
            <w:hideMark/>
          </w:tcPr>
          <w:p w14:paraId="5D1B0A7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−6.65 → Class 0</w:t>
            </w:r>
          </w:p>
          <w:p w14:paraId="716E1A4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27F1F5F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−5.86 → Class 0</w:t>
            </w:r>
          </w:p>
          <w:p w14:paraId="08761A8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proofErr w:type="gramStart"/>
            <w:r w:rsidRPr="00CF362F">
              <w:rPr>
                <w:rFonts w:eastAsia="Times New Roman"/>
                <w:szCs w:val="20"/>
                <w:lang w:val="fr-FR" w:eastAsia="fr-FR"/>
              </w:rPr>
              <w:t>unpolluted</w:t>
            </w:r>
            <w:proofErr w:type="gramEnd"/>
            <w:r w:rsidRPr="00CF362F">
              <w:rPr>
                <w:rFonts w:eastAsia="Times New Roman"/>
                <w:szCs w:val="20"/>
                <w:lang w:eastAsia="fr-FR"/>
              </w:rPr>
              <w:t>)</w:t>
            </w:r>
          </w:p>
        </w:tc>
        <w:tc>
          <w:tcPr>
            <w:tcW w:w="0" w:type="auto"/>
            <w:hideMark/>
          </w:tcPr>
          <w:p w14:paraId="35E3F14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−5.09 → Class 0</w:t>
            </w:r>
          </w:p>
          <w:p w14:paraId="04AB000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r>
      <w:tr w:rsidR="00BC3AE3" w:rsidRPr="00CF362F" w14:paraId="4CD65814" w14:textId="77777777" w:rsidTr="00130566">
        <w:tc>
          <w:tcPr>
            <w:cnfStyle w:val="001000000000" w:firstRow="0" w:lastRow="0" w:firstColumn="1" w:lastColumn="0" w:oddVBand="0" w:evenVBand="0" w:oddHBand="0" w:evenHBand="0" w:firstRowFirstColumn="0" w:firstRowLastColumn="0" w:lastRowFirstColumn="0" w:lastRowLastColumn="0"/>
            <w:tcW w:w="0" w:type="auto"/>
            <w:hideMark/>
          </w:tcPr>
          <w:p w14:paraId="76FCC916"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Ni</w:t>
            </w:r>
          </w:p>
        </w:tc>
        <w:tc>
          <w:tcPr>
            <w:tcW w:w="0" w:type="auto"/>
            <w:hideMark/>
          </w:tcPr>
          <w:p w14:paraId="5ABB4F5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−7.49 → Class 0</w:t>
            </w:r>
          </w:p>
          <w:p w14:paraId="5EDEE03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274C9F9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−6.33 → Class 0</w:t>
            </w:r>
          </w:p>
          <w:p w14:paraId="4193E04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61104EB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−7.11 → Class 0</w:t>
            </w:r>
          </w:p>
          <w:p w14:paraId="49A7FE5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proofErr w:type="gramStart"/>
            <w:r w:rsidRPr="00CF362F">
              <w:rPr>
                <w:rFonts w:eastAsia="Times New Roman"/>
                <w:szCs w:val="20"/>
                <w:lang w:val="fr-FR" w:eastAsia="fr-FR"/>
              </w:rPr>
              <w:t>unpolluted</w:t>
            </w:r>
            <w:proofErr w:type="gramEnd"/>
            <w:r w:rsidRPr="00CF362F">
              <w:rPr>
                <w:rFonts w:eastAsia="Times New Roman"/>
                <w:szCs w:val="20"/>
                <w:lang w:eastAsia="fr-FR"/>
              </w:rPr>
              <w:t>)</w:t>
            </w:r>
          </w:p>
        </w:tc>
      </w:tr>
      <w:tr w:rsidR="00BC3AE3" w:rsidRPr="00CF362F" w14:paraId="33619E8D"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FDE1BD" w14:textId="77777777" w:rsidR="00BC3AE3" w:rsidRPr="00CF362F" w:rsidRDefault="00BC3AE3" w:rsidP="00781B95">
            <w:pPr>
              <w:spacing w:line="360" w:lineRule="auto"/>
              <w:jc w:val="center"/>
              <w:rPr>
                <w:rFonts w:eastAsia="Times New Roman"/>
                <w:szCs w:val="20"/>
                <w:lang w:eastAsia="fr-FR"/>
              </w:rPr>
            </w:pPr>
            <w:r w:rsidRPr="00CF362F">
              <w:rPr>
                <w:rFonts w:eastAsia="Times New Roman"/>
                <w:szCs w:val="20"/>
                <w:lang w:eastAsia="fr-FR"/>
              </w:rPr>
              <w:t>Cr</w:t>
            </w:r>
          </w:p>
        </w:tc>
        <w:tc>
          <w:tcPr>
            <w:tcW w:w="0" w:type="auto"/>
            <w:hideMark/>
          </w:tcPr>
          <w:p w14:paraId="07C9EDC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−11.10 → Class 0</w:t>
            </w:r>
          </w:p>
          <w:p w14:paraId="68B37DC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48EDF62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−11.20 → Class 0</w:t>
            </w:r>
          </w:p>
          <w:p w14:paraId="6C08A6A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c>
          <w:tcPr>
            <w:tcW w:w="0" w:type="auto"/>
            <w:hideMark/>
          </w:tcPr>
          <w:p w14:paraId="22EE643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−11.20 → Class 0</w:t>
            </w:r>
          </w:p>
          <w:p w14:paraId="2E88062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r w:rsidRPr="00CF362F">
              <w:rPr>
                <w:rFonts w:eastAsia="Times New Roman"/>
                <w:szCs w:val="20"/>
                <w:lang w:val="fr-FR" w:eastAsia="fr-FR"/>
              </w:rPr>
              <w:t>unpolluted</w:t>
            </w:r>
            <w:r w:rsidRPr="00CF362F">
              <w:rPr>
                <w:rFonts w:eastAsia="Times New Roman"/>
                <w:szCs w:val="20"/>
                <w:lang w:eastAsia="fr-FR"/>
              </w:rPr>
              <w:t>)</w:t>
            </w:r>
          </w:p>
        </w:tc>
      </w:tr>
    </w:tbl>
    <w:p w14:paraId="430C5586" w14:textId="77777777" w:rsidR="003C3D22" w:rsidRDefault="003C3D22" w:rsidP="00781B95">
      <w:pPr>
        <w:pStyle w:val="NormalWeb"/>
        <w:spacing w:before="0" w:beforeAutospacing="0" w:after="0" w:afterAutospacing="0" w:line="360" w:lineRule="auto"/>
        <w:jc w:val="both"/>
        <w:rPr>
          <w:rFonts w:ascii="Arial" w:hAnsi="Arial" w:cs="Arial"/>
          <w:sz w:val="20"/>
          <w:szCs w:val="20"/>
        </w:rPr>
        <w:sectPr w:rsidR="003C3D22" w:rsidSect="003C3D22">
          <w:type w:val="continuous"/>
          <w:pgSz w:w="11906" w:h="16838"/>
          <w:pgMar w:top="1417" w:right="1417" w:bottom="1417" w:left="1417" w:header="708" w:footer="708" w:gutter="0"/>
          <w:cols w:space="708"/>
          <w:docGrid w:linePitch="360"/>
        </w:sectPr>
      </w:pPr>
    </w:p>
    <w:p w14:paraId="4B39C866" w14:textId="77777777" w:rsidR="00BC3AE3" w:rsidRDefault="00BC3AE3" w:rsidP="00781B95">
      <w:pPr>
        <w:pStyle w:val="NormalWeb"/>
        <w:spacing w:before="0" w:beforeAutospacing="0" w:after="0" w:afterAutospacing="0" w:line="360" w:lineRule="auto"/>
        <w:jc w:val="both"/>
        <w:rPr>
          <w:rFonts w:ascii="Arial" w:hAnsi="Arial" w:cs="Arial"/>
          <w:sz w:val="20"/>
          <w:szCs w:val="20"/>
        </w:rPr>
      </w:pPr>
    </w:p>
    <w:p w14:paraId="02C9DF47" w14:textId="77777777" w:rsidR="00BC3AE3" w:rsidRDefault="00BC3AE3" w:rsidP="00781B95">
      <w:pPr>
        <w:pStyle w:val="NormalWeb"/>
        <w:spacing w:before="0" w:beforeAutospacing="0" w:after="0" w:afterAutospacing="0" w:line="360" w:lineRule="auto"/>
        <w:jc w:val="both"/>
        <w:rPr>
          <w:rFonts w:ascii="Arial" w:hAnsi="Arial" w:cs="Arial"/>
          <w:sz w:val="20"/>
          <w:szCs w:val="20"/>
        </w:rPr>
      </w:pPr>
      <w:r w:rsidRPr="00811B7B">
        <w:rPr>
          <w:rFonts w:ascii="Arial" w:hAnsi="Arial" w:cs="Arial"/>
          <w:sz w:val="20"/>
          <w:szCs w:val="20"/>
        </w:rPr>
        <w:t>The geoaccumulation index (Igeo) classification proposed by Müller is provided in the appendix for reference</w:t>
      </w:r>
      <w:r>
        <w:rPr>
          <w:rFonts w:ascii="Arial" w:hAnsi="Arial" w:cs="Arial"/>
          <w:sz w:val="20"/>
          <w:szCs w:val="20"/>
        </w:rPr>
        <w:t>.</w:t>
      </w:r>
    </w:p>
    <w:p w14:paraId="158761B1" w14:textId="77777777" w:rsidR="00BC3AE3" w:rsidRPr="00811B7B" w:rsidRDefault="00BC3AE3" w:rsidP="00781B95">
      <w:pPr>
        <w:pStyle w:val="NormalWeb"/>
        <w:spacing w:before="0" w:beforeAutospacing="0" w:after="0" w:afterAutospacing="0" w:line="360" w:lineRule="auto"/>
        <w:jc w:val="both"/>
        <w:rPr>
          <w:rFonts w:ascii="Arial" w:hAnsi="Arial" w:cs="Arial"/>
          <w:b/>
          <w:bCs/>
          <w:color w:val="000000" w:themeColor="text1"/>
          <w:sz w:val="20"/>
          <w:szCs w:val="20"/>
          <w:u w:val="single"/>
          <w:lang w:val="en-US"/>
        </w:rPr>
      </w:pPr>
    </w:p>
    <w:p w14:paraId="05BB6DF1" w14:textId="77777777" w:rsidR="003C3D22" w:rsidRDefault="003C3D22" w:rsidP="00781B95">
      <w:pPr>
        <w:pStyle w:val="NormalWeb"/>
        <w:spacing w:before="0" w:beforeAutospacing="0" w:after="0" w:afterAutospacing="0" w:line="360" w:lineRule="auto"/>
        <w:jc w:val="center"/>
        <w:rPr>
          <w:rFonts w:ascii="Arial" w:hAnsi="Arial" w:cs="Arial"/>
          <w:b/>
          <w:bCs/>
          <w:color w:val="000000" w:themeColor="text1"/>
          <w:sz w:val="20"/>
          <w:szCs w:val="20"/>
        </w:rPr>
        <w:sectPr w:rsidR="003C3D22" w:rsidSect="003C3D22">
          <w:type w:val="continuous"/>
          <w:pgSz w:w="11906" w:h="16838"/>
          <w:pgMar w:top="1417" w:right="1417" w:bottom="1417" w:left="1417" w:header="708" w:footer="708" w:gutter="0"/>
          <w:cols w:num="2" w:space="708"/>
          <w:docGrid w:linePitch="360"/>
        </w:sectPr>
      </w:pPr>
    </w:p>
    <w:p w14:paraId="0275683B" w14:textId="08E80D0B" w:rsidR="00BC3AE3" w:rsidRPr="00CF362F" w:rsidRDefault="00BC3AE3" w:rsidP="00781B95">
      <w:pPr>
        <w:pStyle w:val="NormalWeb"/>
        <w:spacing w:before="0" w:beforeAutospacing="0" w:after="0" w:afterAutospacing="0" w:line="360" w:lineRule="auto"/>
        <w:jc w:val="center"/>
        <w:rPr>
          <w:rFonts w:ascii="Arial" w:hAnsi="Arial" w:cs="Arial"/>
          <w:color w:val="000000" w:themeColor="text1"/>
          <w:sz w:val="20"/>
          <w:szCs w:val="20"/>
        </w:rPr>
      </w:pPr>
      <w:r w:rsidRPr="00155B6E">
        <w:rPr>
          <w:rFonts w:ascii="Arial" w:hAnsi="Arial" w:cs="Arial"/>
          <w:b/>
          <w:bCs/>
          <w:color w:val="000000" w:themeColor="text1"/>
          <w:sz w:val="20"/>
          <w:szCs w:val="20"/>
        </w:rPr>
        <w:lastRenderedPageBreak/>
        <w:t>Table 4</w:t>
      </w:r>
      <w:r w:rsidR="00155B6E">
        <w:rPr>
          <w:rFonts w:ascii="Arial" w:hAnsi="Arial" w:cs="Arial"/>
          <w:b/>
          <w:bCs/>
          <w:color w:val="000000" w:themeColor="text1"/>
          <w:sz w:val="20"/>
          <w:szCs w:val="20"/>
        </w:rPr>
        <w:t>.</w:t>
      </w:r>
      <w:r w:rsidRPr="00CF362F">
        <w:rPr>
          <w:rFonts w:ascii="Arial" w:hAnsi="Arial" w:cs="Arial"/>
          <w:color w:val="000000" w:themeColor="text1"/>
          <w:sz w:val="20"/>
          <w:szCs w:val="20"/>
        </w:rPr>
        <w:t xml:space="preserve"> </w:t>
      </w:r>
      <w:r w:rsidR="00D5303F" w:rsidRPr="00D5303F">
        <w:rPr>
          <w:rFonts w:ascii="Arial" w:hAnsi="Arial" w:cs="Arial"/>
          <w:color w:val="000000" w:themeColor="text1"/>
          <w:sz w:val="20"/>
          <w:szCs w:val="20"/>
        </w:rPr>
        <w:t>Igeo at the Incineration Plant</w:t>
      </w:r>
    </w:p>
    <w:tbl>
      <w:tblPr>
        <w:tblStyle w:val="PlainTable2"/>
        <w:tblW w:w="0" w:type="auto"/>
        <w:jc w:val="center"/>
        <w:tblLook w:val="04A0" w:firstRow="1" w:lastRow="0" w:firstColumn="1" w:lastColumn="0" w:noHBand="0" w:noVBand="1"/>
      </w:tblPr>
      <w:tblGrid>
        <w:gridCol w:w="786"/>
        <w:gridCol w:w="1141"/>
        <w:gridCol w:w="3064"/>
      </w:tblGrid>
      <w:tr w:rsidR="00BC3AE3" w:rsidRPr="00CF362F" w14:paraId="3096F6DB"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2C6351" w14:textId="77777777" w:rsidR="00BC3AE3" w:rsidRPr="00CF362F" w:rsidRDefault="00BC3AE3" w:rsidP="00781B95">
            <w:pPr>
              <w:spacing w:line="360" w:lineRule="auto"/>
              <w:jc w:val="left"/>
              <w:rPr>
                <w:rFonts w:eastAsia="Times New Roman"/>
                <w:b w:val="0"/>
                <w:bCs w:val="0"/>
                <w:szCs w:val="20"/>
                <w:lang w:val="fr-FR" w:eastAsia="fr-FR"/>
              </w:rPr>
            </w:pPr>
            <w:r w:rsidRPr="00CF362F">
              <w:rPr>
                <w:rFonts w:eastAsia="Times New Roman"/>
                <w:szCs w:val="20"/>
                <w:lang w:val="fr-FR" w:eastAsia="fr-FR"/>
              </w:rPr>
              <w:t>Metal</w:t>
            </w:r>
          </w:p>
        </w:tc>
        <w:tc>
          <w:tcPr>
            <w:tcW w:w="0" w:type="auto"/>
            <w:hideMark/>
          </w:tcPr>
          <w:p w14:paraId="5AEB09FF" w14:textId="77777777" w:rsidR="00BC3AE3" w:rsidRPr="00CF362F" w:rsidRDefault="00BC3AE3" w:rsidP="00781B95">
            <w:pPr>
              <w:spacing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Igeo max</w:t>
            </w:r>
          </w:p>
        </w:tc>
        <w:tc>
          <w:tcPr>
            <w:tcW w:w="0" w:type="auto"/>
            <w:hideMark/>
          </w:tcPr>
          <w:p w14:paraId="05EB57E1" w14:textId="77777777" w:rsidR="00BC3AE3" w:rsidRPr="00CF362F" w:rsidRDefault="00BC3AE3" w:rsidP="00781B95">
            <w:pPr>
              <w:spacing w:line="360" w:lineRule="auto"/>
              <w:jc w:val="left"/>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Class (Müller, 1969)</w:t>
            </w:r>
          </w:p>
        </w:tc>
      </w:tr>
      <w:tr w:rsidR="00BC3AE3" w:rsidRPr="00CF362F" w14:paraId="4AB40BF5"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88F82A"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As</w:t>
            </w:r>
          </w:p>
        </w:tc>
        <w:tc>
          <w:tcPr>
            <w:tcW w:w="0" w:type="auto"/>
            <w:hideMark/>
          </w:tcPr>
          <w:p w14:paraId="63A53D78"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c>
          <w:tcPr>
            <w:tcW w:w="0" w:type="auto"/>
            <w:hideMark/>
          </w:tcPr>
          <w:p w14:paraId="5534191B"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w:t>
            </w:r>
          </w:p>
        </w:tc>
      </w:tr>
      <w:tr w:rsidR="00BC3AE3" w:rsidRPr="00CF362F" w14:paraId="39FF107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3B8619"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Cd</w:t>
            </w:r>
          </w:p>
        </w:tc>
        <w:tc>
          <w:tcPr>
            <w:tcW w:w="0" w:type="auto"/>
            <w:hideMark/>
          </w:tcPr>
          <w:p w14:paraId="1E9473F5"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9.63</w:t>
            </w:r>
          </w:p>
        </w:tc>
        <w:tc>
          <w:tcPr>
            <w:tcW w:w="0" w:type="auto"/>
            <w:hideMark/>
          </w:tcPr>
          <w:p w14:paraId="40312FAF"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r w:rsidRPr="00CF362F">
              <w:rPr>
                <w:rFonts w:eastAsia="Times New Roman"/>
                <w:b/>
                <w:bCs/>
                <w:color w:val="ED7D31" w:themeColor="accent2"/>
                <w:szCs w:val="20"/>
                <w:lang w:eastAsia="fr-FR"/>
              </w:rPr>
              <w:t>Class 6 (</w:t>
            </w:r>
            <w:r w:rsidRPr="00CF362F">
              <w:rPr>
                <w:rFonts w:eastAsia="Times New Roman"/>
                <w:b/>
                <w:bCs/>
                <w:i/>
                <w:iCs/>
                <w:color w:val="ED7D31" w:themeColor="accent2"/>
                <w:szCs w:val="20"/>
                <w:lang w:val="fr-FR" w:eastAsia="fr-FR"/>
              </w:rPr>
              <w:t>extremely polluted</w:t>
            </w:r>
            <w:r w:rsidRPr="00CF362F">
              <w:rPr>
                <w:rFonts w:eastAsia="Times New Roman"/>
                <w:b/>
                <w:bCs/>
                <w:color w:val="ED7D31" w:themeColor="accent2"/>
                <w:szCs w:val="20"/>
                <w:lang w:eastAsia="fr-FR"/>
              </w:rPr>
              <w:t>)</w:t>
            </w:r>
          </w:p>
        </w:tc>
      </w:tr>
      <w:tr w:rsidR="00BC3AE3" w:rsidRPr="00CF362F" w14:paraId="7E40D21E"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274813"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Cu</w:t>
            </w:r>
          </w:p>
        </w:tc>
        <w:tc>
          <w:tcPr>
            <w:tcW w:w="0" w:type="auto"/>
            <w:hideMark/>
          </w:tcPr>
          <w:p w14:paraId="4304C623"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3.47</w:t>
            </w:r>
          </w:p>
        </w:tc>
        <w:tc>
          <w:tcPr>
            <w:tcW w:w="0" w:type="auto"/>
            <w:hideMark/>
          </w:tcPr>
          <w:p w14:paraId="29320043"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color w:val="70AD47" w:themeColor="accent6"/>
                <w:szCs w:val="20"/>
                <w:lang w:eastAsia="fr-FR"/>
              </w:rPr>
              <w:t>Class 4 (</w:t>
            </w:r>
            <w:r w:rsidRPr="00CF362F">
              <w:rPr>
                <w:rFonts w:eastAsia="Times New Roman"/>
                <w:b/>
                <w:bCs/>
                <w:i/>
                <w:iCs/>
                <w:color w:val="70AD47" w:themeColor="accent6"/>
                <w:szCs w:val="20"/>
                <w:lang w:val="fr-FR" w:eastAsia="fr-FR"/>
              </w:rPr>
              <w:t>heavily polluted</w:t>
            </w:r>
            <w:r w:rsidRPr="00CF362F">
              <w:rPr>
                <w:rFonts w:eastAsia="Times New Roman"/>
                <w:b/>
                <w:bCs/>
                <w:color w:val="70AD47" w:themeColor="accent6"/>
                <w:szCs w:val="20"/>
                <w:lang w:eastAsia="fr-FR"/>
              </w:rPr>
              <w:t>)</w:t>
            </w:r>
          </w:p>
        </w:tc>
      </w:tr>
      <w:tr w:rsidR="00BC3AE3" w:rsidRPr="00CF362F" w14:paraId="6CB8C43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C9C98E"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Pb</w:t>
            </w:r>
          </w:p>
        </w:tc>
        <w:tc>
          <w:tcPr>
            <w:tcW w:w="0" w:type="auto"/>
            <w:hideMark/>
          </w:tcPr>
          <w:p w14:paraId="3345FB6B"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4.07</w:t>
            </w:r>
          </w:p>
        </w:tc>
        <w:tc>
          <w:tcPr>
            <w:tcW w:w="0" w:type="auto"/>
            <w:hideMark/>
          </w:tcPr>
          <w:p w14:paraId="1ECAFF81"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color w:val="70AD47" w:themeColor="accent6"/>
                <w:szCs w:val="20"/>
                <w:lang w:eastAsia="fr-FR"/>
              </w:rPr>
            </w:pPr>
            <w:r w:rsidRPr="00CF362F">
              <w:rPr>
                <w:rFonts w:eastAsia="Times New Roman"/>
                <w:b/>
                <w:bCs/>
                <w:color w:val="70AD47" w:themeColor="accent6"/>
                <w:szCs w:val="20"/>
                <w:lang w:eastAsia="fr-FR"/>
              </w:rPr>
              <w:t>Class 4 (</w:t>
            </w:r>
            <w:r w:rsidRPr="00CF362F">
              <w:rPr>
                <w:rFonts w:eastAsia="Times New Roman"/>
                <w:b/>
                <w:bCs/>
                <w:i/>
                <w:iCs/>
                <w:color w:val="70AD47" w:themeColor="accent6"/>
                <w:szCs w:val="20"/>
                <w:lang w:val="fr-FR" w:eastAsia="fr-FR"/>
              </w:rPr>
              <w:t>heavily polluted)</w:t>
            </w:r>
          </w:p>
        </w:tc>
      </w:tr>
      <w:tr w:rsidR="00BC3AE3" w:rsidRPr="00CF362F" w14:paraId="638C5403"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4C4F58"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Zn</w:t>
            </w:r>
          </w:p>
        </w:tc>
        <w:tc>
          <w:tcPr>
            <w:tcW w:w="0" w:type="auto"/>
            <w:hideMark/>
          </w:tcPr>
          <w:p w14:paraId="158CA309"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c>
          <w:tcPr>
            <w:tcW w:w="0" w:type="auto"/>
            <w:hideMark/>
          </w:tcPr>
          <w:p w14:paraId="4F574F5C"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w:t>
            </w:r>
          </w:p>
        </w:tc>
      </w:tr>
      <w:tr w:rsidR="00BC3AE3" w:rsidRPr="00CF362F" w14:paraId="47A27354"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7FDDE5"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Ni</w:t>
            </w:r>
          </w:p>
        </w:tc>
        <w:tc>
          <w:tcPr>
            <w:tcW w:w="0" w:type="auto"/>
            <w:hideMark/>
          </w:tcPr>
          <w:p w14:paraId="597055C2"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1.15</w:t>
            </w:r>
          </w:p>
        </w:tc>
        <w:tc>
          <w:tcPr>
            <w:tcW w:w="0" w:type="auto"/>
            <w:hideMark/>
          </w:tcPr>
          <w:p w14:paraId="4596DCD3" w14:textId="77777777" w:rsidR="00BC3AE3" w:rsidRPr="00CF362F" w:rsidRDefault="00BC3AE3" w:rsidP="00781B95">
            <w:pPr>
              <w:spacing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r w:rsidRPr="00CF362F">
              <w:rPr>
                <w:rFonts w:eastAsia="Times New Roman"/>
                <w:b/>
                <w:bCs/>
                <w:color w:val="7B7B7B" w:themeColor="accent3" w:themeShade="BF"/>
                <w:szCs w:val="20"/>
                <w:lang w:eastAsia="fr-FR"/>
              </w:rPr>
              <w:t>Clas</w:t>
            </w:r>
            <w:r w:rsidRPr="00CF362F">
              <w:rPr>
                <w:rFonts w:eastAsia="Times New Roman"/>
                <w:b/>
                <w:bCs/>
                <w:color w:val="7B7B7B" w:themeColor="accent3" w:themeShade="BF"/>
                <w:szCs w:val="20"/>
                <w:lang w:val="fr-FR" w:eastAsia="fr-FR"/>
              </w:rPr>
              <w:t>s</w:t>
            </w:r>
            <w:r w:rsidRPr="00CF362F">
              <w:rPr>
                <w:rFonts w:eastAsia="Times New Roman"/>
                <w:b/>
                <w:bCs/>
                <w:color w:val="7B7B7B" w:themeColor="accent3" w:themeShade="BF"/>
                <w:szCs w:val="20"/>
                <w:lang w:eastAsia="fr-FR"/>
              </w:rPr>
              <w:t xml:space="preserve"> 2 (</w:t>
            </w:r>
            <w:r w:rsidRPr="00CF362F">
              <w:rPr>
                <w:rFonts w:eastAsia="Times New Roman"/>
                <w:b/>
                <w:bCs/>
                <w:i/>
                <w:iCs/>
                <w:color w:val="7B7B7B" w:themeColor="accent3" w:themeShade="BF"/>
                <w:szCs w:val="20"/>
                <w:lang w:val="fr-FR" w:eastAsia="fr-FR"/>
              </w:rPr>
              <w:t>moderately polluted</w:t>
            </w:r>
            <w:r w:rsidRPr="00CF362F">
              <w:rPr>
                <w:rFonts w:eastAsia="Times New Roman"/>
                <w:b/>
                <w:bCs/>
                <w:color w:val="7B7B7B" w:themeColor="accent3" w:themeShade="BF"/>
                <w:szCs w:val="20"/>
                <w:lang w:eastAsia="fr-FR"/>
              </w:rPr>
              <w:t>)</w:t>
            </w:r>
          </w:p>
        </w:tc>
      </w:tr>
      <w:tr w:rsidR="00BC3AE3" w:rsidRPr="00CF362F" w14:paraId="317D9EA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2F2DD7" w14:textId="77777777" w:rsidR="00BC3AE3" w:rsidRPr="00CF362F" w:rsidRDefault="00BC3AE3" w:rsidP="00781B95">
            <w:pPr>
              <w:spacing w:line="360" w:lineRule="auto"/>
              <w:jc w:val="left"/>
              <w:rPr>
                <w:rFonts w:eastAsia="Times New Roman"/>
                <w:szCs w:val="20"/>
                <w:lang w:eastAsia="fr-FR"/>
              </w:rPr>
            </w:pPr>
            <w:r w:rsidRPr="00CF362F">
              <w:rPr>
                <w:rFonts w:eastAsia="Times New Roman"/>
                <w:szCs w:val="20"/>
                <w:lang w:eastAsia="fr-FR"/>
              </w:rPr>
              <w:t>Cr</w:t>
            </w:r>
          </w:p>
        </w:tc>
        <w:tc>
          <w:tcPr>
            <w:tcW w:w="0" w:type="auto"/>
            <w:hideMark/>
          </w:tcPr>
          <w:p w14:paraId="32FE6028"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−4.12</w:t>
            </w:r>
          </w:p>
        </w:tc>
        <w:tc>
          <w:tcPr>
            <w:tcW w:w="0" w:type="auto"/>
            <w:hideMark/>
          </w:tcPr>
          <w:p w14:paraId="63BBAA35" w14:textId="77777777" w:rsidR="00BC3AE3" w:rsidRPr="00CF362F" w:rsidRDefault="00BC3AE3" w:rsidP="00781B95">
            <w:pPr>
              <w:spacing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Class 0 (</w:t>
            </w:r>
            <w:r w:rsidRPr="00CF362F">
              <w:rPr>
                <w:rFonts w:eastAsia="Times New Roman"/>
                <w:i/>
                <w:iCs/>
                <w:szCs w:val="20"/>
                <w:lang w:val="fr-FR" w:eastAsia="fr-FR"/>
              </w:rPr>
              <w:t>unpolluted</w:t>
            </w:r>
            <w:r w:rsidRPr="00CF362F">
              <w:rPr>
                <w:rFonts w:eastAsia="Times New Roman"/>
                <w:szCs w:val="20"/>
                <w:lang w:eastAsia="fr-FR"/>
              </w:rPr>
              <w:t>)</w:t>
            </w:r>
          </w:p>
        </w:tc>
      </w:tr>
    </w:tbl>
    <w:p w14:paraId="3B3B4521" w14:textId="77777777" w:rsidR="00BC3AE3" w:rsidRPr="00CF362F" w:rsidRDefault="00BC3AE3" w:rsidP="00781B95">
      <w:pPr>
        <w:spacing w:line="360" w:lineRule="auto"/>
        <w:rPr>
          <w:szCs w:val="20"/>
        </w:rPr>
      </w:pPr>
    </w:p>
    <w:p w14:paraId="6BD7D721" w14:textId="77777777" w:rsidR="00BC3AE3" w:rsidRPr="00CF362F" w:rsidRDefault="00BC3AE3" w:rsidP="00781B95">
      <w:pPr>
        <w:spacing w:line="360" w:lineRule="auto"/>
        <w:rPr>
          <w:szCs w:val="20"/>
        </w:rPr>
      </w:pPr>
      <w:r w:rsidRPr="00CF362F">
        <w:rPr>
          <w:noProof/>
          <w:szCs w:val="20"/>
        </w:rPr>
        <w:drawing>
          <wp:inline distT="0" distB="0" distL="0" distR="0" wp14:anchorId="21830A45" wp14:editId="3B2DC259">
            <wp:extent cx="5486400" cy="3161665"/>
            <wp:effectExtent l="0" t="0" r="0" b="1905"/>
            <wp:docPr id="14319842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84220" name="Image 1431984220"/>
                    <pic:cNvPicPr/>
                  </pic:nvPicPr>
                  <pic:blipFill>
                    <a:blip r:embed="rId17"/>
                    <a:stretch>
                      <a:fillRect/>
                    </a:stretch>
                  </pic:blipFill>
                  <pic:spPr>
                    <a:xfrm>
                      <a:off x="0" y="0"/>
                      <a:ext cx="5486400" cy="3161665"/>
                    </a:xfrm>
                    <a:prstGeom prst="rect">
                      <a:avLst/>
                    </a:prstGeom>
                  </pic:spPr>
                </pic:pic>
              </a:graphicData>
            </a:graphic>
          </wp:inline>
        </w:drawing>
      </w:r>
    </w:p>
    <w:p w14:paraId="52650C84" w14:textId="77777777" w:rsidR="00BC3AE3" w:rsidRPr="00CF362F" w:rsidRDefault="00BC3AE3" w:rsidP="00781B95">
      <w:pPr>
        <w:spacing w:line="360" w:lineRule="auto"/>
        <w:rPr>
          <w:b/>
          <w:bCs/>
          <w:szCs w:val="20"/>
          <w:u w:val="single"/>
        </w:rPr>
      </w:pPr>
      <w:r w:rsidRPr="00155B6E">
        <w:rPr>
          <w:b/>
          <w:bCs/>
          <w:szCs w:val="20"/>
        </w:rPr>
        <w:t>Fig</w:t>
      </w:r>
      <w:r w:rsidR="00155B6E" w:rsidRPr="00155B6E">
        <w:rPr>
          <w:b/>
          <w:bCs/>
          <w:szCs w:val="20"/>
        </w:rPr>
        <w:t xml:space="preserve">. </w:t>
      </w:r>
      <w:r w:rsidRPr="00155B6E">
        <w:rPr>
          <w:b/>
          <w:bCs/>
          <w:szCs w:val="20"/>
        </w:rPr>
        <w:t>6</w:t>
      </w:r>
      <w:r w:rsidR="00155B6E" w:rsidRPr="00155B6E">
        <w:rPr>
          <w:b/>
          <w:bCs/>
          <w:szCs w:val="20"/>
        </w:rPr>
        <w:t>.</w:t>
      </w:r>
      <w:r w:rsidRPr="00811B7B">
        <w:rPr>
          <w:b/>
          <w:bCs/>
          <w:szCs w:val="20"/>
        </w:rPr>
        <w:t xml:space="preserve"> </w:t>
      </w:r>
      <w:r w:rsidRPr="00CF362F">
        <w:rPr>
          <w:szCs w:val="20"/>
        </w:rPr>
        <w:t>Geoaccumulation index at the burning site</w:t>
      </w:r>
    </w:p>
    <w:p w14:paraId="099E03CA" w14:textId="77777777" w:rsidR="003C3D22" w:rsidRDefault="003C3D22" w:rsidP="00781B95">
      <w:pPr>
        <w:spacing w:line="360" w:lineRule="auto"/>
        <w:rPr>
          <w:szCs w:val="20"/>
        </w:rPr>
        <w:sectPr w:rsidR="003C3D22" w:rsidSect="003C3D22">
          <w:type w:val="continuous"/>
          <w:pgSz w:w="11906" w:h="16838"/>
          <w:pgMar w:top="1417" w:right="1417" w:bottom="1417" w:left="1417" w:header="708" w:footer="708" w:gutter="0"/>
          <w:cols w:space="708"/>
          <w:docGrid w:linePitch="360"/>
        </w:sectPr>
      </w:pPr>
    </w:p>
    <w:p w14:paraId="0E041C13" w14:textId="77777777" w:rsidR="00BC3AE3" w:rsidRPr="00CF362F" w:rsidRDefault="00BC3AE3" w:rsidP="00781B95">
      <w:pPr>
        <w:spacing w:line="360" w:lineRule="auto"/>
        <w:rPr>
          <w:szCs w:val="20"/>
        </w:rPr>
      </w:pPr>
      <w:r w:rsidRPr="00CF362F">
        <w:rPr>
          <w:szCs w:val="20"/>
        </w:rPr>
        <w:t xml:space="preserve">Figure 6 illustrates the differences between metals at the burning site. Cadmium (Cd) reaches an Igeo greater than 9, placing it in class 6 (extremely polluted). Lead (Pb) presents an Igeo greater than 4, corresponding to class 5 (heavily to extremely polluted). Copper (Cu) falls into class 4 (heavily polluted), while Nickel (Ni) is classified in class 2 (moderately polluted). Although its level is less critical than Cd, Pb, or Cu, its notable presence remains concerning. Chromium (Cr) shows a negative Igeo, indicating an unpolluted state according to this index. This figure </w:t>
      </w:r>
      <w:r w:rsidRPr="00CF362F">
        <w:rPr>
          <w:szCs w:val="20"/>
        </w:rPr>
        <w:t>demonstrates that the burning site is a contamination hotspot. Unlike other sites, where soils were classified as "unpolluted," here several metals far exceed reference values.</w:t>
      </w:r>
    </w:p>
    <w:p w14:paraId="4EB5C783" w14:textId="77777777" w:rsidR="00BC3AE3" w:rsidRPr="00CF362F" w:rsidRDefault="00BC3AE3" w:rsidP="00781B95">
      <w:pPr>
        <w:spacing w:line="360" w:lineRule="auto"/>
        <w:rPr>
          <w:szCs w:val="20"/>
        </w:rPr>
      </w:pPr>
      <w:r w:rsidRPr="00CF362F">
        <w:rPr>
          <w:szCs w:val="20"/>
        </w:rPr>
        <w:br/>
      </w:r>
      <w:r w:rsidRPr="00CF362F">
        <w:rPr>
          <w:b/>
          <w:bCs/>
          <w:szCs w:val="20"/>
        </w:rPr>
        <w:t>4. Discussion</w:t>
      </w:r>
    </w:p>
    <w:p w14:paraId="2EB3D8CA" w14:textId="77777777" w:rsidR="00BC3AE3" w:rsidRPr="00CF362F" w:rsidRDefault="00BC3AE3" w:rsidP="00781B95">
      <w:pPr>
        <w:spacing w:line="360" w:lineRule="auto"/>
        <w:rPr>
          <w:szCs w:val="20"/>
        </w:rPr>
      </w:pPr>
      <w:r w:rsidRPr="00CF362F">
        <w:rPr>
          <w:szCs w:val="20"/>
        </w:rPr>
        <w:t xml:space="preserve">Comparative analysis of maximum heavy metal concentrations in soils collected from Abomey-Calavi (excluding the burning site), Cotonou, and Natitingou shows that the measured values remain far below international guideline values (VDSS – France). Maximum arsenic </w:t>
      </w:r>
      <w:r w:rsidRPr="00CF362F">
        <w:rPr>
          <w:szCs w:val="20"/>
        </w:rPr>
        <w:lastRenderedPageBreak/>
        <w:t>concentrations reach 0.017 mg/kg in Abomey-Calavi, 0.011 mg/kg in Cotonou, and 0.003 mg/kg in Natitingou</w:t>
      </w:r>
      <w:r>
        <w:rPr>
          <w:szCs w:val="20"/>
        </w:rPr>
        <w:t xml:space="preserve">, </w:t>
      </w:r>
      <w:r w:rsidRPr="00CF362F">
        <w:rPr>
          <w:szCs w:val="20"/>
        </w:rPr>
        <w:t>very low levels compared to the guideline value of 19 mg/kg. This suggests an absence of notable arsenic contamination. For cadmium, maximum observed values are 4.49 mg/kg in Abomey-Calavi, 0.283 mg/kg in Cotonou, and 0.358 mg/kg in Natitingou, well below the intervention threshold of 10 mg/kg. Although cadmium is recognized as one of the most toxic metals (WHO, 2021), it appears here at low levels, reflecting limited anthropogenic pressure on the studied soils outside the burning site. Copper concentrations are also low, with maximum values of 2.34 mg/kg in Abomey-Calavi and Cotonou, and 4.49 mg/kg in Natitingou, remaining far below the critical value of 95 mg/kg. Iron, with a maximum concentration of 6.39 mg/kg in Natitingou, is naturally more abundant than other elements but is not among the critical heavy metals according to international standards. Lead is observed at levels between 0.036 mg/kg in Cotonou and 0.571 mg/kg in Natitingou, well below the 200 mg/kg limit. Zinc levels, with a maximum value of 3.12 mg/kg in Natitingou, also appear very low compared to the threshold of 4500 mg/kg. Finally, nickel and chromium do not exceed 1.27 mg/kg and 0.060 mg/kg respectively, placing them well below the critical thresholds of 70 mg/kg for nickel and 65 mg/kg for chromium. These results indicate virtually no contamination in the studied soils, excluding incineration, with levels below alert and intervention thresholds.</w:t>
      </w:r>
    </w:p>
    <w:p w14:paraId="44907BF3" w14:textId="77777777" w:rsidR="00BC3AE3" w:rsidRPr="00CF362F" w:rsidRDefault="00BC3AE3" w:rsidP="00781B95">
      <w:pPr>
        <w:spacing w:line="360" w:lineRule="auto"/>
        <w:rPr>
          <w:szCs w:val="20"/>
        </w:rPr>
      </w:pPr>
      <w:r w:rsidRPr="00CF362F">
        <w:rPr>
          <w:szCs w:val="20"/>
        </w:rPr>
        <w:t xml:space="preserve">This situation contrasts sharply with the findings at the Abomey-Calavi burning site. Concentrations measured there are exceptionally high for certain metals. Cadmium </w:t>
      </w:r>
      <w:r w:rsidRPr="00CF362F">
        <w:rPr>
          <w:szCs w:val="20"/>
        </w:rPr>
        <w:t>reaches 119.08 mg/kg, far exceeding the critical value of 10 mg/kg, indicating severe contamination linked to the combustion of electronic components and plastics. Copper reaches 416.97 mg/kg, a value well above the threshold, and lead peaks at 503.02 mg/kg, exceeding the 200 mg/kg threshold, confirming the presence of residues from batteries and printed circuit boards. These exceedances reflect direct inputs from burning practices and highlight a major environmental and health risk, with lead recognized as a potent neurotoxicant (WHO, 2021). Iron, with a value of 2040.32 mg/kg, illustrates significant accumulation, although no guideline value exists for this element. Finally, nickel and chromium remain at 7.78 mg/kg and 0.060 mg/kg respectively, thus below critical values. The burning site thus stands out for alarming levels of Cd, Cu, and Pb, confirming that WEEE incineration constitutes a direct and massive source of soil pollution.</w:t>
      </w:r>
    </w:p>
    <w:p w14:paraId="75EFE673" w14:textId="77777777" w:rsidR="00BC3AE3" w:rsidRPr="00CF362F" w:rsidRDefault="00BC3AE3" w:rsidP="00781B95">
      <w:pPr>
        <w:spacing w:line="360" w:lineRule="auto"/>
        <w:rPr>
          <w:szCs w:val="20"/>
        </w:rPr>
      </w:pPr>
      <w:r w:rsidRPr="00CF362F">
        <w:rPr>
          <w:szCs w:val="20"/>
        </w:rPr>
        <w:t xml:space="preserve">Comparison with the literature helps contextualize these results. In Ibadan, Nigeria, Adesokan et al. (2016) showed that while lead varied between 269 and 5650 mg/kg and copper between 203 and 3483 mg/kg, other metals exhibited significantly lower values. Chromium was measured between 3.3 and 42.4 mg/kg, nickel between 0.14 and 24 mg/kg, and cadmium often below 2.5 mg/kg. These results confirm that even in areas of intense activity, certain metals show low levels. The values obtained in Cotonou and Natitingou soils are therefore consistent with these orders of magnitude for metals. In China, in the city of Guiyu, Yekeen et al. (2016) reported mean concentrations of 448.7 mg/kg for Pb, 0.71 mg/kg for Cd, 63.9 mg/kg for Cr, and 806.5 mg/kg for Mn. However, the authors emphasize </w:t>
      </w:r>
      <w:r w:rsidRPr="00CF362F">
        <w:rPr>
          <w:szCs w:val="20"/>
        </w:rPr>
        <w:lastRenderedPageBreak/>
        <w:t xml:space="preserve">that in reference areas such as schoolyards and agricultural lands, pollution indices remained low, with a hazard index close to 0.99 for childhood exposure via soil, reflecting non-critical exposure. Here we find a similarity with the Cotonou and Natitingou sites where concentrations are very low, showing that, as in Guiyu, pollution is highly heterogeneous and depends on proximity to burning areas. In Vietnam, Uchida et al. (2018) demonstrated similar contrasts. While burning soils exhibited copper values between 22 and 3000 mg/kg and lead between 26 and 2200 mg/kg, neighboring rice paddies showed lower levels, close to background concentrations for certain elements like nickel and molybdenum. This observation aligns with results obtained outside the burning site in Abomey-Calavi, Cotonou, and Natitingou, where measured metals remain low. In Ghana, the study by Sulemana et al. (2023) in Kumasi showed that the geoaccumulation index varied greatly depending on metals: while copper and zinc indicated high pollution, aluminum presented an Igeo ≤ 0, reflecting an absence of contamination. These results confirm that certain elements, even in areas known for pollution, are found in low concentrations, which aligns with the situation measured for arsenic, nickel, or chromium at our sites. The study by Owusu-Sekyere et al. (2024) at Agbogbloshie revealed very high surface levels, with lead concentrations reaching up to 35,300 mg/kg. However, the authors emphasize that in deeper layers, between 30 and 100 cm, concentrations decreased markedly. This illustrates that, even in the most contaminated sites, pollution can be limited to surface strata, while deeper layers exhibit low </w:t>
      </w:r>
      <w:r w:rsidRPr="00CF362F">
        <w:rPr>
          <w:szCs w:val="20"/>
        </w:rPr>
        <w:t>levels. This observation relates to our results in Cotonou and Natitingou, where surface measurements were already low, suggesting diffuse but not accumulated contamination. Comparison between our results and previous studies confirms a common pattern: soil pollution by heavy metals from WEEE is highly heterogeneous. Burning sites, such as the Abomey-Calavi incineration site or the workshops described in Vietnam and Ghana, exhibit extreme concentrations, while peripheral, agricultural, reference, or deeper areas show significantly lower levels. Our results for Abomey-Calavi (excluding incineration), Cotonou, and Natitingou thus align with international observations highlighting the coexistence of highly contaminated hotspots and low-concentration areas.</w:t>
      </w:r>
    </w:p>
    <w:p w14:paraId="0F68CD6E" w14:textId="77777777" w:rsidR="00BC3AE3" w:rsidRPr="00CF362F" w:rsidRDefault="00BC3AE3" w:rsidP="00781B95">
      <w:pPr>
        <w:spacing w:line="360" w:lineRule="auto"/>
        <w:rPr>
          <w:szCs w:val="20"/>
        </w:rPr>
      </w:pPr>
      <w:r w:rsidRPr="00CF362F">
        <w:rPr>
          <w:szCs w:val="20"/>
        </w:rPr>
        <w:t xml:space="preserve">The geoaccumulation index (Igeo) results show a marked contrast between soils from conventional disposal sites (Abomey-Calavi, Cotonou, and Natitingou) and those from the burning site in Abomey-Calavi. At non-burning sites, in Abomey-Calavi, Cotonou, and Natitingou, almost all heavy metals exhibit negative or near-zero Igeo values, corresponding to class 0, indicating unpolluted soils. Only a few isolated cases of cadmium show slightly positive indices (class 1, unpolluted to moderately polluted), but they do not indicate widespread contamination. These results indicate an absence of significant soil pollution, despite the presence of electronic waste. The situation is different at the Abomey-Calavi burning site. Here, cadmium reaches Igeo values greater than 9, class 6, corresponding to an extremely polluted level. Lead falls between classes 5 and 6, indicating </w:t>
      </w:r>
      <w:r w:rsidRPr="00CF362F">
        <w:rPr>
          <w:szCs w:val="20"/>
        </w:rPr>
        <w:lastRenderedPageBreak/>
        <w:t>heavily to extremely polluted soil. Copper is classified in class 4, indicating heavy pollution, while nickel reaches class 2, moderate pollution. In contrast, chromium remains classified as unpolluted.</w:t>
      </w:r>
    </w:p>
    <w:p w14:paraId="429DADFB" w14:textId="77777777" w:rsidR="00BC3AE3" w:rsidRPr="00CF362F" w:rsidRDefault="00BC3AE3" w:rsidP="00781B95">
      <w:pPr>
        <w:spacing w:line="360" w:lineRule="auto"/>
        <w:rPr>
          <w:szCs w:val="20"/>
        </w:rPr>
      </w:pPr>
      <w:r w:rsidRPr="00CF362F">
        <w:rPr>
          <w:szCs w:val="20"/>
        </w:rPr>
        <w:t xml:space="preserve">This difference between sites aligns with observations made in other contexts. In Accra, Ackah (2019) calculated the geoaccumulation index in soils from Agbogbloshie and Ashaiman. Results showed that surface soils from burning and dismantling areas were heavily contaminated with lead and copper, with Igeo values classified in the extreme category. In contrast, certain elements such as chromium, iron, arsenic, and barium exhibited Igeo values less than or equal to zero, indicating an absence of contamination. This heterogeneity is comparable to that observed at our sites, where only a few metals reach high classes, while others remain unpolluted (Ackah, 2019). The results of Owusu-Sekyere et al. (2024) confirm this dynamic. In their study on informal e-waste processing at Agbogbloshie, the geoaccumulation index revealed high accumulation of copper, lead, and cadmium, with indices ranging from moderately to extremely polluted depending on the areas studied. However, in certain deeper layers and at reference sites, Igeo values remained low, reflecting limited or no contamination. This spatial and vertical variability reflects well the contrast we observe between our non-burning sites, generally unpolluted, and the Abomey-Calavi burning site, where values reach extreme classes (Owusu-Sekyere et al., 2024). In Nigeria, Udousoro et al. (2025) also highlighted, through Igeo, situations of severe contamination. Cadmium emerged as a major pollutant, with Igeo values classified in the </w:t>
      </w:r>
      <w:r w:rsidRPr="00CF362F">
        <w:rPr>
          <w:szCs w:val="20"/>
        </w:rPr>
        <w:t>heavily to extremely polluted categories. Other metals like arsenic or cobalt exhibited much lower indices, ranging from unpolluted to moderately polluted. This observation is consistent with our results, where cadmium dominates the pollution index at the burning site, while elements like arsenic and chromium remain classified as unpolluted (Udousoro et al., 2025).</w:t>
      </w:r>
    </w:p>
    <w:p w14:paraId="362858CA" w14:textId="77777777" w:rsidR="00BC3AE3" w:rsidRPr="00CF362F" w:rsidRDefault="00BC3AE3" w:rsidP="00781B95">
      <w:pPr>
        <w:spacing w:line="360" w:lineRule="auto"/>
        <w:rPr>
          <w:szCs w:val="20"/>
        </w:rPr>
      </w:pPr>
      <w:r w:rsidRPr="00CF362F">
        <w:rPr>
          <w:szCs w:val="20"/>
        </w:rPr>
        <w:t>Global comparison thus shows that at electronic waste disposal sites, Igeo values are low (class 0), confirming an absence of notable contamination. In contrast, burning sites appear as true environmental pollution hotspots, where certain metals reach the highest classes. This finding is general, observed at Abomey-Calavi, but also in Accra (Ackah, 2019), in analyses of specific processes at Agbogbloshie (Owusu-Sekyere et al., 2024), and at Nigerian sites studied by Udousoro et al. (2025). Our results thus confirm that electronic waste incineration constitutes a major source of metal pollution, in contrast to simple accumulation sites where soils remain generally unpolluted. This difference highlights the central role of management practices: disposal poses limited risk, while burning generates acute pollution and potentially serious impacts on human health through inhalation or ingestion and on ecosystems through bioaccumulation and transfer.</w:t>
      </w:r>
    </w:p>
    <w:p w14:paraId="44E318B8" w14:textId="77777777" w:rsidR="00BC3AE3" w:rsidRPr="00CF362F" w:rsidRDefault="00BC3AE3" w:rsidP="00781B95">
      <w:pPr>
        <w:spacing w:line="360" w:lineRule="auto"/>
        <w:rPr>
          <w:szCs w:val="20"/>
        </w:rPr>
      </w:pPr>
      <w:r w:rsidRPr="00CF362F">
        <w:rPr>
          <w:b/>
          <w:bCs/>
          <w:szCs w:val="20"/>
        </w:rPr>
        <w:t>5. Conclusion</w:t>
      </w:r>
    </w:p>
    <w:p w14:paraId="573834CB" w14:textId="77777777" w:rsidR="00781B95" w:rsidRDefault="00BC3AE3" w:rsidP="003C3D22">
      <w:pPr>
        <w:spacing w:line="360" w:lineRule="auto"/>
        <w:rPr>
          <w:szCs w:val="20"/>
        </w:rPr>
      </w:pPr>
      <w:r w:rsidRPr="00CF362F">
        <w:rPr>
          <w:szCs w:val="20"/>
        </w:rPr>
        <w:t xml:space="preserve">The assessment of soils collected from Abomey-Calavi, Cotonou, and Natitingou reveals that, excluding incineration, almost all heavy metals exhibit very low concentrations and negative or near-zero geoaccumulation indices (Igeo). These results indicate that soils remain generally unpolluted, despite the </w:t>
      </w:r>
      <w:r w:rsidRPr="00CF362F">
        <w:rPr>
          <w:szCs w:val="20"/>
        </w:rPr>
        <w:lastRenderedPageBreak/>
        <w:t>presence of electronic waste at these sites. Only a few isolated cases of cadmium reach slightly positive values, reflecting localized but not widespread contamination. In contrast, the Abomey-Calavi burning site constitutes a major environmental pollution hotspot, with extreme concentration levels for cadmium, lead, and copper, reaching Igeo classes 6, 5, and 4 respectively. Overall, our results highlight a marked duality between disposal sites, generally unpolluted, and combustion areas where heavy metal concentrations reach alarming levels. These observations align with conclusions from other studies conducted in West Africa and Asia, confirming that incineration constitutes the main source of soil contamination by metals from WEEE. These findings call for urgent measures such as strict prohibition of electronic waste burning, establishment of formal collection, recycling, and treatment systems, and development of national regulations adapted to WEEE challenges. Organized management would help limit environmental and health impacts, while recovering resources contained in this waste within a perspective of circular economy and sustainability.</w:t>
      </w:r>
    </w:p>
    <w:p w14:paraId="224E2371" w14:textId="77777777" w:rsidR="00DA7C10" w:rsidRDefault="00DA7C10" w:rsidP="00781B95">
      <w:pPr>
        <w:spacing w:line="360" w:lineRule="auto"/>
        <w:rPr>
          <w:b/>
          <w:bCs/>
          <w:sz w:val="22"/>
          <w:szCs w:val="22"/>
        </w:rPr>
      </w:pPr>
    </w:p>
    <w:p w14:paraId="2AB27BC5" w14:textId="77777777" w:rsidR="003C3D22" w:rsidRPr="00DA7C10" w:rsidRDefault="003C3D22" w:rsidP="00781B95">
      <w:pPr>
        <w:spacing w:line="360" w:lineRule="auto"/>
        <w:rPr>
          <w:b/>
          <w:bCs/>
          <w:szCs w:val="20"/>
        </w:rPr>
      </w:pPr>
      <w:r w:rsidRPr="00DA7C10">
        <w:rPr>
          <w:b/>
          <w:bCs/>
          <w:szCs w:val="20"/>
        </w:rPr>
        <w:t>DISCLAMER (ARTIFICIAL INTELLIGEN</w:t>
      </w:r>
      <w:r w:rsidR="00DA7C10" w:rsidRPr="00DA7C10">
        <w:rPr>
          <w:b/>
          <w:bCs/>
          <w:szCs w:val="20"/>
        </w:rPr>
        <w:t>CE)</w:t>
      </w:r>
    </w:p>
    <w:p w14:paraId="1C43069E" w14:textId="77777777" w:rsidR="00DA7C10" w:rsidRDefault="00781B95" w:rsidP="00DA7C10">
      <w:pPr>
        <w:spacing w:line="360" w:lineRule="auto"/>
        <w:rPr>
          <w:rFonts w:ascii="ArialMT" w:hAnsi="ArialMT"/>
          <w:szCs w:val="20"/>
        </w:rPr>
      </w:pPr>
      <w:r>
        <w:rPr>
          <w:rFonts w:ascii="ArialMT" w:hAnsi="ArialMT"/>
          <w:szCs w:val="20"/>
        </w:rPr>
        <w:t xml:space="preserve">Author(s) hereby declare that NO generative AI technologies such as Large Language Models (ChatGPT, COPILOT, etc.) and text-to-image generators have been used during the writing or editing of this manuscript. </w:t>
      </w:r>
    </w:p>
    <w:p w14:paraId="52618AE7" w14:textId="77777777" w:rsidR="00781B95" w:rsidRPr="00DA7C10" w:rsidRDefault="00781B95" w:rsidP="00781B95">
      <w:pPr>
        <w:spacing w:line="360" w:lineRule="auto"/>
        <w:rPr>
          <w:b/>
          <w:bCs/>
          <w:szCs w:val="20"/>
        </w:rPr>
      </w:pPr>
      <w:r w:rsidRPr="00DA7C10">
        <w:rPr>
          <w:b/>
          <w:bCs/>
          <w:szCs w:val="20"/>
        </w:rPr>
        <w:t xml:space="preserve">COMPETING INTERESTS </w:t>
      </w:r>
    </w:p>
    <w:p w14:paraId="031A9FE8" w14:textId="77777777" w:rsidR="00781B95" w:rsidRPr="00781B95" w:rsidRDefault="00781B95" w:rsidP="00781B95">
      <w:pPr>
        <w:spacing w:line="360" w:lineRule="auto"/>
        <w:rPr>
          <w:szCs w:val="20"/>
        </w:rPr>
      </w:pPr>
      <w:r>
        <w:rPr>
          <w:rFonts w:ascii="ArialMT" w:hAnsi="ArialMT"/>
          <w:szCs w:val="20"/>
        </w:rPr>
        <w:t xml:space="preserve">Authors have declared that no competing interests exist. </w:t>
      </w:r>
    </w:p>
    <w:p w14:paraId="2F752E8C" w14:textId="77777777" w:rsidR="00BC3AE3" w:rsidRPr="00CF362F" w:rsidRDefault="00F82BA7" w:rsidP="00781B95">
      <w:pPr>
        <w:pStyle w:val="NormalWeb"/>
        <w:spacing w:line="360" w:lineRule="auto"/>
        <w:jc w:val="center"/>
        <w:rPr>
          <w:rFonts w:ascii="Arial" w:hAnsi="Arial" w:cs="Arial"/>
          <w:b/>
          <w:bCs/>
          <w:sz w:val="20"/>
          <w:szCs w:val="20"/>
        </w:rPr>
      </w:pPr>
      <w:r w:rsidRPr="00CF362F">
        <w:rPr>
          <w:rFonts w:ascii="Arial" w:hAnsi="Arial" w:cs="Arial"/>
          <w:b/>
          <w:bCs/>
          <w:sz w:val="20"/>
          <w:szCs w:val="20"/>
        </w:rPr>
        <w:t xml:space="preserve">REFERENCES </w:t>
      </w:r>
    </w:p>
    <w:p w14:paraId="3D876B3B" w14:textId="77777777" w:rsidR="00F82BA7" w:rsidRPr="00CF362F" w:rsidRDefault="00F82BA7" w:rsidP="003C3D22">
      <w:pPr>
        <w:pStyle w:val="NormalWeb"/>
        <w:spacing w:before="0" w:beforeAutospacing="0" w:after="0" w:afterAutospacing="0" w:line="360" w:lineRule="auto"/>
        <w:ind w:left="708" w:hanging="708"/>
        <w:jc w:val="both"/>
        <w:rPr>
          <w:rStyle w:val="relative"/>
          <w:rFonts w:ascii="Arial" w:eastAsiaTheme="majorEastAsia" w:hAnsi="Arial" w:cs="Arial"/>
          <w:sz w:val="20"/>
          <w:szCs w:val="20"/>
        </w:rPr>
      </w:pPr>
      <w:r w:rsidRPr="00CF362F">
        <w:rPr>
          <w:rFonts w:ascii="Arial" w:hAnsi="Arial" w:cs="Arial"/>
          <w:sz w:val="20"/>
          <w:szCs w:val="20"/>
        </w:rPr>
        <w:t xml:space="preserve">Abedin, M. J., Wangwongwatana, S., Bhuiyan, M. N. H., Moniruzzaman, M., Norkaew, S., Tan, Q., &amp; Liang, L. (2025). Assessments of heavy metal contamination found in environmental samples from informal e-waste recycling communities in Chattogram City, Bangladesh. </w:t>
      </w:r>
      <w:r w:rsidRPr="00CF362F">
        <w:rPr>
          <w:rStyle w:val="Emphasis"/>
          <w:rFonts w:ascii="Arial" w:hAnsi="Arial" w:cs="Arial"/>
          <w:sz w:val="20"/>
          <w:szCs w:val="20"/>
        </w:rPr>
        <w:t>Journal of Hazardous Materials Advances, 19,</w:t>
      </w:r>
      <w:r w:rsidRPr="00CF362F">
        <w:rPr>
          <w:rFonts w:ascii="Arial" w:hAnsi="Arial" w:cs="Arial"/>
          <w:sz w:val="20"/>
          <w:szCs w:val="20"/>
        </w:rPr>
        <w:t xml:space="preserve"> 100845. </w:t>
      </w:r>
      <w:hyperlink r:id="rId18" w:tgtFrame="_new" w:history="1">
        <w:r w:rsidRPr="00CF362F">
          <w:rPr>
            <w:rStyle w:val="Hyperlink"/>
            <w:rFonts w:ascii="Arial" w:hAnsi="Arial" w:cs="Arial"/>
            <w:sz w:val="20"/>
            <w:szCs w:val="20"/>
          </w:rPr>
          <w:t>https://doi.org/10.1016/j.hazadv.2025.100845</w:t>
        </w:r>
      </w:hyperlink>
      <w:r w:rsidRPr="00CF362F">
        <w:rPr>
          <w:rFonts w:ascii="Arial" w:hAnsi="Arial" w:cs="Arial"/>
          <w:sz w:val="20"/>
          <w:szCs w:val="20"/>
        </w:rPr>
        <w:t xml:space="preserve"> </w:t>
      </w:r>
    </w:p>
    <w:p w14:paraId="0F299406" w14:textId="77777777" w:rsidR="00F82BA7" w:rsidRPr="00CF362F" w:rsidRDefault="00F82BA7"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r w:rsidRPr="00CF362F">
        <w:rPr>
          <w:rFonts w:ascii="Arial" w:hAnsi="Arial" w:cs="Arial"/>
          <w:sz w:val="20"/>
          <w:szCs w:val="20"/>
        </w:rPr>
        <w:t xml:space="preserve">Ackah, M. (2019). Soil elemental concentrations, geoaccumulation index, non-carcinogenic and carcinogenic risks in functional areas of an informal e-waste recycling area in Accra, Ghana. </w:t>
      </w:r>
      <w:r w:rsidRPr="00CF362F">
        <w:rPr>
          <w:rStyle w:val="Emphasis"/>
          <w:rFonts w:ascii="Arial" w:hAnsi="Arial" w:cs="Arial"/>
          <w:sz w:val="20"/>
          <w:szCs w:val="20"/>
        </w:rPr>
        <w:t>Chemosphere, 235,</w:t>
      </w:r>
      <w:r w:rsidRPr="00CF362F">
        <w:rPr>
          <w:rFonts w:ascii="Arial" w:hAnsi="Arial" w:cs="Arial"/>
          <w:sz w:val="20"/>
          <w:szCs w:val="20"/>
        </w:rPr>
        <w:t xml:space="preserve"> 908–917. </w:t>
      </w:r>
      <w:hyperlink r:id="rId19" w:tgtFrame="_new" w:history="1">
        <w:r w:rsidRPr="00CF362F">
          <w:rPr>
            <w:rStyle w:val="Hyperlink"/>
            <w:rFonts w:ascii="Arial" w:hAnsi="Arial" w:cs="Arial"/>
            <w:sz w:val="20"/>
            <w:szCs w:val="20"/>
          </w:rPr>
          <w:t>https://doi.org/10.1016/j.chemosphere.2019.07.014</w:t>
        </w:r>
      </w:hyperlink>
      <w:r w:rsidRPr="00CF362F">
        <w:rPr>
          <w:rFonts w:ascii="Arial" w:hAnsi="Arial" w:cs="Arial"/>
          <w:sz w:val="20"/>
          <w:szCs w:val="20"/>
        </w:rPr>
        <w:t xml:space="preserve"> </w:t>
      </w:r>
    </w:p>
    <w:p w14:paraId="492058A3"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lang w:val="en-US"/>
        </w:rPr>
      </w:pPr>
      <w:r w:rsidRPr="00CF362F">
        <w:rPr>
          <w:rFonts w:ascii="Arial" w:hAnsi="Arial" w:cs="Arial"/>
          <w:sz w:val="20"/>
          <w:szCs w:val="20"/>
        </w:rPr>
        <w:t xml:space="preserve">Adesokan, M. D., Adie, G. U., &amp; Osibanjo, O. (2016). Soil pollution by toxic metals near e-waste recycling operations in Ibadan, Nigeria. </w:t>
      </w:r>
      <w:r w:rsidRPr="00CF362F">
        <w:rPr>
          <w:rStyle w:val="Emphasis"/>
          <w:rFonts w:ascii="Arial" w:hAnsi="Arial" w:cs="Arial"/>
          <w:sz w:val="20"/>
          <w:szCs w:val="20"/>
        </w:rPr>
        <w:t>Journal of Health and Pollution, 6</w:t>
      </w:r>
      <w:r w:rsidRPr="00CF362F">
        <w:rPr>
          <w:rFonts w:ascii="Arial" w:hAnsi="Arial" w:cs="Arial"/>
          <w:sz w:val="20"/>
          <w:szCs w:val="20"/>
        </w:rPr>
        <w:t xml:space="preserve">(11), 26–33. </w:t>
      </w:r>
      <w:hyperlink r:id="rId20" w:history="1">
        <w:r w:rsidRPr="00CF362F">
          <w:rPr>
            <w:rStyle w:val="Hyperlink"/>
            <w:rFonts w:ascii="Arial" w:hAnsi="Arial" w:cs="Arial"/>
            <w:sz w:val="20"/>
            <w:szCs w:val="20"/>
          </w:rPr>
          <w:t>https://doi.org/10.5696/2156-9614-6-11.26</w:t>
        </w:r>
      </w:hyperlink>
      <w:r w:rsidRPr="00CF362F">
        <w:rPr>
          <w:rFonts w:ascii="Arial" w:hAnsi="Arial" w:cs="Arial"/>
          <w:sz w:val="20"/>
          <w:szCs w:val="20"/>
          <w:lang w:val="en-US"/>
        </w:rPr>
        <w:t xml:space="preserve"> </w:t>
      </w:r>
    </w:p>
    <w:p w14:paraId="78F5305D" w14:textId="77777777" w:rsidR="00F82BA7" w:rsidRPr="00CF362F" w:rsidRDefault="00F82BA7"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r w:rsidRPr="00CF362F">
        <w:rPr>
          <w:rFonts w:ascii="Arial" w:hAnsi="Arial" w:cs="Arial"/>
          <w:sz w:val="20"/>
          <w:szCs w:val="20"/>
        </w:rPr>
        <w:t xml:space="preserve">Akanchise, T., Boakye, S., Borquaye, L. S., Dodd, M., &amp; Darko, G. (2020). Distribution of heavy metals in soils from abandoned dump sites in Kumasi, Ghana. </w:t>
      </w:r>
      <w:r w:rsidRPr="00CF362F">
        <w:rPr>
          <w:rStyle w:val="Emphasis"/>
          <w:rFonts w:ascii="Arial" w:hAnsi="Arial" w:cs="Arial"/>
          <w:sz w:val="20"/>
          <w:szCs w:val="20"/>
        </w:rPr>
        <w:t>Scientific African, 10,</w:t>
      </w:r>
      <w:r w:rsidRPr="00CF362F">
        <w:rPr>
          <w:rFonts w:ascii="Arial" w:hAnsi="Arial" w:cs="Arial"/>
          <w:sz w:val="20"/>
          <w:szCs w:val="20"/>
        </w:rPr>
        <w:t xml:space="preserve"> e00614. </w:t>
      </w:r>
      <w:hyperlink r:id="rId21" w:tgtFrame="_new" w:history="1">
        <w:r w:rsidRPr="00CF362F">
          <w:rPr>
            <w:rStyle w:val="Hyperlink"/>
            <w:rFonts w:ascii="Arial" w:hAnsi="Arial" w:cs="Arial"/>
            <w:sz w:val="20"/>
            <w:szCs w:val="20"/>
          </w:rPr>
          <w:t>https://doi.org/10.1016/j.sciaf.2020.e00614</w:t>
        </w:r>
      </w:hyperlink>
      <w:r w:rsidRPr="00CF362F">
        <w:rPr>
          <w:rFonts w:ascii="Arial" w:hAnsi="Arial" w:cs="Arial"/>
          <w:sz w:val="20"/>
          <w:szCs w:val="20"/>
        </w:rPr>
        <w:t xml:space="preserve"> </w:t>
      </w:r>
    </w:p>
    <w:p w14:paraId="714D671A"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lang w:val="en-US"/>
        </w:rPr>
      </w:pPr>
      <w:r w:rsidRPr="00CF362F">
        <w:rPr>
          <w:rFonts w:ascii="Arial" w:hAnsi="Arial" w:cs="Arial"/>
          <w:sz w:val="20"/>
          <w:szCs w:val="20"/>
        </w:rPr>
        <w:t xml:space="preserve">American Public Health Association (APHA), American Water Works Association (AWWA), &amp; Water Environment Federation (WEF). (2017). </w:t>
      </w:r>
      <w:r w:rsidRPr="00CF362F">
        <w:rPr>
          <w:rStyle w:val="Emphasis"/>
          <w:rFonts w:ascii="Arial" w:hAnsi="Arial" w:cs="Arial"/>
          <w:sz w:val="20"/>
          <w:szCs w:val="20"/>
        </w:rPr>
        <w:t xml:space="preserve">3111 </w:t>
      </w:r>
      <w:proofErr w:type="gramStart"/>
      <w:r w:rsidRPr="00CF362F">
        <w:rPr>
          <w:rStyle w:val="Emphasis"/>
          <w:rFonts w:ascii="Arial" w:hAnsi="Arial" w:cs="Arial"/>
          <w:sz w:val="20"/>
          <w:szCs w:val="20"/>
        </w:rPr>
        <w:t>B:</w:t>
      </w:r>
      <w:proofErr w:type="gramEnd"/>
      <w:r w:rsidRPr="00CF362F">
        <w:rPr>
          <w:rStyle w:val="Emphasis"/>
          <w:rFonts w:ascii="Arial" w:hAnsi="Arial" w:cs="Arial"/>
          <w:sz w:val="20"/>
          <w:szCs w:val="20"/>
        </w:rPr>
        <w:t xml:space="preserve"> Metals by Flame Atomic Absorption </w:t>
      </w:r>
      <w:r w:rsidRPr="00CF362F">
        <w:rPr>
          <w:rStyle w:val="Emphasis"/>
          <w:rFonts w:ascii="Arial" w:hAnsi="Arial" w:cs="Arial"/>
          <w:sz w:val="20"/>
          <w:szCs w:val="20"/>
        </w:rPr>
        <w:lastRenderedPageBreak/>
        <w:t>Spectrometry</w:t>
      </w:r>
      <w:r w:rsidRPr="00CF362F">
        <w:rPr>
          <w:rFonts w:ascii="Arial" w:hAnsi="Arial" w:cs="Arial"/>
          <w:sz w:val="20"/>
          <w:szCs w:val="20"/>
        </w:rPr>
        <w:t xml:space="preserve">. In </w:t>
      </w:r>
      <w:r w:rsidRPr="00CF362F">
        <w:rPr>
          <w:rStyle w:val="Emphasis"/>
          <w:rFonts w:ascii="Arial" w:hAnsi="Arial" w:cs="Arial"/>
          <w:sz w:val="20"/>
          <w:szCs w:val="20"/>
        </w:rPr>
        <w:t>Standard Methods for the Examination of Water and Wastewater</w:t>
      </w:r>
      <w:r w:rsidRPr="00CF362F">
        <w:rPr>
          <w:rFonts w:ascii="Arial" w:hAnsi="Arial" w:cs="Arial"/>
          <w:sz w:val="20"/>
          <w:szCs w:val="20"/>
        </w:rPr>
        <w:t xml:space="preserve"> (23rd ed.). Washington, </w:t>
      </w:r>
      <w:proofErr w:type="gramStart"/>
      <w:r w:rsidRPr="00CF362F">
        <w:rPr>
          <w:rFonts w:ascii="Arial" w:hAnsi="Arial" w:cs="Arial"/>
          <w:sz w:val="20"/>
          <w:szCs w:val="20"/>
        </w:rPr>
        <w:t>DC:</w:t>
      </w:r>
      <w:proofErr w:type="gramEnd"/>
      <w:r w:rsidRPr="00CF362F">
        <w:rPr>
          <w:rFonts w:ascii="Arial" w:hAnsi="Arial" w:cs="Arial"/>
          <w:sz w:val="20"/>
          <w:szCs w:val="20"/>
        </w:rPr>
        <w:t xml:space="preserve"> APHA.</w:t>
      </w:r>
      <w:r w:rsidRPr="00CF362F">
        <w:rPr>
          <w:rFonts w:ascii="Arial" w:hAnsi="Arial" w:cs="Arial"/>
          <w:sz w:val="20"/>
          <w:szCs w:val="20"/>
          <w:lang w:val="en-US"/>
        </w:rPr>
        <w:t xml:space="preserve"> </w:t>
      </w:r>
      <w:hyperlink r:id="rId22" w:history="1">
        <w:r w:rsidRPr="00CF362F">
          <w:rPr>
            <w:rStyle w:val="Hyperlink"/>
            <w:rFonts w:ascii="Arial" w:hAnsi="Arial" w:cs="Arial"/>
            <w:sz w:val="20"/>
            <w:szCs w:val="20"/>
            <w:lang w:val="en-US"/>
          </w:rPr>
          <w:t>https://www.standardmethods.org/doi/10.2105/SMWW.2882.043</w:t>
        </w:r>
      </w:hyperlink>
    </w:p>
    <w:p w14:paraId="41795272"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t xml:space="preserve">American Public Health Association (APHA), American Water Works Association (AWWA), &amp; Water Environment Federation (WEF). (2017). </w:t>
      </w:r>
      <w:r w:rsidRPr="00CF362F">
        <w:rPr>
          <w:rStyle w:val="Emphasis"/>
          <w:rFonts w:ascii="Arial" w:hAnsi="Arial" w:cs="Arial"/>
          <w:sz w:val="20"/>
          <w:szCs w:val="20"/>
        </w:rPr>
        <w:t xml:space="preserve">3500-Fe </w:t>
      </w:r>
      <w:proofErr w:type="gramStart"/>
      <w:r w:rsidRPr="00CF362F">
        <w:rPr>
          <w:rStyle w:val="Emphasis"/>
          <w:rFonts w:ascii="Arial" w:hAnsi="Arial" w:cs="Arial"/>
          <w:sz w:val="20"/>
          <w:szCs w:val="20"/>
        </w:rPr>
        <w:t>B:</w:t>
      </w:r>
      <w:proofErr w:type="gramEnd"/>
      <w:r w:rsidRPr="00CF362F">
        <w:rPr>
          <w:rStyle w:val="Emphasis"/>
          <w:rFonts w:ascii="Arial" w:hAnsi="Arial" w:cs="Arial"/>
          <w:sz w:val="20"/>
          <w:szCs w:val="20"/>
        </w:rPr>
        <w:t xml:space="preserve"> Iron by Phenanthroline</w:t>
      </w:r>
      <w:r w:rsidRPr="00CF362F">
        <w:rPr>
          <w:rFonts w:ascii="Arial" w:hAnsi="Arial" w:cs="Arial"/>
          <w:sz w:val="20"/>
          <w:szCs w:val="20"/>
        </w:rPr>
        <w:t xml:space="preserve">. In </w:t>
      </w:r>
      <w:r w:rsidRPr="00CF362F">
        <w:rPr>
          <w:rStyle w:val="Emphasis"/>
          <w:rFonts w:ascii="Arial" w:hAnsi="Arial" w:cs="Arial"/>
          <w:sz w:val="20"/>
          <w:szCs w:val="20"/>
        </w:rPr>
        <w:t>Standard Methods for the Examination of Water and Wastewater</w:t>
      </w:r>
      <w:r w:rsidRPr="00CF362F">
        <w:rPr>
          <w:rFonts w:ascii="Arial" w:hAnsi="Arial" w:cs="Arial"/>
          <w:sz w:val="20"/>
          <w:szCs w:val="20"/>
        </w:rPr>
        <w:t xml:space="preserve"> (23rd ed.). Washington, </w:t>
      </w:r>
      <w:proofErr w:type="gramStart"/>
      <w:r w:rsidRPr="00CF362F">
        <w:rPr>
          <w:rFonts w:ascii="Arial" w:hAnsi="Arial" w:cs="Arial"/>
          <w:sz w:val="20"/>
          <w:szCs w:val="20"/>
        </w:rPr>
        <w:t>DC:</w:t>
      </w:r>
      <w:proofErr w:type="gramEnd"/>
      <w:r w:rsidRPr="00CF362F">
        <w:rPr>
          <w:rFonts w:ascii="Arial" w:hAnsi="Arial" w:cs="Arial"/>
          <w:sz w:val="20"/>
          <w:szCs w:val="20"/>
        </w:rPr>
        <w:t xml:space="preserve"> APHA. </w:t>
      </w:r>
      <w:hyperlink r:id="rId23" w:history="1">
        <w:r w:rsidRPr="00CF362F">
          <w:rPr>
            <w:rStyle w:val="Hyperlink"/>
            <w:rFonts w:ascii="Arial" w:hAnsi="Arial" w:cs="Arial"/>
            <w:sz w:val="20"/>
            <w:szCs w:val="20"/>
          </w:rPr>
          <w:t>https://www.standardmethods.org/doi/10.2105/SMWW.2882.055</w:t>
        </w:r>
      </w:hyperlink>
    </w:p>
    <w:p w14:paraId="665CBEF2" w14:textId="77777777" w:rsidR="00F82BA7" w:rsidRPr="00CF362F" w:rsidRDefault="00F82BA7"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r w:rsidRPr="00CF362F">
        <w:rPr>
          <w:rFonts w:ascii="Arial" w:hAnsi="Arial" w:cs="Arial"/>
          <w:sz w:val="20"/>
          <w:szCs w:val="20"/>
        </w:rPr>
        <w:t xml:space="preserve">Fosu-Mensah, B. Y., Addae, E., Yirenya-Tawiah, D., &amp; Nyame, F. (2017). Heavy metals concentration and distribution in soils and vegetation at Korle Lagoon area in Accra, Ghana. </w:t>
      </w:r>
      <w:r w:rsidRPr="00CF362F">
        <w:rPr>
          <w:rStyle w:val="Emphasis"/>
          <w:rFonts w:ascii="Arial" w:hAnsi="Arial" w:cs="Arial"/>
          <w:sz w:val="20"/>
          <w:szCs w:val="20"/>
        </w:rPr>
        <w:t>Cogent Environmental Science, 3(1),</w:t>
      </w:r>
      <w:r w:rsidRPr="00CF362F">
        <w:rPr>
          <w:rFonts w:ascii="Arial" w:hAnsi="Arial" w:cs="Arial"/>
          <w:sz w:val="20"/>
          <w:szCs w:val="20"/>
        </w:rPr>
        <w:t xml:space="preserve"> 1405887. </w:t>
      </w:r>
      <w:hyperlink r:id="rId24" w:tgtFrame="_new" w:history="1">
        <w:r w:rsidRPr="00CF362F">
          <w:rPr>
            <w:rStyle w:val="Hyperlink"/>
            <w:rFonts w:ascii="Arial" w:hAnsi="Arial" w:cs="Arial"/>
            <w:sz w:val="20"/>
            <w:szCs w:val="20"/>
          </w:rPr>
          <w:t>https://doi.org/10.1080/23311843.2017.1405887</w:t>
        </w:r>
      </w:hyperlink>
      <w:r w:rsidRPr="00CF362F">
        <w:rPr>
          <w:rFonts w:ascii="Arial" w:hAnsi="Arial" w:cs="Arial"/>
          <w:sz w:val="20"/>
          <w:szCs w:val="20"/>
        </w:rPr>
        <w:t xml:space="preserve"> </w:t>
      </w:r>
    </w:p>
    <w:p w14:paraId="0F163A76"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lang w:val="en-US"/>
        </w:rPr>
      </w:pPr>
      <w:r w:rsidRPr="00CF362F">
        <w:rPr>
          <w:rFonts w:ascii="Arial" w:hAnsi="Arial" w:cs="Arial"/>
          <w:sz w:val="20"/>
          <w:szCs w:val="20"/>
        </w:rPr>
        <w:t xml:space="preserve">International Organization for Standardization. (1986). </w:t>
      </w:r>
      <w:r w:rsidRPr="00CF362F">
        <w:rPr>
          <w:rStyle w:val="Emphasis"/>
          <w:rFonts w:ascii="Arial" w:hAnsi="Arial" w:cs="Arial"/>
          <w:sz w:val="20"/>
          <w:szCs w:val="20"/>
        </w:rPr>
        <w:t xml:space="preserve">ISO </w:t>
      </w:r>
      <w:proofErr w:type="gramStart"/>
      <w:r w:rsidRPr="00CF362F">
        <w:rPr>
          <w:rStyle w:val="Emphasis"/>
          <w:rFonts w:ascii="Arial" w:hAnsi="Arial" w:cs="Arial"/>
          <w:sz w:val="20"/>
          <w:szCs w:val="20"/>
        </w:rPr>
        <w:t>8288:</w:t>
      </w:r>
      <w:proofErr w:type="gramEnd"/>
      <w:r w:rsidRPr="00CF362F">
        <w:rPr>
          <w:rStyle w:val="Emphasis"/>
          <w:rFonts w:ascii="Arial" w:hAnsi="Arial" w:cs="Arial"/>
          <w:sz w:val="20"/>
          <w:szCs w:val="20"/>
        </w:rPr>
        <w:t>1986 – Water quality — Determination of cobalt, nickel, copper, zinc, cadmium and lead — Flame atomic absorption spectrometric methods</w:t>
      </w:r>
      <w:r w:rsidRPr="00CF362F">
        <w:rPr>
          <w:rFonts w:ascii="Arial" w:hAnsi="Arial" w:cs="Arial"/>
          <w:sz w:val="20"/>
          <w:szCs w:val="20"/>
        </w:rPr>
        <w:t xml:space="preserve">. Geneva, </w:t>
      </w:r>
      <w:proofErr w:type="gramStart"/>
      <w:r w:rsidRPr="00CF362F">
        <w:rPr>
          <w:rFonts w:ascii="Arial" w:hAnsi="Arial" w:cs="Arial"/>
          <w:sz w:val="20"/>
          <w:szCs w:val="20"/>
        </w:rPr>
        <w:t>Switzerland:</w:t>
      </w:r>
      <w:proofErr w:type="gramEnd"/>
      <w:r w:rsidRPr="00CF362F">
        <w:rPr>
          <w:rFonts w:ascii="Arial" w:hAnsi="Arial" w:cs="Arial"/>
          <w:sz w:val="20"/>
          <w:szCs w:val="20"/>
        </w:rPr>
        <w:t xml:space="preserve"> ISO.</w:t>
      </w:r>
      <w:hyperlink r:id="rId25" w:history="1">
        <w:r w:rsidRPr="00CF362F">
          <w:rPr>
            <w:rStyle w:val="Hyperlink"/>
            <w:rFonts w:ascii="Arial" w:hAnsi="Arial" w:cs="Arial"/>
            <w:sz w:val="20"/>
            <w:szCs w:val="20"/>
            <w:lang w:val="en-US"/>
          </w:rPr>
          <w:t>https://www.iso.org/standard/15408.html</w:t>
        </w:r>
      </w:hyperlink>
    </w:p>
    <w:p w14:paraId="62CD6D99" w14:textId="77777777" w:rsidR="00F82BA7" w:rsidRPr="00CF362F" w:rsidRDefault="00F82BA7" w:rsidP="003C3D22">
      <w:pPr>
        <w:pStyle w:val="NormalWeb"/>
        <w:spacing w:before="0" w:beforeAutospacing="0" w:after="0" w:afterAutospacing="0" w:line="360" w:lineRule="auto"/>
        <w:ind w:left="708" w:hanging="708"/>
        <w:jc w:val="both"/>
        <w:rPr>
          <w:rStyle w:val="Strong"/>
          <w:rFonts w:ascii="Arial" w:hAnsi="Arial" w:cs="Arial"/>
          <w:sz w:val="20"/>
          <w:szCs w:val="20"/>
          <w:lang w:val="en-US"/>
        </w:rPr>
      </w:pPr>
      <w:r w:rsidRPr="00CF362F">
        <w:rPr>
          <w:rStyle w:val="Strong"/>
          <w:rFonts w:ascii="Arial" w:hAnsi="Arial" w:cs="Arial"/>
          <w:sz w:val="20"/>
          <w:szCs w:val="20"/>
        </w:rPr>
        <w:t xml:space="preserve">International Organization for Standardization. (1988). </w:t>
      </w:r>
      <w:r w:rsidRPr="00CF362F">
        <w:rPr>
          <w:rStyle w:val="Emphasis"/>
          <w:rFonts w:ascii="Arial" w:hAnsi="Arial" w:cs="Arial"/>
          <w:sz w:val="20"/>
          <w:szCs w:val="20"/>
        </w:rPr>
        <w:t xml:space="preserve">ISO </w:t>
      </w:r>
      <w:proofErr w:type="gramStart"/>
      <w:r w:rsidRPr="00CF362F">
        <w:rPr>
          <w:rStyle w:val="Emphasis"/>
          <w:rFonts w:ascii="Arial" w:hAnsi="Arial" w:cs="Arial"/>
          <w:sz w:val="20"/>
          <w:szCs w:val="20"/>
        </w:rPr>
        <w:t>6332:</w:t>
      </w:r>
      <w:proofErr w:type="gramEnd"/>
      <w:r w:rsidRPr="00CF362F">
        <w:rPr>
          <w:rStyle w:val="Emphasis"/>
          <w:rFonts w:ascii="Arial" w:hAnsi="Arial" w:cs="Arial"/>
          <w:sz w:val="20"/>
          <w:szCs w:val="20"/>
        </w:rPr>
        <w:t>1988 – Water quality — Determination of iron — Spectrometric method using 1,10-phenanthroline</w:t>
      </w:r>
      <w:r w:rsidRPr="00CF362F">
        <w:rPr>
          <w:rStyle w:val="Strong"/>
          <w:rFonts w:ascii="Arial" w:hAnsi="Arial" w:cs="Arial"/>
          <w:sz w:val="20"/>
          <w:szCs w:val="20"/>
        </w:rPr>
        <w:t xml:space="preserve">. Geneva, </w:t>
      </w:r>
      <w:proofErr w:type="gramStart"/>
      <w:r w:rsidRPr="00CF362F">
        <w:rPr>
          <w:rStyle w:val="Strong"/>
          <w:rFonts w:ascii="Arial" w:hAnsi="Arial" w:cs="Arial"/>
          <w:sz w:val="20"/>
          <w:szCs w:val="20"/>
        </w:rPr>
        <w:t>Switzerland:</w:t>
      </w:r>
      <w:proofErr w:type="gramEnd"/>
      <w:r w:rsidRPr="00CF362F">
        <w:rPr>
          <w:rStyle w:val="Strong"/>
          <w:rFonts w:ascii="Arial" w:hAnsi="Arial" w:cs="Arial"/>
          <w:sz w:val="20"/>
          <w:szCs w:val="20"/>
        </w:rPr>
        <w:t xml:space="preserve"> ISO.</w:t>
      </w:r>
      <w:r w:rsidRPr="00CF362F">
        <w:rPr>
          <w:rFonts w:ascii="Arial" w:hAnsi="Arial" w:cs="Arial"/>
          <w:b/>
          <w:bCs/>
          <w:sz w:val="20"/>
          <w:szCs w:val="20"/>
          <w:lang w:val="en-US"/>
        </w:rPr>
        <w:t xml:space="preserve"> </w:t>
      </w:r>
      <w:hyperlink r:id="rId26" w:history="1">
        <w:r w:rsidRPr="00CF362F">
          <w:rPr>
            <w:rStyle w:val="Hyperlink"/>
            <w:rFonts w:ascii="Arial" w:hAnsi="Arial" w:cs="Arial"/>
            <w:sz w:val="20"/>
            <w:szCs w:val="20"/>
            <w:lang w:val="en-US"/>
          </w:rPr>
          <w:t>https://www.iso.org/standard/12630.html</w:t>
        </w:r>
      </w:hyperlink>
    </w:p>
    <w:p w14:paraId="7DF27147"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t xml:space="preserve">International Organization for Standardization. (1994). </w:t>
      </w:r>
      <w:r w:rsidRPr="00CF362F">
        <w:rPr>
          <w:rStyle w:val="Emphasis"/>
          <w:rFonts w:ascii="Arial" w:hAnsi="Arial" w:cs="Arial"/>
          <w:sz w:val="20"/>
          <w:szCs w:val="20"/>
        </w:rPr>
        <w:t xml:space="preserve">ISO </w:t>
      </w:r>
      <w:proofErr w:type="gramStart"/>
      <w:r w:rsidRPr="00CF362F">
        <w:rPr>
          <w:rStyle w:val="Emphasis"/>
          <w:rFonts w:ascii="Arial" w:hAnsi="Arial" w:cs="Arial"/>
          <w:sz w:val="20"/>
          <w:szCs w:val="20"/>
        </w:rPr>
        <w:t>11083:</w:t>
      </w:r>
      <w:proofErr w:type="gramEnd"/>
      <w:r w:rsidRPr="00CF362F">
        <w:rPr>
          <w:rStyle w:val="Emphasis"/>
          <w:rFonts w:ascii="Arial" w:hAnsi="Arial" w:cs="Arial"/>
          <w:sz w:val="20"/>
          <w:szCs w:val="20"/>
        </w:rPr>
        <w:t>1994 – Water quality — Determination of chromium(VI) — Spectrometric method using 1,5-diphenylcarbazide</w:t>
      </w:r>
      <w:r w:rsidRPr="00CF362F">
        <w:rPr>
          <w:rFonts w:ascii="Arial" w:hAnsi="Arial" w:cs="Arial"/>
          <w:sz w:val="20"/>
          <w:szCs w:val="20"/>
        </w:rPr>
        <w:t xml:space="preserve">. Geneva, </w:t>
      </w:r>
      <w:proofErr w:type="gramStart"/>
      <w:r w:rsidRPr="00CF362F">
        <w:rPr>
          <w:rFonts w:ascii="Arial" w:hAnsi="Arial" w:cs="Arial"/>
          <w:sz w:val="20"/>
          <w:szCs w:val="20"/>
        </w:rPr>
        <w:t>Switzerland:</w:t>
      </w:r>
      <w:proofErr w:type="gramEnd"/>
      <w:r w:rsidRPr="00CF362F">
        <w:rPr>
          <w:rFonts w:ascii="Arial" w:hAnsi="Arial" w:cs="Arial"/>
          <w:sz w:val="20"/>
          <w:szCs w:val="20"/>
        </w:rPr>
        <w:t xml:space="preserve"> ISO. </w:t>
      </w:r>
      <w:hyperlink r:id="rId27" w:history="1">
        <w:r w:rsidRPr="00CF362F">
          <w:rPr>
            <w:rStyle w:val="Hyperlink"/>
            <w:rFonts w:ascii="Arial" w:hAnsi="Arial" w:cs="Arial"/>
            <w:sz w:val="20"/>
            <w:szCs w:val="20"/>
          </w:rPr>
          <w:t>https://cdn.standards.iteh.ai/samples/19070/188e8eea9daf4460a39dce7dd553aefd/ISO-11083-1994.pdf</w:t>
        </w:r>
      </w:hyperlink>
    </w:p>
    <w:p w14:paraId="58F0A3CF"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t xml:space="preserve">International Organization for Standardization. (2006). </w:t>
      </w:r>
      <w:r w:rsidRPr="00CF362F">
        <w:rPr>
          <w:rStyle w:val="Emphasis"/>
          <w:rFonts w:ascii="Arial" w:hAnsi="Arial" w:cs="Arial"/>
          <w:sz w:val="20"/>
          <w:szCs w:val="20"/>
        </w:rPr>
        <w:t xml:space="preserve">ISO </w:t>
      </w:r>
      <w:proofErr w:type="gramStart"/>
      <w:r w:rsidRPr="00CF362F">
        <w:rPr>
          <w:rStyle w:val="Emphasis"/>
          <w:rFonts w:ascii="Arial" w:hAnsi="Arial" w:cs="Arial"/>
          <w:sz w:val="20"/>
          <w:szCs w:val="20"/>
        </w:rPr>
        <w:t>11464:</w:t>
      </w:r>
      <w:proofErr w:type="gramEnd"/>
      <w:r w:rsidRPr="00CF362F">
        <w:rPr>
          <w:rStyle w:val="Emphasis"/>
          <w:rFonts w:ascii="Arial" w:hAnsi="Arial" w:cs="Arial"/>
          <w:sz w:val="20"/>
          <w:szCs w:val="20"/>
        </w:rPr>
        <w:t>2006 – Soil quality — Pretreatment of samples for physico-chemical analysis</w:t>
      </w:r>
      <w:r w:rsidRPr="00CF362F">
        <w:rPr>
          <w:rFonts w:ascii="Arial" w:hAnsi="Arial" w:cs="Arial"/>
          <w:sz w:val="20"/>
          <w:szCs w:val="20"/>
        </w:rPr>
        <w:t xml:space="preserve">. Geneva, </w:t>
      </w:r>
      <w:proofErr w:type="gramStart"/>
      <w:r w:rsidRPr="00CF362F">
        <w:rPr>
          <w:rFonts w:ascii="Arial" w:hAnsi="Arial" w:cs="Arial"/>
          <w:sz w:val="20"/>
          <w:szCs w:val="20"/>
        </w:rPr>
        <w:t>Switzerland:</w:t>
      </w:r>
      <w:proofErr w:type="gramEnd"/>
      <w:r w:rsidRPr="00CF362F">
        <w:rPr>
          <w:rFonts w:ascii="Arial" w:hAnsi="Arial" w:cs="Arial"/>
          <w:sz w:val="20"/>
          <w:szCs w:val="20"/>
        </w:rPr>
        <w:t xml:space="preserve"> ISO. </w:t>
      </w:r>
      <w:hyperlink r:id="rId28" w:history="1">
        <w:r w:rsidRPr="00CF362F">
          <w:rPr>
            <w:rStyle w:val="Hyperlink"/>
            <w:rFonts w:ascii="Arial" w:hAnsi="Arial" w:cs="Arial"/>
            <w:sz w:val="20"/>
            <w:szCs w:val="20"/>
          </w:rPr>
          <w:t>https://www.iso.org/standard/37718.html</w:t>
        </w:r>
      </w:hyperlink>
    </w:p>
    <w:p w14:paraId="22C90F26"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lang w:val="en-US"/>
        </w:rPr>
      </w:pPr>
      <w:r w:rsidRPr="00CF362F">
        <w:rPr>
          <w:rFonts w:ascii="Arial" w:hAnsi="Arial" w:cs="Arial"/>
          <w:sz w:val="20"/>
          <w:szCs w:val="20"/>
        </w:rPr>
        <w:t xml:space="preserve">International Organization for Standardization. (2007). </w:t>
      </w:r>
      <w:r w:rsidRPr="00CF362F">
        <w:rPr>
          <w:rStyle w:val="Emphasis"/>
          <w:rFonts w:ascii="Arial" w:hAnsi="Arial" w:cs="Arial"/>
          <w:sz w:val="20"/>
          <w:szCs w:val="20"/>
        </w:rPr>
        <w:t xml:space="preserve">ISO </w:t>
      </w:r>
      <w:proofErr w:type="gramStart"/>
      <w:r w:rsidRPr="00CF362F">
        <w:rPr>
          <w:rStyle w:val="Emphasis"/>
          <w:rFonts w:ascii="Arial" w:hAnsi="Arial" w:cs="Arial"/>
          <w:sz w:val="20"/>
          <w:szCs w:val="20"/>
        </w:rPr>
        <w:t>18512:</w:t>
      </w:r>
      <w:proofErr w:type="gramEnd"/>
      <w:r w:rsidRPr="00CF362F">
        <w:rPr>
          <w:rStyle w:val="Emphasis"/>
          <w:rFonts w:ascii="Arial" w:hAnsi="Arial" w:cs="Arial"/>
          <w:sz w:val="20"/>
          <w:szCs w:val="20"/>
        </w:rPr>
        <w:t>2007 – Soil quality — Guidance on long and short term storage of soil samples</w:t>
      </w:r>
      <w:r w:rsidRPr="00CF362F">
        <w:rPr>
          <w:rFonts w:ascii="Arial" w:hAnsi="Arial" w:cs="Arial"/>
          <w:sz w:val="20"/>
          <w:szCs w:val="20"/>
        </w:rPr>
        <w:t xml:space="preserve">. Geneva, </w:t>
      </w:r>
      <w:proofErr w:type="gramStart"/>
      <w:r w:rsidRPr="00CF362F">
        <w:rPr>
          <w:rFonts w:ascii="Arial" w:hAnsi="Arial" w:cs="Arial"/>
          <w:sz w:val="20"/>
          <w:szCs w:val="20"/>
        </w:rPr>
        <w:t>Switzerland:</w:t>
      </w:r>
      <w:proofErr w:type="gramEnd"/>
      <w:r w:rsidRPr="00CF362F">
        <w:rPr>
          <w:rFonts w:ascii="Arial" w:hAnsi="Arial" w:cs="Arial"/>
          <w:sz w:val="20"/>
          <w:szCs w:val="20"/>
        </w:rPr>
        <w:t xml:space="preserve"> ISO.</w:t>
      </w:r>
      <w:r w:rsidRPr="00CF362F">
        <w:rPr>
          <w:rFonts w:ascii="Arial" w:hAnsi="Arial" w:cs="Arial"/>
          <w:sz w:val="20"/>
          <w:szCs w:val="20"/>
          <w:lang w:val="en-US"/>
        </w:rPr>
        <w:t xml:space="preserve"> </w:t>
      </w:r>
      <w:hyperlink r:id="rId29" w:history="1">
        <w:r w:rsidRPr="00CF362F">
          <w:rPr>
            <w:rStyle w:val="Hyperlink"/>
            <w:rFonts w:ascii="Arial" w:hAnsi="Arial" w:cs="Arial"/>
            <w:sz w:val="20"/>
            <w:szCs w:val="20"/>
            <w:lang w:val="en-US"/>
          </w:rPr>
          <w:t>https://cdn.standards.iteh.ai/samples/38721/0f71e117f8be460d897dd1af360dbe4e/ISO-18512-2007.pdf</w:t>
        </w:r>
      </w:hyperlink>
    </w:p>
    <w:p w14:paraId="1656DB35" w14:textId="77777777" w:rsidR="00F82BA7" w:rsidRPr="00CF362F" w:rsidRDefault="00F82BA7" w:rsidP="003C3D22">
      <w:pPr>
        <w:pStyle w:val="NormalWeb"/>
        <w:spacing w:before="0" w:beforeAutospacing="0" w:after="0" w:afterAutospacing="0" w:line="360" w:lineRule="auto"/>
        <w:ind w:left="708" w:hanging="708"/>
        <w:jc w:val="both"/>
        <w:rPr>
          <w:rStyle w:val="Strong"/>
          <w:rFonts w:ascii="Arial" w:hAnsi="Arial" w:cs="Arial"/>
          <w:sz w:val="20"/>
          <w:szCs w:val="20"/>
          <w:lang w:val="en-US"/>
        </w:rPr>
      </w:pPr>
      <w:r w:rsidRPr="00CF362F">
        <w:rPr>
          <w:rStyle w:val="Strong"/>
          <w:rFonts w:ascii="Arial" w:hAnsi="Arial" w:cs="Arial"/>
          <w:sz w:val="20"/>
          <w:szCs w:val="20"/>
        </w:rPr>
        <w:t xml:space="preserve">International Organization for Standardization. (2013). </w:t>
      </w:r>
      <w:r w:rsidRPr="00CF362F">
        <w:rPr>
          <w:rStyle w:val="Emphasis"/>
          <w:rFonts w:ascii="Arial" w:hAnsi="Arial" w:cs="Arial"/>
          <w:sz w:val="20"/>
          <w:szCs w:val="20"/>
        </w:rPr>
        <w:t xml:space="preserve">ISO </w:t>
      </w:r>
      <w:proofErr w:type="gramStart"/>
      <w:r w:rsidRPr="00CF362F">
        <w:rPr>
          <w:rStyle w:val="Emphasis"/>
          <w:rFonts w:ascii="Arial" w:hAnsi="Arial" w:cs="Arial"/>
          <w:sz w:val="20"/>
          <w:szCs w:val="20"/>
        </w:rPr>
        <w:t>16729:</w:t>
      </w:r>
      <w:proofErr w:type="gramEnd"/>
      <w:r w:rsidRPr="00CF362F">
        <w:rPr>
          <w:rStyle w:val="Emphasis"/>
          <w:rFonts w:ascii="Arial" w:hAnsi="Arial" w:cs="Arial"/>
          <w:sz w:val="20"/>
          <w:szCs w:val="20"/>
        </w:rPr>
        <w:t>2013 – Soil quality — Digestion of nitric acid soluble fractions of elements</w:t>
      </w:r>
      <w:r w:rsidRPr="00CF362F">
        <w:rPr>
          <w:rStyle w:val="Strong"/>
          <w:rFonts w:ascii="Arial" w:hAnsi="Arial" w:cs="Arial"/>
          <w:sz w:val="20"/>
          <w:szCs w:val="20"/>
        </w:rPr>
        <w:t xml:space="preserve">. Geneva, </w:t>
      </w:r>
      <w:proofErr w:type="gramStart"/>
      <w:r w:rsidRPr="00CF362F">
        <w:rPr>
          <w:rStyle w:val="Strong"/>
          <w:rFonts w:ascii="Arial" w:hAnsi="Arial" w:cs="Arial"/>
          <w:sz w:val="20"/>
          <w:szCs w:val="20"/>
        </w:rPr>
        <w:t>Switzerland:</w:t>
      </w:r>
      <w:proofErr w:type="gramEnd"/>
      <w:r w:rsidRPr="00CF362F">
        <w:rPr>
          <w:rStyle w:val="Strong"/>
          <w:rFonts w:ascii="Arial" w:hAnsi="Arial" w:cs="Arial"/>
          <w:sz w:val="20"/>
          <w:szCs w:val="20"/>
        </w:rPr>
        <w:t xml:space="preserve"> ISO.</w:t>
      </w:r>
      <w:r w:rsidRPr="00CF362F">
        <w:rPr>
          <w:rStyle w:val="Strong"/>
          <w:rFonts w:ascii="Arial" w:hAnsi="Arial" w:cs="Arial"/>
          <w:sz w:val="20"/>
          <w:szCs w:val="20"/>
          <w:lang w:val="en-US"/>
        </w:rPr>
        <w:t xml:space="preserve"> </w:t>
      </w:r>
      <w:hyperlink r:id="rId30" w:history="1">
        <w:r w:rsidRPr="00CF362F">
          <w:rPr>
            <w:rStyle w:val="Hyperlink"/>
            <w:rFonts w:ascii="Arial" w:hAnsi="Arial" w:cs="Arial"/>
            <w:sz w:val="20"/>
            <w:szCs w:val="20"/>
            <w:lang w:val="en-US"/>
          </w:rPr>
          <w:t>https://www.iso.org/standard/57562.html</w:t>
        </w:r>
      </w:hyperlink>
    </w:p>
    <w:p w14:paraId="1D242EC9"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lang w:val="en-US"/>
        </w:rPr>
      </w:pPr>
      <w:r w:rsidRPr="00CF362F">
        <w:rPr>
          <w:rFonts w:ascii="Arial" w:hAnsi="Arial" w:cs="Arial"/>
          <w:sz w:val="20"/>
          <w:szCs w:val="20"/>
        </w:rPr>
        <w:t xml:space="preserve">International Organization for Standardization. (2017). </w:t>
      </w:r>
      <w:r w:rsidRPr="00CF362F">
        <w:rPr>
          <w:rStyle w:val="Emphasis"/>
          <w:rFonts w:ascii="Arial" w:hAnsi="Arial" w:cs="Arial"/>
          <w:sz w:val="20"/>
          <w:szCs w:val="20"/>
        </w:rPr>
        <w:t>ISO 18400-</w:t>
      </w:r>
      <w:proofErr w:type="gramStart"/>
      <w:r w:rsidRPr="00CF362F">
        <w:rPr>
          <w:rStyle w:val="Emphasis"/>
          <w:rFonts w:ascii="Arial" w:hAnsi="Arial" w:cs="Arial"/>
          <w:sz w:val="20"/>
          <w:szCs w:val="20"/>
        </w:rPr>
        <w:t>101:</w:t>
      </w:r>
      <w:proofErr w:type="gramEnd"/>
      <w:r w:rsidRPr="00CF362F">
        <w:rPr>
          <w:rStyle w:val="Emphasis"/>
          <w:rFonts w:ascii="Arial" w:hAnsi="Arial" w:cs="Arial"/>
          <w:sz w:val="20"/>
          <w:szCs w:val="20"/>
        </w:rPr>
        <w:t>2017 – Soil quality — Sampling — Part 101: Framework for the preparation and application of a sampling plan</w:t>
      </w:r>
      <w:r w:rsidRPr="00CF362F">
        <w:rPr>
          <w:rFonts w:ascii="Arial" w:hAnsi="Arial" w:cs="Arial"/>
          <w:sz w:val="20"/>
          <w:szCs w:val="20"/>
        </w:rPr>
        <w:t xml:space="preserve">. Geneva, </w:t>
      </w:r>
      <w:proofErr w:type="gramStart"/>
      <w:r w:rsidRPr="00CF362F">
        <w:rPr>
          <w:rFonts w:ascii="Arial" w:hAnsi="Arial" w:cs="Arial"/>
          <w:sz w:val="20"/>
          <w:szCs w:val="20"/>
        </w:rPr>
        <w:t>Switzerland:</w:t>
      </w:r>
      <w:proofErr w:type="gramEnd"/>
      <w:r w:rsidRPr="00CF362F">
        <w:rPr>
          <w:rFonts w:ascii="Arial" w:hAnsi="Arial" w:cs="Arial"/>
          <w:sz w:val="20"/>
          <w:szCs w:val="20"/>
        </w:rPr>
        <w:t xml:space="preserve"> ISO.</w:t>
      </w:r>
      <w:r w:rsidRPr="00CF362F">
        <w:rPr>
          <w:rFonts w:ascii="Arial" w:hAnsi="Arial" w:cs="Arial"/>
          <w:sz w:val="20"/>
          <w:szCs w:val="20"/>
          <w:lang w:val="en-US"/>
        </w:rPr>
        <w:t xml:space="preserve"> </w:t>
      </w:r>
      <w:hyperlink r:id="rId31" w:history="1">
        <w:r w:rsidRPr="00CF362F">
          <w:rPr>
            <w:rStyle w:val="Hyperlink"/>
            <w:rFonts w:ascii="Arial" w:hAnsi="Arial" w:cs="Arial"/>
            <w:sz w:val="20"/>
            <w:szCs w:val="20"/>
            <w:lang w:val="en-US"/>
          </w:rPr>
          <w:t>https://www.iso.org/standard/62842.html</w:t>
        </w:r>
      </w:hyperlink>
    </w:p>
    <w:p w14:paraId="1023A725"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lastRenderedPageBreak/>
        <w:t xml:space="preserve">Mossmann, J.-R., &amp; Koch-Mathian, J.-Y. (2001). </w:t>
      </w:r>
      <w:r w:rsidRPr="00CF362F">
        <w:rPr>
          <w:rStyle w:val="Emphasis"/>
          <w:rFonts w:ascii="Arial" w:hAnsi="Arial" w:cs="Arial"/>
          <w:sz w:val="20"/>
          <w:szCs w:val="20"/>
        </w:rPr>
        <w:t>Gestion des sites (potentiellement) pollués et évaluation simplifiée des risques. Suivi de la mise en œuvre de la version 2</w:t>
      </w:r>
      <w:r w:rsidRPr="00CF362F">
        <w:rPr>
          <w:rFonts w:ascii="Arial" w:hAnsi="Arial" w:cs="Arial"/>
          <w:sz w:val="20"/>
          <w:szCs w:val="20"/>
        </w:rPr>
        <w:t xml:space="preserve"> (Rapport BRGM/RP-51216-FR, 44 p., 2 annexes). Orléans, </w:t>
      </w:r>
      <w:proofErr w:type="gramStart"/>
      <w:r w:rsidRPr="00CF362F">
        <w:rPr>
          <w:rFonts w:ascii="Arial" w:hAnsi="Arial" w:cs="Arial"/>
          <w:sz w:val="20"/>
          <w:szCs w:val="20"/>
        </w:rPr>
        <w:t>France:</w:t>
      </w:r>
      <w:proofErr w:type="gramEnd"/>
      <w:r w:rsidRPr="00CF362F">
        <w:rPr>
          <w:rFonts w:ascii="Arial" w:hAnsi="Arial" w:cs="Arial"/>
          <w:sz w:val="20"/>
          <w:szCs w:val="20"/>
        </w:rPr>
        <w:t xml:space="preserve"> Bureau de Recherches Géologiques et Minières (BRGM) </w:t>
      </w:r>
      <w:hyperlink r:id="rId32" w:history="1">
        <w:r w:rsidRPr="00CF362F">
          <w:rPr>
            <w:rStyle w:val="Hyperlink"/>
            <w:rFonts w:ascii="Arial" w:hAnsi="Arial" w:cs="Arial"/>
            <w:sz w:val="20"/>
            <w:szCs w:val="20"/>
          </w:rPr>
          <w:t>https://infoterre.brgm.fr/rapports/RP-51216-FR.pdf</w:t>
        </w:r>
      </w:hyperlink>
    </w:p>
    <w:p w14:paraId="42CFECEA"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lang w:val="en-US"/>
        </w:rPr>
      </w:pPr>
      <w:r w:rsidRPr="00CF362F">
        <w:rPr>
          <w:rFonts w:ascii="Arial" w:hAnsi="Arial" w:cs="Arial"/>
          <w:sz w:val="20"/>
          <w:szCs w:val="20"/>
        </w:rPr>
        <w:t xml:space="preserve">Müller, G. (1969). </w:t>
      </w:r>
      <w:r w:rsidRPr="00CF362F">
        <w:rPr>
          <w:rStyle w:val="Emphasis"/>
          <w:rFonts w:ascii="Arial" w:hAnsi="Arial" w:cs="Arial"/>
          <w:sz w:val="20"/>
          <w:szCs w:val="20"/>
        </w:rPr>
        <w:t>Index of geoaccumulation in sediments of the Rhine River</w:t>
      </w:r>
      <w:r w:rsidRPr="00CF362F">
        <w:rPr>
          <w:rFonts w:ascii="Arial" w:hAnsi="Arial" w:cs="Arial"/>
          <w:sz w:val="20"/>
          <w:szCs w:val="20"/>
        </w:rPr>
        <w:t xml:space="preserve">. </w:t>
      </w:r>
      <w:r w:rsidRPr="00CF362F">
        <w:rPr>
          <w:rStyle w:val="Strong"/>
          <w:rFonts w:ascii="Arial" w:hAnsi="Arial" w:cs="Arial"/>
          <w:sz w:val="20"/>
          <w:szCs w:val="20"/>
        </w:rPr>
        <w:t>GeoJournal, 2</w:t>
      </w:r>
      <w:r w:rsidRPr="00CF362F">
        <w:rPr>
          <w:rFonts w:ascii="Arial" w:hAnsi="Arial" w:cs="Arial"/>
          <w:sz w:val="20"/>
          <w:szCs w:val="20"/>
        </w:rPr>
        <w:t>, 108–118.</w:t>
      </w:r>
      <w:r w:rsidRPr="00CF362F">
        <w:rPr>
          <w:rFonts w:ascii="Arial" w:hAnsi="Arial" w:cs="Arial"/>
          <w:sz w:val="20"/>
          <w:szCs w:val="20"/>
          <w:lang w:val="en-US"/>
        </w:rPr>
        <w:t xml:space="preserve"> </w:t>
      </w:r>
      <w:hyperlink r:id="rId33" w:history="1">
        <w:r w:rsidRPr="00CF362F">
          <w:rPr>
            <w:rStyle w:val="Hyperlink"/>
            <w:rFonts w:ascii="Arial" w:hAnsi="Arial" w:cs="Arial"/>
            <w:sz w:val="20"/>
            <w:szCs w:val="20"/>
            <w:lang w:val="en-US"/>
          </w:rPr>
          <w:t>https://www.sciepub.com/reference/428983?</w:t>
        </w:r>
      </w:hyperlink>
      <w:r w:rsidRPr="00CF362F">
        <w:rPr>
          <w:rFonts w:ascii="Arial" w:hAnsi="Arial" w:cs="Arial"/>
          <w:sz w:val="20"/>
          <w:szCs w:val="20"/>
          <w:lang w:val="en-US"/>
        </w:rPr>
        <w:t xml:space="preserve"> </w:t>
      </w:r>
    </w:p>
    <w:p w14:paraId="3DC0A8DF" w14:textId="77777777" w:rsidR="00F82BA7" w:rsidRPr="00CF362F" w:rsidRDefault="00F82BA7"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r w:rsidRPr="00CF362F">
        <w:rPr>
          <w:rFonts w:ascii="Arial" w:hAnsi="Arial" w:cs="Arial"/>
          <w:sz w:val="20"/>
          <w:szCs w:val="20"/>
        </w:rPr>
        <w:t xml:space="preserve">Owusu-Sekyere, K., Aladago, D. A., Leverenz, D., Oteng-Ababio, M., &amp; Kranert, M. (2024). Environmental impacts on soil and groundwater of informal e-waste recycling processes in Ghana. </w:t>
      </w:r>
      <w:r w:rsidRPr="00CF362F">
        <w:rPr>
          <w:rStyle w:val="Emphasis"/>
          <w:rFonts w:ascii="Arial" w:hAnsi="Arial" w:cs="Arial"/>
          <w:sz w:val="20"/>
          <w:szCs w:val="20"/>
        </w:rPr>
        <w:t>Sustainability, 16(11),</w:t>
      </w:r>
      <w:r w:rsidRPr="00CF362F">
        <w:rPr>
          <w:rFonts w:ascii="Arial" w:hAnsi="Arial" w:cs="Arial"/>
          <w:sz w:val="20"/>
          <w:szCs w:val="20"/>
        </w:rPr>
        <w:t xml:space="preserve"> 4347. </w:t>
      </w:r>
      <w:hyperlink r:id="rId34" w:tgtFrame="_new" w:history="1">
        <w:r w:rsidRPr="00CF362F">
          <w:rPr>
            <w:rStyle w:val="Hyperlink"/>
            <w:rFonts w:ascii="Arial" w:hAnsi="Arial" w:cs="Arial"/>
            <w:sz w:val="20"/>
            <w:szCs w:val="20"/>
          </w:rPr>
          <w:t>https://doi.org/10.3390/su16114347</w:t>
        </w:r>
      </w:hyperlink>
      <w:r w:rsidRPr="00CF362F">
        <w:rPr>
          <w:rFonts w:ascii="Arial" w:hAnsi="Arial" w:cs="Arial"/>
          <w:sz w:val="20"/>
          <w:szCs w:val="20"/>
        </w:rPr>
        <w:t xml:space="preserve"> </w:t>
      </w:r>
    </w:p>
    <w:p w14:paraId="231B4104" w14:textId="77777777" w:rsidR="00F82BA7" w:rsidRPr="00CF362F" w:rsidRDefault="00F82BA7"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r w:rsidRPr="00CF362F">
        <w:rPr>
          <w:rFonts w:ascii="Arial" w:hAnsi="Arial" w:cs="Arial"/>
          <w:sz w:val="20"/>
          <w:szCs w:val="20"/>
        </w:rPr>
        <w:t xml:space="preserve">Pibul, P., Jawjit, S., &amp; Yimthiang, S. (2023). Soil heavy metal pollution from waste electrical and electronic equipment of repair and junk shops in southern Thailand and their ecological risk. </w:t>
      </w:r>
      <w:r w:rsidRPr="00CF362F">
        <w:rPr>
          <w:rStyle w:val="Emphasis"/>
          <w:rFonts w:ascii="Arial" w:hAnsi="Arial" w:cs="Arial"/>
          <w:sz w:val="20"/>
          <w:szCs w:val="20"/>
        </w:rPr>
        <w:t>Heliyon, 9(9),</w:t>
      </w:r>
      <w:r w:rsidRPr="00CF362F">
        <w:rPr>
          <w:rFonts w:ascii="Arial" w:hAnsi="Arial" w:cs="Arial"/>
          <w:sz w:val="20"/>
          <w:szCs w:val="20"/>
        </w:rPr>
        <w:t xml:space="preserve"> e20438. </w:t>
      </w:r>
      <w:hyperlink r:id="rId35" w:tgtFrame="_new" w:history="1">
        <w:r w:rsidRPr="00CF362F">
          <w:rPr>
            <w:rStyle w:val="Hyperlink"/>
            <w:rFonts w:ascii="Arial" w:hAnsi="Arial" w:cs="Arial"/>
            <w:sz w:val="20"/>
            <w:szCs w:val="20"/>
          </w:rPr>
          <w:t>https://doi.org/10.1016/j.heliyon.2023.e20438</w:t>
        </w:r>
      </w:hyperlink>
      <w:r w:rsidRPr="00CF362F">
        <w:rPr>
          <w:rFonts w:ascii="Arial" w:hAnsi="Arial" w:cs="Arial"/>
          <w:sz w:val="20"/>
          <w:szCs w:val="20"/>
        </w:rPr>
        <w:t xml:space="preserve"> </w:t>
      </w:r>
    </w:p>
    <w:p w14:paraId="6799ED4C"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t xml:space="preserve">Shroder, J. F. (Éd.). (2013). </w:t>
      </w:r>
      <w:r w:rsidRPr="00CF362F">
        <w:rPr>
          <w:rStyle w:val="Emphasis"/>
          <w:rFonts w:ascii="Arial" w:hAnsi="Arial" w:cs="Arial"/>
          <w:sz w:val="20"/>
          <w:szCs w:val="20"/>
        </w:rPr>
        <w:t>Treatise on Geomorphology</w:t>
      </w:r>
      <w:r w:rsidRPr="00CF362F">
        <w:rPr>
          <w:rFonts w:ascii="Arial" w:hAnsi="Arial" w:cs="Arial"/>
          <w:sz w:val="20"/>
          <w:szCs w:val="20"/>
        </w:rPr>
        <w:t xml:space="preserve"> (Vols. 1-14). Elsevier.</w:t>
      </w:r>
      <w:r w:rsidRPr="00CF362F">
        <w:rPr>
          <w:rFonts w:ascii="Arial" w:hAnsi="Arial" w:cs="Arial"/>
          <w:sz w:val="20"/>
          <w:szCs w:val="20"/>
        </w:rPr>
        <w:br/>
      </w:r>
      <w:hyperlink r:id="rId36" w:tgtFrame="_new" w:history="1">
        <w:r w:rsidRPr="00CF362F">
          <w:rPr>
            <w:rStyle w:val="Hyperlink"/>
            <w:rFonts w:ascii="Arial" w:hAnsi="Arial" w:cs="Arial"/>
            <w:sz w:val="20"/>
            <w:szCs w:val="20"/>
          </w:rPr>
          <w:t>https://www.sciencedirect.com/referencework/9780080885223/treatise-on-geomorphology</w:t>
        </w:r>
      </w:hyperlink>
    </w:p>
    <w:p w14:paraId="17317B51"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t xml:space="preserve">Sulemana, A., Koduah, M., Owiredu, S., Tengan, C. L., Agyare, E. A., Boateng, K. S., &amp; Nsafoah, E. K. (2023). Spatial </w:t>
      </w:r>
      <w:r w:rsidRPr="00CF362F">
        <w:rPr>
          <w:rFonts w:ascii="Arial" w:hAnsi="Arial" w:cs="Arial"/>
          <w:sz w:val="20"/>
          <w:szCs w:val="20"/>
        </w:rPr>
        <w:t xml:space="preserve">distribution of heavy metals in e-waste contaminated site at Akwatia-Line, Kumasi, Ghana. </w:t>
      </w:r>
      <w:r w:rsidRPr="00CF362F">
        <w:rPr>
          <w:rStyle w:val="Emphasis"/>
          <w:rFonts w:ascii="Arial" w:hAnsi="Arial" w:cs="Arial"/>
          <w:sz w:val="20"/>
          <w:szCs w:val="20"/>
        </w:rPr>
        <w:t>SSRN Electronic Journal</w:t>
      </w:r>
      <w:r w:rsidRPr="00CF362F">
        <w:rPr>
          <w:rFonts w:ascii="Arial" w:hAnsi="Arial" w:cs="Arial"/>
          <w:sz w:val="20"/>
          <w:szCs w:val="20"/>
        </w:rPr>
        <w:t xml:space="preserve">. </w:t>
      </w:r>
      <w:hyperlink r:id="rId37" w:tgtFrame="_new" w:history="1">
        <w:r w:rsidRPr="00CF362F">
          <w:rPr>
            <w:rStyle w:val="Hyperlink"/>
            <w:rFonts w:ascii="Arial" w:hAnsi="Arial" w:cs="Arial"/>
            <w:sz w:val="20"/>
            <w:szCs w:val="20"/>
          </w:rPr>
          <w:t>https://ssrn.com/abstract=4547135</w:t>
        </w:r>
      </w:hyperlink>
    </w:p>
    <w:p w14:paraId="60548BD2" w14:textId="77777777" w:rsidR="00F82BA7" w:rsidRPr="00CF362F" w:rsidRDefault="00F82BA7" w:rsidP="003C3D22">
      <w:pPr>
        <w:pStyle w:val="not-prose"/>
        <w:spacing w:before="0" w:beforeAutospacing="0" w:after="0" w:afterAutospacing="0" w:line="360" w:lineRule="auto"/>
        <w:ind w:left="708" w:hanging="708"/>
        <w:jc w:val="both"/>
        <w:rPr>
          <w:rStyle w:val="relative"/>
          <w:rFonts w:ascii="Arial" w:eastAsiaTheme="majorEastAsia" w:hAnsi="Arial" w:cs="Arial"/>
          <w:sz w:val="20"/>
          <w:szCs w:val="20"/>
        </w:rPr>
      </w:pPr>
      <w:r w:rsidRPr="00CF362F">
        <w:rPr>
          <w:rFonts w:ascii="Arial" w:hAnsi="Arial" w:cs="Arial"/>
          <w:sz w:val="20"/>
          <w:szCs w:val="20"/>
        </w:rPr>
        <w:t xml:space="preserve">Teye, A. K., &amp; Tetteh, I. K. (2023). Heavy metal pollution resulting from informal e-waste recycling in the Greater Accra Region of Ghana. In </w:t>
      </w:r>
      <w:r w:rsidRPr="00CF362F">
        <w:rPr>
          <w:rStyle w:val="Emphasis"/>
          <w:rFonts w:ascii="Arial" w:hAnsi="Arial" w:cs="Arial"/>
          <w:sz w:val="20"/>
          <w:szCs w:val="20"/>
        </w:rPr>
        <w:t>Heavy Metals – Recent Advances.</w:t>
      </w:r>
      <w:r w:rsidRPr="00CF362F">
        <w:rPr>
          <w:rFonts w:ascii="Arial" w:hAnsi="Arial" w:cs="Arial"/>
          <w:sz w:val="20"/>
          <w:szCs w:val="20"/>
        </w:rPr>
        <w:t xml:space="preserve"> IntechOpen. </w:t>
      </w:r>
      <w:hyperlink r:id="rId38" w:tgtFrame="_new" w:history="1">
        <w:r w:rsidRPr="00CF362F">
          <w:rPr>
            <w:rStyle w:val="Hyperlink"/>
            <w:rFonts w:ascii="Arial" w:hAnsi="Arial" w:cs="Arial"/>
            <w:sz w:val="20"/>
            <w:szCs w:val="20"/>
          </w:rPr>
          <w:t>https://doi.org/10.5772/intechopen.112397</w:t>
        </w:r>
      </w:hyperlink>
      <w:r w:rsidRPr="00CF362F">
        <w:rPr>
          <w:rFonts w:ascii="Arial" w:hAnsi="Arial" w:cs="Arial"/>
          <w:sz w:val="20"/>
          <w:szCs w:val="20"/>
        </w:rPr>
        <w:t xml:space="preserve"> </w:t>
      </w:r>
    </w:p>
    <w:p w14:paraId="2684D660" w14:textId="77777777" w:rsidR="00F82BA7" w:rsidRPr="00CF362F" w:rsidRDefault="00F82BA7" w:rsidP="003C3D22">
      <w:pPr>
        <w:pStyle w:val="NormalWeb"/>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t xml:space="preserve">Turekian, K. K., &amp; Wedepohl, K. H. (1961). Distribution of the elements in some major units of the earth’s crust. </w:t>
      </w:r>
      <w:r w:rsidRPr="00CF362F">
        <w:rPr>
          <w:rStyle w:val="Emphasis"/>
          <w:rFonts w:ascii="Arial" w:hAnsi="Arial" w:cs="Arial"/>
          <w:sz w:val="20"/>
          <w:szCs w:val="20"/>
        </w:rPr>
        <w:t>Geological Society of America Bulletin, 72</w:t>
      </w:r>
      <w:r w:rsidRPr="00CF362F">
        <w:rPr>
          <w:rFonts w:ascii="Arial" w:hAnsi="Arial" w:cs="Arial"/>
          <w:sz w:val="20"/>
          <w:szCs w:val="20"/>
        </w:rPr>
        <w:t xml:space="preserve">(2), 175–192. </w:t>
      </w:r>
      <w:hyperlink r:id="rId39" w:history="1">
        <w:r w:rsidRPr="00CF362F">
          <w:rPr>
            <w:rStyle w:val="Hyperlink"/>
            <w:rFonts w:ascii="Arial" w:hAnsi="Arial" w:cs="Arial"/>
            <w:sz w:val="20"/>
            <w:szCs w:val="20"/>
          </w:rPr>
          <w:t>https://doi.org/10.1130/0016-7606(1961)72[175:DOTEIS]2.0.CO;2</w:t>
        </w:r>
      </w:hyperlink>
    </w:p>
    <w:p w14:paraId="5120E79B" w14:textId="77777777" w:rsidR="00F82BA7" w:rsidRPr="00CF362F" w:rsidRDefault="00F82BA7" w:rsidP="003C3D22">
      <w:pPr>
        <w:pStyle w:val="NormalWeb"/>
        <w:spacing w:before="0" w:beforeAutospacing="0" w:after="0" w:afterAutospacing="0" w:line="360" w:lineRule="auto"/>
        <w:ind w:left="708" w:hanging="708"/>
        <w:jc w:val="both"/>
        <w:rPr>
          <w:rStyle w:val="Hyperlink"/>
          <w:rFonts w:ascii="Arial" w:hAnsi="Arial" w:cs="Arial"/>
          <w:sz w:val="20"/>
          <w:szCs w:val="20"/>
        </w:rPr>
      </w:pPr>
      <w:r w:rsidRPr="00CF362F">
        <w:rPr>
          <w:rFonts w:ascii="Arial" w:hAnsi="Arial" w:cs="Arial"/>
          <w:sz w:val="20"/>
          <w:szCs w:val="20"/>
        </w:rPr>
        <w:t xml:space="preserve">Uchida, N., Matsukami, H., Someya, M., Tue, N. M., Tuyen, L. H., Viet, P. H., Takahashi, S., Tanabe, S., &amp; Suzuki, G. (2018). Hazardous metals emissions from e-waste-processing sites in </w:t>
      </w:r>
      <w:proofErr w:type="gramStart"/>
      <w:r w:rsidRPr="00CF362F">
        <w:rPr>
          <w:rFonts w:ascii="Arial" w:hAnsi="Arial" w:cs="Arial"/>
          <w:sz w:val="20"/>
          <w:szCs w:val="20"/>
        </w:rPr>
        <w:t>a</w:t>
      </w:r>
      <w:proofErr w:type="gramEnd"/>
      <w:r w:rsidRPr="00CF362F">
        <w:rPr>
          <w:rFonts w:ascii="Arial" w:hAnsi="Arial" w:cs="Arial"/>
          <w:sz w:val="20"/>
          <w:szCs w:val="20"/>
        </w:rPr>
        <w:t xml:space="preserve"> village in northern Vietnam. </w:t>
      </w:r>
      <w:r w:rsidRPr="00CF362F">
        <w:rPr>
          <w:rStyle w:val="Emphasis"/>
          <w:rFonts w:ascii="Arial" w:hAnsi="Arial" w:cs="Arial"/>
          <w:sz w:val="20"/>
          <w:szCs w:val="20"/>
        </w:rPr>
        <w:t>Emerging Contaminants, 4</w:t>
      </w:r>
      <w:r w:rsidRPr="00CF362F">
        <w:rPr>
          <w:rFonts w:ascii="Arial" w:hAnsi="Arial" w:cs="Arial"/>
          <w:sz w:val="20"/>
          <w:szCs w:val="20"/>
        </w:rPr>
        <w:t xml:space="preserve">, 11–21. </w:t>
      </w:r>
      <w:hyperlink r:id="rId40" w:tgtFrame="_new" w:history="1">
        <w:r w:rsidRPr="00CF362F">
          <w:rPr>
            <w:rStyle w:val="Hyperlink"/>
            <w:rFonts w:ascii="Arial" w:hAnsi="Arial" w:cs="Arial"/>
            <w:sz w:val="20"/>
            <w:szCs w:val="20"/>
          </w:rPr>
          <w:t>https://doi.org/10.1016/j.emcon.2018.10.001</w:t>
        </w:r>
      </w:hyperlink>
    </w:p>
    <w:p w14:paraId="76621121" w14:textId="77777777" w:rsidR="00F82BA7" w:rsidRPr="00CF362F" w:rsidRDefault="00F82BA7" w:rsidP="003C3D22">
      <w:pPr>
        <w:pStyle w:val="not-prose"/>
        <w:spacing w:before="0" w:beforeAutospacing="0" w:after="0" w:afterAutospacing="0" w:line="360" w:lineRule="auto"/>
        <w:ind w:left="708" w:hanging="708"/>
        <w:jc w:val="both"/>
        <w:rPr>
          <w:rFonts w:ascii="Arial" w:eastAsiaTheme="majorEastAsia" w:hAnsi="Arial" w:cs="Arial"/>
          <w:sz w:val="20"/>
          <w:szCs w:val="20"/>
        </w:rPr>
      </w:pPr>
      <w:r w:rsidRPr="00CF362F">
        <w:rPr>
          <w:rFonts w:ascii="Arial" w:hAnsi="Arial" w:cs="Arial"/>
          <w:sz w:val="20"/>
          <w:szCs w:val="20"/>
        </w:rPr>
        <w:t xml:space="preserve">Udousoro, I. I., Umoh, E., Udo, E., Akpan, J., &amp; Akpan, E. (2025). Assessment of electronic waste for heavy metal pollution in </w:t>
      </w:r>
      <w:proofErr w:type="gramStart"/>
      <w:r w:rsidRPr="00CF362F">
        <w:rPr>
          <w:rFonts w:ascii="Arial" w:hAnsi="Arial" w:cs="Arial"/>
          <w:sz w:val="20"/>
          <w:szCs w:val="20"/>
        </w:rPr>
        <w:t>soils:</w:t>
      </w:r>
      <w:proofErr w:type="gramEnd"/>
      <w:r w:rsidRPr="00CF362F">
        <w:rPr>
          <w:rFonts w:ascii="Arial" w:hAnsi="Arial" w:cs="Arial"/>
          <w:sz w:val="20"/>
          <w:szCs w:val="20"/>
        </w:rPr>
        <w:t xml:space="preserve"> Application of contamination and ecological risk indices. </w:t>
      </w:r>
      <w:r w:rsidRPr="00CF362F">
        <w:rPr>
          <w:rStyle w:val="Emphasis"/>
          <w:rFonts w:ascii="Arial" w:hAnsi="Arial" w:cs="Arial"/>
          <w:sz w:val="20"/>
          <w:szCs w:val="20"/>
        </w:rPr>
        <w:t>Environmental Pollution and Management.</w:t>
      </w:r>
      <w:r w:rsidRPr="00CF362F">
        <w:rPr>
          <w:rFonts w:ascii="Arial" w:hAnsi="Arial" w:cs="Arial"/>
          <w:sz w:val="20"/>
          <w:szCs w:val="20"/>
        </w:rPr>
        <w:t xml:space="preserve"> </w:t>
      </w:r>
      <w:hyperlink r:id="rId41" w:tgtFrame="_new" w:history="1">
        <w:r w:rsidRPr="00CF362F">
          <w:rPr>
            <w:rStyle w:val="Hyperlink"/>
            <w:rFonts w:ascii="Arial" w:hAnsi="Arial" w:cs="Arial"/>
            <w:sz w:val="20"/>
            <w:szCs w:val="20"/>
          </w:rPr>
          <w:t>https://doi.org/10.1016/j.epm.2025.09.003</w:t>
        </w:r>
      </w:hyperlink>
    </w:p>
    <w:p w14:paraId="2B380771" w14:textId="77777777" w:rsidR="00F82BA7" w:rsidRPr="00CF362F" w:rsidRDefault="00F82BA7" w:rsidP="003C3D22">
      <w:pPr>
        <w:pStyle w:val="not-prose"/>
        <w:spacing w:before="0" w:beforeAutospacing="0" w:after="0" w:afterAutospacing="0" w:line="360" w:lineRule="auto"/>
        <w:ind w:left="708" w:hanging="708"/>
        <w:jc w:val="both"/>
        <w:rPr>
          <w:rFonts w:ascii="Arial" w:hAnsi="Arial" w:cs="Arial"/>
          <w:sz w:val="20"/>
          <w:szCs w:val="20"/>
        </w:rPr>
      </w:pPr>
      <w:r w:rsidRPr="00CF362F">
        <w:rPr>
          <w:rFonts w:ascii="Arial" w:hAnsi="Arial" w:cs="Arial"/>
          <w:sz w:val="20"/>
          <w:szCs w:val="20"/>
        </w:rPr>
        <w:t xml:space="preserve">Yekeen, T. A., Xu, X., Zhang, Y., Wu, Y., Kim, S., Reponen, T., Dietrich, K. N., Ho, S. </w:t>
      </w:r>
      <w:r w:rsidRPr="00CF362F">
        <w:rPr>
          <w:rFonts w:ascii="Arial" w:hAnsi="Arial" w:cs="Arial"/>
          <w:sz w:val="20"/>
          <w:szCs w:val="20"/>
        </w:rPr>
        <w:lastRenderedPageBreak/>
        <w:t xml:space="preserve">M., Chen, A., &amp; Huo, X. (2016). Assessment of health risk of trace metal pollution in surface soil and road dust from e-waste recycling area in China. </w:t>
      </w:r>
      <w:r w:rsidRPr="00CF362F">
        <w:rPr>
          <w:rStyle w:val="Emphasis"/>
          <w:rFonts w:ascii="Arial" w:hAnsi="Arial" w:cs="Arial"/>
          <w:sz w:val="20"/>
          <w:szCs w:val="20"/>
        </w:rPr>
        <w:t xml:space="preserve">Environmental Science and Pollution </w:t>
      </w:r>
      <w:r w:rsidRPr="00CF362F">
        <w:rPr>
          <w:rStyle w:val="Emphasis"/>
          <w:rFonts w:ascii="Arial" w:hAnsi="Arial" w:cs="Arial"/>
          <w:sz w:val="20"/>
          <w:szCs w:val="20"/>
        </w:rPr>
        <w:t>Research, 23(17),</w:t>
      </w:r>
      <w:r w:rsidRPr="00CF362F">
        <w:rPr>
          <w:rFonts w:ascii="Arial" w:hAnsi="Arial" w:cs="Arial"/>
          <w:sz w:val="20"/>
          <w:szCs w:val="20"/>
        </w:rPr>
        <w:t xml:space="preserve"> 17511–17524. </w:t>
      </w:r>
      <w:hyperlink r:id="rId42" w:history="1">
        <w:r w:rsidRPr="00CF362F">
          <w:rPr>
            <w:rStyle w:val="Hyperlink"/>
            <w:rFonts w:ascii="Arial" w:hAnsi="Arial" w:cs="Arial"/>
            <w:sz w:val="20"/>
            <w:szCs w:val="20"/>
          </w:rPr>
          <w:t>https://doi.org/10.1007/s11356-016-6896-6</w:t>
        </w:r>
      </w:hyperlink>
    </w:p>
    <w:p w14:paraId="1F82359F" w14:textId="77777777" w:rsidR="00BC3AE3" w:rsidRDefault="00BC3AE3" w:rsidP="00781B95">
      <w:pPr>
        <w:pStyle w:val="NormalWeb"/>
        <w:spacing w:before="0" w:beforeAutospacing="0" w:after="0" w:afterAutospacing="0" w:line="360" w:lineRule="auto"/>
        <w:rPr>
          <w:rFonts w:ascii="Arial" w:hAnsi="Arial" w:cs="Arial"/>
          <w:sz w:val="20"/>
          <w:szCs w:val="20"/>
        </w:rPr>
      </w:pPr>
    </w:p>
    <w:p w14:paraId="614FD7BF" w14:textId="77777777" w:rsidR="00E8791C" w:rsidRDefault="00E8791C" w:rsidP="003C3D22">
      <w:pPr>
        <w:spacing w:line="360" w:lineRule="auto"/>
        <w:ind w:left="0" w:firstLine="0"/>
        <w:rPr>
          <w:b/>
          <w:bCs/>
          <w:szCs w:val="20"/>
        </w:rPr>
      </w:pPr>
    </w:p>
    <w:p w14:paraId="4F14A310" w14:textId="77777777" w:rsidR="003C3D22" w:rsidRDefault="003C3D22" w:rsidP="00781B95">
      <w:pPr>
        <w:spacing w:line="360" w:lineRule="auto"/>
        <w:jc w:val="center"/>
        <w:rPr>
          <w:b/>
          <w:bCs/>
          <w:szCs w:val="20"/>
        </w:rPr>
        <w:sectPr w:rsidR="003C3D22" w:rsidSect="003C3D22">
          <w:type w:val="continuous"/>
          <w:pgSz w:w="11906" w:h="16838"/>
          <w:pgMar w:top="1417" w:right="1417" w:bottom="1417" w:left="1417" w:header="708" w:footer="708" w:gutter="0"/>
          <w:cols w:num="2" w:space="708"/>
          <w:docGrid w:linePitch="360"/>
        </w:sectPr>
      </w:pPr>
    </w:p>
    <w:p w14:paraId="65C06D22" w14:textId="77777777" w:rsidR="000C0887" w:rsidRDefault="000C0887" w:rsidP="003C3D22">
      <w:pPr>
        <w:spacing w:line="360" w:lineRule="auto"/>
        <w:jc w:val="center"/>
        <w:rPr>
          <w:b/>
          <w:bCs/>
          <w:szCs w:val="20"/>
        </w:rPr>
      </w:pPr>
    </w:p>
    <w:p w14:paraId="2227A6C4" w14:textId="77777777" w:rsidR="00BC3AE3" w:rsidRPr="00155B6E" w:rsidRDefault="00BC3AE3" w:rsidP="003C3D22">
      <w:pPr>
        <w:spacing w:line="360" w:lineRule="auto"/>
        <w:jc w:val="center"/>
        <w:rPr>
          <w:b/>
          <w:bCs/>
          <w:szCs w:val="20"/>
        </w:rPr>
      </w:pPr>
      <w:r w:rsidRPr="00B401E8">
        <w:rPr>
          <w:b/>
          <w:bCs/>
          <w:szCs w:val="20"/>
        </w:rPr>
        <w:t>APPENDIX</w:t>
      </w:r>
    </w:p>
    <w:p w14:paraId="663578E1" w14:textId="77777777" w:rsidR="00BC3AE3" w:rsidRPr="00CF362F" w:rsidRDefault="00BC3AE3" w:rsidP="00781B95">
      <w:pPr>
        <w:spacing w:line="360" w:lineRule="auto"/>
        <w:jc w:val="center"/>
        <w:rPr>
          <w:rFonts w:eastAsia="Times New Roman"/>
          <w:szCs w:val="20"/>
          <w:lang w:eastAsia="fr-FR"/>
        </w:rPr>
      </w:pPr>
      <w:r w:rsidRPr="00155B6E">
        <w:rPr>
          <w:rFonts w:eastAsia="Times New Roman"/>
          <w:b/>
          <w:bCs/>
          <w:szCs w:val="20"/>
          <w:lang w:eastAsia="fr-FR"/>
        </w:rPr>
        <w:t>Table A1</w:t>
      </w:r>
      <w:r w:rsidR="00155B6E" w:rsidRPr="00155B6E">
        <w:rPr>
          <w:rFonts w:eastAsia="Times New Roman"/>
          <w:b/>
          <w:bCs/>
          <w:szCs w:val="20"/>
          <w:lang w:eastAsia="fr-FR"/>
        </w:rPr>
        <w:t xml:space="preserve">. </w:t>
      </w:r>
      <w:r w:rsidRPr="00CF362F">
        <w:rPr>
          <w:rFonts w:eastAsia="Times New Roman"/>
          <w:szCs w:val="20"/>
          <w:lang w:eastAsia="fr-FR"/>
        </w:rPr>
        <w:t>Descriptive statistics of heavy metal concentrations (mg/kg) by city</w:t>
      </w:r>
    </w:p>
    <w:tbl>
      <w:tblPr>
        <w:tblStyle w:val="PlainTable2"/>
        <w:tblW w:w="0" w:type="auto"/>
        <w:tblLook w:val="04A0" w:firstRow="1" w:lastRow="0" w:firstColumn="1" w:lastColumn="0" w:noHBand="0" w:noVBand="1"/>
      </w:tblPr>
      <w:tblGrid>
        <w:gridCol w:w="1263"/>
        <w:gridCol w:w="934"/>
        <w:gridCol w:w="971"/>
        <w:gridCol w:w="972"/>
        <w:gridCol w:w="1093"/>
        <w:gridCol w:w="971"/>
        <w:gridCol w:w="950"/>
        <w:gridCol w:w="969"/>
        <w:gridCol w:w="949"/>
      </w:tblGrid>
      <w:tr w:rsidR="00BC3AE3" w:rsidRPr="00CF362F" w14:paraId="32666930" w14:textId="77777777" w:rsidTr="001305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hideMark/>
          </w:tcPr>
          <w:p w14:paraId="2C6B3B1D" w14:textId="77777777" w:rsidR="00BC3AE3" w:rsidRPr="00CF362F" w:rsidRDefault="00BC3AE3" w:rsidP="00781B95">
            <w:pPr>
              <w:spacing w:line="360" w:lineRule="auto"/>
              <w:rPr>
                <w:rFonts w:eastAsia="Times New Roman"/>
                <w:b w:val="0"/>
                <w:bCs w:val="0"/>
                <w:szCs w:val="20"/>
                <w:lang w:val="fr-FR" w:eastAsia="fr-FR"/>
              </w:rPr>
            </w:pPr>
            <w:r w:rsidRPr="00CF362F">
              <w:rPr>
                <w:rFonts w:eastAsia="Times New Roman"/>
                <w:szCs w:val="20"/>
                <w:lang w:val="fr-FR" w:eastAsia="fr-FR"/>
              </w:rPr>
              <w:t>City</w:t>
            </w:r>
          </w:p>
        </w:tc>
        <w:tc>
          <w:tcPr>
            <w:tcW w:w="935" w:type="dxa"/>
            <w:hideMark/>
          </w:tcPr>
          <w:p w14:paraId="28C7862D"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As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c>
          <w:tcPr>
            <w:tcW w:w="0" w:type="auto"/>
            <w:hideMark/>
          </w:tcPr>
          <w:p w14:paraId="0973407F"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Cd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c>
          <w:tcPr>
            <w:tcW w:w="0" w:type="auto"/>
            <w:hideMark/>
          </w:tcPr>
          <w:p w14:paraId="257DFAF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Cu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c>
          <w:tcPr>
            <w:tcW w:w="0" w:type="auto"/>
            <w:hideMark/>
          </w:tcPr>
          <w:p w14:paraId="6D10A8DE"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Fe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c>
          <w:tcPr>
            <w:tcW w:w="0" w:type="auto"/>
            <w:hideMark/>
          </w:tcPr>
          <w:p w14:paraId="332B4B2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Pb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c>
          <w:tcPr>
            <w:tcW w:w="0" w:type="auto"/>
            <w:hideMark/>
          </w:tcPr>
          <w:p w14:paraId="1EEDFBD8"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Zn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c>
          <w:tcPr>
            <w:tcW w:w="0" w:type="auto"/>
            <w:hideMark/>
          </w:tcPr>
          <w:p w14:paraId="2AE3528E"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Ni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c>
          <w:tcPr>
            <w:tcW w:w="0" w:type="auto"/>
            <w:hideMark/>
          </w:tcPr>
          <w:p w14:paraId="6DE2D731"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 xml:space="preserve">Cr (mean ± </w:t>
            </w:r>
            <w:proofErr w:type="gramStart"/>
            <w:r w:rsidRPr="00CF362F">
              <w:rPr>
                <w:rFonts w:eastAsia="Times New Roman"/>
                <w:szCs w:val="20"/>
                <w:lang w:eastAsia="fr-FR"/>
              </w:rPr>
              <w:t>sd ;</w:t>
            </w:r>
            <w:proofErr w:type="gramEnd"/>
            <w:r w:rsidRPr="00CF362F">
              <w:rPr>
                <w:rFonts w:eastAsia="Times New Roman"/>
                <w:szCs w:val="20"/>
                <w:lang w:eastAsia="fr-FR"/>
              </w:rPr>
              <w:t xml:space="preserve"> min–max)</w:t>
            </w:r>
          </w:p>
        </w:tc>
      </w:tr>
      <w:tr w:rsidR="00BC3AE3" w:rsidRPr="00CF362F" w14:paraId="261AE3F5"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hideMark/>
          </w:tcPr>
          <w:p w14:paraId="1DDE2FF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Abomey-Calavi</w:t>
            </w:r>
          </w:p>
        </w:tc>
        <w:tc>
          <w:tcPr>
            <w:tcW w:w="935" w:type="dxa"/>
            <w:hideMark/>
          </w:tcPr>
          <w:p w14:paraId="6FE365F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0.001 ± </w:t>
            </w:r>
            <w:proofErr w:type="gramStart"/>
            <w:r w:rsidRPr="00CF362F">
              <w:rPr>
                <w:rFonts w:eastAsia="Times New Roman"/>
                <w:szCs w:val="20"/>
                <w:lang w:eastAsia="fr-FR"/>
              </w:rPr>
              <w:t>0.004 ;</w:t>
            </w:r>
            <w:proofErr w:type="gramEnd"/>
            <w:r w:rsidRPr="00CF362F">
              <w:rPr>
                <w:rFonts w:eastAsia="Times New Roman"/>
                <w:szCs w:val="20"/>
                <w:lang w:eastAsia="fr-FR"/>
              </w:rPr>
              <w:t xml:space="preserve"> 0–0.017</w:t>
            </w:r>
          </w:p>
        </w:tc>
        <w:tc>
          <w:tcPr>
            <w:tcW w:w="0" w:type="auto"/>
            <w:hideMark/>
          </w:tcPr>
          <w:p w14:paraId="01CC3810"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3.95 ± </w:t>
            </w:r>
            <w:proofErr w:type="gramStart"/>
            <w:r w:rsidRPr="00CF362F">
              <w:rPr>
                <w:rFonts w:eastAsia="Times New Roman"/>
                <w:szCs w:val="20"/>
                <w:lang w:eastAsia="fr-FR"/>
              </w:rPr>
              <w:t>21.04 ;</w:t>
            </w:r>
            <w:proofErr w:type="gramEnd"/>
            <w:r w:rsidRPr="00CF362F">
              <w:rPr>
                <w:rFonts w:eastAsia="Times New Roman"/>
                <w:szCs w:val="20"/>
                <w:lang w:eastAsia="fr-FR"/>
              </w:rPr>
              <w:t xml:space="preserve"> 0–119.08</w:t>
            </w:r>
          </w:p>
        </w:tc>
        <w:tc>
          <w:tcPr>
            <w:tcW w:w="0" w:type="auto"/>
            <w:hideMark/>
          </w:tcPr>
          <w:p w14:paraId="128F644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23.18 ± </w:t>
            </w:r>
            <w:proofErr w:type="gramStart"/>
            <w:r w:rsidRPr="00CF362F">
              <w:rPr>
                <w:rFonts w:eastAsia="Times New Roman"/>
                <w:szCs w:val="20"/>
                <w:lang w:eastAsia="fr-FR"/>
              </w:rPr>
              <w:t>91.67 ;</w:t>
            </w:r>
            <w:proofErr w:type="gramEnd"/>
            <w:r w:rsidRPr="00CF362F">
              <w:rPr>
                <w:rFonts w:eastAsia="Times New Roman"/>
                <w:szCs w:val="20"/>
                <w:lang w:eastAsia="fr-FR"/>
              </w:rPr>
              <w:t xml:space="preserve"> 0–416.97</w:t>
            </w:r>
          </w:p>
        </w:tc>
        <w:tc>
          <w:tcPr>
            <w:tcW w:w="0" w:type="auto"/>
            <w:hideMark/>
          </w:tcPr>
          <w:p w14:paraId="2205CC10"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123.33 ± </w:t>
            </w:r>
            <w:proofErr w:type="gramStart"/>
            <w:r w:rsidRPr="00CF362F">
              <w:rPr>
                <w:rFonts w:eastAsia="Times New Roman"/>
                <w:szCs w:val="20"/>
                <w:lang w:eastAsia="fr-FR"/>
              </w:rPr>
              <w:t>483.23 ;</w:t>
            </w:r>
            <w:proofErr w:type="gramEnd"/>
            <w:r w:rsidRPr="00CF362F">
              <w:rPr>
                <w:rFonts w:eastAsia="Times New Roman"/>
                <w:szCs w:val="20"/>
                <w:lang w:eastAsia="fr-FR"/>
              </w:rPr>
              <w:t xml:space="preserve"> 0.22–2040.32</w:t>
            </w:r>
          </w:p>
        </w:tc>
        <w:tc>
          <w:tcPr>
            <w:tcW w:w="0" w:type="auto"/>
            <w:hideMark/>
          </w:tcPr>
          <w:p w14:paraId="5372400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21.01 ± </w:t>
            </w:r>
            <w:proofErr w:type="gramStart"/>
            <w:r w:rsidRPr="00CF362F">
              <w:rPr>
                <w:rFonts w:eastAsia="Times New Roman"/>
                <w:szCs w:val="20"/>
                <w:lang w:eastAsia="fr-FR"/>
              </w:rPr>
              <w:t>92.89 ;</w:t>
            </w:r>
            <w:proofErr w:type="gramEnd"/>
            <w:r w:rsidRPr="00CF362F">
              <w:rPr>
                <w:rFonts w:eastAsia="Times New Roman"/>
                <w:szCs w:val="20"/>
                <w:lang w:eastAsia="fr-FR"/>
              </w:rPr>
              <w:t xml:space="preserve"> 0–503.02</w:t>
            </w:r>
          </w:p>
        </w:tc>
        <w:tc>
          <w:tcPr>
            <w:tcW w:w="0" w:type="auto"/>
            <w:hideMark/>
          </w:tcPr>
          <w:p w14:paraId="610E370F"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0.33 ± </w:t>
            </w:r>
            <w:proofErr w:type="gramStart"/>
            <w:r w:rsidRPr="00CF362F">
              <w:rPr>
                <w:rFonts w:eastAsia="Times New Roman"/>
                <w:szCs w:val="20"/>
                <w:lang w:eastAsia="fr-FR"/>
              </w:rPr>
              <w:t>0.22 ;</w:t>
            </w:r>
            <w:proofErr w:type="gramEnd"/>
            <w:r w:rsidRPr="00CF362F">
              <w:rPr>
                <w:rFonts w:eastAsia="Times New Roman"/>
                <w:szCs w:val="20"/>
                <w:lang w:eastAsia="fr-FR"/>
              </w:rPr>
              <w:t xml:space="preserve"> 0–1.06</w:t>
            </w:r>
          </w:p>
        </w:tc>
        <w:tc>
          <w:tcPr>
            <w:tcW w:w="0" w:type="auto"/>
            <w:hideMark/>
          </w:tcPr>
          <w:p w14:paraId="79632C56"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7.57 ± </w:t>
            </w:r>
            <w:proofErr w:type="gramStart"/>
            <w:r w:rsidRPr="00CF362F">
              <w:rPr>
                <w:rFonts w:eastAsia="Times New Roman"/>
                <w:szCs w:val="20"/>
                <w:lang w:eastAsia="fr-FR"/>
              </w:rPr>
              <w:t>40.09 ;</w:t>
            </w:r>
            <w:proofErr w:type="gramEnd"/>
            <w:r w:rsidRPr="00CF362F">
              <w:rPr>
                <w:rFonts w:eastAsia="Times New Roman"/>
                <w:szCs w:val="20"/>
                <w:lang w:eastAsia="fr-FR"/>
              </w:rPr>
              <w:t xml:space="preserve"> 0–226.83</w:t>
            </w:r>
          </w:p>
        </w:tc>
        <w:tc>
          <w:tcPr>
            <w:tcW w:w="0" w:type="auto"/>
            <w:hideMark/>
          </w:tcPr>
          <w:p w14:paraId="6CA8E30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0.36 ± </w:t>
            </w:r>
            <w:proofErr w:type="gramStart"/>
            <w:r w:rsidRPr="00CF362F">
              <w:rPr>
                <w:rFonts w:eastAsia="Times New Roman"/>
                <w:szCs w:val="20"/>
                <w:lang w:eastAsia="fr-FR"/>
              </w:rPr>
              <w:t>1.43 ;</w:t>
            </w:r>
            <w:proofErr w:type="gramEnd"/>
            <w:r w:rsidRPr="00CF362F">
              <w:rPr>
                <w:rFonts w:eastAsia="Times New Roman"/>
                <w:szCs w:val="20"/>
                <w:lang w:eastAsia="fr-FR"/>
              </w:rPr>
              <w:t xml:space="preserve"> 0–7.78</w:t>
            </w:r>
          </w:p>
        </w:tc>
      </w:tr>
      <w:tr w:rsidR="00BC3AE3" w:rsidRPr="00CF362F" w14:paraId="3D93F38A" w14:textId="77777777" w:rsidTr="00130566">
        <w:tc>
          <w:tcPr>
            <w:cnfStyle w:val="001000000000" w:firstRow="0" w:lastRow="0" w:firstColumn="1" w:lastColumn="0" w:oddVBand="0" w:evenVBand="0" w:oddHBand="0" w:evenHBand="0" w:firstRowFirstColumn="0" w:firstRowLastColumn="0" w:lastRowFirstColumn="0" w:lastRowLastColumn="0"/>
            <w:tcW w:w="1174" w:type="dxa"/>
            <w:hideMark/>
          </w:tcPr>
          <w:p w14:paraId="70A7E214"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Cotonou</w:t>
            </w:r>
          </w:p>
        </w:tc>
        <w:tc>
          <w:tcPr>
            <w:tcW w:w="935" w:type="dxa"/>
            <w:hideMark/>
          </w:tcPr>
          <w:p w14:paraId="7398FC5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0.002 ± </w:t>
            </w:r>
            <w:proofErr w:type="gramStart"/>
            <w:r w:rsidRPr="00CF362F">
              <w:rPr>
                <w:rFonts w:eastAsia="Times New Roman"/>
                <w:szCs w:val="20"/>
                <w:lang w:eastAsia="fr-FR"/>
              </w:rPr>
              <w:t>0.003 ;</w:t>
            </w:r>
            <w:proofErr w:type="gramEnd"/>
            <w:r w:rsidRPr="00CF362F">
              <w:rPr>
                <w:rFonts w:eastAsia="Times New Roman"/>
                <w:szCs w:val="20"/>
                <w:lang w:eastAsia="fr-FR"/>
              </w:rPr>
              <w:t xml:space="preserve"> 0–0.011</w:t>
            </w:r>
          </w:p>
        </w:tc>
        <w:tc>
          <w:tcPr>
            <w:tcW w:w="0" w:type="auto"/>
            <w:hideMark/>
          </w:tcPr>
          <w:p w14:paraId="4F14B4B9"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0.08 ± </w:t>
            </w:r>
            <w:proofErr w:type="gramStart"/>
            <w:r w:rsidRPr="00CF362F">
              <w:rPr>
                <w:rFonts w:eastAsia="Times New Roman"/>
                <w:szCs w:val="20"/>
                <w:lang w:eastAsia="fr-FR"/>
              </w:rPr>
              <w:t>0.08 ;</w:t>
            </w:r>
            <w:proofErr w:type="gramEnd"/>
            <w:r w:rsidRPr="00CF362F">
              <w:rPr>
                <w:rFonts w:eastAsia="Times New Roman"/>
                <w:szCs w:val="20"/>
                <w:lang w:eastAsia="fr-FR"/>
              </w:rPr>
              <w:t xml:space="preserve"> 0–0.28</w:t>
            </w:r>
          </w:p>
        </w:tc>
        <w:tc>
          <w:tcPr>
            <w:tcW w:w="0" w:type="auto"/>
            <w:hideMark/>
          </w:tcPr>
          <w:p w14:paraId="6865FC7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0.40 ± </w:t>
            </w:r>
            <w:proofErr w:type="gramStart"/>
            <w:r w:rsidRPr="00CF362F">
              <w:rPr>
                <w:rFonts w:eastAsia="Times New Roman"/>
                <w:szCs w:val="20"/>
                <w:lang w:eastAsia="fr-FR"/>
              </w:rPr>
              <w:t>0.72 ;</w:t>
            </w:r>
            <w:proofErr w:type="gramEnd"/>
            <w:r w:rsidRPr="00CF362F">
              <w:rPr>
                <w:rFonts w:eastAsia="Times New Roman"/>
                <w:szCs w:val="20"/>
                <w:lang w:eastAsia="fr-FR"/>
              </w:rPr>
              <w:t xml:space="preserve"> 0–2.34</w:t>
            </w:r>
          </w:p>
        </w:tc>
        <w:tc>
          <w:tcPr>
            <w:tcW w:w="0" w:type="auto"/>
            <w:hideMark/>
          </w:tcPr>
          <w:p w14:paraId="2B924FB9"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1.09 ± </w:t>
            </w:r>
            <w:proofErr w:type="gramStart"/>
            <w:r w:rsidRPr="00CF362F">
              <w:rPr>
                <w:rFonts w:eastAsia="Times New Roman"/>
                <w:szCs w:val="20"/>
                <w:lang w:eastAsia="fr-FR"/>
              </w:rPr>
              <w:t>1.03 ;</w:t>
            </w:r>
            <w:proofErr w:type="gramEnd"/>
            <w:r w:rsidRPr="00CF362F">
              <w:rPr>
                <w:rFonts w:eastAsia="Times New Roman"/>
                <w:szCs w:val="20"/>
                <w:lang w:eastAsia="fr-FR"/>
              </w:rPr>
              <w:t xml:space="preserve"> 0.13–3.70</w:t>
            </w:r>
          </w:p>
        </w:tc>
        <w:tc>
          <w:tcPr>
            <w:tcW w:w="0" w:type="auto"/>
            <w:hideMark/>
          </w:tcPr>
          <w:p w14:paraId="2709296D"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0.01 ± </w:t>
            </w:r>
            <w:proofErr w:type="gramStart"/>
            <w:r w:rsidRPr="00CF362F">
              <w:rPr>
                <w:rFonts w:eastAsia="Times New Roman"/>
                <w:szCs w:val="20"/>
                <w:lang w:eastAsia="fr-FR"/>
              </w:rPr>
              <w:t>0.01 ;</w:t>
            </w:r>
            <w:proofErr w:type="gramEnd"/>
            <w:r w:rsidRPr="00CF362F">
              <w:rPr>
                <w:rFonts w:eastAsia="Times New Roman"/>
                <w:szCs w:val="20"/>
                <w:lang w:eastAsia="fr-FR"/>
              </w:rPr>
              <w:t xml:space="preserve"> 0–0.036</w:t>
            </w:r>
          </w:p>
        </w:tc>
        <w:tc>
          <w:tcPr>
            <w:tcW w:w="0" w:type="auto"/>
            <w:hideMark/>
          </w:tcPr>
          <w:p w14:paraId="2586FD7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0.58 ± </w:t>
            </w:r>
            <w:proofErr w:type="gramStart"/>
            <w:r w:rsidRPr="00CF362F">
              <w:rPr>
                <w:rFonts w:eastAsia="Times New Roman"/>
                <w:szCs w:val="20"/>
                <w:lang w:eastAsia="fr-FR"/>
              </w:rPr>
              <w:t>0.50 ;</w:t>
            </w:r>
            <w:proofErr w:type="gramEnd"/>
            <w:r w:rsidRPr="00CF362F">
              <w:rPr>
                <w:rFonts w:eastAsia="Times New Roman"/>
                <w:szCs w:val="20"/>
                <w:lang w:eastAsia="fr-FR"/>
              </w:rPr>
              <w:t xml:space="preserve"> 0.12–1.83</w:t>
            </w:r>
          </w:p>
        </w:tc>
        <w:tc>
          <w:tcPr>
            <w:tcW w:w="0" w:type="auto"/>
            <w:hideMark/>
          </w:tcPr>
          <w:p w14:paraId="46B56610"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0.22 ± </w:t>
            </w:r>
            <w:proofErr w:type="gramStart"/>
            <w:r w:rsidRPr="00CF362F">
              <w:rPr>
                <w:rFonts w:eastAsia="Times New Roman"/>
                <w:szCs w:val="20"/>
                <w:lang w:eastAsia="fr-FR"/>
              </w:rPr>
              <w:t>0.39 ;</w:t>
            </w:r>
            <w:proofErr w:type="gramEnd"/>
            <w:r w:rsidRPr="00CF362F">
              <w:rPr>
                <w:rFonts w:eastAsia="Times New Roman"/>
                <w:szCs w:val="20"/>
                <w:lang w:eastAsia="fr-FR"/>
              </w:rPr>
              <w:t xml:space="preserve"> 0–1.27</w:t>
            </w:r>
          </w:p>
        </w:tc>
        <w:tc>
          <w:tcPr>
            <w:tcW w:w="0" w:type="auto"/>
            <w:hideMark/>
          </w:tcPr>
          <w:p w14:paraId="38194C61" w14:textId="77777777" w:rsidR="00BC3AE3" w:rsidRPr="00CF362F" w:rsidRDefault="00BC3AE3" w:rsidP="00781B95">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0.02 ± </w:t>
            </w:r>
            <w:proofErr w:type="gramStart"/>
            <w:r w:rsidRPr="00CF362F">
              <w:rPr>
                <w:rFonts w:eastAsia="Times New Roman"/>
                <w:szCs w:val="20"/>
                <w:lang w:eastAsia="fr-FR"/>
              </w:rPr>
              <w:t>0.02 ;</w:t>
            </w:r>
            <w:proofErr w:type="gramEnd"/>
            <w:r w:rsidRPr="00CF362F">
              <w:rPr>
                <w:rFonts w:eastAsia="Times New Roman"/>
                <w:szCs w:val="20"/>
                <w:lang w:eastAsia="fr-FR"/>
              </w:rPr>
              <w:t xml:space="preserve"> 0–0.057</w:t>
            </w:r>
          </w:p>
        </w:tc>
      </w:tr>
      <w:tr w:rsidR="00BC3AE3" w:rsidRPr="00CF362F" w14:paraId="0F830805" w14:textId="77777777" w:rsidTr="00130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4" w:type="dxa"/>
            <w:hideMark/>
          </w:tcPr>
          <w:p w14:paraId="6FF2C7DA"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Natitingou</w:t>
            </w:r>
          </w:p>
        </w:tc>
        <w:tc>
          <w:tcPr>
            <w:tcW w:w="935" w:type="dxa"/>
            <w:hideMark/>
          </w:tcPr>
          <w:p w14:paraId="4FE9E46A"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0.000 ± </w:t>
            </w:r>
            <w:proofErr w:type="gramStart"/>
            <w:r w:rsidRPr="00CF362F">
              <w:rPr>
                <w:rFonts w:eastAsia="Times New Roman"/>
                <w:szCs w:val="20"/>
                <w:lang w:eastAsia="fr-FR"/>
              </w:rPr>
              <w:t>0.001 ;</w:t>
            </w:r>
            <w:proofErr w:type="gramEnd"/>
            <w:r w:rsidRPr="00CF362F">
              <w:rPr>
                <w:rFonts w:eastAsia="Times New Roman"/>
                <w:szCs w:val="20"/>
                <w:lang w:eastAsia="fr-FR"/>
              </w:rPr>
              <w:t xml:space="preserve"> 0–0.003</w:t>
            </w:r>
          </w:p>
        </w:tc>
        <w:tc>
          <w:tcPr>
            <w:tcW w:w="0" w:type="auto"/>
            <w:hideMark/>
          </w:tcPr>
          <w:p w14:paraId="5AEC97D7"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0.17 ± </w:t>
            </w:r>
            <w:proofErr w:type="gramStart"/>
            <w:r w:rsidRPr="00CF362F">
              <w:rPr>
                <w:rFonts w:eastAsia="Times New Roman"/>
                <w:szCs w:val="20"/>
                <w:lang w:eastAsia="fr-FR"/>
              </w:rPr>
              <w:t>0.08 ;</w:t>
            </w:r>
            <w:proofErr w:type="gramEnd"/>
            <w:r w:rsidRPr="00CF362F">
              <w:rPr>
                <w:rFonts w:eastAsia="Times New Roman"/>
                <w:szCs w:val="20"/>
                <w:lang w:eastAsia="fr-FR"/>
              </w:rPr>
              <w:t xml:space="preserve"> 0.04–0.36</w:t>
            </w:r>
          </w:p>
        </w:tc>
        <w:tc>
          <w:tcPr>
            <w:tcW w:w="0" w:type="auto"/>
            <w:hideMark/>
          </w:tcPr>
          <w:p w14:paraId="4189EB12"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0.99 ± </w:t>
            </w:r>
            <w:proofErr w:type="gramStart"/>
            <w:r w:rsidRPr="00CF362F">
              <w:rPr>
                <w:rFonts w:eastAsia="Times New Roman"/>
                <w:szCs w:val="20"/>
                <w:lang w:eastAsia="fr-FR"/>
              </w:rPr>
              <w:t>1.48 ;</w:t>
            </w:r>
            <w:proofErr w:type="gramEnd"/>
            <w:r w:rsidRPr="00CF362F">
              <w:rPr>
                <w:rFonts w:eastAsia="Times New Roman"/>
                <w:szCs w:val="20"/>
                <w:lang w:eastAsia="fr-FR"/>
              </w:rPr>
              <w:t xml:space="preserve"> 0–4.49</w:t>
            </w:r>
          </w:p>
        </w:tc>
        <w:tc>
          <w:tcPr>
            <w:tcW w:w="0" w:type="auto"/>
            <w:hideMark/>
          </w:tcPr>
          <w:p w14:paraId="630BF4D1"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1.99 ± </w:t>
            </w:r>
            <w:proofErr w:type="gramStart"/>
            <w:r w:rsidRPr="00CF362F">
              <w:rPr>
                <w:rFonts w:eastAsia="Times New Roman"/>
                <w:szCs w:val="20"/>
                <w:lang w:eastAsia="fr-FR"/>
              </w:rPr>
              <w:t>1.87 ;</w:t>
            </w:r>
            <w:proofErr w:type="gramEnd"/>
            <w:r w:rsidRPr="00CF362F">
              <w:rPr>
                <w:rFonts w:eastAsia="Times New Roman"/>
                <w:szCs w:val="20"/>
                <w:lang w:eastAsia="fr-FR"/>
              </w:rPr>
              <w:t xml:space="preserve"> 0.46–6.39</w:t>
            </w:r>
          </w:p>
        </w:tc>
        <w:tc>
          <w:tcPr>
            <w:tcW w:w="0" w:type="auto"/>
            <w:hideMark/>
          </w:tcPr>
          <w:p w14:paraId="5CBBE99D"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0.22 ± </w:t>
            </w:r>
            <w:proofErr w:type="gramStart"/>
            <w:r w:rsidRPr="00CF362F">
              <w:rPr>
                <w:rFonts w:eastAsia="Times New Roman"/>
                <w:szCs w:val="20"/>
                <w:lang w:eastAsia="fr-FR"/>
              </w:rPr>
              <w:t>0.15 ;</w:t>
            </w:r>
            <w:proofErr w:type="gramEnd"/>
            <w:r w:rsidRPr="00CF362F">
              <w:rPr>
                <w:rFonts w:eastAsia="Times New Roman"/>
                <w:szCs w:val="20"/>
                <w:lang w:eastAsia="fr-FR"/>
              </w:rPr>
              <w:t xml:space="preserve"> 0.10–0.57</w:t>
            </w:r>
          </w:p>
        </w:tc>
        <w:tc>
          <w:tcPr>
            <w:tcW w:w="0" w:type="auto"/>
            <w:hideMark/>
          </w:tcPr>
          <w:p w14:paraId="2FFE1742"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1.01 ± </w:t>
            </w:r>
            <w:proofErr w:type="gramStart"/>
            <w:r w:rsidRPr="00CF362F">
              <w:rPr>
                <w:rFonts w:eastAsia="Times New Roman"/>
                <w:szCs w:val="20"/>
                <w:lang w:eastAsia="fr-FR"/>
              </w:rPr>
              <w:t>0.90 ;</w:t>
            </w:r>
            <w:proofErr w:type="gramEnd"/>
            <w:r w:rsidRPr="00CF362F">
              <w:rPr>
                <w:rFonts w:eastAsia="Times New Roman"/>
                <w:szCs w:val="20"/>
                <w:lang w:eastAsia="fr-FR"/>
              </w:rPr>
              <w:t xml:space="preserve"> 0.28–3.12</w:t>
            </w:r>
          </w:p>
        </w:tc>
        <w:tc>
          <w:tcPr>
            <w:tcW w:w="0" w:type="auto"/>
            <w:hideMark/>
          </w:tcPr>
          <w:p w14:paraId="41CF160B"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0.16 ± </w:t>
            </w:r>
            <w:proofErr w:type="gramStart"/>
            <w:r w:rsidRPr="00CF362F">
              <w:rPr>
                <w:rFonts w:eastAsia="Times New Roman"/>
                <w:szCs w:val="20"/>
                <w:lang w:eastAsia="fr-FR"/>
              </w:rPr>
              <w:t>0.24 ;</w:t>
            </w:r>
            <w:proofErr w:type="gramEnd"/>
            <w:r w:rsidRPr="00CF362F">
              <w:rPr>
                <w:rFonts w:eastAsia="Times New Roman"/>
                <w:szCs w:val="20"/>
                <w:lang w:eastAsia="fr-FR"/>
              </w:rPr>
              <w:t xml:space="preserve"> 0–0.74</w:t>
            </w:r>
          </w:p>
        </w:tc>
        <w:tc>
          <w:tcPr>
            <w:tcW w:w="0" w:type="auto"/>
            <w:hideMark/>
          </w:tcPr>
          <w:p w14:paraId="408D8062" w14:textId="77777777" w:rsidR="00BC3AE3" w:rsidRPr="00CF362F" w:rsidRDefault="00BC3AE3" w:rsidP="00781B95">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 xml:space="preserve">0.04 ± </w:t>
            </w:r>
            <w:proofErr w:type="gramStart"/>
            <w:r w:rsidRPr="00CF362F">
              <w:rPr>
                <w:rFonts w:eastAsia="Times New Roman"/>
                <w:szCs w:val="20"/>
                <w:lang w:eastAsia="fr-FR"/>
              </w:rPr>
              <w:t>0.02 ;</w:t>
            </w:r>
            <w:proofErr w:type="gramEnd"/>
            <w:r w:rsidRPr="00CF362F">
              <w:rPr>
                <w:rFonts w:eastAsia="Times New Roman"/>
                <w:szCs w:val="20"/>
                <w:lang w:eastAsia="fr-FR"/>
              </w:rPr>
              <w:t xml:space="preserve"> 0–0.057</w:t>
            </w:r>
          </w:p>
        </w:tc>
      </w:tr>
    </w:tbl>
    <w:p w14:paraId="30D7682E" w14:textId="77777777" w:rsidR="00BC3AE3" w:rsidRDefault="00BC3AE3" w:rsidP="00781B95">
      <w:pPr>
        <w:spacing w:line="360" w:lineRule="auto"/>
        <w:jc w:val="right"/>
        <w:rPr>
          <w:b/>
          <w:bCs/>
          <w:szCs w:val="20"/>
        </w:rPr>
      </w:pPr>
    </w:p>
    <w:p w14:paraId="52C487AC" w14:textId="77777777" w:rsidR="00BC3AE3" w:rsidRPr="00CF362F" w:rsidRDefault="00BC3AE3" w:rsidP="00781B95">
      <w:pPr>
        <w:spacing w:line="360" w:lineRule="auto"/>
        <w:jc w:val="center"/>
        <w:rPr>
          <w:szCs w:val="20"/>
        </w:rPr>
      </w:pPr>
      <w:r w:rsidRPr="00155B6E">
        <w:rPr>
          <w:b/>
          <w:bCs/>
          <w:szCs w:val="20"/>
        </w:rPr>
        <w:t>Table A2</w:t>
      </w:r>
      <w:r w:rsidR="00155B6E" w:rsidRPr="00155B6E">
        <w:rPr>
          <w:b/>
          <w:bCs/>
          <w:szCs w:val="20"/>
        </w:rPr>
        <w:t xml:space="preserve">. </w:t>
      </w:r>
      <w:r w:rsidRPr="00CF362F">
        <w:rPr>
          <w:szCs w:val="20"/>
        </w:rPr>
        <w:t>Kruskal-Wallis test results</w:t>
      </w:r>
    </w:p>
    <w:tbl>
      <w:tblPr>
        <w:tblStyle w:val="PlainTable2"/>
        <w:tblW w:w="0" w:type="auto"/>
        <w:jc w:val="center"/>
        <w:tblLook w:val="04A0" w:firstRow="1" w:lastRow="0" w:firstColumn="1" w:lastColumn="0" w:noHBand="0" w:noVBand="1"/>
      </w:tblPr>
      <w:tblGrid>
        <w:gridCol w:w="786"/>
        <w:gridCol w:w="2068"/>
        <w:gridCol w:w="574"/>
        <w:gridCol w:w="1003"/>
      </w:tblGrid>
      <w:tr w:rsidR="00BC3AE3" w:rsidRPr="00CF362F" w14:paraId="4EEFFD23"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95BEF4" w14:textId="77777777" w:rsidR="00BC3AE3" w:rsidRPr="00CF362F" w:rsidRDefault="00BC3AE3" w:rsidP="00781B95">
            <w:pPr>
              <w:spacing w:line="360" w:lineRule="auto"/>
              <w:rPr>
                <w:rFonts w:eastAsia="Times New Roman"/>
                <w:b w:val="0"/>
                <w:bCs w:val="0"/>
                <w:szCs w:val="20"/>
                <w:lang w:val="fr-FR" w:eastAsia="fr-FR"/>
              </w:rPr>
            </w:pPr>
            <w:r w:rsidRPr="00CF362F">
              <w:rPr>
                <w:rFonts w:eastAsia="Times New Roman"/>
                <w:szCs w:val="20"/>
                <w:lang w:val="fr-FR" w:eastAsia="fr-FR"/>
              </w:rPr>
              <w:t>Metal</w:t>
            </w:r>
          </w:p>
        </w:tc>
        <w:tc>
          <w:tcPr>
            <w:tcW w:w="0" w:type="auto"/>
            <w:hideMark/>
          </w:tcPr>
          <w:p w14:paraId="03CB7EF2"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χ² (Kruskal–Wallis)</w:t>
            </w:r>
          </w:p>
        </w:tc>
        <w:tc>
          <w:tcPr>
            <w:tcW w:w="0" w:type="auto"/>
            <w:hideMark/>
          </w:tcPr>
          <w:p w14:paraId="30D1B766"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ddl</w:t>
            </w:r>
          </w:p>
        </w:tc>
        <w:tc>
          <w:tcPr>
            <w:tcW w:w="0" w:type="auto"/>
            <w:hideMark/>
          </w:tcPr>
          <w:p w14:paraId="78758158" w14:textId="77777777" w:rsidR="00BC3AE3" w:rsidRPr="00CF362F" w:rsidRDefault="00BC3AE3" w:rsidP="00781B95">
            <w:pPr>
              <w:spacing w:line="36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val="fr-FR" w:eastAsia="fr-FR"/>
              </w:rPr>
            </w:pPr>
            <w:r w:rsidRPr="00CF362F">
              <w:rPr>
                <w:rFonts w:eastAsia="Times New Roman"/>
                <w:i/>
                <w:iCs/>
                <w:szCs w:val="20"/>
                <w:lang w:eastAsia="fr-FR"/>
              </w:rPr>
              <w:t>p</w:t>
            </w:r>
            <w:r w:rsidRPr="00CF362F">
              <w:rPr>
                <w:rFonts w:eastAsia="Times New Roman"/>
                <w:szCs w:val="20"/>
                <w:lang w:eastAsia="fr-FR"/>
              </w:rPr>
              <w:t>-</w:t>
            </w:r>
            <w:r w:rsidRPr="00CF362F">
              <w:rPr>
                <w:rFonts w:eastAsia="Times New Roman"/>
                <w:szCs w:val="20"/>
                <w:lang w:val="fr-FR" w:eastAsia="fr-FR"/>
              </w:rPr>
              <w:t>value</w:t>
            </w:r>
          </w:p>
        </w:tc>
      </w:tr>
      <w:tr w:rsidR="00BC3AE3" w:rsidRPr="00CF362F" w14:paraId="5C51602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CEFE68"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As</w:t>
            </w:r>
          </w:p>
        </w:tc>
        <w:tc>
          <w:tcPr>
            <w:tcW w:w="0" w:type="auto"/>
            <w:hideMark/>
          </w:tcPr>
          <w:p w14:paraId="0B02BBB1"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5.09</w:t>
            </w:r>
          </w:p>
        </w:tc>
        <w:tc>
          <w:tcPr>
            <w:tcW w:w="0" w:type="auto"/>
            <w:hideMark/>
          </w:tcPr>
          <w:p w14:paraId="02E73BF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7BF40AD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0.078</w:t>
            </w:r>
          </w:p>
        </w:tc>
      </w:tr>
      <w:tr w:rsidR="00BC3AE3" w:rsidRPr="00CF362F" w14:paraId="318B2154"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E1CA66"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Cd</w:t>
            </w:r>
          </w:p>
        </w:tc>
        <w:tc>
          <w:tcPr>
            <w:tcW w:w="0" w:type="auto"/>
            <w:hideMark/>
          </w:tcPr>
          <w:p w14:paraId="491E80E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20.92</w:t>
            </w:r>
          </w:p>
        </w:tc>
        <w:tc>
          <w:tcPr>
            <w:tcW w:w="0" w:type="auto"/>
            <w:hideMark/>
          </w:tcPr>
          <w:p w14:paraId="3244BDB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122F0979"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szCs w:val="20"/>
                <w:lang w:eastAsia="fr-FR"/>
              </w:rPr>
            </w:pPr>
            <w:r w:rsidRPr="00CF362F">
              <w:rPr>
                <w:rFonts w:eastAsia="Times New Roman"/>
                <w:b/>
                <w:bCs/>
                <w:color w:val="000000" w:themeColor="text1"/>
                <w:szCs w:val="20"/>
                <w:lang w:eastAsia="fr-FR"/>
              </w:rPr>
              <w:t>&lt;0.001</w:t>
            </w:r>
          </w:p>
        </w:tc>
      </w:tr>
      <w:tr w:rsidR="00BC3AE3" w:rsidRPr="00CF362F" w14:paraId="0DBEFD2A"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8A5A19"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Cu</w:t>
            </w:r>
          </w:p>
        </w:tc>
        <w:tc>
          <w:tcPr>
            <w:tcW w:w="0" w:type="auto"/>
            <w:hideMark/>
          </w:tcPr>
          <w:p w14:paraId="73AF4EF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18.42</w:t>
            </w:r>
          </w:p>
        </w:tc>
        <w:tc>
          <w:tcPr>
            <w:tcW w:w="0" w:type="auto"/>
            <w:hideMark/>
          </w:tcPr>
          <w:p w14:paraId="27754A6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59B4F24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color w:val="000000" w:themeColor="text1"/>
                <w:szCs w:val="20"/>
                <w:lang w:eastAsia="fr-FR"/>
              </w:rPr>
              <w:t>&lt;0.001</w:t>
            </w:r>
          </w:p>
        </w:tc>
      </w:tr>
      <w:tr w:rsidR="00BC3AE3" w:rsidRPr="00CF362F" w14:paraId="5A247BED"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02DB4B"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Fe</w:t>
            </w:r>
          </w:p>
        </w:tc>
        <w:tc>
          <w:tcPr>
            <w:tcW w:w="0" w:type="auto"/>
            <w:hideMark/>
          </w:tcPr>
          <w:p w14:paraId="4FA3BE70"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12.73</w:t>
            </w:r>
          </w:p>
        </w:tc>
        <w:tc>
          <w:tcPr>
            <w:tcW w:w="0" w:type="auto"/>
            <w:hideMark/>
          </w:tcPr>
          <w:p w14:paraId="57CDA1A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06BEA09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0.0017</w:t>
            </w:r>
          </w:p>
        </w:tc>
      </w:tr>
      <w:tr w:rsidR="00BC3AE3" w:rsidRPr="00CF362F" w14:paraId="6DAE84A1"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B32B95"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Pb</w:t>
            </w:r>
          </w:p>
        </w:tc>
        <w:tc>
          <w:tcPr>
            <w:tcW w:w="0" w:type="auto"/>
            <w:hideMark/>
          </w:tcPr>
          <w:p w14:paraId="289BCFF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30.91</w:t>
            </w:r>
          </w:p>
        </w:tc>
        <w:tc>
          <w:tcPr>
            <w:tcW w:w="0" w:type="auto"/>
            <w:hideMark/>
          </w:tcPr>
          <w:p w14:paraId="7C86129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3E841F3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szCs w:val="20"/>
                <w:lang w:eastAsia="fr-FR"/>
              </w:rPr>
            </w:pPr>
            <w:r w:rsidRPr="00CF362F">
              <w:rPr>
                <w:rFonts w:eastAsia="Times New Roman"/>
                <w:b/>
                <w:bCs/>
                <w:color w:val="000000" w:themeColor="text1"/>
                <w:szCs w:val="20"/>
                <w:lang w:eastAsia="fr-FR"/>
              </w:rPr>
              <w:t>&lt;0.0001</w:t>
            </w:r>
          </w:p>
        </w:tc>
      </w:tr>
      <w:tr w:rsidR="00BC3AE3" w:rsidRPr="00CF362F" w14:paraId="4E1A173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2F3CC"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Zn</w:t>
            </w:r>
          </w:p>
        </w:tc>
        <w:tc>
          <w:tcPr>
            <w:tcW w:w="0" w:type="auto"/>
            <w:hideMark/>
          </w:tcPr>
          <w:p w14:paraId="66EFB4B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12.65</w:t>
            </w:r>
          </w:p>
        </w:tc>
        <w:tc>
          <w:tcPr>
            <w:tcW w:w="0" w:type="auto"/>
            <w:hideMark/>
          </w:tcPr>
          <w:p w14:paraId="14F5E2D9"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380C620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0.0018</w:t>
            </w:r>
          </w:p>
        </w:tc>
      </w:tr>
      <w:tr w:rsidR="00BC3AE3" w:rsidRPr="00CF362F" w14:paraId="55F7E265"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95CF0"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Ni</w:t>
            </w:r>
          </w:p>
        </w:tc>
        <w:tc>
          <w:tcPr>
            <w:tcW w:w="0" w:type="auto"/>
            <w:hideMark/>
          </w:tcPr>
          <w:p w14:paraId="4E6F59B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12.62</w:t>
            </w:r>
          </w:p>
        </w:tc>
        <w:tc>
          <w:tcPr>
            <w:tcW w:w="0" w:type="auto"/>
            <w:hideMark/>
          </w:tcPr>
          <w:p w14:paraId="20D1F5AF"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31CB0E7F"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0.0018</w:t>
            </w:r>
          </w:p>
        </w:tc>
      </w:tr>
      <w:tr w:rsidR="00BC3AE3" w:rsidRPr="00CF362F" w14:paraId="20E8DA66"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B528BD" w14:textId="77777777" w:rsidR="00BC3AE3" w:rsidRPr="00CF362F" w:rsidRDefault="00BC3AE3" w:rsidP="00781B95">
            <w:pPr>
              <w:spacing w:line="360" w:lineRule="auto"/>
              <w:rPr>
                <w:rFonts w:eastAsia="Times New Roman"/>
                <w:b w:val="0"/>
                <w:bCs w:val="0"/>
                <w:szCs w:val="20"/>
                <w:lang w:eastAsia="fr-FR"/>
              </w:rPr>
            </w:pPr>
            <w:r w:rsidRPr="00CF362F">
              <w:rPr>
                <w:rFonts w:eastAsia="Times New Roman"/>
                <w:b w:val="0"/>
                <w:bCs w:val="0"/>
                <w:szCs w:val="20"/>
                <w:lang w:eastAsia="fr-FR"/>
              </w:rPr>
              <w:t>Cr</w:t>
            </w:r>
          </w:p>
        </w:tc>
        <w:tc>
          <w:tcPr>
            <w:tcW w:w="0" w:type="auto"/>
            <w:hideMark/>
          </w:tcPr>
          <w:p w14:paraId="3DE8B1A7"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7.48</w:t>
            </w:r>
          </w:p>
        </w:tc>
        <w:tc>
          <w:tcPr>
            <w:tcW w:w="0" w:type="auto"/>
            <w:hideMark/>
          </w:tcPr>
          <w:p w14:paraId="22F42917"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w:t>
            </w:r>
          </w:p>
        </w:tc>
        <w:tc>
          <w:tcPr>
            <w:tcW w:w="0" w:type="auto"/>
            <w:hideMark/>
          </w:tcPr>
          <w:p w14:paraId="0BD90D8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0.023</w:t>
            </w:r>
          </w:p>
        </w:tc>
      </w:tr>
    </w:tbl>
    <w:p w14:paraId="200F332E" w14:textId="77777777" w:rsidR="00BC3AE3" w:rsidRPr="00CF362F" w:rsidRDefault="00BC3AE3" w:rsidP="00781B95">
      <w:pPr>
        <w:spacing w:line="360" w:lineRule="auto"/>
        <w:jc w:val="center"/>
        <w:rPr>
          <w:szCs w:val="20"/>
        </w:rPr>
      </w:pPr>
    </w:p>
    <w:p w14:paraId="022B2110" w14:textId="77777777" w:rsidR="000C0887" w:rsidRDefault="000C0887" w:rsidP="00781B95">
      <w:pPr>
        <w:spacing w:line="360" w:lineRule="auto"/>
        <w:jc w:val="center"/>
        <w:rPr>
          <w:b/>
          <w:bCs/>
          <w:szCs w:val="20"/>
        </w:rPr>
      </w:pPr>
    </w:p>
    <w:p w14:paraId="4BA022E0" w14:textId="77777777" w:rsidR="000C0887" w:rsidRDefault="000C0887" w:rsidP="00781B95">
      <w:pPr>
        <w:spacing w:line="360" w:lineRule="auto"/>
        <w:jc w:val="center"/>
        <w:rPr>
          <w:b/>
          <w:bCs/>
          <w:szCs w:val="20"/>
        </w:rPr>
      </w:pPr>
    </w:p>
    <w:p w14:paraId="5966D0D4" w14:textId="77777777" w:rsidR="000C0887" w:rsidRDefault="000C0887" w:rsidP="00781B95">
      <w:pPr>
        <w:spacing w:line="360" w:lineRule="auto"/>
        <w:jc w:val="center"/>
        <w:rPr>
          <w:b/>
          <w:bCs/>
          <w:szCs w:val="20"/>
        </w:rPr>
      </w:pPr>
    </w:p>
    <w:p w14:paraId="5866439C" w14:textId="77777777" w:rsidR="00BC3AE3" w:rsidRPr="00CF362F" w:rsidRDefault="00BC3AE3" w:rsidP="00781B95">
      <w:pPr>
        <w:spacing w:line="360" w:lineRule="auto"/>
        <w:jc w:val="center"/>
        <w:rPr>
          <w:szCs w:val="20"/>
        </w:rPr>
      </w:pPr>
      <w:r w:rsidRPr="00CF362F">
        <w:rPr>
          <w:b/>
          <w:bCs/>
          <w:szCs w:val="20"/>
        </w:rPr>
        <w:lastRenderedPageBreak/>
        <w:t xml:space="preserve">Table </w:t>
      </w:r>
      <w:r>
        <w:rPr>
          <w:b/>
          <w:bCs/>
          <w:szCs w:val="20"/>
        </w:rPr>
        <w:t>A</w:t>
      </w:r>
      <w:r w:rsidRPr="00CF362F">
        <w:rPr>
          <w:b/>
          <w:bCs/>
          <w:szCs w:val="20"/>
        </w:rPr>
        <w:t>3</w:t>
      </w:r>
      <w:r w:rsidR="00155B6E">
        <w:rPr>
          <w:b/>
          <w:bCs/>
          <w:szCs w:val="20"/>
        </w:rPr>
        <w:t>.</w:t>
      </w:r>
      <w:r w:rsidRPr="00CF362F">
        <w:rPr>
          <w:b/>
          <w:bCs/>
          <w:szCs w:val="20"/>
        </w:rPr>
        <w:t xml:space="preserve"> </w:t>
      </w:r>
      <w:r w:rsidRPr="00CF362F">
        <w:rPr>
          <w:szCs w:val="20"/>
        </w:rPr>
        <w:t>Dunn's post-hoc test results (pairwise comparisons)</w:t>
      </w:r>
    </w:p>
    <w:tbl>
      <w:tblPr>
        <w:tblStyle w:val="PlainTable2"/>
        <w:tblW w:w="0" w:type="auto"/>
        <w:jc w:val="center"/>
        <w:tblLook w:val="04A0" w:firstRow="1" w:lastRow="0" w:firstColumn="1" w:lastColumn="0" w:noHBand="0" w:noVBand="1"/>
      </w:tblPr>
      <w:tblGrid>
        <w:gridCol w:w="786"/>
        <w:gridCol w:w="2498"/>
        <w:gridCol w:w="730"/>
        <w:gridCol w:w="1730"/>
      </w:tblGrid>
      <w:tr w:rsidR="00BC3AE3" w:rsidRPr="00CF362F" w14:paraId="08DE8ED7" w14:textId="77777777" w:rsidTr="00155B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3C9568" w14:textId="77777777" w:rsidR="00BC3AE3" w:rsidRPr="00CF362F" w:rsidRDefault="00BC3AE3" w:rsidP="00781B95">
            <w:pPr>
              <w:spacing w:line="360" w:lineRule="auto"/>
              <w:rPr>
                <w:rFonts w:eastAsia="Times New Roman"/>
                <w:b w:val="0"/>
                <w:bCs w:val="0"/>
                <w:szCs w:val="20"/>
                <w:lang w:val="fr-FR" w:eastAsia="fr-FR"/>
              </w:rPr>
            </w:pPr>
            <w:r w:rsidRPr="00CF362F">
              <w:rPr>
                <w:rFonts w:eastAsia="Times New Roman"/>
                <w:szCs w:val="20"/>
                <w:lang w:val="fr-FR" w:eastAsia="fr-FR"/>
              </w:rPr>
              <w:t>Metal</w:t>
            </w:r>
          </w:p>
        </w:tc>
        <w:tc>
          <w:tcPr>
            <w:tcW w:w="0" w:type="auto"/>
            <w:hideMark/>
          </w:tcPr>
          <w:p w14:paraId="3D3C998A"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val="fr-FR" w:eastAsia="fr-FR"/>
              </w:rPr>
            </w:pPr>
            <w:r w:rsidRPr="00CF362F">
              <w:rPr>
                <w:rFonts w:eastAsia="Times New Roman"/>
                <w:szCs w:val="20"/>
                <w:lang w:eastAsia="fr-FR"/>
              </w:rPr>
              <w:t>Comparison</w:t>
            </w:r>
          </w:p>
        </w:tc>
        <w:tc>
          <w:tcPr>
            <w:tcW w:w="0" w:type="auto"/>
            <w:hideMark/>
          </w:tcPr>
          <w:p w14:paraId="58DB060B"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eastAsia="fr-FR"/>
              </w:rPr>
              <w:t>Z</w:t>
            </w:r>
          </w:p>
        </w:tc>
        <w:tc>
          <w:tcPr>
            <w:tcW w:w="0" w:type="auto"/>
            <w:hideMark/>
          </w:tcPr>
          <w:p w14:paraId="6583B5B3" w14:textId="77777777" w:rsidR="00BC3AE3" w:rsidRPr="00CF362F" w:rsidRDefault="00BC3AE3" w:rsidP="00781B9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Cs w:val="20"/>
                <w:lang w:eastAsia="fr-FR"/>
              </w:rPr>
            </w:pPr>
            <w:r w:rsidRPr="00CF362F">
              <w:rPr>
                <w:rFonts w:eastAsia="Times New Roman"/>
                <w:szCs w:val="20"/>
                <w:lang w:val="fr-FR" w:eastAsia="fr-FR"/>
              </w:rPr>
              <w:t>Adjusted p</w:t>
            </w:r>
            <w:r w:rsidRPr="00CF362F">
              <w:rPr>
                <w:rFonts w:eastAsia="Times New Roman"/>
                <w:szCs w:val="20"/>
                <w:lang w:eastAsia="fr-FR"/>
              </w:rPr>
              <w:t>(BH)</w:t>
            </w:r>
          </w:p>
        </w:tc>
      </w:tr>
      <w:tr w:rsidR="00BC3AE3" w:rsidRPr="00CF362F" w14:paraId="669DB25C"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1A766A"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Cd</w:t>
            </w:r>
          </w:p>
        </w:tc>
        <w:tc>
          <w:tcPr>
            <w:tcW w:w="0" w:type="auto"/>
            <w:hideMark/>
          </w:tcPr>
          <w:p w14:paraId="5B3DB61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697EAA27"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-4.57</w:t>
            </w:r>
          </w:p>
        </w:tc>
        <w:tc>
          <w:tcPr>
            <w:tcW w:w="0" w:type="auto"/>
            <w:hideMark/>
          </w:tcPr>
          <w:p w14:paraId="3B527D4C"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&lt;0.001</w:t>
            </w:r>
          </w:p>
        </w:tc>
      </w:tr>
      <w:tr w:rsidR="00BC3AE3" w:rsidRPr="00CF362F" w14:paraId="70390F97"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D066E3"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Cd</w:t>
            </w:r>
          </w:p>
        </w:tc>
        <w:tc>
          <w:tcPr>
            <w:tcW w:w="0" w:type="auto"/>
            <w:hideMark/>
          </w:tcPr>
          <w:p w14:paraId="3807E8C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Cotonou – Natitingou</w:t>
            </w:r>
          </w:p>
        </w:tc>
        <w:tc>
          <w:tcPr>
            <w:tcW w:w="0" w:type="auto"/>
            <w:hideMark/>
          </w:tcPr>
          <w:p w14:paraId="227A2417"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-3.12</w:t>
            </w:r>
          </w:p>
        </w:tc>
        <w:tc>
          <w:tcPr>
            <w:tcW w:w="0" w:type="auto"/>
            <w:hideMark/>
          </w:tcPr>
          <w:p w14:paraId="42C73B41"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0.0027</w:t>
            </w:r>
          </w:p>
        </w:tc>
      </w:tr>
      <w:tr w:rsidR="00BC3AE3" w:rsidRPr="00CF362F" w14:paraId="7A7800FA"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181209"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Cr</w:t>
            </w:r>
          </w:p>
        </w:tc>
        <w:tc>
          <w:tcPr>
            <w:tcW w:w="0" w:type="auto"/>
            <w:hideMark/>
          </w:tcPr>
          <w:p w14:paraId="2E78B89D"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684F349A"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2.49</w:t>
            </w:r>
          </w:p>
        </w:tc>
        <w:tc>
          <w:tcPr>
            <w:tcW w:w="0" w:type="auto"/>
            <w:hideMark/>
          </w:tcPr>
          <w:p w14:paraId="41A1E26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0.038</w:t>
            </w:r>
          </w:p>
        </w:tc>
      </w:tr>
      <w:tr w:rsidR="00BC3AE3" w:rsidRPr="00CF362F" w14:paraId="77CBC75D"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CA7C6A" w14:textId="77777777" w:rsidR="00BC3AE3" w:rsidRPr="00CF362F" w:rsidRDefault="00BC3AE3" w:rsidP="00781B95">
            <w:pPr>
              <w:spacing w:line="360" w:lineRule="auto"/>
              <w:rPr>
                <w:rFonts w:eastAsia="Times New Roman"/>
                <w:szCs w:val="20"/>
                <w:lang w:val="fr-FR" w:eastAsia="fr-FR"/>
              </w:rPr>
            </w:pPr>
            <w:r w:rsidRPr="00CF362F">
              <w:rPr>
                <w:rFonts w:eastAsia="Times New Roman"/>
                <w:szCs w:val="20"/>
                <w:lang w:eastAsia="fr-FR"/>
              </w:rPr>
              <w:t>C</w:t>
            </w:r>
            <w:r w:rsidRPr="00CF362F">
              <w:rPr>
                <w:rFonts w:eastAsia="Times New Roman"/>
                <w:szCs w:val="20"/>
                <w:lang w:val="fr-FR" w:eastAsia="fr-FR"/>
              </w:rPr>
              <w:t>u</w:t>
            </w:r>
          </w:p>
        </w:tc>
        <w:tc>
          <w:tcPr>
            <w:tcW w:w="0" w:type="auto"/>
            <w:hideMark/>
          </w:tcPr>
          <w:p w14:paraId="3B13E99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05F61696"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-4.16</w:t>
            </w:r>
          </w:p>
        </w:tc>
        <w:tc>
          <w:tcPr>
            <w:tcW w:w="0" w:type="auto"/>
            <w:hideMark/>
          </w:tcPr>
          <w:p w14:paraId="4CCD373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&lt;0.001</w:t>
            </w:r>
          </w:p>
        </w:tc>
      </w:tr>
      <w:tr w:rsidR="00BC3AE3" w:rsidRPr="00CF362F" w14:paraId="78E87AA6"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AC3631"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Cu</w:t>
            </w:r>
          </w:p>
        </w:tc>
        <w:tc>
          <w:tcPr>
            <w:tcW w:w="0" w:type="auto"/>
            <w:hideMark/>
          </w:tcPr>
          <w:p w14:paraId="6CA7D5E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7DC70D6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-2.53</w:t>
            </w:r>
          </w:p>
        </w:tc>
        <w:tc>
          <w:tcPr>
            <w:tcW w:w="0" w:type="auto"/>
            <w:hideMark/>
          </w:tcPr>
          <w:p w14:paraId="5859679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0.017</w:t>
            </w:r>
          </w:p>
        </w:tc>
      </w:tr>
      <w:tr w:rsidR="00BC3AE3" w:rsidRPr="00CF362F" w14:paraId="2A6E8534"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B62E3D"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Cu</w:t>
            </w:r>
          </w:p>
        </w:tc>
        <w:tc>
          <w:tcPr>
            <w:tcW w:w="0" w:type="auto"/>
            <w:hideMark/>
          </w:tcPr>
          <w:p w14:paraId="2D189E6C"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Cotonou – Natitingou</w:t>
            </w:r>
          </w:p>
        </w:tc>
        <w:tc>
          <w:tcPr>
            <w:tcW w:w="0" w:type="auto"/>
            <w:hideMark/>
          </w:tcPr>
          <w:p w14:paraId="24825AE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-2.25</w:t>
            </w:r>
          </w:p>
        </w:tc>
        <w:tc>
          <w:tcPr>
            <w:tcW w:w="0" w:type="auto"/>
            <w:hideMark/>
          </w:tcPr>
          <w:p w14:paraId="37E6C05D"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0.025</w:t>
            </w:r>
          </w:p>
        </w:tc>
      </w:tr>
      <w:tr w:rsidR="00BC3AE3" w:rsidRPr="00CF362F" w14:paraId="2A7E466F"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F8F86D"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Fe</w:t>
            </w:r>
          </w:p>
        </w:tc>
        <w:tc>
          <w:tcPr>
            <w:tcW w:w="0" w:type="auto"/>
            <w:hideMark/>
          </w:tcPr>
          <w:p w14:paraId="265F53F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32246FEA"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-3.55</w:t>
            </w:r>
          </w:p>
        </w:tc>
        <w:tc>
          <w:tcPr>
            <w:tcW w:w="0" w:type="auto"/>
            <w:hideMark/>
          </w:tcPr>
          <w:p w14:paraId="3AE6274B"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w:t>
            </w:r>
          </w:p>
        </w:tc>
      </w:tr>
      <w:tr w:rsidR="00BC3AE3" w:rsidRPr="00CF362F" w14:paraId="54E673F2"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60D02A"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Fe</w:t>
            </w:r>
          </w:p>
        </w:tc>
        <w:tc>
          <w:tcPr>
            <w:tcW w:w="0" w:type="auto"/>
            <w:hideMark/>
          </w:tcPr>
          <w:p w14:paraId="221EABC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Cotonou – Natitingou</w:t>
            </w:r>
          </w:p>
        </w:tc>
        <w:tc>
          <w:tcPr>
            <w:tcW w:w="0" w:type="auto"/>
            <w:hideMark/>
          </w:tcPr>
          <w:p w14:paraId="0DB1E1CB"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-2.30</w:t>
            </w:r>
          </w:p>
        </w:tc>
        <w:tc>
          <w:tcPr>
            <w:tcW w:w="0" w:type="auto"/>
            <w:hideMark/>
          </w:tcPr>
          <w:p w14:paraId="7C2FE80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0.032</w:t>
            </w:r>
          </w:p>
        </w:tc>
      </w:tr>
      <w:tr w:rsidR="00BC3AE3" w:rsidRPr="00CF362F" w14:paraId="7BD97236"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FAE55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Ni</w:t>
            </w:r>
          </w:p>
        </w:tc>
        <w:tc>
          <w:tcPr>
            <w:tcW w:w="0" w:type="auto"/>
            <w:hideMark/>
          </w:tcPr>
          <w:p w14:paraId="5F3D90C0"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57E6F48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-3.28</w:t>
            </w:r>
          </w:p>
        </w:tc>
        <w:tc>
          <w:tcPr>
            <w:tcW w:w="0" w:type="auto"/>
            <w:hideMark/>
          </w:tcPr>
          <w:p w14:paraId="523FFCFE"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0.003</w:t>
            </w:r>
          </w:p>
        </w:tc>
      </w:tr>
      <w:tr w:rsidR="00BC3AE3" w:rsidRPr="00CF362F" w14:paraId="2EF4A320"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FF8EEE"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Ni</w:t>
            </w:r>
          </w:p>
        </w:tc>
        <w:tc>
          <w:tcPr>
            <w:tcW w:w="0" w:type="auto"/>
            <w:hideMark/>
          </w:tcPr>
          <w:p w14:paraId="6A1B307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301FA75E"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-2.50</w:t>
            </w:r>
          </w:p>
        </w:tc>
        <w:tc>
          <w:tcPr>
            <w:tcW w:w="0" w:type="auto"/>
            <w:hideMark/>
          </w:tcPr>
          <w:p w14:paraId="49647BF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0.018</w:t>
            </w:r>
          </w:p>
        </w:tc>
      </w:tr>
      <w:tr w:rsidR="00BC3AE3" w:rsidRPr="00CF362F" w14:paraId="0702CECB"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22C7C8"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Pb</w:t>
            </w:r>
          </w:p>
        </w:tc>
        <w:tc>
          <w:tcPr>
            <w:tcW w:w="0" w:type="auto"/>
            <w:hideMark/>
          </w:tcPr>
          <w:p w14:paraId="23573699"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63D657A2"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-5.45</w:t>
            </w:r>
          </w:p>
        </w:tc>
        <w:tc>
          <w:tcPr>
            <w:tcW w:w="0" w:type="auto"/>
            <w:hideMark/>
          </w:tcPr>
          <w:p w14:paraId="30ECC9B4"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&lt;0.0001</w:t>
            </w:r>
          </w:p>
        </w:tc>
      </w:tr>
      <w:tr w:rsidR="00BC3AE3" w:rsidRPr="00CF362F" w14:paraId="428E896A"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C3F167"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Pb</w:t>
            </w:r>
          </w:p>
        </w:tc>
        <w:tc>
          <w:tcPr>
            <w:tcW w:w="0" w:type="auto"/>
            <w:hideMark/>
          </w:tcPr>
          <w:p w14:paraId="2510C3F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Cotonou – Natitingou</w:t>
            </w:r>
          </w:p>
        </w:tc>
        <w:tc>
          <w:tcPr>
            <w:tcW w:w="0" w:type="auto"/>
            <w:hideMark/>
          </w:tcPr>
          <w:p w14:paraId="0F3B1335"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-4.66</w:t>
            </w:r>
          </w:p>
        </w:tc>
        <w:tc>
          <w:tcPr>
            <w:tcW w:w="0" w:type="auto"/>
            <w:hideMark/>
          </w:tcPr>
          <w:p w14:paraId="685C935F"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&lt;0.0001</w:t>
            </w:r>
          </w:p>
        </w:tc>
      </w:tr>
      <w:tr w:rsidR="00BC3AE3" w:rsidRPr="00CF362F" w14:paraId="115FE0EB" w14:textId="77777777" w:rsidTr="00155B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3A828B"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Zn</w:t>
            </w:r>
          </w:p>
        </w:tc>
        <w:tc>
          <w:tcPr>
            <w:tcW w:w="0" w:type="auto"/>
            <w:hideMark/>
          </w:tcPr>
          <w:p w14:paraId="6CAF02EF"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val="fr-FR" w:eastAsia="fr-FR"/>
              </w:rPr>
            </w:pPr>
            <w:r w:rsidRPr="00CF362F">
              <w:rPr>
                <w:rFonts w:eastAsia="Times New Roman"/>
                <w:szCs w:val="20"/>
                <w:lang w:eastAsia="fr-FR"/>
              </w:rPr>
              <w:t xml:space="preserve">Abomey-Calavi vs </w:t>
            </w:r>
            <w:r w:rsidRPr="00CF362F">
              <w:rPr>
                <w:rFonts w:eastAsia="Times New Roman"/>
                <w:szCs w:val="20"/>
                <w:lang w:val="fr-FR" w:eastAsia="fr-FR"/>
              </w:rPr>
              <w:t>others</w:t>
            </w:r>
          </w:p>
        </w:tc>
        <w:tc>
          <w:tcPr>
            <w:tcW w:w="0" w:type="auto"/>
            <w:hideMark/>
          </w:tcPr>
          <w:p w14:paraId="11106F28"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-3.54</w:t>
            </w:r>
          </w:p>
        </w:tc>
        <w:tc>
          <w:tcPr>
            <w:tcW w:w="0" w:type="auto"/>
            <w:hideMark/>
          </w:tcPr>
          <w:p w14:paraId="3E850D66" w14:textId="77777777" w:rsidR="00BC3AE3" w:rsidRPr="00CF362F" w:rsidRDefault="00BC3AE3" w:rsidP="00781B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szCs w:val="20"/>
                <w:lang w:eastAsia="fr-FR"/>
              </w:rPr>
            </w:pPr>
            <w:r w:rsidRPr="00CF362F">
              <w:rPr>
                <w:rFonts w:eastAsia="Times New Roman"/>
                <w:szCs w:val="20"/>
                <w:lang w:eastAsia="fr-FR"/>
              </w:rPr>
              <w:t>0.0012</w:t>
            </w:r>
          </w:p>
        </w:tc>
      </w:tr>
      <w:tr w:rsidR="00BC3AE3" w:rsidRPr="00CF362F" w14:paraId="660036BD" w14:textId="77777777" w:rsidTr="00155B6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444933" w14:textId="77777777" w:rsidR="00BC3AE3" w:rsidRPr="00CF362F" w:rsidRDefault="00BC3AE3" w:rsidP="00781B95">
            <w:pPr>
              <w:spacing w:line="360" w:lineRule="auto"/>
              <w:rPr>
                <w:rFonts w:eastAsia="Times New Roman"/>
                <w:szCs w:val="20"/>
                <w:lang w:eastAsia="fr-FR"/>
              </w:rPr>
            </w:pPr>
            <w:r w:rsidRPr="00CF362F">
              <w:rPr>
                <w:rFonts w:eastAsia="Times New Roman"/>
                <w:szCs w:val="20"/>
                <w:lang w:eastAsia="fr-FR"/>
              </w:rPr>
              <w:t>Zn</w:t>
            </w:r>
          </w:p>
        </w:tc>
        <w:tc>
          <w:tcPr>
            <w:tcW w:w="0" w:type="auto"/>
            <w:hideMark/>
          </w:tcPr>
          <w:p w14:paraId="24B8FB5A"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Cotonou – Natitingou</w:t>
            </w:r>
          </w:p>
        </w:tc>
        <w:tc>
          <w:tcPr>
            <w:tcW w:w="0" w:type="auto"/>
            <w:hideMark/>
          </w:tcPr>
          <w:p w14:paraId="678F6CA8"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-2.31</w:t>
            </w:r>
          </w:p>
        </w:tc>
        <w:tc>
          <w:tcPr>
            <w:tcW w:w="0" w:type="auto"/>
            <w:hideMark/>
          </w:tcPr>
          <w:p w14:paraId="04485562" w14:textId="77777777" w:rsidR="00BC3AE3" w:rsidRPr="00CF362F" w:rsidRDefault="00BC3AE3" w:rsidP="00781B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szCs w:val="20"/>
                <w:lang w:eastAsia="fr-FR"/>
              </w:rPr>
            </w:pPr>
            <w:r w:rsidRPr="00CF362F">
              <w:rPr>
                <w:rFonts w:eastAsia="Times New Roman"/>
                <w:szCs w:val="20"/>
                <w:lang w:eastAsia="fr-FR"/>
              </w:rPr>
              <w:t>0.032</w:t>
            </w:r>
          </w:p>
        </w:tc>
      </w:tr>
    </w:tbl>
    <w:p w14:paraId="3140DBF5" w14:textId="77777777" w:rsidR="003C3D22" w:rsidRDefault="003C3D22" w:rsidP="003C3D22">
      <w:pPr>
        <w:spacing w:line="360" w:lineRule="auto"/>
        <w:ind w:left="0" w:firstLine="0"/>
        <w:rPr>
          <w:szCs w:val="20"/>
        </w:rPr>
        <w:sectPr w:rsidR="003C3D22" w:rsidSect="003C3D22">
          <w:type w:val="continuous"/>
          <w:pgSz w:w="11906" w:h="16838"/>
          <w:pgMar w:top="1417" w:right="1417" w:bottom="1417" w:left="1417" w:header="708" w:footer="708" w:gutter="0"/>
          <w:cols w:space="708"/>
          <w:docGrid w:linePitch="360"/>
        </w:sectPr>
      </w:pPr>
    </w:p>
    <w:p w14:paraId="2043240B" w14:textId="77777777" w:rsidR="003C3D22" w:rsidRDefault="003C3D22" w:rsidP="00781B95">
      <w:pPr>
        <w:pStyle w:val="NormalWeb"/>
        <w:spacing w:before="0" w:beforeAutospacing="0" w:after="0" w:afterAutospacing="0" w:line="360" w:lineRule="auto"/>
        <w:rPr>
          <w:rFonts w:ascii="Arial" w:hAnsi="Arial" w:cs="Arial"/>
          <w:b/>
          <w:bCs/>
          <w:sz w:val="20"/>
          <w:szCs w:val="20"/>
          <w:lang w:val="en-US"/>
        </w:rPr>
        <w:sectPr w:rsidR="003C3D22" w:rsidSect="003C3D22">
          <w:type w:val="continuous"/>
          <w:pgSz w:w="11906" w:h="16838"/>
          <w:pgMar w:top="1417" w:right="1417" w:bottom="1417" w:left="1417" w:header="708" w:footer="708" w:gutter="0"/>
          <w:cols w:num="2" w:space="708"/>
          <w:docGrid w:linePitch="360"/>
        </w:sectPr>
      </w:pPr>
    </w:p>
    <w:p w14:paraId="4ACA6BE6" w14:textId="77777777" w:rsidR="003C3D22" w:rsidRDefault="00BC3AE3" w:rsidP="00781B95">
      <w:pPr>
        <w:pStyle w:val="NormalWeb"/>
        <w:spacing w:before="0" w:beforeAutospacing="0" w:after="0" w:afterAutospacing="0" w:line="360" w:lineRule="auto"/>
        <w:rPr>
          <w:rFonts w:ascii="Arial" w:hAnsi="Arial" w:cs="Arial"/>
          <w:sz w:val="20"/>
          <w:szCs w:val="20"/>
          <w:lang w:val="en-US"/>
        </w:rPr>
        <w:sectPr w:rsidR="003C3D22" w:rsidSect="003C3D22">
          <w:type w:val="continuous"/>
          <w:pgSz w:w="11906" w:h="16838"/>
          <w:pgMar w:top="1417" w:right="1417" w:bottom="1417" w:left="1417" w:header="708" w:footer="708" w:gutter="0"/>
          <w:cols w:space="708"/>
          <w:docGrid w:linePitch="360"/>
        </w:sectPr>
      </w:pPr>
      <w:r w:rsidRPr="00CF362F">
        <w:rPr>
          <w:rFonts w:ascii="Arial" w:hAnsi="Arial" w:cs="Arial"/>
          <w:b/>
          <w:bCs/>
          <w:sz w:val="20"/>
          <w:szCs w:val="20"/>
          <w:lang w:val="en-US"/>
        </w:rPr>
        <w:t>Igeo class reminder (Müller, 1969)</w:t>
      </w:r>
    </w:p>
    <w:p w14:paraId="529A2F58" w14:textId="77777777" w:rsidR="00BC3AE3" w:rsidRPr="00CF362F" w:rsidRDefault="00BC3AE3" w:rsidP="00781B95">
      <w:pPr>
        <w:pStyle w:val="NormalWeb"/>
        <w:spacing w:before="0" w:beforeAutospacing="0" w:after="0" w:afterAutospacing="0" w:line="360" w:lineRule="auto"/>
        <w:rPr>
          <w:rFonts w:ascii="Arial" w:hAnsi="Arial" w:cs="Arial"/>
          <w:sz w:val="20"/>
          <w:szCs w:val="20"/>
          <w:lang w:val="en-US"/>
        </w:rPr>
      </w:pPr>
      <w:r w:rsidRPr="00CF362F">
        <w:rPr>
          <w:rFonts w:ascii="Arial" w:hAnsi="Arial" w:cs="Arial"/>
          <w:sz w:val="20"/>
          <w:szCs w:val="20"/>
          <w:lang w:val="en-US"/>
        </w:rPr>
        <w:t>Class 0: Igeo ≤ 0 → Unpolluted</w:t>
      </w:r>
      <w:r w:rsidRPr="00CF362F">
        <w:rPr>
          <w:rFonts w:ascii="Arial" w:hAnsi="Arial" w:cs="Arial"/>
          <w:sz w:val="20"/>
          <w:szCs w:val="20"/>
          <w:lang w:val="en-US"/>
        </w:rPr>
        <w:br/>
        <w:t>Class 1: 0 &lt; Igeo ≤ 1 → Unpolluted to moderately polluted</w:t>
      </w:r>
      <w:r w:rsidRPr="00CF362F">
        <w:rPr>
          <w:rFonts w:ascii="Arial" w:hAnsi="Arial" w:cs="Arial"/>
          <w:sz w:val="20"/>
          <w:szCs w:val="20"/>
          <w:lang w:val="en-US"/>
        </w:rPr>
        <w:br/>
        <w:t>Class 2: 1 &lt; Igeo ≤ 2 → Moderately polluted</w:t>
      </w:r>
      <w:r w:rsidRPr="00CF362F">
        <w:rPr>
          <w:rFonts w:ascii="Arial" w:hAnsi="Arial" w:cs="Arial"/>
          <w:sz w:val="20"/>
          <w:szCs w:val="20"/>
          <w:lang w:val="en-US"/>
        </w:rPr>
        <w:br/>
        <w:t>Class 3: 2 &lt; Igeo ≤ 3 → Moderately to heavily polluted</w:t>
      </w:r>
      <w:r w:rsidRPr="00CF362F">
        <w:rPr>
          <w:rFonts w:ascii="Arial" w:hAnsi="Arial" w:cs="Arial"/>
          <w:sz w:val="20"/>
          <w:szCs w:val="20"/>
          <w:lang w:val="en-US"/>
        </w:rPr>
        <w:br/>
        <w:t>Class 4: 3 &lt; Igeo ≤ 4 → Heavily polluted</w:t>
      </w:r>
      <w:r w:rsidRPr="00CF362F">
        <w:rPr>
          <w:rFonts w:ascii="Arial" w:hAnsi="Arial" w:cs="Arial"/>
          <w:sz w:val="20"/>
          <w:szCs w:val="20"/>
          <w:lang w:val="en-US"/>
        </w:rPr>
        <w:br/>
        <w:t>Class 5: 4 &lt; Igeo ≤ 5 → Heavily to extremely polluted</w:t>
      </w:r>
      <w:r w:rsidRPr="00CF362F">
        <w:rPr>
          <w:rFonts w:ascii="Arial" w:hAnsi="Arial" w:cs="Arial"/>
          <w:sz w:val="20"/>
          <w:szCs w:val="20"/>
          <w:lang w:val="en-US"/>
        </w:rPr>
        <w:br/>
        <w:t>Class 6: Igeo &gt; 5 → Extremely polluted</w:t>
      </w:r>
    </w:p>
    <w:p w14:paraId="0017262E" w14:textId="77777777" w:rsidR="003C3D22" w:rsidRDefault="003C3D22" w:rsidP="00DA7C10">
      <w:pPr>
        <w:spacing w:line="360" w:lineRule="auto"/>
        <w:jc w:val="center"/>
        <w:rPr>
          <w:b/>
          <w:bCs/>
          <w:szCs w:val="20"/>
        </w:rPr>
        <w:sectPr w:rsidR="003C3D22" w:rsidSect="00DA7C10">
          <w:type w:val="continuous"/>
          <w:pgSz w:w="11906" w:h="16838"/>
          <w:pgMar w:top="1417" w:right="1417" w:bottom="1417" w:left="1417" w:header="708" w:footer="708" w:gutter="0"/>
          <w:cols w:space="708"/>
          <w:docGrid w:linePitch="360"/>
        </w:sectPr>
      </w:pPr>
    </w:p>
    <w:p w14:paraId="132052B5" w14:textId="77777777" w:rsidR="00307F34" w:rsidRDefault="00307F34" w:rsidP="00781B95">
      <w:pPr>
        <w:spacing w:after="0" w:line="360" w:lineRule="auto"/>
        <w:ind w:left="0" w:right="0" w:firstLine="0"/>
        <w:jc w:val="left"/>
      </w:pPr>
    </w:p>
    <w:sectPr w:rsidR="00307F34" w:rsidSect="003C3D22">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C3230" w14:textId="77777777" w:rsidR="00746597" w:rsidRDefault="00746597">
      <w:pPr>
        <w:spacing w:after="0" w:line="240" w:lineRule="auto"/>
      </w:pPr>
      <w:r>
        <w:separator/>
      </w:r>
    </w:p>
  </w:endnote>
  <w:endnote w:type="continuationSeparator" w:id="0">
    <w:p w14:paraId="69AB5410" w14:textId="77777777" w:rsidR="00746597" w:rsidRDefault="0074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2469" w14:textId="77777777" w:rsidR="00307F34" w:rsidRDefault="00307F3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26B4" w14:textId="77777777" w:rsidR="00307F34" w:rsidRDefault="00746597">
    <w:pPr>
      <w:spacing w:after="0" w:line="259" w:lineRule="auto"/>
      <w:ind w:left="0" w:right="22" w:firstLine="0"/>
      <w:jc w:val="center"/>
    </w:pPr>
    <w:r>
      <w:rPr>
        <w:sz w:val="28"/>
      </w:rPr>
      <w:t xml:space="preserve"> </w:t>
    </w:r>
  </w:p>
  <w:p w14:paraId="35A9C559" w14:textId="77777777" w:rsidR="00307F34" w:rsidRDefault="00746597">
    <w:pPr>
      <w:spacing w:after="0" w:line="259" w:lineRule="auto"/>
      <w:ind w:left="0" w:right="105" w:firstLine="0"/>
      <w:jc w:val="center"/>
    </w:pPr>
    <w:r>
      <w:fldChar w:fldCharType="begin"/>
    </w:r>
    <w:r>
      <w:instrText xml:space="preserve"> PAGE   \* MERGEFORMAT </w:instrText>
    </w:r>
    <w:r>
      <w:fldChar w:fldCharType="separate"/>
    </w:r>
    <w:r>
      <w:t>367</w:t>
    </w:r>
    <w:r>
      <w:fldChar w:fldCharType="end"/>
    </w:r>
    <w:r>
      <w:t xml:space="preserve"> </w:t>
    </w:r>
  </w:p>
  <w:p w14:paraId="4D04A7D8" w14:textId="77777777" w:rsidR="00307F34" w:rsidRDefault="00746597">
    <w:pPr>
      <w:spacing w:after="0" w:line="259" w:lineRule="auto"/>
      <w:ind w:left="0" w:right="64" w:firstLine="0"/>
      <w:jc w:val="center"/>
    </w:pPr>
    <w:r>
      <w:rPr>
        <w:rFonts w:ascii="Calibri" w:eastAsia="Calibri" w:hAnsi="Calibri" w:cs="Calibri"/>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5CE7" w14:textId="77777777" w:rsidR="00307F34" w:rsidRDefault="00307F3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4F67C" w14:textId="77777777" w:rsidR="00746597" w:rsidRDefault="00746597">
      <w:pPr>
        <w:spacing w:after="0" w:line="240" w:lineRule="auto"/>
      </w:pPr>
      <w:r>
        <w:separator/>
      </w:r>
    </w:p>
  </w:footnote>
  <w:footnote w:type="continuationSeparator" w:id="0">
    <w:p w14:paraId="42BA8641" w14:textId="77777777" w:rsidR="00746597" w:rsidRDefault="00746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D2DA2" w14:textId="2E4335EF" w:rsidR="00307F34" w:rsidRDefault="006C3156">
    <w:pPr>
      <w:spacing w:after="160" w:line="259" w:lineRule="auto"/>
      <w:ind w:left="0" w:right="0" w:firstLine="0"/>
      <w:jc w:val="left"/>
    </w:pPr>
    <w:r>
      <w:rPr>
        <w:noProof/>
      </w:rPr>
      <w:pict w14:anchorId="47A20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9217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9FF8" w14:textId="276FEF1E" w:rsidR="00307F34" w:rsidRDefault="006C3156">
    <w:pPr>
      <w:spacing w:after="0" w:line="259" w:lineRule="auto"/>
      <w:ind w:left="0" w:right="55" w:firstLine="0"/>
      <w:jc w:val="right"/>
    </w:pPr>
    <w:r>
      <w:rPr>
        <w:noProof/>
      </w:rPr>
      <w:pict w14:anchorId="79B4C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92173"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r w:rsidR="00746597">
      <w:rPr>
        <w:i/>
        <w:sz w:val="16"/>
      </w:rPr>
      <w:t xml:space="preserve"> </w:t>
    </w:r>
  </w:p>
  <w:p w14:paraId="7E4EB7CC" w14:textId="77777777" w:rsidR="00307F34" w:rsidRDefault="00746597">
    <w:pPr>
      <w:spacing w:after="0" w:line="259" w:lineRule="auto"/>
      <w:ind w:left="0" w:right="55" w:firstLine="0"/>
      <w:jc w:val="right"/>
    </w:pPr>
    <w:r>
      <w:rPr>
        <w:i/>
        <w:sz w:val="16"/>
      </w:rPr>
      <w:t xml:space="preserve"> </w:t>
    </w:r>
  </w:p>
  <w:p w14:paraId="2CEDF61F" w14:textId="77777777" w:rsidR="00307F34" w:rsidRDefault="00746597">
    <w:pPr>
      <w:spacing w:after="0" w:line="259" w:lineRule="auto"/>
      <w:ind w:left="0" w:right="55" w:firstLine="0"/>
      <w:jc w:val="right"/>
    </w:pPr>
    <w:r>
      <w:rPr>
        <w:i/>
        <w:sz w:val="16"/>
      </w:rPr>
      <w:t xml:space="preserve"> </w:t>
    </w:r>
  </w:p>
  <w:p w14:paraId="4007DFCC" w14:textId="77777777" w:rsidR="00307F34" w:rsidRDefault="00307F34">
    <w:pPr>
      <w:spacing w:after="0" w:line="259" w:lineRule="auto"/>
      <w:ind w:left="0" w:right="55" w:firstLine="0"/>
      <w:jc w:val="right"/>
    </w:pPr>
  </w:p>
  <w:p w14:paraId="09217B77" w14:textId="77777777" w:rsidR="00307F34" w:rsidRDefault="00746597">
    <w:pPr>
      <w:spacing w:after="0" w:line="259" w:lineRule="auto"/>
      <w:ind w:left="0" w:right="55" w:firstLine="0"/>
      <w:jc w:val="righ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9E561" w14:textId="4B7E5180" w:rsidR="00307F34" w:rsidRDefault="006C3156">
    <w:pPr>
      <w:spacing w:after="160" w:line="259" w:lineRule="auto"/>
      <w:ind w:left="0" w:right="0" w:firstLine="0"/>
      <w:jc w:val="left"/>
    </w:pPr>
    <w:r>
      <w:rPr>
        <w:noProof/>
      </w:rPr>
      <w:pict w14:anchorId="10489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19217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grammar="clean"/>
  <w:defaultTabStop w:val="708"/>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34"/>
    <w:rsid w:val="000C0887"/>
    <w:rsid w:val="0011124F"/>
    <w:rsid w:val="00155B6E"/>
    <w:rsid w:val="002428A6"/>
    <w:rsid w:val="00307F34"/>
    <w:rsid w:val="00366DC1"/>
    <w:rsid w:val="003C3D22"/>
    <w:rsid w:val="003F4DCB"/>
    <w:rsid w:val="00444A39"/>
    <w:rsid w:val="00463B34"/>
    <w:rsid w:val="004763F0"/>
    <w:rsid w:val="004D21A4"/>
    <w:rsid w:val="00683CBD"/>
    <w:rsid w:val="006C3156"/>
    <w:rsid w:val="00746597"/>
    <w:rsid w:val="00781B95"/>
    <w:rsid w:val="00807BBC"/>
    <w:rsid w:val="00823C69"/>
    <w:rsid w:val="00883D12"/>
    <w:rsid w:val="009B2844"/>
    <w:rsid w:val="00A63CA8"/>
    <w:rsid w:val="00B46EE9"/>
    <w:rsid w:val="00B96F9E"/>
    <w:rsid w:val="00BA1B6C"/>
    <w:rsid w:val="00BC3AE3"/>
    <w:rsid w:val="00C05F85"/>
    <w:rsid w:val="00C572D9"/>
    <w:rsid w:val="00CA54B7"/>
    <w:rsid w:val="00D5303F"/>
    <w:rsid w:val="00DA7C10"/>
    <w:rsid w:val="00E1253F"/>
    <w:rsid w:val="00E5720C"/>
    <w:rsid w:val="00E8791C"/>
    <w:rsid w:val="00EA3375"/>
    <w:rsid w:val="00EE726D"/>
    <w:rsid w:val="00F8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649B5"/>
  <w15:docId w15:val="{F6AF6319-4319-5E43-8897-F72CF149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8" w:hanging="10"/>
      <w:jc w:val="both"/>
    </w:pPr>
    <w:rPr>
      <w:rFonts w:ascii="Arial" w:eastAsia="Arial" w:hAnsi="Arial" w:cs="Arial"/>
      <w:color w:val="000000"/>
      <w:sz w:val="20"/>
      <w:lang w:eastAsia="en-US" w:bidi="en-US"/>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3" w:line="259" w:lineRule="auto"/>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5720C"/>
    <w:rPr>
      <w:color w:val="0563C1" w:themeColor="hyperlink"/>
      <w:u w:val="single"/>
    </w:rPr>
  </w:style>
  <w:style w:type="character" w:styleId="UnresolvedMention">
    <w:name w:val="Unresolved Mention"/>
    <w:basedOn w:val="DefaultParagraphFont"/>
    <w:uiPriority w:val="99"/>
    <w:semiHidden/>
    <w:unhideWhenUsed/>
    <w:rsid w:val="00E5720C"/>
    <w:rPr>
      <w:color w:val="605E5C"/>
      <w:shd w:val="clear" w:color="auto" w:fill="E1DFDD"/>
    </w:rPr>
  </w:style>
  <w:style w:type="character" w:styleId="Strong">
    <w:name w:val="Strong"/>
    <w:basedOn w:val="DefaultParagraphFont"/>
    <w:uiPriority w:val="22"/>
    <w:qFormat/>
    <w:rsid w:val="00823C69"/>
    <w:rPr>
      <w:b/>
      <w:bCs/>
    </w:rPr>
  </w:style>
  <w:style w:type="paragraph" w:styleId="NormalWeb">
    <w:name w:val="Normal (Web)"/>
    <w:basedOn w:val="Normal"/>
    <w:uiPriority w:val="99"/>
    <w:unhideWhenUsed/>
    <w:rsid w:val="00823C69"/>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fr-FR" w:eastAsia="fr-FR" w:bidi="ar-SA"/>
      <w14:ligatures w14:val="none"/>
    </w:rPr>
  </w:style>
  <w:style w:type="table" w:styleId="PlainTable2">
    <w:name w:val="Plain Table 2"/>
    <w:basedOn w:val="TableNormal"/>
    <w:uiPriority w:val="99"/>
    <w:rsid w:val="00823C69"/>
    <w:pPr>
      <w:spacing w:after="0" w:line="240" w:lineRule="auto"/>
    </w:pPr>
    <w:rPr>
      <w:kern w:val="0"/>
      <w:sz w:val="22"/>
      <w:szCs w:val="22"/>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0">
    <w:name w:val="Table Grid"/>
    <w:basedOn w:val="TableNormal"/>
    <w:uiPriority w:val="59"/>
    <w:rsid w:val="00823C69"/>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3C69"/>
    <w:rPr>
      <w:i/>
      <w:iCs/>
    </w:rPr>
  </w:style>
  <w:style w:type="character" w:customStyle="1" w:styleId="relative">
    <w:name w:val="relative"/>
    <w:basedOn w:val="DefaultParagraphFont"/>
    <w:rsid w:val="00823C69"/>
  </w:style>
  <w:style w:type="paragraph" w:customStyle="1" w:styleId="not-prose">
    <w:name w:val="not-prose"/>
    <w:basedOn w:val="Normal"/>
    <w:rsid w:val="00823C69"/>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fr-FR" w:eastAsia="fr-FR" w:bidi="ar-SA"/>
      <w14:ligatures w14:val="none"/>
    </w:rPr>
  </w:style>
  <w:style w:type="table" w:customStyle="1" w:styleId="TableGrid1">
    <w:name w:val="Table Grid1"/>
    <w:basedOn w:val="TableNormal"/>
    <w:next w:val="TableGrid0"/>
    <w:uiPriority w:val="39"/>
    <w:rsid w:val="00463B34"/>
    <w:pPr>
      <w:spacing w:after="0" w:line="240" w:lineRule="auto"/>
    </w:pPr>
    <w:rPr>
      <w:rFonts w:eastAsia="Calibr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hazadv.2025.100845" TargetMode="External"/><Relationship Id="rId26" Type="http://schemas.openxmlformats.org/officeDocument/2006/relationships/hyperlink" Target="https://www.iso.org/standard/12630.html" TargetMode="External"/><Relationship Id="rId39" Type="http://schemas.openxmlformats.org/officeDocument/2006/relationships/hyperlink" Target="https://doi.org/10.1130/0016-7606(1961)72%5b175:DOTEIS%5d2.0.CO;2" TargetMode="External"/><Relationship Id="rId21" Type="http://schemas.openxmlformats.org/officeDocument/2006/relationships/hyperlink" Target="https://doi.org/10.1016/j.sciaf.2020.e00614" TargetMode="External"/><Relationship Id="rId34" Type="http://schemas.openxmlformats.org/officeDocument/2006/relationships/hyperlink" Target="https://doi.org/10.3390/su16114347" TargetMode="External"/><Relationship Id="rId42" Type="http://schemas.openxmlformats.org/officeDocument/2006/relationships/hyperlink" Target="https://doi.org/10.1007/s11356-016-6896-6" TargetMode="Externa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doi.org/10.5696/2156-9614-6-11.26" TargetMode="External"/><Relationship Id="rId29" Type="http://schemas.openxmlformats.org/officeDocument/2006/relationships/hyperlink" Target="https://cdn.standards.iteh.ai/samples/38721/0f71e117f8be460d897dd1af360dbe4e/ISO-18512-2007.pdf" TargetMode="External"/><Relationship Id="rId41" Type="http://schemas.openxmlformats.org/officeDocument/2006/relationships/hyperlink" Target="https://doi.org/10.1016/j.epm.2025.09.003"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80/23311843.2017.1405887" TargetMode="External"/><Relationship Id="rId32" Type="http://schemas.openxmlformats.org/officeDocument/2006/relationships/hyperlink" Target="https://infoterre.brgm.fr/rapports/RP-51216-FR.pdf" TargetMode="External"/><Relationship Id="rId37" Type="http://schemas.openxmlformats.org/officeDocument/2006/relationships/hyperlink" Target="https://ssrn.com/abstract=4547135" TargetMode="External"/><Relationship Id="rId40" Type="http://schemas.openxmlformats.org/officeDocument/2006/relationships/hyperlink" Target="https://doi.org/10.1016/j.emcon.2018.10.001" TargetMode="Externa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www.standardmethods.org/doi/10.2105/SMWW.2882.055" TargetMode="External"/><Relationship Id="rId28" Type="http://schemas.openxmlformats.org/officeDocument/2006/relationships/hyperlink" Target="https://www.iso.org/standard/37718.html" TargetMode="External"/><Relationship Id="rId36" Type="http://schemas.openxmlformats.org/officeDocument/2006/relationships/hyperlink" Target="https://www.sciencedirect.com/referencework/9780080885223/treatise-on-geomorphology" TargetMode="External"/><Relationship Id="rId10" Type="http://schemas.openxmlformats.org/officeDocument/2006/relationships/header" Target="header3.xml"/><Relationship Id="rId19" Type="http://schemas.openxmlformats.org/officeDocument/2006/relationships/hyperlink" Target="https://doi.org/10.1016/j.chemosphere.2019.07.014" TargetMode="External"/><Relationship Id="rId31" Type="http://schemas.openxmlformats.org/officeDocument/2006/relationships/hyperlink" Target="https://www.iso.org/standard/62842.html"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s://www.standardmethods.org/doi/10.2105/SMWW.2882.043" TargetMode="External"/><Relationship Id="rId27" Type="http://schemas.openxmlformats.org/officeDocument/2006/relationships/hyperlink" Target="https://cdn.standards.iteh.ai/samples/19070/188e8eea9daf4460a39dce7dd553aefd/ISO-11083-1994.pdf" TargetMode="External"/><Relationship Id="rId30" Type="http://schemas.openxmlformats.org/officeDocument/2006/relationships/hyperlink" Target="https://www.iso.org/standard/57562.html" TargetMode="External"/><Relationship Id="rId35" Type="http://schemas.openxmlformats.org/officeDocument/2006/relationships/hyperlink" Target="https://doi.org/10.1016/j.heliyon.2023.e20438"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iso.org/standard/15408.html" TargetMode="External"/><Relationship Id="rId33" Type="http://schemas.openxmlformats.org/officeDocument/2006/relationships/hyperlink" Target="https://www.sciepub.com/reference/428983?utm_source=chatgpt.com" TargetMode="External"/><Relationship Id="rId38" Type="http://schemas.openxmlformats.org/officeDocument/2006/relationships/hyperlink" Target="https://doi.org/10.5772/intechopen.11239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6815</Words>
  <Characters>38847</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SDI 1084</cp:lastModifiedBy>
  <cp:revision>5</cp:revision>
  <dcterms:created xsi:type="dcterms:W3CDTF">2026-03-26T22:14:00Z</dcterms:created>
  <dcterms:modified xsi:type="dcterms:W3CDTF">2026-03-27T12:00:00Z</dcterms:modified>
</cp:coreProperties>
</file>