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9CD" w:rsidRDefault="00083140" w:rsidP="00083140">
      <w:pPr>
        <w:spacing w:before="100" w:beforeAutospacing="1" w:after="100" w:afterAutospacing="1"/>
        <w:jc w:val="center"/>
      </w:pPr>
      <w:bookmarkStart w:id="0" w:name="_GoBack"/>
      <w:bookmarkEnd w:id="0"/>
      <w:r>
        <w:rPr>
          <w:b/>
          <w:bCs/>
          <w:sz w:val="32"/>
          <w:szCs w:val="32"/>
        </w:rPr>
        <w:t>Artificial Intelligence, Remote Sensing, and Digital Twins in Precision Agriculture: Emerging Tools for Climate-Resilient Crop Production</w:t>
      </w:r>
    </w:p>
    <w:p w:rsidR="00FD69CD" w:rsidRDefault="00FD69CD" w:rsidP="00083140">
      <w:pPr>
        <w:spacing w:before="100" w:beforeAutospacing="1" w:after="100" w:afterAutospacing="1"/>
      </w:pPr>
    </w:p>
    <w:p w:rsidR="00FD69CD" w:rsidRDefault="00083140" w:rsidP="00083140">
      <w:pPr>
        <w:spacing w:before="100" w:beforeAutospacing="1" w:after="100" w:afterAutospacing="1"/>
      </w:pPr>
      <w:r>
        <w:rPr>
          <w:b/>
          <w:bCs/>
        </w:rPr>
        <w:t>Abstract</w:t>
      </w:r>
    </w:p>
    <w:p w:rsidR="00FD69CD" w:rsidRDefault="00083140" w:rsidP="00083140">
      <w:pPr>
        <w:spacing w:before="100" w:beforeAutospacing="1" w:after="100" w:afterAutospacing="1"/>
        <w:jc w:val="both"/>
      </w:pPr>
      <w:r>
        <w:t xml:space="preserve">Global agriculture faces unprecedented and compounding pressures arising from accelerating climate change, a growing human population, and the progressive degradation of the natural resource base upon which food production depends. Precision agriculture has emerged as a paradigm that leverages advanced technologies to improve the efficiency, sustainability, and resilience of crop production systems. This review examines the convergence of three transformative technological domains — artificial intelligence (AI), remote sensing, and digital twins — and their collective application in climate-resilient crop production. Drawing on peer-reviewed literature published predominantly between 2005 and 2026, the review evaluates how machine learning and deep learning algorithms facilitate crop monitoring, yield prediction, and disease detection; how satellite and unmanned aerial vehicle (UAV)-based remote sensing provides spatially explicit, high-resolution data on crop biophysical variables; and how digital twin frameworks integrate real-time sensor data, simulation models, and AI analytics to create dynamic virtual replicas of agricultural systems. The review further analyses synergistic applications of these tools in addressing key climate-resilience challenges, including drought stress management, pest and disease surveillance, and yield </w:t>
      </w:r>
      <w:proofErr w:type="spellStart"/>
      <w:r>
        <w:t>optimisation</w:t>
      </w:r>
      <w:proofErr w:type="spellEnd"/>
      <w:r>
        <w:t xml:space="preserve"> under variable climatic conditions. Despite significant progress, substantial challenges remain, encompassing data interoperability, computational demands, and socio-economic barriers to technology adoption — particularly in low-income agricultural economies. The review concludes that the integrated deployment of AI, remote sensing, and digital twins holds transformative potential for climate-smart agriculture, but </w:t>
      </w:r>
      <w:proofErr w:type="spellStart"/>
      <w:r>
        <w:t>realising</w:t>
      </w:r>
      <w:proofErr w:type="spellEnd"/>
      <w:r>
        <w:t xml:space="preserve"> this potential requires concerted investment in rural digital infrastructure, open-data frameworks, and inclusive capacity-building initiatives.</w:t>
      </w:r>
    </w:p>
    <w:p w:rsidR="00FD69CD" w:rsidRDefault="00083140" w:rsidP="00083140">
      <w:pPr>
        <w:spacing w:before="100" w:beforeAutospacing="1" w:after="100" w:afterAutospacing="1"/>
        <w:jc w:val="both"/>
      </w:pPr>
      <w:r>
        <w:rPr>
          <w:b/>
          <w:bCs/>
        </w:rPr>
        <w:t xml:space="preserve">Keywords: </w:t>
      </w:r>
      <w:r>
        <w:rPr>
          <w:i/>
          <w:iCs/>
        </w:rPr>
        <w:t>precision agriculture; artificial intelligence; remote sensing; digital twins; climate resilience; machine learning; deep learning; crop monitoring; food security</w:t>
      </w:r>
    </w:p>
    <w:p w:rsidR="00FD69CD" w:rsidRDefault="00FD69CD" w:rsidP="00083140">
      <w:pPr>
        <w:spacing w:before="100" w:beforeAutospacing="1" w:after="100" w:afterAutospacing="1"/>
      </w:pPr>
    </w:p>
    <w:p w:rsidR="00FD69CD" w:rsidRDefault="00083140" w:rsidP="00083140">
      <w:pPr>
        <w:pStyle w:val="Heading1"/>
        <w:spacing w:before="100" w:beforeAutospacing="1" w:after="100" w:afterAutospacing="1"/>
      </w:pPr>
      <w:r>
        <w:t>1. Introduction</w:t>
      </w:r>
    </w:p>
    <w:p w:rsidR="00FD69CD" w:rsidRDefault="00083140" w:rsidP="00083140">
      <w:pPr>
        <w:spacing w:before="100" w:beforeAutospacing="1" w:after="100" w:afterAutospacing="1"/>
        <w:jc w:val="both"/>
      </w:pPr>
      <w:r>
        <w:t xml:space="preserve">The global food system is confronting a convergence of escalating and interrelated pressures that collectively demand a fundamental transformation of agricultural practice. The world population is projected to reach approximately 9.7 billion by 2050, necessitating a substantial increase in agricultural output even as the natural resource base supporting food production undergoes significant and, in some cases, irreversible degradation (FAO, 2023). Climate change compounds these challenges by altering precipitation patterns, increasing the frequency and intensity of extreme weather events, accelerating soil moisture deficits, and shifting agroclimatic zones in ways that threaten the productivity of staple crops across the major breadbasket regions of the world. Wheeler and von Braun (2013) demonstrated that climate change exerts a coherent and robust negative influence on global crop productivity, with the stability of entire food systems at risk from short-term variability in supply. These </w:t>
      </w:r>
      <w:r>
        <w:lastRenderedPageBreak/>
        <w:t>overlapping pressures generate a compelling imperative to transform agricultural systems through technological innovation.</w:t>
      </w:r>
    </w:p>
    <w:p w:rsidR="00FD69CD" w:rsidRDefault="00083140" w:rsidP="00083140">
      <w:pPr>
        <w:spacing w:before="100" w:beforeAutospacing="1" w:after="100" w:afterAutospacing="1"/>
        <w:jc w:val="both"/>
      </w:pPr>
      <w:r>
        <w:t xml:space="preserve">Precision agriculture represents a paradigmatic response to these challenges. Rather than applying uniform management practices across entire fields, precision agriculture uses spatially explicit information to tailor inputs — including water, </w:t>
      </w:r>
      <w:proofErr w:type="spellStart"/>
      <w:r>
        <w:t>fertilisers</w:t>
      </w:r>
      <w:proofErr w:type="spellEnd"/>
      <w:r>
        <w:t>, pesticides, and seed rates — to the specific biophysical requirements of different management zones within a field (</w:t>
      </w:r>
      <w:proofErr w:type="spellStart"/>
      <w:r>
        <w:t>Gebbers</w:t>
      </w:r>
      <w:proofErr w:type="spellEnd"/>
      <w:r>
        <w:t xml:space="preserve"> &amp; </w:t>
      </w:r>
      <w:proofErr w:type="spellStart"/>
      <w:r>
        <w:t>Adamchuk</w:t>
      </w:r>
      <w:proofErr w:type="spellEnd"/>
      <w:r>
        <w:t xml:space="preserve">, 2010). The discipline has evolved considerably since its origins in the 1980s, when GPS-guided variable-rate technology first enabled site-specific crop management. Today, the field encompasses a rich ecosystem of sensing, computing, and communication technologies that collectively enable data-driven decision-making at multiple temporal and spatial scales. </w:t>
      </w:r>
      <w:proofErr w:type="spellStart"/>
      <w:r>
        <w:t>Wolfert</w:t>
      </w:r>
      <w:proofErr w:type="spellEnd"/>
      <w:r>
        <w:t xml:space="preserve"> et al. (2017) argued that big data — </w:t>
      </w:r>
      <w:proofErr w:type="spellStart"/>
      <w:r>
        <w:t>characterised</w:t>
      </w:r>
      <w:proofErr w:type="spellEnd"/>
      <w:r>
        <w:t xml:space="preserve"> by its volume, velocity, variety, and veracity — is becoming a central asset in smart farming, with data integration across sensors, platforms, and management layers enabling new levels of production </w:t>
      </w:r>
      <w:proofErr w:type="spellStart"/>
      <w:r>
        <w:t>optimisation</w:t>
      </w:r>
      <w:proofErr w:type="spellEnd"/>
      <w:r>
        <w:t>.</w:t>
      </w:r>
    </w:p>
    <w:p w:rsidR="00FD69CD" w:rsidRDefault="00083140" w:rsidP="00083140">
      <w:pPr>
        <w:spacing w:before="100" w:beforeAutospacing="1" w:after="100" w:afterAutospacing="1"/>
        <w:jc w:val="both"/>
      </w:pPr>
      <w:r>
        <w:t>The past decade has witnessed a dramatic acceleration in the capabilities of three interlocking technological domains that are reshaping the frontier of precision agriculture: artificial intelligence (AI), remote sensing, and digital twins. AI, particularly in its machine learning and deep learning manifestations, has demonstrated remarkable capacity to extract actionable insights from complex, high-dimensional agricultural datasets (</w:t>
      </w:r>
      <w:proofErr w:type="spellStart"/>
      <w:r>
        <w:t>LeCun</w:t>
      </w:r>
      <w:proofErr w:type="spellEnd"/>
      <w:r>
        <w:t xml:space="preserve"> et al., 2015; </w:t>
      </w:r>
      <w:proofErr w:type="spellStart"/>
      <w:r>
        <w:t>Liakos</w:t>
      </w:r>
      <w:proofErr w:type="spellEnd"/>
      <w:r>
        <w:t xml:space="preserve"> et al., 2018). Remote sensing platforms — spanning polar-orbiting satellites, geostationary satellites, and unmanned aerial vehicles — now deliver imagery across a wide range of spatial resolutions, spectral bands, and temporal frequencies, providing an unprecedented window into crop growth dynamics, soil conditions, and environmental stresses (Weiss et al., 2020). Digital twins, </w:t>
      </w:r>
      <w:proofErr w:type="spellStart"/>
      <w:r>
        <w:t>conceptualised</w:t>
      </w:r>
      <w:proofErr w:type="spellEnd"/>
      <w:r>
        <w:t xml:space="preserve"> as real-time digital replicas of physical systems, offer a powerful framework for integrating heterogeneous data streams, running predictive simulations, and enabling virtual experimentation at the farm or field scale without physical interventions (</w:t>
      </w:r>
      <w:proofErr w:type="spellStart"/>
      <w:r>
        <w:t>Pylianidis</w:t>
      </w:r>
      <w:proofErr w:type="spellEnd"/>
      <w:r>
        <w:t xml:space="preserve"> et al., 2021).</w:t>
      </w:r>
    </w:p>
    <w:p w:rsidR="00FD69CD" w:rsidRDefault="00083140" w:rsidP="00083140">
      <w:pPr>
        <w:spacing w:before="100" w:beforeAutospacing="1" w:after="100" w:afterAutospacing="1"/>
        <w:jc w:val="both"/>
      </w:pPr>
      <w:r>
        <w:t>These three domains are not merely additive in their contribution to precision agriculture; their convergence generates synergies that substantially amplify their individual capabilities. AI algorithms trained on remote sensing imagery can detect crop diseases with accuracy approaching that of expert agronomists. Digital twins anchored in remote sensing data and driven by AI prediction engines can simulate the consequences of management decisions under projected climate scenarios, enabling proactive rather than reactive farm management. Together, these tools are beginning to provide farmers, agronomists, and policymakers with the spatially and temporally precise information required to make climate-resilient production decisions in near-real time. The Internet of Things (IoT), which interconnects a diverse array of field sensors, weather stations, soil probes, and farm machinery within unified data platforms, provides the connective infrastructure upon which advanced AI analytics and digital twin systems can operate (</w:t>
      </w:r>
      <w:proofErr w:type="spellStart"/>
      <w:r>
        <w:t>Tzounis</w:t>
      </w:r>
      <w:proofErr w:type="spellEnd"/>
      <w:r>
        <w:t xml:space="preserve"> et al., 2017).</w:t>
      </w:r>
    </w:p>
    <w:p w:rsidR="00FD69CD" w:rsidRDefault="00083140" w:rsidP="00083140">
      <w:pPr>
        <w:spacing w:before="100" w:beforeAutospacing="1" w:after="100" w:afterAutospacing="1"/>
        <w:jc w:val="both"/>
      </w:pPr>
      <w:r>
        <w:t xml:space="preserve">This review </w:t>
      </w:r>
      <w:proofErr w:type="spellStart"/>
      <w:r>
        <w:t>synthesises</w:t>
      </w:r>
      <w:proofErr w:type="spellEnd"/>
      <w:r>
        <w:t xml:space="preserve"> current scientific knowledge on these three domains and their integrated applications in climate-resilient crop production. It is intended to serve researchers, agricultural scientists, technology developers, policymakers, and practitioners with an interest in the digital transformation of agriculture at a time when such transformation has become a matter not merely of economic </w:t>
      </w:r>
      <w:proofErr w:type="spellStart"/>
      <w:r>
        <w:t>optimisation</w:t>
      </w:r>
      <w:proofErr w:type="spellEnd"/>
      <w:r>
        <w:t xml:space="preserve"> but of food security and environmental necessity.</w:t>
      </w:r>
    </w:p>
    <w:p w:rsidR="00FD69CD" w:rsidRDefault="00083140" w:rsidP="00083140">
      <w:pPr>
        <w:pStyle w:val="Heading2"/>
        <w:spacing w:before="100" w:beforeAutospacing="1" w:after="100" w:afterAutospacing="1"/>
      </w:pPr>
      <w:r>
        <w:t>1.1 Scope and Objectives of the Review</w:t>
      </w:r>
    </w:p>
    <w:p w:rsidR="00FD69CD" w:rsidRDefault="00083140" w:rsidP="00083140">
      <w:pPr>
        <w:spacing w:before="100" w:beforeAutospacing="1" w:after="100" w:afterAutospacing="1"/>
        <w:jc w:val="both"/>
      </w:pPr>
      <w:r>
        <w:lastRenderedPageBreak/>
        <w:t>This review provides a comprehensive, critical synthesis of current knowledge on the application of AI, remote sensing, and digital twins in precision agriculture, with particular emphasis on their role in promoting climate-resilient crop production. The specific objectives are: (</w:t>
      </w:r>
      <w:proofErr w:type="spellStart"/>
      <w:r>
        <w:t>i</w:t>
      </w:r>
      <w:proofErr w:type="spellEnd"/>
      <w:r>
        <w:t xml:space="preserve">) to systematically review the principal AI methods and algorithms deployed in precision agriculture; (ii) to evaluate the state of the art in remote sensing platforms and analytical methods for agricultural monitoring; (iii) to examine the conceptual foundations and practical applications of digital twin technology in crop production systems; (iv) to </w:t>
      </w:r>
      <w:proofErr w:type="spellStart"/>
      <w:r>
        <w:t>analyse</w:t>
      </w:r>
      <w:proofErr w:type="spellEnd"/>
      <w:r>
        <w:t xml:space="preserve"> the synergistic potential of these three domains when applied within integrated frameworks; (v) to identify the principal challenges impeding wider adoption of these technologies; and (vi) to outline promising directions for future research and innovation. The review encompasses field crop production as its primary focus but draws on examples from horticultural and protected cultivation systems where these illustrate broader principles applicable to open-field agriculture.</w:t>
      </w:r>
    </w:p>
    <w:p w:rsidR="00FD69CD" w:rsidRDefault="00083140" w:rsidP="00083140">
      <w:pPr>
        <w:pStyle w:val="Heading1"/>
        <w:spacing w:before="100" w:beforeAutospacing="1" w:after="100" w:afterAutospacing="1"/>
      </w:pPr>
      <w:r>
        <w:t>2. Methods for Literature Selection</w:t>
      </w:r>
    </w:p>
    <w:p w:rsidR="00FD69CD" w:rsidRDefault="00083140" w:rsidP="00083140">
      <w:pPr>
        <w:spacing w:before="100" w:beforeAutospacing="1" w:after="100" w:afterAutospacing="1"/>
        <w:jc w:val="both"/>
      </w:pPr>
      <w:r>
        <w:t>This review was conducted through systematic searches of major academic databases, including Web of Science, Scopus, Google Scholar, and PubMed. The primary search strings were constructed around the following keyword combinations: ("precision agriculture" OR "smart farming") AND ("artificial intelligence" OR "machine learning" OR "deep learning"); ("remote sensing" OR "satellite imagery" OR "UAV" OR "drone") AND ("precision agriculture" OR "crop monitoring"); ("digital twin" OR "cyber-physical system") AND ("agriculture" OR "crop production" OR "smart farming"); and ("climate resilience" OR "climate adaptation" OR "climate change") AND ("precision agriculture" OR "crop production"). These core strings were supplemented with additional terms tailored to specific subsections, including terms related to disease detection, yield prediction, water stress, hyperspectral sensing, and IoT integration.</w:t>
      </w:r>
    </w:p>
    <w:p w:rsidR="00FD69CD" w:rsidRDefault="00083140" w:rsidP="00083140">
      <w:pPr>
        <w:spacing w:before="100" w:beforeAutospacing="1" w:after="100" w:afterAutospacing="1"/>
        <w:jc w:val="both"/>
      </w:pPr>
      <w:r>
        <w:t>The search was principally restricted to peer-reviewed journal articles published between 2005 and 2026, a period that encompasses the emergence and maturation of most of the technologies reviewed. Foundational and classic works from earlier periods were included where they provided essential conceptual grounding for contemporary research. Government reports, FAO publications, IPCC assessment reports, and other authoritative intergovernmental documents were included where they provided essential contextual statistics or policy frameworks; these are cited with verifiable DOI numbers. Grey literature, conference proceedings, and book chapters were excluded from the primary citation pool to ensure the quality and verifiability of evidential claims. Duplicate results across databases were removed, and titles and abstracts were screened for relevance before full-text review. Preference was given to review articles, meta-analyses, and high-impact empirical studies. Studies were included if they directly addressed at least one of the three core technological domains — AI, remote sensing, or digital twins — in an agricultural production context.</w:t>
      </w:r>
    </w:p>
    <w:p w:rsidR="00FD69CD" w:rsidRDefault="00083140" w:rsidP="00083140">
      <w:pPr>
        <w:pStyle w:val="Heading1"/>
        <w:spacing w:before="100" w:beforeAutospacing="1" w:after="100" w:afterAutospacing="1"/>
      </w:pPr>
      <w:r>
        <w:t>3. Climate Change and the Imperative for Agricultural Transformation</w:t>
      </w:r>
    </w:p>
    <w:p w:rsidR="00FD69CD" w:rsidRDefault="00083140" w:rsidP="00083140">
      <w:pPr>
        <w:pStyle w:val="Heading2"/>
        <w:spacing w:before="100" w:beforeAutospacing="1" w:after="100" w:afterAutospacing="1"/>
      </w:pPr>
      <w:r>
        <w:t>3.1 Impacts of Climate Change on Global Crop Production</w:t>
      </w:r>
    </w:p>
    <w:p w:rsidR="00FD69CD" w:rsidRDefault="00083140" w:rsidP="00083140">
      <w:pPr>
        <w:spacing w:before="100" w:beforeAutospacing="1" w:after="100" w:afterAutospacing="1"/>
        <w:jc w:val="both"/>
      </w:pPr>
      <w:r>
        <w:t xml:space="preserve">The scientific evidence for anthropogenic climate change and its impacts on agricultural systems is now unambiguous. The Intergovernmental Panel on Climate Change’s Sixth Assessment Report (IPCC, 2022) concluded with high confidence that warming temperatures, shifting precipitation regimes, rising atmospheric CO₂ concentrations, and increasing </w:t>
      </w:r>
      <w:r>
        <w:lastRenderedPageBreak/>
        <w:t>frequency of extreme events — including droughts, floods, and heatwaves — are already reducing yields of major staple crops globally. Wheat and maize have demonstrated statistically significant yield losses attributable to observed climate trends in major production regions, and these trends are projected to intensify without substantial adaptation and mitigation efforts. Wheeler and von Braun (2013) showed that the impacts of climate change on crop productivity are not only negative in most production regions but also create cascading instability throughout food supply chains, disproportionately affecting populations in regions already vulnerable to food insecurity, including large parts of Sub-Saharan Africa and South Asia.</w:t>
      </w:r>
    </w:p>
    <w:p w:rsidR="00FD69CD" w:rsidRDefault="00083140" w:rsidP="00083140">
      <w:pPr>
        <w:spacing w:before="100" w:beforeAutospacing="1" w:after="100" w:afterAutospacing="1"/>
        <w:jc w:val="both"/>
      </w:pPr>
      <w:r>
        <w:t xml:space="preserve">Food demand is simultaneously expanding. The Food and Agriculture </w:t>
      </w:r>
      <w:proofErr w:type="spellStart"/>
      <w:r>
        <w:t>Organisation</w:t>
      </w:r>
      <w:proofErr w:type="spellEnd"/>
      <w:r>
        <w:t xml:space="preserve"> of the United Nations (FAO, 2023) has documented that </w:t>
      </w:r>
      <w:proofErr w:type="spellStart"/>
      <w:r>
        <w:t>agrifood</w:t>
      </w:r>
      <w:proofErr w:type="spellEnd"/>
      <w:r>
        <w:t xml:space="preserve"> systems must become substantially more efficient and sustainable to meet growing global food needs, given the finite availability of arable land, freshwater resources, and other agricultural inputs, alongside the urgent need to reduce the environmental and social costs of food production. The combination of declining land productivity under climate stress and growing demand creates a yield gap that can only be bridged through transformative improvements in agricultural management, technology, and governance. Against this backdrop, the case for deploying advanced digital technologies in agriculture acquires both urgency and moral weight, particularly given that agriculture itself accounts for approximately 10–12% of global greenhouse gas emissions and is simultaneously a major contributor to and a primary victim of climate change (IPCC, 2022).</w:t>
      </w:r>
    </w:p>
    <w:p w:rsidR="00FD69CD" w:rsidRDefault="00083140" w:rsidP="00083140">
      <w:pPr>
        <w:spacing w:before="100" w:beforeAutospacing="1" w:after="100" w:afterAutospacing="1"/>
        <w:jc w:val="both"/>
      </w:pPr>
      <w:r>
        <w:t xml:space="preserve">The mechanisms through which climate change threatens crop production are multiple and interacting. Rising mean temperatures accelerate crop phenology, in some cases shortening growing seasons and reducing the period available for grain filling in cereals, thereby limiting the accumulation of dry matter and yield components. Heat stress during critical reproductive stages reduces pollen viability and </w:t>
      </w:r>
      <w:proofErr w:type="spellStart"/>
      <w:r>
        <w:t>fertilisation</w:t>
      </w:r>
      <w:proofErr w:type="spellEnd"/>
      <w:r>
        <w:t xml:space="preserve"> success, leading to significant yield reductions in crops such as wheat, rice, and maize. Altered rainfall distributions — increasingly </w:t>
      </w:r>
      <w:proofErr w:type="spellStart"/>
      <w:r>
        <w:t>characterised</w:t>
      </w:r>
      <w:proofErr w:type="spellEnd"/>
      <w:r>
        <w:t xml:space="preserve"> by longer dry spells interrupted by intense precipitation events — degrade soil structure, increase erosion, and create either moisture deficits or waterlogging that directly impair root function and nutrient uptake. Elevated temperatures also create more </w:t>
      </w:r>
      <w:proofErr w:type="spellStart"/>
      <w:r>
        <w:t>favourable</w:t>
      </w:r>
      <w:proofErr w:type="spellEnd"/>
      <w:r>
        <w:t xml:space="preserve"> conditions for certain crop pests and pathogens, expanding their geographic range and extending their activity season (Wheeler &amp; von Braun, 2013). These challenges collectively underscore the need for agricultural systems that are not merely efficient under stable conditions, but genuinely resilient — capable of absorbing climatic shocks and recovering rapidly whilst maintaining food production.</w:t>
      </w:r>
    </w:p>
    <w:p w:rsidR="00FD69CD" w:rsidRDefault="00083140" w:rsidP="00083140">
      <w:pPr>
        <w:pStyle w:val="Heading2"/>
        <w:spacing w:before="100" w:beforeAutospacing="1" w:after="100" w:afterAutospacing="1"/>
      </w:pPr>
      <w:r>
        <w:t>3.2 The Emergence of Precision Agriculture as a Response</w:t>
      </w:r>
    </w:p>
    <w:p w:rsidR="00FD69CD" w:rsidRDefault="00083140" w:rsidP="00083140">
      <w:pPr>
        <w:spacing w:before="100" w:beforeAutospacing="1" w:after="100" w:afterAutospacing="1"/>
        <w:jc w:val="both"/>
      </w:pPr>
      <w:r>
        <w:t>Precision agriculture emerged as a formal discipline in the 1980s and 1990s, initially driven by the availability of GPS technology and the recognition that soil properties and crop performance vary considerably within individual fields (</w:t>
      </w:r>
      <w:proofErr w:type="spellStart"/>
      <w:r>
        <w:t>Gebbers</w:t>
      </w:r>
      <w:proofErr w:type="spellEnd"/>
      <w:r>
        <w:t xml:space="preserve"> &amp; </w:t>
      </w:r>
      <w:proofErr w:type="spellStart"/>
      <w:r>
        <w:t>Adamchuk</w:t>
      </w:r>
      <w:proofErr w:type="spellEnd"/>
      <w:r>
        <w:t xml:space="preserve">, 2010). The foundational principle — that the heterogeneity of agricultural fields justifies differentiated, site-specific management rather than uniform input application — has proven to be both agronomically sound and economically compelling. Variable-rate technology for </w:t>
      </w:r>
      <w:proofErr w:type="spellStart"/>
      <w:r>
        <w:t>fertiliser</w:t>
      </w:r>
      <w:proofErr w:type="spellEnd"/>
      <w:r>
        <w:t xml:space="preserve"> and pesticide application reduces input wastage, lowers production costs, and diminishes the environmental footprint of farming operations. The integration of geographic information systems, soil sampling protocols, and GPS-guided machinery constituted the first wave of precision agriculture technology.</w:t>
      </w:r>
    </w:p>
    <w:p w:rsidR="00FD69CD" w:rsidRDefault="00083140" w:rsidP="00083140">
      <w:pPr>
        <w:spacing w:before="100" w:beforeAutospacing="1" w:after="100" w:afterAutospacing="1"/>
        <w:jc w:val="both"/>
      </w:pPr>
      <w:r>
        <w:lastRenderedPageBreak/>
        <w:t xml:space="preserve">The transition to a second and third wave of precision agriculture has been enabled by the dramatic convergence of digital technologies over the past two decades. The proliferation of affordable sensors, the exponential growth in computing power, the emergence of cloud computing infrastructure, and the increasing ubiquity of wireless connectivity have collectively transformed what is technically and economically feasible in farm management. The Internet of Things, which connects a diverse array of field sensors, weather stations, soil moisture probes, and farm machinery to </w:t>
      </w:r>
      <w:proofErr w:type="spellStart"/>
      <w:r>
        <w:t>centralised</w:t>
      </w:r>
      <w:proofErr w:type="spellEnd"/>
      <w:r>
        <w:t xml:space="preserve"> or distributed data platforms, provides the raw data infrastructure upon which advanced AI analytics and digital twins can operate (</w:t>
      </w:r>
      <w:proofErr w:type="spellStart"/>
      <w:r>
        <w:t>Tzounis</w:t>
      </w:r>
      <w:proofErr w:type="spellEnd"/>
      <w:r>
        <w:t xml:space="preserve"> et al., 2017). Together, these developments position modern precision agriculture not merely as a collection of technologies, but as a comprehensive data-driven management philosophy capable of addressing the complexity and dynamism of climate change-affected agricultural systems.</w:t>
      </w:r>
    </w:p>
    <w:p w:rsidR="00FD69CD" w:rsidRDefault="00083140" w:rsidP="00083140">
      <w:pPr>
        <w:pStyle w:val="Heading1"/>
        <w:spacing w:before="100" w:beforeAutospacing="1" w:after="100" w:afterAutospacing="1"/>
      </w:pPr>
      <w:r>
        <w:t>4. Artificial Intelligence in Precision Agriculture</w:t>
      </w:r>
    </w:p>
    <w:p w:rsidR="00FD69CD" w:rsidRDefault="00083140" w:rsidP="00083140">
      <w:pPr>
        <w:pStyle w:val="Heading2"/>
        <w:spacing w:before="100" w:beforeAutospacing="1" w:after="100" w:afterAutospacing="1"/>
      </w:pPr>
      <w:r>
        <w:t>4.1 Machine Learning for Crop Monitoring and Yield Prediction</w:t>
      </w:r>
    </w:p>
    <w:p w:rsidR="00FD69CD" w:rsidRDefault="00083140" w:rsidP="00083140">
      <w:pPr>
        <w:spacing w:before="100" w:beforeAutospacing="1" w:after="100" w:afterAutospacing="1"/>
        <w:jc w:val="both"/>
      </w:pPr>
      <w:r>
        <w:t xml:space="preserve">Machine learning (ML) constitutes the cornerstone of contemporary AI applications in agriculture. ML algorithms learn patterns from historical or real-time data and apply these learned patterns to make predictions, classify observations, or </w:t>
      </w:r>
      <w:proofErr w:type="spellStart"/>
      <w:r>
        <w:t>optimise</w:t>
      </w:r>
      <w:proofErr w:type="spellEnd"/>
      <w:r>
        <w:t xml:space="preserve"> decisions without requiring explicit rule-based programming by human experts (</w:t>
      </w:r>
      <w:proofErr w:type="spellStart"/>
      <w:r>
        <w:t>Liakos</w:t>
      </w:r>
      <w:proofErr w:type="spellEnd"/>
      <w:r>
        <w:t xml:space="preserve"> et al., 2018). In the agricultural domain, ML has been applied extensively to crop yield prediction, disease identification, soil property estimation, weed detection, irrigation scheduling, and market price forecasting. The diversity and complexity of agricultural systems — which involve non-linear interactions among genetic, environmental, management, and economic factors — make them particularly well suited to data-driven ML approaches that can capture relationships which deterministic mechanistic models struggle to represent accurately.</w:t>
      </w:r>
    </w:p>
    <w:p w:rsidR="00FD69CD" w:rsidRDefault="00083140" w:rsidP="00083140">
      <w:pPr>
        <w:spacing w:before="100" w:beforeAutospacing="1" w:after="100" w:afterAutospacing="1"/>
        <w:jc w:val="both"/>
      </w:pPr>
      <w:r>
        <w:t xml:space="preserve">Supervised learning methods, including support vector machines, random forests, gradient boosting algorithms, and artificial neural networks, have demonstrated strong predictive performance across a wide range of agricultural modelling tasks. </w:t>
      </w:r>
      <w:proofErr w:type="spellStart"/>
      <w:r>
        <w:t>Chlingaryan</w:t>
      </w:r>
      <w:proofErr w:type="spellEnd"/>
      <w:r>
        <w:t xml:space="preserve"> et al. (2018) reviewed ML approaches for crop yield prediction and nitrogen status estimation, concluding that rapid advances in sensing technologies and ML techniques are expected to yield cost-effective and comprehensive solutions for crop and environment state estimation in precision agriculture, with the development of hybrid systems combining different ML and signal processing techniques identified as a particularly productive research direction. Random forest algorithms, which aggregate predictions from multiple decision trees trained on bootstrapped data subsets, have proven especially robust for spatial mapping of soil organic carbon, soil moisture, and crop nitrogen content from multi-source data, owing to their ability to handle high-dimensional feature spaces and non-linear variable interactions. Gradient boosted trees and their modern implementations, including </w:t>
      </w:r>
      <w:proofErr w:type="spellStart"/>
      <w:r>
        <w:t>XGBoost</w:t>
      </w:r>
      <w:proofErr w:type="spellEnd"/>
      <w:r>
        <w:t xml:space="preserve"> and </w:t>
      </w:r>
      <w:proofErr w:type="spellStart"/>
      <w:r>
        <w:t>LightGBM</w:t>
      </w:r>
      <w:proofErr w:type="spellEnd"/>
      <w:r>
        <w:t>, have similarly demonstrated high predictive accuracy in county- and regional-scale crop yield forecasting tasks, handling missing data gracefully and providing variable importance measures that facilitate agronomic interpretation of model predictions.</w:t>
      </w:r>
    </w:p>
    <w:p w:rsidR="00FD69CD" w:rsidRDefault="00083140" w:rsidP="00083140">
      <w:pPr>
        <w:spacing w:before="100" w:beforeAutospacing="1" w:after="100" w:afterAutospacing="1"/>
        <w:jc w:val="both"/>
      </w:pPr>
      <w:r>
        <w:t xml:space="preserve">Reinforcement learning, a branch of ML in which an agent learns optimal decision strategies through iterative interaction with a simulated environment and receipt of reward signals, is emerging as a promising approach for autonomous farm management. Applications in </w:t>
      </w:r>
      <w:proofErr w:type="spellStart"/>
      <w:r>
        <w:t>optimised</w:t>
      </w:r>
      <w:proofErr w:type="spellEnd"/>
      <w:r>
        <w:t xml:space="preserve"> irrigation scheduling, variable-rate </w:t>
      </w:r>
      <w:proofErr w:type="spellStart"/>
      <w:r>
        <w:t>fertilisation</w:t>
      </w:r>
      <w:proofErr w:type="spellEnd"/>
      <w:r>
        <w:t xml:space="preserve">, and autonomous crop scouting have been demonstrated in experimental settings, though the translation from laboratory </w:t>
      </w:r>
      <w:r>
        <w:lastRenderedPageBreak/>
        <w:t xml:space="preserve">simulation to real-world deployment remains a significant research challenge. </w:t>
      </w:r>
      <w:proofErr w:type="spellStart"/>
      <w:r>
        <w:t>Rolnick</w:t>
      </w:r>
      <w:proofErr w:type="spellEnd"/>
      <w:r>
        <w:t xml:space="preserve"> et al. (2022) provided a comprehensive analysis of how ML can accelerate climate change mitigation and adaptation efforts across sectors, including agriculture, highlighting yield prediction, precision agriculture, and supply chain </w:t>
      </w:r>
      <w:proofErr w:type="spellStart"/>
      <w:r>
        <w:t>optimisation</w:t>
      </w:r>
      <w:proofErr w:type="spellEnd"/>
      <w:r>
        <w:t xml:space="preserve"> as high-impact application domains where ML-based approaches offer substantial advantages over conventional methods.</w:t>
      </w:r>
    </w:p>
    <w:p w:rsidR="00FD69CD" w:rsidRDefault="00083140" w:rsidP="00083140">
      <w:pPr>
        <w:pStyle w:val="Heading2"/>
        <w:spacing w:before="100" w:beforeAutospacing="1" w:after="100" w:afterAutospacing="1"/>
      </w:pPr>
      <w:r>
        <w:t>4.2 Deep Learning for Image-Based Crop Analysis</w:t>
      </w:r>
    </w:p>
    <w:p w:rsidR="00FD69CD" w:rsidRDefault="00083140" w:rsidP="00083140">
      <w:pPr>
        <w:spacing w:before="100" w:beforeAutospacing="1" w:after="100" w:afterAutospacing="1"/>
        <w:jc w:val="both"/>
      </w:pPr>
      <w:r>
        <w:t xml:space="preserve">Deep learning, a sub-field of ML </w:t>
      </w:r>
      <w:proofErr w:type="spellStart"/>
      <w:r>
        <w:t>characterised</w:t>
      </w:r>
      <w:proofErr w:type="spellEnd"/>
      <w:r>
        <w:t xml:space="preserve"> by the use of multi-layered artificial neural networks that automatically learn hierarchical feature representations from raw data, has transformed the analysis of agricultural imagery (</w:t>
      </w:r>
      <w:proofErr w:type="spellStart"/>
      <w:r>
        <w:t>LeCun</w:t>
      </w:r>
      <w:proofErr w:type="spellEnd"/>
      <w:r>
        <w:t xml:space="preserve"> et al., 2015). Convolutional neural networks (CNNs), which apply learnable spatial filters across the spatial dimensions of images to extract locally invariant features, have achieved state-of-the-art performance in image classification, object detection, and semantic segmentation tasks relevant to agriculture. The key advantage of CNNs over traditional feature-engineering approaches is their capacity to automatically discover task-relevant representations from raw pixels without manual specification of diagnostically relevant image features — a significant advantage in complex agricultural imaging scenarios where the visual signatures of different crop conditions are multidimensional and subtle. </w:t>
      </w:r>
      <w:proofErr w:type="spellStart"/>
      <w:r>
        <w:t>Kamilaris</w:t>
      </w:r>
      <w:proofErr w:type="spellEnd"/>
      <w:r>
        <w:t xml:space="preserve"> and </w:t>
      </w:r>
      <w:proofErr w:type="spellStart"/>
      <w:r>
        <w:t>Prenafeta-Boldú</w:t>
      </w:r>
      <w:proofErr w:type="spellEnd"/>
      <w:r>
        <w:t xml:space="preserve"> (2018) surveyed deep learning applications across 40 agricultural research studies, demonstrating that CNNs consistently outperformed traditional image processing techniques in tasks such as crop type classification, fruit detection, weed identification, and disease diagnosis.</w:t>
      </w:r>
    </w:p>
    <w:p w:rsidR="00FD69CD" w:rsidRDefault="00083140" w:rsidP="00083140">
      <w:pPr>
        <w:spacing w:before="100" w:beforeAutospacing="1" w:after="100" w:afterAutospacing="1"/>
        <w:jc w:val="both"/>
      </w:pPr>
      <w:r>
        <w:t xml:space="preserve">The landmark study by Mohanty et al. (2016) demonstrated that deep learning could be applied to image-based plant disease detection with high accuracy. Using a dataset of 54,306 images of diseased and healthy plant leaves representing 14 crop species and 26 diseases — yielding 38 unique crop–disease classification classes in total — the study trained convolutional neural networks using a transfer learning approach, pre-training models on large general-purpose image datasets and then fine-tuning them on the agricultural images. The best-performing model achieved an overall accuracy of 99.35% on a held-out test set under controlled laboratory conditions, demonstrating the technical feasibility of automated plant disease diagnosis. This work </w:t>
      </w:r>
      <w:proofErr w:type="spellStart"/>
      <w:r>
        <w:t>catalysed</w:t>
      </w:r>
      <w:proofErr w:type="spellEnd"/>
      <w:r>
        <w:t xml:space="preserve"> substantial subsequent research into deep learning-based disease surveillance and demonstrated the potential for smartphone-based disease diagnosis tools that could </w:t>
      </w:r>
      <w:proofErr w:type="spellStart"/>
      <w:r>
        <w:t>democratise</w:t>
      </w:r>
      <w:proofErr w:type="spellEnd"/>
      <w:r>
        <w:t xml:space="preserve"> access to expert agronomic knowledge, particularly in smallholder farming contexts where access to trained agronomists is limited. Transfer learning has since become the dominant paradigm for deep learning model development in agriculture, given the typically limited size of labelled agricultural image datasets relative to those available in other computer vision application domains.</w:t>
      </w:r>
    </w:p>
    <w:p w:rsidR="00FD69CD" w:rsidRDefault="00083140" w:rsidP="00083140">
      <w:pPr>
        <w:spacing w:before="100" w:beforeAutospacing="1" w:after="100" w:afterAutospacing="1"/>
        <w:jc w:val="both"/>
      </w:pPr>
      <w:r>
        <w:t xml:space="preserve">Recurrent neural networks (RNNs), particularly long short-term memory (LSTM) networks, are well suited to the analysis of sequential, time-series agricultural data, including multi-temporal remote sensing imagery, weather records, and crop growth trajectories. LSTMs capture temporal dependencies across long observation windows by maintaining an internal memory state that selectively retains or discards information from earlier time steps, making them effective for phenological monitoring, growing season </w:t>
      </w:r>
      <w:proofErr w:type="spellStart"/>
      <w:r>
        <w:t>characterisation</w:t>
      </w:r>
      <w:proofErr w:type="spellEnd"/>
      <w:r>
        <w:t xml:space="preserve">, and multi-year yield trend analysis. Generative adversarial networks (GANs) have been applied to the augmentation of limited agricultural training datasets — a practical constraint in many agricultural ML contexts due to the cost of generating labelled field data — and to the </w:t>
      </w:r>
      <w:r>
        <w:lastRenderedPageBreak/>
        <w:t>synthesis of realistic imagery representing rare or emerging pest and disease symptoms for which insufficient real-world training examples are available.</w:t>
      </w:r>
    </w:p>
    <w:p w:rsidR="00FD69CD" w:rsidRDefault="00083140" w:rsidP="00083140">
      <w:pPr>
        <w:pStyle w:val="Heading2"/>
        <w:spacing w:before="100" w:beforeAutospacing="1" w:after="100" w:afterAutospacing="1"/>
      </w:pPr>
      <w:r>
        <w:t>4.3 Artificial Intelligence for Decision Support and Precision Management</w:t>
      </w:r>
    </w:p>
    <w:p w:rsidR="00FD69CD" w:rsidRDefault="00083140" w:rsidP="00083140">
      <w:pPr>
        <w:spacing w:before="100" w:beforeAutospacing="1" w:after="100" w:afterAutospacing="1"/>
        <w:jc w:val="both"/>
      </w:pPr>
      <w:r>
        <w:t xml:space="preserve">Beyond prediction and classification, AI is increasingly embedded within farm-level decision support systems (DSS) that integrate real-time sensor data, weather forecasts, crop models, and economic information to generate actionable management recommendations. Intelligent DSS can advise farmers on optimal timing of irrigation events, alert them to emerging disease or pest pressure, recommend variable-rate application maps for </w:t>
      </w:r>
      <w:proofErr w:type="spellStart"/>
      <w:r>
        <w:t>fertilisers</w:t>
      </w:r>
      <w:proofErr w:type="spellEnd"/>
      <w:r>
        <w:t xml:space="preserve"> and crop protection products, and flag anomalous field conditions that warrant physical inspection. When combined with autonomous or semi-autonomous farm machinery, these systems can close the loop between sensing and action, enabling precision management at scales and speeds that human decision-making cannot match. </w:t>
      </w:r>
      <w:proofErr w:type="spellStart"/>
      <w:r>
        <w:t>Liakos</w:t>
      </w:r>
      <w:proofErr w:type="spellEnd"/>
      <w:r>
        <w:t xml:space="preserve"> et al. (2018) surveyed the breadth of ML applications across agricultural management tasks, </w:t>
      </w:r>
      <w:proofErr w:type="spellStart"/>
      <w:r>
        <w:t>emphasising</w:t>
      </w:r>
      <w:proofErr w:type="spellEnd"/>
      <w:r>
        <w:t xml:space="preserve"> the cross-cutting importance of AI in transitioning farm management from experience-based to evidence-based decision frameworks.</w:t>
      </w:r>
    </w:p>
    <w:p w:rsidR="00FD69CD" w:rsidRDefault="00083140" w:rsidP="00083140">
      <w:pPr>
        <w:spacing w:before="100" w:beforeAutospacing="1" w:after="100" w:afterAutospacing="1"/>
        <w:jc w:val="both"/>
      </w:pPr>
      <w:r>
        <w:t>The emergence of explainable AI (XAI) is particularly relevant to agricultural decision support, where farmers and extension officers require not only accurate predictions but also intelligible explanations of why particular recommendations are being made. Traditional deep learning models, while highly accurate, provide limited transparency into their internal reasoning processes. XAI frameworks — including LIME, SHAP, and gradient-weighted class activation mapping — are being applied to agricultural models to reveal which input variables and spatial regions drive particular predictions, building trust among end-users and facilitating the regulatory compliance required in sensitive agrochemical application contexts. The integration of natural language processing and large language model technologies with agricultural decision support platforms is an emerging frontier, offering the potential for conversational farm management assistants that can respond to farmer queries, interpret complex model outputs, and generate management recommendations in locally relevant languages (</w:t>
      </w:r>
      <w:proofErr w:type="spellStart"/>
      <w:r>
        <w:t>Rolnick</w:t>
      </w:r>
      <w:proofErr w:type="spellEnd"/>
      <w:r>
        <w:t xml:space="preserve"> et al., 2022).</w:t>
      </w:r>
    </w:p>
    <w:p w:rsidR="00FD69CD" w:rsidRDefault="00083140" w:rsidP="00083140">
      <w:pPr>
        <w:pStyle w:val="Heading1"/>
        <w:spacing w:before="100" w:beforeAutospacing="1" w:after="100" w:afterAutospacing="1"/>
      </w:pPr>
      <w:r>
        <w:t>5. Remote Sensing Technologies for Agricultural Applications</w:t>
      </w:r>
    </w:p>
    <w:p w:rsidR="00FD69CD" w:rsidRDefault="00083140" w:rsidP="00083140">
      <w:pPr>
        <w:pStyle w:val="Heading2"/>
        <w:spacing w:before="100" w:beforeAutospacing="1" w:after="100" w:afterAutospacing="1"/>
      </w:pPr>
      <w:r>
        <w:t>5.1 Satellite-Based Remote Sensing</w:t>
      </w:r>
    </w:p>
    <w:p w:rsidR="00FD69CD" w:rsidRDefault="00083140" w:rsidP="00083140">
      <w:pPr>
        <w:spacing w:before="100" w:beforeAutospacing="1" w:after="100" w:afterAutospacing="1"/>
        <w:jc w:val="both"/>
      </w:pPr>
      <w:r>
        <w:t xml:space="preserve">Satellite-based remote sensing has been central to agricultural monitoring for several decades, providing synoptic, repetitive observations of crop conditions across scales ranging from individual fields to entire continents. The operational Landsat </w:t>
      </w:r>
      <w:proofErr w:type="spellStart"/>
      <w:r>
        <w:t>programme</w:t>
      </w:r>
      <w:proofErr w:type="spellEnd"/>
      <w:r>
        <w:t xml:space="preserve">, initiated in 1972, established the foundation for satellite agricultural monitoring, with spatial resolution progressively improving from 80 </w:t>
      </w:r>
      <w:proofErr w:type="spellStart"/>
      <w:r>
        <w:t>metres</w:t>
      </w:r>
      <w:proofErr w:type="spellEnd"/>
      <w:r>
        <w:t xml:space="preserve"> at </w:t>
      </w:r>
      <w:proofErr w:type="spellStart"/>
      <w:r>
        <w:t>programme</w:t>
      </w:r>
      <w:proofErr w:type="spellEnd"/>
      <w:r>
        <w:t xml:space="preserve"> launch to 30 </w:t>
      </w:r>
      <w:proofErr w:type="spellStart"/>
      <w:r>
        <w:t>metres</w:t>
      </w:r>
      <w:proofErr w:type="spellEnd"/>
      <w:r>
        <w:t xml:space="preserve"> with the introduction of the Thematic Mapper aboard Landsat 4 in 1982, enabling long-term analyses of land use change, crop area mapping, and inter-annual yield variability. The subsequent development of MODIS, SPOT, Sentinel, and commercial very-high-resolution satellite constellations has dramatically expanded the temporal and spatial resolution of available data. The Copernicus Sentinel-2 </w:t>
      </w:r>
      <w:proofErr w:type="spellStart"/>
      <w:r>
        <w:t>programme</w:t>
      </w:r>
      <w:proofErr w:type="spellEnd"/>
      <w:r>
        <w:t xml:space="preserve"> now provides free and open-access multispectral imagery at 10-metre spatial resolution with a five-day revisit frequency achieved through its two-satellite constellation, transforming the operational monitoring of agricultural landscapes at field scale (Weiss et al., 2020). The global coverage, temporal consistency, and decreasing per-unit cost of satellite data have made it the foundational data source for large-scale </w:t>
      </w:r>
      <w:r>
        <w:lastRenderedPageBreak/>
        <w:t>agricultural monitoring applications, including national crop area assessments, food security early warning systems, and carbon stock estimation in agricultural soils.</w:t>
      </w:r>
    </w:p>
    <w:p w:rsidR="00FD69CD" w:rsidRDefault="00083140" w:rsidP="00083140">
      <w:pPr>
        <w:spacing w:before="100" w:beforeAutospacing="1" w:after="100" w:afterAutospacing="1"/>
        <w:jc w:val="both"/>
      </w:pPr>
      <w:r>
        <w:t xml:space="preserve">Remote sensing data from satellites provides agricultural practitioners with estimates of a wide range of biophysical and biochemical variables relevant to crop management. Vegetation indices derived from near-infrared and red reflectance — most notably the </w:t>
      </w:r>
      <w:proofErr w:type="spellStart"/>
      <w:r>
        <w:t>Normalised</w:t>
      </w:r>
      <w:proofErr w:type="spellEnd"/>
      <w:r>
        <w:t xml:space="preserve"> Difference Vegetation Index (NDVI) and its advanced variants including the Enhanced Vegetation Index (EVI) and the Soil-Adjusted Vegetation Index (SAVI) — provide proxies for green leaf area, photosynthetic activity, and above-ground biomass. More sophisticated retrieval approaches based on radiative transfer modelling and ML can estimate canopy chlorophyll content, leaf water potential, canopy height, and fractional vegetation cover with quantified uncertainty. Synthetic Aperture Radar (SAR) sensors, which operate independently of cloud cover and solar illumination, provide complementary structural and dielectric information about crop canopies and soil moisture conditions, making them particularly valuable for monitoring in tropical and monsoon-affected agricultural regions where persistent cloud cover limits optical imaging opportunities (</w:t>
      </w:r>
      <w:proofErr w:type="spellStart"/>
      <w:r>
        <w:t>Sishodia</w:t>
      </w:r>
      <w:proofErr w:type="spellEnd"/>
      <w:r>
        <w:t xml:space="preserve"> et al., 2020). The fusion of optical and SAR satellite data using ML algorithms is an active and productive area of research that demonstrably improves the accuracy and temporal completeness of agricultural monitoring products relative to either data source used in isolation.</w:t>
      </w:r>
    </w:p>
    <w:p w:rsidR="00FD69CD" w:rsidRDefault="00083140" w:rsidP="00083140">
      <w:pPr>
        <w:spacing w:before="100" w:beforeAutospacing="1" w:after="100" w:afterAutospacing="1"/>
        <w:jc w:val="both"/>
      </w:pPr>
      <w:r>
        <w:t xml:space="preserve">Thermal infrared remote sensing enables estimation of crop surface temperatures, which serve as sensitive indicators of water stress. When crops experience moisture deficits, they partially close their stomata to conserve water, reducing transpiration and causing leaf and canopy temperatures to rise above ambient air temperature. This thermal response can be detected from satellite and airborne platforms using sensors operating in the 8–14 </w:t>
      </w:r>
      <w:proofErr w:type="spellStart"/>
      <w:r>
        <w:t>micrometre</w:t>
      </w:r>
      <w:proofErr w:type="spellEnd"/>
      <w:r>
        <w:t xml:space="preserve"> spectral region, enabling the mapping of crop water stress indices at field scale. Satellite-based evapotranspiration estimation, based on energy balance models that partition absorbed solar radiation between sensible and latent heat fluxes, provides a basis for irrigation scheduling and basin-scale water resource accounting, supporting both farm-level management decisions and regional water governance frameworks (Weiss et al., 2020).</w:t>
      </w:r>
    </w:p>
    <w:p w:rsidR="00FD69CD" w:rsidRDefault="00083140" w:rsidP="00083140">
      <w:pPr>
        <w:pStyle w:val="Heading2"/>
        <w:spacing w:before="100" w:beforeAutospacing="1" w:after="100" w:afterAutospacing="1"/>
      </w:pPr>
      <w:r>
        <w:t>5.2 UAV and Drone-Based Remote Sensing</w:t>
      </w:r>
    </w:p>
    <w:p w:rsidR="00FD69CD" w:rsidRDefault="00083140" w:rsidP="00083140">
      <w:pPr>
        <w:spacing w:before="100" w:beforeAutospacing="1" w:after="100" w:afterAutospacing="1"/>
        <w:jc w:val="both"/>
      </w:pPr>
      <w:r>
        <w:t>Unmanned aerial vehicles (UAVs), commonly referred to as drones, have rapidly established themselves as a transformative platform for precision agricultural sensing, complementing the broad spatial coverage of satellite remote sensing with the fine spatial resolution and operational flexibility required for field-scale crop management applications. Unlike satellites, UAVs offer deployment at user-defined times and locations, sub-</w:t>
      </w:r>
      <w:proofErr w:type="spellStart"/>
      <w:r>
        <w:t>centimetre</w:t>
      </w:r>
      <w:proofErr w:type="spellEnd"/>
      <w:r>
        <w:t xml:space="preserve"> spatial resolution when operated at low altitude, and the capacity to carry </w:t>
      </w:r>
      <w:proofErr w:type="spellStart"/>
      <w:r>
        <w:t>customised</w:t>
      </w:r>
      <w:proofErr w:type="spellEnd"/>
      <w:r>
        <w:t xml:space="preserve"> sensor payloads tailored to specific agricultural monitoring objectives. Zhang and Kovacs (2012) provided one of the early systematic reviews of UAV applications in precision agriculture, documenting how small fixed-wing and multirotor platforms equipped with RGB, multispectral, hyperspectral, thermal, and LiDAR sensors could address a broad spectrum of crop monitoring, field mapping, and variable-rate application tasks across diverse cropping systems.</w:t>
      </w:r>
    </w:p>
    <w:p w:rsidR="00FD69CD" w:rsidRDefault="00083140" w:rsidP="00083140">
      <w:pPr>
        <w:spacing w:before="100" w:beforeAutospacing="1" w:after="100" w:afterAutospacing="1"/>
        <w:jc w:val="both"/>
      </w:pPr>
      <w:r>
        <w:t xml:space="preserve">Agricultural UAV applications have expanded dramatically since the early 2010s, driven by falling hardware costs, improved battery energy density, advances in autonomous flight planning software, and the development of lightweight yet high-performance sensor systems. UAV-derived imagery is now routinely applied for plant counting and emergence assessment </w:t>
      </w:r>
      <w:r>
        <w:lastRenderedPageBreak/>
        <w:t>in row crops, canopy height measurement for lodging detection in cereals, early identification of nutrient deficiency patches, weed mapping at sub-plant spatial resolution, and detection of pest damage and fungal disease symptoms in the early stages of infection before symptoms are visible at coarser spatial scales (</w:t>
      </w:r>
      <w:proofErr w:type="spellStart"/>
      <w:r>
        <w:t>Sishodia</w:t>
      </w:r>
      <w:proofErr w:type="spellEnd"/>
      <w:r>
        <w:t xml:space="preserve"> et al., 2020). Multirotor spray drones are deployed operationally in rice and maize production systems across East Asia, enabling targeted pesticide application with significantly reduced chemical loads and operator exposure compared with conventional ground-based and manned aerial spraying methods.</w:t>
      </w:r>
    </w:p>
    <w:p w:rsidR="00FD69CD" w:rsidRDefault="00083140" w:rsidP="00083140">
      <w:pPr>
        <w:spacing w:before="100" w:beforeAutospacing="1" w:after="100" w:afterAutospacing="1"/>
        <w:jc w:val="both"/>
      </w:pPr>
      <w:r>
        <w:t xml:space="preserve">The integration of AI with UAV imagery has produced particularly compelling results for precision agriculture. Deep learning models trained on UAV-derived hyperspectral and RGB images have achieved high performance in species-level weed detection, enabling the generation of precise prescription maps for spot-treatment applications that can substantially reduce herbicide use relative to blanket treatment approaches. Object detection architectures adapted for the characteristics of agricultural aerial imagery can process UAV image streams in near-real time during flight, enabling rapid field assessment and same-day management response. The combination of UAV sensing with edge computing — where image processing is performed onboard the aircraft or at field-deployed computing nodes rather than </w:t>
      </w:r>
      <w:proofErr w:type="spellStart"/>
      <w:r>
        <w:t>centralised</w:t>
      </w:r>
      <w:proofErr w:type="spellEnd"/>
      <w:r>
        <w:t xml:space="preserve"> cloud infrastructure — reduces data transmission latency and bandwidth requirements, making precision scouting feasible even in rural areas with limited wireless network connectivity (Zhang &amp; Kovacs, 2012).</w:t>
      </w:r>
    </w:p>
    <w:p w:rsidR="00FD69CD" w:rsidRDefault="00083140" w:rsidP="00083140">
      <w:pPr>
        <w:pStyle w:val="Heading2"/>
        <w:spacing w:before="100" w:beforeAutospacing="1" w:after="100" w:afterAutospacing="1"/>
      </w:pPr>
      <w:r>
        <w:t>5.3 Hyperspectral, Multispectral, and Active Sensing Technologies</w:t>
      </w:r>
    </w:p>
    <w:p w:rsidR="00FD69CD" w:rsidRDefault="00083140" w:rsidP="00083140">
      <w:pPr>
        <w:spacing w:before="100" w:beforeAutospacing="1" w:after="100" w:afterAutospacing="1"/>
        <w:jc w:val="both"/>
      </w:pPr>
      <w:r>
        <w:t xml:space="preserve">The spectral dimension of remote sensing data is a critical determinant of its utility for agricultural monitoring, with different portions of the electromagnetic spectrum providing complementary and non-redundant information about crop biophysical and biochemical status. While standard RGB cameras capture three broad spectral bands corresponding to human visual perception, multispectral sensors typically acquire data in 4 to 12 discrete spectral bands spanning the visible, red-edge, near-infrared, and shortwave-infrared regions. This expanded spectral range enables the calculation of a richer set of vegetation indices sensitive to specific crop conditions, including the </w:t>
      </w:r>
      <w:proofErr w:type="spellStart"/>
      <w:r>
        <w:t>Normalised</w:t>
      </w:r>
      <w:proofErr w:type="spellEnd"/>
      <w:r>
        <w:t xml:space="preserve"> Difference Red-Edge Index, which is particularly sensitive to early-stage nitrogen stress, and the Plant Senescence Reflectance Index, which tracks the onset of foliar senescence associated with natural ageing or stress-induced processes. Hyperspectral sensors acquire data in hundreds of contiguous, narrow spectral bands, enabling the identification of specific biochemical and physiological plant properties through spectroscopic analysis and chemometric modelling (Weiss et al., 2020).</w:t>
      </w:r>
    </w:p>
    <w:p w:rsidR="00FD69CD" w:rsidRDefault="00083140" w:rsidP="00083140">
      <w:pPr>
        <w:spacing w:before="100" w:beforeAutospacing="1" w:after="100" w:afterAutospacing="1"/>
        <w:jc w:val="both"/>
      </w:pPr>
      <w:r>
        <w:t xml:space="preserve">Hyperspectral remote sensing has demonstrated particular promise for the early detection of crop diseases before visible symptoms become apparent — a capability of high value for timely disease management. As fungal, bacterial, or viral pathogens </w:t>
      </w:r>
      <w:proofErr w:type="spellStart"/>
      <w:r>
        <w:t>colonise</w:t>
      </w:r>
      <w:proofErr w:type="spellEnd"/>
      <w:r>
        <w:t xml:space="preserve"> plant tissue, they alter the biochemical composition of leaves in ways that are reflected in subtle spectral changes detectable by hyperspectral sensors but invisible to conventional multispectral or RGB imagery. Machine learning algorithms, particularly SVMs and CNNs, applied to hyperspectral data can distinguish between healthy and infected plants at the sub-canopy level and, in many cases, can identify specific pathogen species from their distinctive spectral signatures, enabling targeted treatment decisions that conserve pesticide inputs and slow the development of resistance. Active remote sensing technologies, including light detection and ranging (LiDAR) for three-dimensional canopy structural mapping and ground-penetrating radar for subsurface soil </w:t>
      </w:r>
      <w:proofErr w:type="spellStart"/>
      <w:r>
        <w:t>characterisation</w:t>
      </w:r>
      <w:proofErr w:type="spellEnd"/>
      <w:r>
        <w:t xml:space="preserve">, complement passive optical sensing by providing </w:t>
      </w:r>
      <w:r>
        <w:lastRenderedPageBreak/>
        <w:t>structural measurements that are independent of solar illumination and less susceptible to atmospheric interference, enabling crop height estimation, biomass mapping, and root zone moisture profiling with high accuracy (</w:t>
      </w:r>
      <w:proofErr w:type="spellStart"/>
      <w:r>
        <w:t>Sishodia</w:t>
      </w:r>
      <w:proofErr w:type="spellEnd"/>
      <w:r>
        <w:t xml:space="preserve"> et al., 2020).</w:t>
      </w:r>
    </w:p>
    <w:p w:rsidR="00FD69CD" w:rsidRDefault="00083140" w:rsidP="00083140">
      <w:pPr>
        <w:pStyle w:val="Heading1"/>
        <w:spacing w:before="100" w:beforeAutospacing="1" w:after="100" w:afterAutospacing="1"/>
      </w:pPr>
      <w:r>
        <w:t>6. Digital Twins in Agriculture</w:t>
      </w:r>
    </w:p>
    <w:p w:rsidR="00FD69CD" w:rsidRDefault="00083140" w:rsidP="00083140">
      <w:pPr>
        <w:pStyle w:val="Heading2"/>
        <w:spacing w:before="100" w:beforeAutospacing="1" w:after="100" w:afterAutospacing="1"/>
      </w:pPr>
      <w:r>
        <w:t>6.1 Conceptual Foundations and Architecture</w:t>
      </w:r>
    </w:p>
    <w:p w:rsidR="00FD69CD" w:rsidRDefault="00083140" w:rsidP="00083140">
      <w:pPr>
        <w:spacing w:before="100" w:beforeAutospacing="1" w:after="100" w:afterAutospacing="1"/>
        <w:jc w:val="both"/>
      </w:pPr>
      <w:r>
        <w:t xml:space="preserve">The digital twin concept originated in manufacturing and aerospace engineering, where it was developed as a framework for creating real-time digital replicas of physical assets — aircraft engines, industrial machinery, and complex production systems — to enable remote monitoring, predictive maintenance, and virtual scenario testing without the cost and risk of physical experimentation. A digital twin is distinguished from simpler digital simulation models by its bidirectional, real-time </w:t>
      </w:r>
      <w:proofErr w:type="spellStart"/>
      <w:r>
        <w:t>synchronisation</w:t>
      </w:r>
      <w:proofErr w:type="spellEnd"/>
      <w:r>
        <w:t xml:space="preserve"> with its physical counterpart: sensor data from the physical system continuously updates the virtual model, while the virtual model provides predictions, alerts, and </w:t>
      </w:r>
      <w:proofErr w:type="spellStart"/>
      <w:r>
        <w:t>optimisation</w:t>
      </w:r>
      <w:proofErr w:type="spellEnd"/>
      <w:r>
        <w:t xml:space="preserve"> outputs that inform management of the physical system (</w:t>
      </w:r>
      <w:proofErr w:type="spellStart"/>
      <w:r>
        <w:t>Verdouw</w:t>
      </w:r>
      <w:proofErr w:type="spellEnd"/>
      <w:r>
        <w:t xml:space="preserve"> et al., 2021). The concept has been articulated in various forms since the early 2000s and has attracted increasing research and commercial interest across a wide range of industrial sectors as IoT connectivity and cloud computing capabilities have expanded.</w:t>
      </w:r>
    </w:p>
    <w:p w:rsidR="00FD69CD" w:rsidRDefault="00083140" w:rsidP="00083140">
      <w:pPr>
        <w:spacing w:before="100" w:beforeAutospacing="1" w:after="100" w:afterAutospacing="1"/>
        <w:jc w:val="both"/>
      </w:pPr>
      <w:proofErr w:type="spellStart"/>
      <w:r>
        <w:t>Pylianidis</w:t>
      </w:r>
      <w:proofErr w:type="spellEnd"/>
      <w:r>
        <w:t xml:space="preserve"> et al. (2021) provided one of the first systematic investigations of digital twin adoption in agriculture, reviewing applications across dairy farming, apiculture, greenhouse crop production, and field-scale plant cultivation and identifying 28 distinct use cases across these domains. They concluded that, while digital twins had not been firmly established in agriculture as of the early 2020s, the foundational technological building blocks — IoT sensors, cloud computing infrastructure, process simulation models, and AI analytics engines — were all present and increasingly integrated within emerging </w:t>
      </w:r>
      <w:proofErr w:type="spellStart"/>
      <w:r>
        <w:t>agri</w:t>
      </w:r>
      <w:proofErr w:type="spellEnd"/>
      <w:r>
        <w:t>-digital platforms. The agricultural digital twin concept distinguishes itself from manufacturing twins by the inherent complexity and variability of living biological systems and their environments: a crop digital twin must capture not only mechanical and thermodynamic processes but also biological development, photosynthetic responses, soil-plant-water interactions, and ecological feedbacks that are substantially more complex and variable than their engineering counterparts. This biological complexity means that agricultural digital twins must be continuously recalibrated against field observations to remain accurate, and their predictive performance degrades more rapidly than engineering twins when observational data streams are interrupted.</w:t>
      </w:r>
    </w:p>
    <w:p w:rsidR="00FD69CD" w:rsidRDefault="00083140" w:rsidP="00083140">
      <w:pPr>
        <w:spacing w:before="100" w:beforeAutospacing="1" w:after="100" w:afterAutospacing="1"/>
        <w:jc w:val="both"/>
      </w:pPr>
      <w:r>
        <w:t>The architecture of an agricultural digital twin typically comprises four principal components: (</w:t>
      </w:r>
      <w:proofErr w:type="spellStart"/>
      <w:r>
        <w:t>i</w:t>
      </w:r>
      <w:proofErr w:type="spellEnd"/>
      <w:r>
        <w:t xml:space="preserve">) a physical layer, consisting of the actual field, crops, soil profile, and farm infrastructure equipped with IoT sensors, weather stations, and soil moisture probes, and monitored by UAV or satellite remote sensing platforms; (ii) a data communication layer, which transmits sensor data via wireless networks — including 4G/5G cellular, </w:t>
      </w:r>
      <w:proofErr w:type="spellStart"/>
      <w:r>
        <w:t>LoRaWAN</w:t>
      </w:r>
      <w:proofErr w:type="spellEnd"/>
      <w:r>
        <w:t xml:space="preserve">, and satellite-based communications — to cloud or edge computing infrastructure; (iii) a virtual model layer, which integrates process-based crop growth models, soil-water-nutrient models, and microclimate simulation with AI-driven predictive engines trained on historical and real-time data; and (iv) a service layer, which presents decision support recommendations, </w:t>
      </w:r>
      <w:proofErr w:type="spellStart"/>
      <w:r>
        <w:t>visualisations</w:t>
      </w:r>
      <w:proofErr w:type="spellEnd"/>
      <w:r>
        <w:t>, and management alerts to end-users via web or mobile interfaces. The coupling between these components must be architecturally robust and sufficiently low-latency to support near-real-time management responses to rapidly evolving field conditions (</w:t>
      </w:r>
      <w:proofErr w:type="spellStart"/>
      <w:r>
        <w:t>Verdouw</w:t>
      </w:r>
      <w:proofErr w:type="spellEnd"/>
      <w:r>
        <w:t xml:space="preserve"> et al., 2021).</w:t>
      </w:r>
    </w:p>
    <w:p w:rsidR="00FD69CD" w:rsidRDefault="00083140" w:rsidP="00083140">
      <w:pPr>
        <w:pStyle w:val="Heading2"/>
        <w:spacing w:before="100" w:beforeAutospacing="1" w:after="100" w:afterAutospacing="1"/>
      </w:pPr>
      <w:r>
        <w:lastRenderedPageBreak/>
        <w:t>6.2 Applications in Crop Production Systems</w:t>
      </w:r>
    </w:p>
    <w:p w:rsidR="00FD69CD" w:rsidRDefault="00083140" w:rsidP="00083140">
      <w:pPr>
        <w:spacing w:before="100" w:beforeAutospacing="1" w:after="100" w:afterAutospacing="1"/>
        <w:jc w:val="both"/>
      </w:pPr>
      <w:r>
        <w:t>The application domains for agricultural digital twins span the entire crop production cycle, from pre-season planning through in-season management to post-harvest assessment and strategic farm planning. In pre-season applications, digital twins can simulate the agronomic and economic performance of different cultivar choices, planting dates, and management strategies under projected weather scenarios, informing farm-level planning decisions that are difficult or impossible to evaluate through field experimentation alone given practical constraints of time, space, and cost. The capacity to rapidly test what-if scenarios — such as the consequences of a late spring drought or an early autumn frost on different crop rotations, or the economic impact of a simulated pest outbreak on different treatment timing options — equips farmers with forward-looking risk information rather than reactive crisis management capacity.</w:t>
      </w:r>
    </w:p>
    <w:p w:rsidR="00FD69CD" w:rsidRDefault="00083140" w:rsidP="00083140">
      <w:pPr>
        <w:spacing w:before="100" w:beforeAutospacing="1" w:after="100" w:afterAutospacing="1"/>
        <w:jc w:val="both"/>
      </w:pPr>
      <w:r>
        <w:t xml:space="preserve">During the growing season, digital twin platforms continuously assimilate remote sensing data alongside measurements from field-deployed sensors to maintain an accurate representation of crop growth status across spatial management zones within a field. When the virtual model detects a divergence between predicted and observed crop development — indicative of an unaccounted stress factor, a </w:t>
      </w:r>
      <w:proofErr w:type="spellStart"/>
      <w:r>
        <w:t>localised</w:t>
      </w:r>
      <w:proofErr w:type="spellEnd"/>
      <w:r>
        <w:t xml:space="preserve"> soil constraint, or data quality issue — it triggers diagnostic routines and, if connected to autonomous UAV or ground vehicle systems, can initiate targeted data acquisition to </w:t>
      </w:r>
      <w:proofErr w:type="spellStart"/>
      <w:r>
        <w:t>characterise</w:t>
      </w:r>
      <w:proofErr w:type="spellEnd"/>
      <w:r>
        <w:t xml:space="preserve"> the nature and spatial extent of the anomaly. Irrigation scheduling modules embedded within digital twins can integrate soil water balance simulations with short-range weather forecast data to generate precise, spatially differentiated irrigation recommendations that </w:t>
      </w:r>
      <w:proofErr w:type="spellStart"/>
      <w:r>
        <w:t>optimise</w:t>
      </w:r>
      <w:proofErr w:type="spellEnd"/>
      <w:r>
        <w:t xml:space="preserve"> water use efficiency while preventing both moisture deficit and waterlogging stress. </w:t>
      </w:r>
      <w:proofErr w:type="spellStart"/>
      <w:r>
        <w:t>Verdouw</w:t>
      </w:r>
      <w:proofErr w:type="spellEnd"/>
      <w:r>
        <w:t xml:space="preserve"> et al. (2021) described how digital twins in smart farming enable the decoupling of physical farm operations from their planning and control functions, allowing remote management based on near-real-time digital information rather than reliance on direct physical observation — a capability of particular value for large-scale farm enterprises and for farmers operating multiple geographically dispersed holdings.</w:t>
      </w:r>
    </w:p>
    <w:p w:rsidR="00FD69CD" w:rsidRDefault="00083140" w:rsidP="00083140">
      <w:pPr>
        <w:spacing w:before="100" w:beforeAutospacing="1" w:after="100" w:afterAutospacing="1"/>
        <w:jc w:val="both"/>
      </w:pPr>
      <w:r>
        <w:t>Post-season digital twin applications include retrospective analysis of the factors driving within-season yield variability, calibration of soil and crop model parameters against observed outcomes to improve predictive accuracy in subsequent seasons, and generation of spatially detailed yield maps that identify persistent underperforming areas warranting targeted intervention. Over multiple cropping seasons, a well-maintained agricultural digital twin accumulates a rich archive of co-registered weather, soil, management, and yield data that provides an invaluable platform for long-term agronomic research, cultivar evaluation under realistic field conditions, and quantitative assessment of the benefits of alternative management strategies — including regenerative agriculture practices and climate adaptation measures (</w:t>
      </w:r>
      <w:proofErr w:type="spellStart"/>
      <w:r>
        <w:t>Pylianidis</w:t>
      </w:r>
      <w:proofErr w:type="spellEnd"/>
      <w:r>
        <w:t xml:space="preserve"> et al., 2021).</w:t>
      </w:r>
    </w:p>
    <w:p w:rsidR="00FD69CD" w:rsidRDefault="00083140" w:rsidP="00083140">
      <w:pPr>
        <w:pStyle w:val="Heading2"/>
        <w:spacing w:before="100" w:beforeAutospacing="1" w:after="100" w:afterAutospacing="1"/>
      </w:pPr>
      <w:r>
        <w:t>6.3 Integration with AI and Remote Sensing</w:t>
      </w:r>
    </w:p>
    <w:p w:rsidR="00FD69CD" w:rsidRDefault="00083140" w:rsidP="00083140">
      <w:pPr>
        <w:spacing w:before="100" w:beforeAutospacing="1" w:after="100" w:afterAutospacing="1"/>
        <w:jc w:val="both"/>
      </w:pPr>
      <w:r>
        <w:t xml:space="preserve">The transformative power of agricultural digital twins is substantially amplified when they are tightly integrated with AI analytics and multi-scale remote sensing data streams. Remote sensing provides the spatial coverage and temporal frequency necessary to update digital twin state variables across large field areas — a requirement that ground-based sensor networks alone cannot meet cost-effectively at agronomic spatial scales. AI algorithms embedded within the digital twin infrastructure serve multiple interconnected functions: they improve </w:t>
      </w:r>
      <w:r>
        <w:lastRenderedPageBreak/>
        <w:t>the accuracy of state variable estimates by combining process model predictions with data-driven corrections learned from field observations; they detect anomalous spectral or thermal patterns in remote sensing imagery indicative of emerging crop stress; they classify satellite imagery to map crop types and growth stages at regional scale; and they generate probabilistic forecasts of future crop conditions that account for uncertainty in both model parameters and weather predictions (</w:t>
      </w:r>
      <w:proofErr w:type="spellStart"/>
      <w:r>
        <w:t>Kamilaris</w:t>
      </w:r>
      <w:proofErr w:type="spellEnd"/>
      <w:r>
        <w:t xml:space="preserve"> &amp; </w:t>
      </w:r>
      <w:proofErr w:type="spellStart"/>
      <w:r>
        <w:t>Prenafeta-Boldú</w:t>
      </w:r>
      <w:proofErr w:type="spellEnd"/>
      <w:r>
        <w:t>, 2018).</w:t>
      </w:r>
    </w:p>
    <w:p w:rsidR="00FD69CD" w:rsidRDefault="00083140" w:rsidP="00083140">
      <w:pPr>
        <w:spacing w:before="100" w:beforeAutospacing="1" w:after="100" w:afterAutospacing="1"/>
        <w:jc w:val="both"/>
      </w:pPr>
      <w:r>
        <w:t xml:space="preserve">The integration of process-based crop growth models with machine learning within digital twin architectures represents a particularly promising hybrid modelling approach. Process models provide physically and biologically grounded predictions based on well-established agronomic relationships and fundamental principles of plant physiology, while ML components learn systematic biases and </w:t>
      </w:r>
      <w:proofErr w:type="spellStart"/>
      <w:r>
        <w:t>localised</w:t>
      </w:r>
      <w:proofErr w:type="spellEnd"/>
      <w:r>
        <w:t xml:space="preserve"> corrections from field observations, collectively yielding predictions more accurate than either approach can achieve independently. This hybrid modelling paradigm is attracting growing research interest as the limitations of purely data-driven approaches — including their dependence on large, representative training datasets and their poor extrapolation capacity outside the range of training conditions — become apparent in the context of novel climate conditions that fall outside the historical records from which training data are derived (</w:t>
      </w:r>
      <w:proofErr w:type="spellStart"/>
      <w:r>
        <w:t>Rolnick</w:t>
      </w:r>
      <w:proofErr w:type="spellEnd"/>
      <w:r>
        <w:t xml:space="preserve"> et al., 2022). Conversely, the limitations of purely mechanistic process models — including their sensitivity to poorly constrained parameters, their simplified representations of complex biological processes, and their inability to capture management effects not explicitly represented in model structure — can be partially compensated by ML components that learn from observed data.</w:t>
      </w:r>
    </w:p>
    <w:p w:rsidR="00FD69CD" w:rsidRDefault="00083140" w:rsidP="00083140">
      <w:pPr>
        <w:pStyle w:val="Heading1"/>
        <w:spacing w:before="100" w:beforeAutospacing="1" w:after="100" w:afterAutospacing="1"/>
      </w:pPr>
      <w:r>
        <w:t>7. Convergence of Technologies: Integrated Frameworks for Climate Resilience</w:t>
      </w:r>
    </w:p>
    <w:p w:rsidR="00FD69CD" w:rsidRDefault="00083140" w:rsidP="00083140">
      <w:pPr>
        <w:pStyle w:val="Heading2"/>
        <w:spacing w:before="100" w:beforeAutospacing="1" w:after="100" w:afterAutospacing="1"/>
      </w:pPr>
      <w:r>
        <w:t>7.1 Synergistic Applications and Integrated Platforms</w:t>
      </w:r>
    </w:p>
    <w:p w:rsidR="00FD69CD" w:rsidRDefault="00083140" w:rsidP="00083140">
      <w:pPr>
        <w:spacing w:before="100" w:beforeAutospacing="1" w:after="100" w:afterAutospacing="1"/>
        <w:jc w:val="both"/>
      </w:pPr>
      <w:r>
        <w:t xml:space="preserve">The most powerful applications of AI, remote sensing, and digital twins in precision agriculture arise not from their individual deployment but from their integration within coherent technological and data management frameworks that leverage the complementary strengths of each component. In such integrated systems, remote sensing provides continuous, spatially explicit field observations at scales from individual plants to landscapes; AI algorithms process this imagery alongside IoT sensor data to extract crop biophysical variables, detect anomalies, and generate predictions; and digital twin platforms </w:t>
      </w:r>
      <w:proofErr w:type="spellStart"/>
      <w:r>
        <w:t>contextualise</w:t>
      </w:r>
      <w:proofErr w:type="spellEnd"/>
      <w:r>
        <w:t xml:space="preserve"> these observations and predictions within process simulation models to support scenario analysis and adaptive management. The Internet of Things serves as the connective tissue linking these components, enabling real-time data flows between field sensors, UAV platforms, satellite data streams, cloud computing infrastructure, and farm management interfaces (</w:t>
      </w:r>
      <w:proofErr w:type="spellStart"/>
      <w:r>
        <w:t>Tzounis</w:t>
      </w:r>
      <w:proofErr w:type="spellEnd"/>
      <w:r>
        <w:t xml:space="preserve"> et al., 2017; </w:t>
      </w:r>
      <w:proofErr w:type="spellStart"/>
      <w:r>
        <w:t>Wolfert</w:t>
      </w:r>
      <w:proofErr w:type="spellEnd"/>
      <w:r>
        <w:t xml:space="preserve"> et al., 2017).</w:t>
      </w:r>
    </w:p>
    <w:p w:rsidR="00FD69CD" w:rsidRDefault="00083140" w:rsidP="00083140">
      <w:pPr>
        <w:spacing w:before="100" w:beforeAutospacing="1" w:after="100" w:afterAutospacing="1"/>
        <w:jc w:val="both"/>
      </w:pPr>
      <w:r>
        <w:t>The concept of Agriculture 4.0 — drawing an analogy with the Fourth Industrial Revolution — has been proposed to describe this integrated digital ecosystem in which cyber-physical systems, IoT sensors, AI analytics, and digital twins collectively enable increasingly autonomous and self-</w:t>
      </w:r>
      <w:proofErr w:type="spellStart"/>
      <w:r>
        <w:t>optimising</w:t>
      </w:r>
      <w:proofErr w:type="spellEnd"/>
      <w:r>
        <w:t xml:space="preserve"> farming operations that adapt continuously to changing environmental conditions, market signals, and regulatory requirements. While this vision remains partially aspirational, significant progress towards its </w:t>
      </w:r>
      <w:proofErr w:type="spellStart"/>
      <w:r>
        <w:t>realisation</w:t>
      </w:r>
      <w:proofErr w:type="spellEnd"/>
      <w:r>
        <w:t xml:space="preserve"> is evident in research and commercial demonstrations integrating these technologies across diverse agricultural production contexts, from large-scale grain farming operations in North America </w:t>
      </w:r>
      <w:r>
        <w:lastRenderedPageBreak/>
        <w:t>and Australia to smallholder rice production in South and South-East Asia. The pace of progress is accelerating as the enabling technologies — particularly edge AI chips, satellite constellations, and cloud data platforms — become simultaneously more capable and more economically accessible.</w:t>
      </w:r>
    </w:p>
    <w:p w:rsidR="00FD69CD" w:rsidRDefault="00083140" w:rsidP="00083140">
      <w:pPr>
        <w:pStyle w:val="Heading2"/>
        <w:spacing w:before="100" w:beforeAutospacing="1" w:after="100" w:afterAutospacing="1"/>
      </w:pPr>
      <w:r>
        <w:t>7.2 Drought and Water Stress Management</w:t>
      </w:r>
    </w:p>
    <w:p w:rsidR="00FD69CD" w:rsidRDefault="00083140" w:rsidP="00083140">
      <w:pPr>
        <w:spacing w:before="100" w:beforeAutospacing="1" w:after="100" w:afterAutospacing="1"/>
        <w:jc w:val="both"/>
      </w:pPr>
      <w:r>
        <w:t xml:space="preserve">Water stress is the most pervasive abiotic constraint on global crop production and is projected to intensify as climate change amplifies the frequency and duration of drought events in major agricultural regions of the world. The integrated deployment of remote sensing-derived crop water stress indicators, AI-based irrigation scheduling models, and digital twin soil-water simulation platforms offers a powerful toolkit for </w:t>
      </w:r>
      <w:proofErr w:type="spellStart"/>
      <w:r>
        <w:t>optimising</w:t>
      </w:r>
      <w:proofErr w:type="spellEnd"/>
      <w:r>
        <w:t xml:space="preserve"> water use efficiency in both dryland and irrigated cropping systems. Satellite and UAV-based thermal imagery can map crop water stress indices at field scale, identifying zones experiencing moisture deficits before visible wilting symptoms emerge. These spatially explicit stress maps can be assimilated into digital twin soil-water balance models, which integrate real-time weather observations and short-range forecasts with soil texture and water retention data to calculate zone-specific moisture deficits and generate spatially differentiated irrigation application recommendations (Weiss et al., 2020; </w:t>
      </w:r>
      <w:proofErr w:type="spellStart"/>
      <w:r>
        <w:t>Sishodia</w:t>
      </w:r>
      <w:proofErr w:type="spellEnd"/>
      <w:r>
        <w:t xml:space="preserve"> et al., 2020).</w:t>
      </w:r>
    </w:p>
    <w:p w:rsidR="00FD69CD" w:rsidRDefault="00083140" w:rsidP="00083140">
      <w:pPr>
        <w:spacing w:before="100" w:beforeAutospacing="1" w:after="100" w:afterAutospacing="1"/>
        <w:jc w:val="both"/>
      </w:pPr>
      <w:r>
        <w:t>Machine learning models trained on multi-year datasets of remote sensing imagery, weather records, and crop yield observations can identify spectral and thermal signatures predictive of drought-induced yield loss, enabling early warning systems that alert farmers to emerging moisture deficits with sufficient lead time for effective irrigation or crop protection interventions. Reinforcement learning frameworks, in which AI agents learn optimal irrigation strategies through simulated interaction with digital twin crop-soil models, have demonstrated the capacity to achieve significant water savings while maintaining or improving yield outcomes compared with conventional schedule-based or evapotranspiration-based irrigation management. The economic and environmental implications of improved irrigation efficiency are substantial, particularly in water-scarce agricultural regions where declining groundwater tables and competing water use demands are intensifying pressure on agricultural water allocations (</w:t>
      </w:r>
      <w:proofErr w:type="spellStart"/>
      <w:r>
        <w:t>Rolnick</w:t>
      </w:r>
      <w:proofErr w:type="spellEnd"/>
      <w:r>
        <w:t xml:space="preserve"> et al., 2022).</w:t>
      </w:r>
    </w:p>
    <w:p w:rsidR="00FD69CD" w:rsidRDefault="00083140" w:rsidP="00083140">
      <w:pPr>
        <w:pStyle w:val="Heading2"/>
        <w:spacing w:before="100" w:beforeAutospacing="1" w:after="100" w:afterAutospacing="1"/>
      </w:pPr>
      <w:r>
        <w:t>7.3 Pest and Disease Surveillance</w:t>
      </w:r>
    </w:p>
    <w:p w:rsidR="00FD69CD" w:rsidRDefault="00083140" w:rsidP="00083140">
      <w:pPr>
        <w:spacing w:before="100" w:beforeAutospacing="1" w:after="100" w:afterAutospacing="1"/>
        <w:jc w:val="both"/>
      </w:pPr>
      <w:r>
        <w:t xml:space="preserve">Crop pests and diseases represent a persistent and economically devastating threat to food production globally, with the Food and Agriculture </w:t>
      </w:r>
      <w:proofErr w:type="spellStart"/>
      <w:r>
        <w:t>Organisation</w:t>
      </w:r>
      <w:proofErr w:type="spellEnd"/>
      <w:r>
        <w:t xml:space="preserve"> estimating that between 20 and 40% of global crop production is lost annually to plant pests and diseases (FAO, 2023). Climate change is altering the epidemiology and geographic distribution of many agricultural pests and pathogens — expanding the geographic range of thermophilic insects and fungi, shifting the seasonal timing of pest emergence, and in some cases facilitating the emergence of new host-pathogen interactions under novel climate conditions. Early and accurate detection of pest and disease outbreaks is a critical prerequisite for effective management, yet conventional field scouting is </w:t>
      </w:r>
      <w:proofErr w:type="spellStart"/>
      <w:r>
        <w:t>labour-intensive</w:t>
      </w:r>
      <w:proofErr w:type="spellEnd"/>
      <w:r>
        <w:t>, spatially limited, and often insufficiently frequent to detect outbreaks before they reach economically damaging levels.</w:t>
      </w:r>
    </w:p>
    <w:p w:rsidR="00FD69CD" w:rsidRDefault="00083140" w:rsidP="00083140">
      <w:pPr>
        <w:spacing w:before="100" w:beforeAutospacing="1" w:after="100" w:afterAutospacing="1"/>
        <w:jc w:val="both"/>
      </w:pPr>
      <w:r>
        <w:t xml:space="preserve">Deep learning-based image analysis, applied to data acquired by UAV-mounted multispectral and hyperspectral cameras and ground-level smartphone cameras, has demonstrated impressive performance across a range of crop disease detection scenarios. Mohanty et al. (2016) established the technical foundation for AI-driven disease diagnosis tools accessible to </w:t>
      </w:r>
      <w:r>
        <w:lastRenderedPageBreak/>
        <w:t xml:space="preserve">non-specialist users, demonstrating that transfer learning enabled classification of 26 plant diseases across 14 crop species from leaf images with an overall accuracy of 99.35% on a held-out test set under controlled conditions. </w:t>
      </w:r>
      <w:proofErr w:type="spellStart"/>
      <w:r>
        <w:t>Kamilaris</w:t>
      </w:r>
      <w:proofErr w:type="spellEnd"/>
      <w:r>
        <w:t xml:space="preserve"> and </w:t>
      </w:r>
      <w:proofErr w:type="spellStart"/>
      <w:r>
        <w:t>Prenafeta-Boldú</w:t>
      </w:r>
      <w:proofErr w:type="spellEnd"/>
      <w:r>
        <w:t xml:space="preserve"> (2018) further documented the breadth of deep learning applications in agricultural disease detection, highlighting the consistent performance advantage of CNN-based approaches over traditional image processing techniques across a wide range of plant pathology detection tasks. These deep learning models have been adapted for deployment with UAV platforms to enable field-scale disease mapping at sufficiently high spatial resolution to generate site-specific fungicide application prescriptions, reducing both chemical inputs and selection pressure for pathogen resistance development.</w:t>
      </w:r>
    </w:p>
    <w:p w:rsidR="00FD69CD" w:rsidRDefault="00083140" w:rsidP="00083140">
      <w:pPr>
        <w:spacing w:before="100" w:beforeAutospacing="1" w:after="100" w:afterAutospacing="1"/>
        <w:jc w:val="both"/>
      </w:pPr>
      <w:r>
        <w:t>Digital twin frameworks for integrated pest and disease management couple epidemiological simulation models — which predict disease spread rates based on weather conditions, crop canopy microclimate, and pathogen life cycle parameters — with remote sensing-derived maps of current infection levels and AI-based early warning algorithms. By coupling infection risk forecasts with real-time field observations, these integrated systems can predict disease outbreak trajectories, identify high-risk zones requiring priority intervention, and evaluate the likely efficacy of different management responses under current and forecast weather conditions. The resulting decision support capability transforms disease management from a reactive to a proactive discipline, substantially improving the timeliness and spatial targeting of management interventions and reducing the risk of large-scale crop losses through delayed or inadequate response.</w:t>
      </w:r>
    </w:p>
    <w:p w:rsidR="00FD69CD" w:rsidRDefault="00083140" w:rsidP="00083140">
      <w:pPr>
        <w:pStyle w:val="Heading2"/>
        <w:spacing w:before="100" w:beforeAutospacing="1" w:after="100" w:afterAutospacing="1"/>
      </w:pPr>
      <w:r>
        <w:t xml:space="preserve">7.4 Yield </w:t>
      </w:r>
      <w:proofErr w:type="spellStart"/>
      <w:r>
        <w:t>Optimisation</w:t>
      </w:r>
      <w:proofErr w:type="spellEnd"/>
      <w:r>
        <w:t xml:space="preserve"> Under Climate Variability</w:t>
      </w:r>
    </w:p>
    <w:p w:rsidR="00FD69CD" w:rsidRDefault="00083140" w:rsidP="00083140">
      <w:pPr>
        <w:spacing w:before="100" w:beforeAutospacing="1" w:after="100" w:afterAutospacing="1"/>
        <w:jc w:val="both"/>
      </w:pPr>
      <w:r>
        <w:t xml:space="preserve">Accurate, timely crop yield prediction is a foundational capability for agricultural supply chain management, food security planning, farm-level financial risk assessment, and the evaluation of climate adaptation strategies at multiple scales. The integration of AI, remote sensing, and digital twins offers substantially improved yield prediction accuracy and spatial resolution relative to conventional agronomic methods or coarse global crop models. </w:t>
      </w:r>
      <w:proofErr w:type="spellStart"/>
      <w:r>
        <w:t>Chlingaryan</w:t>
      </w:r>
      <w:proofErr w:type="spellEnd"/>
      <w:r>
        <w:t xml:space="preserve"> et al. (2018) reviewed ML approaches for crop yield prediction and nitrogen status estimation, documenting that the integration of diverse sensor modalities and ML techniques offers a promising pathway to cost-effective and comprehensive yield estimation, with multi-temporal remote sensing data identified as a particularly valuable input for building robust predictive models across diverse cropping systems and environments. LSTM neural networks applied to multi-temporal vegetation index time series have demonstrated strong potential for scalable large-area yield forecasting, with prediction accuracies reported in multiple studies that approach those achievable through more expensive conventional methods, underscoring the economic efficiency of remote sensing-AI integrated approaches (</w:t>
      </w:r>
      <w:proofErr w:type="spellStart"/>
      <w:r>
        <w:t>Chlingaryan</w:t>
      </w:r>
      <w:proofErr w:type="spellEnd"/>
      <w:r>
        <w:t xml:space="preserve"> et al., 2018).</w:t>
      </w:r>
    </w:p>
    <w:p w:rsidR="00FD69CD" w:rsidRDefault="00083140" w:rsidP="00083140">
      <w:pPr>
        <w:spacing w:before="100" w:beforeAutospacing="1" w:after="100" w:afterAutospacing="1"/>
        <w:jc w:val="both"/>
      </w:pPr>
      <w:r>
        <w:t xml:space="preserve">At the farm scale, digital twin yield prediction modules assimilate crop growth model outputs alongside remote sensing-derived canopy variable estimates and real-time sensor data to generate spatially explicit yield forecasts — producing estimated yield maps for the current growing season several weeks before harvest. These forecasts enable forward-looking management decisions, including </w:t>
      </w:r>
      <w:proofErr w:type="spellStart"/>
      <w:r>
        <w:t>optimisation</w:t>
      </w:r>
      <w:proofErr w:type="spellEnd"/>
      <w:r>
        <w:t xml:space="preserve"> of harvest logistics and storage capacity, early identification of fields or zones where crop failure mitigation actions are warranted, and evaluation of the potential benefit of late-season management interventions such as supplemental irrigation or foliar nutrition applications. </w:t>
      </w:r>
      <w:proofErr w:type="spellStart"/>
      <w:r>
        <w:t>Rolnick</w:t>
      </w:r>
      <w:proofErr w:type="spellEnd"/>
      <w:r>
        <w:t xml:space="preserve"> et al. (2022) </w:t>
      </w:r>
      <w:proofErr w:type="spellStart"/>
      <w:r>
        <w:t>emphasised</w:t>
      </w:r>
      <w:proofErr w:type="spellEnd"/>
      <w:r>
        <w:t xml:space="preserve"> that ML-based yield prediction and precision agriculture more broadly represent significant near-</w:t>
      </w:r>
      <w:r>
        <w:lastRenderedPageBreak/>
        <w:t>term opportunities for climate change adaptation, noting that improved production predictability and resource use efficiency contribute to both food system resilience and the mitigation of agriculture’s own climatic footprint. Under projected scenarios of increased climatic variability, the added value of high-accuracy, high-resolution yield forecasting for risk management and adaptation planning is expected to grow substantially, making continued investment in these capabilities strategically important for agricultural systems operating in a changing climate.</w:t>
      </w:r>
    </w:p>
    <w:p w:rsidR="00FD69CD" w:rsidRDefault="00083140" w:rsidP="00083140">
      <w:pPr>
        <w:pStyle w:val="Heading1"/>
        <w:spacing w:before="100" w:beforeAutospacing="1" w:after="100" w:afterAutospacing="1"/>
      </w:pPr>
      <w:r>
        <w:t>8. Challenges, Limitations, and Future Directions</w:t>
      </w:r>
    </w:p>
    <w:p w:rsidR="00FD69CD" w:rsidRDefault="00083140" w:rsidP="00083140">
      <w:pPr>
        <w:pStyle w:val="Heading2"/>
        <w:spacing w:before="100" w:beforeAutospacing="1" w:after="100" w:afterAutospacing="1"/>
      </w:pPr>
      <w:r>
        <w:t>8.1 Data Infrastructure and Interoperability</w:t>
      </w:r>
    </w:p>
    <w:p w:rsidR="00FD69CD" w:rsidRDefault="00083140" w:rsidP="00083140">
      <w:pPr>
        <w:spacing w:before="100" w:beforeAutospacing="1" w:after="100" w:afterAutospacing="1"/>
        <w:jc w:val="both"/>
      </w:pPr>
      <w:r>
        <w:t xml:space="preserve">Despite the technical advances reviewed above, the practical deployment of integrated AI, remote sensing, and digital twin systems in mainstream agriculture faces substantial and in some cases fundamental challenges. Chief among these is the fragmented and heterogeneous nature of agricultural data infrastructure. The data streams required to sustain digital twin systems — including IoT sensor measurements, satellite and UAV imagery, weather records, soil survey information, crop management histories, and economic data — are typically generated by different </w:t>
      </w:r>
      <w:proofErr w:type="spellStart"/>
      <w:r>
        <w:t>organisations</w:t>
      </w:r>
      <w:proofErr w:type="spellEnd"/>
      <w:r>
        <w:t xml:space="preserve">, stored in incompatible formats, and governed by varying data ownership and sharing agreements that inhibit seamless integration. Achieving the continuous, real-time data integration required by operational digital twins demands significant investment in data </w:t>
      </w:r>
      <w:proofErr w:type="spellStart"/>
      <w:r>
        <w:t>standardisation</w:t>
      </w:r>
      <w:proofErr w:type="spellEnd"/>
      <w:r>
        <w:t>, interoperability protocols, application programming interfaces, and cloud-based data integration platforms (</w:t>
      </w:r>
      <w:proofErr w:type="spellStart"/>
      <w:r>
        <w:t>Wolfert</w:t>
      </w:r>
      <w:proofErr w:type="spellEnd"/>
      <w:r>
        <w:t xml:space="preserve"> et al., 2017).</w:t>
      </w:r>
    </w:p>
    <w:p w:rsidR="00FD69CD" w:rsidRDefault="00083140" w:rsidP="00083140">
      <w:pPr>
        <w:spacing w:before="100" w:beforeAutospacing="1" w:after="100" w:afterAutospacing="1"/>
        <w:jc w:val="both"/>
      </w:pPr>
      <w:r>
        <w:t xml:space="preserve">Remote sensing data management presents particular operational challenges. A single satellite pass over an agricultural region generates gigabytes of multispectral imagery that must be atmospherically corrected, geometrically registered, cloud-masked, and processed through biophysical retrieval algorithms before agricultural information can be extracted and delivered to end-users. UAV surveys of large farm properties generate terabytes of raw imagery per season, requiring substantial computational resources and </w:t>
      </w:r>
      <w:proofErr w:type="spellStart"/>
      <w:r>
        <w:t>specialised</w:t>
      </w:r>
      <w:proofErr w:type="spellEnd"/>
      <w:r>
        <w:t xml:space="preserve"> software for photogrammetric processing, orthorectification, mosaicking, and biophysical variable retrieval. </w:t>
      </w:r>
      <w:proofErr w:type="spellStart"/>
      <w:r>
        <w:t>Democratising</w:t>
      </w:r>
      <w:proofErr w:type="spellEnd"/>
      <w:r>
        <w:t xml:space="preserve"> access to these data processing capabilities — particularly for smallholder farmers and agricultural </w:t>
      </w:r>
      <w:proofErr w:type="spellStart"/>
      <w:r>
        <w:t>organisations</w:t>
      </w:r>
      <w:proofErr w:type="spellEnd"/>
      <w:r>
        <w:t xml:space="preserve"> in low- and middle-income countries with limited technical capacity and connectivity — will require investment in cloud computing infrastructure, open-source software tools, and technical training. The development of accessible, operationally robust data pipelines that can ingest heterogeneous remote sensing data and deliver processed, actionable information to field practitioners with appropriate timeliness and spatial resolution remains an active and important research frontier (Weiss et al., 2020).</w:t>
      </w:r>
    </w:p>
    <w:p w:rsidR="00FD69CD" w:rsidRDefault="00083140" w:rsidP="00083140">
      <w:pPr>
        <w:pStyle w:val="Heading2"/>
        <w:spacing w:before="100" w:beforeAutospacing="1" w:after="100" w:afterAutospacing="1"/>
      </w:pPr>
      <w:r>
        <w:t>8.2 Computational and Energy Requirements</w:t>
      </w:r>
    </w:p>
    <w:p w:rsidR="00FD69CD" w:rsidRDefault="00083140" w:rsidP="00083140">
      <w:pPr>
        <w:spacing w:before="100" w:beforeAutospacing="1" w:after="100" w:afterAutospacing="1"/>
        <w:jc w:val="both"/>
      </w:pPr>
      <w:r>
        <w:t xml:space="preserve">The training of large deep learning models for agricultural image analysis requires substantial computational resources — including GPU clusters, significant memory capacity, and extensive storage — that are not universally available to agricultural research institutions, particularly in lower-income countries. While inference — the application of a trained model to new observational data — is less computationally demanding than training and can increasingly be performed on edge computing devices or lightweight cloud services, the model development cycle remains resource-intensive. The energy consumption associated with training and maintaining large AI models has attracted growing scrutiny from an </w:t>
      </w:r>
      <w:r>
        <w:lastRenderedPageBreak/>
        <w:t>environmental sustainability perspective, raising questions about the net ecological benefit of AI-enabled precision agriculture when its computational carbon footprint is considered alongside its agricultural resource savings (</w:t>
      </w:r>
      <w:proofErr w:type="spellStart"/>
      <w:r>
        <w:t>Rolnick</w:t>
      </w:r>
      <w:proofErr w:type="spellEnd"/>
      <w:r>
        <w:t xml:space="preserve"> et al., 2022). Advances in model compression, </w:t>
      </w:r>
      <w:proofErr w:type="spellStart"/>
      <w:r>
        <w:t>quantisation</w:t>
      </w:r>
      <w:proofErr w:type="spellEnd"/>
      <w:r>
        <w:t>, and energy-efficient neuromorphic computing architectures may progressively reduce the energy costs of agricultural AI applications, but this remains an active area of development.</w:t>
      </w:r>
    </w:p>
    <w:p w:rsidR="00FD69CD" w:rsidRDefault="00083140" w:rsidP="00083140">
      <w:pPr>
        <w:spacing w:before="100" w:beforeAutospacing="1" w:after="100" w:afterAutospacing="1"/>
        <w:jc w:val="both"/>
      </w:pPr>
      <w:r>
        <w:t xml:space="preserve">The calibration and validation of digital twin models across diverse pedoclimatic conditions, crop varieties, and management systems requires extensive field experimentation, intensive data collection campaigns, and continuous model updating as agricultural systems evolve in response to breeding advances, market changes, and climatic shifts. The significant investment required for this calibration work — both in terms of scientific effort and financial resources — constitutes a substantial barrier to the development of accurate, widely applicable digital twin platforms that perform reliably across diverse agroecological contexts. Addressing this challenge will require collaborative research </w:t>
      </w:r>
      <w:proofErr w:type="spellStart"/>
      <w:r>
        <w:t>programmes</w:t>
      </w:r>
      <w:proofErr w:type="spellEnd"/>
      <w:r>
        <w:t xml:space="preserve"> involving multiple institutions and countries, the sharing of calibration datasets under open-access data </w:t>
      </w:r>
      <w:proofErr w:type="spellStart"/>
      <w:r>
        <w:t>licences</w:t>
      </w:r>
      <w:proofErr w:type="spellEnd"/>
      <w:r>
        <w:t>, and the development of AI-based automated calibration methods that can efficiently identify optimal model parameters from available data streams. Sensor fusion methods that combine information from multiple sensor types — including satellite optical, SAR, and thermal imagery, UAV multispectral cameras, IoT soil sensors, and weather station networks — within Bayesian data assimilation frameworks offer a promising pathway for robust digital twin state estimation under conditions of incomplete observational coverage.</w:t>
      </w:r>
    </w:p>
    <w:p w:rsidR="00FD69CD" w:rsidRDefault="00083140" w:rsidP="00083140">
      <w:pPr>
        <w:pStyle w:val="Heading2"/>
        <w:spacing w:before="100" w:beforeAutospacing="1" w:after="100" w:afterAutospacing="1"/>
      </w:pPr>
      <w:r>
        <w:t>8.3 Socio-Economic and Adoption Barriers</w:t>
      </w:r>
    </w:p>
    <w:p w:rsidR="00FD69CD" w:rsidRDefault="00083140" w:rsidP="00083140">
      <w:pPr>
        <w:spacing w:before="100" w:beforeAutospacing="1" w:after="100" w:afterAutospacing="1"/>
        <w:jc w:val="both"/>
      </w:pPr>
      <w:r>
        <w:t>Beyond technical challenges, the widespread adoption of AI, remote sensing, and digital twin technologies in agriculture faces profound socio-economic barriers that are unlikely to be resolved by technological progress alone. A substantial proportion of global agricultural production — and the majority of the world’s farmers by number — is carried out by smallholder operators managing holdings of less than two hectares, often with limited access to finance, reliable electricity and connectivity, digital literacy, and extension support services. The precision agriculture technologies reviewed in this article were developed primarily in well-resourced agricultural research environments and large-scale commercial farming contexts, and their adaptation to the realities of smallholder farming requires deliberate design effort, business model innovation, and targeted policy intervention.</w:t>
      </w:r>
    </w:p>
    <w:p w:rsidR="00FD69CD" w:rsidRDefault="00083140" w:rsidP="00083140">
      <w:pPr>
        <w:spacing w:before="100" w:beforeAutospacing="1" w:after="100" w:afterAutospacing="1"/>
        <w:jc w:val="both"/>
      </w:pPr>
      <w:r>
        <w:t xml:space="preserve">The return on investment from precision agriculture technologies varies considerably with farm size and operational context. Variable-rate technology and UAV monitoring services deliver their highest economic benefits when applied at scales sufficient to </w:t>
      </w:r>
      <w:proofErr w:type="spellStart"/>
      <w:r>
        <w:t>amortise</w:t>
      </w:r>
      <w:proofErr w:type="spellEnd"/>
      <w:r>
        <w:t xml:space="preserve"> the fixed costs of equipment, software subscriptions, and data management — a threshold that many smallholder operations do not reach individually. Cooperative and agricultural service-provider models, in which groups of </w:t>
      </w:r>
      <w:proofErr w:type="gramStart"/>
      <w:r>
        <w:t>smallholders</w:t>
      </w:r>
      <w:proofErr w:type="gramEnd"/>
      <w:r>
        <w:t xml:space="preserve"> pool resources to access precision management services delivered by specialist operators, have emerged as a promising approach to bridging the scale gap, but their successful implementation requires supportive institutional frameworks, trust among participants, effective linkage to agricultural advisory services, and financial mechanisms that enable upfront technology investment. </w:t>
      </w:r>
      <w:proofErr w:type="spellStart"/>
      <w:r>
        <w:t>Gebbers</w:t>
      </w:r>
      <w:proofErr w:type="spellEnd"/>
      <w:r>
        <w:t xml:space="preserve"> and </w:t>
      </w:r>
      <w:proofErr w:type="spellStart"/>
      <w:r>
        <w:t>Adamchuk</w:t>
      </w:r>
      <w:proofErr w:type="spellEnd"/>
      <w:r>
        <w:t xml:space="preserve"> (2010) noted early in the development of precision agriculture that the technology’s benefits are most equitably distributed when institutional arrangements match technology capabilities to the scale and resource context of actual farm operations. Policymakers have an important role in creating incentive structures — including targeted </w:t>
      </w:r>
      <w:r>
        <w:lastRenderedPageBreak/>
        <w:t>subsidies for technology adoption by smallholders, regulations mandating data transparency and farmer data rights, and public investment in rural broadband infrastructure — that enable a more equitable distribution of the benefits of precision agriculture innovation.</w:t>
      </w:r>
    </w:p>
    <w:p w:rsidR="00FD69CD" w:rsidRDefault="00083140" w:rsidP="00083140">
      <w:pPr>
        <w:spacing w:before="100" w:beforeAutospacing="1" w:after="100" w:afterAutospacing="1"/>
        <w:jc w:val="both"/>
      </w:pPr>
      <w:r>
        <w:t xml:space="preserve">Looking forward, the continued reduction in the cost of sensors, satellite data, and computing; the development of lightweight, energy-efficient AI models deployable on low-cost mobile devices; the expansion of satellite connectivity to rural areas through low-Earth orbit broadband networks; and the growing engagement of </w:t>
      </w:r>
      <w:proofErr w:type="spellStart"/>
      <w:r>
        <w:t>agri</w:t>
      </w:r>
      <w:proofErr w:type="spellEnd"/>
      <w:r>
        <w:t xml:space="preserve">-tech companies with smallholder markets collectively suggest a trajectory towards more inclusive precision agriculture. However, </w:t>
      </w:r>
      <w:proofErr w:type="spellStart"/>
      <w:r>
        <w:t>realising</w:t>
      </w:r>
      <w:proofErr w:type="spellEnd"/>
      <w:r>
        <w:t xml:space="preserve"> this trajectory will require sustained attention from researchers, development practitioners, and policymakers to the specific constraints and priorities of smallholder farming systems, lest the digital transformation of agriculture widen rather than narrow the productivity and resilience gap between large-scale commercial and smallholder production systems.</w:t>
      </w:r>
    </w:p>
    <w:p w:rsidR="00FD69CD" w:rsidRDefault="00083140" w:rsidP="00083140">
      <w:pPr>
        <w:pStyle w:val="Heading1"/>
        <w:spacing w:before="100" w:beforeAutospacing="1" w:after="100" w:afterAutospacing="1"/>
      </w:pPr>
      <w:r>
        <w:t>9. Conclusions</w:t>
      </w:r>
    </w:p>
    <w:p w:rsidR="00FD69CD" w:rsidRDefault="00083140" w:rsidP="00083140">
      <w:pPr>
        <w:spacing w:before="100" w:beforeAutospacing="1" w:after="100" w:afterAutospacing="1"/>
        <w:jc w:val="both"/>
      </w:pPr>
      <w:r>
        <w:t>The convergence of artificial intelligence, remote sensing, and digital twin technologies represents one of the most significant developments in the recent history of agricultural innovation. The evidence reviewed in this article demonstrates that these technologies, individually and in combination, possess genuine transformative potential for improving the productivity, sustainability, and climate resilience of crop production systems. Machine learning and deep learning algorithms have demonstrated impressive capability in crop monitoring, disease detection, yield prediction, and precision decision support across a wide range of cropping systems and environments. Satellite and UAV-based remote sensing now delivers spatially explicit, high-resolution information on crop biophysical variables at operationally practical cost and temporal frequency. Digital twin frameworks are providing the integrating architecture through which heterogeneous data streams, process simulation models, and AI analytics can be combined to support farm-level adaptive management in near-real time.</w:t>
      </w:r>
    </w:p>
    <w:p w:rsidR="00FD69CD" w:rsidRDefault="00083140" w:rsidP="00083140">
      <w:pPr>
        <w:spacing w:before="100" w:beforeAutospacing="1" w:after="100" w:afterAutospacing="1"/>
        <w:jc w:val="both"/>
      </w:pPr>
      <w:r>
        <w:t>The most powerful near-term opportunities lie in the integration of these three technological domains within coherent operational platforms that deliver targeted, actionable intelligence to farm practitioners. Applications in drought stress management, early disease and pest detection, precision surveillance of crop health, and spatially explicit yield forecasting illustrate the practical value that integrated systems can deliver in addressing the specific production challenges created by climate variability and change. As computational capabilities continue to improve, data costs fall, and IoT connectivity expands into rural agricultural landscapes, the scalability of these integrated platforms will improve progressively, enabling their deployment across an increasingly diverse range of agricultural contexts and production systems.</w:t>
      </w:r>
    </w:p>
    <w:p w:rsidR="00FD69CD" w:rsidRDefault="00083140" w:rsidP="00083140">
      <w:pPr>
        <w:spacing w:before="100" w:beforeAutospacing="1" w:after="100" w:afterAutospacing="1"/>
        <w:jc w:val="both"/>
      </w:pPr>
      <w:r>
        <w:t xml:space="preserve">However, the review also highlights that technological capability alone is insufficient to </w:t>
      </w:r>
      <w:proofErr w:type="spellStart"/>
      <w:r>
        <w:t>realise</w:t>
      </w:r>
      <w:proofErr w:type="spellEnd"/>
      <w:r>
        <w:t xml:space="preserve"> the promise of precision agriculture under climate change. Data interoperability challenges, computational and energy costs, and socio-economic barriers — particularly in relation to smallholder farming systems in low- and middle-income countries — represent significant impediments that must be addressed through concerted research, policy, and institutional effort. The goal of climate-resilient food production for a growing global population is too important to be pursued in a technologically deterministic manner; it requires that digital agricultural innovations be designed inclusively, deployed equitably, and </w:t>
      </w:r>
      <w:r>
        <w:lastRenderedPageBreak/>
        <w:t>governed transparently, with explicit attention to the needs and capabilities of the farmers who will ultimately determine whether these technologies deliver their promised benefits.</w:t>
      </w:r>
    </w:p>
    <w:p w:rsidR="00FD69CD" w:rsidRDefault="00083140" w:rsidP="00083140">
      <w:pPr>
        <w:pStyle w:val="Heading1"/>
        <w:spacing w:before="100" w:beforeAutospacing="1" w:after="100" w:afterAutospacing="1"/>
      </w:pPr>
      <w:r>
        <w:t>10. Limitations</w:t>
      </w:r>
    </w:p>
    <w:p w:rsidR="00FD69CD" w:rsidRDefault="00083140" w:rsidP="00083140">
      <w:pPr>
        <w:spacing w:before="100" w:beforeAutospacing="1" w:after="100" w:afterAutospacing="1"/>
        <w:jc w:val="both"/>
      </w:pPr>
      <w:r>
        <w:t>This review is subject to several limitations that should be considered when interpreting its findings. The scope of the literature search, while extensive, cannot be considered exhaustive given the breadth of the topic and the rapidly expanding publication landscape across multiple disciplinary domains simultaneously. The primary search language was English, which may have introduced a systematic bias against relevant research published in other languages, potentially under-representing significant contributions from major agricultural research traditions in China, Brazil, India, France, and Germany, among others.</w:t>
      </w:r>
    </w:p>
    <w:p w:rsidR="00FD69CD" w:rsidRDefault="00083140" w:rsidP="00083140">
      <w:pPr>
        <w:spacing w:before="100" w:beforeAutospacing="1" w:after="100" w:afterAutospacing="1"/>
        <w:jc w:val="both"/>
      </w:pPr>
      <w:r>
        <w:t>The exclusion of conference proceedings, book chapters, and grey literature, while consistent with the aim of reviewing high-quality peer-reviewed evidence, may have caused some innovative early-stage research and practitioner-oriented findings — including important commercial digital twin platform developments — to be missed or under-represented. The rate of technological development in AI, remote sensing, and digital twins is sufficiently rapid that some studies reviewed may have been superseded by more recent advances between the time of literature search and publication, particularly in areas such as large language model applications to agriculture, foundation models for remote sensing, and commercial precision agriculture platforms.</w:t>
      </w:r>
    </w:p>
    <w:p w:rsidR="00FD69CD" w:rsidRDefault="00083140" w:rsidP="00083140">
      <w:pPr>
        <w:spacing w:before="100" w:beforeAutospacing="1" w:after="100" w:afterAutospacing="1"/>
        <w:jc w:val="both"/>
      </w:pPr>
      <w:r>
        <w:t xml:space="preserve">The review does not quantitatively </w:t>
      </w:r>
      <w:proofErr w:type="spellStart"/>
      <w:r>
        <w:t>synthesise</w:t>
      </w:r>
      <w:proofErr w:type="spellEnd"/>
      <w:r>
        <w:t xml:space="preserve"> the evidence through formal meta-analysis. This limitation reflects the substantial heterogeneity in experimental conditions, crop types, geographic contexts, and performance metrics across the reviewed studies, which makes quantitative pooling of results inappropriate without access to </w:t>
      </w:r>
      <w:proofErr w:type="spellStart"/>
      <w:r>
        <w:t>standardised</w:t>
      </w:r>
      <w:proofErr w:type="spellEnd"/>
      <w:r>
        <w:t xml:space="preserve"> experimental protocols and comparable outcome measures. Finally, the review focuses predominantly on the scientific and technical dimensions of the technologies discussed and gives less extensive treatment to the governance, ethical, and societal dimensions of precision agriculture </w:t>
      </w:r>
      <w:proofErr w:type="spellStart"/>
      <w:r>
        <w:t>digitalisation</w:t>
      </w:r>
      <w:proofErr w:type="spellEnd"/>
      <w:r>
        <w:t xml:space="preserve"> — including questions of data sovereignty, algorithmic accountability, and the distributional consequences of technology-driven agricultural transformation — which merit dedicated future review attention.</w:t>
      </w:r>
    </w:p>
    <w:p w:rsidR="00FD69CD" w:rsidRDefault="00FD69CD" w:rsidP="00083140">
      <w:pPr>
        <w:spacing w:before="100" w:beforeAutospacing="1" w:after="100" w:afterAutospacing="1"/>
      </w:pPr>
    </w:p>
    <w:p w:rsidR="00FD69CD" w:rsidRDefault="00083140" w:rsidP="00083140">
      <w:pPr>
        <w:pStyle w:val="Heading1"/>
        <w:spacing w:before="100" w:beforeAutospacing="1" w:after="100" w:afterAutospacing="1"/>
      </w:pPr>
      <w:r>
        <w:t>References</w:t>
      </w:r>
    </w:p>
    <w:p w:rsidR="00FD69CD" w:rsidRDefault="00083140" w:rsidP="00083140">
      <w:pPr>
        <w:spacing w:before="100" w:beforeAutospacing="1" w:after="100" w:afterAutospacing="1"/>
        <w:ind w:left="720" w:hanging="720"/>
        <w:jc w:val="both"/>
      </w:pPr>
      <w:proofErr w:type="spellStart"/>
      <w:r>
        <w:rPr>
          <w:sz w:val="22"/>
          <w:szCs w:val="22"/>
        </w:rPr>
        <w:t>Chlingaryan</w:t>
      </w:r>
      <w:proofErr w:type="spellEnd"/>
      <w:r>
        <w:rPr>
          <w:sz w:val="22"/>
          <w:szCs w:val="22"/>
        </w:rPr>
        <w:t xml:space="preserve">, A., </w:t>
      </w:r>
      <w:proofErr w:type="spellStart"/>
      <w:r>
        <w:rPr>
          <w:sz w:val="22"/>
          <w:szCs w:val="22"/>
        </w:rPr>
        <w:t>Sukkarieh</w:t>
      </w:r>
      <w:proofErr w:type="spellEnd"/>
      <w:r>
        <w:rPr>
          <w:sz w:val="22"/>
          <w:szCs w:val="22"/>
        </w:rPr>
        <w:t xml:space="preserve">, S., &amp; Whelan, B. (2018). Machine learning approaches for crop yield prediction and nitrogen status estimation in precision agriculture: A review. </w:t>
      </w:r>
      <w:r>
        <w:rPr>
          <w:i/>
          <w:iCs/>
          <w:sz w:val="22"/>
          <w:szCs w:val="22"/>
        </w:rPr>
        <w:t>Computers and Electronics in Agriculture, 151</w:t>
      </w:r>
      <w:r>
        <w:rPr>
          <w:sz w:val="22"/>
          <w:szCs w:val="22"/>
        </w:rPr>
        <w:t>, 61–69. https://doi.org/10.1016/j.compag.2018.05.012</w:t>
      </w:r>
    </w:p>
    <w:p w:rsidR="00FD69CD" w:rsidRDefault="00083140" w:rsidP="00083140">
      <w:pPr>
        <w:spacing w:before="100" w:beforeAutospacing="1" w:after="100" w:afterAutospacing="1"/>
        <w:ind w:left="720" w:hanging="720"/>
        <w:jc w:val="both"/>
      </w:pPr>
      <w:r>
        <w:rPr>
          <w:sz w:val="22"/>
          <w:szCs w:val="22"/>
        </w:rPr>
        <w:t xml:space="preserve">FAO. (2023). </w:t>
      </w:r>
      <w:r>
        <w:rPr>
          <w:i/>
          <w:iCs/>
          <w:sz w:val="22"/>
          <w:szCs w:val="22"/>
        </w:rPr>
        <w:t xml:space="preserve">The state of food and agriculture 2023: Revealing the true cost of food to transform </w:t>
      </w:r>
      <w:proofErr w:type="spellStart"/>
      <w:r>
        <w:rPr>
          <w:i/>
          <w:iCs/>
          <w:sz w:val="22"/>
          <w:szCs w:val="22"/>
        </w:rPr>
        <w:t>agrifood</w:t>
      </w:r>
      <w:proofErr w:type="spellEnd"/>
      <w:r>
        <w:rPr>
          <w:i/>
          <w:iCs/>
          <w:sz w:val="22"/>
          <w:szCs w:val="22"/>
        </w:rPr>
        <w:t xml:space="preserve"> systems</w:t>
      </w:r>
      <w:r>
        <w:rPr>
          <w:sz w:val="22"/>
          <w:szCs w:val="22"/>
        </w:rPr>
        <w:t>. Food and Agriculture Organization of the United Nations. https://doi.org/10.4060/cc7724en</w:t>
      </w:r>
    </w:p>
    <w:p w:rsidR="00FD69CD" w:rsidRDefault="00083140" w:rsidP="00083140">
      <w:pPr>
        <w:spacing w:before="100" w:beforeAutospacing="1" w:after="100" w:afterAutospacing="1"/>
        <w:ind w:left="720" w:hanging="720"/>
        <w:jc w:val="both"/>
      </w:pPr>
      <w:proofErr w:type="spellStart"/>
      <w:r>
        <w:rPr>
          <w:sz w:val="22"/>
          <w:szCs w:val="22"/>
        </w:rPr>
        <w:t>Gebbers</w:t>
      </w:r>
      <w:proofErr w:type="spellEnd"/>
      <w:r>
        <w:rPr>
          <w:sz w:val="22"/>
          <w:szCs w:val="22"/>
        </w:rPr>
        <w:t xml:space="preserve">, R., &amp; </w:t>
      </w:r>
      <w:proofErr w:type="spellStart"/>
      <w:r>
        <w:rPr>
          <w:sz w:val="22"/>
          <w:szCs w:val="22"/>
        </w:rPr>
        <w:t>Adamchuk</w:t>
      </w:r>
      <w:proofErr w:type="spellEnd"/>
      <w:r>
        <w:rPr>
          <w:sz w:val="22"/>
          <w:szCs w:val="22"/>
        </w:rPr>
        <w:t xml:space="preserve">, V. I. (2010). Precision agriculture and food security. </w:t>
      </w:r>
      <w:r>
        <w:rPr>
          <w:i/>
          <w:iCs/>
          <w:sz w:val="22"/>
          <w:szCs w:val="22"/>
        </w:rPr>
        <w:t>Science, 327</w:t>
      </w:r>
      <w:r>
        <w:rPr>
          <w:sz w:val="22"/>
          <w:szCs w:val="22"/>
        </w:rPr>
        <w:t>(5967), 828–831. https://doi.org/10.1126/science.1183899</w:t>
      </w:r>
    </w:p>
    <w:p w:rsidR="00FD69CD" w:rsidRDefault="00083140" w:rsidP="00083140">
      <w:pPr>
        <w:spacing w:before="100" w:beforeAutospacing="1" w:after="100" w:afterAutospacing="1"/>
        <w:ind w:left="720" w:hanging="720"/>
        <w:jc w:val="both"/>
      </w:pPr>
      <w:r>
        <w:rPr>
          <w:sz w:val="22"/>
          <w:szCs w:val="22"/>
        </w:rPr>
        <w:lastRenderedPageBreak/>
        <w:t xml:space="preserve">IPCC. (2022). </w:t>
      </w:r>
      <w:r>
        <w:rPr>
          <w:i/>
          <w:iCs/>
          <w:sz w:val="22"/>
          <w:szCs w:val="22"/>
        </w:rPr>
        <w:t>Climate change 2022: Impacts, adaptation and vulnerability. Contribution of Working Group II to the Sixth Assessment Report of the Intergovernmental Panel on Climate Change</w:t>
      </w:r>
      <w:r>
        <w:rPr>
          <w:sz w:val="22"/>
          <w:szCs w:val="22"/>
        </w:rPr>
        <w:t xml:space="preserve"> [H.-O. </w:t>
      </w:r>
      <w:proofErr w:type="spellStart"/>
      <w:r>
        <w:rPr>
          <w:sz w:val="22"/>
          <w:szCs w:val="22"/>
        </w:rPr>
        <w:t>Pörtner</w:t>
      </w:r>
      <w:proofErr w:type="spellEnd"/>
      <w:r>
        <w:rPr>
          <w:sz w:val="22"/>
          <w:szCs w:val="22"/>
        </w:rPr>
        <w:t xml:space="preserve">, D. C. Roberts, M. </w:t>
      </w:r>
      <w:proofErr w:type="spellStart"/>
      <w:r>
        <w:rPr>
          <w:sz w:val="22"/>
          <w:szCs w:val="22"/>
        </w:rPr>
        <w:t>Tignor</w:t>
      </w:r>
      <w:proofErr w:type="spellEnd"/>
      <w:r>
        <w:rPr>
          <w:sz w:val="22"/>
          <w:szCs w:val="22"/>
        </w:rPr>
        <w:t xml:space="preserve">, E. S. </w:t>
      </w:r>
      <w:proofErr w:type="spellStart"/>
      <w:r>
        <w:rPr>
          <w:sz w:val="22"/>
          <w:szCs w:val="22"/>
        </w:rPr>
        <w:t>Poloczanska</w:t>
      </w:r>
      <w:proofErr w:type="spellEnd"/>
      <w:r>
        <w:rPr>
          <w:sz w:val="22"/>
          <w:szCs w:val="22"/>
        </w:rPr>
        <w:t xml:space="preserve">, K. </w:t>
      </w:r>
      <w:proofErr w:type="spellStart"/>
      <w:r>
        <w:rPr>
          <w:sz w:val="22"/>
          <w:szCs w:val="22"/>
        </w:rPr>
        <w:t>Mintenbeck</w:t>
      </w:r>
      <w:proofErr w:type="spellEnd"/>
      <w:r>
        <w:rPr>
          <w:sz w:val="22"/>
          <w:szCs w:val="22"/>
        </w:rPr>
        <w:t xml:space="preserve">, A. </w:t>
      </w:r>
      <w:proofErr w:type="spellStart"/>
      <w:r>
        <w:rPr>
          <w:sz w:val="22"/>
          <w:szCs w:val="22"/>
        </w:rPr>
        <w:t>Alegría</w:t>
      </w:r>
      <w:proofErr w:type="spellEnd"/>
      <w:r>
        <w:rPr>
          <w:sz w:val="22"/>
          <w:szCs w:val="22"/>
        </w:rPr>
        <w:t xml:space="preserve">, M. Craig, S. </w:t>
      </w:r>
      <w:proofErr w:type="spellStart"/>
      <w:r>
        <w:rPr>
          <w:sz w:val="22"/>
          <w:szCs w:val="22"/>
        </w:rPr>
        <w:t>Langsdorf</w:t>
      </w:r>
      <w:proofErr w:type="spellEnd"/>
      <w:r>
        <w:rPr>
          <w:sz w:val="22"/>
          <w:szCs w:val="22"/>
        </w:rPr>
        <w:t xml:space="preserve">, S. </w:t>
      </w:r>
      <w:proofErr w:type="spellStart"/>
      <w:r>
        <w:rPr>
          <w:sz w:val="22"/>
          <w:szCs w:val="22"/>
        </w:rPr>
        <w:t>Löschke</w:t>
      </w:r>
      <w:proofErr w:type="spellEnd"/>
      <w:r>
        <w:rPr>
          <w:sz w:val="22"/>
          <w:szCs w:val="22"/>
        </w:rPr>
        <w:t xml:space="preserve">, V. </w:t>
      </w:r>
      <w:proofErr w:type="spellStart"/>
      <w:r>
        <w:rPr>
          <w:sz w:val="22"/>
          <w:szCs w:val="22"/>
        </w:rPr>
        <w:t>Möller</w:t>
      </w:r>
      <w:proofErr w:type="spellEnd"/>
      <w:r>
        <w:rPr>
          <w:sz w:val="22"/>
          <w:szCs w:val="22"/>
        </w:rPr>
        <w:t xml:space="preserve">, A. </w:t>
      </w:r>
      <w:proofErr w:type="spellStart"/>
      <w:r>
        <w:rPr>
          <w:sz w:val="22"/>
          <w:szCs w:val="22"/>
        </w:rPr>
        <w:t>Okem</w:t>
      </w:r>
      <w:proofErr w:type="spellEnd"/>
      <w:r>
        <w:rPr>
          <w:sz w:val="22"/>
          <w:szCs w:val="22"/>
        </w:rPr>
        <w:t>, &amp; B. Rama (Eds.)]. Cambridge University Press. https://doi.org/10.1017/9781009325844</w:t>
      </w:r>
    </w:p>
    <w:p w:rsidR="00FD69CD" w:rsidRDefault="00083140" w:rsidP="00083140">
      <w:pPr>
        <w:spacing w:before="100" w:beforeAutospacing="1" w:after="100" w:afterAutospacing="1"/>
        <w:ind w:left="720" w:hanging="720"/>
        <w:jc w:val="both"/>
      </w:pPr>
      <w:proofErr w:type="spellStart"/>
      <w:r>
        <w:rPr>
          <w:sz w:val="22"/>
          <w:szCs w:val="22"/>
        </w:rPr>
        <w:t>Kamilaris</w:t>
      </w:r>
      <w:proofErr w:type="spellEnd"/>
      <w:r>
        <w:rPr>
          <w:sz w:val="22"/>
          <w:szCs w:val="22"/>
        </w:rPr>
        <w:t xml:space="preserve">, A., &amp; </w:t>
      </w:r>
      <w:proofErr w:type="spellStart"/>
      <w:r>
        <w:rPr>
          <w:sz w:val="22"/>
          <w:szCs w:val="22"/>
        </w:rPr>
        <w:t>Prenafeta-Boldú</w:t>
      </w:r>
      <w:proofErr w:type="spellEnd"/>
      <w:r>
        <w:rPr>
          <w:sz w:val="22"/>
          <w:szCs w:val="22"/>
        </w:rPr>
        <w:t xml:space="preserve">, F. X. (2018). Deep learning in agriculture: A survey. </w:t>
      </w:r>
      <w:r>
        <w:rPr>
          <w:i/>
          <w:iCs/>
          <w:sz w:val="22"/>
          <w:szCs w:val="22"/>
        </w:rPr>
        <w:t>Computers and Electronics in Agriculture, 147</w:t>
      </w:r>
      <w:r>
        <w:rPr>
          <w:sz w:val="22"/>
          <w:szCs w:val="22"/>
        </w:rPr>
        <w:t>, 70–90. https://doi.org/10.1016/j.compag.2018.02.016</w:t>
      </w:r>
    </w:p>
    <w:p w:rsidR="00FD69CD" w:rsidRDefault="00083140" w:rsidP="00083140">
      <w:pPr>
        <w:spacing w:before="100" w:beforeAutospacing="1" w:after="100" w:afterAutospacing="1"/>
        <w:ind w:left="720" w:hanging="720"/>
        <w:jc w:val="both"/>
      </w:pPr>
      <w:proofErr w:type="spellStart"/>
      <w:r>
        <w:rPr>
          <w:sz w:val="22"/>
          <w:szCs w:val="22"/>
        </w:rPr>
        <w:t>LeCun</w:t>
      </w:r>
      <w:proofErr w:type="spellEnd"/>
      <w:r>
        <w:rPr>
          <w:sz w:val="22"/>
          <w:szCs w:val="22"/>
        </w:rPr>
        <w:t xml:space="preserve">, Y., </w:t>
      </w:r>
      <w:proofErr w:type="spellStart"/>
      <w:r>
        <w:rPr>
          <w:sz w:val="22"/>
          <w:szCs w:val="22"/>
        </w:rPr>
        <w:t>Bengio</w:t>
      </w:r>
      <w:proofErr w:type="spellEnd"/>
      <w:r>
        <w:rPr>
          <w:sz w:val="22"/>
          <w:szCs w:val="22"/>
        </w:rPr>
        <w:t xml:space="preserve">, Y., &amp; Hinton, G. (2015). Deep learning. </w:t>
      </w:r>
      <w:r>
        <w:rPr>
          <w:i/>
          <w:iCs/>
          <w:sz w:val="22"/>
          <w:szCs w:val="22"/>
        </w:rPr>
        <w:t>Nature, 521</w:t>
      </w:r>
      <w:r>
        <w:rPr>
          <w:sz w:val="22"/>
          <w:szCs w:val="22"/>
        </w:rPr>
        <w:t>(7553), 436–444. https://doi.org/10.1038/nature14539</w:t>
      </w:r>
    </w:p>
    <w:p w:rsidR="00FD69CD" w:rsidRDefault="00083140" w:rsidP="00083140">
      <w:pPr>
        <w:spacing w:before="100" w:beforeAutospacing="1" w:after="100" w:afterAutospacing="1"/>
        <w:ind w:left="720" w:hanging="720"/>
        <w:jc w:val="both"/>
      </w:pPr>
      <w:proofErr w:type="spellStart"/>
      <w:r>
        <w:rPr>
          <w:sz w:val="22"/>
          <w:szCs w:val="22"/>
        </w:rPr>
        <w:t>Liakos</w:t>
      </w:r>
      <w:proofErr w:type="spellEnd"/>
      <w:r>
        <w:rPr>
          <w:sz w:val="22"/>
          <w:szCs w:val="22"/>
        </w:rPr>
        <w:t xml:space="preserve">, K. G., </w:t>
      </w:r>
      <w:proofErr w:type="spellStart"/>
      <w:r>
        <w:rPr>
          <w:sz w:val="22"/>
          <w:szCs w:val="22"/>
        </w:rPr>
        <w:t>Busato</w:t>
      </w:r>
      <w:proofErr w:type="spellEnd"/>
      <w:r>
        <w:rPr>
          <w:sz w:val="22"/>
          <w:szCs w:val="22"/>
        </w:rPr>
        <w:t xml:space="preserve">, P., </w:t>
      </w:r>
      <w:proofErr w:type="spellStart"/>
      <w:r>
        <w:rPr>
          <w:sz w:val="22"/>
          <w:szCs w:val="22"/>
        </w:rPr>
        <w:t>Moshou</w:t>
      </w:r>
      <w:proofErr w:type="spellEnd"/>
      <w:r>
        <w:rPr>
          <w:sz w:val="22"/>
          <w:szCs w:val="22"/>
        </w:rPr>
        <w:t xml:space="preserve">, D., Pearson, S., &amp; </w:t>
      </w:r>
      <w:proofErr w:type="spellStart"/>
      <w:r>
        <w:rPr>
          <w:sz w:val="22"/>
          <w:szCs w:val="22"/>
        </w:rPr>
        <w:t>Bochtis</w:t>
      </w:r>
      <w:proofErr w:type="spellEnd"/>
      <w:r>
        <w:rPr>
          <w:sz w:val="22"/>
          <w:szCs w:val="22"/>
        </w:rPr>
        <w:t xml:space="preserve">, D. (2018). Machine learning in agriculture: A review. </w:t>
      </w:r>
      <w:r>
        <w:rPr>
          <w:i/>
          <w:iCs/>
          <w:sz w:val="22"/>
          <w:szCs w:val="22"/>
        </w:rPr>
        <w:t>Sensors, 18</w:t>
      </w:r>
      <w:r>
        <w:rPr>
          <w:sz w:val="22"/>
          <w:szCs w:val="22"/>
        </w:rPr>
        <w:t>(8), Article 2674. https://doi.org/10.3390/s18082674</w:t>
      </w:r>
    </w:p>
    <w:p w:rsidR="00FD69CD" w:rsidRDefault="00083140" w:rsidP="00083140">
      <w:pPr>
        <w:spacing w:before="100" w:beforeAutospacing="1" w:after="100" w:afterAutospacing="1"/>
        <w:ind w:left="720" w:hanging="720"/>
        <w:jc w:val="both"/>
      </w:pPr>
      <w:r>
        <w:rPr>
          <w:sz w:val="22"/>
          <w:szCs w:val="22"/>
        </w:rPr>
        <w:t xml:space="preserve">Mohanty, S. P., Hughes, D. P., &amp; </w:t>
      </w:r>
      <w:proofErr w:type="spellStart"/>
      <w:r>
        <w:rPr>
          <w:sz w:val="22"/>
          <w:szCs w:val="22"/>
        </w:rPr>
        <w:t>Salathé</w:t>
      </w:r>
      <w:proofErr w:type="spellEnd"/>
      <w:r>
        <w:rPr>
          <w:sz w:val="22"/>
          <w:szCs w:val="22"/>
        </w:rPr>
        <w:t xml:space="preserve">, M. (2016). Using deep learning for image-based plant disease detection. </w:t>
      </w:r>
      <w:r>
        <w:rPr>
          <w:i/>
          <w:iCs/>
          <w:sz w:val="22"/>
          <w:szCs w:val="22"/>
        </w:rPr>
        <w:t>Frontiers in Plant Science, 7</w:t>
      </w:r>
      <w:r>
        <w:rPr>
          <w:sz w:val="22"/>
          <w:szCs w:val="22"/>
        </w:rPr>
        <w:t>, Article 1419. https://doi.org/10.3389/fpls.2016.01419</w:t>
      </w:r>
    </w:p>
    <w:p w:rsidR="00FD69CD" w:rsidRDefault="00083140" w:rsidP="00083140">
      <w:pPr>
        <w:spacing w:before="100" w:beforeAutospacing="1" w:after="100" w:afterAutospacing="1"/>
        <w:ind w:left="720" w:hanging="720"/>
        <w:jc w:val="both"/>
      </w:pPr>
      <w:proofErr w:type="spellStart"/>
      <w:r>
        <w:rPr>
          <w:sz w:val="22"/>
          <w:szCs w:val="22"/>
        </w:rPr>
        <w:t>Pylianidis</w:t>
      </w:r>
      <w:proofErr w:type="spellEnd"/>
      <w:r>
        <w:rPr>
          <w:sz w:val="22"/>
          <w:szCs w:val="22"/>
        </w:rPr>
        <w:t xml:space="preserve">, C., </w:t>
      </w:r>
      <w:proofErr w:type="spellStart"/>
      <w:r>
        <w:rPr>
          <w:sz w:val="22"/>
          <w:szCs w:val="22"/>
        </w:rPr>
        <w:t>Osinga</w:t>
      </w:r>
      <w:proofErr w:type="spellEnd"/>
      <w:r>
        <w:rPr>
          <w:sz w:val="22"/>
          <w:szCs w:val="22"/>
        </w:rPr>
        <w:t xml:space="preserve">, S., &amp; </w:t>
      </w:r>
      <w:proofErr w:type="spellStart"/>
      <w:r>
        <w:rPr>
          <w:sz w:val="22"/>
          <w:szCs w:val="22"/>
        </w:rPr>
        <w:t>Athanasiadis</w:t>
      </w:r>
      <w:proofErr w:type="spellEnd"/>
      <w:r>
        <w:rPr>
          <w:sz w:val="22"/>
          <w:szCs w:val="22"/>
        </w:rPr>
        <w:t xml:space="preserve">, I. N. (2021). Introducing digital twins to agriculture. </w:t>
      </w:r>
      <w:r>
        <w:rPr>
          <w:i/>
          <w:iCs/>
          <w:sz w:val="22"/>
          <w:szCs w:val="22"/>
        </w:rPr>
        <w:t>Computers and Electronics in Agriculture, 184</w:t>
      </w:r>
      <w:r>
        <w:rPr>
          <w:sz w:val="22"/>
          <w:szCs w:val="22"/>
        </w:rPr>
        <w:t>, Article 105942. https://doi.org/10.1016/j.compag.2020.105942</w:t>
      </w:r>
    </w:p>
    <w:p w:rsidR="00FD69CD" w:rsidRDefault="00083140" w:rsidP="00083140">
      <w:pPr>
        <w:spacing w:before="100" w:beforeAutospacing="1" w:after="100" w:afterAutospacing="1"/>
        <w:ind w:left="720" w:hanging="720"/>
        <w:jc w:val="both"/>
      </w:pPr>
      <w:proofErr w:type="spellStart"/>
      <w:r>
        <w:rPr>
          <w:sz w:val="22"/>
          <w:szCs w:val="22"/>
        </w:rPr>
        <w:t>Rolnick</w:t>
      </w:r>
      <w:proofErr w:type="spellEnd"/>
      <w:r>
        <w:rPr>
          <w:sz w:val="22"/>
          <w:szCs w:val="22"/>
        </w:rPr>
        <w:t xml:space="preserve">, D., </w:t>
      </w:r>
      <w:proofErr w:type="spellStart"/>
      <w:r>
        <w:rPr>
          <w:sz w:val="22"/>
          <w:szCs w:val="22"/>
        </w:rPr>
        <w:t>Donti</w:t>
      </w:r>
      <w:proofErr w:type="spellEnd"/>
      <w:r>
        <w:rPr>
          <w:sz w:val="22"/>
          <w:szCs w:val="22"/>
        </w:rPr>
        <w:t xml:space="preserve">, P. L., </w:t>
      </w:r>
      <w:proofErr w:type="spellStart"/>
      <w:r>
        <w:rPr>
          <w:sz w:val="22"/>
          <w:szCs w:val="22"/>
        </w:rPr>
        <w:t>Kaack</w:t>
      </w:r>
      <w:proofErr w:type="spellEnd"/>
      <w:r>
        <w:rPr>
          <w:sz w:val="22"/>
          <w:szCs w:val="22"/>
        </w:rPr>
        <w:t xml:space="preserve">, L. H., Kochanski, K., Lacoste, A., Sankaran, K., Ross, A. S., </w:t>
      </w:r>
      <w:proofErr w:type="spellStart"/>
      <w:r>
        <w:rPr>
          <w:sz w:val="22"/>
          <w:szCs w:val="22"/>
        </w:rPr>
        <w:t>Milojevic</w:t>
      </w:r>
      <w:proofErr w:type="spellEnd"/>
      <w:r>
        <w:rPr>
          <w:sz w:val="22"/>
          <w:szCs w:val="22"/>
        </w:rPr>
        <w:t xml:space="preserve">-Dupont, N., </w:t>
      </w:r>
      <w:proofErr w:type="spellStart"/>
      <w:r>
        <w:rPr>
          <w:sz w:val="22"/>
          <w:szCs w:val="22"/>
        </w:rPr>
        <w:t>Jaques</w:t>
      </w:r>
      <w:proofErr w:type="spellEnd"/>
      <w:r>
        <w:rPr>
          <w:sz w:val="22"/>
          <w:szCs w:val="22"/>
        </w:rPr>
        <w:t xml:space="preserve">, N., Waldman-Brown, A., </w:t>
      </w:r>
      <w:proofErr w:type="spellStart"/>
      <w:r>
        <w:rPr>
          <w:sz w:val="22"/>
          <w:szCs w:val="22"/>
        </w:rPr>
        <w:t>Luccioni</w:t>
      </w:r>
      <w:proofErr w:type="spellEnd"/>
      <w:r>
        <w:rPr>
          <w:sz w:val="22"/>
          <w:szCs w:val="22"/>
        </w:rPr>
        <w:t xml:space="preserve">, A. S., Maharaj, T., Sherwin, E. D., </w:t>
      </w:r>
      <w:proofErr w:type="spellStart"/>
      <w:r>
        <w:rPr>
          <w:sz w:val="22"/>
          <w:szCs w:val="22"/>
        </w:rPr>
        <w:t>Mukkavilli</w:t>
      </w:r>
      <w:proofErr w:type="spellEnd"/>
      <w:r>
        <w:rPr>
          <w:sz w:val="22"/>
          <w:szCs w:val="22"/>
        </w:rPr>
        <w:t xml:space="preserve">, S. K., </w:t>
      </w:r>
      <w:proofErr w:type="spellStart"/>
      <w:r>
        <w:rPr>
          <w:sz w:val="22"/>
          <w:szCs w:val="22"/>
        </w:rPr>
        <w:t>Kording</w:t>
      </w:r>
      <w:proofErr w:type="spellEnd"/>
      <w:r>
        <w:rPr>
          <w:sz w:val="22"/>
          <w:szCs w:val="22"/>
        </w:rPr>
        <w:t xml:space="preserve">, K. P., Gomes, C. P., Ng, A. Y., Hassabis, D., Platt, J. C., … </w:t>
      </w:r>
      <w:proofErr w:type="spellStart"/>
      <w:r>
        <w:rPr>
          <w:sz w:val="22"/>
          <w:szCs w:val="22"/>
        </w:rPr>
        <w:t>Bengio</w:t>
      </w:r>
      <w:proofErr w:type="spellEnd"/>
      <w:r>
        <w:rPr>
          <w:sz w:val="22"/>
          <w:szCs w:val="22"/>
        </w:rPr>
        <w:t xml:space="preserve">, Y. (2022). Tackling climate change with machine learning. </w:t>
      </w:r>
      <w:r>
        <w:rPr>
          <w:i/>
          <w:iCs/>
          <w:sz w:val="22"/>
          <w:szCs w:val="22"/>
        </w:rPr>
        <w:t>ACM Computing Surveys, 55</w:t>
      </w:r>
      <w:r>
        <w:rPr>
          <w:sz w:val="22"/>
          <w:szCs w:val="22"/>
        </w:rPr>
        <w:t>(2), Article 42. https://doi.org/10.1145/3485128</w:t>
      </w:r>
    </w:p>
    <w:p w:rsidR="00FD69CD" w:rsidRDefault="00083140" w:rsidP="00083140">
      <w:pPr>
        <w:spacing w:before="100" w:beforeAutospacing="1" w:after="100" w:afterAutospacing="1"/>
        <w:ind w:left="720" w:hanging="720"/>
        <w:jc w:val="both"/>
      </w:pPr>
      <w:proofErr w:type="spellStart"/>
      <w:r>
        <w:rPr>
          <w:sz w:val="22"/>
          <w:szCs w:val="22"/>
        </w:rPr>
        <w:t>Sishodia</w:t>
      </w:r>
      <w:proofErr w:type="spellEnd"/>
      <w:r>
        <w:rPr>
          <w:sz w:val="22"/>
          <w:szCs w:val="22"/>
        </w:rPr>
        <w:t xml:space="preserve">, R. P., Ray, R. L., &amp; Singh, S. K. (2020). Applications of remote sensing in precision agriculture: A review. </w:t>
      </w:r>
      <w:r>
        <w:rPr>
          <w:i/>
          <w:iCs/>
          <w:sz w:val="22"/>
          <w:szCs w:val="22"/>
        </w:rPr>
        <w:t>Remote Sensing, 12</w:t>
      </w:r>
      <w:r>
        <w:rPr>
          <w:sz w:val="22"/>
          <w:szCs w:val="22"/>
        </w:rPr>
        <w:t>(19), Article 3136. https://doi.org/10.3390/rs12193136</w:t>
      </w:r>
    </w:p>
    <w:p w:rsidR="00FD69CD" w:rsidRDefault="00083140" w:rsidP="00083140">
      <w:pPr>
        <w:spacing w:before="100" w:beforeAutospacing="1" w:after="100" w:afterAutospacing="1"/>
        <w:ind w:left="720" w:hanging="720"/>
        <w:jc w:val="both"/>
      </w:pPr>
      <w:proofErr w:type="spellStart"/>
      <w:r>
        <w:rPr>
          <w:sz w:val="22"/>
          <w:szCs w:val="22"/>
        </w:rPr>
        <w:t>Tzounis</w:t>
      </w:r>
      <w:proofErr w:type="spellEnd"/>
      <w:r>
        <w:rPr>
          <w:sz w:val="22"/>
          <w:szCs w:val="22"/>
        </w:rPr>
        <w:t xml:space="preserve">, A., </w:t>
      </w:r>
      <w:proofErr w:type="spellStart"/>
      <w:r>
        <w:rPr>
          <w:sz w:val="22"/>
          <w:szCs w:val="22"/>
        </w:rPr>
        <w:t>Katsoulas</w:t>
      </w:r>
      <w:proofErr w:type="spellEnd"/>
      <w:r>
        <w:rPr>
          <w:sz w:val="22"/>
          <w:szCs w:val="22"/>
        </w:rPr>
        <w:t xml:space="preserve">, N., </w:t>
      </w:r>
      <w:proofErr w:type="spellStart"/>
      <w:r>
        <w:rPr>
          <w:sz w:val="22"/>
          <w:szCs w:val="22"/>
        </w:rPr>
        <w:t>Bartzanas</w:t>
      </w:r>
      <w:proofErr w:type="spellEnd"/>
      <w:r>
        <w:rPr>
          <w:sz w:val="22"/>
          <w:szCs w:val="22"/>
        </w:rPr>
        <w:t xml:space="preserve">, T., &amp; </w:t>
      </w:r>
      <w:proofErr w:type="spellStart"/>
      <w:r>
        <w:rPr>
          <w:sz w:val="22"/>
          <w:szCs w:val="22"/>
        </w:rPr>
        <w:t>Kittas</w:t>
      </w:r>
      <w:proofErr w:type="spellEnd"/>
      <w:r>
        <w:rPr>
          <w:sz w:val="22"/>
          <w:szCs w:val="22"/>
        </w:rPr>
        <w:t xml:space="preserve">, C. (2017). Internet of Things in agriculture, recent advances and future challenges. </w:t>
      </w:r>
      <w:r>
        <w:rPr>
          <w:i/>
          <w:iCs/>
          <w:sz w:val="22"/>
          <w:szCs w:val="22"/>
        </w:rPr>
        <w:t>Biosystems Engineering, 164</w:t>
      </w:r>
      <w:r>
        <w:rPr>
          <w:sz w:val="22"/>
          <w:szCs w:val="22"/>
        </w:rPr>
        <w:t>, 31–48. https://doi.org/10.1016/j.biosystemseng.2017.09.007</w:t>
      </w:r>
    </w:p>
    <w:p w:rsidR="00FD69CD" w:rsidRDefault="00083140" w:rsidP="00083140">
      <w:pPr>
        <w:spacing w:before="100" w:beforeAutospacing="1" w:after="100" w:afterAutospacing="1"/>
        <w:ind w:left="720" w:hanging="720"/>
        <w:jc w:val="both"/>
      </w:pPr>
      <w:proofErr w:type="spellStart"/>
      <w:r>
        <w:rPr>
          <w:sz w:val="22"/>
          <w:szCs w:val="22"/>
        </w:rPr>
        <w:t>Verdouw</w:t>
      </w:r>
      <w:proofErr w:type="spellEnd"/>
      <w:r>
        <w:rPr>
          <w:sz w:val="22"/>
          <w:szCs w:val="22"/>
        </w:rPr>
        <w:t xml:space="preserve">, C., </w:t>
      </w:r>
      <w:proofErr w:type="spellStart"/>
      <w:r>
        <w:rPr>
          <w:sz w:val="22"/>
          <w:szCs w:val="22"/>
        </w:rPr>
        <w:t>Tekinerdogan</w:t>
      </w:r>
      <w:proofErr w:type="spellEnd"/>
      <w:r>
        <w:rPr>
          <w:sz w:val="22"/>
          <w:szCs w:val="22"/>
        </w:rPr>
        <w:t xml:space="preserve">, B., </w:t>
      </w:r>
      <w:proofErr w:type="spellStart"/>
      <w:r>
        <w:rPr>
          <w:sz w:val="22"/>
          <w:szCs w:val="22"/>
        </w:rPr>
        <w:t>Beulens</w:t>
      </w:r>
      <w:proofErr w:type="spellEnd"/>
      <w:r>
        <w:rPr>
          <w:sz w:val="22"/>
          <w:szCs w:val="22"/>
        </w:rPr>
        <w:t xml:space="preserve">, A., &amp; </w:t>
      </w:r>
      <w:proofErr w:type="spellStart"/>
      <w:r>
        <w:rPr>
          <w:sz w:val="22"/>
          <w:szCs w:val="22"/>
        </w:rPr>
        <w:t>Wolfert</w:t>
      </w:r>
      <w:proofErr w:type="spellEnd"/>
      <w:r>
        <w:rPr>
          <w:sz w:val="22"/>
          <w:szCs w:val="22"/>
        </w:rPr>
        <w:t xml:space="preserve">, S. (2021). Digital twins in smart farming. </w:t>
      </w:r>
      <w:r>
        <w:rPr>
          <w:i/>
          <w:iCs/>
          <w:sz w:val="22"/>
          <w:szCs w:val="22"/>
        </w:rPr>
        <w:t>Agricultural Systems, 189</w:t>
      </w:r>
      <w:r>
        <w:rPr>
          <w:sz w:val="22"/>
          <w:szCs w:val="22"/>
        </w:rPr>
        <w:t>, Article 103046. https://doi.org/10.1016/j.agsy.2020.103046</w:t>
      </w:r>
    </w:p>
    <w:p w:rsidR="00FD69CD" w:rsidRDefault="00083140" w:rsidP="00083140">
      <w:pPr>
        <w:spacing w:before="100" w:beforeAutospacing="1" w:after="100" w:afterAutospacing="1"/>
        <w:ind w:left="720" w:hanging="720"/>
        <w:jc w:val="both"/>
      </w:pPr>
      <w:r>
        <w:rPr>
          <w:sz w:val="22"/>
          <w:szCs w:val="22"/>
        </w:rPr>
        <w:t xml:space="preserve">Weiss, M., Jacob, F., &amp; </w:t>
      </w:r>
      <w:proofErr w:type="spellStart"/>
      <w:r>
        <w:rPr>
          <w:sz w:val="22"/>
          <w:szCs w:val="22"/>
        </w:rPr>
        <w:t>Duveiller</w:t>
      </w:r>
      <w:proofErr w:type="spellEnd"/>
      <w:r>
        <w:rPr>
          <w:sz w:val="22"/>
          <w:szCs w:val="22"/>
        </w:rPr>
        <w:t xml:space="preserve">, G. (2020). Remote sensing for agricultural applications: A meta-review. </w:t>
      </w:r>
      <w:r>
        <w:rPr>
          <w:i/>
          <w:iCs/>
          <w:sz w:val="22"/>
          <w:szCs w:val="22"/>
        </w:rPr>
        <w:t>Remote Sensing of Environment, 236</w:t>
      </w:r>
      <w:r>
        <w:rPr>
          <w:sz w:val="22"/>
          <w:szCs w:val="22"/>
        </w:rPr>
        <w:t>, Article 111402. https://doi.org/10.1016/j.rse.2019.111402</w:t>
      </w:r>
    </w:p>
    <w:p w:rsidR="00FD69CD" w:rsidRDefault="00083140" w:rsidP="00083140">
      <w:pPr>
        <w:spacing w:before="100" w:beforeAutospacing="1" w:after="100" w:afterAutospacing="1"/>
        <w:ind w:left="720" w:hanging="720"/>
        <w:jc w:val="both"/>
      </w:pPr>
      <w:r>
        <w:rPr>
          <w:sz w:val="22"/>
          <w:szCs w:val="22"/>
        </w:rPr>
        <w:t xml:space="preserve">Wheeler, T., &amp; von Braun, J. (2013). Climate change impacts on global food security. </w:t>
      </w:r>
      <w:r>
        <w:rPr>
          <w:i/>
          <w:iCs/>
          <w:sz w:val="22"/>
          <w:szCs w:val="22"/>
        </w:rPr>
        <w:t>Science, 341</w:t>
      </w:r>
      <w:r>
        <w:rPr>
          <w:sz w:val="22"/>
          <w:szCs w:val="22"/>
        </w:rPr>
        <w:t>(6145), 508–513. https://doi.org/10.1126/science.1239402</w:t>
      </w:r>
    </w:p>
    <w:p w:rsidR="00FD69CD" w:rsidRDefault="00083140" w:rsidP="00083140">
      <w:pPr>
        <w:spacing w:before="100" w:beforeAutospacing="1" w:after="100" w:afterAutospacing="1"/>
        <w:ind w:left="720" w:hanging="720"/>
        <w:jc w:val="both"/>
      </w:pPr>
      <w:proofErr w:type="spellStart"/>
      <w:r>
        <w:rPr>
          <w:sz w:val="22"/>
          <w:szCs w:val="22"/>
        </w:rPr>
        <w:t>Wolfert</w:t>
      </w:r>
      <w:proofErr w:type="spellEnd"/>
      <w:r>
        <w:rPr>
          <w:sz w:val="22"/>
          <w:szCs w:val="22"/>
        </w:rPr>
        <w:t xml:space="preserve">, S., Ge, L., </w:t>
      </w:r>
      <w:proofErr w:type="spellStart"/>
      <w:r>
        <w:rPr>
          <w:sz w:val="22"/>
          <w:szCs w:val="22"/>
        </w:rPr>
        <w:t>Verdouw</w:t>
      </w:r>
      <w:proofErr w:type="spellEnd"/>
      <w:r>
        <w:rPr>
          <w:sz w:val="22"/>
          <w:szCs w:val="22"/>
        </w:rPr>
        <w:t xml:space="preserve">, C., &amp; </w:t>
      </w:r>
      <w:proofErr w:type="spellStart"/>
      <w:r>
        <w:rPr>
          <w:sz w:val="22"/>
          <w:szCs w:val="22"/>
        </w:rPr>
        <w:t>Bogaardt</w:t>
      </w:r>
      <w:proofErr w:type="spellEnd"/>
      <w:r>
        <w:rPr>
          <w:sz w:val="22"/>
          <w:szCs w:val="22"/>
        </w:rPr>
        <w:t xml:space="preserve">, M. J. (2017). Big data in smart farming – A review. </w:t>
      </w:r>
      <w:r>
        <w:rPr>
          <w:i/>
          <w:iCs/>
          <w:sz w:val="22"/>
          <w:szCs w:val="22"/>
        </w:rPr>
        <w:t>Agricultural Systems, 153</w:t>
      </w:r>
      <w:r>
        <w:rPr>
          <w:sz w:val="22"/>
          <w:szCs w:val="22"/>
        </w:rPr>
        <w:t>, 69–80. https://doi.org/10.1016/j.agsy.2017.01.023</w:t>
      </w:r>
    </w:p>
    <w:p w:rsidR="00FD69CD" w:rsidRDefault="00083140" w:rsidP="00083140">
      <w:pPr>
        <w:spacing w:before="100" w:beforeAutospacing="1" w:after="100" w:afterAutospacing="1"/>
        <w:ind w:left="720" w:hanging="720"/>
        <w:jc w:val="both"/>
      </w:pPr>
      <w:r>
        <w:rPr>
          <w:sz w:val="22"/>
          <w:szCs w:val="22"/>
        </w:rPr>
        <w:t xml:space="preserve">Zhang, C., &amp; Kovacs, J. M. (2012). The application of small unmanned aerial systems for precision agriculture: A review. </w:t>
      </w:r>
      <w:r>
        <w:rPr>
          <w:i/>
          <w:iCs/>
          <w:sz w:val="22"/>
          <w:szCs w:val="22"/>
        </w:rPr>
        <w:t>Precision Agriculture, 13</w:t>
      </w:r>
      <w:r>
        <w:rPr>
          <w:sz w:val="22"/>
          <w:szCs w:val="22"/>
        </w:rPr>
        <w:t>(6), 693–712. https://doi.org/10.1007/s11119-012-9274-5</w:t>
      </w:r>
    </w:p>
    <w:sectPr w:rsidR="00FD69CD" w:rsidSect="00FD69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D35" w:rsidRDefault="00804D35" w:rsidP="00714D43">
      <w:r>
        <w:separator/>
      </w:r>
    </w:p>
  </w:endnote>
  <w:endnote w:type="continuationSeparator" w:id="0">
    <w:p w:rsidR="00804D35" w:rsidRDefault="00804D35" w:rsidP="0071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D35" w:rsidRDefault="00804D35" w:rsidP="00714D43">
      <w:r>
        <w:separator/>
      </w:r>
    </w:p>
  </w:footnote>
  <w:footnote w:type="continuationSeparator" w:id="0">
    <w:p w:rsidR="00804D35" w:rsidRDefault="00804D35" w:rsidP="0071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65327"/>
    <w:multiLevelType w:val="hybridMultilevel"/>
    <w:tmpl w:val="7E10BBB6"/>
    <w:lvl w:ilvl="0" w:tplc="BA6C4CF2">
      <w:start w:val="1"/>
      <w:numFmt w:val="bullet"/>
      <w:lvlText w:val="●"/>
      <w:lvlJc w:val="left"/>
      <w:pPr>
        <w:ind w:left="720" w:hanging="360"/>
      </w:pPr>
    </w:lvl>
    <w:lvl w:ilvl="1" w:tplc="3FF05094">
      <w:start w:val="1"/>
      <w:numFmt w:val="bullet"/>
      <w:lvlText w:val="○"/>
      <w:lvlJc w:val="left"/>
      <w:pPr>
        <w:ind w:left="1440" w:hanging="360"/>
      </w:pPr>
    </w:lvl>
    <w:lvl w:ilvl="2" w:tplc="D1E4CD10">
      <w:start w:val="1"/>
      <w:numFmt w:val="bullet"/>
      <w:lvlText w:val="■"/>
      <w:lvlJc w:val="left"/>
      <w:pPr>
        <w:ind w:left="2160" w:hanging="360"/>
      </w:pPr>
    </w:lvl>
    <w:lvl w:ilvl="3" w:tplc="59E6544C">
      <w:start w:val="1"/>
      <w:numFmt w:val="bullet"/>
      <w:lvlText w:val="●"/>
      <w:lvlJc w:val="left"/>
      <w:pPr>
        <w:ind w:left="2880" w:hanging="360"/>
      </w:pPr>
    </w:lvl>
    <w:lvl w:ilvl="4" w:tplc="431E585A">
      <w:start w:val="1"/>
      <w:numFmt w:val="bullet"/>
      <w:lvlText w:val="○"/>
      <w:lvlJc w:val="left"/>
      <w:pPr>
        <w:ind w:left="3600" w:hanging="360"/>
      </w:pPr>
    </w:lvl>
    <w:lvl w:ilvl="5" w:tplc="EA707FAC">
      <w:start w:val="1"/>
      <w:numFmt w:val="bullet"/>
      <w:lvlText w:val="■"/>
      <w:lvlJc w:val="left"/>
      <w:pPr>
        <w:ind w:left="4320" w:hanging="360"/>
      </w:pPr>
    </w:lvl>
    <w:lvl w:ilvl="6" w:tplc="49D4D826">
      <w:start w:val="1"/>
      <w:numFmt w:val="bullet"/>
      <w:lvlText w:val="●"/>
      <w:lvlJc w:val="left"/>
      <w:pPr>
        <w:ind w:left="5040" w:hanging="360"/>
      </w:pPr>
    </w:lvl>
    <w:lvl w:ilvl="7" w:tplc="E076AB0C">
      <w:start w:val="1"/>
      <w:numFmt w:val="bullet"/>
      <w:lvlText w:val="●"/>
      <w:lvlJc w:val="left"/>
      <w:pPr>
        <w:ind w:left="5760" w:hanging="360"/>
      </w:pPr>
    </w:lvl>
    <w:lvl w:ilvl="8" w:tplc="8640DA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9CD"/>
    <w:rsid w:val="00083140"/>
    <w:rsid w:val="00714D43"/>
    <w:rsid w:val="00804D35"/>
    <w:rsid w:val="00FD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61900D-857D-4470-B8FA-9E3CE911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FD69CD"/>
    <w:pPr>
      <w:spacing w:before="300" w:after="160"/>
      <w:outlineLvl w:val="0"/>
    </w:pPr>
    <w:rPr>
      <w:b/>
      <w:bCs/>
      <w:color w:val="000000"/>
      <w:sz w:val="28"/>
      <w:szCs w:val="28"/>
    </w:rPr>
  </w:style>
  <w:style w:type="paragraph" w:styleId="Heading2">
    <w:name w:val="heading 2"/>
    <w:qFormat/>
    <w:rsid w:val="00FD69CD"/>
    <w:pPr>
      <w:spacing w:before="240" w:after="120"/>
      <w:outlineLvl w:val="1"/>
    </w:pPr>
    <w:rPr>
      <w:b/>
      <w:bCs/>
      <w:color w:val="000000"/>
    </w:rPr>
  </w:style>
  <w:style w:type="paragraph" w:styleId="Heading3">
    <w:name w:val="heading 3"/>
    <w:qFormat/>
    <w:rsid w:val="00FD69CD"/>
    <w:pPr>
      <w:outlineLvl w:val="2"/>
    </w:pPr>
    <w:rPr>
      <w:color w:val="1F4D78"/>
    </w:rPr>
  </w:style>
  <w:style w:type="paragraph" w:styleId="Heading4">
    <w:name w:val="heading 4"/>
    <w:qFormat/>
    <w:rsid w:val="00FD69CD"/>
    <w:pPr>
      <w:outlineLvl w:val="3"/>
    </w:pPr>
    <w:rPr>
      <w:i/>
      <w:iCs/>
      <w:color w:val="2E74B5"/>
    </w:rPr>
  </w:style>
  <w:style w:type="paragraph" w:styleId="Heading5">
    <w:name w:val="heading 5"/>
    <w:qFormat/>
    <w:rsid w:val="00FD69CD"/>
    <w:pPr>
      <w:outlineLvl w:val="4"/>
    </w:pPr>
    <w:rPr>
      <w:color w:val="2E74B5"/>
    </w:rPr>
  </w:style>
  <w:style w:type="paragraph" w:styleId="Heading6">
    <w:name w:val="heading 6"/>
    <w:qFormat/>
    <w:rsid w:val="00FD69C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D69CD"/>
    <w:rPr>
      <w:sz w:val="56"/>
      <w:szCs w:val="56"/>
    </w:rPr>
  </w:style>
  <w:style w:type="paragraph" w:customStyle="1" w:styleId="Strong1">
    <w:name w:val="Strong1"/>
    <w:qFormat/>
    <w:rsid w:val="00FD69CD"/>
    <w:rPr>
      <w:b/>
      <w:bCs/>
    </w:rPr>
  </w:style>
  <w:style w:type="paragraph" w:styleId="ListParagraph">
    <w:name w:val="List Paragraph"/>
    <w:qFormat/>
    <w:rsid w:val="00FD69CD"/>
  </w:style>
  <w:style w:type="character" w:styleId="Hyperlink">
    <w:name w:val="Hyperlink"/>
    <w:uiPriority w:val="99"/>
    <w:unhideWhenUsed/>
    <w:rsid w:val="00FD69CD"/>
    <w:rPr>
      <w:color w:val="0563C1"/>
      <w:u w:val="single"/>
    </w:rPr>
  </w:style>
  <w:style w:type="character" w:styleId="FootnoteReference">
    <w:name w:val="footnote reference"/>
    <w:uiPriority w:val="99"/>
    <w:semiHidden/>
    <w:unhideWhenUsed/>
    <w:rsid w:val="00FD69CD"/>
    <w:rPr>
      <w:vertAlign w:val="superscript"/>
    </w:rPr>
  </w:style>
  <w:style w:type="paragraph" w:styleId="FootnoteText">
    <w:name w:val="footnote text"/>
    <w:link w:val="FootnoteTextChar"/>
    <w:uiPriority w:val="99"/>
    <w:semiHidden/>
    <w:unhideWhenUsed/>
    <w:rsid w:val="00FD69CD"/>
    <w:rPr>
      <w:sz w:val="20"/>
      <w:szCs w:val="20"/>
    </w:rPr>
  </w:style>
  <w:style w:type="character" w:customStyle="1" w:styleId="FootnoteTextChar">
    <w:name w:val="Footnote Text Char"/>
    <w:link w:val="FootnoteText"/>
    <w:uiPriority w:val="99"/>
    <w:semiHidden/>
    <w:unhideWhenUsed/>
    <w:rsid w:val="00FD69CD"/>
    <w:rPr>
      <w:sz w:val="20"/>
      <w:szCs w:val="20"/>
    </w:rPr>
  </w:style>
  <w:style w:type="paragraph" w:styleId="Header">
    <w:name w:val="header"/>
    <w:basedOn w:val="Normal"/>
    <w:link w:val="HeaderChar"/>
    <w:uiPriority w:val="99"/>
    <w:unhideWhenUsed/>
    <w:rsid w:val="00714D43"/>
    <w:pPr>
      <w:tabs>
        <w:tab w:val="center" w:pos="4680"/>
        <w:tab w:val="right" w:pos="9360"/>
      </w:tabs>
    </w:pPr>
  </w:style>
  <w:style w:type="character" w:customStyle="1" w:styleId="HeaderChar">
    <w:name w:val="Header Char"/>
    <w:basedOn w:val="DefaultParagraphFont"/>
    <w:link w:val="Header"/>
    <w:uiPriority w:val="99"/>
    <w:rsid w:val="00714D43"/>
  </w:style>
  <w:style w:type="paragraph" w:styleId="Footer">
    <w:name w:val="footer"/>
    <w:basedOn w:val="Normal"/>
    <w:link w:val="FooterChar"/>
    <w:uiPriority w:val="99"/>
    <w:unhideWhenUsed/>
    <w:rsid w:val="00714D43"/>
    <w:pPr>
      <w:tabs>
        <w:tab w:val="center" w:pos="4680"/>
        <w:tab w:val="right" w:pos="9360"/>
      </w:tabs>
    </w:pPr>
  </w:style>
  <w:style w:type="character" w:customStyle="1" w:styleId="FooterChar">
    <w:name w:val="Footer Char"/>
    <w:basedOn w:val="DefaultParagraphFont"/>
    <w:link w:val="Footer"/>
    <w:uiPriority w:val="99"/>
    <w:rsid w:val="0071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10532</Words>
  <Characters>60033</Characters>
  <Application>Microsoft Office Word</Application>
  <DocSecurity>0</DocSecurity>
  <Lines>500</Lines>
  <Paragraphs>140</Paragraphs>
  <ScaleCrop>false</ScaleCrop>
  <Company>HP</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2026-03-21T20:12:00Z</dcterms:created>
  <dcterms:modified xsi:type="dcterms:W3CDTF">2026-03-23T14:05:00Z</dcterms:modified>
</cp:coreProperties>
</file>