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46E" w:rsidRPr="0010427D" w:rsidRDefault="00D74051" w:rsidP="0010427D">
      <w:pPr>
        <w:spacing w:before="100" w:beforeAutospacing="1" w:after="100" w:afterAutospacing="1"/>
        <w:jc w:val="center"/>
        <w:rPr>
          <w:lang w:val="en-GB"/>
        </w:rPr>
      </w:pPr>
      <w:bookmarkStart w:id="0" w:name="_GoBack"/>
      <w:bookmarkEnd w:id="0"/>
      <w:r w:rsidRPr="0010427D">
        <w:rPr>
          <w:b/>
          <w:bCs/>
          <w:sz w:val="32"/>
          <w:szCs w:val="32"/>
          <w:lang w:val="en-GB"/>
        </w:rPr>
        <w:t>CRISPR, Base Editing, and Prime Editing for Climate-Smart Crop Improvement: Advances, Challenges, and Field Prospects</w:t>
      </w:r>
    </w:p>
    <w:p w:rsidR="009D746E" w:rsidRPr="0010427D" w:rsidRDefault="009D746E" w:rsidP="0010427D">
      <w:pPr>
        <w:spacing w:before="100" w:beforeAutospacing="1" w:after="100" w:afterAutospacing="1"/>
        <w:rPr>
          <w:lang w:val="en-GB"/>
        </w:rPr>
      </w:pPr>
    </w:p>
    <w:p w:rsidR="009D746E" w:rsidRPr="0010427D" w:rsidRDefault="00D74051" w:rsidP="0010427D">
      <w:pPr>
        <w:spacing w:before="100" w:beforeAutospacing="1" w:after="100" w:afterAutospacing="1"/>
        <w:jc w:val="center"/>
        <w:rPr>
          <w:lang w:val="en-GB"/>
        </w:rPr>
      </w:pPr>
      <w:r w:rsidRPr="0010427D">
        <w:rPr>
          <w:b/>
          <w:bCs/>
          <w:lang w:val="en-GB"/>
        </w:rPr>
        <w:t>Abstract</w:t>
      </w:r>
    </w:p>
    <w:p w:rsidR="009D746E" w:rsidRPr="0010427D" w:rsidRDefault="00D74051" w:rsidP="0010427D">
      <w:pPr>
        <w:spacing w:before="100" w:beforeAutospacing="1" w:after="100" w:afterAutospacing="1"/>
        <w:jc w:val="both"/>
        <w:rPr>
          <w:lang w:val="en-GB"/>
        </w:rPr>
      </w:pPr>
      <w:r w:rsidRPr="0010427D">
        <w:rPr>
          <w:lang w:val="en-GB"/>
        </w:rPr>
        <w:t xml:space="preserve">Climate change is intensifying abiotic and biotic stresses that threaten global food security, whilst conventional breeding timelines remain poorly matched to the pace of environmental change. This review critically examines three precision genome editing platforms—clustered regularly interspaced short palindromic repeats and associated protein (CRISPR-Cas) nuclease editing, base editing, and prime editing—and their contributions to climate-smart crop improvement. CRISPR-Cas9-mediated gene disruption via non-homologous end-joining has been deployed successfully to engineer drought tolerance, disease resistance, flood adaptation, heat resilience, and salinity tolerance across major crop species including rice, wheat, maize, and tomato. Base editors—comprising cytosine base editors (CBEs) and adenine base editors (ABEs)—extend editing precision to single-nucleotide transitions without inducing double-strand breaks, enabling the targeted introduction of naturally occurring adaptive alleles and the fine-tuning of stress-responsive regulatory elements with minimal off-target consequences. Prime editing, the most recently developed platform, employs a Cas9 </w:t>
      </w:r>
      <w:proofErr w:type="spellStart"/>
      <w:r w:rsidRPr="0010427D">
        <w:rPr>
          <w:lang w:val="en-GB"/>
        </w:rPr>
        <w:t>nickase</w:t>
      </w:r>
      <w:proofErr w:type="spellEnd"/>
      <w:r w:rsidRPr="0010427D">
        <w:rPr>
          <w:lang w:val="en-GB"/>
        </w:rPr>
        <w:t xml:space="preserve"> fused to an engineered reverse transcriptase and a prime editing guide RNA to install all 12 classes of point mutation as well as small insertions and deletions, circumventing both double-strand breaks and the requirement for exogenous donor templates. Despite remarkable advances, each platform faces technical challenges relating to delivery efficiency in recalcitrant crops, editing precision in polyploid genomes, and regulatory frameworks that differ substantially across national jurisdictions. This review synthesises current progress, benchmarks the technical profiles of the three platforms, identifies priority research gaps, and outlines a translational roadmap towards the field deployment of precision-edited, climate-resilient crop varieties.</w:t>
      </w:r>
    </w:p>
    <w:p w:rsidR="009D746E" w:rsidRPr="0010427D" w:rsidRDefault="009D746E" w:rsidP="0010427D">
      <w:pPr>
        <w:spacing w:before="100" w:beforeAutospacing="1" w:after="100" w:afterAutospacing="1"/>
        <w:rPr>
          <w:lang w:val="en-GB"/>
        </w:rPr>
      </w:pPr>
    </w:p>
    <w:p w:rsidR="009D746E" w:rsidRPr="0010427D" w:rsidRDefault="00D74051" w:rsidP="0010427D">
      <w:pPr>
        <w:spacing w:before="100" w:beforeAutospacing="1" w:after="100" w:afterAutospacing="1"/>
        <w:jc w:val="center"/>
        <w:rPr>
          <w:lang w:val="en-GB"/>
        </w:rPr>
      </w:pPr>
      <w:r w:rsidRPr="0010427D">
        <w:rPr>
          <w:b/>
          <w:bCs/>
          <w:lang w:val="en-GB"/>
        </w:rPr>
        <w:t>Keywords</w:t>
      </w:r>
    </w:p>
    <w:p w:rsidR="009D746E" w:rsidRPr="0010427D" w:rsidRDefault="00D74051" w:rsidP="0010427D">
      <w:pPr>
        <w:spacing w:before="100" w:beforeAutospacing="1" w:after="100" w:afterAutospacing="1"/>
        <w:jc w:val="both"/>
        <w:rPr>
          <w:lang w:val="en-GB"/>
        </w:rPr>
      </w:pPr>
      <w:r w:rsidRPr="0010427D">
        <w:rPr>
          <w:lang w:val="en-GB"/>
        </w:rPr>
        <w:t>CRISPR-Cas9; base editing; prime editing; climate-smart agriculture; crop improvement; genome editing; abiotic stress tolerance; food security</w:t>
      </w:r>
    </w:p>
    <w:p w:rsidR="009D746E" w:rsidRPr="0010427D" w:rsidRDefault="009D746E" w:rsidP="0010427D">
      <w:pPr>
        <w:spacing w:before="100" w:beforeAutospacing="1" w:after="100" w:afterAutospacing="1"/>
        <w:rPr>
          <w:lang w:val="en-GB"/>
        </w:rPr>
      </w:pPr>
    </w:p>
    <w:p w:rsidR="009D746E" w:rsidRPr="0010427D" w:rsidRDefault="00D74051" w:rsidP="0010427D">
      <w:pPr>
        <w:pStyle w:val="Heading1"/>
        <w:spacing w:before="100" w:beforeAutospacing="1" w:after="100" w:afterAutospacing="1"/>
        <w:rPr>
          <w:lang w:val="en-GB"/>
        </w:rPr>
      </w:pPr>
      <w:r w:rsidRPr="0010427D">
        <w:rPr>
          <w:lang w:val="en-GB"/>
        </w:rPr>
        <w:t>1. Introduction</w:t>
      </w:r>
    </w:p>
    <w:p w:rsidR="009D746E" w:rsidRPr="0010427D" w:rsidRDefault="00D74051" w:rsidP="0010427D">
      <w:pPr>
        <w:spacing w:before="100" w:beforeAutospacing="1" w:after="100" w:afterAutospacing="1"/>
        <w:ind w:firstLine="720"/>
        <w:jc w:val="both"/>
        <w:rPr>
          <w:lang w:val="en-GB"/>
        </w:rPr>
      </w:pPr>
      <w:r w:rsidRPr="0010427D">
        <w:rPr>
          <w:lang w:val="en-GB"/>
        </w:rPr>
        <w:t xml:space="preserve">The global food system faces a convergence of unprecedented pressures in the twenty-first century. World population is projected to surpass 9.7 billion by 2050, demanding a substantial increase in agricultural output from a resource base that is simultaneously being diminished by land degradation, freshwater scarcity, and biodiversity loss (FAO, 2021). Superimposed upon these demographic pressures is the accelerating trajectory of anthropogenic climate change, which the Intergovernmental Panel on Climate Change identifies as posing severe and escalating risks to food production, water availability, ecosystem integrity, and human health across all inhabited regions of the planet (IPCC, </w:t>
      </w:r>
      <w:r w:rsidRPr="0010427D">
        <w:rPr>
          <w:lang w:val="en-GB"/>
        </w:rPr>
        <w:lastRenderedPageBreak/>
        <w:t>2022). The intersection of rising demand and declining productive capacity creates a structural vulnerability in the global food system that demands urgent and transformative technological responses.</w:t>
      </w:r>
    </w:p>
    <w:p w:rsidR="009D746E" w:rsidRPr="0010427D" w:rsidRDefault="00D74051" w:rsidP="0010427D">
      <w:pPr>
        <w:spacing w:before="100" w:beforeAutospacing="1" w:after="100" w:afterAutospacing="1"/>
        <w:ind w:firstLine="720"/>
        <w:jc w:val="both"/>
        <w:rPr>
          <w:lang w:val="en-GB"/>
        </w:rPr>
      </w:pPr>
      <w:r w:rsidRPr="0010427D">
        <w:rPr>
          <w:lang w:val="en-GB"/>
        </w:rPr>
        <w:t xml:space="preserve">Agriculture is uniquely sensitive to climatic disruption. Crop yields respond nonlinearly to temperature, precipitation, and extreme weather events, and even moderate shifts in mean growing-season temperatures can substantially reduce productivity in major staple crops. Heat stress during flowering and grain filling in rice (Oryza sativa L.), wheat (Triticum </w:t>
      </w:r>
      <w:proofErr w:type="spellStart"/>
      <w:r w:rsidRPr="0010427D">
        <w:rPr>
          <w:lang w:val="en-GB"/>
        </w:rPr>
        <w:t>aestivum</w:t>
      </w:r>
      <w:proofErr w:type="spellEnd"/>
      <w:r w:rsidRPr="0010427D">
        <w:rPr>
          <w:lang w:val="en-GB"/>
        </w:rPr>
        <w:t xml:space="preserve"> L.), and maize (</w:t>
      </w:r>
      <w:proofErr w:type="spellStart"/>
      <w:r w:rsidRPr="0010427D">
        <w:rPr>
          <w:lang w:val="en-GB"/>
        </w:rPr>
        <w:t>Zea</w:t>
      </w:r>
      <w:proofErr w:type="spellEnd"/>
      <w:r w:rsidRPr="0010427D">
        <w:rPr>
          <w:lang w:val="en-GB"/>
        </w:rPr>
        <w:t xml:space="preserve"> mays L.) can reduce grain yields by 10 to 25 per cent under realistic warming scenarios, whilst sustained drought during critical growth phases elicits comparable or greater losses (Varshney et al., 2021). Meanwhile, shifting climatic envelopes are altering the geographic distribution and seasonal dynamics of plant pathogens and insect vectors, introducing novel disease and pest threats to previously unaffected agricultural regions and eroding the effectiveness of existing resistance gene deployments (Zafar et al., 2020).</w:t>
      </w:r>
    </w:p>
    <w:p w:rsidR="009D746E" w:rsidRPr="0010427D" w:rsidRDefault="00D74051" w:rsidP="0010427D">
      <w:pPr>
        <w:spacing w:before="100" w:beforeAutospacing="1" w:after="100" w:afterAutospacing="1"/>
        <w:ind w:firstLine="720"/>
        <w:jc w:val="both"/>
        <w:rPr>
          <w:lang w:val="en-GB"/>
        </w:rPr>
      </w:pPr>
      <w:r w:rsidRPr="0010427D">
        <w:rPr>
          <w:lang w:val="en-GB"/>
        </w:rPr>
        <w:t>Conventional plant breeding has contributed enormously to global food security over the past century, yet it operates on timescales—typically ten to fifteen years per variety release cycle—that are fundamentally mismatched with the pace at which climatic conditions are deteriorating (Varshney et al., 2021). Furthermore, conventional breeding is constrained by the natural genetic diversity accessible within sexually compatible gene pools; favourable alleles for novel or intensifying stresses may not exist within breeding germplasm collections, particularly for stresses that are emerging faster than natural selection can act. Quantitative trait loci mapping, marker-assisted selection, and genomic selection have accelerated breeding pipelines, but they too remain dependent upon the existence of tractable genetic variation in accessible material.</w:t>
      </w:r>
    </w:p>
    <w:p w:rsidR="009D746E" w:rsidRPr="0010427D" w:rsidRDefault="00D74051" w:rsidP="0010427D">
      <w:pPr>
        <w:spacing w:before="100" w:beforeAutospacing="1" w:after="100" w:afterAutospacing="1"/>
        <w:ind w:firstLine="720"/>
        <w:jc w:val="both"/>
        <w:rPr>
          <w:lang w:val="en-GB"/>
        </w:rPr>
      </w:pPr>
      <w:r w:rsidRPr="0010427D">
        <w:rPr>
          <w:lang w:val="en-GB"/>
        </w:rPr>
        <w:t>The emergence of programmable genome editing technologies has therefore been widely regarded as transformative for crop science. The discovery that the clustered regularly interspaced short palindromic repeats (CRISPR) and their associated Cas proteins constitute a microbial adaptive immune system, and the subsequent demonstration that Cas9 from Streptococcus pyogenes could be reprogrammed using a chimeric single guide RNA (sgRNA) to introduce targeted double-strand breaks (DSBs) at virtually any locus in a genome, opened an era of unprecedented genomic precision (</w:t>
      </w:r>
      <w:proofErr w:type="spellStart"/>
      <w:r w:rsidRPr="0010427D">
        <w:rPr>
          <w:lang w:val="en-GB"/>
        </w:rPr>
        <w:t>Jinek</w:t>
      </w:r>
      <w:proofErr w:type="spellEnd"/>
      <w:r w:rsidRPr="0010427D">
        <w:rPr>
          <w:lang w:val="en-GB"/>
        </w:rPr>
        <w:t xml:space="preserve"> et al., 2012; </w:t>
      </w:r>
      <w:proofErr w:type="spellStart"/>
      <w:r w:rsidRPr="0010427D">
        <w:rPr>
          <w:lang w:val="en-GB"/>
        </w:rPr>
        <w:t>Doudna</w:t>
      </w:r>
      <w:proofErr w:type="spellEnd"/>
      <w:r w:rsidRPr="0010427D">
        <w:rPr>
          <w:lang w:val="en-GB"/>
        </w:rPr>
        <w:t xml:space="preserve"> &amp; Charpentier, 2014). CRISPR-Cas9 editing was rapidly applied to major crop species, demonstrating the feasibility of modifying polyploid genomes, disrupting susceptibility genes, introducing domestication-related alleles, and engineering stress-response pathways with a speed and specificity that earlier nuclease platforms—including zinc finger nucleases (ZFNs) and transcription activator-like effector nucleases (TALENs)—could not match (Shan et al., 2013; Chen et al., 2019).</w:t>
      </w:r>
    </w:p>
    <w:p w:rsidR="009D746E" w:rsidRPr="0010427D" w:rsidRDefault="00D74051" w:rsidP="0010427D">
      <w:pPr>
        <w:spacing w:before="100" w:beforeAutospacing="1" w:after="100" w:afterAutospacing="1"/>
        <w:ind w:firstLine="720"/>
        <w:jc w:val="both"/>
        <w:rPr>
          <w:lang w:val="en-GB"/>
        </w:rPr>
      </w:pPr>
      <w:r w:rsidRPr="0010427D">
        <w:rPr>
          <w:lang w:val="en-GB"/>
        </w:rPr>
        <w:t xml:space="preserve">Whilst CRISPR-Cas9 editing via non-homologous end-joining (NHEJ) primarily introduces insertions or deletions (indels) that disrupt gene function, the subsequent development of base editors and prime editors has dramatically expanded the spectrum of achievable genomic changes. Base editors, originally described for cytosine conversion by </w:t>
      </w:r>
      <w:proofErr w:type="spellStart"/>
      <w:r w:rsidRPr="0010427D">
        <w:rPr>
          <w:lang w:val="en-GB"/>
        </w:rPr>
        <w:t>Komor</w:t>
      </w:r>
      <w:proofErr w:type="spellEnd"/>
      <w:r w:rsidRPr="0010427D">
        <w:rPr>
          <w:lang w:val="en-GB"/>
        </w:rPr>
        <w:t xml:space="preserve"> et al. (2016) and for adenine conversion by </w:t>
      </w:r>
      <w:proofErr w:type="spellStart"/>
      <w:r w:rsidRPr="0010427D">
        <w:rPr>
          <w:lang w:val="en-GB"/>
        </w:rPr>
        <w:t>Gaudelli</w:t>
      </w:r>
      <w:proofErr w:type="spellEnd"/>
      <w:r w:rsidRPr="0010427D">
        <w:rPr>
          <w:lang w:val="en-GB"/>
        </w:rPr>
        <w:t xml:space="preserve"> et al. (2017), deploy deaminase enzymes fused to a catalytically impaired Cas9 to effect single-nucleotide transitions at defined genomic positions without creating DSBs. Prime editing, introduced by Anzalone et al. (2019), employs a prime editor protein—a reverse transcriptase fused to a Cas9 </w:t>
      </w:r>
      <w:proofErr w:type="spellStart"/>
      <w:r w:rsidRPr="0010427D">
        <w:rPr>
          <w:lang w:val="en-GB"/>
        </w:rPr>
        <w:t>nickase</w:t>
      </w:r>
      <w:proofErr w:type="spellEnd"/>
      <w:r w:rsidRPr="0010427D">
        <w:rPr>
          <w:lang w:val="en-GB"/>
        </w:rPr>
        <w:t>—and a specially designed prime editing guide RNA (</w:t>
      </w:r>
      <w:proofErr w:type="spellStart"/>
      <w:r w:rsidRPr="0010427D">
        <w:rPr>
          <w:lang w:val="en-GB"/>
        </w:rPr>
        <w:t>pegRNA</w:t>
      </w:r>
      <w:proofErr w:type="spellEnd"/>
      <w:r w:rsidRPr="0010427D">
        <w:rPr>
          <w:lang w:val="en-GB"/>
        </w:rPr>
        <w:t xml:space="preserve">) to install virtually any point </w:t>
      </w:r>
      <w:r w:rsidRPr="0010427D">
        <w:rPr>
          <w:lang w:val="en-GB"/>
        </w:rPr>
        <w:lastRenderedPageBreak/>
        <w:t>mutation, small insertion, or small deletion at a target locus with high precision, requiring neither DSBs nor exogenous donor DNA templates. Together, these three platforms constitute a hierarchically versatile toolkit for precision crop genome engineering.</w:t>
      </w:r>
    </w:p>
    <w:p w:rsidR="009D746E" w:rsidRPr="0010427D" w:rsidRDefault="00D74051" w:rsidP="0010427D">
      <w:pPr>
        <w:pStyle w:val="Heading2"/>
        <w:spacing w:before="100" w:beforeAutospacing="1" w:after="100" w:afterAutospacing="1"/>
        <w:rPr>
          <w:lang w:val="en-GB"/>
        </w:rPr>
      </w:pPr>
      <w:r w:rsidRPr="0010427D">
        <w:rPr>
          <w:lang w:val="en-GB"/>
        </w:rPr>
        <w:t>1.1 Scope and Objectives</w:t>
      </w:r>
    </w:p>
    <w:p w:rsidR="009D746E" w:rsidRPr="0010427D" w:rsidRDefault="00D74051" w:rsidP="0010427D">
      <w:pPr>
        <w:spacing w:before="100" w:beforeAutospacing="1" w:after="100" w:afterAutospacing="1"/>
        <w:ind w:firstLine="720"/>
        <w:jc w:val="both"/>
        <w:rPr>
          <w:lang w:val="en-GB"/>
        </w:rPr>
      </w:pPr>
      <w:r w:rsidRPr="0010427D">
        <w:rPr>
          <w:lang w:val="en-GB"/>
        </w:rPr>
        <w:t>This review aims to provide a comprehensive and critical synthesis of the current state of knowledge regarding the application of CRISPR-Cas, base editing, and prime editing technologies to the improvement of climate-smart crop traits. The article systematically examines the mechanistic principles underlying each editing platform, surveys key experimental advances in major staple and horticultural crops, evaluates the technical and biological challenges associated with climate-adaptive trait engineering, and assesses the regulatory and translational barriers to field deployment. The review further undertakes a comparative assessment of the three platforms with respect to precision, efficiency, off-target activity, deliverability, and applicability across diverse crop systems. By integrating these perspectives, the article aims to outline a coherent roadmap for the research community working at the interface of genomic technology and climate-resilient agriculture.</w:t>
      </w:r>
    </w:p>
    <w:p w:rsidR="009D746E" w:rsidRPr="0010427D" w:rsidRDefault="00D74051" w:rsidP="0010427D">
      <w:pPr>
        <w:pStyle w:val="Heading1"/>
        <w:spacing w:before="100" w:beforeAutospacing="1" w:after="100" w:afterAutospacing="1"/>
        <w:rPr>
          <w:lang w:val="en-GB"/>
        </w:rPr>
      </w:pPr>
      <w:r w:rsidRPr="0010427D">
        <w:rPr>
          <w:lang w:val="en-GB"/>
        </w:rPr>
        <w:t>2. Methods for Literature Selection</w:t>
      </w:r>
    </w:p>
    <w:p w:rsidR="009D746E" w:rsidRPr="0010427D" w:rsidRDefault="00D74051" w:rsidP="0010427D">
      <w:pPr>
        <w:spacing w:before="100" w:beforeAutospacing="1" w:after="100" w:afterAutospacing="1"/>
        <w:ind w:firstLine="720"/>
        <w:jc w:val="both"/>
        <w:rPr>
          <w:lang w:val="en-GB"/>
        </w:rPr>
      </w:pPr>
      <w:r w:rsidRPr="0010427D">
        <w:rPr>
          <w:lang w:val="en-GB"/>
        </w:rPr>
        <w:t>A structured literature search was conducted across multiple academic databases including Web of Science, Scopus, PubMed, and Google Scholar. The primary search string combined the following terms using Boolean operators: ("CRISPR" OR "base editing" OR "prime editing") AND ("crop improvement" OR "plant genome editing" OR "abiotic stress" OR "climate-smart agriculture" OR "drought tolerance" OR "heat tolerance" OR "salinity tolerance" OR "flood tolerance"). Secondary search strings included terms specific to individual editing tools in combination with crop species names—for example, "CRISPR rice drought," "base editor wheat," and "prime editing maize." Additional searches were conducted for each specific stress category addressed in the review, combined with editing platform and crop descriptors.</w:t>
      </w:r>
    </w:p>
    <w:p w:rsidR="009D746E" w:rsidRPr="0010427D" w:rsidRDefault="00D74051" w:rsidP="0010427D">
      <w:pPr>
        <w:spacing w:before="100" w:beforeAutospacing="1" w:after="100" w:afterAutospacing="1"/>
        <w:ind w:firstLine="720"/>
        <w:jc w:val="both"/>
        <w:rPr>
          <w:lang w:val="en-GB"/>
        </w:rPr>
      </w:pPr>
      <w:r w:rsidRPr="0010427D">
        <w:rPr>
          <w:lang w:val="en-GB"/>
        </w:rPr>
        <w:t>The date range for the primary search was set from January 2005 to March 2026, with particular emphasis on publications from 2012 onwards reflecting the emergence of CRISPR-Cas technology. Inclusion criteria required that sources be primary research articles or critical review articles published in peer-reviewed academic journals, or authoritative institutional reports from organisations such as the Food and Agriculture Organization of the United Nations or the Intergovernmental Panel on Climate Change, accessible through verifiable public web addresses. Exclusion criteria comprised book chapters, conference proceedings, grey literature, theses, and preprints not subsequently formally published in peer-reviewed journals. Seminal classic publications predating 2005 were retained when they provided essential mechanistic or ecological context. Reference lists of identified review articles were additionally screened for relevant primary studies not captured by the initial database search.</w:t>
      </w:r>
    </w:p>
    <w:p w:rsidR="009D746E" w:rsidRPr="0010427D" w:rsidRDefault="00D74051" w:rsidP="0010427D">
      <w:pPr>
        <w:pStyle w:val="Heading1"/>
        <w:spacing w:before="100" w:beforeAutospacing="1" w:after="100" w:afterAutospacing="1"/>
        <w:rPr>
          <w:lang w:val="en-GB"/>
        </w:rPr>
      </w:pPr>
      <w:r w:rsidRPr="0010427D">
        <w:rPr>
          <w:lang w:val="en-GB"/>
        </w:rPr>
        <w:t>3. Climate Change and the Imperative for Precision Crop Improvement</w:t>
      </w:r>
    </w:p>
    <w:p w:rsidR="009D746E" w:rsidRPr="0010427D" w:rsidRDefault="00D74051" w:rsidP="0010427D">
      <w:pPr>
        <w:spacing w:before="100" w:beforeAutospacing="1" w:after="100" w:afterAutospacing="1"/>
        <w:ind w:firstLine="720"/>
        <w:jc w:val="both"/>
        <w:rPr>
          <w:lang w:val="en-GB"/>
        </w:rPr>
      </w:pPr>
      <w:r w:rsidRPr="0010427D">
        <w:rPr>
          <w:lang w:val="en-GB"/>
        </w:rPr>
        <w:t xml:space="preserve">Agricultural productivity is amongst the most sensitive socioeconomic sectors to climate variability and long-term climatic change. The IPCC Sixth Assessment Report (IPCC, 2022) unequivocally documents that anthropogenic climate change is already affecting food security through reduced crop yields, degraded soil quality, increased frequency of extreme weather events, and accelerated spread of pest and disease outbreaks. </w:t>
      </w:r>
      <w:r w:rsidRPr="0010427D">
        <w:rPr>
          <w:lang w:val="en-GB"/>
        </w:rPr>
        <w:lastRenderedPageBreak/>
        <w:t>The report projects that under intermediate emissions scenarios, mean global surface temperatures will likely exceed 1.5 degrees Celsius above pre-industrial levels within the next two decades, exposing hundreds of millions of additional people to food insecurity by mid-century and threatening the stability of food supply chains in both developed and developing agricultural economies.</w:t>
      </w:r>
    </w:p>
    <w:p w:rsidR="009D746E" w:rsidRPr="0010427D" w:rsidRDefault="00D74051" w:rsidP="0010427D">
      <w:pPr>
        <w:spacing w:before="100" w:beforeAutospacing="1" w:after="100" w:afterAutospacing="1"/>
        <w:ind w:firstLine="720"/>
        <w:jc w:val="both"/>
        <w:rPr>
          <w:lang w:val="en-GB"/>
        </w:rPr>
      </w:pPr>
      <w:r w:rsidRPr="0010427D">
        <w:rPr>
          <w:lang w:val="en-GB"/>
        </w:rPr>
        <w:t xml:space="preserve">The impacts of elevated temperature on crop physiology are multifaceted and operate across all stages of the plant life cycle. Heat stress during anthesis disrupts pollen viability and reduces fertilisation rates, impairs photosynthetic efficiency by denaturing Rubisco </w:t>
      </w:r>
      <w:proofErr w:type="spellStart"/>
      <w:r w:rsidRPr="0010427D">
        <w:rPr>
          <w:lang w:val="en-GB"/>
        </w:rPr>
        <w:t>activase</w:t>
      </w:r>
      <w:proofErr w:type="spellEnd"/>
      <w:r w:rsidRPr="0010427D">
        <w:rPr>
          <w:lang w:val="en-GB"/>
        </w:rPr>
        <w:t xml:space="preserve"> and inhibiting electron transport through photosystem II, accelerates leaf senescence, and perturbs the phytohormone signalling networks controlling reproductive development and grain filling (Zafar et al., 2020). Drought stress, whose frequency and intensity are increasing across large swathes of agricultural land in sub-Saharan Africa, South Asia, the Mediterranean basin, and parts of North and South America, reduces turgor pressure in growing tissues, triggers reactive oxygen species (ROS) accumulation to damaging levels, suppresses photosynthesis, and activates premature senescence programmes that abbreviate the grain-filling period in cereals. The interaction of heat and drought, which frequently co-occur in field conditions, produces synergistic damage considerably exceeding that attributable to either stress alone.</w:t>
      </w:r>
    </w:p>
    <w:p w:rsidR="009D746E" w:rsidRPr="0010427D" w:rsidRDefault="00D74051" w:rsidP="0010427D">
      <w:pPr>
        <w:spacing w:before="100" w:beforeAutospacing="1" w:after="100" w:afterAutospacing="1"/>
        <w:ind w:firstLine="720"/>
        <w:jc w:val="both"/>
        <w:rPr>
          <w:lang w:val="en-GB"/>
        </w:rPr>
      </w:pPr>
      <w:r w:rsidRPr="0010427D">
        <w:rPr>
          <w:lang w:val="en-GB"/>
        </w:rPr>
        <w:t xml:space="preserve">Salinity stress, exacerbated by rising sea levels along coastal agricultural zones and by the progressive secondary </w:t>
      </w:r>
      <w:proofErr w:type="spellStart"/>
      <w:r w:rsidRPr="0010427D">
        <w:rPr>
          <w:lang w:val="en-GB"/>
        </w:rPr>
        <w:t>salinisation</w:t>
      </w:r>
      <w:proofErr w:type="spellEnd"/>
      <w:r w:rsidRPr="0010427D">
        <w:rPr>
          <w:lang w:val="en-GB"/>
        </w:rPr>
        <w:t xml:space="preserve"> of irrigated soils resulting from shallow water table rise, causes ionic toxicity through sodium ion accumulation in leaf mesophyll cells, osmotic stress that mimics the physiological effects of drought, and nutrient imbalance arising from competition between sodium and essential cations such as potassium and calcium. Globally, approximately 20 per cent of irrigated agricultural land is affected by secondary </w:t>
      </w:r>
      <w:proofErr w:type="spellStart"/>
      <w:r w:rsidRPr="0010427D">
        <w:rPr>
          <w:lang w:val="en-GB"/>
        </w:rPr>
        <w:t>salinisation</w:t>
      </w:r>
      <w:proofErr w:type="spellEnd"/>
      <w:r w:rsidRPr="0010427D">
        <w:rPr>
          <w:lang w:val="en-GB"/>
        </w:rPr>
        <w:t>, and this proportion is increasing annually (Zafar et al., 2020). Waterlogging and flooding, paradoxically intensified in some regions by the same climate dynamics that produce drought in others, impose hypoxic stress on root systems through oxygen depletion of the rhizosphere, deplete the carbohydrate reserves required for cellular maintenance and nutrient uptake, and cause physical lodging and disease pressure in affected crops (Xu et al., 2006).</w:t>
      </w:r>
    </w:p>
    <w:p w:rsidR="009D746E" w:rsidRPr="0010427D" w:rsidRDefault="00D74051" w:rsidP="0010427D">
      <w:pPr>
        <w:spacing w:before="100" w:beforeAutospacing="1" w:after="100" w:afterAutospacing="1"/>
        <w:ind w:firstLine="720"/>
        <w:jc w:val="both"/>
        <w:rPr>
          <w:lang w:val="en-GB"/>
        </w:rPr>
      </w:pPr>
      <w:r w:rsidRPr="0010427D">
        <w:rPr>
          <w:lang w:val="en-GB"/>
        </w:rPr>
        <w:t>The compound nature of these overlapping abiotic stresses, combined with the emergence and geographic expansion of novel plant pathogens facilitated by warmer and more variable climate, underscores the inadequacy of incremental improvements within existing breeding paradigms. Food and Agriculture Organization data indicate that approximately one-third of global food production is lost annually to pests, diseases, and abiotic stresses combined, and that climate change is expected to intensify each of these loss categories (FAO, 2021). The urgency of accelerating crop adaptation has therefore generated compelling scientific, agronomic, and policy arguments for the deployment of precision genome editing tools capable of rapidly engineering resilience traits through targeted modification of known regulatory genes, stress-responsive transcription factors, and metabolic pathway components—operating on timeframes and with a precision that are simply not achievable through conventional breeding.</w:t>
      </w:r>
    </w:p>
    <w:p w:rsidR="009D746E" w:rsidRPr="0010427D" w:rsidRDefault="00D74051" w:rsidP="0010427D">
      <w:pPr>
        <w:pStyle w:val="Heading1"/>
        <w:spacing w:before="100" w:beforeAutospacing="1" w:after="100" w:afterAutospacing="1"/>
        <w:rPr>
          <w:lang w:val="en-GB"/>
        </w:rPr>
      </w:pPr>
      <w:r w:rsidRPr="0010427D">
        <w:rPr>
          <w:lang w:val="en-GB"/>
        </w:rPr>
        <w:t>4. CRISPR-Cas Systems: Mechanisms and Platforms for Crop Genome Editing</w:t>
      </w:r>
    </w:p>
    <w:p w:rsidR="009D746E" w:rsidRPr="0010427D" w:rsidRDefault="00D74051" w:rsidP="0010427D">
      <w:pPr>
        <w:pStyle w:val="Heading2"/>
        <w:spacing w:before="100" w:beforeAutospacing="1" w:after="100" w:afterAutospacing="1"/>
        <w:rPr>
          <w:lang w:val="en-GB"/>
        </w:rPr>
      </w:pPr>
      <w:r w:rsidRPr="0010427D">
        <w:rPr>
          <w:lang w:val="en-GB"/>
        </w:rPr>
        <w:t>4.1 The CRISPR-Cas9 System</w:t>
      </w:r>
    </w:p>
    <w:p w:rsidR="009D746E" w:rsidRPr="0010427D" w:rsidRDefault="00D74051" w:rsidP="0010427D">
      <w:pPr>
        <w:spacing w:before="100" w:beforeAutospacing="1" w:after="100" w:afterAutospacing="1"/>
        <w:ind w:firstLine="720"/>
        <w:jc w:val="both"/>
        <w:rPr>
          <w:lang w:val="en-GB"/>
        </w:rPr>
      </w:pPr>
      <w:r w:rsidRPr="0010427D">
        <w:rPr>
          <w:lang w:val="en-GB"/>
        </w:rPr>
        <w:lastRenderedPageBreak/>
        <w:t xml:space="preserve">The mechanistic basis of the CRISPR-Cas9 system originates in the adaptive immune response of prokaryotes, in which short DNA sequences captured from invading </w:t>
      </w:r>
      <w:proofErr w:type="spellStart"/>
      <w:r w:rsidRPr="0010427D">
        <w:rPr>
          <w:lang w:val="en-GB"/>
        </w:rPr>
        <w:t>phages</w:t>
      </w:r>
      <w:proofErr w:type="spellEnd"/>
      <w:r w:rsidRPr="0010427D">
        <w:rPr>
          <w:lang w:val="en-GB"/>
        </w:rPr>
        <w:t xml:space="preserve"> and plasmids are incorporated into CRISPR loci in the bacterial genome and subsequently transcribed into CRISPR RNA (crRNA) molecules that guide Cas surveillance complexes to recognise and destroy cognate foreign sequences upon re-infection. The seminal work of </w:t>
      </w:r>
      <w:proofErr w:type="spellStart"/>
      <w:r w:rsidRPr="0010427D">
        <w:rPr>
          <w:lang w:val="en-GB"/>
        </w:rPr>
        <w:t>Jinek</w:t>
      </w:r>
      <w:proofErr w:type="spellEnd"/>
      <w:r w:rsidRPr="0010427D">
        <w:rPr>
          <w:lang w:val="en-GB"/>
        </w:rPr>
        <w:t xml:space="preserve"> et al. (2012) demonstrated that the type II CRISPR effector protein Cas9 from Streptococcus pyogenes could be reprogrammed using a single guide RNA (sgRNA)—a chimeric fusion of the crRNA and a transactivating crRNA (</w:t>
      </w:r>
      <w:proofErr w:type="spellStart"/>
      <w:r w:rsidRPr="0010427D">
        <w:rPr>
          <w:lang w:val="en-GB"/>
        </w:rPr>
        <w:t>tracrRNA</w:t>
      </w:r>
      <w:proofErr w:type="spellEnd"/>
      <w:r w:rsidRPr="0010427D">
        <w:rPr>
          <w:lang w:val="en-GB"/>
        </w:rPr>
        <w:t xml:space="preserve">)—to introduce site-specific DSBs in target DNA sequences flanked by a protospacer adjacent motif (PAM) matching the sequence 5'-NGG-3'. </w:t>
      </w:r>
      <w:proofErr w:type="spellStart"/>
      <w:r w:rsidRPr="0010427D">
        <w:rPr>
          <w:lang w:val="en-GB"/>
        </w:rPr>
        <w:t>Doudna</w:t>
      </w:r>
      <w:proofErr w:type="spellEnd"/>
      <w:r w:rsidRPr="0010427D">
        <w:rPr>
          <w:lang w:val="en-GB"/>
        </w:rPr>
        <w:t xml:space="preserve"> and Charpentier (2014) subsequently elaborated the mechanistic and conceptual implications of this discovery, articulating the potential of Cas9 as a universal programmable endonuclease for genome engineering across diverse organisms, including crop plants.</w:t>
      </w:r>
    </w:p>
    <w:p w:rsidR="009D746E" w:rsidRPr="0010427D" w:rsidRDefault="00D74051" w:rsidP="0010427D">
      <w:pPr>
        <w:spacing w:before="100" w:beforeAutospacing="1" w:after="100" w:afterAutospacing="1"/>
        <w:ind w:firstLine="720"/>
        <w:jc w:val="both"/>
        <w:rPr>
          <w:lang w:val="en-GB"/>
        </w:rPr>
      </w:pPr>
      <w:r w:rsidRPr="0010427D">
        <w:rPr>
          <w:lang w:val="en-GB"/>
        </w:rPr>
        <w:t>In plant genome editing, the two primary pathways for repair of Cas9-induced DSBs are NHEJ and homology-directed repair (HDR). NHEJ is the predominant pathway in most plant species and cell types; it is intrinsically error-prone and frequently introduces short indels at the cut site that disrupt the reading frame of a coding sequence, thereby knocking out gene function. HDR, by contrast, can incorporate a homologous donor template carrying a desired sequence change, enabling precise knock-in edits, but it occurs at low frequency in differentiated plant cells and is essentially absent in post-mitotic tissues such as the endosperm (Chen et al., 2019). For trait improvement applications targeting susceptibility gene disruption, negative regulatory element knockdown, or the elimination of redundant gene copies, NHEJ-mediated editing via CRISPR-Cas9 has proven highly effective across dozens of crop species (Shan et al., 2013; Mishra et al., 2018).</w:t>
      </w:r>
    </w:p>
    <w:p w:rsidR="009D746E" w:rsidRPr="0010427D" w:rsidRDefault="00D74051" w:rsidP="0010427D">
      <w:pPr>
        <w:spacing w:before="100" w:beforeAutospacing="1" w:after="100" w:afterAutospacing="1"/>
        <w:ind w:firstLine="720"/>
        <w:jc w:val="both"/>
        <w:rPr>
          <w:lang w:val="en-GB"/>
        </w:rPr>
      </w:pPr>
      <w:r w:rsidRPr="0010427D">
        <w:rPr>
          <w:lang w:val="en-GB"/>
        </w:rPr>
        <w:t>The specificity of Cas9 targeting is determined primarily by Watson-Crick base pairing between the 20-nucleotide spacer sequence of the sgRNA and the complementary genomic protospacer, with the "seed region" of approximately eight to twelve nucleotides proximal to the PAM being particularly critical for discrimination between intended and unintended targets. Off-target cleavage can occur at genomic sites sharing partial complementarity with the sgRNA, particularly in large, complex, and repetitive crop genomes, and represents one of the primary safety and regulatory concerns associated with CRISPR-based crop improvement (</w:t>
      </w:r>
      <w:proofErr w:type="spellStart"/>
      <w:r w:rsidRPr="0010427D">
        <w:rPr>
          <w:lang w:val="en-GB"/>
        </w:rPr>
        <w:t>Puchta</w:t>
      </w:r>
      <w:proofErr w:type="spellEnd"/>
      <w:r w:rsidRPr="0010427D">
        <w:rPr>
          <w:lang w:val="en-GB"/>
        </w:rPr>
        <w:t xml:space="preserve">, 2017). Mitigation strategies include the use of engineered high-fidelity Cas9 variants with reduced tolerance for guide RNA-target mismatches, paired Cas9 </w:t>
      </w:r>
      <w:proofErr w:type="spellStart"/>
      <w:r w:rsidRPr="0010427D">
        <w:rPr>
          <w:lang w:val="en-GB"/>
        </w:rPr>
        <w:t>nickases</w:t>
      </w:r>
      <w:proofErr w:type="spellEnd"/>
      <w:r w:rsidRPr="0010427D">
        <w:rPr>
          <w:lang w:val="en-GB"/>
        </w:rPr>
        <w:t xml:space="preserve"> that require simultaneous binding at adjacent target sites to produce productive staggered nicks, truncated guide RNAs with reduced binding energy to partially complementary off-target sites, and careful bioinformatic screening of guide RNA sequences prior to experimental deployment.</w:t>
      </w:r>
    </w:p>
    <w:p w:rsidR="009D746E" w:rsidRPr="0010427D" w:rsidRDefault="00D74051" w:rsidP="0010427D">
      <w:pPr>
        <w:pStyle w:val="Heading2"/>
        <w:spacing w:before="100" w:beforeAutospacing="1" w:after="100" w:afterAutospacing="1"/>
        <w:rPr>
          <w:lang w:val="en-GB"/>
        </w:rPr>
      </w:pPr>
      <w:r w:rsidRPr="0010427D">
        <w:rPr>
          <w:lang w:val="en-GB"/>
        </w:rPr>
        <w:t>4.2 Expanded CRISPR Platforms: Cas12, Cas13, and Beyond</w:t>
      </w:r>
    </w:p>
    <w:p w:rsidR="009D746E" w:rsidRPr="0010427D" w:rsidRDefault="00D74051" w:rsidP="0010427D">
      <w:pPr>
        <w:spacing w:before="100" w:beforeAutospacing="1" w:after="100" w:afterAutospacing="1"/>
        <w:ind w:firstLine="720"/>
        <w:jc w:val="both"/>
        <w:rPr>
          <w:lang w:val="en-GB"/>
        </w:rPr>
      </w:pPr>
      <w:r w:rsidRPr="0010427D">
        <w:rPr>
          <w:lang w:val="en-GB"/>
        </w:rPr>
        <w:t xml:space="preserve">Beyond the canonical SpCas9 system, the CRISPR toolbox has expanded considerably to include a diverse array of Cas effector proteins with distinct PAM requirements, cleavage characteristics, and molecular substrates. Cas12a (formerly designated Cpf1) recognises a thymine-rich PAM sequence (5'-TTTV-3', where V represents adenine, cytosine, or guanine) at the 5' end of the protospacer, generates staggered DSBs with 4- to 5-nucleotide 5' overhangs, and processes its own crRNA array without requiring a </w:t>
      </w:r>
      <w:proofErr w:type="spellStart"/>
      <w:r w:rsidRPr="0010427D">
        <w:rPr>
          <w:lang w:val="en-GB"/>
        </w:rPr>
        <w:t>tracrRNA</w:t>
      </w:r>
      <w:proofErr w:type="spellEnd"/>
      <w:r w:rsidRPr="0010427D">
        <w:rPr>
          <w:lang w:val="en-GB"/>
        </w:rPr>
        <w:t xml:space="preserve">, enabling simultaneous multiplex editing from a single transcript. The staggered cut geometry of Cas12a may facilitate more precise NHEJ repair and reduced indel </w:t>
      </w:r>
      <w:r w:rsidRPr="0010427D">
        <w:rPr>
          <w:lang w:val="en-GB"/>
        </w:rPr>
        <w:lastRenderedPageBreak/>
        <w:t>heterogeneity relative to the blunt cuts produced by SpCas9 (Chen et al., 2019). Cas13 family proteins, which target RNA rather than DNA, introduce opportunities for post-transcriptional gene regulation and RNA virus interference without inducing permanent genome modification—capabilities relevant for engineering resistance to RNA-genome plant viruses whose incidence and geographic range are expanding under climate change. The continuous discovery of novel Cas effectors through systematic mining of metagenomic databases, combined with directed evolution and domain-swapping approaches to engineer effectors with custom PAM specificities and expanded sequence targeting capability, ensures that the CRISPR toolbox will continue to evolve in directions that amplify its utility for crop improvement (</w:t>
      </w:r>
      <w:proofErr w:type="spellStart"/>
      <w:r w:rsidRPr="0010427D">
        <w:rPr>
          <w:lang w:val="en-GB"/>
        </w:rPr>
        <w:t>Puchta</w:t>
      </w:r>
      <w:proofErr w:type="spellEnd"/>
      <w:r w:rsidRPr="0010427D">
        <w:rPr>
          <w:lang w:val="en-GB"/>
        </w:rPr>
        <w:t>, 2017).</w:t>
      </w:r>
    </w:p>
    <w:p w:rsidR="009D746E" w:rsidRPr="0010427D" w:rsidRDefault="00D74051" w:rsidP="0010427D">
      <w:pPr>
        <w:pStyle w:val="Heading1"/>
        <w:spacing w:before="100" w:beforeAutospacing="1" w:after="100" w:afterAutospacing="1"/>
        <w:rPr>
          <w:lang w:val="en-GB"/>
        </w:rPr>
      </w:pPr>
      <w:r w:rsidRPr="0010427D">
        <w:rPr>
          <w:lang w:val="en-GB"/>
        </w:rPr>
        <w:t>5. Applications of CRISPR in Climate-Smart Crop Improvement</w:t>
      </w:r>
    </w:p>
    <w:p w:rsidR="009D746E" w:rsidRPr="0010427D" w:rsidRDefault="00D74051" w:rsidP="0010427D">
      <w:pPr>
        <w:pStyle w:val="Heading2"/>
        <w:spacing w:before="100" w:beforeAutospacing="1" w:after="100" w:afterAutospacing="1"/>
        <w:rPr>
          <w:lang w:val="en-GB"/>
        </w:rPr>
      </w:pPr>
      <w:r w:rsidRPr="0010427D">
        <w:rPr>
          <w:lang w:val="en-GB"/>
        </w:rPr>
        <w:t>5.1 Drought and Water-Deficit Tolerance</w:t>
      </w:r>
    </w:p>
    <w:p w:rsidR="009D746E" w:rsidRPr="0010427D" w:rsidRDefault="00D74051" w:rsidP="0010427D">
      <w:pPr>
        <w:spacing w:before="100" w:beforeAutospacing="1" w:after="100" w:afterAutospacing="1"/>
        <w:ind w:firstLine="720"/>
        <w:jc w:val="both"/>
        <w:rPr>
          <w:lang w:val="en-GB"/>
        </w:rPr>
      </w:pPr>
      <w:r w:rsidRPr="0010427D">
        <w:rPr>
          <w:lang w:val="en-GB"/>
        </w:rPr>
        <w:t xml:space="preserve">Drought tolerance is among the most intensely pursued objectives in climate-smart crop improvement, given that water deficit is projected to be the single most economically damaging consequence of climate change for global agriculture. The abscisic acid (ABA) signalling pathway, which serves as the primary transducer of water-deficit signals into stomatal closure, root architecture adjustment, and drought-responsive transcriptional reprogramming, has attracted considerable attention as a target for CRISPR-based improvement. Miao et al. (2018) demonstrated that CRISPR-Cas9-mediated knockout of genes encoding members of the </w:t>
      </w:r>
      <w:proofErr w:type="spellStart"/>
      <w:r w:rsidRPr="0010427D">
        <w:rPr>
          <w:lang w:val="en-GB"/>
        </w:rPr>
        <w:t>pyrabactin</w:t>
      </w:r>
      <w:proofErr w:type="spellEnd"/>
      <w:r w:rsidRPr="0010427D">
        <w:rPr>
          <w:lang w:val="en-GB"/>
        </w:rPr>
        <w:t xml:space="preserve"> resistance 1-like (PYL) ABA receptor subfamily in rice produced a nuanced and instructive result. Simultaneous knockout of PYL1, PYL4, and PYL6—three members of the group I PYL clade—reduced endogenous ABA receptor activity and resulted in significantly enhanced vegetative growth and improved grain productivity under natural paddy field conditions, with field trials recording approximately 25 per cent more grain yield in Shanghai and approximately 31 per cent more in Hainan Island, whilst maintaining nearly normal seed dormancy. Among all group I combinatorial mutants tested, pyl1/4/6 exhibited the best overall agronomic performance. This study underscored that targeted modulation of ABA receptor components can unlock growth potential otherwise constrained by endogenous stress signalling, but also illustrated the biological complexity of targeting ABA pathway components, whose pleiotropic roles in both stress tolerance and developmental regulation require careful consideration in the design of editing strategies aimed at simultaneously improving yield and abiotic stress resilience.</w:t>
      </w:r>
    </w:p>
    <w:p w:rsidR="009D746E" w:rsidRPr="0010427D" w:rsidRDefault="00D74051" w:rsidP="0010427D">
      <w:pPr>
        <w:spacing w:before="100" w:beforeAutospacing="1" w:after="100" w:afterAutospacing="1"/>
        <w:ind w:firstLine="720"/>
        <w:jc w:val="both"/>
        <w:rPr>
          <w:lang w:val="en-GB"/>
        </w:rPr>
      </w:pPr>
      <w:r w:rsidRPr="0010427D">
        <w:rPr>
          <w:lang w:val="en-GB"/>
        </w:rPr>
        <w:t>A landmark demonstration of CRISPR-mediated drought improvement with direct field relevance was the engineering of maize plants overexpressing the ARGOS8 gene, a negative regulator of ethylene signalling whose upregulation confers tolerance to drought and nitrogen limitation. Shi et al. (2017) used CRISPR-Cas9 to insert a constitutively active promoter upstream of the native ARGOS8 coding sequence, creating a gain-of-function allele that maintained grain yield under field drought stress conditions applied at the critical flowering and early grain-filling stages. Critically, this yield improvement was achieved without a yield penalty under well-watered conditions—a result that has historically been difficult to obtain using conventional transgenic overexpression approaches. The study is particularly significant because it provided rigorous field-level validation under commercial agronomic conditions, moving beyond the controlled environment assays that characterise most early-stage editing studies and providing a more compelling proof of concept for translational deployment.</w:t>
      </w:r>
    </w:p>
    <w:p w:rsidR="009D746E" w:rsidRPr="0010427D" w:rsidRDefault="00D74051" w:rsidP="0010427D">
      <w:pPr>
        <w:spacing w:before="100" w:beforeAutospacing="1" w:after="100" w:afterAutospacing="1"/>
        <w:ind w:firstLine="720"/>
        <w:jc w:val="both"/>
        <w:rPr>
          <w:lang w:val="en-GB"/>
        </w:rPr>
      </w:pPr>
      <w:r w:rsidRPr="0010427D">
        <w:rPr>
          <w:lang w:val="en-GB"/>
        </w:rPr>
        <w:lastRenderedPageBreak/>
        <w:t>More broadly, CRISPR-based functional genomics has accelerated the identification and validation of novel drought-tolerance genes and pathways that may serve as future editing targets. DREB (dehydration-responsive element-binding protein) and NAC domain transcription factors constitute large regulatory families whose members control drought-responsive gene expression networks in diverse crop species, and targeted loss-of-function screens using multiplex CRISPR editing are systematically identifying redundant and non-redundant members of these families that govern drought phenotypes (Zafar et al., 2020). Similarly, the modification of root architecture through editing of genes controlling lateral root initiation, root hair density, and root elongation offers a route to improving water extraction from deeper soil horizons under surface soil drying conditions—a strategy complementary to, rather than replacing, molecular tolerance mechanisms.</w:t>
      </w:r>
    </w:p>
    <w:p w:rsidR="009D746E" w:rsidRPr="0010427D" w:rsidRDefault="00D74051" w:rsidP="0010427D">
      <w:pPr>
        <w:pStyle w:val="Heading2"/>
        <w:spacing w:before="100" w:beforeAutospacing="1" w:after="100" w:afterAutospacing="1"/>
        <w:rPr>
          <w:lang w:val="en-GB"/>
        </w:rPr>
      </w:pPr>
      <w:r w:rsidRPr="0010427D">
        <w:rPr>
          <w:lang w:val="en-GB"/>
        </w:rPr>
        <w:t>5.2 Heat Stress Tolerance</w:t>
      </w:r>
    </w:p>
    <w:p w:rsidR="009D746E" w:rsidRPr="0010427D" w:rsidRDefault="00D74051" w:rsidP="0010427D">
      <w:pPr>
        <w:spacing w:before="100" w:beforeAutospacing="1" w:after="100" w:afterAutospacing="1"/>
        <w:ind w:firstLine="720"/>
        <w:jc w:val="both"/>
        <w:rPr>
          <w:lang w:val="en-GB"/>
        </w:rPr>
      </w:pPr>
      <w:r w:rsidRPr="0010427D">
        <w:rPr>
          <w:lang w:val="en-GB"/>
        </w:rPr>
        <w:t>Heat stress tolerance is an increasingly critical trait as mean growing-season temperatures rise and the frequency and duration of heat waves intensifies across major agricultural regions. In rice, thermosensitive genic male sterility (TGMS) is a commercially exploited trait used in hybrid seed production systems, and the genetic determinants of temperature-sensitive pollen fertility provide a model for investigating heat responses in reproductive development. CRISPR-Cas9-mediated editing of genes controlling thermo-responsiveness in anthers and pollen has been explored as a route to engineering thermotolerant male fertility, with functional genomics studies identifying candidate genes in heat-shock response and small RNA regulatory pathways as potential targets (Chen et al., 2019). More broadly, CRISPR-based screens in rice have identified genes controlling thermotolerance of the photosynthetic apparatus, cellular protein quality control systems, and membrane lipid saturation that represent mechanistically validated targets for future editing-based improvement strategies.</w:t>
      </w:r>
    </w:p>
    <w:p w:rsidR="009D746E" w:rsidRPr="0010427D" w:rsidRDefault="00D74051" w:rsidP="0010427D">
      <w:pPr>
        <w:spacing w:before="100" w:beforeAutospacing="1" w:after="100" w:afterAutospacing="1"/>
        <w:ind w:firstLine="720"/>
        <w:jc w:val="both"/>
        <w:rPr>
          <w:lang w:val="en-GB"/>
        </w:rPr>
      </w:pPr>
      <w:r w:rsidRPr="0010427D">
        <w:rPr>
          <w:lang w:val="en-GB"/>
        </w:rPr>
        <w:t xml:space="preserve">In polyploid wheat, achieving durable heat stress tolerance through conventional breeding is complicated by the functional redundancy of </w:t>
      </w:r>
      <w:proofErr w:type="spellStart"/>
      <w:r w:rsidRPr="0010427D">
        <w:rPr>
          <w:lang w:val="en-GB"/>
        </w:rPr>
        <w:t>homeologous</w:t>
      </w:r>
      <w:proofErr w:type="spellEnd"/>
      <w:r w:rsidRPr="0010427D">
        <w:rPr>
          <w:lang w:val="en-GB"/>
        </w:rPr>
        <w:t xml:space="preserve"> gene copies distributed across the A, B, and D sub-genomes. Wang et al. (2014) established the feasibility of simultaneous multiplex modification of all three </w:t>
      </w:r>
      <w:proofErr w:type="spellStart"/>
      <w:r w:rsidRPr="0010427D">
        <w:rPr>
          <w:lang w:val="en-GB"/>
        </w:rPr>
        <w:t>homeologous</w:t>
      </w:r>
      <w:proofErr w:type="spellEnd"/>
      <w:r w:rsidRPr="0010427D">
        <w:rPr>
          <w:lang w:val="en-GB"/>
        </w:rPr>
        <w:t xml:space="preserve"> copies of the mildew resistance locus O (MLO) gene using transcription activator-like effector nuclease (TALEN) technology, delivering the triple knockout in a single transformation step—a technical advance directly relevant to the engineering of </w:t>
      </w:r>
      <w:proofErr w:type="spellStart"/>
      <w:r w:rsidRPr="0010427D">
        <w:rPr>
          <w:lang w:val="en-GB"/>
        </w:rPr>
        <w:t>homeologously</w:t>
      </w:r>
      <w:proofErr w:type="spellEnd"/>
      <w:r w:rsidRPr="0010427D">
        <w:rPr>
          <w:lang w:val="en-GB"/>
        </w:rPr>
        <w:t xml:space="preserve"> redundant stress-tolerance regulators in wheat. The same study also employed CRISPR-Cas9 to introduce mutations in the TaMLO-A1 allele, demonstrating complementary utility of the two nuclease platforms in polyploid systems. This demonstration that both TALEN and CRISPR-Cas9 can access and modify multiple </w:t>
      </w:r>
      <w:proofErr w:type="spellStart"/>
      <w:r w:rsidRPr="0010427D">
        <w:rPr>
          <w:lang w:val="en-GB"/>
        </w:rPr>
        <w:t>homeologous</w:t>
      </w:r>
      <w:proofErr w:type="spellEnd"/>
      <w:r w:rsidRPr="0010427D">
        <w:rPr>
          <w:lang w:val="en-GB"/>
        </w:rPr>
        <w:t xml:space="preserve"> loci opened practical pathways for engineering polygenic stress tolerance traits in allopolyploid crops, which collectively account for a large proportion of global food production—including wheat, oilseed rape (Brassica </w:t>
      </w:r>
      <w:proofErr w:type="spellStart"/>
      <w:r w:rsidRPr="0010427D">
        <w:rPr>
          <w:lang w:val="en-GB"/>
        </w:rPr>
        <w:t>napus</w:t>
      </w:r>
      <w:proofErr w:type="spellEnd"/>
      <w:r w:rsidRPr="0010427D">
        <w:rPr>
          <w:lang w:val="en-GB"/>
        </w:rPr>
        <w:t xml:space="preserve">), and cotton (Gossypium </w:t>
      </w:r>
      <w:proofErr w:type="spellStart"/>
      <w:r w:rsidRPr="0010427D">
        <w:rPr>
          <w:lang w:val="en-GB"/>
        </w:rPr>
        <w:t>hirsutum</w:t>
      </w:r>
      <w:proofErr w:type="spellEnd"/>
      <w:r w:rsidRPr="0010427D">
        <w:rPr>
          <w:lang w:val="en-GB"/>
        </w:rPr>
        <w:t>).</w:t>
      </w:r>
    </w:p>
    <w:p w:rsidR="009D746E" w:rsidRPr="0010427D" w:rsidRDefault="00D74051" w:rsidP="0010427D">
      <w:pPr>
        <w:pStyle w:val="Heading2"/>
        <w:spacing w:before="100" w:beforeAutospacing="1" w:after="100" w:afterAutospacing="1"/>
        <w:rPr>
          <w:lang w:val="en-GB"/>
        </w:rPr>
      </w:pPr>
      <w:r w:rsidRPr="0010427D">
        <w:rPr>
          <w:lang w:val="en-GB"/>
        </w:rPr>
        <w:t>5.3 Flood and Submergence Tolerance</w:t>
      </w:r>
    </w:p>
    <w:p w:rsidR="009D746E" w:rsidRPr="0010427D" w:rsidRDefault="00D74051" w:rsidP="0010427D">
      <w:pPr>
        <w:spacing w:before="100" w:beforeAutospacing="1" w:after="100" w:afterAutospacing="1"/>
        <w:ind w:firstLine="720"/>
        <w:jc w:val="both"/>
        <w:rPr>
          <w:lang w:val="en-GB"/>
        </w:rPr>
      </w:pPr>
      <w:r w:rsidRPr="0010427D">
        <w:rPr>
          <w:lang w:val="en-GB"/>
        </w:rPr>
        <w:t xml:space="preserve">Flooding is one of the most destructive abiotic stresses in rice-growing regions across South and South-East Asia, where flash floods cause annual yield losses affecting millions of smallholder farming households. The genetic architecture of submergence tolerance in rice has been partially resolved through the characterisation of the Sub1 locus, which encodes the ethylene-response-factor gene Sub1A (Xu et al., 2006). Sub1A encodes a transcription factor </w:t>
      </w:r>
      <w:r w:rsidRPr="0010427D">
        <w:rPr>
          <w:lang w:val="en-GB"/>
        </w:rPr>
        <w:lastRenderedPageBreak/>
        <w:t xml:space="preserve">that suppresses carbohydrate consumption and reactive oxygen species production during submergence, enabling a metabolic quiescence strategy in which the plant tolerates flooding by minimising energy expenditure until floodwaters recede. Conventional marker-assisted backcrossing has achieved Sub1A </w:t>
      </w:r>
      <w:proofErr w:type="spellStart"/>
      <w:r w:rsidRPr="0010427D">
        <w:rPr>
          <w:lang w:val="en-GB"/>
        </w:rPr>
        <w:t>introgression</w:t>
      </w:r>
      <w:proofErr w:type="spellEnd"/>
      <w:r w:rsidRPr="0010427D">
        <w:rPr>
          <w:lang w:val="en-GB"/>
        </w:rPr>
        <w:t xml:space="preserve"> into several elite rice varieties, but this approach is time-consuming, introduces linkage drag from the donor parent, and is restricted to germplasm in which Sub1A or closely equivalent alleles exist in accessible gene pools.</w:t>
      </w:r>
    </w:p>
    <w:p w:rsidR="009D746E" w:rsidRPr="0010427D" w:rsidRDefault="00D74051" w:rsidP="0010427D">
      <w:pPr>
        <w:spacing w:before="100" w:beforeAutospacing="1" w:after="100" w:afterAutospacing="1"/>
        <w:ind w:firstLine="720"/>
        <w:jc w:val="both"/>
        <w:rPr>
          <w:lang w:val="en-GB"/>
        </w:rPr>
      </w:pPr>
      <w:r w:rsidRPr="0010427D">
        <w:rPr>
          <w:lang w:val="en-GB"/>
        </w:rPr>
        <w:t>CRISPR-based editing offers the prospect of introducing Sub1A-equivalent alleles, or modifying the regulatory elements controlling their expression, directly into locally adapted elite varieties without the agronomic penalties associated with backcrossing. Beyond Sub1A, the regulation of anaerobic germination—an alternative flooding adaptation strategy in which germination proceeds under hypoxic conditions through upregulation of alpha-amylase activity and accelerated elongation to reach the water surface—is governed by quantitative trait loci that have been characterised at the molecular level and are amenable to CRISPR-based modification (Mishra et al., 2018). As the frequency and severity of flood events increase under climate projections for monsoonal Asia and other flood-prone agricultural regions, the engineering of multi-mechanism flooding tolerance through combinations of CRISPR-based target gene modifications represents an important and increasingly urgent research priority.</w:t>
      </w:r>
    </w:p>
    <w:p w:rsidR="009D746E" w:rsidRPr="0010427D" w:rsidRDefault="00D74051" w:rsidP="0010427D">
      <w:pPr>
        <w:pStyle w:val="Heading2"/>
        <w:spacing w:before="100" w:beforeAutospacing="1" w:after="100" w:afterAutospacing="1"/>
        <w:rPr>
          <w:lang w:val="en-GB"/>
        </w:rPr>
      </w:pPr>
      <w:r w:rsidRPr="0010427D">
        <w:rPr>
          <w:lang w:val="en-GB"/>
        </w:rPr>
        <w:t>5.4 Salinity and Osmotic Stress Tolerance</w:t>
      </w:r>
    </w:p>
    <w:p w:rsidR="009D746E" w:rsidRPr="0010427D" w:rsidRDefault="00D74051" w:rsidP="0010427D">
      <w:pPr>
        <w:spacing w:before="100" w:beforeAutospacing="1" w:after="100" w:afterAutospacing="1"/>
        <w:ind w:firstLine="720"/>
        <w:jc w:val="both"/>
        <w:rPr>
          <w:lang w:val="en-GB"/>
        </w:rPr>
      </w:pPr>
      <w:r w:rsidRPr="0010427D">
        <w:rPr>
          <w:lang w:val="en-GB"/>
        </w:rPr>
        <w:t xml:space="preserve">Soil salinity affects approximately one-fifth of globally irrigated agricultural land, with the affected area expanding annually through irrigation-induced secondary </w:t>
      </w:r>
      <w:proofErr w:type="spellStart"/>
      <w:r w:rsidRPr="0010427D">
        <w:rPr>
          <w:lang w:val="en-GB"/>
        </w:rPr>
        <w:t>salinisation</w:t>
      </w:r>
      <w:proofErr w:type="spellEnd"/>
      <w:r w:rsidRPr="0010427D">
        <w:rPr>
          <w:lang w:val="en-GB"/>
        </w:rPr>
        <w:t xml:space="preserve"> and coastal inundation driven by sea-level rise. The primary mechanism of salt damage in crop plants involves the accumulation of cytotoxic concentrations of sodium ions in leaf mesophyll cells when the capacity of the salt overly sensitive (SOS) pathway and </w:t>
      </w:r>
      <w:proofErr w:type="spellStart"/>
      <w:r w:rsidRPr="0010427D">
        <w:rPr>
          <w:lang w:val="en-GB"/>
        </w:rPr>
        <w:t>vacuolar</w:t>
      </w:r>
      <w:proofErr w:type="spellEnd"/>
      <w:r w:rsidRPr="0010427D">
        <w:rPr>
          <w:lang w:val="en-GB"/>
        </w:rPr>
        <w:t xml:space="preserve"> Na+/H+ antiporter systems to compartmentalise or extrude sodium ions is overwhelmed. CRISPR-based editing has been applied to salinity tolerance improvement by targeting multiple nodes of the sodium toxicity and osmotic adjustment networks, as reviewed comprehensively by Zafar et al. (2020).</w:t>
      </w:r>
    </w:p>
    <w:p w:rsidR="009D746E" w:rsidRPr="0010427D" w:rsidRDefault="00D74051" w:rsidP="0010427D">
      <w:pPr>
        <w:spacing w:before="100" w:beforeAutospacing="1" w:after="100" w:afterAutospacing="1"/>
        <w:ind w:firstLine="720"/>
        <w:jc w:val="both"/>
        <w:rPr>
          <w:lang w:val="en-GB"/>
        </w:rPr>
      </w:pPr>
      <w:r w:rsidRPr="0010427D">
        <w:rPr>
          <w:lang w:val="en-GB"/>
        </w:rPr>
        <w:t>In rice, CRISPR-Cas9 knockout studies of the OsRR22 gene, encoding a type B response regulator implicated in salinity response signalling, have generated edited lines exhibiting improved salt tolerance under controlled conditions without apparent growth penalty in non-saline environments. The OsHAK21 gene, encoding a high-affinity potassium transporter involved in maintaining potassium-to-sodium homeostasis under ionic stress, has similarly been investigated as a CRISPR target for improving salinity tolerance through enhanced potassium retention. The multiplexing capability of CRISPR-Cas systems is particularly advantageous for the genetic dissection and engineering of salinity tolerance, given that tolerance is a genuinely polygenic trait whose full expression requires modifications to ion transport, ROS scavenging, compatible solute biosynthesis, and developmental plasticity simultaneously. The prospect of stacking multiple editing events at different pathway nodes in a single transformation step, facilitated by sgRNA arrays expressed from polycistronic constructs, is being actively explored as a strategy for engineering more robust and comprehensive salt tolerance than single-gene modifications can deliver.</w:t>
      </w:r>
    </w:p>
    <w:p w:rsidR="009D746E" w:rsidRPr="0010427D" w:rsidRDefault="00D74051" w:rsidP="0010427D">
      <w:pPr>
        <w:pStyle w:val="Heading2"/>
        <w:spacing w:before="100" w:beforeAutospacing="1" w:after="100" w:afterAutospacing="1"/>
        <w:rPr>
          <w:lang w:val="en-GB"/>
        </w:rPr>
      </w:pPr>
      <w:r w:rsidRPr="0010427D">
        <w:rPr>
          <w:lang w:val="en-GB"/>
        </w:rPr>
        <w:t>5.5 Disease Resistance in a Warming World</w:t>
      </w:r>
    </w:p>
    <w:p w:rsidR="009D746E" w:rsidRPr="0010427D" w:rsidRDefault="00D74051" w:rsidP="0010427D">
      <w:pPr>
        <w:spacing w:before="100" w:beforeAutospacing="1" w:after="100" w:afterAutospacing="1"/>
        <w:ind w:firstLine="720"/>
        <w:jc w:val="both"/>
        <w:rPr>
          <w:lang w:val="en-GB"/>
        </w:rPr>
      </w:pPr>
      <w:r w:rsidRPr="0010427D">
        <w:rPr>
          <w:lang w:val="en-GB"/>
        </w:rPr>
        <w:lastRenderedPageBreak/>
        <w:t>Climate change is fundamentally altering the epidemiology of plant diseases. Warmer winters facilitate the overwintering of fungal pathogens that previously could not survive at higher latitudes, extended humid growing seasons promote bacterial and oomycete disease development, and changing precipitation patterns create favourable windows for new infection events. Novel pathogen races and species are emerging under selection pressures partly attributable to climate stress, weakened plant immune responses, and altered chemical control regimes. CRISPR-Cas9 has emerged as a powerful tool for engineering disease resistance by targeting susceptibility (S) genes—endogenous host factors that pathogens exploit for successful infection, colonisation, or reproduction—providing a conceptually distinct resistance mechanism from conventional R gene deployment.</w:t>
      </w:r>
    </w:p>
    <w:p w:rsidR="009D746E" w:rsidRPr="0010427D" w:rsidRDefault="00D74051" w:rsidP="0010427D">
      <w:pPr>
        <w:spacing w:before="100" w:beforeAutospacing="1" w:after="100" w:afterAutospacing="1"/>
        <w:ind w:firstLine="720"/>
        <w:jc w:val="both"/>
        <w:rPr>
          <w:lang w:val="en-GB"/>
        </w:rPr>
      </w:pPr>
      <w:r w:rsidRPr="0010427D">
        <w:rPr>
          <w:lang w:val="en-GB"/>
        </w:rPr>
        <w:t xml:space="preserve">The editing of MLO genes in </w:t>
      </w:r>
      <w:proofErr w:type="spellStart"/>
      <w:r w:rsidRPr="0010427D">
        <w:rPr>
          <w:lang w:val="en-GB"/>
        </w:rPr>
        <w:t>hexaploid</w:t>
      </w:r>
      <w:proofErr w:type="spellEnd"/>
      <w:r w:rsidRPr="0010427D">
        <w:rPr>
          <w:lang w:val="en-GB"/>
        </w:rPr>
        <w:t xml:space="preserve"> wheat by Wang et al. (2014) remains a paradigmatic demonstration of S gene editing for disease resistance. MLO encodes a transmembrane protein that acts as a susceptibility factor for the obligate biotrophic fungal pathogen powdery mildew (</w:t>
      </w:r>
      <w:proofErr w:type="spellStart"/>
      <w:r w:rsidRPr="0010427D">
        <w:rPr>
          <w:lang w:val="en-GB"/>
        </w:rPr>
        <w:t>Blumeria</w:t>
      </w:r>
      <w:proofErr w:type="spellEnd"/>
      <w:r w:rsidRPr="0010427D">
        <w:rPr>
          <w:lang w:val="en-GB"/>
        </w:rPr>
        <w:t xml:space="preserve"> </w:t>
      </w:r>
      <w:proofErr w:type="spellStart"/>
      <w:r w:rsidRPr="0010427D">
        <w:rPr>
          <w:lang w:val="en-GB"/>
        </w:rPr>
        <w:t>graminis</w:t>
      </w:r>
      <w:proofErr w:type="spellEnd"/>
      <w:r w:rsidRPr="0010427D">
        <w:rPr>
          <w:lang w:val="en-GB"/>
        </w:rPr>
        <w:t xml:space="preserve"> f. sp. </w:t>
      </w:r>
      <w:proofErr w:type="spellStart"/>
      <w:r w:rsidRPr="0010427D">
        <w:rPr>
          <w:lang w:val="en-GB"/>
        </w:rPr>
        <w:t>tritici</w:t>
      </w:r>
      <w:proofErr w:type="spellEnd"/>
      <w:r w:rsidRPr="0010427D">
        <w:rPr>
          <w:lang w:val="en-GB"/>
        </w:rPr>
        <w:t xml:space="preserve">), and natural or engineered </w:t>
      </w:r>
      <w:proofErr w:type="spellStart"/>
      <w:r w:rsidRPr="0010427D">
        <w:rPr>
          <w:lang w:val="en-GB"/>
        </w:rPr>
        <w:t>mlo</w:t>
      </w:r>
      <w:proofErr w:type="spellEnd"/>
      <w:r w:rsidRPr="0010427D">
        <w:rPr>
          <w:lang w:val="en-GB"/>
        </w:rPr>
        <w:t xml:space="preserve"> loss-of-function alleles confer durable, broad-spectrum resistance to multiple powdery mildew races. Wang et al. (2014) showed that TALEN-mediated simultaneous knockout of all three wheat MLO </w:t>
      </w:r>
      <w:proofErr w:type="spellStart"/>
      <w:r w:rsidRPr="0010427D">
        <w:rPr>
          <w:lang w:val="en-GB"/>
        </w:rPr>
        <w:t>homoeologs</w:t>
      </w:r>
      <w:proofErr w:type="spellEnd"/>
      <w:r w:rsidRPr="0010427D">
        <w:rPr>
          <w:lang w:val="en-GB"/>
        </w:rPr>
        <w:t xml:space="preserve"> in a single transformation event conferred heritable broad-spectrum resistance to powdery mildew—achieving in a single generation the resistance phenotype that required years of laborious backcrossing when using natural </w:t>
      </w:r>
      <w:proofErr w:type="spellStart"/>
      <w:r w:rsidRPr="0010427D">
        <w:rPr>
          <w:lang w:val="en-GB"/>
        </w:rPr>
        <w:t>mlo</w:t>
      </w:r>
      <w:proofErr w:type="spellEnd"/>
      <w:r w:rsidRPr="0010427D">
        <w:rPr>
          <w:lang w:val="en-GB"/>
        </w:rPr>
        <w:t xml:space="preserve"> alleles from barley, and illustrating the transformative speed advantage that precision nuclease technologies offer for resistance trait engineering in polyploid crops. </w:t>
      </w:r>
      <w:proofErr w:type="spellStart"/>
      <w:r w:rsidRPr="0010427D">
        <w:rPr>
          <w:lang w:val="en-GB"/>
        </w:rPr>
        <w:t>Zsögön</w:t>
      </w:r>
      <w:proofErr w:type="spellEnd"/>
      <w:r w:rsidRPr="0010427D">
        <w:rPr>
          <w:lang w:val="en-GB"/>
        </w:rPr>
        <w:t xml:space="preserve"> et al. (2018) extended the scope of CRISPR-Cas9-mediated crop improvement by demonstrating that multiple domestication traits could be simultaneously engineered in wild tomato in a single generation, pointing towards broad applications in the rapid stacking of resistance and productivity traits for climate-adaptive varieties.</w:t>
      </w:r>
    </w:p>
    <w:p w:rsidR="009D746E" w:rsidRPr="0010427D" w:rsidRDefault="00D74051" w:rsidP="0010427D">
      <w:pPr>
        <w:pStyle w:val="Heading1"/>
        <w:spacing w:before="100" w:beforeAutospacing="1" w:after="100" w:afterAutospacing="1"/>
        <w:rPr>
          <w:lang w:val="en-GB"/>
        </w:rPr>
      </w:pPr>
      <w:r w:rsidRPr="0010427D">
        <w:rPr>
          <w:lang w:val="en-GB"/>
        </w:rPr>
        <w:t>6. Base Editing: Principles and Crop Applications</w:t>
      </w:r>
    </w:p>
    <w:p w:rsidR="009D746E" w:rsidRPr="0010427D" w:rsidRDefault="00D74051" w:rsidP="0010427D">
      <w:pPr>
        <w:pStyle w:val="Heading2"/>
        <w:spacing w:before="100" w:beforeAutospacing="1" w:after="100" w:afterAutospacing="1"/>
        <w:rPr>
          <w:lang w:val="en-GB"/>
        </w:rPr>
      </w:pPr>
      <w:r w:rsidRPr="0010427D">
        <w:rPr>
          <w:lang w:val="en-GB"/>
        </w:rPr>
        <w:t>6.1 Cytosine Base Editors</w:t>
      </w:r>
    </w:p>
    <w:p w:rsidR="009D746E" w:rsidRPr="0010427D" w:rsidRDefault="00D74051" w:rsidP="0010427D">
      <w:pPr>
        <w:spacing w:before="100" w:beforeAutospacing="1" w:after="100" w:afterAutospacing="1"/>
        <w:ind w:firstLine="720"/>
        <w:jc w:val="both"/>
        <w:rPr>
          <w:lang w:val="en-GB"/>
        </w:rPr>
      </w:pPr>
      <w:r w:rsidRPr="0010427D">
        <w:rPr>
          <w:lang w:val="en-GB"/>
        </w:rPr>
        <w:t>Base editors represent a conceptual departure from nuclease-based CRISPR editing by directly converting one DNA base to another within a single-stranded DNA substrate, without cutting double-stranded DNA or relying upon cellular repair pathways whose intrinsic error-proneness generates unpredictable sequence outcomes (</w:t>
      </w:r>
      <w:proofErr w:type="spellStart"/>
      <w:r w:rsidRPr="0010427D">
        <w:rPr>
          <w:lang w:val="en-GB"/>
        </w:rPr>
        <w:t>Komor</w:t>
      </w:r>
      <w:proofErr w:type="spellEnd"/>
      <w:r w:rsidRPr="0010427D">
        <w:rPr>
          <w:lang w:val="en-GB"/>
        </w:rPr>
        <w:t xml:space="preserve"> et al., 2016). Cytosine base editors (CBEs) were the first generation of base editors to be described, originating from the laboratory of David Liu at the Broad Institute. CBEs are constructed by fusing a cytidine deaminase enzyme—which catalyses the hydrolytic deamination of cytosine (C) to uracil (U), a base read as thymine (T) by DNA polymerases during replication—to a catalytically impaired Cas9 variant (either a </w:t>
      </w:r>
      <w:proofErr w:type="spellStart"/>
      <w:r w:rsidRPr="0010427D">
        <w:rPr>
          <w:lang w:val="en-GB"/>
        </w:rPr>
        <w:t>nickase</w:t>
      </w:r>
      <w:proofErr w:type="spellEnd"/>
      <w:r w:rsidRPr="0010427D">
        <w:rPr>
          <w:lang w:val="en-GB"/>
        </w:rPr>
        <w:t>, nCas9, or a catalytically dead enzyme, dCas9). The sgRNA component directs the CBE to a specific genomic locus where the Cas9 element unwinds the double helix to create an R-loop, within which the exposed single-stranded non-template strand is accessible to the cytidine deaminase. Cytosines within a defined editing window of approximately positions 4 to 8 counting from the 5' end of the protospacer (distal to the PAM) are susceptible to deamination.</w:t>
      </w:r>
    </w:p>
    <w:p w:rsidR="009D746E" w:rsidRPr="0010427D" w:rsidRDefault="00D74051" w:rsidP="0010427D">
      <w:pPr>
        <w:spacing w:before="100" w:beforeAutospacing="1" w:after="100" w:afterAutospacing="1"/>
        <w:ind w:firstLine="720"/>
        <w:jc w:val="both"/>
        <w:rPr>
          <w:lang w:val="en-GB"/>
        </w:rPr>
      </w:pPr>
      <w:r w:rsidRPr="0010427D">
        <w:rPr>
          <w:lang w:val="en-GB"/>
        </w:rPr>
        <w:t xml:space="preserve">First-generation CBEs employed apolipoprotein B mRNA editing enzyme catalytic polypeptide-like (APOBEC) family deaminases and were progressively optimised through successive iterations by the addition of uracil-DNA glycosylase inhibitor (UGI) peptides, which prevent cellular base excision repair from reverting the deaminated intermediate, and </w:t>
      </w:r>
      <w:r w:rsidRPr="0010427D">
        <w:rPr>
          <w:lang w:val="en-GB"/>
        </w:rPr>
        <w:lastRenderedPageBreak/>
        <w:t>by refinement of linker sequences between fusion components (</w:t>
      </w:r>
      <w:proofErr w:type="spellStart"/>
      <w:r w:rsidRPr="0010427D">
        <w:rPr>
          <w:lang w:val="en-GB"/>
        </w:rPr>
        <w:t>Komor</w:t>
      </w:r>
      <w:proofErr w:type="spellEnd"/>
      <w:r w:rsidRPr="0010427D">
        <w:rPr>
          <w:lang w:val="en-GB"/>
        </w:rPr>
        <w:t xml:space="preserve"> et al., 2016). The net result of CBE activity is the conversion of C to T (or equivalently G to A on the complementary strand) within the target window, enabling the precise introduction of gain-of-function amino acid substitutions, splice site disruptions, or premature stop codons that mimic naturally occurring beneficial alleles identified from crop wild relatives, landraces, or functional genomic studies. </w:t>
      </w:r>
      <w:proofErr w:type="spellStart"/>
      <w:r w:rsidRPr="0010427D">
        <w:rPr>
          <w:lang w:val="en-GB"/>
        </w:rPr>
        <w:t>Zong</w:t>
      </w:r>
      <w:proofErr w:type="spellEnd"/>
      <w:r w:rsidRPr="0010427D">
        <w:rPr>
          <w:lang w:val="en-GB"/>
        </w:rPr>
        <w:t xml:space="preserve"> et al. (2017) established the applicability of CBEs in major crops by achieving efficient and heritable C-to-T base editing in rice, wheat, and maize with editing efficiencies substantially exceeding those achievable by HDR-mediated precise editing, and with far lower frequencies of unintended chromosomal aberrations.</w:t>
      </w:r>
    </w:p>
    <w:p w:rsidR="009D746E" w:rsidRPr="0010427D" w:rsidRDefault="00D74051" w:rsidP="0010427D">
      <w:pPr>
        <w:pStyle w:val="Heading2"/>
        <w:spacing w:before="100" w:beforeAutospacing="1" w:after="100" w:afterAutospacing="1"/>
        <w:rPr>
          <w:lang w:val="en-GB"/>
        </w:rPr>
      </w:pPr>
      <w:r w:rsidRPr="0010427D">
        <w:rPr>
          <w:lang w:val="en-GB"/>
        </w:rPr>
        <w:t>6.2 Adenine Base Editors</w:t>
      </w:r>
    </w:p>
    <w:p w:rsidR="009D746E" w:rsidRPr="0010427D" w:rsidRDefault="00D74051" w:rsidP="0010427D">
      <w:pPr>
        <w:spacing w:before="100" w:beforeAutospacing="1" w:after="100" w:afterAutospacing="1"/>
        <w:ind w:firstLine="720"/>
        <w:jc w:val="both"/>
        <w:rPr>
          <w:lang w:val="en-GB"/>
        </w:rPr>
      </w:pPr>
      <w:r w:rsidRPr="0010427D">
        <w:rPr>
          <w:lang w:val="en-GB"/>
        </w:rPr>
        <w:t xml:space="preserve">Adenine base editors (ABEs), reported by </w:t>
      </w:r>
      <w:proofErr w:type="spellStart"/>
      <w:r w:rsidRPr="0010427D">
        <w:rPr>
          <w:lang w:val="en-GB"/>
        </w:rPr>
        <w:t>Gaudelli</w:t>
      </w:r>
      <w:proofErr w:type="spellEnd"/>
      <w:r w:rsidRPr="0010427D">
        <w:rPr>
          <w:lang w:val="en-GB"/>
        </w:rPr>
        <w:t xml:space="preserve"> et al. (2017), catalyse the deamination of adenine (A) to inosine (I), which is interpreted as guanine (G) by DNA polymerases, thereby achieving A-to-G (or T-to-C on the complementary strand) transitions. The development of ABEs was technically more challenging than CBEs because no natural enzyme capable of deaminating adenine in a DNA substrate was known at the time. </w:t>
      </w:r>
      <w:proofErr w:type="spellStart"/>
      <w:r w:rsidRPr="0010427D">
        <w:rPr>
          <w:lang w:val="en-GB"/>
        </w:rPr>
        <w:t>Gaudelli</w:t>
      </w:r>
      <w:proofErr w:type="spellEnd"/>
      <w:r w:rsidRPr="0010427D">
        <w:rPr>
          <w:lang w:val="en-GB"/>
        </w:rPr>
        <w:t xml:space="preserve"> et al. overcame this limitation through an extended directed evolution programme that engineered an adenosine deaminase acting on DNA (a mutant form of the Escherichia coli </w:t>
      </w:r>
      <w:proofErr w:type="spellStart"/>
      <w:r w:rsidRPr="0010427D">
        <w:rPr>
          <w:lang w:val="en-GB"/>
        </w:rPr>
        <w:t>TadA</w:t>
      </w:r>
      <w:proofErr w:type="spellEnd"/>
      <w:r w:rsidRPr="0010427D">
        <w:rPr>
          <w:lang w:val="en-GB"/>
        </w:rPr>
        <w:t xml:space="preserve"> enzyme) from an ancestral enzyme that acted only on RNA substrates. The resulting ABE7.10 system, and subsequent iterations with improved efficiency and specificity, enabled all A-to-G transition mutations within the editing window and were rapidly demonstrated in mammalian cells and subsequently in crop plants.</w:t>
      </w:r>
    </w:p>
    <w:p w:rsidR="009D746E" w:rsidRPr="0010427D" w:rsidRDefault="00D74051" w:rsidP="0010427D">
      <w:pPr>
        <w:spacing w:before="100" w:beforeAutospacing="1" w:after="100" w:afterAutospacing="1"/>
        <w:ind w:firstLine="720"/>
        <w:jc w:val="both"/>
        <w:rPr>
          <w:lang w:val="en-GB"/>
        </w:rPr>
      </w:pPr>
      <w:r w:rsidRPr="0010427D">
        <w:rPr>
          <w:lang w:val="en-GB"/>
        </w:rPr>
        <w:t>Li et al. (2018) extended ABE applications to rice and wheat through the construction of plant codon-optimised ABE7.10 constructs and demonstrated efficient A-to-G editing at multiple target loci across both species, with mutation frequencies ranging from a few per cent to over 50 per cent in regenerated plant lines. Subsequent optimisation by Hua et al. (2020) produced simplified ABE variants with improved editing efficiency in rice through modifications to the deaminase domain and Cas9 linker architecture, further enhancing the practical utility of ABE-based editing for crop improvement. The ability to introduce A-to-G transitions complements CBE-mediated C-to-T editing, and together the two base editor classes enable all four possible transition mutations—C·G to T·A, T·A to C·G, A·T to G·C, and G·C to A·T—covering the vast majority of single-nucleotide polymorphisms (SNPs) that distinguish elite from wild-type alleles or that correspond to validated stress-tolerance variants identified in natural populations or experimental screens.</w:t>
      </w:r>
    </w:p>
    <w:p w:rsidR="009D746E" w:rsidRPr="0010427D" w:rsidRDefault="00D74051" w:rsidP="0010427D">
      <w:pPr>
        <w:pStyle w:val="Heading2"/>
        <w:spacing w:before="100" w:beforeAutospacing="1" w:after="100" w:afterAutospacing="1"/>
        <w:rPr>
          <w:lang w:val="en-GB"/>
        </w:rPr>
      </w:pPr>
      <w:r w:rsidRPr="0010427D">
        <w:rPr>
          <w:lang w:val="en-GB"/>
        </w:rPr>
        <w:t>6.3 Base Editing Applications in Climate-Smart Crop Improvement</w:t>
      </w:r>
    </w:p>
    <w:p w:rsidR="009D746E" w:rsidRPr="0010427D" w:rsidRDefault="00D74051" w:rsidP="0010427D">
      <w:pPr>
        <w:spacing w:before="100" w:beforeAutospacing="1" w:after="100" w:afterAutospacing="1"/>
        <w:ind w:firstLine="720"/>
        <w:jc w:val="both"/>
        <w:rPr>
          <w:lang w:val="en-GB"/>
        </w:rPr>
      </w:pPr>
      <w:r w:rsidRPr="0010427D">
        <w:rPr>
          <w:lang w:val="en-GB"/>
        </w:rPr>
        <w:t xml:space="preserve">The precision of base editing—delivering predictable, single-nucleotide changes rather than heterogeneous indels—makes it particularly well suited to engineering climate-adaptive traits governed by functionally characterised SNPs in regulatory or coding sequences. Herbicide tolerance traits, which are important as markers in seed production systems and as agronomic tools for weed control, were amongst the first applications of base editing in crops with direct commercial relevance. Zhang et al. (2019) demonstrated that CBEs could generate herbicide-tolerant alleles of the acetolactate synthase (ALS) gene in wheat through cytosine base editing at positions encoding specific amino acid substitutions known to confer tolerance to </w:t>
      </w:r>
      <w:proofErr w:type="spellStart"/>
      <w:r w:rsidRPr="0010427D">
        <w:rPr>
          <w:lang w:val="en-GB"/>
        </w:rPr>
        <w:t>imidazolinone</w:t>
      </w:r>
      <w:proofErr w:type="spellEnd"/>
      <w:r w:rsidRPr="0010427D">
        <w:rPr>
          <w:lang w:val="en-GB"/>
        </w:rPr>
        <w:t xml:space="preserve"> and sulfonylurea herbicides, with the edited alleles segregating in a Mendelian fashion in subsequent generations. Hua et al. (2020) </w:t>
      </w:r>
      <w:r w:rsidRPr="0010427D">
        <w:rPr>
          <w:lang w:val="en-GB"/>
        </w:rPr>
        <w:lastRenderedPageBreak/>
        <w:t>similarly deployed ABEs to introduce A-to-G changes at ALS loci in rice, demonstrating complementary access to the same gene via the opposite base-editing chemistry.</w:t>
      </w:r>
    </w:p>
    <w:p w:rsidR="009D746E" w:rsidRPr="0010427D" w:rsidRDefault="00D74051" w:rsidP="0010427D">
      <w:pPr>
        <w:spacing w:before="100" w:beforeAutospacing="1" w:after="100" w:afterAutospacing="1"/>
        <w:ind w:firstLine="720"/>
        <w:jc w:val="both"/>
        <w:rPr>
          <w:lang w:val="en-GB"/>
        </w:rPr>
      </w:pPr>
      <w:r w:rsidRPr="0010427D">
        <w:rPr>
          <w:lang w:val="en-GB"/>
        </w:rPr>
        <w:t>More directly relevant to climate stress adaptation, base editing enables the precise recreation in elite genetic backgrounds of naturally occurring alleles identified through comparative genomic analysis of stress-tolerant landraces or wild relatives. This approach—sometimes called "precision breeding" to distinguish it from random mutagenesis—leverages the functional allele diversity that evolution has generated over millennia of adaptation to diverse environments and translates it into elite varieties that combine high yield potential with inherited stress tolerance in a single generation. The capacity to mimic natural allelic variation through base editing, rather than introducing novel sequences, also carries potential advantages in regulatory assessment frameworks that are more permissive towards edits equivalent to those arising from natural mutation.</w:t>
      </w:r>
    </w:p>
    <w:p w:rsidR="009D746E" w:rsidRPr="0010427D" w:rsidRDefault="00D74051" w:rsidP="0010427D">
      <w:pPr>
        <w:spacing w:before="100" w:beforeAutospacing="1" w:after="100" w:afterAutospacing="1"/>
        <w:ind w:firstLine="720"/>
        <w:jc w:val="both"/>
        <w:rPr>
          <w:lang w:val="en-GB"/>
        </w:rPr>
      </w:pPr>
      <w:r w:rsidRPr="0010427D">
        <w:rPr>
          <w:lang w:val="en-GB"/>
        </w:rPr>
        <w:t>Base editing is also proving valuable for fine-tuning stress-responsive regulatory elements through the modification of transcription factor binding sites in gene promoters. Rodríguez-Leal et al. (2017) demonstrated in tomato that CRISPR-induced allelic series in promoter regions controlling quantitative trait loci for fruit architecture could generate a phenotypic continuum compressing decades of natural selection into a single generation. This principle applies equally to base editing of cis-regulatory elements governing the magnitude and kinetics of drought or heat stress transcriptional responses, where subtle changes in transcription factor binding affinity can optimise the balance between constitutive metabolic costs and inducible stress protection. The clean, single-nucleotide nature of base edits facilitates mechanistic interpretation and regulatory transparency relative to the heterogeneous indels of NHEJ-mediated CRISPR editing (Mishra et al., 2018).</w:t>
      </w:r>
    </w:p>
    <w:p w:rsidR="009D746E" w:rsidRPr="0010427D" w:rsidRDefault="00D74051" w:rsidP="0010427D">
      <w:pPr>
        <w:pStyle w:val="Heading1"/>
        <w:spacing w:before="100" w:beforeAutospacing="1" w:after="100" w:afterAutospacing="1"/>
        <w:rPr>
          <w:lang w:val="en-GB"/>
        </w:rPr>
      </w:pPr>
      <w:r w:rsidRPr="0010427D">
        <w:rPr>
          <w:lang w:val="en-GB"/>
        </w:rPr>
        <w:t>7. Prime Editing: Architecture and Crop Prospects</w:t>
      </w:r>
    </w:p>
    <w:p w:rsidR="009D746E" w:rsidRPr="0010427D" w:rsidRDefault="00D74051" w:rsidP="0010427D">
      <w:pPr>
        <w:pStyle w:val="Heading2"/>
        <w:spacing w:before="100" w:beforeAutospacing="1" w:after="100" w:afterAutospacing="1"/>
        <w:rPr>
          <w:lang w:val="en-GB"/>
        </w:rPr>
      </w:pPr>
      <w:r w:rsidRPr="0010427D">
        <w:rPr>
          <w:lang w:val="en-GB"/>
        </w:rPr>
        <w:t>7.1 Mechanism and Design</w:t>
      </w:r>
    </w:p>
    <w:p w:rsidR="009D746E" w:rsidRPr="0010427D" w:rsidRDefault="00D74051" w:rsidP="0010427D">
      <w:pPr>
        <w:spacing w:before="100" w:beforeAutospacing="1" w:after="100" w:afterAutospacing="1"/>
        <w:ind w:firstLine="720"/>
        <w:jc w:val="both"/>
        <w:rPr>
          <w:lang w:val="en-GB"/>
        </w:rPr>
      </w:pPr>
      <w:r w:rsidRPr="0010427D">
        <w:rPr>
          <w:lang w:val="en-GB"/>
        </w:rPr>
        <w:t>Prime editing, introduced by Anzalone et al. (2019), represents the most versatile precise genome editing tool currently available, capable in principle of installing all 12 classes of point mutation as well as small insertions and deletions at any target locus in a genome, without requiring DSBs, homologous recombination, or exogenous donor DNA templates. The prime editing system comprises two molecular components: a prime editor (PE) protein and a prime editing guide RNA (</w:t>
      </w:r>
      <w:proofErr w:type="spellStart"/>
      <w:r w:rsidRPr="0010427D">
        <w:rPr>
          <w:lang w:val="en-GB"/>
        </w:rPr>
        <w:t>pegRNA</w:t>
      </w:r>
      <w:proofErr w:type="spellEnd"/>
      <w:r w:rsidRPr="0010427D">
        <w:rPr>
          <w:lang w:val="en-GB"/>
        </w:rPr>
        <w:t xml:space="preserve">). The PE protein consists of a Cas9 H840A </w:t>
      </w:r>
      <w:proofErr w:type="spellStart"/>
      <w:r w:rsidRPr="0010427D">
        <w:rPr>
          <w:lang w:val="en-GB"/>
        </w:rPr>
        <w:t>nickase</w:t>
      </w:r>
      <w:proofErr w:type="spellEnd"/>
      <w:r w:rsidRPr="0010427D">
        <w:rPr>
          <w:lang w:val="en-GB"/>
        </w:rPr>
        <w:t xml:space="preserve"> domain—which retains the ability to nick the non-template strand but cannot cleave the template strand—fused via an optimised flexible linker to a variant reverse transcriptase (RT) derived from Moloney murine leukaemia virus (M-MLV RT) that has been engineered for improved processivity and thermostability.</w:t>
      </w:r>
    </w:p>
    <w:p w:rsidR="009D746E" w:rsidRPr="0010427D" w:rsidRDefault="00D74051" w:rsidP="0010427D">
      <w:pPr>
        <w:spacing w:before="100" w:beforeAutospacing="1" w:after="100" w:afterAutospacing="1"/>
        <w:ind w:firstLine="720"/>
        <w:jc w:val="both"/>
        <w:rPr>
          <w:lang w:val="en-GB"/>
        </w:rPr>
      </w:pPr>
      <w:r w:rsidRPr="0010427D">
        <w:rPr>
          <w:lang w:val="en-GB"/>
        </w:rPr>
        <w:t xml:space="preserve">The </w:t>
      </w:r>
      <w:proofErr w:type="spellStart"/>
      <w:r w:rsidRPr="0010427D">
        <w:rPr>
          <w:lang w:val="en-GB"/>
        </w:rPr>
        <w:t>pegRNA</w:t>
      </w:r>
      <w:proofErr w:type="spellEnd"/>
      <w:r w:rsidRPr="0010427D">
        <w:rPr>
          <w:lang w:val="en-GB"/>
        </w:rPr>
        <w:t xml:space="preserve"> is structurally distinguished from a conventional sgRNA by the addition of a 3' extension downstream of the scaffold hairpin, comprising two functional regions: a primer binding site (PBS) sequence that is complementary to the nicked non-template strand in the vicinity of the target edit, and a reverse transcription template (RTT) encoding the desired edit flanked by sequences homologous to the target locus. The PE protein is directed to the target site by the protospacer sequence in the </w:t>
      </w:r>
      <w:proofErr w:type="spellStart"/>
      <w:r w:rsidRPr="0010427D">
        <w:rPr>
          <w:lang w:val="en-GB"/>
        </w:rPr>
        <w:t>pegRNA</w:t>
      </w:r>
      <w:proofErr w:type="spellEnd"/>
      <w:r w:rsidRPr="0010427D">
        <w:rPr>
          <w:lang w:val="en-GB"/>
        </w:rPr>
        <w:t xml:space="preserve">, where nicking of the non-template strand creates a free 3'-hydroxyl terminus that hybridises to the PBS of the </w:t>
      </w:r>
      <w:proofErr w:type="spellStart"/>
      <w:r w:rsidRPr="0010427D">
        <w:rPr>
          <w:lang w:val="en-GB"/>
        </w:rPr>
        <w:t>pegRNA</w:t>
      </w:r>
      <w:proofErr w:type="spellEnd"/>
      <w:r w:rsidRPr="0010427D">
        <w:rPr>
          <w:lang w:val="en-GB"/>
        </w:rPr>
        <w:t xml:space="preserve"> 3' extension. The M-MLV RT component then synthesises a new DNA strand using the RTT as a template, incorporating the desired edit, and the resulting edited flap is incorporated into </w:t>
      </w:r>
      <w:r w:rsidRPr="0010427D">
        <w:rPr>
          <w:lang w:val="en-GB"/>
        </w:rPr>
        <w:lastRenderedPageBreak/>
        <w:t xml:space="preserve">the genome through strand displacement, 5' flap removal, and mismatch repair processes. The complete sequence alteration installed at the target locus is thus entirely specified by the RTT sequence in the </w:t>
      </w:r>
      <w:proofErr w:type="spellStart"/>
      <w:r w:rsidRPr="0010427D">
        <w:rPr>
          <w:lang w:val="en-GB"/>
        </w:rPr>
        <w:t>pegRNA</w:t>
      </w:r>
      <w:proofErr w:type="spellEnd"/>
      <w:r w:rsidRPr="0010427D">
        <w:rPr>
          <w:lang w:val="en-GB"/>
        </w:rPr>
        <w:t>, providing sequence-level control of the editing outcome not achievable by any earlier technology (Anzalone et al., 2019).</w:t>
      </w:r>
    </w:p>
    <w:p w:rsidR="009D746E" w:rsidRPr="0010427D" w:rsidRDefault="00D74051" w:rsidP="0010427D">
      <w:pPr>
        <w:spacing w:before="100" w:beforeAutospacing="1" w:after="100" w:afterAutospacing="1"/>
        <w:ind w:firstLine="720"/>
        <w:jc w:val="both"/>
        <w:rPr>
          <w:lang w:val="en-GB"/>
        </w:rPr>
      </w:pPr>
      <w:r w:rsidRPr="0010427D">
        <w:rPr>
          <w:lang w:val="en-GB"/>
        </w:rPr>
        <w:t xml:space="preserve">Successive generations of PE systems have progressively improved editing efficiency and reduced indel by-products. PE2 incorporated engineered M-MLV RT mutations (D200N, L603W, T306K, W313F, T330P) that enhance RT processivity and </w:t>
      </w:r>
      <w:proofErr w:type="gramStart"/>
      <w:r w:rsidRPr="0010427D">
        <w:rPr>
          <w:lang w:val="en-GB"/>
        </w:rPr>
        <w:t>DNA:RNA</w:t>
      </w:r>
      <w:proofErr w:type="gramEnd"/>
      <w:r w:rsidRPr="0010427D">
        <w:rPr>
          <w:lang w:val="en-GB"/>
        </w:rPr>
        <w:t xml:space="preserve"> hybrid stability relative to the wild-type enzyme. PE3 supplemented the PE2 system with a second sgRNA that nicks the opposite (non-edited) strand, biasing cellular mismatch repair towards incorporation of the edited strand and substantially improving editing efficiency at many loci. PE3b designates a PE3 variant in which the second-nick sgRNA sequence is designed to preferentially recognise the unedited allele, reducing indel formation that can arise from concurrent nicking of both strands. More advanced iterations—PE4, PE5, and </w:t>
      </w:r>
      <w:proofErr w:type="spellStart"/>
      <w:r w:rsidRPr="0010427D">
        <w:rPr>
          <w:lang w:val="en-GB"/>
        </w:rPr>
        <w:t>epegRNA</w:t>
      </w:r>
      <w:proofErr w:type="spellEnd"/>
      <w:r w:rsidRPr="0010427D">
        <w:rPr>
          <w:lang w:val="en-GB"/>
        </w:rPr>
        <w:t xml:space="preserve">-enhanced systems—incorporate dominant-negative MLH1 variants that transiently suppress mismatch repair, further enhancing edit incorporation rates, and chemically modified </w:t>
      </w:r>
      <w:proofErr w:type="spellStart"/>
      <w:r w:rsidRPr="0010427D">
        <w:rPr>
          <w:lang w:val="en-GB"/>
        </w:rPr>
        <w:t>pegRNAs</w:t>
      </w:r>
      <w:proofErr w:type="spellEnd"/>
      <w:r w:rsidRPr="0010427D">
        <w:rPr>
          <w:lang w:val="en-GB"/>
        </w:rPr>
        <w:t xml:space="preserve"> with 3' end-protective motifs that improve </w:t>
      </w:r>
      <w:proofErr w:type="spellStart"/>
      <w:r w:rsidRPr="0010427D">
        <w:rPr>
          <w:lang w:val="en-GB"/>
        </w:rPr>
        <w:t>pegRNA</w:t>
      </w:r>
      <w:proofErr w:type="spellEnd"/>
      <w:r w:rsidRPr="0010427D">
        <w:rPr>
          <w:lang w:val="en-GB"/>
        </w:rPr>
        <w:t xml:space="preserve"> stability (Anzalone et al., 2019).</w:t>
      </w:r>
    </w:p>
    <w:p w:rsidR="009D746E" w:rsidRPr="0010427D" w:rsidRDefault="00D74051" w:rsidP="0010427D">
      <w:pPr>
        <w:pStyle w:val="Heading2"/>
        <w:spacing w:before="100" w:beforeAutospacing="1" w:after="100" w:afterAutospacing="1"/>
        <w:rPr>
          <w:lang w:val="en-GB"/>
        </w:rPr>
      </w:pPr>
      <w:r w:rsidRPr="0010427D">
        <w:rPr>
          <w:lang w:val="en-GB"/>
        </w:rPr>
        <w:t>7.2 Current Progress in Prime Editing in Crop Systems</w:t>
      </w:r>
    </w:p>
    <w:p w:rsidR="009D746E" w:rsidRPr="0010427D" w:rsidRDefault="00D74051" w:rsidP="0010427D">
      <w:pPr>
        <w:spacing w:before="100" w:beforeAutospacing="1" w:after="100" w:afterAutospacing="1"/>
        <w:ind w:firstLine="720"/>
        <w:jc w:val="both"/>
        <w:rPr>
          <w:lang w:val="en-GB"/>
        </w:rPr>
      </w:pPr>
      <w:r w:rsidRPr="0010427D">
        <w:rPr>
          <w:lang w:val="en-GB"/>
        </w:rPr>
        <w:t xml:space="preserve">Prime editing was demonstrated in rice and wheat within approximately one year of its original description in human cell lines. Lin et al. (2020) reported successful prime editing in Oryza sativa and Triticum </w:t>
      </w:r>
      <w:proofErr w:type="spellStart"/>
      <w:r w:rsidRPr="0010427D">
        <w:rPr>
          <w:lang w:val="en-GB"/>
        </w:rPr>
        <w:t>aestivum</w:t>
      </w:r>
      <w:proofErr w:type="spellEnd"/>
      <w:r w:rsidRPr="0010427D">
        <w:rPr>
          <w:lang w:val="en-GB"/>
        </w:rPr>
        <w:t xml:space="preserve"> using PE2 and PE3 systems delivered via polyethylene glycol (PEG)-mediated protoplast transfection in both species, and via Agrobacterium tumefaciens-mediated transformation for the regeneration of stably edited rice plants. The study achieved detectable editing frequencies at multiple target loci and for multiple edit types including all 12 classes of single-base substitution, as well as small insertions and deletions, demonstrating the versatility of prime editing in both monocot species. Regenerated prime-edited rice plants were confirmed at frequencies of up to 21.8%, and editing events were transmissible to the T1 generation without further PE construct integration, confirming germline inheritance—a prerequisite for integration into practical plant breeding workflows. Editing efficiency in this initial demonstration was modest relative to NHEJ-mediated CRISPR editing, but the precision and versatility of the approach were unequivocally demonstrated for plant genomes.</w:t>
      </w:r>
    </w:p>
    <w:p w:rsidR="009D746E" w:rsidRPr="0010427D" w:rsidRDefault="00D74051" w:rsidP="0010427D">
      <w:pPr>
        <w:spacing w:before="100" w:beforeAutospacing="1" w:after="100" w:afterAutospacing="1"/>
        <w:ind w:firstLine="720"/>
        <w:jc w:val="both"/>
        <w:rPr>
          <w:lang w:val="en-GB"/>
        </w:rPr>
      </w:pPr>
      <w:r w:rsidRPr="0010427D">
        <w:rPr>
          <w:lang w:val="en-GB"/>
        </w:rPr>
        <w:t xml:space="preserve">Subsequent optimisation studies have improved prime editing performance in rice through several strategies, including </w:t>
      </w:r>
      <w:proofErr w:type="spellStart"/>
      <w:r w:rsidRPr="0010427D">
        <w:rPr>
          <w:lang w:val="en-GB"/>
        </w:rPr>
        <w:t>pegRNA</w:t>
      </w:r>
      <w:proofErr w:type="spellEnd"/>
      <w:r w:rsidRPr="0010427D">
        <w:rPr>
          <w:lang w:val="en-GB"/>
        </w:rPr>
        <w:t xml:space="preserve"> scaffold engineering to improve structural stability, systematic optimisation of PBS length and RTT sequence composition for each target locus, use of plant codon-optimised prime editor coding sequences with nuclear localisation signals calibrated for monocot cell entry, and selection of target loci with favourable chromatin accessibility. The use of </w:t>
      </w:r>
      <w:proofErr w:type="spellStart"/>
      <w:r w:rsidRPr="0010427D">
        <w:rPr>
          <w:lang w:val="en-GB"/>
        </w:rPr>
        <w:t>epegRNA</w:t>
      </w:r>
      <w:proofErr w:type="spellEnd"/>
      <w:r w:rsidRPr="0010427D">
        <w:rPr>
          <w:lang w:val="en-GB"/>
        </w:rPr>
        <w:t xml:space="preserve"> designs incorporating engineered 3' motifs—such as pseudoknot-stabilised extensions—that protect the </w:t>
      </w:r>
      <w:proofErr w:type="spellStart"/>
      <w:r w:rsidRPr="0010427D">
        <w:rPr>
          <w:lang w:val="en-GB"/>
        </w:rPr>
        <w:t>pegRNA</w:t>
      </w:r>
      <w:proofErr w:type="spellEnd"/>
      <w:r w:rsidRPr="0010427D">
        <w:rPr>
          <w:lang w:val="en-GB"/>
        </w:rPr>
        <w:t xml:space="preserve"> 3' extension from nucleolytic degradation has been particularly impactful in improving editing efficiency in plant cells. Despite these advances, prime editing efficiency in crops typically remains substantially lower than CRISPR-Cas9 NHEJ editing or base editing, particularly for insertions longer than a few nucleotides and for target sites with suboptimal </w:t>
      </w:r>
      <w:proofErr w:type="spellStart"/>
      <w:r w:rsidRPr="0010427D">
        <w:rPr>
          <w:lang w:val="en-GB"/>
        </w:rPr>
        <w:t>pegRNA</w:t>
      </w:r>
      <w:proofErr w:type="spellEnd"/>
      <w:r w:rsidRPr="0010427D">
        <w:rPr>
          <w:lang w:val="en-GB"/>
        </w:rPr>
        <w:t xml:space="preserve"> features, and the delivery of the substantially larger PE construct into plant cells presents additional logistical challenges compared to the smaller components of base editor systems (Lin et al., 2020).</w:t>
      </w:r>
    </w:p>
    <w:p w:rsidR="009D746E" w:rsidRPr="0010427D" w:rsidRDefault="00D74051" w:rsidP="0010427D">
      <w:pPr>
        <w:spacing w:before="100" w:beforeAutospacing="1" w:after="100" w:afterAutospacing="1"/>
        <w:ind w:firstLine="720"/>
        <w:jc w:val="both"/>
        <w:rPr>
          <w:lang w:val="en-GB"/>
        </w:rPr>
      </w:pPr>
      <w:r w:rsidRPr="0010427D">
        <w:rPr>
          <w:lang w:val="en-GB"/>
        </w:rPr>
        <w:lastRenderedPageBreak/>
        <w:t>The strategic value of prime editing for climate-smart crop improvement lies precisely in its capacity to install complex, specific alleles that are beyond the reach of either CRISPR-Cas9 NHEJ or base editing. For climate applications, prime editing could be used to introduce stress-tolerance alleles identified from population genomic studies of drought-adapted landraces that involve transversion mutations not accessible to CBEs or ABEs, to generate precisely tailored promoter modifications altering the binding affinity of stress-responsive transcription factors without affecting overall promoter architecture, or to install small functional peptide sequences that confer improved protein stability or altered signalling properties under high temperature. The comprehensive edit range of prime editing, combined with its avoidance of DSBs and donor templates, positions it as a critical complementary tool in the precision breeding toolkit even if its current efficiency constraints require further development before it becomes the standard tool for routine crop improvement applications.</w:t>
      </w:r>
    </w:p>
    <w:p w:rsidR="009D746E" w:rsidRPr="0010427D" w:rsidRDefault="00D74051" w:rsidP="0010427D">
      <w:pPr>
        <w:pStyle w:val="Heading1"/>
        <w:spacing w:before="100" w:beforeAutospacing="1" w:after="100" w:afterAutospacing="1"/>
        <w:rPr>
          <w:lang w:val="en-GB"/>
        </w:rPr>
      </w:pPr>
      <w:r w:rsidRPr="0010427D">
        <w:rPr>
          <w:lang w:val="en-GB"/>
        </w:rPr>
        <w:t>8. Comparative Assessment of CRISPR, Base Editing, and Prime Editing</w:t>
      </w:r>
    </w:p>
    <w:p w:rsidR="009D746E" w:rsidRPr="0010427D" w:rsidRDefault="00D74051" w:rsidP="0010427D">
      <w:pPr>
        <w:spacing w:before="100" w:beforeAutospacing="1" w:after="100" w:afterAutospacing="1"/>
        <w:ind w:firstLine="720"/>
        <w:jc w:val="both"/>
        <w:rPr>
          <w:lang w:val="en-GB"/>
        </w:rPr>
      </w:pPr>
      <w:r w:rsidRPr="0010427D">
        <w:rPr>
          <w:lang w:val="en-GB"/>
        </w:rPr>
        <w:t xml:space="preserve">The three genome editing platforms occupy distinct and complementary niches in the landscape of precision crop improvement, and their relative merits are best understood in relation to the nature of the desired genomic change, the biological system in which editing is being performed, and the regulatory context in which edited varieties will be assessed. Table 1 provides a structured comparison of the three platforms across multiple technically and agriculturally relevant dimensions. CRISPR-Cas9-mediated NHEJ editing remains the most broadly applicable tool for applications requiring gene disruption: the knockout of susceptibility genes, negative regulatory elements, or redundant </w:t>
      </w:r>
      <w:proofErr w:type="spellStart"/>
      <w:r w:rsidRPr="0010427D">
        <w:rPr>
          <w:lang w:val="en-GB"/>
        </w:rPr>
        <w:t>homeologous</w:t>
      </w:r>
      <w:proofErr w:type="spellEnd"/>
      <w:r w:rsidRPr="0010427D">
        <w:rPr>
          <w:lang w:val="en-GB"/>
        </w:rPr>
        <w:t xml:space="preserve"> gene copies that suppress stress-adaptive responses. It is technically simpler than base editing or prime editing, achieves the highest editing efficiencies in most crop species, and benefits from the widest established body of optimisation protocols, transformation pipelines, and molecular screening approaches. Its principal limitation is the stochastic and often heterogeneous nature of the resulting indel, which, whilst functionally adequate for complete knockouts, is poorly suited to applications requiring the installation of specific beneficial alleles, promoter modifications, or alterations to conserved protein domains where defined sequence identity is critical.</w:t>
      </w:r>
    </w:p>
    <w:p w:rsidR="009D746E" w:rsidRPr="0010427D" w:rsidRDefault="00D74051" w:rsidP="0010427D">
      <w:pPr>
        <w:spacing w:before="100" w:beforeAutospacing="1" w:after="100" w:afterAutospacing="1"/>
        <w:ind w:firstLine="720"/>
        <w:jc w:val="both"/>
        <w:rPr>
          <w:lang w:val="en-GB"/>
        </w:rPr>
      </w:pPr>
      <w:r w:rsidRPr="0010427D">
        <w:rPr>
          <w:lang w:val="en-GB"/>
        </w:rPr>
        <w:t xml:space="preserve">Base editing occupies an intermediate position in terms of edit versatility, offering single-nucleotide transitions at defined positions with precision and efficiency substantially exceeding HDR-mediated editing. CBEs and ABEs are the tools of choice when the target allele requires a specific C-to-T or A-to-G change corresponding to a naturally occurring adaptive variant or an experimentally validated functional modification. Together, the two classes of base editor enable all four possible transition mutations without DSB formation, covering the majority of single-nucleotide changes required to mimic characterised natural alleles. Their main limitations are the restriction to transition mutations—transversions (such as A-to-C or G-to-T), insertions, and deletions cannot be generated—the confinement of editing to a defined window within the protospacer (which may not encompass the target base for all loci), the potential for bystander editing of cytosines or adenines adjacent to the target base within the editing window, and the risk of RNA off-target editing attributable to deaminase activity on endogenous RNA transcripts. </w:t>
      </w:r>
      <w:proofErr w:type="spellStart"/>
      <w:r w:rsidRPr="0010427D">
        <w:rPr>
          <w:lang w:val="en-GB"/>
        </w:rPr>
        <w:t>Zong</w:t>
      </w:r>
      <w:proofErr w:type="spellEnd"/>
      <w:r w:rsidRPr="0010427D">
        <w:rPr>
          <w:lang w:val="en-GB"/>
        </w:rPr>
        <w:t xml:space="preserve"> et al. (2017) and Li et al. (2018) demonstrated that bystander editing can be minimised by careful selection of guide RNAs positioning the target base in isolation within the editing window, and that off-target DNA editing is low with well-designed guide sequences, but these considerations require explicit experimental assessment for each application.</w:t>
      </w:r>
    </w:p>
    <w:p w:rsidR="009D746E" w:rsidRPr="0010427D" w:rsidRDefault="00D74051" w:rsidP="0010427D">
      <w:pPr>
        <w:spacing w:before="100" w:beforeAutospacing="1" w:after="100" w:afterAutospacing="1"/>
        <w:ind w:firstLine="720"/>
        <w:jc w:val="both"/>
        <w:rPr>
          <w:lang w:val="en-GB"/>
        </w:rPr>
      </w:pPr>
      <w:r w:rsidRPr="0010427D">
        <w:rPr>
          <w:lang w:val="en-GB"/>
        </w:rPr>
        <w:lastRenderedPageBreak/>
        <w:t xml:space="preserve">Prime editing is the most versatile of the three platforms, theoretically capable of generating any point mutation—including transversions—as well as small insertions and deletions at any target locus. Its current limitations are principally technical: editing efficiency in crops generally remains lower than the other two platforms and is highly dependent on </w:t>
      </w:r>
      <w:proofErr w:type="spellStart"/>
      <w:r w:rsidRPr="0010427D">
        <w:rPr>
          <w:lang w:val="en-GB"/>
        </w:rPr>
        <w:t>pegRNA</w:t>
      </w:r>
      <w:proofErr w:type="spellEnd"/>
      <w:r w:rsidRPr="0010427D">
        <w:rPr>
          <w:lang w:val="en-GB"/>
        </w:rPr>
        <w:t xml:space="preserve"> design parameters, target locus chromatin features, and delivery method. The larger size of the prime editor construct, combining Cas9 </w:t>
      </w:r>
      <w:proofErr w:type="spellStart"/>
      <w:r w:rsidRPr="0010427D">
        <w:rPr>
          <w:lang w:val="en-GB"/>
        </w:rPr>
        <w:t>nickase</w:t>
      </w:r>
      <w:proofErr w:type="spellEnd"/>
      <w:r w:rsidRPr="0010427D">
        <w:rPr>
          <w:lang w:val="en-GB"/>
        </w:rPr>
        <w:t>, reverse transcriptase, and two RNA components (</w:t>
      </w:r>
      <w:proofErr w:type="spellStart"/>
      <w:r w:rsidRPr="0010427D">
        <w:rPr>
          <w:lang w:val="en-GB"/>
        </w:rPr>
        <w:t>pegRNA</w:t>
      </w:r>
      <w:proofErr w:type="spellEnd"/>
      <w:r w:rsidRPr="0010427D">
        <w:rPr>
          <w:lang w:val="en-GB"/>
        </w:rPr>
        <w:t xml:space="preserve"> and optional second-nick sgRNA), creates challenges for delivery via size-constrained viral vectors or Agrobacterium systems with cargo limitations. However, the fundamental capability to install any desired sequence change with precision, without foreign DNA integration or DSB-associated genome instability, positions prime editing as the platform best suited to realising the full scope of precision breeding—particularly as </w:t>
      </w:r>
      <w:proofErr w:type="spellStart"/>
      <w:r w:rsidRPr="0010427D">
        <w:rPr>
          <w:lang w:val="en-GB"/>
        </w:rPr>
        <w:t>pegRNA</w:t>
      </w:r>
      <w:proofErr w:type="spellEnd"/>
      <w:r w:rsidRPr="0010427D">
        <w:rPr>
          <w:lang w:val="en-GB"/>
        </w:rPr>
        <w:t xml:space="preserve"> design tools are refined, delivery technologies improve, and efficiency optimisation protocols become established for major crop species.</w:t>
      </w:r>
    </w:p>
    <w:p w:rsidR="009D746E" w:rsidRPr="0010427D" w:rsidRDefault="00D74051" w:rsidP="0010427D">
      <w:pPr>
        <w:spacing w:before="100" w:beforeAutospacing="1" w:after="100" w:afterAutospacing="1"/>
        <w:ind w:firstLine="720"/>
        <w:jc w:val="both"/>
        <w:rPr>
          <w:lang w:val="en-GB"/>
        </w:rPr>
      </w:pPr>
      <w:r w:rsidRPr="0010427D">
        <w:rPr>
          <w:lang w:val="en-GB"/>
        </w:rPr>
        <w:t>These three platforms are increasingly used in complementary combinations within single research programmes. An optimal integrated strategy for climate-adaptive crop improvement might employ CRISPR-Cas9 NHEJ editing to simultaneously knock out multiple susceptibility loci and negative regulators, base editing to introduce specific beneficial SNPs in regulatory elements and coding sequences, and prime editing to install more complex alleles identified from comparative genomic analyses—all within a single crop breeding cycle. The development of orthogonal Cas variants with non-overlapping PAM requirements, enabling simultaneous deployment of different editing modalities targeting distinct loci, makes such multi-layered editing strategies increasingly tractable (</w:t>
      </w:r>
      <w:proofErr w:type="spellStart"/>
      <w:r w:rsidRPr="0010427D">
        <w:rPr>
          <w:lang w:val="en-GB"/>
        </w:rPr>
        <w:t>Puchta</w:t>
      </w:r>
      <w:proofErr w:type="spellEnd"/>
      <w:r w:rsidRPr="0010427D">
        <w:rPr>
          <w:lang w:val="en-GB"/>
        </w:rPr>
        <w:t>, 2017; Chen et al., 2019).</w:t>
      </w:r>
    </w:p>
    <w:p w:rsidR="009D746E" w:rsidRPr="0010427D" w:rsidRDefault="009D746E" w:rsidP="0010427D">
      <w:pPr>
        <w:spacing w:before="100" w:beforeAutospacing="1" w:after="100" w:afterAutospacing="1"/>
        <w:rPr>
          <w:lang w:val="en-GB"/>
        </w:rPr>
      </w:pPr>
    </w:p>
    <w:p w:rsidR="009D746E" w:rsidRPr="0010427D" w:rsidRDefault="00D74051" w:rsidP="0010427D">
      <w:pPr>
        <w:spacing w:before="100" w:beforeAutospacing="1" w:after="100" w:afterAutospacing="1"/>
        <w:jc w:val="center"/>
        <w:rPr>
          <w:lang w:val="en-GB"/>
        </w:rPr>
      </w:pPr>
      <w:r w:rsidRPr="0010427D">
        <w:rPr>
          <w:b/>
          <w:bCs/>
          <w:lang w:val="en-GB"/>
        </w:rPr>
        <w:t>Table 1. Comparative summary of CRISPR-Cas9 (NHEJ), base editing, and prime editing for climate-smart crop improvement.</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60"/>
        <w:gridCol w:w="1980"/>
        <w:gridCol w:w="1980"/>
        <w:gridCol w:w="1980"/>
        <w:gridCol w:w="1260"/>
      </w:tblGrid>
      <w:tr w:rsidR="009D746E" w:rsidRPr="0010427D">
        <w:tc>
          <w:tcPr>
            <w:tcW w:w="2160" w:type="dxa"/>
            <w:tcBorders>
              <w:top w:val="single" w:sz="1" w:space="0" w:color="999999"/>
              <w:left w:val="single" w:sz="1" w:space="0" w:color="999999"/>
              <w:bottom w:val="single" w:sz="1" w:space="0" w:color="999999"/>
              <w:right w:val="single" w:sz="1" w:space="0" w:color="999999"/>
            </w:tcBorders>
            <w:shd w:val="clear" w:color="auto" w:fill="D9E2F3"/>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b/>
                <w:bCs/>
                <w:sz w:val="20"/>
                <w:szCs w:val="20"/>
                <w:lang w:val="en-GB"/>
              </w:rPr>
              <w:t>Feature</w:t>
            </w:r>
          </w:p>
        </w:tc>
        <w:tc>
          <w:tcPr>
            <w:tcW w:w="1980" w:type="dxa"/>
            <w:tcBorders>
              <w:top w:val="single" w:sz="1" w:space="0" w:color="999999"/>
              <w:left w:val="single" w:sz="1" w:space="0" w:color="999999"/>
              <w:bottom w:val="single" w:sz="1" w:space="0" w:color="999999"/>
              <w:right w:val="single" w:sz="1" w:space="0" w:color="999999"/>
            </w:tcBorders>
            <w:shd w:val="clear" w:color="auto" w:fill="D9E2F3"/>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b/>
                <w:bCs/>
                <w:sz w:val="20"/>
                <w:szCs w:val="20"/>
                <w:lang w:val="en-GB"/>
              </w:rPr>
              <w:t>CRISPR-Cas9 (NHEJ)</w:t>
            </w:r>
          </w:p>
        </w:tc>
        <w:tc>
          <w:tcPr>
            <w:tcW w:w="1980" w:type="dxa"/>
            <w:tcBorders>
              <w:top w:val="single" w:sz="1" w:space="0" w:color="999999"/>
              <w:left w:val="single" w:sz="1" w:space="0" w:color="999999"/>
              <w:bottom w:val="single" w:sz="1" w:space="0" w:color="999999"/>
              <w:right w:val="single" w:sz="1" w:space="0" w:color="999999"/>
            </w:tcBorders>
            <w:shd w:val="clear" w:color="auto" w:fill="D9E2F3"/>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b/>
                <w:bCs/>
                <w:sz w:val="20"/>
                <w:szCs w:val="20"/>
                <w:lang w:val="en-GB"/>
              </w:rPr>
              <w:t>Base Editing (CBE/ABE)</w:t>
            </w:r>
          </w:p>
        </w:tc>
        <w:tc>
          <w:tcPr>
            <w:tcW w:w="1980" w:type="dxa"/>
            <w:tcBorders>
              <w:top w:val="single" w:sz="1" w:space="0" w:color="999999"/>
              <w:left w:val="single" w:sz="1" w:space="0" w:color="999999"/>
              <w:bottom w:val="single" w:sz="1" w:space="0" w:color="999999"/>
              <w:right w:val="single" w:sz="1" w:space="0" w:color="999999"/>
            </w:tcBorders>
            <w:shd w:val="clear" w:color="auto" w:fill="D9E2F3"/>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b/>
                <w:bCs/>
                <w:sz w:val="20"/>
                <w:szCs w:val="20"/>
                <w:lang w:val="en-GB"/>
              </w:rPr>
              <w:t>Prime Editing</w:t>
            </w:r>
          </w:p>
        </w:tc>
        <w:tc>
          <w:tcPr>
            <w:tcW w:w="1260" w:type="dxa"/>
            <w:tcBorders>
              <w:top w:val="single" w:sz="1" w:space="0" w:color="999999"/>
              <w:left w:val="single" w:sz="1" w:space="0" w:color="999999"/>
              <w:bottom w:val="single" w:sz="1" w:space="0" w:color="999999"/>
              <w:right w:val="single" w:sz="1" w:space="0" w:color="999999"/>
            </w:tcBorders>
            <w:shd w:val="clear" w:color="auto" w:fill="D9E2F3"/>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b/>
                <w:bCs/>
                <w:sz w:val="20"/>
                <w:szCs w:val="20"/>
                <w:lang w:val="en-GB"/>
              </w:rPr>
              <w:t>Key Refs</w:t>
            </w:r>
          </w:p>
        </w:tc>
      </w:tr>
      <w:tr w:rsidR="009D746E" w:rsidRPr="0010427D">
        <w:tc>
          <w:tcPr>
            <w:tcW w:w="216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Edit Type</w:t>
            </w:r>
          </w:p>
        </w:tc>
        <w:tc>
          <w:tcPr>
            <w:tcW w:w="198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Indels (knockout)</w:t>
            </w:r>
          </w:p>
        </w:tc>
        <w:tc>
          <w:tcPr>
            <w:tcW w:w="198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C→T or A→G transitions</w:t>
            </w:r>
          </w:p>
        </w:tc>
        <w:tc>
          <w:tcPr>
            <w:tcW w:w="198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All 12 point mutations; small indels</w:t>
            </w:r>
          </w:p>
        </w:tc>
        <w:tc>
          <w:tcPr>
            <w:tcW w:w="126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proofErr w:type="spellStart"/>
            <w:r w:rsidRPr="0010427D">
              <w:rPr>
                <w:sz w:val="20"/>
                <w:szCs w:val="20"/>
                <w:lang w:val="en-GB"/>
              </w:rPr>
              <w:t>Jinek</w:t>
            </w:r>
            <w:proofErr w:type="spellEnd"/>
            <w:r w:rsidRPr="0010427D">
              <w:rPr>
                <w:sz w:val="20"/>
                <w:szCs w:val="20"/>
                <w:lang w:val="en-GB"/>
              </w:rPr>
              <w:t xml:space="preserve"> et al., 2012; </w:t>
            </w:r>
            <w:proofErr w:type="spellStart"/>
            <w:r w:rsidRPr="0010427D">
              <w:rPr>
                <w:sz w:val="20"/>
                <w:szCs w:val="20"/>
                <w:lang w:val="en-GB"/>
              </w:rPr>
              <w:t>Komor</w:t>
            </w:r>
            <w:proofErr w:type="spellEnd"/>
            <w:r w:rsidRPr="0010427D">
              <w:rPr>
                <w:sz w:val="20"/>
                <w:szCs w:val="20"/>
                <w:lang w:val="en-GB"/>
              </w:rPr>
              <w:t xml:space="preserve"> et al., 2016; Anzalone et al., 2019</w:t>
            </w:r>
          </w:p>
        </w:tc>
      </w:tr>
      <w:tr w:rsidR="009D746E" w:rsidRPr="0010427D">
        <w:tc>
          <w:tcPr>
            <w:tcW w:w="21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DSB Required?</w:t>
            </w:r>
          </w:p>
        </w:tc>
        <w:tc>
          <w:tcPr>
            <w:tcW w:w="198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Yes</w:t>
            </w:r>
          </w:p>
        </w:tc>
        <w:tc>
          <w:tcPr>
            <w:tcW w:w="198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No</w:t>
            </w:r>
          </w:p>
        </w:tc>
        <w:tc>
          <w:tcPr>
            <w:tcW w:w="198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No (nick only)</w:t>
            </w:r>
          </w:p>
        </w:tc>
        <w:tc>
          <w:tcPr>
            <w:tcW w:w="12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rsidR="009D746E" w:rsidRPr="0010427D" w:rsidRDefault="009D746E" w:rsidP="0010427D">
            <w:pPr>
              <w:spacing w:before="100" w:beforeAutospacing="1" w:after="100" w:afterAutospacing="1"/>
              <w:jc w:val="center"/>
              <w:rPr>
                <w:lang w:val="en-GB"/>
              </w:rPr>
            </w:pPr>
          </w:p>
        </w:tc>
      </w:tr>
      <w:tr w:rsidR="009D746E" w:rsidRPr="0010427D">
        <w:tc>
          <w:tcPr>
            <w:tcW w:w="216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Donor DNA Required?</w:t>
            </w:r>
          </w:p>
        </w:tc>
        <w:tc>
          <w:tcPr>
            <w:tcW w:w="198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No (NHEJ); Yes (HDR)</w:t>
            </w:r>
          </w:p>
        </w:tc>
        <w:tc>
          <w:tcPr>
            <w:tcW w:w="198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No</w:t>
            </w:r>
          </w:p>
        </w:tc>
        <w:tc>
          <w:tcPr>
            <w:tcW w:w="198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No</w:t>
            </w:r>
          </w:p>
        </w:tc>
        <w:tc>
          <w:tcPr>
            <w:tcW w:w="126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rsidR="009D746E" w:rsidRPr="0010427D" w:rsidRDefault="009D746E" w:rsidP="0010427D">
            <w:pPr>
              <w:spacing w:before="100" w:beforeAutospacing="1" w:after="100" w:afterAutospacing="1"/>
              <w:jc w:val="center"/>
              <w:rPr>
                <w:lang w:val="en-GB"/>
              </w:rPr>
            </w:pPr>
          </w:p>
        </w:tc>
      </w:tr>
      <w:tr w:rsidR="009D746E" w:rsidRPr="0010427D">
        <w:tc>
          <w:tcPr>
            <w:tcW w:w="21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Editing Efficiency in Crops</w:t>
            </w:r>
          </w:p>
        </w:tc>
        <w:tc>
          <w:tcPr>
            <w:tcW w:w="198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High</w:t>
            </w:r>
          </w:p>
        </w:tc>
        <w:tc>
          <w:tcPr>
            <w:tcW w:w="198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Moderate–High</w:t>
            </w:r>
          </w:p>
        </w:tc>
        <w:tc>
          <w:tcPr>
            <w:tcW w:w="198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Low–Moderate</w:t>
            </w:r>
          </w:p>
        </w:tc>
        <w:tc>
          <w:tcPr>
            <w:tcW w:w="12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proofErr w:type="spellStart"/>
            <w:r w:rsidRPr="0010427D">
              <w:rPr>
                <w:sz w:val="20"/>
                <w:szCs w:val="20"/>
                <w:lang w:val="en-GB"/>
              </w:rPr>
              <w:t>Zong</w:t>
            </w:r>
            <w:proofErr w:type="spellEnd"/>
            <w:r w:rsidRPr="0010427D">
              <w:rPr>
                <w:sz w:val="20"/>
                <w:szCs w:val="20"/>
                <w:lang w:val="en-GB"/>
              </w:rPr>
              <w:t xml:space="preserve"> et al., 2017; Lin et al., 2020</w:t>
            </w:r>
          </w:p>
        </w:tc>
      </w:tr>
      <w:tr w:rsidR="009D746E" w:rsidRPr="0010427D">
        <w:tc>
          <w:tcPr>
            <w:tcW w:w="216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Off-target Risk</w:t>
            </w:r>
          </w:p>
        </w:tc>
        <w:tc>
          <w:tcPr>
            <w:tcW w:w="198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Moderate</w:t>
            </w:r>
          </w:p>
        </w:tc>
        <w:tc>
          <w:tcPr>
            <w:tcW w:w="198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Low (DNA); RNA OT risk</w:t>
            </w:r>
          </w:p>
        </w:tc>
        <w:tc>
          <w:tcPr>
            <w:tcW w:w="198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Low–Moderate</w:t>
            </w:r>
          </w:p>
        </w:tc>
        <w:tc>
          <w:tcPr>
            <w:tcW w:w="126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rsidR="009D746E" w:rsidRPr="0010427D" w:rsidRDefault="009D746E" w:rsidP="0010427D">
            <w:pPr>
              <w:spacing w:before="100" w:beforeAutospacing="1" w:after="100" w:afterAutospacing="1"/>
              <w:jc w:val="center"/>
              <w:rPr>
                <w:lang w:val="en-GB"/>
              </w:rPr>
            </w:pPr>
          </w:p>
        </w:tc>
      </w:tr>
      <w:tr w:rsidR="009D746E" w:rsidRPr="0010427D">
        <w:tc>
          <w:tcPr>
            <w:tcW w:w="21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Multiplex Capability</w:t>
            </w:r>
          </w:p>
        </w:tc>
        <w:tc>
          <w:tcPr>
            <w:tcW w:w="198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High</w:t>
            </w:r>
          </w:p>
        </w:tc>
        <w:tc>
          <w:tcPr>
            <w:tcW w:w="198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Moderate</w:t>
            </w:r>
          </w:p>
        </w:tc>
        <w:tc>
          <w:tcPr>
            <w:tcW w:w="198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Limited</w:t>
            </w:r>
          </w:p>
        </w:tc>
        <w:tc>
          <w:tcPr>
            <w:tcW w:w="12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rsidR="009D746E" w:rsidRPr="0010427D" w:rsidRDefault="009D746E" w:rsidP="0010427D">
            <w:pPr>
              <w:spacing w:before="100" w:beforeAutospacing="1" w:after="100" w:afterAutospacing="1"/>
              <w:jc w:val="center"/>
              <w:rPr>
                <w:lang w:val="en-GB"/>
              </w:rPr>
            </w:pPr>
          </w:p>
        </w:tc>
      </w:tr>
      <w:tr w:rsidR="009D746E" w:rsidRPr="0010427D">
        <w:tc>
          <w:tcPr>
            <w:tcW w:w="216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 xml:space="preserve">Polyploid </w:t>
            </w:r>
            <w:r w:rsidRPr="0010427D">
              <w:rPr>
                <w:sz w:val="20"/>
                <w:szCs w:val="20"/>
                <w:lang w:val="en-GB"/>
              </w:rPr>
              <w:lastRenderedPageBreak/>
              <w:t>Compatibility</w:t>
            </w:r>
          </w:p>
        </w:tc>
        <w:tc>
          <w:tcPr>
            <w:tcW w:w="198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lastRenderedPageBreak/>
              <w:t>Demonstrated</w:t>
            </w:r>
          </w:p>
        </w:tc>
        <w:tc>
          <w:tcPr>
            <w:tcW w:w="198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Demonstrated</w:t>
            </w:r>
          </w:p>
        </w:tc>
        <w:tc>
          <w:tcPr>
            <w:tcW w:w="198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Emerging</w:t>
            </w:r>
          </w:p>
        </w:tc>
        <w:tc>
          <w:tcPr>
            <w:tcW w:w="1260" w:type="dxa"/>
            <w:tcBorders>
              <w:top w:val="single" w:sz="1" w:space="0" w:color="999999"/>
              <w:left w:val="single" w:sz="1" w:space="0" w:color="999999"/>
              <w:bottom w:val="single" w:sz="1" w:space="0" w:color="999999"/>
              <w:right w:val="single" w:sz="1" w:space="0" w:color="999999"/>
            </w:tcBorders>
            <w:shd w:val="clear" w:color="auto" w:fill="F5F5F5"/>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 xml:space="preserve">Wang et al., </w:t>
            </w:r>
            <w:r w:rsidRPr="0010427D">
              <w:rPr>
                <w:sz w:val="20"/>
                <w:szCs w:val="20"/>
                <w:lang w:val="en-GB"/>
              </w:rPr>
              <w:lastRenderedPageBreak/>
              <w:t>2014; Li et al., 2018</w:t>
            </w:r>
          </w:p>
        </w:tc>
      </w:tr>
      <w:tr w:rsidR="009D746E" w:rsidRPr="0010427D">
        <w:tc>
          <w:tcPr>
            <w:tcW w:w="21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lastRenderedPageBreak/>
              <w:t>Climate Trait Applications</w:t>
            </w:r>
          </w:p>
        </w:tc>
        <w:tc>
          <w:tcPr>
            <w:tcW w:w="198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Drought, disease, flood, heat, salinity</w:t>
            </w:r>
          </w:p>
        </w:tc>
        <w:tc>
          <w:tcPr>
            <w:tcW w:w="198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 xml:space="preserve">Herbicide </w:t>
            </w:r>
            <w:proofErr w:type="spellStart"/>
            <w:r w:rsidRPr="0010427D">
              <w:rPr>
                <w:sz w:val="20"/>
                <w:szCs w:val="20"/>
                <w:lang w:val="en-GB"/>
              </w:rPr>
              <w:t>tol</w:t>
            </w:r>
            <w:proofErr w:type="spellEnd"/>
            <w:r w:rsidRPr="0010427D">
              <w:rPr>
                <w:sz w:val="20"/>
                <w:szCs w:val="20"/>
                <w:lang w:val="en-GB"/>
              </w:rPr>
              <w:t>., NUE, SNP-based stress traits</w:t>
            </w:r>
          </w:p>
        </w:tc>
        <w:tc>
          <w:tcPr>
            <w:tcW w:w="198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 xml:space="preserve">Complex allele </w:t>
            </w:r>
            <w:proofErr w:type="spellStart"/>
            <w:r w:rsidRPr="0010427D">
              <w:rPr>
                <w:sz w:val="20"/>
                <w:szCs w:val="20"/>
                <w:lang w:val="en-GB"/>
              </w:rPr>
              <w:t>introgression</w:t>
            </w:r>
            <w:proofErr w:type="spellEnd"/>
          </w:p>
        </w:tc>
        <w:tc>
          <w:tcPr>
            <w:tcW w:w="12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rsidR="009D746E" w:rsidRPr="0010427D" w:rsidRDefault="00D74051" w:rsidP="0010427D">
            <w:pPr>
              <w:spacing w:before="100" w:beforeAutospacing="1" w:after="100" w:afterAutospacing="1"/>
              <w:jc w:val="center"/>
              <w:rPr>
                <w:lang w:val="en-GB"/>
              </w:rPr>
            </w:pPr>
            <w:r w:rsidRPr="0010427D">
              <w:rPr>
                <w:sz w:val="20"/>
                <w:szCs w:val="20"/>
                <w:lang w:val="en-GB"/>
              </w:rPr>
              <w:t>Shi et al., 2017; Hua et al., 2020; Lin et al., 2020</w:t>
            </w:r>
          </w:p>
        </w:tc>
      </w:tr>
    </w:tbl>
    <w:p w:rsidR="009D746E" w:rsidRPr="0010427D" w:rsidRDefault="009D746E" w:rsidP="0010427D">
      <w:pPr>
        <w:spacing w:before="100" w:beforeAutospacing="1" w:after="100" w:afterAutospacing="1"/>
        <w:rPr>
          <w:lang w:val="en-GB"/>
        </w:rPr>
      </w:pPr>
    </w:p>
    <w:p w:rsidR="009D746E" w:rsidRPr="0010427D" w:rsidRDefault="00D74051" w:rsidP="0010427D">
      <w:pPr>
        <w:pStyle w:val="Heading1"/>
        <w:spacing w:before="100" w:beforeAutospacing="1" w:after="100" w:afterAutospacing="1"/>
        <w:rPr>
          <w:lang w:val="en-GB"/>
        </w:rPr>
      </w:pPr>
      <w:r w:rsidRPr="0010427D">
        <w:rPr>
          <w:lang w:val="en-GB"/>
        </w:rPr>
        <w:t>9. Delivery Strategies and Technical Considerations in Crop Systems</w:t>
      </w:r>
    </w:p>
    <w:p w:rsidR="009D746E" w:rsidRPr="0010427D" w:rsidRDefault="00D74051" w:rsidP="0010427D">
      <w:pPr>
        <w:spacing w:before="100" w:beforeAutospacing="1" w:after="100" w:afterAutospacing="1"/>
        <w:ind w:firstLine="720"/>
        <w:jc w:val="both"/>
        <w:rPr>
          <w:lang w:val="en-GB"/>
        </w:rPr>
      </w:pPr>
      <w:r w:rsidRPr="0010427D">
        <w:rPr>
          <w:lang w:val="en-GB"/>
        </w:rPr>
        <w:t>The efficient delivery of genome editing components into crop cells competent for plant regeneration represents one of the most significant practical constraints limiting the broad application of precision editing technologies across the full diversity of economically important crops. Three primary delivery strategies are currently employed in plant genome editing: Agrobacterium tumefaciens-mediated T-DNA transformation, biolistic delivery (particle bombardment), and protoplast transfection with ribonucleoprotein (RNP) complexes. Each approach has distinct technical profiles that determine its suitability for different crop species, editing platforms, and regulatory contexts.</w:t>
      </w:r>
    </w:p>
    <w:p w:rsidR="009D746E" w:rsidRPr="0010427D" w:rsidRDefault="00D74051" w:rsidP="0010427D">
      <w:pPr>
        <w:spacing w:before="100" w:beforeAutospacing="1" w:after="100" w:afterAutospacing="1"/>
        <w:ind w:firstLine="720"/>
        <w:jc w:val="both"/>
        <w:rPr>
          <w:lang w:val="en-GB"/>
        </w:rPr>
      </w:pPr>
      <w:r w:rsidRPr="0010427D">
        <w:rPr>
          <w:lang w:val="en-GB"/>
        </w:rPr>
        <w:t>Agrobacterium-mediated transformation is the method of choice for dicotyledonous species such as tomato, potato, tobacco, and soybean, where it enables efficient delivery of editing constructs to cells within tissue-culture explants that can be regenerated through somatic embryogenesis or shoot organogenesis. Transformation efficiencies are generally high in susceptible species, and the single-copy integration characteristic of Agrobacterium-mediated delivery facilitates the recovery of clean, defined genomic integration events. However, many major monocot cereals—including wheat, maize, barley, and sorghum—exhibit variable to poor susceptibility to conventional Agrobacterium protocols, particularly in the genotypes of greatest commercial interest, and transformation often requires the use of immature embryos from specific developmental windows that limit throughput (</w:t>
      </w:r>
      <w:proofErr w:type="spellStart"/>
      <w:r w:rsidRPr="0010427D">
        <w:rPr>
          <w:lang w:val="en-GB"/>
        </w:rPr>
        <w:t>Metje-Sprink</w:t>
      </w:r>
      <w:proofErr w:type="spellEnd"/>
      <w:r w:rsidRPr="0010427D">
        <w:rPr>
          <w:lang w:val="en-GB"/>
        </w:rPr>
        <w:t xml:space="preserve"> et al., 2019). Recent advances in morphogenic gene-assisted transformation, exploiting embryogenic competence factors such as BABY BOOM, WUSCHEL, and GRF-GIF fusion proteins, have substantially expanded the range of crop genotypes amenable to Agrobacterium transformation and are being actively incorporated into editing delivery pipelines for recalcitrant monocots.</w:t>
      </w:r>
    </w:p>
    <w:p w:rsidR="009D746E" w:rsidRPr="0010427D" w:rsidRDefault="00D74051" w:rsidP="0010427D">
      <w:pPr>
        <w:spacing w:before="100" w:beforeAutospacing="1" w:after="100" w:afterAutospacing="1"/>
        <w:ind w:firstLine="720"/>
        <w:jc w:val="both"/>
        <w:rPr>
          <w:lang w:val="en-GB"/>
        </w:rPr>
      </w:pPr>
      <w:r w:rsidRPr="0010427D">
        <w:rPr>
          <w:lang w:val="en-GB"/>
        </w:rPr>
        <w:t>Biolistic delivery enables the introduction of DNA, RNA, or protein-based editing components into virtually any plant tissue type, including isolated embryos, shoot apices, pollen, and developing inflorescences, without the species-specificity constraints of Agrobacterium. However, biolistic bombardment is inherently associated with high frequencies of multi-copy and fragmented transgene integration events, which can complicate the molecular screening required to identify clean single-edit lines and may introduce unintended genomic rearrangements at integration sites. The use of RNA-based delivery components—in vitro transcribed Cas9 mRNA and sgRNAs—or RNP complexes in biolistic protocols reduces the risk of stable construct integration and can facilitate the production of DNA-free edited plants (</w:t>
      </w:r>
      <w:proofErr w:type="spellStart"/>
      <w:r w:rsidRPr="0010427D">
        <w:rPr>
          <w:lang w:val="en-GB"/>
        </w:rPr>
        <w:t>Metje-Sprink</w:t>
      </w:r>
      <w:proofErr w:type="spellEnd"/>
      <w:r w:rsidRPr="0010427D">
        <w:rPr>
          <w:lang w:val="en-GB"/>
        </w:rPr>
        <w:t xml:space="preserve"> et al., 2019).</w:t>
      </w:r>
    </w:p>
    <w:p w:rsidR="009D746E" w:rsidRPr="0010427D" w:rsidRDefault="00D74051" w:rsidP="0010427D">
      <w:pPr>
        <w:spacing w:before="100" w:beforeAutospacing="1" w:after="100" w:afterAutospacing="1"/>
        <w:ind w:firstLine="720"/>
        <w:jc w:val="both"/>
        <w:rPr>
          <w:lang w:val="en-GB"/>
        </w:rPr>
      </w:pPr>
      <w:r w:rsidRPr="0010427D">
        <w:rPr>
          <w:lang w:val="en-GB"/>
        </w:rPr>
        <w:t>RNP-mediated delivery through protoplast transfection represents the optimal approach for DNA-free genome editing, in which preassembled Cas</w:t>
      </w:r>
      <w:proofErr w:type="gramStart"/>
      <w:r w:rsidRPr="0010427D">
        <w:rPr>
          <w:lang w:val="en-GB"/>
        </w:rPr>
        <w:t>9:sgRNA</w:t>
      </w:r>
      <w:proofErr w:type="gramEnd"/>
      <w:r w:rsidRPr="0010427D">
        <w:rPr>
          <w:lang w:val="en-GB"/>
        </w:rPr>
        <w:t xml:space="preserve"> </w:t>
      </w:r>
      <w:r w:rsidRPr="0010427D">
        <w:rPr>
          <w:lang w:val="en-GB"/>
        </w:rPr>
        <w:lastRenderedPageBreak/>
        <w:t xml:space="preserve">ribonucleoprotein complexes or base editor </w:t>
      </w:r>
      <w:proofErr w:type="spellStart"/>
      <w:r w:rsidRPr="0010427D">
        <w:rPr>
          <w:lang w:val="en-GB"/>
        </w:rPr>
        <w:t>protein:sgRNA</w:t>
      </w:r>
      <w:proofErr w:type="spellEnd"/>
      <w:r w:rsidRPr="0010427D">
        <w:rPr>
          <w:lang w:val="en-GB"/>
        </w:rPr>
        <w:t xml:space="preserve"> complexes are introduced directly into protoplasts without any DNA component. The resulting edited plants contain no foreign DNA and carry only the intended genomic modification, generating plants that are, in most current regulatory frameworks, indistinguishable from those produced by conventional chemical or radiation mutagenesis (</w:t>
      </w:r>
      <w:proofErr w:type="spellStart"/>
      <w:r w:rsidRPr="0010427D">
        <w:rPr>
          <w:lang w:val="en-GB"/>
        </w:rPr>
        <w:t>Malnoy</w:t>
      </w:r>
      <w:proofErr w:type="spellEnd"/>
      <w:r w:rsidRPr="0010427D">
        <w:rPr>
          <w:lang w:val="en-GB"/>
        </w:rPr>
        <w:t xml:space="preserve"> et al., 2016; </w:t>
      </w:r>
      <w:proofErr w:type="spellStart"/>
      <w:r w:rsidRPr="0010427D">
        <w:rPr>
          <w:lang w:val="en-GB"/>
        </w:rPr>
        <w:t>Metje-Sprink</w:t>
      </w:r>
      <w:proofErr w:type="spellEnd"/>
      <w:r w:rsidRPr="0010427D">
        <w:rPr>
          <w:lang w:val="en-GB"/>
        </w:rPr>
        <w:t xml:space="preserve"> et al., 2019). </w:t>
      </w:r>
      <w:proofErr w:type="spellStart"/>
      <w:r w:rsidRPr="0010427D">
        <w:rPr>
          <w:lang w:val="en-GB"/>
        </w:rPr>
        <w:t>Malnoy</w:t>
      </w:r>
      <w:proofErr w:type="spellEnd"/>
      <w:r w:rsidRPr="0010427D">
        <w:rPr>
          <w:lang w:val="en-GB"/>
        </w:rPr>
        <w:t xml:space="preserve"> et al. (2016) demonstrated DNA-free CRISPR-Cas9 editing in grapevine and apple protoplasts using RNP delivery, achieving detectable editing at target loci without transgene integration. The principal constraint of protoplast-based delivery is the requirement for robust protoplast-to-plant regeneration protocols, which remain technically demanding, genotype-specific, and dependent upon prolonged tissue culture conditions that can introduce </w:t>
      </w:r>
      <w:proofErr w:type="spellStart"/>
      <w:r w:rsidRPr="0010427D">
        <w:rPr>
          <w:lang w:val="en-GB"/>
        </w:rPr>
        <w:t>somaclonal</w:t>
      </w:r>
      <w:proofErr w:type="spellEnd"/>
      <w:r w:rsidRPr="0010427D">
        <w:rPr>
          <w:lang w:val="en-GB"/>
        </w:rPr>
        <w:t xml:space="preserve"> variation—a limitation that current research into in planta editing approaches, which target cells in whole intact plants without tissue culture, is actively seeking to overcome.</w:t>
      </w:r>
    </w:p>
    <w:p w:rsidR="009D746E" w:rsidRPr="0010427D" w:rsidRDefault="00D74051" w:rsidP="0010427D">
      <w:pPr>
        <w:spacing w:before="100" w:beforeAutospacing="1" w:after="100" w:afterAutospacing="1"/>
        <w:ind w:firstLine="720"/>
        <w:jc w:val="both"/>
        <w:rPr>
          <w:lang w:val="en-GB"/>
        </w:rPr>
      </w:pPr>
      <w:r w:rsidRPr="0010427D">
        <w:rPr>
          <w:lang w:val="en-GB"/>
        </w:rPr>
        <w:t xml:space="preserve">Polyploidy presents an additional layer of technical complexity in major crop species. </w:t>
      </w:r>
      <w:proofErr w:type="spellStart"/>
      <w:r w:rsidRPr="0010427D">
        <w:rPr>
          <w:lang w:val="en-GB"/>
        </w:rPr>
        <w:t>Hexaploid</w:t>
      </w:r>
      <w:proofErr w:type="spellEnd"/>
      <w:r w:rsidRPr="0010427D">
        <w:rPr>
          <w:lang w:val="en-GB"/>
        </w:rPr>
        <w:t xml:space="preserve"> bread wheat and allotetraploid oilseed rape harbour multiple essentially complete sub-genomes with highly similar gene sequences, meaning that single-sgRNA CRISPR editing typically modifies all </w:t>
      </w:r>
      <w:proofErr w:type="spellStart"/>
      <w:r w:rsidRPr="0010427D">
        <w:rPr>
          <w:lang w:val="en-GB"/>
        </w:rPr>
        <w:t>homeologous</w:t>
      </w:r>
      <w:proofErr w:type="spellEnd"/>
      <w:r w:rsidRPr="0010427D">
        <w:rPr>
          <w:lang w:val="en-GB"/>
        </w:rPr>
        <w:t xml:space="preserve"> copies simultaneously—which can be advantageous for complete functional knockout but requires careful sgRNA design to ensure equivalent activity at each </w:t>
      </w:r>
      <w:proofErr w:type="spellStart"/>
      <w:r w:rsidRPr="0010427D">
        <w:rPr>
          <w:lang w:val="en-GB"/>
        </w:rPr>
        <w:t>homeologous</w:t>
      </w:r>
      <w:proofErr w:type="spellEnd"/>
      <w:r w:rsidRPr="0010427D">
        <w:rPr>
          <w:lang w:val="en-GB"/>
        </w:rPr>
        <w:t xml:space="preserve"> target site. Wang et al. (2014) demonstrated simultaneous modification of all three wheat MLO </w:t>
      </w:r>
      <w:proofErr w:type="spellStart"/>
      <w:r w:rsidRPr="0010427D">
        <w:rPr>
          <w:lang w:val="en-GB"/>
        </w:rPr>
        <w:t>homeologues</w:t>
      </w:r>
      <w:proofErr w:type="spellEnd"/>
      <w:r w:rsidRPr="0010427D">
        <w:rPr>
          <w:lang w:val="en-GB"/>
        </w:rPr>
        <w:t xml:space="preserve"> using TALEN pairs that targeted all three </w:t>
      </w:r>
      <w:proofErr w:type="spellStart"/>
      <w:r w:rsidRPr="0010427D">
        <w:rPr>
          <w:lang w:val="en-GB"/>
        </w:rPr>
        <w:t>homoeologs</w:t>
      </w:r>
      <w:proofErr w:type="spellEnd"/>
      <w:r w:rsidRPr="0010427D">
        <w:rPr>
          <w:lang w:val="en-GB"/>
        </w:rPr>
        <w:t xml:space="preserve">, while also employing CRISPR-Cas9 to target TaMLO-A1, together establishing the feasibility of complete multiplex </w:t>
      </w:r>
      <w:proofErr w:type="spellStart"/>
      <w:r w:rsidRPr="0010427D">
        <w:rPr>
          <w:lang w:val="en-GB"/>
        </w:rPr>
        <w:t>homeologous</w:t>
      </w:r>
      <w:proofErr w:type="spellEnd"/>
      <w:r w:rsidRPr="0010427D">
        <w:rPr>
          <w:lang w:val="en-GB"/>
        </w:rPr>
        <w:t xml:space="preserve"> editing in </w:t>
      </w:r>
      <w:proofErr w:type="spellStart"/>
      <w:r w:rsidRPr="0010427D">
        <w:rPr>
          <w:lang w:val="en-GB"/>
        </w:rPr>
        <w:t>hexaploid</w:t>
      </w:r>
      <w:proofErr w:type="spellEnd"/>
      <w:r w:rsidRPr="0010427D">
        <w:rPr>
          <w:lang w:val="en-GB"/>
        </w:rPr>
        <w:t xml:space="preserve"> wheat using complementary nuclease approaches. The screening required to identify fully edited events across all </w:t>
      </w:r>
      <w:proofErr w:type="spellStart"/>
      <w:r w:rsidRPr="0010427D">
        <w:rPr>
          <w:lang w:val="en-GB"/>
        </w:rPr>
        <w:t>homeologous</w:t>
      </w:r>
      <w:proofErr w:type="spellEnd"/>
      <w:r w:rsidRPr="0010427D">
        <w:rPr>
          <w:lang w:val="en-GB"/>
        </w:rPr>
        <w:t xml:space="preserve"> copies adds to the resource intensity of editing pipelines in polyploids, underscoring the need for high-throughput molecular screening methods capable of discriminating between partially and completely edited plants.</w:t>
      </w:r>
    </w:p>
    <w:p w:rsidR="009D746E" w:rsidRPr="0010427D" w:rsidRDefault="00D74051" w:rsidP="0010427D">
      <w:pPr>
        <w:pStyle w:val="Heading1"/>
        <w:spacing w:before="100" w:beforeAutospacing="1" w:after="100" w:afterAutospacing="1"/>
        <w:rPr>
          <w:lang w:val="en-GB"/>
        </w:rPr>
      </w:pPr>
      <w:r w:rsidRPr="0010427D">
        <w:rPr>
          <w:lang w:val="en-GB"/>
        </w:rPr>
        <w:t>10. Regulatory Frameworks and Public Acceptance</w:t>
      </w:r>
    </w:p>
    <w:p w:rsidR="009D746E" w:rsidRPr="0010427D" w:rsidRDefault="00D74051" w:rsidP="0010427D">
      <w:pPr>
        <w:spacing w:before="100" w:beforeAutospacing="1" w:after="100" w:afterAutospacing="1"/>
        <w:ind w:firstLine="720"/>
        <w:jc w:val="both"/>
        <w:rPr>
          <w:lang w:val="en-GB"/>
        </w:rPr>
      </w:pPr>
      <w:r w:rsidRPr="0010427D">
        <w:rPr>
          <w:lang w:val="en-GB"/>
        </w:rPr>
        <w:t>The regulatory landscape governing genome-edited crop varieties is evolving rapidly but unevenly across national jurisdictions, creating a fragmented global framework that represents one of the most significant non-technical barriers to the timely deployment of precision-edited climate-resilient varieties. In broad terms, existing regulatory approaches can be positioned along a spectrum ranging from product-based systems, in which the nature and extent of the genomic change—rather than the technique used to produce it—determines whether and how extensively a variety is regulated, to process-based systems, in which any use of recombinant DNA or genome editing technology triggers formal review under existing GMO regulatory frameworks regardless of the outcome in the final product.</w:t>
      </w:r>
    </w:p>
    <w:p w:rsidR="009D746E" w:rsidRPr="0010427D" w:rsidRDefault="00D74051" w:rsidP="0010427D">
      <w:pPr>
        <w:spacing w:before="100" w:beforeAutospacing="1" w:after="100" w:afterAutospacing="1"/>
        <w:ind w:firstLine="720"/>
        <w:jc w:val="both"/>
        <w:rPr>
          <w:lang w:val="en-GB"/>
        </w:rPr>
      </w:pPr>
      <w:r w:rsidRPr="0010427D">
        <w:rPr>
          <w:lang w:val="en-GB"/>
        </w:rPr>
        <w:t>The United States has adopted a largely product-based approach: guidance from the United States Department of Agriculture indicates that plants carrying only small indels, single-nucleotide substitutions, or other changes equivalent to those that could arise through conventional breeding or natural mutagenesis—produced without stable integration of foreign DNA—are generally not subject to regulatory oversight under its plant biotechnology rules. This permissive framework has facilitated the relatively rapid progression of CRISPR-edited crop varieties towards field testing and, in some cases, commercial release in the US market. Argentina, Brazil, Colombia, and several other countries in Latin America have adopted similar product-based approaches, and Japan has introduced a tiered notification framework distinguishing between gene editing products based on the nature and complexity of the genomic change (Turnbull et al., 2021).</w:t>
      </w:r>
    </w:p>
    <w:p w:rsidR="009D746E" w:rsidRPr="0010427D" w:rsidRDefault="00D74051" w:rsidP="0010427D">
      <w:pPr>
        <w:spacing w:before="100" w:beforeAutospacing="1" w:after="100" w:afterAutospacing="1"/>
        <w:ind w:firstLine="720"/>
        <w:jc w:val="both"/>
        <w:rPr>
          <w:lang w:val="en-GB"/>
        </w:rPr>
      </w:pPr>
      <w:r w:rsidRPr="0010427D">
        <w:rPr>
          <w:lang w:val="en-GB"/>
        </w:rPr>
        <w:lastRenderedPageBreak/>
        <w:t>The European Union historically applied a strictly process-based regulatory approach under which a European Court of Justice ruling in 2018 confirmed that plants produced by CRISPR and other new genomic techniques were covered by existing GMO legislation, requiring extensive safety assessment and labelling before market authorisation. Following extensive consultations and scientific review, the European Commission proposed in 2023 a reformed legislative framework introducing a distinct regulatory category for "new genomic techniques" (NGTs), distinguishing between plants with edits equivalent to natural variation or conventional mutagenesis (NGT Category 1, for which GMO requirements would not apply) and those with more extensive or complex modifications (NGT Category 2, subject to simplified but dedicated risk assessment). The proposed reforms, if enacted, would substantially facilitate the development and deployment of NGT1 crop varieties in European agriculture, bringing the EU framework closer to the product-based approaches adopted by the US and several other major agricultural nations (Turnbull et al., 2021).</w:t>
      </w:r>
    </w:p>
    <w:p w:rsidR="009D746E" w:rsidRPr="0010427D" w:rsidRDefault="00D74051" w:rsidP="0010427D">
      <w:pPr>
        <w:spacing w:before="100" w:beforeAutospacing="1" w:after="100" w:afterAutospacing="1"/>
        <w:ind w:firstLine="720"/>
        <w:jc w:val="both"/>
        <w:rPr>
          <w:lang w:val="en-GB"/>
        </w:rPr>
      </w:pPr>
      <w:r w:rsidRPr="0010427D">
        <w:rPr>
          <w:lang w:val="en-GB"/>
        </w:rPr>
        <w:t>Public acceptance of genome-edited foods is a multifaceted societal question that extends well beyond technical regulatory assessment to encompass cultural and ethical values, levels of trust in scientific and regulatory institutions, transparency of communication, and the perceived distribution of benefits and risks across different stakeholder groups. Survey data from multiple countries suggest that public attitudes towards genome editing in agriculture are generally more positive than attitudes towards transgenic GMOs, particularly when editing applications involve the elimination of foreign DNA and target environmental or public health benefits—such as disease resistance in the context of a changing climate—rather than primarily commercial traits. Nevertheless, concerns about potential long-term ecological impacts of widespread deployment of edited varieties, intellectual property concentration in the hands of large agribusiness entities, and equitable access to editing technologies for smallholder farmers in developing countries are important dimensions of the public discourse that require substantive engagement rather than dismissal (Turnbull et al., 2021). Transparent science communication, inclusive stakeholder engagement processes, and the demonstration of concrete climate-adaptive benefits under field conditions are widely regarded as necessary prerequisites for building the public and regulatory trust required for large-scale deployment.</w:t>
      </w:r>
    </w:p>
    <w:p w:rsidR="009D746E" w:rsidRPr="0010427D" w:rsidRDefault="00D74051" w:rsidP="0010427D">
      <w:pPr>
        <w:pStyle w:val="Heading1"/>
        <w:spacing w:before="100" w:beforeAutospacing="1" w:after="100" w:afterAutospacing="1"/>
        <w:rPr>
          <w:lang w:val="en-GB"/>
        </w:rPr>
      </w:pPr>
      <w:r w:rsidRPr="0010427D">
        <w:rPr>
          <w:lang w:val="en-GB"/>
        </w:rPr>
        <w:t>11. Future Directions</w:t>
      </w:r>
    </w:p>
    <w:p w:rsidR="009D746E" w:rsidRPr="0010427D" w:rsidRDefault="00D74051" w:rsidP="0010427D">
      <w:pPr>
        <w:spacing w:before="100" w:beforeAutospacing="1" w:after="100" w:afterAutospacing="1"/>
        <w:ind w:firstLine="720"/>
        <w:jc w:val="both"/>
        <w:rPr>
          <w:lang w:val="en-GB"/>
        </w:rPr>
      </w:pPr>
      <w:r w:rsidRPr="0010427D">
        <w:rPr>
          <w:lang w:val="en-GB"/>
        </w:rPr>
        <w:t>The future trajectory of CRISPR, base editing, and prime editing in climate-smart crop improvement will be shaped by advances across several converging research frontiers. First, the continued expansion and diversification of the Cas protein toolkit—through metagenomic discovery of novel effectors, directed evolution for customised PAM recognition, miniaturised Cas variants amenable to size-constrained viral delivery, and engineering of improved specificity profiles—will extend the targetable sequence space and reduce the technical constraints currently limiting access to specific genomic targets in complex crop genomes (</w:t>
      </w:r>
      <w:proofErr w:type="spellStart"/>
      <w:r w:rsidRPr="0010427D">
        <w:rPr>
          <w:lang w:val="en-GB"/>
        </w:rPr>
        <w:t>Puchta</w:t>
      </w:r>
      <w:proofErr w:type="spellEnd"/>
      <w:r w:rsidRPr="0010427D">
        <w:rPr>
          <w:lang w:val="en-GB"/>
        </w:rPr>
        <w:t>, 2017). Particular promise attaches to compact Cas variants that can be packaged within plant-optimised delivery vectors while retaining full editing functionality, and to enzymes recognising minimal or relaxed PAM sequences that expand the range of targetable loci beyond the constraints imposed by the canonical NGG PAM of SpCas9.</w:t>
      </w:r>
    </w:p>
    <w:p w:rsidR="009D746E" w:rsidRPr="0010427D" w:rsidRDefault="00D74051" w:rsidP="0010427D">
      <w:pPr>
        <w:spacing w:before="100" w:beforeAutospacing="1" w:after="100" w:afterAutospacing="1"/>
        <w:ind w:firstLine="720"/>
        <w:jc w:val="both"/>
        <w:rPr>
          <w:lang w:val="en-GB"/>
        </w:rPr>
      </w:pPr>
      <w:r w:rsidRPr="0010427D">
        <w:rPr>
          <w:lang w:val="en-GB"/>
        </w:rPr>
        <w:t xml:space="preserve">Second, epigenome editing—the targeted modification of DNA methylation patterns and chromatin modification states without altering the underlying nucleotide sequence—represents an emerging dimension of crop improvement with potentially profound </w:t>
      </w:r>
      <w:r w:rsidRPr="0010427D">
        <w:rPr>
          <w:lang w:val="en-GB"/>
        </w:rPr>
        <w:lastRenderedPageBreak/>
        <w:t>implications for climate adaptation. Epi-alleles influencing stress-responsive gene expression have been documented in diverse crop species, and tools enabling their targeted modification—including dCas9 fusions with DNA methyltransferases or demethylases, and histone-modifying enzymes—offer the prospect of unlocking phenotypic variation not accessible through DNA sequence editing. The reversibility of epigenetic marks, unlike nucleotide sequence changes, may additionally provide a mechanism for environmentally responsive phenotypic switching that is well suited to the variable stress conditions characteristic of climate-changing agricultural environments (Chen et al., 2019).</w:t>
      </w:r>
    </w:p>
    <w:p w:rsidR="009D746E" w:rsidRPr="0010427D" w:rsidRDefault="00D74051" w:rsidP="0010427D">
      <w:pPr>
        <w:spacing w:before="100" w:beforeAutospacing="1" w:after="100" w:afterAutospacing="1"/>
        <w:ind w:firstLine="720"/>
        <w:jc w:val="both"/>
        <w:rPr>
          <w:lang w:val="en-GB"/>
        </w:rPr>
      </w:pPr>
      <w:r w:rsidRPr="0010427D">
        <w:rPr>
          <w:lang w:val="en-GB"/>
        </w:rPr>
        <w:t xml:space="preserve">Third, the integration of precision genome editing with complementary breeding acceleration technologies represents a high-priority synergistic opportunity. Speed breeding, which uses extended photoperiod and elevated temperature to compress generation times in cereals and legumes to as few as six to eight weeks per cycle, has been demonstrated to substantially accelerate the </w:t>
      </w:r>
      <w:proofErr w:type="spellStart"/>
      <w:r w:rsidRPr="0010427D">
        <w:rPr>
          <w:lang w:val="en-GB"/>
        </w:rPr>
        <w:t>introgression</w:t>
      </w:r>
      <w:proofErr w:type="spellEnd"/>
      <w:r w:rsidRPr="0010427D">
        <w:rPr>
          <w:lang w:val="en-GB"/>
        </w:rPr>
        <w:t xml:space="preserve"> of edited alleles into diverse elite backgrounds and the pyramiding of multiple editing events in a single variety (Varshney et al., 2021). The combination of multiplexed genome editing in early-generation material with speed breeding, high-throughput genotyping, and genomic-based selection decisions could shorten the time from gene discovery to elite variety release from the current fifteen to twenty years to perhaps five to eight years—a compression that could be decisive in the context of the climate adaptation timelines now facing global agriculture.</w:t>
      </w:r>
    </w:p>
    <w:p w:rsidR="009D746E" w:rsidRPr="0010427D" w:rsidRDefault="00D74051" w:rsidP="0010427D">
      <w:pPr>
        <w:spacing w:before="100" w:beforeAutospacing="1" w:after="100" w:afterAutospacing="1"/>
        <w:ind w:firstLine="720"/>
        <w:jc w:val="both"/>
        <w:rPr>
          <w:lang w:val="en-GB"/>
        </w:rPr>
      </w:pPr>
      <w:r w:rsidRPr="0010427D">
        <w:rPr>
          <w:lang w:val="en-GB"/>
        </w:rPr>
        <w:t xml:space="preserve">Fourth, expanding the scope of climate-smart trait targets to encompass nitrogen and water use efficiency, root architecture modification, optimised phenological responses to shifting photoperiod and temperature cues, and comprehensive yield stability under mixed abiotic-biotic stress profiles will require integrating genome editing with deeper systems-level physiological and genomic understanding. Genome-wide CRISPR functional screens—already powerful in model plant systems—are being adapted to crop species and will systematically identify novel gene targets for climate adaptation, including genes in under-characterised regulatory pathways that are invisible to candidate gene approaches. The application of these screening technologies to nutritionally important but </w:t>
      </w:r>
      <w:proofErr w:type="spellStart"/>
      <w:r w:rsidRPr="0010427D">
        <w:rPr>
          <w:lang w:val="en-GB"/>
        </w:rPr>
        <w:t>genomically</w:t>
      </w:r>
      <w:proofErr w:type="spellEnd"/>
      <w:r w:rsidRPr="0010427D">
        <w:rPr>
          <w:lang w:val="en-GB"/>
        </w:rPr>
        <w:t xml:space="preserve"> understudied crops—including sorghum, millet, cassava, yam, and </w:t>
      </w:r>
      <w:proofErr w:type="spellStart"/>
      <w:r w:rsidRPr="0010427D">
        <w:rPr>
          <w:lang w:val="en-GB"/>
        </w:rPr>
        <w:t>enset</w:t>
      </w:r>
      <w:proofErr w:type="spellEnd"/>
      <w:r w:rsidRPr="0010427D">
        <w:rPr>
          <w:lang w:val="en-GB"/>
        </w:rPr>
        <w:t>, which are central to food security in some of the most climate-vulnerable agricultural regions—represents a significant and urgent research opportunity. Concurrently, international data sharing, open-access germplasm repositories, and collaborative editing consortia will be essential to ensure that the benefits of precision genome editing are not confined to a small number of well-resourced crops and research systems.</w:t>
      </w:r>
    </w:p>
    <w:p w:rsidR="009D746E" w:rsidRPr="0010427D" w:rsidRDefault="00D74051" w:rsidP="0010427D">
      <w:pPr>
        <w:pStyle w:val="Heading1"/>
        <w:spacing w:before="100" w:beforeAutospacing="1" w:after="100" w:afterAutospacing="1"/>
        <w:rPr>
          <w:lang w:val="en-GB"/>
        </w:rPr>
      </w:pPr>
      <w:r w:rsidRPr="0010427D">
        <w:rPr>
          <w:lang w:val="en-GB"/>
        </w:rPr>
        <w:t>12. Conclusions</w:t>
      </w:r>
    </w:p>
    <w:p w:rsidR="009D746E" w:rsidRPr="0010427D" w:rsidRDefault="00D74051" w:rsidP="0010427D">
      <w:pPr>
        <w:spacing w:before="100" w:beforeAutospacing="1" w:after="100" w:afterAutospacing="1"/>
        <w:ind w:firstLine="720"/>
        <w:jc w:val="both"/>
        <w:rPr>
          <w:lang w:val="en-GB"/>
        </w:rPr>
      </w:pPr>
      <w:r w:rsidRPr="0010427D">
        <w:rPr>
          <w:lang w:val="en-GB"/>
        </w:rPr>
        <w:t xml:space="preserve">CRISPR-Cas, base editing, and prime editing collectively constitute a transformative suite of precision genome engineering technologies with exceptional potential to accelerate the development of climate-smart crop varieties that are urgently needed to sustain global food security in the face of accelerating environmental change. CRISPR-Cas9-mediated gene disruption has demonstrated compelling efficacy in engineering drought tolerance, disease resistance, flood adaptation, heat resilience, and salinity tolerance across multiple major crop species, with field-level validation of yield performance under drought stress established in maize and of durable disease resistance in wheat. Base editing extends the precision modification toolkit to single-nucleotide transitions without double-strand breaks, enabling the faithful recreation of naturally occurring adaptive alleles, the fine-tuning of regulatory elements controlling stress-responsive gene expression, and access to agriculturally important </w:t>
      </w:r>
      <w:r w:rsidRPr="0010427D">
        <w:rPr>
          <w:lang w:val="en-GB"/>
        </w:rPr>
        <w:lastRenderedPageBreak/>
        <w:t>SNPs with precision and efficiency that greatly exceed earlier approaches. Prime editing adds the capability to install any point mutation type as well as small insertions and deletions, providing comprehensive sequence-level control over the editing outcome and enabling the full range of modifications required for sophisticated climate-adaptive trait engineering.</w:t>
      </w:r>
    </w:p>
    <w:p w:rsidR="009D746E" w:rsidRPr="0010427D" w:rsidRDefault="00D74051" w:rsidP="0010427D">
      <w:pPr>
        <w:spacing w:before="100" w:beforeAutospacing="1" w:after="100" w:afterAutospacing="1"/>
        <w:ind w:firstLine="720"/>
        <w:jc w:val="both"/>
        <w:rPr>
          <w:lang w:val="en-GB"/>
        </w:rPr>
      </w:pPr>
      <w:r w:rsidRPr="0010427D">
        <w:rPr>
          <w:lang w:val="en-GB"/>
        </w:rPr>
        <w:t>The pathway from laboratory discovery to field deployment of genome-edited climate-smart crops, whilst technically clearer than at any previous time, remains non-trivial. Technical challenges including delivery inefficiency in recalcitrant monocot crops, the lower editing efficiency of prime editing relative to NHEJ-based methods in current plant implementations, off-target concerns in complex and repetitive crop genomes, and the multiplexing requirements imposed by polyploid genome architectures require sustained research investment. Regulatory frameworks that differ substantially and sometimes incompatibly across jurisdictions create uncertainty for developers and in some markets substantially delay or prevent the deployment of edited varieties. Public engagement around the benefits, risks, and governance of genome editing in food and agriculture must be substantive, transparent, and inclusive of the perspectives of smallholder farmers and food-insecure communities in climate-vulnerable regions who stand to benefit most from climate-adaptive crop varieties.</w:t>
      </w:r>
    </w:p>
    <w:p w:rsidR="009D746E" w:rsidRPr="0010427D" w:rsidRDefault="00D74051" w:rsidP="0010427D">
      <w:pPr>
        <w:spacing w:before="100" w:beforeAutospacing="1" w:after="100" w:afterAutospacing="1"/>
        <w:ind w:firstLine="720"/>
        <w:jc w:val="both"/>
        <w:rPr>
          <w:lang w:val="en-GB"/>
        </w:rPr>
      </w:pPr>
      <w:r w:rsidRPr="0010427D">
        <w:rPr>
          <w:lang w:val="en-GB"/>
        </w:rPr>
        <w:t>The convergence of precision genome editing with speed breeding, genomic prediction, high-throughput phenotyping, functional genomic screening, and epigenome editing provides an increasingly powerful and integrated framework for the rapid development of crop varieties calibrated to the climatic conditions of the mid-twenty-first century. Realising this potential fully will require sustained scientific investment, coherent and evidence-based regulatory reform, accessible and non-discriminatory intellectual property arrangements, and effective international collaboration to ensure that the benefits of precision breeding technology reach the farmers and food systems most exposed to the consequences of climate change.</w:t>
      </w:r>
    </w:p>
    <w:p w:rsidR="009D746E" w:rsidRPr="0010427D" w:rsidRDefault="00D74051" w:rsidP="0010427D">
      <w:pPr>
        <w:pStyle w:val="Heading1"/>
        <w:spacing w:before="100" w:beforeAutospacing="1" w:after="100" w:afterAutospacing="1"/>
        <w:rPr>
          <w:lang w:val="en-GB"/>
        </w:rPr>
      </w:pPr>
      <w:r w:rsidRPr="0010427D">
        <w:rPr>
          <w:lang w:val="en-GB"/>
        </w:rPr>
        <w:t>13. Limitations of this Review</w:t>
      </w:r>
    </w:p>
    <w:p w:rsidR="009D746E" w:rsidRPr="0010427D" w:rsidRDefault="00D74051" w:rsidP="0010427D">
      <w:pPr>
        <w:spacing w:before="100" w:beforeAutospacing="1" w:after="100" w:afterAutospacing="1"/>
        <w:ind w:firstLine="720"/>
        <w:jc w:val="both"/>
        <w:rPr>
          <w:lang w:val="en-GB"/>
        </w:rPr>
      </w:pPr>
      <w:r w:rsidRPr="0010427D">
        <w:rPr>
          <w:lang w:val="en-GB"/>
        </w:rPr>
        <w:t xml:space="preserve">Several limitations of this review should be acknowledged </w:t>
      </w:r>
      <w:r w:rsidR="006A3F5C">
        <w:rPr>
          <w:lang w:val="en-GB"/>
        </w:rPr>
        <w:t>explicitly</w:t>
      </w:r>
      <w:r w:rsidRPr="0010427D">
        <w:rPr>
          <w:lang w:val="en-GB"/>
        </w:rPr>
        <w:t>. The rapidly evolving nature of precision genome editing research means that significant advances—particularly in prime editing efficiency optimisation in crops, the characterisation of novel Cas effector proteins, the clinical and agronomic assessment of first-generation edited varieties, and the evolution of regulatory frameworks—may have occurred between the completion of this review and its publication. Readers are therefore encouraged to supplement this synthesis with current primary literature searches.</w:t>
      </w:r>
    </w:p>
    <w:p w:rsidR="009D746E" w:rsidRPr="0010427D" w:rsidRDefault="00D74051" w:rsidP="0010427D">
      <w:pPr>
        <w:spacing w:before="100" w:beforeAutospacing="1" w:after="100" w:afterAutospacing="1"/>
        <w:ind w:firstLine="720"/>
        <w:jc w:val="both"/>
        <w:rPr>
          <w:lang w:val="en-GB"/>
        </w:rPr>
      </w:pPr>
      <w:r w:rsidRPr="0010427D">
        <w:rPr>
          <w:lang w:val="en-GB"/>
        </w:rPr>
        <w:t>Whilst the review aims to be comprehensive across the three editing platforms and major crop species, the breadth of the subject matter necessitates that some crop species, specific editing targets, and technical refinements receive less detailed treatment than others. The preponderance of published precision editing research has been conducted in a relatively small number of model crop species—most notably rice, wheat, maize, and tomato—reflecting the availability of established transformation and regeneration protocols as well as the concentration of international research funding, whilst many nutritionally and economically important crops that are central to food security in developing-country contexts remain understudied. This geographic and taxonomic bias in the literature is reflected in, but not endorsed by, the coverage of this review.</w:t>
      </w:r>
    </w:p>
    <w:p w:rsidR="009D746E" w:rsidRPr="0010427D" w:rsidRDefault="00D74051" w:rsidP="0010427D">
      <w:pPr>
        <w:spacing w:before="100" w:beforeAutospacing="1" w:after="100" w:afterAutospacing="1"/>
        <w:ind w:firstLine="720"/>
        <w:jc w:val="both"/>
        <w:rPr>
          <w:lang w:val="en-GB"/>
        </w:rPr>
      </w:pPr>
      <w:r w:rsidRPr="0010427D">
        <w:rPr>
          <w:lang w:val="en-GB"/>
        </w:rPr>
        <w:lastRenderedPageBreak/>
        <w:t>The practical translation of laboratory editing successes to field conditions involves numerous biological, agronomic, socioeconomic, and ecological variables that are largely beyond the scope of molecular review articles. Field-level validation of climate-adaptive edited traits under diverse and realistic environmental conditions remains a critical and underpopulated research frontier, and the molecular data reviewed here provide only a partial and imperfect basis for predicting field performance. Finally, this review has not undertaken a formal quantitative meta-analysis of editing efficiency data across platforms and species, and efficiency comparisons presented in the text are qualitative assessments based on reported ranges in the primary literature rather than formal statistical inference. Readers seeking quantitative comparisons are directed to specialised benchmarking studies in which editing efficiency is assessed across platforms under standardised conditions.</w:t>
      </w:r>
    </w:p>
    <w:p w:rsidR="009D746E" w:rsidRPr="0010427D" w:rsidRDefault="00D74051" w:rsidP="0010427D">
      <w:pPr>
        <w:pStyle w:val="Heading1"/>
        <w:spacing w:before="100" w:beforeAutospacing="1" w:after="100" w:afterAutospacing="1"/>
        <w:rPr>
          <w:lang w:val="en-GB"/>
        </w:rPr>
      </w:pPr>
      <w:r w:rsidRPr="0010427D">
        <w:rPr>
          <w:lang w:val="en-GB"/>
        </w:rPr>
        <w:t>References</w:t>
      </w:r>
    </w:p>
    <w:p w:rsidR="009D746E" w:rsidRPr="0010427D" w:rsidRDefault="00D74051" w:rsidP="0010427D">
      <w:pPr>
        <w:spacing w:before="100" w:beforeAutospacing="1" w:after="100" w:afterAutospacing="1"/>
        <w:ind w:left="720" w:hanging="720"/>
        <w:jc w:val="both"/>
        <w:rPr>
          <w:lang w:val="en-GB"/>
        </w:rPr>
      </w:pPr>
      <w:r w:rsidRPr="0010427D">
        <w:rPr>
          <w:lang w:val="en-GB"/>
        </w:rPr>
        <w:t xml:space="preserve">Anzalone, A. V., Randolph, P. B., Davis, J. R., Sousa, A. A., </w:t>
      </w:r>
      <w:proofErr w:type="spellStart"/>
      <w:r w:rsidRPr="0010427D">
        <w:rPr>
          <w:lang w:val="en-GB"/>
        </w:rPr>
        <w:t>Koblan</w:t>
      </w:r>
      <w:proofErr w:type="spellEnd"/>
      <w:r w:rsidRPr="0010427D">
        <w:rPr>
          <w:lang w:val="en-GB"/>
        </w:rPr>
        <w:t xml:space="preserve">, L. W., Levy, J. M., Chen, P. J., Wilson, C., Newby, G. A., </w:t>
      </w:r>
      <w:proofErr w:type="spellStart"/>
      <w:r w:rsidRPr="0010427D">
        <w:rPr>
          <w:lang w:val="en-GB"/>
        </w:rPr>
        <w:t>Raguram</w:t>
      </w:r>
      <w:proofErr w:type="spellEnd"/>
      <w:r w:rsidRPr="0010427D">
        <w:rPr>
          <w:lang w:val="en-GB"/>
        </w:rPr>
        <w:t>, A., &amp; Liu, D. R. (2019). Search-and-replace genome editing without double-strand breaks or donor DNA. Nature, 576(7785), 149–157. https://doi.org/10.1038/s41586-019-1711-4</w:t>
      </w:r>
    </w:p>
    <w:p w:rsidR="009D746E" w:rsidRPr="0010427D" w:rsidRDefault="00D74051" w:rsidP="0010427D">
      <w:pPr>
        <w:spacing w:before="100" w:beforeAutospacing="1" w:after="100" w:afterAutospacing="1"/>
        <w:ind w:left="720" w:hanging="720"/>
        <w:jc w:val="both"/>
        <w:rPr>
          <w:lang w:val="en-GB"/>
        </w:rPr>
      </w:pPr>
      <w:r w:rsidRPr="0010427D">
        <w:rPr>
          <w:lang w:val="en-GB"/>
        </w:rPr>
        <w:t>Chen, K., Wang, Y., Zhang, R., Zhang, H., &amp; Gao, C. (2019). CRISPR/Cas genome editing and precision plant breeding in agriculture. Annual Review of Plant Biology, 70, 667–697. https://doi.org/10.1146/annurev-arplant-050718-100049</w:t>
      </w:r>
    </w:p>
    <w:p w:rsidR="009D746E" w:rsidRPr="0010427D" w:rsidRDefault="00D74051" w:rsidP="0010427D">
      <w:pPr>
        <w:spacing w:before="100" w:beforeAutospacing="1" w:after="100" w:afterAutospacing="1"/>
        <w:ind w:left="720" w:hanging="720"/>
        <w:jc w:val="both"/>
        <w:rPr>
          <w:lang w:val="en-GB"/>
        </w:rPr>
      </w:pPr>
      <w:proofErr w:type="spellStart"/>
      <w:r w:rsidRPr="0010427D">
        <w:rPr>
          <w:lang w:val="en-GB"/>
        </w:rPr>
        <w:t>Doudna</w:t>
      </w:r>
      <w:proofErr w:type="spellEnd"/>
      <w:r w:rsidRPr="0010427D">
        <w:rPr>
          <w:lang w:val="en-GB"/>
        </w:rPr>
        <w:t>, J. A., &amp; Charpentier, E. (2014). The new frontier of genome engineering with CRISPR-Cas9. Science, 346(6213), 1258096. https://doi.org/10.1126/science.1258096</w:t>
      </w:r>
    </w:p>
    <w:p w:rsidR="009D746E" w:rsidRPr="0010427D" w:rsidRDefault="00D74051" w:rsidP="0010427D">
      <w:pPr>
        <w:spacing w:before="100" w:beforeAutospacing="1" w:after="100" w:afterAutospacing="1"/>
        <w:ind w:left="720" w:hanging="720"/>
        <w:jc w:val="both"/>
        <w:rPr>
          <w:lang w:val="en-GB"/>
        </w:rPr>
      </w:pPr>
      <w:r w:rsidRPr="0010427D">
        <w:rPr>
          <w:lang w:val="en-GB"/>
        </w:rPr>
        <w:t xml:space="preserve">FAO. (2021). The state of food and agriculture 2021: Making </w:t>
      </w:r>
      <w:proofErr w:type="spellStart"/>
      <w:r w:rsidRPr="0010427D">
        <w:rPr>
          <w:lang w:val="en-GB"/>
        </w:rPr>
        <w:t>agrifood</w:t>
      </w:r>
      <w:proofErr w:type="spellEnd"/>
      <w:r w:rsidRPr="0010427D">
        <w:rPr>
          <w:lang w:val="en-GB"/>
        </w:rPr>
        <w:t xml:space="preserve"> systems more resilient to shocks and stresses. Food and Agriculture Organization of the United Nations. https://www.fao.org/publications/sofa/2021</w:t>
      </w:r>
    </w:p>
    <w:p w:rsidR="009D746E" w:rsidRPr="0010427D" w:rsidRDefault="00D74051" w:rsidP="0010427D">
      <w:pPr>
        <w:spacing w:before="100" w:beforeAutospacing="1" w:after="100" w:afterAutospacing="1"/>
        <w:ind w:left="720" w:hanging="720"/>
        <w:jc w:val="both"/>
        <w:rPr>
          <w:lang w:val="en-GB"/>
        </w:rPr>
      </w:pPr>
      <w:proofErr w:type="spellStart"/>
      <w:r w:rsidRPr="0010427D">
        <w:rPr>
          <w:lang w:val="en-GB"/>
        </w:rPr>
        <w:t>Gaudelli</w:t>
      </w:r>
      <w:proofErr w:type="spellEnd"/>
      <w:r w:rsidRPr="0010427D">
        <w:rPr>
          <w:lang w:val="en-GB"/>
        </w:rPr>
        <w:t xml:space="preserve">, N. M., </w:t>
      </w:r>
      <w:proofErr w:type="spellStart"/>
      <w:r w:rsidRPr="0010427D">
        <w:rPr>
          <w:lang w:val="en-GB"/>
        </w:rPr>
        <w:t>Komor</w:t>
      </w:r>
      <w:proofErr w:type="spellEnd"/>
      <w:r w:rsidRPr="0010427D">
        <w:rPr>
          <w:lang w:val="en-GB"/>
        </w:rPr>
        <w:t xml:space="preserve">, A. C., Rees, H. A., Packer, M. S., </w:t>
      </w:r>
      <w:proofErr w:type="spellStart"/>
      <w:r w:rsidRPr="0010427D">
        <w:rPr>
          <w:lang w:val="en-GB"/>
        </w:rPr>
        <w:t>Badran</w:t>
      </w:r>
      <w:proofErr w:type="spellEnd"/>
      <w:r w:rsidRPr="0010427D">
        <w:rPr>
          <w:lang w:val="en-GB"/>
        </w:rPr>
        <w:t>, A. H., Bryson, D. I., &amp; Liu, D. R. (2017). Programmable base editing of A•T to G•C in genomic DNA without DNA cleavage. Nature, 551(7681), 464–471. https://doi.org/10.1038/nature24644</w:t>
      </w:r>
    </w:p>
    <w:p w:rsidR="009D746E" w:rsidRPr="0010427D" w:rsidRDefault="00D74051" w:rsidP="0010427D">
      <w:pPr>
        <w:spacing w:before="100" w:beforeAutospacing="1" w:after="100" w:afterAutospacing="1"/>
        <w:ind w:left="720" w:hanging="720"/>
        <w:jc w:val="both"/>
        <w:rPr>
          <w:lang w:val="en-GB"/>
        </w:rPr>
      </w:pPr>
      <w:r w:rsidRPr="0010427D">
        <w:rPr>
          <w:lang w:val="en-GB"/>
        </w:rPr>
        <w:t>Hua, K., Tao, X., Liang, W., Zhang, Z., Gou, R., &amp; Zhu, J. K. (2020). Simplified adenine base editors improve adenine base editing efficiency in rice. Plant Biotechnology Journal, 18(3), 770–778. https://doi.org/10.1111/pbi.13244</w:t>
      </w:r>
    </w:p>
    <w:p w:rsidR="009D746E" w:rsidRPr="0010427D" w:rsidRDefault="00D74051" w:rsidP="0010427D">
      <w:pPr>
        <w:spacing w:before="100" w:beforeAutospacing="1" w:after="100" w:afterAutospacing="1"/>
        <w:ind w:left="720" w:hanging="720"/>
        <w:jc w:val="both"/>
        <w:rPr>
          <w:lang w:val="en-GB"/>
        </w:rPr>
      </w:pPr>
      <w:r w:rsidRPr="0010427D">
        <w:rPr>
          <w:lang w:val="en-GB"/>
        </w:rPr>
        <w:t>IPCC. (2022). Climate change 2022: Impacts, adaptation and vulnerability. Contribution of Working Group II to the Sixth Assessment Report of the Intergovernmental Panel on Climate Change. Cambridge University Press. https://www.ipcc.ch/report/ar6/wg2/</w:t>
      </w:r>
    </w:p>
    <w:p w:rsidR="009D746E" w:rsidRPr="0010427D" w:rsidRDefault="00D74051" w:rsidP="0010427D">
      <w:pPr>
        <w:spacing w:before="100" w:beforeAutospacing="1" w:after="100" w:afterAutospacing="1"/>
        <w:ind w:left="720" w:hanging="720"/>
        <w:jc w:val="both"/>
        <w:rPr>
          <w:lang w:val="en-GB"/>
        </w:rPr>
      </w:pPr>
      <w:proofErr w:type="spellStart"/>
      <w:r w:rsidRPr="0010427D">
        <w:rPr>
          <w:lang w:val="en-GB"/>
        </w:rPr>
        <w:t>Jinek</w:t>
      </w:r>
      <w:proofErr w:type="spellEnd"/>
      <w:r w:rsidRPr="0010427D">
        <w:rPr>
          <w:lang w:val="en-GB"/>
        </w:rPr>
        <w:t xml:space="preserve">, M., </w:t>
      </w:r>
      <w:proofErr w:type="spellStart"/>
      <w:r w:rsidRPr="0010427D">
        <w:rPr>
          <w:lang w:val="en-GB"/>
        </w:rPr>
        <w:t>Chylinski</w:t>
      </w:r>
      <w:proofErr w:type="spellEnd"/>
      <w:r w:rsidRPr="0010427D">
        <w:rPr>
          <w:lang w:val="en-GB"/>
        </w:rPr>
        <w:t xml:space="preserve">, K., Fonfara, I., Hauer, M., </w:t>
      </w:r>
      <w:proofErr w:type="spellStart"/>
      <w:r w:rsidRPr="0010427D">
        <w:rPr>
          <w:lang w:val="en-GB"/>
        </w:rPr>
        <w:t>Doudna</w:t>
      </w:r>
      <w:proofErr w:type="spellEnd"/>
      <w:r w:rsidRPr="0010427D">
        <w:rPr>
          <w:lang w:val="en-GB"/>
        </w:rPr>
        <w:t>, J. A., &amp; Charpentier, E. (2012). A programmable dual-RNA–guided DNA endonuclease in adaptive bacterial immunity. Science, 337(6096), 816–821. https://doi.org/10.1126/science.1225829</w:t>
      </w:r>
    </w:p>
    <w:p w:rsidR="009D746E" w:rsidRPr="0010427D" w:rsidRDefault="00D74051" w:rsidP="0010427D">
      <w:pPr>
        <w:spacing w:before="100" w:beforeAutospacing="1" w:after="100" w:afterAutospacing="1"/>
        <w:ind w:left="720" w:hanging="720"/>
        <w:jc w:val="both"/>
        <w:rPr>
          <w:lang w:val="en-GB"/>
        </w:rPr>
      </w:pPr>
      <w:proofErr w:type="spellStart"/>
      <w:r w:rsidRPr="0010427D">
        <w:rPr>
          <w:lang w:val="en-GB"/>
        </w:rPr>
        <w:lastRenderedPageBreak/>
        <w:t>Komor</w:t>
      </w:r>
      <w:proofErr w:type="spellEnd"/>
      <w:r w:rsidRPr="0010427D">
        <w:rPr>
          <w:lang w:val="en-GB"/>
        </w:rPr>
        <w:t xml:space="preserve">, A. C., Kim, Y. B., Packer, M. S., </w:t>
      </w:r>
      <w:proofErr w:type="spellStart"/>
      <w:r w:rsidRPr="0010427D">
        <w:rPr>
          <w:lang w:val="en-GB"/>
        </w:rPr>
        <w:t>Zuris</w:t>
      </w:r>
      <w:proofErr w:type="spellEnd"/>
      <w:r w:rsidRPr="0010427D">
        <w:rPr>
          <w:lang w:val="en-GB"/>
        </w:rPr>
        <w:t>, J. A., &amp; Liu, D. R. (2016). Programmable editing of a target base in genomic DNA without double-stranded DNA cleavage. Nature, 533(7603), 420–424. https://doi.org/10.1038/nature17946</w:t>
      </w:r>
    </w:p>
    <w:p w:rsidR="009D746E" w:rsidRPr="0010427D" w:rsidRDefault="00D74051" w:rsidP="0010427D">
      <w:pPr>
        <w:spacing w:before="100" w:beforeAutospacing="1" w:after="100" w:afterAutospacing="1"/>
        <w:ind w:left="720" w:hanging="720"/>
        <w:jc w:val="both"/>
        <w:rPr>
          <w:lang w:val="en-GB"/>
        </w:rPr>
      </w:pPr>
      <w:r w:rsidRPr="0010427D">
        <w:rPr>
          <w:lang w:val="en-GB"/>
        </w:rPr>
        <w:t xml:space="preserve">Li, C., </w:t>
      </w:r>
      <w:proofErr w:type="spellStart"/>
      <w:r w:rsidRPr="0010427D">
        <w:rPr>
          <w:lang w:val="en-GB"/>
        </w:rPr>
        <w:t>Zong</w:t>
      </w:r>
      <w:proofErr w:type="spellEnd"/>
      <w:r w:rsidRPr="0010427D">
        <w:rPr>
          <w:lang w:val="en-GB"/>
        </w:rPr>
        <w:t>, Y., Wang, Y., Jin, S., Zhang, D., Song, Q., Zhang, R., &amp; Gao, C. (2018). Expanded base editing in rice and wheat using a Cas9-adenosine deaminase fusion. Genome Biology, 19(1), 59. https://doi.org/10.1186/s13059-018-1443-z</w:t>
      </w:r>
    </w:p>
    <w:p w:rsidR="009D746E" w:rsidRPr="0010427D" w:rsidRDefault="00D74051" w:rsidP="0010427D">
      <w:pPr>
        <w:spacing w:before="100" w:beforeAutospacing="1" w:after="100" w:afterAutospacing="1"/>
        <w:ind w:left="720" w:hanging="720"/>
        <w:jc w:val="both"/>
        <w:rPr>
          <w:lang w:val="en-GB"/>
        </w:rPr>
      </w:pPr>
      <w:r w:rsidRPr="0010427D">
        <w:rPr>
          <w:lang w:val="en-GB"/>
        </w:rPr>
        <w:t xml:space="preserve">Lin, Q., </w:t>
      </w:r>
      <w:proofErr w:type="spellStart"/>
      <w:r w:rsidRPr="0010427D">
        <w:rPr>
          <w:lang w:val="en-GB"/>
        </w:rPr>
        <w:t>Zong</w:t>
      </w:r>
      <w:proofErr w:type="spellEnd"/>
      <w:r w:rsidRPr="0010427D">
        <w:rPr>
          <w:lang w:val="en-GB"/>
        </w:rPr>
        <w:t xml:space="preserve">, Y., </w:t>
      </w:r>
      <w:proofErr w:type="spellStart"/>
      <w:r w:rsidRPr="0010427D">
        <w:rPr>
          <w:lang w:val="en-GB"/>
        </w:rPr>
        <w:t>Xue</w:t>
      </w:r>
      <w:proofErr w:type="spellEnd"/>
      <w:r w:rsidRPr="0010427D">
        <w:rPr>
          <w:lang w:val="en-GB"/>
        </w:rPr>
        <w:t xml:space="preserve">, C., Wang, S., Jin, S., Zhu, Z., Wang, Y., Anzalone, A. V., </w:t>
      </w:r>
      <w:proofErr w:type="spellStart"/>
      <w:r w:rsidRPr="0010427D">
        <w:rPr>
          <w:lang w:val="en-GB"/>
        </w:rPr>
        <w:t>Raguram</w:t>
      </w:r>
      <w:proofErr w:type="spellEnd"/>
      <w:r w:rsidRPr="0010427D">
        <w:rPr>
          <w:lang w:val="en-GB"/>
        </w:rPr>
        <w:t>, A., Doman, J. L., Liu, D. R., &amp; Gao, C. (2020). Prime genome editing in rice and wheat. Nature Biotechnology, 38(5), 582–585. https://doi.org/10.1038/s41587-020-0455-x</w:t>
      </w:r>
    </w:p>
    <w:p w:rsidR="009D746E" w:rsidRPr="0010427D" w:rsidRDefault="00D74051" w:rsidP="0010427D">
      <w:pPr>
        <w:spacing w:before="100" w:beforeAutospacing="1" w:after="100" w:afterAutospacing="1"/>
        <w:ind w:left="720" w:hanging="720"/>
        <w:jc w:val="both"/>
        <w:rPr>
          <w:lang w:val="en-GB"/>
        </w:rPr>
      </w:pPr>
      <w:proofErr w:type="spellStart"/>
      <w:r w:rsidRPr="0010427D">
        <w:rPr>
          <w:lang w:val="en-GB"/>
        </w:rPr>
        <w:t>Malnoy</w:t>
      </w:r>
      <w:proofErr w:type="spellEnd"/>
      <w:r w:rsidRPr="0010427D">
        <w:rPr>
          <w:lang w:val="en-GB"/>
        </w:rPr>
        <w:t xml:space="preserve">, M., Viola, R., Jung, M. H., Koo, O. J., Kim, S., Kim, J. S., Velasco, R., &amp; Nagamangala </w:t>
      </w:r>
      <w:proofErr w:type="spellStart"/>
      <w:r w:rsidRPr="0010427D">
        <w:rPr>
          <w:lang w:val="en-GB"/>
        </w:rPr>
        <w:t>Kanchiswamy</w:t>
      </w:r>
      <w:proofErr w:type="spellEnd"/>
      <w:r w:rsidRPr="0010427D">
        <w:rPr>
          <w:lang w:val="en-GB"/>
        </w:rPr>
        <w:t>, C. (2016). DNA-free genetically edited grapevine and apple protoplast using CRISPR/Cas9 ribonucleoproteins. Frontiers in Plant Science, 7, 1904. https://doi.org/10.3389/fpls.2016.01904</w:t>
      </w:r>
    </w:p>
    <w:p w:rsidR="009D746E" w:rsidRPr="0010427D" w:rsidRDefault="00D74051" w:rsidP="0010427D">
      <w:pPr>
        <w:spacing w:before="100" w:beforeAutospacing="1" w:after="100" w:afterAutospacing="1"/>
        <w:ind w:left="720" w:hanging="720"/>
        <w:jc w:val="both"/>
        <w:rPr>
          <w:lang w:val="en-GB"/>
        </w:rPr>
      </w:pPr>
      <w:proofErr w:type="spellStart"/>
      <w:r w:rsidRPr="0010427D">
        <w:rPr>
          <w:lang w:val="en-GB"/>
        </w:rPr>
        <w:t>Metje-Sprink</w:t>
      </w:r>
      <w:proofErr w:type="spellEnd"/>
      <w:r w:rsidRPr="0010427D">
        <w:rPr>
          <w:lang w:val="en-GB"/>
        </w:rPr>
        <w:t xml:space="preserve">, J., </w:t>
      </w:r>
      <w:proofErr w:type="spellStart"/>
      <w:r w:rsidRPr="0010427D">
        <w:rPr>
          <w:lang w:val="en-GB"/>
        </w:rPr>
        <w:t>Menz</w:t>
      </w:r>
      <w:proofErr w:type="spellEnd"/>
      <w:r w:rsidRPr="0010427D">
        <w:rPr>
          <w:lang w:val="en-GB"/>
        </w:rPr>
        <w:t xml:space="preserve">, J., </w:t>
      </w:r>
      <w:proofErr w:type="spellStart"/>
      <w:r w:rsidRPr="0010427D">
        <w:rPr>
          <w:lang w:val="en-GB"/>
        </w:rPr>
        <w:t>Modrzejewski</w:t>
      </w:r>
      <w:proofErr w:type="spellEnd"/>
      <w:r w:rsidRPr="0010427D">
        <w:rPr>
          <w:lang w:val="en-GB"/>
        </w:rPr>
        <w:t xml:space="preserve">, D., &amp; </w:t>
      </w:r>
      <w:proofErr w:type="spellStart"/>
      <w:r w:rsidRPr="0010427D">
        <w:rPr>
          <w:lang w:val="en-GB"/>
        </w:rPr>
        <w:t>Sprink</w:t>
      </w:r>
      <w:proofErr w:type="spellEnd"/>
      <w:r w:rsidRPr="0010427D">
        <w:rPr>
          <w:lang w:val="en-GB"/>
        </w:rPr>
        <w:t>, T. (2019). DNA-free genome editing: Past, present and future. Frontiers in Plant Science, 9, Article 1957. https://doi.org/10.3389/fpls.2018.01957</w:t>
      </w:r>
    </w:p>
    <w:p w:rsidR="009D746E" w:rsidRPr="0010427D" w:rsidRDefault="00D74051" w:rsidP="0010427D">
      <w:pPr>
        <w:spacing w:before="100" w:beforeAutospacing="1" w:after="100" w:afterAutospacing="1"/>
        <w:ind w:left="720" w:hanging="720"/>
        <w:jc w:val="both"/>
        <w:rPr>
          <w:lang w:val="en-GB"/>
        </w:rPr>
      </w:pPr>
      <w:r w:rsidRPr="0010427D">
        <w:rPr>
          <w:lang w:val="en-GB"/>
        </w:rPr>
        <w:t xml:space="preserve">Miao, C., Xiao, L., Hua, K., Zou, C., Zhao, Y., </w:t>
      </w:r>
      <w:proofErr w:type="spellStart"/>
      <w:r w:rsidRPr="0010427D">
        <w:rPr>
          <w:lang w:val="en-GB"/>
        </w:rPr>
        <w:t>Bressan</w:t>
      </w:r>
      <w:proofErr w:type="spellEnd"/>
      <w:r w:rsidRPr="0010427D">
        <w:rPr>
          <w:lang w:val="en-GB"/>
        </w:rPr>
        <w:t>, R. A., &amp; Zhu, J. K. (2018). Mutations in a subfamily of abscisic acid receptor genes promote rice growth and productivity. Proceedings of the National Academy of Sciences, 115(23), 6058–6063. https://doi.org/10.1073/pnas.1804774115</w:t>
      </w:r>
    </w:p>
    <w:p w:rsidR="009D746E" w:rsidRPr="0010427D" w:rsidRDefault="00D74051" w:rsidP="0010427D">
      <w:pPr>
        <w:spacing w:before="100" w:beforeAutospacing="1" w:after="100" w:afterAutospacing="1"/>
        <w:ind w:left="720" w:hanging="720"/>
        <w:jc w:val="both"/>
        <w:rPr>
          <w:lang w:val="en-GB"/>
        </w:rPr>
      </w:pPr>
      <w:r w:rsidRPr="0010427D">
        <w:rPr>
          <w:lang w:val="en-GB"/>
        </w:rPr>
        <w:t>Mishra, R., Joshi, R. K., &amp; Zhao, K. (2018). Genome editing in rice: Recent advances, challenges, and future implications. Frontiers in Plant Science, 9, 1361. https://doi.org/10.3389/fpls.2018.01361</w:t>
      </w:r>
    </w:p>
    <w:p w:rsidR="009D746E" w:rsidRPr="0010427D" w:rsidRDefault="00D74051" w:rsidP="0010427D">
      <w:pPr>
        <w:spacing w:before="100" w:beforeAutospacing="1" w:after="100" w:afterAutospacing="1"/>
        <w:ind w:left="720" w:hanging="720"/>
        <w:jc w:val="both"/>
        <w:rPr>
          <w:lang w:val="en-GB"/>
        </w:rPr>
      </w:pPr>
      <w:proofErr w:type="spellStart"/>
      <w:r w:rsidRPr="0010427D">
        <w:rPr>
          <w:lang w:val="en-GB"/>
        </w:rPr>
        <w:t>Puchta</w:t>
      </w:r>
      <w:proofErr w:type="spellEnd"/>
      <w:r w:rsidRPr="0010427D">
        <w:rPr>
          <w:lang w:val="en-GB"/>
        </w:rPr>
        <w:t>, H. (2017). Applying CRISPR/Cas for genome engineering in plants: The best is yet to come. Current Opinion in Plant Biology, 36, 1–8. https://doi.org/10.1016/j.pbi.2016.11.011</w:t>
      </w:r>
    </w:p>
    <w:p w:rsidR="009D746E" w:rsidRPr="0010427D" w:rsidRDefault="00D74051" w:rsidP="0010427D">
      <w:pPr>
        <w:spacing w:before="100" w:beforeAutospacing="1" w:after="100" w:afterAutospacing="1"/>
        <w:ind w:left="720" w:hanging="720"/>
        <w:jc w:val="both"/>
        <w:rPr>
          <w:lang w:val="en-GB"/>
        </w:rPr>
      </w:pPr>
      <w:r w:rsidRPr="0010427D">
        <w:rPr>
          <w:lang w:val="en-GB"/>
        </w:rPr>
        <w:t>Rodríguez-Leal, D., Lemmon, Z. H., Man, J., Bartlett, M. E., &amp; Lippman, Z. B. (2017). Engineering quantitative trait variation for crop improvement by genome editing. Cell, 171(2), 470–480. https://doi.org/10.1016/j.cell.2017.08.030</w:t>
      </w:r>
    </w:p>
    <w:p w:rsidR="009D746E" w:rsidRPr="0010427D" w:rsidRDefault="00D74051" w:rsidP="0010427D">
      <w:pPr>
        <w:spacing w:before="100" w:beforeAutospacing="1" w:after="100" w:afterAutospacing="1"/>
        <w:ind w:left="720" w:hanging="720"/>
        <w:jc w:val="both"/>
        <w:rPr>
          <w:lang w:val="en-GB"/>
        </w:rPr>
      </w:pPr>
      <w:r w:rsidRPr="0010427D">
        <w:rPr>
          <w:lang w:val="en-GB"/>
        </w:rPr>
        <w:t xml:space="preserve">Shan, Q., Wang, Y., Li, J., Zhang, Y., Chen, K., Liang, Z., Zhang, K., Liu, J., Xi, J. J., </w:t>
      </w:r>
      <w:proofErr w:type="spellStart"/>
      <w:r w:rsidRPr="0010427D">
        <w:rPr>
          <w:lang w:val="en-GB"/>
        </w:rPr>
        <w:t>Qiu</w:t>
      </w:r>
      <w:proofErr w:type="spellEnd"/>
      <w:r w:rsidRPr="0010427D">
        <w:rPr>
          <w:lang w:val="en-GB"/>
        </w:rPr>
        <w:t>, J. L., &amp; Gao, C. (2013). Targeted genome modification of crop plants using a CRISPR-Cas system. Nature Biotechnology, 31(8), 686–688. https://doi.org/10.1038/nbt.2650</w:t>
      </w:r>
    </w:p>
    <w:p w:rsidR="009D746E" w:rsidRPr="0010427D" w:rsidRDefault="00D74051" w:rsidP="0010427D">
      <w:pPr>
        <w:spacing w:before="100" w:beforeAutospacing="1" w:after="100" w:afterAutospacing="1"/>
        <w:ind w:left="720" w:hanging="720"/>
        <w:jc w:val="both"/>
        <w:rPr>
          <w:lang w:val="en-GB"/>
        </w:rPr>
      </w:pPr>
      <w:r w:rsidRPr="0010427D">
        <w:rPr>
          <w:lang w:val="en-GB"/>
        </w:rPr>
        <w:t xml:space="preserve">Shi, J., Gao, H., Wang, H., Lafitte, H. R., Archibald, R. L., Yang, M., Hakimi, S. M., Mo, H., &amp; </w:t>
      </w:r>
      <w:proofErr w:type="spellStart"/>
      <w:r w:rsidRPr="0010427D">
        <w:rPr>
          <w:lang w:val="en-GB"/>
        </w:rPr>
        <w:t>Habben</w:t>
      </w:r>
      <w:proofErr w:type="spellEnd"/>
      <w:r w:rsidRPr="0010427D">
        <w:rPr>
          <w:lang w:val="en-GB"/>
        </w:rPr>
        <w:t>, J. E. (2017). ARGOS8 variants generated by CRISPR-Cas9 improve maize grain yield under field drought stress conditions. Plant Biotechnology Journal, 15(2), 207–216. https://doi.org/10.1111/pbi.12603</w:t>
      </w:r>
    </w:p>
    <w:p w:rsidR="009D746E" w:rsidRPr="0010427D" w:rsidRDefault="00D74051" w:rsidP="0010427D">
      <w:pPr>
        <w:spacing w:before="100" w:beforeAutospacing="1" w:after="100" w:afterAutospacing="1"/>
        <w:ind w:left="720" w:hanging="720"/>
        <w:jc w:val="both"/>
        <w:rPr>
          <w:lang w:val="en-GB"/>
        </w:rPr>
      </w:pPr>
      <w:r w:rsidRPr="0010427D">
        <w:rPr>
          <w:lang w:val="en-GB"/>
        </w:rPr>
        <w:lastRenderedPageBreak/>
        <w:t xml:space="preserve">Turnbull, C., </w:t>
      </w:r>
      <w:proofErr w:type="spellStart"/>
      <w:r w:rsidRPr="0010427D">
        <w:rPr>
          <w:lang w:val="en-GB"/>
        </w:rPr>
        <w:t>Lillemo</w:t>
      </w:r>
      <w:proofErr w:type="spellEnd"/>
      <w:r w:rsidRPr="0010427D">
        <w:rPr>
          <w:lang w:val="en-GB"/>
        </w:rPr>
        <w:t xml:space="preserve">, M., &amp; </w:t>
      </w:r>
      <w:proofErr w:type="spellStart"/>
      <w:r w:rsidRPr="0010427D">
        <w:rPr>
          <w:lang w:val="en-GB"/>
        </w:rPr>
        <w:t>Hvoslef</w:t>
      </w:r>
      <w:proofErr w:type="spellEnd"/>
      <w:r w:rsidRPr="0010427D">
        <w:rPr>
          <w:lang w:val="en-GB"/>
        </w:rPr>
        <w:t>-Eide, T. A. K. (2021). Global regulation of genetically modified crops amid the gene editing revolution. Frontiers in Plant Science, 12, 630396. https://doi.org/10.3389/fpls.2021.630396</w:t>
      </w:r>
    </w:p>
    <w:p w:rsidR="009D746E" w:rsidRPr="0010427D" w:rsidRDefault="00D74051" w:rsidP="0010427D">
      <w:pPr>
        <w:spacing w:before="100" w:beforeAutospacing="1" w:after="100" w:afterAutospacing="1"/>
        <w:ind w:left="720" w:hanging="720"/>
        <w:jc w:val="both"/>
        <w:rPr>
          <w:lang w:val="en-GB"/>
        </w:rPr>
      </w:pPr>
      <w:r w:rsidRPr="0010427D">
        <w:rPr>
          <w:lang w:val="en-GB"/>
        </w:rPr>
        <w:t>Varshney, R. K., Bohra, A., Yu, J., Graner, A., Zhang, Q., &amp; Sorrells, M. E. (2021). Designing future crops: Genomics-assisted breeding comes of age. Trends in Plant Science, 26(6), 631–649. https://doi.org/10.1016/j.tplants.2021.03.010</w:t>
      </w:r>
    </w:p>
    <w:p w:rsidR="009D746E" w:rsidRPr="0010427D" w:rsidRDefault="00D74051" w:rsidP="0010427D">
      <w:pPr>
        <w:spacing w:before="100" w:beforeAutospacing="1" w:after="100" w:afterAutospacing="1"/>
        <w:ind w:left="720" w:hanging="720"/>
        <w:jc w:val="both"/>
        <w:rPr>
          <w:lang w:val="en-GB"/>
        </w:rPr>
      </w:pPr>
      <w:r w:rsidRPr="0010427D">
        <w:rPr>
          <w:lang w:val="en-GB"/>
        </w:rPr>
        <w:t xml:space="preserve">Wang, Y., Cheng, X., Shan, Q., Zhang, Y., Liu, J., Gao, C., &amp; </w:t>
      </w:r>
      <w:proofErr w:type="spellStart"/>
      <w:r w:rsidRPr="0010427D">
        <w:rPr>
          <w:lang w:val="en-GB"/>
        </w:rPr>
        <w:t>Qiu</w:t>
      </w:r>
      <w:proofErr w:type="spellEnd"/>
      <w:r w:rsidRPr="0010427D">
        <w:rPr>
          <w:lang w:val="en-GB"/>
        </w:rPr>
        <w:t xml:space="preserve">, J. L. (2014). Simultaneous editing of three </w:t>
      </w:r>
      <w:proofErr w:type="spellStart"/>
      <w:r w:rsidRPr="0010427D">
        <w:rPr>
          <w:lang w:val="en-GB"/>
        </w:rPr>
        <w:t>homoeoalleles</w:t>
      </w:r>
      <w:proofErr w:type="spellEnd"/>
      <w:r w:rsidRPr="0010427D">
        <w:rPr>
          <w:lang w:val="en-GB"/>
        </w:rPr>
        <w:t xml:space="preserve"> in </w:t>
      </w:r>
      <w:proofErr w:type="spellStart"/>
      <w:r w:rsidRPr="0010427D">
        <w:rPr>
          <w:lang w:val="en-GB"/>
        </w:rPr>
        <w:t>hexaploid</w:t>
      </w:r>
      <w:proofErr w:type="spellEnd"/>
      <w:r w:rsidRPr="0010427D">
        <w:rPr>
          <w:lang w:val="en-GB"/>
        </w:rPr>
        <w:t xml:space="preserve"> bread wheat confers heritable resistance to powdery mildew. Nature Biotechnology, 32(9), 947–951. https://doi.org/10.1038/nbt.2969</w:t>
      </w:r>
    </w:p>
    <w:p w:rsidR="009D746E" w:rsidRPr="0010427D" w:rsidRDefault="00D74051" w:rsidP="0010427D">
      <w:pPr>
        <w:spacing w:before="100" w:beforeAutospacing="1" w:after="100" w:afterAutospacing="1"/>
        <w:ind w:left="720" w:hanging="720"/>
        <w:jc w:val="both"/>
        <w:rPr>
          <w:lang w:val="en-GB"/>
        </w:rPr>
      </w:pPr>
      <w:r w:rsidRPr="0010427D">
        <w:rPr>
          <w:lang w:val="en-GB"/>
        </w:rPr>
        <w:t xml:space="preserve">Xu, K., Xu, X., </w:t>
      </w:r>
      <w:proofErr w:type="spellStart"/>
      <w:r w:rsidRPr="0010427D">
        <w:rPr>
          <w:lang w:val="en-GB"/>
        </w:rPr>
        <w:t>Fukao</w:t>
      </w:r>
      <w:proofErr w:type="spellEnd"/>
      <w:r w:rsidRPr="0010427D">
        <w:rPr>
          <w:lang w:val="en-GB"/>
        </w:rPr>
        <w:t xml:space="preserve">, T., Canlas, P., </w:t>
      </w:r>
      <w:proofErr w:type="spellStart"/>
      <w:r w:rsidRPr="0010427D">
        <w:rPr>
          <w:lang w:val="en-GB"/>
        </w:rPr>
        <w:t>Maghirang</w:t>
      </w:r>
      <w:proofErr w:type="spellEnd"/>
      <w:r w:rsidRPr="0010427D">
        <w:rPr>
          <w:lang w:val="en-GB"/>
        </w:rPr>
        <w:t>-Rodriguez, R., Heuer, S., Ismail, A. M., Bailey-</w:t>
      </w:r>
      <w:proofErr w:type="spellStart"/>
      <w:r w:rsidRPr="0010427D">
        <w:rPr>
          <w:lang w:val="en-GB"/>
        </w:rPr>
        <w:t>Serres</w:t>
      </w:r>
      <w:proofErr w:type="spellEnd"/>
      <w:r w:rsidRPr="0010427D">
        <w:rPr>
          <w:lang w:val="en-GB"/>
        </w:rPr>
        <w:t xml:space="preserve">, J., Ronald, P. C., &amp; </w:t>
      </w:r>
      <w:proofErr w:type="spellStart"/>
      <w:r w:rsidRPr="0010427D">
        <w:rPr>
          <w:lang w:val="en-GB"/>
        </w:rPr>
        <w:t>Mackill</w:t>
      </w:r>
      <w:proofErr w:type="spellEnd"/>
      <w:r w:rsidRPr="0010427D">
        <w:rPr>
          <w:lang w:val="en-GB"/>
        </w:rPr>
        <w:t>, D. J. (2006). Sub1A is an ethylene-response-factor-like gene that confers submergence tolerance to rice. Nature, 442(7103), 705–708. https://doi.org/10.1038/nature04920</w:t>
      </w:r>
    </w:p>
    <w:p w:rsidR="009D746E" w:rsidRPr="0010427D" w:rsidRDefault="00D74051" w:rsidP="0010427D">
      <w:pPr>
        <w:spacing w:before="100" w:beforeAutospacing="1" w:after="100" w:afterAutospacing="1"/>
        <w:ind w:left="720" w:hanging="720"/>
        <w:jc w:val="both"/>
        <w:rPr>
          <w:lang w:val="en-GB"/>
        </w:rPr>
      </w:pPr>
      <w:r w:rsidRPr="0010427D">
        <w:rPr>
          <w:lang w:val="en-GB"/>
        </w:rPr>
        <w:t>Zafar, S. A., Zaidi, S. S., Gaba, Y., Singla-</w:t>
      </w:r>
      <w:proofErr w:type="spellStart"/>
      <w:r w:rsidRPr="0010427D">
        <w:rPr>
          <w:lang w:val="en-GB"/>
        </w:rPr>
        <w:t>Pareek</w:t>
      </w:r>
      <w:proofErr w:type="spellEnd"/>
      <w:r w:rsidRPr="0010427D">
        <w:rPr>
          <w:lang w:val="en-GB"/>
        </w:rPr>
        <w:t xml:space="preserve">, S. L., </w:t>
      </w:r>
      <w:proofErr w:type="spellStart"/>
      <w:r w:rsidRPr="0010427D">
        <w:rPr>
          <w:lang w:val="en-GB"/>
        </w:rPr>
        <w:t>Dhankher</w:t>
      </w:r>
      <w:proofErr w:type="spellEnd"/>
      <w:r w:rsidRPr="0010427D">
        <w:rPr>
          <w:lang w:val="en-GB"/>
        </w:rPr>
        <w:t xml:space="preserve">, O. P., Li, X., </w:t>
      </w:r>
      <w:proofErr w:type="spellStart"/>
      <w:r w:rsidRPr="0010427D">
        <w:rPr>
          <w:lang w:val="en-GB"/>
        </w:rPr>
        <w:t>Lindlöf</w:t>
      </w:r>
      <w:proofErr w:type="spellEnd"/>
      <w:r w:rsidRPr="0010427D">
        <w:rPr>
          <w:lang w:val="en-GB"/>
        </w:rPr>
        <w:t xml:space="preserve">, A., &amp; </w:t>
      </w:r>
      <w:proofErr w:type="spellStart"/>
      <w:r w:rsidRPr="0010427D">
        <w:rPr>
          <w:lang w:val="en-GB"/>
        </w:rPr>
        <w:t>Pareek</w:t>
      </w:r>
      <w:proofErr w:type="spellEnd"/>
      <w:r w:rsidRPr="0010427D">
        <w:rPr>
          <w:lang w:val="en-GB"/>
        </w:rPr>
        <w:t>, A. (2020). Engineering abiotic stress tolerance via CRISPR/Cas-mediated genome editing. Journal of Experimental Botany, 71(2), 470–479. https://doi.org/10.1093/jxb/erz476</w:t>
      </w:r>
    </w:p>
    <w:p w:rsidR="009D746E" w:rsidRPr="0010427D" w:rsidRDefault="00D74051" w:rsidP="0010427D">
      <w:pPr>
        <w:spacing w:before="100" w:beforeAutospacing="1" w:after="100" w:afterAutospacing="1"/>
        <w:ind w:left="720" w:hanging="720"/>
        <w:jc w:val="both"/>
        <w:rPr>
          <w:lang w:val="en-GB"/>
        </w:rPr>
      </w:pPr>
      <w:r w:rsidRPr="0010427D">
        <w:rPr>
          <w:lang w:val="en-GB"/>
        </w:rPr>
        <w:t xml:space="preserve">Zhang, R., Liu, J., Chai, Z., Chen, S., Bai, Y., </w:t>
      </w:r>
      <w:proofErr w:type="spellStart"/>
      <w:r w:rsidRPr="0010427D">
        <w:rPr>
          <w:lang w:val="en-GB"/>
        </w:rPr>
        <w:t>Zong</w:t>
      </w:r>
      <w:proofErr w:type="spellEnd"/>
      <w:r w:rsidRPr="0010427D">
        <w:rPr>
          <w:lang w:val="en-GB"/>
        </w:rPr>
        <w:t>, Y., Chen, K., Li, J., Bing, J., &amp; Gao, C. (2019). Generation of herbicide tolerance traits and a new selectable marker in wheat using base editing. Nature Plants, 5(5), 480–485. https://doi.org/10.1038/s41477-019-0405-0</w:t>
      </w:r>
    </w:p>
    <w:p w:rsidR="009D746E" w:rsidRPr="0010427D" w:rsidRDefault="00D74051" w:rsidP="0010427D">
      <w:pPr>
        <w:spacing w:before="100" w:beforeAutospacing="1" w:after="100" w:afterAutospacing="1"/>
        <w:ind w:left="720" w:hanging="720"/>
        <w:jc w:val="both"/>
        <w:rPr>
          <w:lang w:val="en-GB"/>
        </w:rPr>
      </w:pPr>
      <w:proofErr w:type="spellStart"/>
      <w:r w:rsidRPr="0010427D">
        <w:rPr>
          <w:lang w:val="en-GB"/>
        </w:rPr>
        <w:t>Zong</w:t>
      </w:r>
      <w:proofErr w:type="spellEnd"/>
      <w:r w:rsidRPr="0010427D">
        <w:rPr>
          <w:lang w:val="en-GB"/>
        </w:rPr>
        <w:t xml:space="preserve">, Y., Wang, Y., Li, C., Zhang, R., Chen, K., Ran, Y., </w:t>
      </w:r>
      <w:proofErr w:type="spellStart"/>
      <w:r w:rsidRPr="0010427D">
        <w:rPr>
          <w:lang w:val="en-GB"/>
        </w:rPr>
        <w:t>Qiu</w:t>
      </w:r>
      <w:proofErr w:type="spellEnd"/>
      <w:r w:rsidRPr="0010427D">
        <w:rPr>
          <w:lang w:val="en-GB"/>
        </w:rPr>
        <w:t>, J. L., Wang, D., &amp; Gao, C. (2017). Precise base editing in rice, wheat and maize with a Cas9-cytidine deaminase fusion. Nature Biotechnology, 35(5), 438–440. https://doi.org/10.1038/nbt.3811</w:t>
      </w:r>
    </w:p>
    <w:p w:rsidR="009D746E" w:rsidRPr="0010427D" w:rsidRDefault="00D74051" w:rsidP="0010427D">
      <w:pPr>
        <w:spacing w:before="100" w:beforeAutospacing="1" w:after="100" w:afterAutospacing="1"/>
        <w:ind w:left="720" w:hanging="720"/>
        <w:jc w:val="both"/>
        <w:rPr>
          <w:lang w:val="en-GB"/>
        </w:rPr>
      </w:pPr>
      <w:proofErr w:type="spellStart"/>
      <w:r w:rsidRPr="0010427D">
        <w:rPr>
          <w:lang w:val="en-GB"/>
        </w:rPr>
        <w:t>Zsögön</w:t>
      </w:r>
      <w:proofErr w:type="spellEnd"/>
      <w:r w:rsidRPr="0010427D">
        <w:rPr>
          <w:lang w:val="en-GB"/>
        </w:rPr>
        <w:t xml:space="preserve">, A., </w:t>
      </w:r>
      <w:proofErr w:type="spellStart"/>
      <w:r w:rsidRPr="0010427D">
        <w:rPr>
          <w:lang w:val="en-GB"/>
        </w:rPr>
        <w:t>Čermák</w:t>
      </w:r>
      <w:proofErr w:type="spellEnd"/>
      <w:r w:rsidRPr="0010427D">
        <w:rPr>
          <w:lang w:val="en-GB"/>
        </w:rPr>
        <w:t xml:space="preserve">, T., Naves, E. R., </w:t>
      </w:r>
      <w:proofErr w:type="spellStart"/>
      <w:r w:rsidRPr="0010427D">
        <w:rPr>
          <w:lang w:val="en-GB"/>
        </w:rPr>
        <w:t>Notini</w:t>
      </w:r>
      <w:proofErr w:type="spellEnd"/>
      <w:r w:rsidRPr="0010427D">
        <w:rPr>
          <w:lang w:val="en-GB"/>
        </w:rPr>
        <w:t xml:space="preserve">, M. M., </w:t>
      </w:r>
      <w:proofErr w:type="spellStart"/>
      <w:r w:rsidRPr="0010427D">
        <w:rPr>
          <w:lang w:val="en-GB"/>
        </w:rPr>
        <w:t>Edel</w:t>
      </w:r>
      <w:proofErr w:type="spellEnd"/>
      <w:r w:rsidRPr="0010427D">
        <w:rPr>
          <w:lang w:val="en-GB"/>
        </w:rPr>
        <w:t xml:space="preserve">, K. H., </w:t>
      </w:r>
      <w:proofErr w:type="spellStart"/>
      <w:r w:rsidRPr="0010427D">
        <w:rPr>
          <w:lang w:val="en-GB"/>
        </w:rPr>
        <w:t>Weinl</w:t>
      </w:r>
      <w:proofErr w:type="spellEnd"/>
      <w:r w:rsidRPr="0010427D">
        <w:rPr>
          <w:lang w:val="en-GB"/>
        </w:rPr>
        <w:t xml:space="preserve">, S., </w:t>
      </w:r>
      <w:proofErr w:type="spellStart"/>
      <w:r w:rsidRPr="0010427D">
        <w:rPr>
          <w:lang w:val="en-GB"/>
        </w:rPr>
        <w:t>Freschi</w:t>
      </w:r>
      <w:proofErr w:type="spellEnd"/>
      <w:r w:rsidRPr="0010427D">
        <w:rPr>
          <w:lang w:val="en-GB"/>
        </w:rPr>
        <w:t xml:space="preserve">, L., </w:t>
      </w:r>
      <w:proofErr w:type="spellStart"/>
      <w:r w:rsidRPr="0010427D">
        <w:rPr>
          <w:lang w:val="en-GB"/>
        </w:rPr>
        <w:t>Voytas</w:t>
      </w:r>
      <w:proofErr w:type="spellEnd"/>
      <w:r w:rsidRPr="0010427D">
        <w:rPr>
          <w:lang w:val="en-GB"/>
        </w:rPr>
        <w:t xml:space="preserve">, D. F., </w:t>
      </w:r>
      <w:proofErr w:type="spellStart"/>
      <w:r w:rsidRPr="0010427D">
        <w:rPr>
          <w:lang w:val="en-GB"/>
        </w:rPr>
        <w:t>Kudla</w:t>
      </w:r>
      <w:proofErr w:type="spellEnd"/>
      <w:r w:rsidRPr="0010427D">
        <w:rPr>
          <w:lang w:val="en-GB"/>
        </w:rPr>
        <w:t>, J., &amp; Peres, L. E. P. (2018). De novo domestication of wild tomato using genome editing. Nature Biotechnology, 36(12), 1211–1216. https://doi.org/10.1038/nbt.4272</w:t>
      </w:r>
    </w:p>
    <w:sectPr w:rsidR="009D746E" w:rsidRPr="0010427D" w:rsidSect="009D746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06D" w:rsidRDefault="005A706D" w:rsidP="009D746E">
      <w:r>
        <w:separator/>
      </w:r>
    </w:p>
  </w:endnote>
  <w:endnote w:type="continuationSeparator" w:id="0">
    <w:p w:rsidR="005A706D" w:rsidRDefault="005A706D" w:rsidP="009D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90D" w:rsidRDefault="00123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90D" w:rsidRDefault="001239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90D" w:rsidRDefault="00123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06D" w:rsidRDefault="005A706D" w:rsidP="009D746E">
      <w:r>
        <w:separator/>
      </w:r>
    </w:p>
  </w:footnote>
  <w:footnote w:type="continuationSeparator" w:id="0">
    <w:p w:rsidR="005A706D" w:rsidRDefault="005A706D" w:rsidP="009D7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90D" w:rsidRDefault="001239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60668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90D" w:rsidRDefault="001239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60668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90D" w:rsidRDefault="001239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60668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8C4266"/>
    <w:multiLevelType w:val="hybridMultilevel"/>
    <w:tmpl w:val="C634359E"/>
    <w:lvl w:ilvl="0" w:tplc="7B5E4ABA">
      <w:start w:val="1"/>
      <w:numFmt w:val="bullet"/>
      <w:lvlText w:val="●"/>
      <w:lvlJc w:val="left"/>
      <w:pPr>
        <w:ind w:left="720" w:hanging="360"/>
      </w:pPr>
    </w:lvl>
    <w:lvl w:ilvl="1" w:tplc="4316FEC0">
      <w:start w:val="1"/>
      <w:numFmt w:val="bullet"/>
      <w:lvlText w:val="○"/>
      <w:lvlJc w:val="left"/>
      <w:pPr>
        <w:ind w:left="1440" w:hanging="360"/>
      </w:pPr>
    </w:lvl>
    <w:lvl w:ilvl="2" w:tplc="D9F67024">
      <w:start w:val="1"/>
      <w:numFmt w:val="bullet"/>
      <w:lvlText w:val="■"/>
      <w:lvlJc w:val="left"/>
      <w:pPr>
        <w:ind w:left="2160" w:hanging="360"/>
      </w:pPr>
    </w:lvl>
    <w:lvl w:ilvl="3" w:tplc="B90ED16A">
      <w:start w:val="1"/>
      <w:numFmt w:val="bullet"/>
      <w:lvlText w:val="●"/>
      <w:lvlJc w:val="left"/>
      <w:pPr>
        <w:ind w:left="2880" w:hanging="360"/>
      </w:pPr>
    </w:lvl>
    <w:lvl w:ilvl="4" w:tplc="76F2B5F4">
      <w:start w:val="1"/>
      <w:numFmt w:val="bullet"/>
      <w:lvlText w:val="○"/>
      <w:lvlJc w:val="left"/>
      <w:pPr>
        <w:ind w:left="3600" w:hanging="360"/>
      </w:pPr>
    </w:lvl>
    <w:lvl w:ilvl="5" w:tplc="E6864AEE">
      <w:start w:val="1"/>
      <w:numFmt w:val="bullet"/>
      <w:lvlText w:val="■"/>
      <w:lvlJc w:val="left"/>
      <w:pPr>
        <w:ind w:left="4320" w:hanging="360"/>
      </w:pPr>
    </w:lvl>
    <w:lvl w:ilvl="6" w:tplc="FD9C10F6">
      <w:start w:val="1"/>
      <w:numFmt w:val="bullet"/>
      <w:lvlText w:val="●"/>
      <w:lvlJc w:val="left"/>
      <w:pPr>
        <w:ind w:left="5040" w:hanging="360"/>
      </w:pPr>
    </w:lvl>
    <w:lvl w:ilvl="7" w:tplc="F87EBF36">
      <w:start w:val="1"/>
      <w:numFmt w:val="bullet"/>
      <w:lvlText w:val="●"/>
      <w:lvlJc w:val="left"/>
      <w:pPr>
        <w:ind w:left="5760" w:hanging="360"/>
      </w:pPr>
    </w:lvl>
    <w:lvl w:ilvl="8" w:tplc="0F76931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746E"/>
    <w:rsid w:val="0010427D"/>
    <w:rsid w:val="0012390D"/>
    <w:rsid w:val="005A706D"/>
    <w:rsid w:val="006A3F5C"/>
    <w:rsid w:val="009D746E"/>
    <w:rsid w:val="00D74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89C1432-2BC2-4CE1-91ED-A25F3F91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9D746E"/>
    <w:pPr>
      <w:spacing w:before="360" w:after="120"/>
      <w:outlineLvl w:val="0"/>
    </w:pPr>
    <w:rPr>
      <w:b/>
      <w:bCs/>
      <w:color w:val="1F3864"/>
      <w:sz w:val="28"/>
      <w:szCs w:val="28"/>
    </w:rPr>
  </w:style>
  <w:style w:type="paragraph" w:styleId="Heading2">
    <w:name w:val="heading 2"/>
    <w:qFormat/>
    <w:rsid w:val="009D746E"/>
    <w:pPr>
      <w:spacing w:before="240" w:after="120"/>
      <w:outlineLvl w:val="1"/>
    </w:pPr>
    <w:rPr>
      <w:b/>
      <w:bCs/>
      <w:color w:val="2E5496"/>
    </w:rPr>
  </w:style>
  <w:style w:type="paragraph" w:styleId="Heading3">
    <w:name w:val="heading 3"/>
    <w:qFormat/>
    <w:rsid w:val="009D746E"/>
    <w:pPr>
      <w:outlineLvl w:val="2"/>
    </w:pPr>
    <w:rPr>
      <w:color w:val="1F4D78"/>
    </w:rPr>
  </w:style>
  <w:style w:type="paragraph" w:styleId="Heading4">
    <w:name w:val="heading 4"/>
    <w:qFormat/>
    <w:rsid w:val="009D746E"/>
    <w:pPr>
      <w:outlineLvl w:val="3"/>
    </w:pPr>
    <w:rPr>
      <w:i/>
      <w:iCs/>
      <w:color w:val="2E74B5"/>
    </w:rPr>
  </w:style>
  <w:style w:type="paragraph" w:styleId="Heading5">
    <w:name w:val="heading 5"/>
    <w:qFormat/>
    <w:rsid w:val="009D746E"/>
    <w:pPr>
      <w:outlineLvl w:val="4"/>
    </w:pPr>
    <w:rPr>
      <w:color w:val="2E74B5"/>
    </w:rPr>
  </w:style>
  <w:style w:type="paragraph" w:styleId="Heading6">
    <w:name w:val="heading 6"/>
    <w:qFormat/>
    <w:rsid w:val="009D746E"/>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9D746E"/>
    <w:rPr>
      <w:sz w:val="56"/>
      <w:szCs w:val="56"/>
    </w:rPr>
  </w:style>
  <w:style w:type="paragraph" w:customStyle="1" w:styleId="Strong1">
    <w:name w:val="Strong1"/>
    <w:qFormat/>
    <w:rsid w:val="009D746E"/>
    <w:rPr>
      <w:b/>
      <w:bCs/>
    </w:rPr>
  </w:style>
  <w:style w:type="paragraph" w:styleId="ListParagraph">
    <w:name w:val="List Paragraph"/>
    <w:qFormat/>
    <w:rsid w:val="009D746E"/>
  </w:style>
  <w:style w:type="character" w:styleId="Hyperlink">
    <w:name w:val="Hyperlink"/>
    <w:uiPriority w:val="99"/>
    <w:unhideWhenUsed/>
    <w:rsid w:val="009D746E"/>
    <w:rPr>
      <w:color w:val="0563C1"/>
      <w:u w:val="single"/>
    </w:rPr>
  </w:style>
  <w:style w:type="character" w:styleId="FootnoteReference">
    <w:name w:val="footnote reference"/>
    <w:uiPriority w:val="99"/>
    <w:semiHidden/>
    <w:unhideWhenUsed/>
    <w:rsid w:val="009D746E"/>
    <w:rPr>
      <w:vertAlign w:val="superscript"/>
    </w:rPr>
  </w:style>
  <w:style w:type="paragraph" w:styleId="FootnoteText">
    <w:name w:val="footnote text"/>
    <w:link w:val="FootnoteTextChar"/>
    <w:uiPriority w:val="99"/>
    <w:semiHidden/>
    <w:unhideWhenUsed/>
    <w:rsid w:val="009D746E"/>
    <w:rPr>
      <w:sz w:val="20"/>
      <w:szCs w:val="20"/>
    </w:rPr>
  </w:style>
  <w:style w:type="character" w:customStyle="1" w:styleId="FootnoteTextChar">
    <w:name w:val="Footnote Text Char"/>
    <w:link w:val="FootnoteText"/>
    <w:uiPriority w:val="99"/>
    <w:semiHidden/>
    <w:unhideWhenUsed/>
    <w:rsid w:val="009D746E"/>
    <w:rPr>
      <w:sz w:val="20"/>
      <w:szCs w:val="20"/>
    </w:rPr>
  </w:style>
  <w:style w:type="paragraph" w:styleId="Header">
    <w:name w:val="header"/>
    <w:basedOn w:val="Normal"/>
    <w:link w:val="HeaderChar"/>
    <w:uiPriority w:val="99"/>
    <w:unhideWhenUsed/>
    <w:rsid w:val="0010427D"/>
    <w:pPr>
      <w:tabs>
        <w:tab w:val="center" w:pos="4680"/>
        <w:tab w:val="right" w:pos="9360"/>
      </w:tabs>
    </w:pPr>
  </w:style>
  <w:style w:type="character" w:customStyle="1" w:styleId="HeaderChar">
    <w:name w:val="Header Char"/>
    <w:basedOn w:val="DefaultParagraphFont"/>
    <w:link w:val="Header"/>
    <w:uiPriority w:val="99"/>
    <w:rsid w:val="0010427D"/>
  </w:style>
  <w:style w:type="paragraph" w:styleId="Footer">
    <w:name w:val="footer"/>
    <w:basedOn w:val="Normal"/>
    <w:link w:val="FooterChar"/>
    <w:uiPriority w:val="99"/>
    <w:unhideWhenUsed/>
    <w:rsid w:val="0010427D"/>
    <w:pPr>
      <w:tabs>
        <w:tab w:val="center" w:pos="4680"/>
        <w:tab w:val="right" w:pos="9360"/>
      </w:tabs>
    </w:pPr>
  </w:style>
  <w:style w:type="character" w:customStyle="1" w:styleId="FooterChar">
    <w:name w:val="Footer Char"/>
    <w:basedOn w:val="DefaultParagraphFont"/>
    <w:link w:val="Footer"/>
    <w:uiPriority w:val="99"/>
    <w:rsid w:val="00104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22</Pages>
  <Words>11487</Words>
  <Characters>65479</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4</cp:revision>
  <dcterms:created xsi:type="dcterms:W3CDTF">2026-03-21T20:55:00Z</dcterms:created>
  <dcterms:modified xsi:type="dcterms:W3CDTF">2026-03-23T13:57:00Z</dcterms:modified>
</cp:coreProperties>
</file>