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6964" w14:textId="77777777" w:rsidR="007A4A0F" w:rsidRDefault="007A4A0F" w:rsidP="007A4A0F">
      <w:pPr>
        <w:spacing w:before="100" w:beforeAutospacing="1" w:after="0" w:line="360" w:lineRule="auto"/>
        <w:jc w:val="center"/>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EVALUATION OF THE PHYSICOCHEMICAL QUALITY OF INDUSTRIAL EFFLUENTS IN THE CITY OF MOUNDOU IN SOUTHERN CHAD</w:t>
      </w:r>
    </w:p>
    <w:p w14:paraId="35AD5AC0" w14:textId="77777777" w:rsidR="005E64B5" w:rsidRPr="007A4A0F" w:rsidRDefault="005E64B5" w:rsidP="007A4A0F">
      <w:pPr>
        <w:spacing w:before="100" w:beforeAutospacing="1" w:after="0" w:line="360" w:lineRule="auto"/>
        <w:jc w:val="center"/>
        <w:rPr>
          <w:rFonts w:ascii="Times New Roman" w:eastAsia="Times New Roman" w:hAnsi="Times New Roman" w:cs="Times New Roman"/>
          <w:b/>
          <w:sz w:val="24"/>
          <w:szCs w:val="24"/>
          <w:lang w:eastAsia="fr-FR"/>
        </w:rPr>
      </w:pPr>
    </w:p>
    <w:p w14:paraId="63256067" w14:textId="77777777" w:rsidR="00897B4D" w:rsidRPr="007A4A0F" w:rsidRDefault="00897B4D" w:rsidP="00DD5199">
      <w:pPr>
        <w:tabs>
          <w:tab w:val="left" w:pos="3650"/>
        </w:tabs>
        <w:spacing w:after="120" w:line="360" w:lineRule="auto"/>
        <w:jc w:val="both"/>
        <w:rPr>
          <w:rFonts w:ascii="Times New Roman" w:eastAsia="Times New Roman" w:hAnsi="Times New Roman" w:cs="Times New Roman"/>
          <w:i/>
          <w:lang w:eastAsia="fr-FR"/>
        </w:rPr>
      </w:pPr>
    </w:p>
    <w:p w14:paraId="3D44E9E0" w14:textId="77777777" w:rsidR="00DD5199" w:rsidRDefault="00DD5199" w:rsidP="007A4A0F">
      <w:pPr>
        <w:spacing w:after="0" w:line="360" w:lineRule="auto"/>
        <w:jc w:val="both"/>
        <w:rPr>
          <w:rFonts w:ascii="Times New Roman" w:eastAsia="Times New Roman" w:hAnsi="Times New Roman" w:cs="Times New Roman"/>
          <w:b/>
          <w:sz w:val="24"/>
          <w:szCs w:val="24"/>
          <w:lang w:eastAsia="fr-FR"/>
        </w:rPr>
      </w:pPr>
    </w:p>
    <w:p w14:paraId="17CD135D"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Abstract</w:t>
      </w:r>
    </w:p>
    <w:p w14:paraId="316C9A39" w14:textId="77777777" w:rsidR="007A4A0F" w:rsidRPr="00BD5AF3" w:rsidRDefault="007A4A0F" w:rsidP="007A4A0F">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This study focused on the qualitative assessment of industrial effluents from the city of Moundou discharged into the Logone River. The objective was to determine the physicochemical quality of effluents from Cotontchad, the central slaughterhouse, and Brasseries du Tchad (BDT) and their impact on the Logone River. The pH, temperature, and electrical conductivity were measured in situ. Physicochemical parameters such as COD, BOD</w:t>
      </w:r>
      <w:r w:rsidRPr="007A4A0F">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NO</w:t>
      </w:r>
      <w:r w:rsidRPr="007A4A0F">
        <w:rPr>
          <w:rFonts w:ascii="Times New Roman" w:eastAsia="Times New Roman" w:hAnsi="Times New Roman" w:cs="Times New Roman"/>
          <w:sz w:val="24"/>
          <w:szCs w:val="24"/>
          <w:vertAlign w:val="subscript"/>
          <w:lang w:eastAsia="fr-FR"/>
        </w:rPr>
        <w:t>3</w:t>
      </w:r>
      <w:r w:rsidRPr="007A4A0F">
        <w:rPr>
          <w:rFonts w:ascii="Times New Roman" w:eastAsia="Times New Roman" w:hAnsi="Times New Roman" w:cs="Times New Roman"/>
          <w:sz w:val="24"/>
          <w:szCs w:val="24"/>
          <w:vertAlign w:val="superscript"/>
          <w:lang w:eastAsia="fr-FR"/>
        </w:rPr>
        <w:t>-</w:t>
      </w:r>
      <w:r w:rsidRPr="00BD5AF3">
        <w:rPr>
          <w:rFonts w:ascii="Times New Roman" w:eastAsia="Times New Roman" w:hAnsi="Times New Roman" w:cs="Times New Roman"/>
          <w:sz w:val="24"/>
          <w:szCs w:val="24"/>
          <w:lang w:eastAsia="fr-FR"/>
        </w:rPr>
        <w:t>, PO</w:t>
      </w:r>
      <w:r w:rsidRPr="007A4A0F">
        <w:rPr>
          <w:rFonts w:ascii="Times New Roman" w:eastAsia="Times New Roman" w:hAnsi="Times New Roman" w:cs="Times New Roman"/>
          <w:sz w:val="24"/>
          <w:szCs w:val="24"/>
          <w:vertAlign w:val="subscript"/>
          <w:lang w:eastAsia="fr-FR"/>
        </w:rPr>
        <w:t>4</w:t>
      </w:r>
      <w:r w:rsidRPr="007A4A0F">
        <w:rPr>
          <w:rFonts w:ascii="Times New Roman" w:eastAsia="Times New Roman" w:hAnsi="Times New Roman" w:cs="Times New Roman"/>
          <w:sz w:val="24"/>
          <w:szCs w:val="24"/>
          <w:vertAlign w:val="superscript"/>
          <w:lang w:eastAsia="fr-FR"/>
        </w:rPr>
        <w:t>3-</w:t>
      </w:r>
      <w:r w:rsidRPr="00BD5AF3">
        <w:rPr>
          <w:rFonts w:ascii="Times New Roman" w:eastAsia="Times New Roman" w:hAnsi="Times New Roman" w:cs="Times New Roman"/>
          <w:sz w:val="24"/>
          <w:szCs w:val="24"/>
          <w:lang w:eastAsia="fr-FR"/>
        </w:rPr>
        <w:t>, SO</w:t>
      </w:r>
      <w:r w:rsidRPr="007A4A0F">
        <w:rPr>
          <w:rFonts w:ascii="Times New Roman" w:eastAsia="Times New Roman" w:hAnsi="Times New Roman" w:cs="Times New Roman"/>
          <w:sz w:val="24"/>
          <w:szCs w:val="24"/>
          <w:vertAlign w:val="subscript"/>
          <w:lang w:eastAsia="fr-FR"/>
        </w:rPr>
        <w:t>4</w:t>
      </w:r>
      <w:r w:rsidRPr="007A4A0F">
        <w:rPr>
          <w:rFonts w:ascii="Times New Roman" w:eastAsia="Times New Roman" w:hAnsi="Times New Roman" w:cs="Times New Roman"/>
          <w:sz w:val="24"/>
          <w:szCs w:val="24"/>
          <w:vertAlign w:val="superscript"/>
          <w:lang w:eastAsia="fr-FR"/>
        </w:rPr>
        <w:t>2-</w:t>
      </w:r>
      <w:r w:rsidRPr="00BD5AF3">
        <w:rPr>
          <w:rFonts w:ascii="Times New Roman" w:eastAsia="Times New Roman" w:hAnsi="Times New Roman" w:cs="Times New Roman"/>
          <w:sz w:val="24"/>
          <w:szCs w:val="24"/>
          <w:lang w:eastAsia="fr-FR"/>
        </w:rPr>
        <w:t>, and heavy metals (Cu, Cd, Pb, Zn, Cr, Fe) were analyzed using spectrophotometric methods. The results are compared with the World Health Organization (WHO) discharge standards. Most of the parameters determined exceed the discharge standards: pH (12.6), electrical conductivity (4270μS/cm), organic matter: COD (1200 mg/L), SO</w:t>
      </w:r>
      <w:r w:rsidRPr="007A4A0F">
        <w:rPr>
          <w:rFonts w:ascii="Times New Roman" w:eastAsia="Times New Roman" w:hAnsi="Times New Roman" w:cs="Times New Roman"/>
          <w:sz w:val="24"/>
          <w:szCs w:val="24"/>
          <w:vertAlign w:val="subscript"/>
          <w:lang w:eastAsia="fr-FR"/>
        </w:rPr>
        <w:t>4</w:t>
      </w:r>
      <w:r w:rsidRPr="00BD5AF3">
        <w:rPr>
          <w:rFonts w:ascii="Times New Roman" w:eastAsia="Times New Roman" w:hAnsi="Times New Roman" w:cs="Times New Roman"/>
          <w:sz w:val="24"/>
          <w:szCs w:val="24"/>
          <w:lang w:eastAsia="fr-FR"/>
        </w:rPr>
        <w:t xml:space="preserve"> (1280 mg/L), PO</w:t>
      </w:r>
      <w:r w:rsidRPr="007A4A0F">
        <w:rPr>
          <w:rFonts w:ascii="Times New Roman" w:eastAsia="Times New Roman" w:hAnsi="Times New Roman" w:cs="Times New Roman"/>
          <w:sz w:val="24"/>
          <w:szCs w:val="24"/>
          <w:vertAlign w:val="subscript"/>
          <w:lang w:eastAsia="fr-FR"/>
        </w:rPr>
        <w:t>4</w:t>
      </w:r>
      <w:r w:rsidRPr="00BD5AF3">
        <w:rPr>
          <w:rFonts w:ascii="Times New Roman" w:eastAsia="Times New Roman" w:hAnsi="Times New Roman" w:cs="Times New Roman"/>
          <w:sz w:val="24"/>
          <w:szCs w:val="24"/>
          <w:lang w:eastAsia="fr-FR"/>
        </w:rPr>
        <w:t xml:space="preserve"> (4460 mg/L), NO</w:t>
      </w:r>
      <w:r w:rsidRPr="007A4A0F">
        <w:rPr>
          <w:rFonts w:ascii="Times New Roman" w:eastAsia="Times New Roman" w:hAnsi="Times New Roman" w:cs="Times New Roman"/>
          <w:sz w:val="24"/>
          <w:szCs w:val="24"/>
          <w:vertAlign w:val="subscript"/>
          <w:lang w:eastAsia="fr-FR"/>
        </w:rPr>
        <w:t>3</w:t>
      </w:r>
      <w:r w:rsidRPr="00BD5AF3">
        <w:rPr>
          <w:rFonts w:ascii="Times New Roman" w:eastAsia="Times New Roman" w:hAnsi="Times New Roman" w:cs="Times New Roman"/>
          <w:sz w:val="24"/>
          <w:szCs w:val="24"/>
          <w:lang w:eastAsia="fr-FR"/>
        </w:rPr>
        <w:t xml:space="preserve"> (63.6 mg/L), Fe (63.34 mg/L), Zn (13.27 mg/L), Pb (4.0 mg/L), Cu (25.34 mg/L), Cd (31.78 mg/L), Cr (5.9 mg/L), Ni (39.5 mg/L). The results obtained revealed a high organic and inorganic load from the discharges of these industries. This shows that industrial effluents from the city of Moundou contribute to the pollution of the Logone River.</w:t>
      </w:r>
    </w:p>
    <w:p w14:paraId="2E654277" w14:textId="77777777" w:rsidR="00DD5199" w:rsidRDefault="007A4A0F" w:rsidP="007A4A0F">
      <w:pPr>
        <w:spacing w:after="120" w:line="360" w:lineRule="auto"/>
        <w:jc w:val="both"/>
        <w:rPr>
          <w:rFonts w:ascii="Times New Roman" w:eastAsia="Times New Roman" w:hAnsi="Times New Roman" w:cs="Times New Roman"/>
          <w:sz w:val="24"/>
          <w:szCs w:val="24"/>
          <w:lang w:eastAsia="fr-FR"/>
        </w:rPr>
      </w:pPr>
      <w:r w:rsidRPr="007A4A0F">
        <w:rPr>
          <w:rFonts w:ascii="Times New Roman" w:eastAsia="Times New Roman" w:hAnsi="Times New Roman" w:cs="Times New Roman"/>
          <w:b/>
          <w:sz w:val="24"/>
          <w:szCs w:val="24"/>
          <w:lang w:eastAsia="fr-FR"/>
        </w:rPr>
        <w:t>Keywords</w:t>
      </w:r>
      <w:r w:rsidRPr="00BD5AF3">
        <w:rPr>
          <w:rFonts w:ascii="Times New Roman" w:eastAsia="Times New Roman" w:hAnsi="Times New Roman" w:cs="Times New Roman"/>
          <w:sz w:val="24"/>
          <w:szCs w:val="24"/>
          <w:lang w:eastAsia="fr-FR"/>
        </w:rPr>
        <w:t xml:space="preserve">: industrial effluents, physicochemical parameters, pollution, Logone River, Moundou, Chad </w:t>
      </w:r>
    </w:p>
    <w:p w14:paraId="7DB3AD30" w14:textId="77777777" w:rsidR="00DD5199" w:rsidRDefault="00DD519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71080218" w14:textId="77777777" w:rsidR="007A4A0F" w:rsidRPr="007A4A0F" w:rsidRDefault="007A4A0F" w:rsidP="007A4A0F">
      <w:pPr>
        <w:pStyle w:val="NormalWeb"/>
        <w:spacing w:before="0" w:beforeAutospacing="0" w:after="0" w:afterAutospacing="0" w:line="360" w:lineRule="auto"/>
        <w:jc w:val="both"/>
        <w:rPr>
          <w:b/>
        </w:rPr>
      </w:pPr>
      <w:r w:rsidRPr="007A4A0F">
        <w:rPr>
          <w:b/>
        </w:rPr>
        <w:lastRenderedPageBreak/>
        <w:t xml:space="preserve">INTRODUCTION </w:t>
      </w:r>
    </w:p>
    <w:p w14:paraId="5B455611" w14:textId="77777777" w:rsidR="007A4A0F" w:rsidRPr="00BD5AF3" w:rsidRDefault="007A4A0F" w:rsidP="007A4A0F">
      <w:pPr>
        <w:pStyle w:val="NormalWeb"/>
        <w:spacing w:before="0" w:beforeAutospacing="0" w:after="0" w:afterAutospacing="0" w:line="360" w:lineRule="auto"/>
        <w:jc w:val="both"/>
      </w:pPr>
      <w:r w:rsidRPr="00BD5AF3">
        <w:t>Water, as an essential element for life, faces considerable challenges due to massive pollution resulting from human activities. This pollution seriously compromises</w:t>
      </w:r>
      <w:r>
        <w:t xml:space="preserve"> </w:t>
      </w:r>
      <w:r w:rsidRPr="00BD5AF3">
        <w:t>aquatic habitats and water quality, which is a vital resource for all</w:t>
      </w:r>
      <w:r>
        <w:t xml:space="preserve"> </w:t>
      </w:r>
      <w:r w:rsidRPr="00BD5AF3">
        <w:t>living organisms (Berremdane and Belerhmi, 2024). Due to the intensification of anthropogenic activities, population growth (Jayaswal et al., 2018), and increased use of agricultural, industrial, and agro-industrial inputs (Monique, 2021), water has become a receptor and vector for many pollutants of various origins. Preserving water quality is therefore crucial to maintaining the health of aquatic ecosystems and ensuring the availability of a resource that is essential to life (Charles et al., 2018; Rahma, 2024). However, universal access to adequate water, hygiene, and sanitation services has become a major concern for humanity as a whole, to the point where international bodies have included it in the development goals as an indicator of sustainable development worldwide by 2030 (SDGs, 2016; UNICEF, 2017), with a view to ending water contamination and the spread of waterborne diseases (UN, 2017).</w:t>
      </w:r>
    </w:p>
    <w:p w14:paraId="0E03B40E" w14:textId="77777777" w:rsidR="007A4A0F" w:rsidRPr="00BD5AF3" w:rsidRDefault="007A4A0F" w:rsidP="007A4A0F">
      <w:pPr>
        <w:pStyle w:val="NormalWeb"/>
        <w:spacing w:before="0" w:beforeAutospacing="0" w:after="120" w:afterAutospacing="0" w:line="360" w:lineRule="auto"/>
        <w:jc w:val="both"/>
      </w:pPr>
      <w:r w:rsidRPr="00BD5AF3">
        <w:t>Nature, wildlife, and flora are increasingly suffering the consequences of pollution generated by industrial development and population growth. (Belabed et al., 2017; Mateo-Sagasta et al., 2018). Water pollution affecting rivers, seas, groundwater, and lakes is the result of wastewater being discharged into the environment without treatment or with insufficient treatment, leading to habitat degradation and disruption of the ecosystem balance (Colin et al., 2016).</w:t>
      </w:r>
    </w:p>
    <w:p w14:paraId="3F1F2373"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 xml:space="preserve">I. Materials and methods </w:t>
      </w:r>
    </w:p>
    <w:p w14:paraId="289FCC9E"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 xml:space="preserve">I.1. </w:t>
      </w:r>
      <w:r w:rsidR="00DD5199">
        <w:rPr>
          <w:rFonts w:ascii="Times New Roman" w:eastAsia="Times New Roman" w:hAnsi="Times New Roman" w:cs="Times New Roman"/>
          <w:b/>
          <w:sz w:val="24"/>
          <w:szCs w:val="24"/>
          <w:lang w:eastAsia="fr-FR"/>
        </w:rPr>
        <w:t xml:space="preserve">Area study </w:t>
      </w:r>
    </w:p>
    <w:p w14:paraId="15799B13" w14:textId="77777777" w:rsidR="007A4A0F" w:rsidRDefault="007A4A0F" w:rsidP="007A4A0F">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Covering an area of 2,200 hectares, the city of Moundou is a cosmopolitan agglomeration with a population of 150,115 according to the General Population and Housing Census (RGPH) (INSEED, 2009). The economic capital of Chad, Moundou is the capital of the Lac Wey department in the Logone Occidental region (Figure 1). It is a key urban area located on the main road connecting the southern cities to the capital N'Djamena, 500 kilometers away. It is bounded by 16° 02' and 16° 12' east longitude and 8° 51' and 8° 60' north latitude. The town is confined between three waterways: the Logone River to the south, Lake Wey to the west, and Lake Taba to the east. The city of Moundou is connected to Cameroon via the paved road to Touboro. Thanks to its economic dynamism, this city is undergoing rapid expansion towards the northwest (BANDE, 2015).</w:t>
      </w:r>
    </w:p>
    <w:p w14:paraId="753EDAED" w14:textId="77777777" w:rsidR="005A1939" w:rsidRDefault="005A1939" w:rsidP="007A4A0F">
      <w:pPr>
        <w:spacing w:after="0" w:line="360" w:lineRule="auto"/>
        <w:jc w:val="both"/>
        <w:rPr>
          <w:rFonts w:ascii="Times New Roman" w:eastAsia="Times New Roman" w:hAnsi="Times New Roman" w:cs="Times New Roman"/>
          <w:sz w:val="24"/>
          <w:szCs w:val="24"/>
          <w:lang w:eastAsia="fr-FR"/>
        </w:rPr>
      </w:pPr>
    </w:p>
    <w:p w14:paraId="0761AAB1" w14:textId="77777777" w:rsidR="007A4A0F" w:rsidRPr="00BD5AF3" w:rsidRDefault="00580622" w:rsidP="007A4A0F">
      <w:pPr>
        <w:spacing w:after="0" w:line="360" w:lineRule="auto"/>
        <w:jc w:val="both"/>
        <w:rPr>
          <w:rFonts w:ascii="Times New Roman" w:eastAsia="Times New Roman" w:hAnsi="Times New Roman" w:cs="Times New Roman"/>
          <w:sz w:val="24"/>
          <w:szCs w:val="24"/>
          <w:lang w:eastAsia="fr-FR"/>
        </w:rPr>
      </w:pPr>
      <w:r>
        <w:rPr>
          <w:noProof/>
          <w:lang w:eastAsia="fr-FR"/>
        </w:rPr>
        <w:lastRenderedPageBreak/>
        <w:drawing>
          <wp:anchor distT="0" distB="0" distL="114300" distR="114300" simplePos="0" relativeHeight="251659264" behindDoc="0" locked="0" layoutInCell="1" allowOverlap="1" wp14:anchorId="36D1C789" wp14:editId="28E0A80A">
            <wp:simplePos x="0" y="0"/>
            <wp:positionH relativeFrom="margin">
              <wp:posOffset>594996</wp:posOffset>
            </wp:positionH>
            <wp:positionV relativeFrom="paragraph">
              <wp:posOffset>26034</wp:posOffset>
            </wp:positionV>
            <wp:extent cx="4667250" cy="2257425"/>
            <wp:effectExtent l="19050" t="19050" r="19050" b="28575"/>
            <wp:wrapNone/>
            <wp:docPr id="1" name="Picture 181771"/>
            <wp:cNvGraphicFramePr/>
            <a:graphic xmlns:a="http://schemas.openxmlformats.org/drawingml/2006/main">
              <a:graphicData uri="http://schemas.openxmlformats.org/drawingml/2006/picture">
                <pic:pic xmlns:pic="http://schemas.openxmlformats.org/drawingml/2006/picture">
                  <pic:nvPicPr>
                    <pic:cNvPr id="1" name="Picture 181771"/>
                    <pic:cNvPicPr/>
                  </pic:nvPicPr>
                  <pic:blipFill>
                    <a:blip r:embed="rId7"/>
                    <a:stretch>
                      <a:fillRect/>
                    </a:stretch>
                  </pic:blipFill>
                  <pic:spPr>
                    <a:xfrm>
                      <a:off x="0" y="0"/>
                      <a:ext cx="4667250" cy="22574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48DDEDB1" w14:textId="77777777" w:rsidR="00F62769" w:rsidRDefault="00F62769" w:rsidP="007A4A0F">
      <w:pPr>
        <w:spacing w:after="0" w:line="360" w:lineRule="auto"/>
        <w:jc w:val="both"/>
        <w:rPr>
          <w:rFonts w:ascii="Times New Roman" w:eastAsia="Times New Roman" w:hAnsi="Times New Roman" w:cs="Times New Roman"/>
          <w:lang w:eastAsia="fr-FR"/>
        </w:rPr>
      </w:pPr>
    </w:p>
    <w:p w14:paraId="04F46B48" w14:textId="77777777" w:rsidR="00F62769" w:rsidRPr="00F62769" w:rsidRDefault="00F62769" w:rsidP="00F62769">
      <w:pPr>
        <w:rPr>
          <w:rFonts w:ascii="Times New Roman" w:eastAsia="Times New Roman" w:hAnsi="Times New Roman" w:cs="Times New Roman"/>
          <w:lang w:eastAsia="fr-FR"/>
        </w:rPr>
      </w:pPr>
    </w:p>
    <w:p w14:paraId="2FC463AD" w14:textId="77777777" w:rsidR="00F62769" w:rsidRPr="00F62769" w:rsidRDefault="00F62769" w:rsidP="00F62769">
      <w:pPr>
        <w:rPr>
          <w:rFonts w:ascii="Times New Roman" w:eastAsia="Times New Roman" w:hAnsi="Times New Roman" w:cs="Times New Roman"/>
          <w:lang w:eastAsia="fr-FR"/>
        </w:rPr>
      </w:pPr>
    </w:p>
    <w:p w14:paraId="1C30B85F" w14:textId="77777777" w:rsidR="00F62769" w:rsidRPr="00F62769" w:rsidRDefault="00F62769" w:rsidP="00F62769">
      <w:pPr>
        <w:rPr>
          <w:rFonts w:ascii="Times New Roman" w:eastAsia="Times New Roman" w:hAnsi="Times New Roman" w:cs="Times New Roman"/>
          <w:lang w:eastAsia="fr-FR"/>
        </w:rPr>
      </w:pPr>
    </w:p>
    <w:p w14:paraId="141DC3CB" w14:textId="77777777" w:rsidR="00F62769" w:rsidRPr="00F62769" w:rsidRDefault="00F62769" w:rsidP="00F62769">
      <w:pPr>
        <w:rPr>
          <w:rFonts w:ascii="Times New Roman" w:eastAsia="Times New Roman" w:hAnsi="Times New Roman" w:cs="Times New Roman"/>
          <w:lang w:eastAsia="fr-FR"/>
        </w:rPr>
      </w:pPr>
    </w:p>
    <w:p w14:paraId="54ED0DD3" w14:textId="77777777" w:rsidR="00F62769" w:rsidRPr="00F62769" w:rsidRDefault="00F62769" w:rsidP="00F62769">
      <w:pPr>
        <w:rPr>
          <w:rFonts w:ascii="Times New Roman" w:eastAsia="Times New Roman" w:hAnsi="Times New Roman" w:cs="Times New Roman"/>
          <w:lang w:eastAsia="fr-FR"/>
        </w:rPr>
      </w:pPr>
    </w:p>
    <w:p w14:paraId="253831A5" w14:textId="77777777" w:rsidR="00F62769" w:rsidRDefault="00F62769" w:rsidP="00F62769">
      <w:pPr>
        <w:rPr>
          <w:rFonts w:ascii="Times New Roman" w:eastAsia="Times New Roman" w:hAnsi="Times New Roman" w:cs="Times New Roman"/>
          <w:lang w:eastAsia="fr-FR"/>
        </w:rPr>
      </w:pPr>
    </w:p>
    <w:p w14:paraId="77D5402F" w14:textId="77777777" w:rsidR="007A4A0F" w:rsidRPr="00F62769" w:rsidRDefault="00F62769" w:rsidP="00F62769">
      <w:pPr>
        <w:spacing w:before="480" w:after="0" w:line="240" w:lineRule="auto"/>
        <w:jc w:val="both"/>
        <w:rPr>
          <w:rFonts w:ascii="Times New Roman" w:eastAsia="Times New Roman" w:hAnsi="Times New Roman" w:cs="Times New Roman"/>
          <w:lang w:eastAsia="fr-FR"/>
        </w:rPr>
      </w:pPr>
      <w:r w:rsidRPr="00F62769">
        <w:rPr>
          <w:rFonts w:ascii="Times New Roman" w:eastAsia="Times New Roman" w:hAnsi="Times New Roman" w:cs="Times New Roman"/>
          <w:b/>
          <w:lang w:eastAsia="fr-FR"/>
        </w:rPr>
        <w:t>Figure 1</w:t>
      </w:r>
      <w:r w:rsidRPr="00F62769">
        <w:rPr>
          <w:rFonts w:ascii="Times New Roman" w:eastAsia="Times New Roman" w:hAnsi="Times New Roman" w:cs="Times New Roman"/>
          <w:lang w:eastAsia="fr-FR"/>
        </w:rPr>
        <w:t xml:space="preserve">: Map showing the location of the study area, </w:t>
      </w:r>
      <w:r w:rsidRPr="00F62769">
        <w:rPr>
          <w:rFonts w:ascii="Times New Roman" w:eastAsia="Times New Roman" w:hAnsi="Times New Roman" w:cs="Times New Roman"/>
          <w:b/>
          <w:lang w:eastAsia="fr-FR"/>
        </w:rPr>
        <w:t>a</w:t>
      </w:r>
      <w:r w:rsidRPr="00F62769">
        <w:rPr>
          <w:rFonts w:ascii="Times New Roman" w:eastAsia="Times New Roman" w:hAnsi="Times New Roman" w:cs="Times New Roman"/>
          <w:lang w:eastAsia="fr-FR"/>
        </w:rPr>
        <w:t xml:space="preserve">-Map of Chad, </w:t>
      </w:r>
      <w:r w:rsidRPr="00F62769">
        <w:rPr>
          <w:rFonts w:ascii="Times New Roman" w:eastAsia="Times New Roman" w:hAnsi="Times New Roman" w:cs="Times New Roman"/>
          <w:b/>
          <w:lang w:eastAsia="fr-FR"/>
        </w:rPr>
        <w:t>b</w:t>
      </w:r>
      <w:r w:rsidRPr="00F62769">
        <w:rPr>
          <w:rFonts w:ascii="Times New Roman" w:eastAsia="Times New Roman" w:hAnsi="Times New Roman" w:cs="Times New Roman"/>
          <w:lang w:eastAsia="fr-FR"/>
        </w:rPr>
        <w:t xml:space="preserve">-Map of Western Logone, </w:t>
      </w:r>
      <w:r w:rsidRPr="00F62769">
        <w:rPr>
          <w:rFonts w:ascii="Times New Roman" w:eastAsia="Times New Roman" w:hAnsi="Times New Roman" w:cs="Times New Roman"/>
          <w:b/>
          <w:lang w:eastAsia="fr-FR"/>
        </w:rPr>
        <w:t>c</w:t>
      </w:r>
      <w:r w:rsidRPr="00F62769">
        <w:rPr>
          <w:rFonts w:ascii="Times New Roman" w:eastAsia="Times New Roman" w:hAnsi="Times New Roman" w:cs="Times New Roman"/>
          <w:lang w:eastAsia="fr-FR"/>
        </w:rPr>
        <w:t xml:space="preserve">-City of Moundou (source: P-SIDRAT, Topographic Map of Moundou at 1:200,000). </w:t>
      </w:r>
    </w:p>
    <w:p w14:paraId="4B0C4296" w14:textId="77777777" w:rsidR="005A1939" w:rsidRDefault="005A1939" w:rsidP="00F62769">
      <w:pPr>
        <w:spacing w:after="0" w:line="360" w:lineRule="auto"/>
        <w:jc w:val="both"/>
        <w:rPr>
          <w:rFonts w:ascii="Times New Roman" w:eastAsia="Times New Roman" w:hAnsi="Times New Roman" w:cs="Times New Roman"/>
          <w:b/>
          <w:sz w:val="24"/>
          <w:szCs w:val="24"/>
          <w:lang w:eastAsia="fr-FR"/>
        </w:rPr>
      </w:pPr>
    </w:p>
    <w:p w14:paraId="3063438B" w14:textId="77777777" w:rsidR="00F62769" w:rsidRPr="00F62769" w:rsidRDefault="00F62769" w:rsidP="00F62769">
      <w:pPr>
        <w:spacing w:after="0" w:line="360" w:lineRule="auto"/>
        <w:jc w:val="both"/>
        <w:rPr>
          <w:rFonts w:ascii="Times New Roman" w:eastAsia="Times New Roman" w:hAnsi="Times New Roman" w:cs="Times New Roman"/>
          <w:b/>
          <w:sz w:val="24"/>
          <w:szCs w:val="24"/>
          <w:lang w:eastAsia="fr-FR"/>
        </w:rPr>
      </w:pPr>
      <w:r w:rsidRPr="00F62769">
        <w:rPr>
          <w:rFonts w:ascii="Times New Roman" w:eastAsia="Times New Roman" w:hAnsi="Times New Roman" w:cs="Times New Roman"/>
          <w:b/>
          <w:sz w:val="24"/>
          <w:szCs w:val="24"/>
          <w:lang w:eastAsia="fr-FR"/>
        </w:rPr>
        <w:t>I.2. Sample collection and preparation</w:t>
      </w:r>
    </w:p>
    <w:p w14:paraId="6B22F72C" w14:textId="77777777" w:rsidR="00F62769" w:rsidRPr="00F62769" w:rsidRDefault="00F62769" w:rsidP="00F62769">
      <w:pPr>
        <w:spacing w:after="0" w:line="360" w:lineRule="auto"/>
        <w:jc w:val="both"/>
        <w:rPr>
          <w:rFonts w:ascii="Times New Roman" w:eastAsia="Times New Roman" w:hAnsi="Times New Roman" w:cs="Times New Roman"/>
          <w:b/>
          <w:sz w:val="24"/>
          <w:szCs w:val="24"/>
          <w:lang w:eastAsia="fr-FR"/>
        </w:rPr>
      </w:pPr>
      <w:r w:rsidRPr="00F62769">
        <w:rPr>
          <w:rFonts w:ascii="Times New Roman" w:eastAsia="Times New Roman" w:hAnsi="Times New Roman" w:cs="Times New Roman"/>
          <w:b/>
          <w:sz w:val="24"/>
          <w:szCs w:val="24"/>
          <w:lang w:eastAsia="fr-FR"/>
        </w:rPr>
        <w:t>I.2.1. Location of sampling points</w:t>
      </w:r>
    </w:p>
    <w:p w14:paraId="37713E5C" w14:textId="77777777" w:rsidR="00F62769" w:rsidRPr="00BD5AF3" w:rsidRDefault="00F62769" w:rsidP="00F62769">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The composition of effluents varies to a greater or lesser extent depending on the day, month, and season. Given this variability, as well as that of the transfer and dilution systems, it was difficult to use a satisfactory sampling technique, and instantaneous sampling was used, which has the advantage of reducing the risks of precipitation, adsorption, concentration, or evaporation. In order to assess the impact of industrial effluents on the river.</w:t>
      </w:r>
    </w:p>
    <w:p w14:paraId="0E720E24" w14:textId="77777777" w:rsidR="00F62769" w:rsidRDefault="00F62769" w:rsidP="00F62769">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Five sampling periods were carried out during this study in 2024. The sampling stations are referred to by acronyms (COTEXU, BRAEXU, and ABAEXU) to determine the quality of the effluents before they are discharged into the Logone River (</w:t>
      </w:r>
      <w:r w:rsidRPr="00F62769">
        <w:rPr>
          <w:rFonts w:ascii="Times New Roman" w:eastAsia="Times New Roman" w:hAnsi="Times New Roman" w:cs="Times New Roman"/>
          <w:b/>
          <w:sz w:val="24"/>
          <w:szCs w:val="24"/>
          <w:lang w:eastAsia="fr-FR"/>
        </w:rPr>
        <w:t>Figure</w:t>
      </w:r>
      <w:r w:rsidRPr="00BD5AF3">
        <w:rPr>
          <w:rFonts w:ascii="Times New Roman" w:eastAsia="Times New Roman" w:hAnsi="Times New Roman" w:cs="Times New Roman"/>
          <w:sz w:val="24"/>
          <w:szCs w:val="24"/>
          <w:lang w:eastAsia="fr-FR"/>
        </w:rPr>
        <w:t xml:space="preserve"> </w:t>
      </w:r>
      <w:r w:rsidRPr="00F62769">
        <w:rPr>
          <w:rFonts w:ascii="Times New Roman" w:eastAsia="Times New Roman" w:hAnsi="Times New Roman" w:cs="Times New Roman"/>
          <w:b/>
          <w:sz w:val="24"/>
          <w:szCs w:val="24"/>
          <w:lang w:eastAsia="fr-FR"/>
        </w:rPr>
        <w:t>2</w:t>
      </w:r>
      <w:r w:rsidRPr="00BD5AF3">
        <w:rPr>
          <w:rFonts w:ascii="Times New Roman" w:eastAsia="Times New Roman" w:hAnsi="Times New Roman" w:cs="Times New Roman"/>
          <w:sz w:val="24"/>
          <w:szCs w:val="24"/>
          <w:lang w:eastAsia="fr-FR"/>
        </w:rPr>
        <w:t>). The acronyms are linked to the name of the sampling location relative to the location mentioned.</w:t>
      </w:r>
    </w:p>
    <w:p w14:paraId="48952FD4" w14:textId="77777777" w:rsidR="005A1939" w:rsidRDefault="00F62769" w:rsidP="005A1939">
      <w:pPr>
        <w:spacing w:after="0" w:line="360" w:lineRule="auto"/>
        <w:jc w:val="center"/>
        <w:rPr>
          <w:rFonts w:ascii="Times New Roman" w:eastAsia="Times New Roman" w:hAnsi="Times New Roman" w:cs="Times New Roman"/>
          <w:sz w:val="24"/>
          <w:szCs w:val="24"/>
          <w:lang w:eastAsia="fr-FR"/>
        </w:rPr>
      </w:pPr>
      <w:r>
        <w:rPr>
          <w:rFonts w:asciiTheme="majorBidi" w:hAnsiTheme="majorBidi" w:cstheme="majorBidi"/>
          <w:noProof/>
          <w:sz w:val="24"/>
          <w:szCs w:val="24"/>
          <w:lang w:eastAsia="fr-FR"/>
        </w:rPr>
        <w:drawing>
          <wp:inline distT="0" distB="0" distL="0" distR="0" wp14:anchorId="4D9B563B" wp14:editId="5B480407">
            <wp:extent cx="3686946" cy="271839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1861" cy="2736760"/>
                    </a:xfrm>
                    <a:prstGeom prst="rect">
                      <a:avLst/>
                    </a:prstGeom>
                    <a:noFill/>
                    <a:ln>
                      <a:noFill/>
                    </a:ln>
                  </pic:spPr>
                </pic:pic>
              </a:graphicData>
            </a:graphic>
          </wp:inline>
        </w:drawing>
      </w:r>
    </w:p>
    <w:p w14:paraId="1E58AD10" w14:textId="77777777" w:rsidR="00F62769" w:rsidRPr="005A1939" w:rsidRDefault="00F62769" w:rsidP="005A1939">
      <w:pPr>
        <w:spacing w:after="0" w:line="360" w:lineRule="auto"/>
        <w:jc w:val="center"/>
        <w:rPr>
          <w:rFonts w:ascii="Times New Roman" w:eastAsia="Times New Roman" w:hAnsi="Times New Roman" w:cs="Times New Roman"/>
          <w:sz w:val="24"/>
          <w:szCs w:val="24"/>
          <w:lang w:eastAsia="fr-FR"/>
        </w:rPr>
      </w:pPr>
      <w:r w:rsidRPr="00F62769">
        <w:rPr>
          <w:rFonts w:ascii="Times New Roman" w:eastAsia="Times New Roman" w:hAnsi="Times New Roman" w:cs="Times New Roman"/>
          <w:b/>
          <w:lang w:eastAsia="fr-FR"/>
        </w:rPr>
        <w:t>Figure 2</w:t>
      </w:r>
      <w:r w:rsidRPr="00F62769">
        <w:rPr>
          <w:rFonts w:ascii="Times New Roman" w:eastAsia="Times New Roman" w:hAnsi="Times New Roman" w:cs="Times New Roman"/>
          <w:lang w:eastAsia="fr-FR"/>
        </w:rPr>
        <w:t>: Location of the main industrial discharge sampling points.</w:t>
      </w:r>
    </w:p>
    <w:p w14:paraId="4AF3F882" w14:textId="77777777" w:rsidR="00F62769" w:rsidRPr="00BD5AF3" w:rsidRDefault="00F62769" w:rsidP="00C86725">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There are three (3) discharge points (</w:t>
      </w:r>
      <w:r w:rsidRPr="00F62769">
        <w:rPr>
          <w:rFonts w:ascii="Times New Roman" w:eastAsia="Times New Roman" w:hAnsi="Times New Roman" w:cs="Times New Roman"/>
          <w:b/>
          <w:sz w:val="24"/>
          <w:szCs w:val="24"/>
          <w:lang w:eastAsia="fr-FR"/>
        </w:rPr>
        <w:t>Figure 2</w:t>
      </w:r>
      <w:r w:rsidRPr="00BD5AF3">
        <w:rPr>
          <w:rFonts w:ascii="Times New Roman" w:eastAsia="Times New Roman" w:hAnsi="Times New Roman" w:cs="Times New Roman"/>
          <w:sz w:val="24"/>
          <w:szCs w:val="24"/>
          <w:lang w:eastAsia="fr-FR"/>
        </w:rPr>
        <w:t>): COTEXU (the outlet of the Cotontchad factory, where all wastewater is discharged); BRAEXU (the outlet of the Brasseries du Tchad (BDT) at the wastewater discharge point); ABAEXU (located near the discharge point of the Moundou central slaughterhouse, where large quantities of blood mix with debris wash water).</w:t>
      </w:r>
    </w:p>
    <w:p w14:paraId="0C9167D3" w14:textId="77777777" w:rsidR="00F62769" w:rsidRPr="00C86725" w:rsidRDefault="00F62769" w:rsidP="00C86725">
      <w:pPr>
        <w:spacing w:after="0" w:line="360" w:lineRule="auto"/>
        <w:jc w:val="both"/>
        <w:rPr>
          <w:rFonts w:ascii="Times New Roman" w:eastAsia="Times New Roman" w:hAnsi="Times New Roman" w:cs="Times New Roman"/>
          <w:b/>
          <w:sz w:val="24"/>
          <w:szCs w:val="24"/>
          <w:lang w:eastAsia="fr-FR"/>
        </w:rPr>
      </w:pPr>
      <w:r w:rsidRPr="00C86725">
        <w:rPr>
          <w:rFonts w:ascii="Times New Roman" w:eastAsia="Times New Roman" w:hAnsi="Times New Roman" w:cs="Times New Roman"/>
          <w:b/>
          <w:sz w:val="24"/>
          <w:szCs w:val="24"/>
          <w:lang w:eastAsia="fr-FR"/>
        </w:rPr>
        <w:t>I.2.2. Sampling</w:t>
      </w:r>
    </w:p>
    <w:p w14:paraId="4148BFE7" w14:textId="77777777" w:rsidR="00F62769" w:rsidRDefault="00F62769" w:rsidP="00FE78ED">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Samples were taken on May 30, July 12, and December 8, 12, and 16, 2024, for analysis of physicochemical parameters. </w:t>
      </w:r>
    </w:p>
    <w:p w14:paraId="1EF6C7E1"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I.3. Methods</w:t>
      </w:r>
    </w:p>
    <w:p w14:paraId="7C5EB6BC"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Industrial effluents were collected in 1.5L polyethylene bottles that had been washed with detergent, rinsed with 1% nitric acid, and thoroughly rinsed with distilled water. Certain parameters were measured in situ (pH, temperature, electrical conductivity, dissolved oxygen) using a WTW conductivity meter (cond 315 i). The samples were transported to the Water and Environment Laboratory (LABEEN) at the University of N'Djamena in a cooler at a temperature of 4°C. </w:t>
      </w:r>
    </w:p>
    <w:p w14:paraId="58954CBF"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Chemical oxygen demand (COD) was determined using the potassium dichromate (K</w:t>
      </w:r>
      <w:r w:rsidRPr="00FE78ED">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Cr</w:t>
      </w:r>
      <w:r w:rsidRPr="00FE78ED">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O</w:t>
      </w:r>
      <w:r w:rsidRPr="00FE78ED">
        <w:rPr>
          <w:rFonts w:ascii="Times New Roman" w:eastAsia="Times New Roman" w:hAnsi="Times New Roman" w:cs="Times New Roman"/>
          <w:sz w:val="24"/>
          <w:szCs w:val="24"/>
          <w:vertAlign w:val="subscript"/>
          <w:lang w:eastAsia="fr-FR"/>
        </w:rPr>
        <w:t>7</w:t>
      </w:r>
      <w:r w:rsidRPr="00BD5AF3">
        <w:rPr>
          <w:rFonts w:ascii="Times New Roman" w:eastAsia="Times New Roman" w:hAnsi="Times New Roman" w:cs="Times New Roman"/>
          <w:sz w:val="24"/>
          <w:szCs w:val="24"/>
          <w:lang w:eastAsia="fr-FR"/>
        </w:rPr>
        <w:t>) reactor digestion method at a temperature of 150°C after 2 hours of heating. The measurement was performed using a DR/2400 spectrophotometer at a wavelength of 620 nm (Hach, 1997). Biochemical oxygen demand (BOD</w:t>
      </w:r>
      <w:r w:rsidRPr="00FE78ED">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was measured using a Trank Hach BOD meter. This method involves determining the amount of oxygen consumed after 5 days of incubation at 20°C in a diluted solution of the sample. The concentrations of anions (NO₃⁻, SO₄²⁻, PO₄³⁻) were determined using HACH LANGE DR/2400 spectrophotometers and Palintest 7100 UV-visible spectrophotometers at different wavelengths.</w:t>
      </w:r>
    </w:p>
    <w:p w14:paraId="72AE1E5D" w14:textId="77777777" w:rsidR="00FE78ED" w:rsidRDefault="00FE78ED" w:rsidP="00FE78ED">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Statistical analyses were performed using Microsoft Office Excel (Microsoft 2010) and ANOVA (Statgraphic 16). </w:t>
      </w:r>
    </w:p>
    <w:p w14:paraId="1CCFD3F8"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 xml:space="preserve">II. Results and discussion </w:t>
      </w:r>
    </w:p>
    <w:p w14:paraId="6C038012"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II.1. Results</w:t>
      </w:r>
    </w:p>
    <w:p w14:paraId="5D552E78"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Analysis of physicochemical parameters </w:t>
      </w:r>
    </w:p>
    <w:p w14:paraId="27E49C38" w14:textId="77777777" w:rsidR="00FE78ED"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The results of the physicochemical quality assessment of raw industrial effluents from: Brasseries du Tchad (BDT) Cotontchad and the central slaughterhouse in the city of Moundou are presented in Table 1. </w:t>
      </w:r>
    </w:p>
    <w:p w14:paraId="0849D608" w14:textId="77777777" w:rsidR="005A1939" w:rsidRDefault="005A1939" w:rsidP="00FE78ED">
      <w:pPr>
        <w:spacing w:after="0" w:line="360" w:lineRule="auto"/>
        <w:jc w:val="both"/>
        <w:rPr>
          <w:rFonts w:ascii="Times New Roman" w:eastAsia="Times New Roman" w:hAnsi="Times New Roman" w:cs="Times New Roman"/>
          <w:sz w:val="24"/>
          <w:szCs w:val="24"/>
          <w:lang w:eastAsia="fr-FR"/>
        </w:rPr>
      </w:pPr>
    </w:p>
    <w:p w14:paraId="13A4A18A" w14:textId="77777777" w:rsidR="005A1939" w:rsidRPr="00BD5AF3" w:rsidRDefault="005A1939" w:rsidP="00FE78ED">
      <w:pPr>
        <w:spacing w:after="0" w:line="360" w:lineRule="auto"/>
        <w:jc w:val="both"/>
        <w:rPr>
          <w:rFonts w:ascii="Times New Roman" w:eastAsia="Times New Roman" w:hAnsi="Times New Roman" w:cs="Times New Roman"/>
          <w:sz w:val="24"/>
          <w:szCs w:val="24"/>
          <w:lang w:eastAsia="fr-FR"/>
        </w:rPr>
      </w:pPr>
    </w:p>
    <w:p w14:paraId="2DD5DA30" w14:textId="77777777" w:rsidR="00FE78ED" w:rsidRPr="00FE78ED" w:rsidRDefault="00FE78ED" w:rsidP="00FE78ED">
      <w:pPr>
        <w:spacing w:after="0" w:line="360" w:lineRule="auto"/>
        <w:jc w:val="both"/>
        <w:rPr>
          <w:rFonts w:ascii="Times New Roman" w:eastAsia="Times New Roman" w:hAnsi="Times New Roman" w:cs="Times New Roman"/>
          <w:lang w:eastAsia="fr-FR"/>
        </w:rPr>
      </w:pPr>
      <w:r w:rsidRPr="00FE78ED">
        <w:rPr>
          <w:rFonts w:ascii="Times New Roman" w:eastAsia="Times New Roman" w:hAnsi="Times New Roman" w:cs="Times New Roman"/>
          <w:b/>
          <w:lang w:eastAsia="fr-FR"/>
        </w:rPr>
        <w:lastRenderedPageBreak/>
        <w:t>Table 1</w:t>
      </w:r>
      <w:r w:rsidRPr="00FE78ED">
        <w:rPr>
          <w:rFonts w:ascii="Times New Roman" w:eastAsia="Times New Roman" w:hAnsi="Times New Roman" w:cs="Times New Roman"/>
          <w:lang w:eastAsia="fr-FR"/>
        </w:rPr>
        <w:t>: The results of the analyses of physicochemical parameters are presented in the table below.</w:t>
      </w:r>
    </w:p>
    <w:tbl>
      <w:tblPr>
        <w:tblStyle w:val="TableGrid"/>
        <w:tblW w:w="10065" w:type="dxa"/>
        <w:jc w:val="center"/>
        <w:tblLayout w:type="fixed"/>
        <w:tblLook w:val="04A0" w:firstRow="1" w:lastRow="0" w:firstColumn="1" w:lastColumn="0" w:noHBand="0" w:noVBand="1"/>
      </w:tblPr>
      <w:tblGrid>
        <w:gridCol w:w="1702"/>
        <w:gridCol w:w="1134"/>
        <w:gridCol w:w="1137"/>
        <w:gridCol w:w="1273"/>
        <w:gridCol w:w="1275"/>
        <w:gridCol w:w="1276"/>
        <w:gridCol w:w="1276"/>
        <w:gridCol w:w="992"/>
      </w:tblGrid>
      <w:tr w:rsidR="00FE78ED" w:rsidRPr="00E73634" w14:paraId="704319CE" w14:textId="77777777" w:rsidTr="002B7D7D">
        <w:trPr>
          <w:jc w:val="center"/>
        </w:trPr>
        <w:tc>
          <w:tcPr>
            <w:tcW w:w="10065" w:type="dxa"/>
            <w:gridSpan w:val="8"/>
          </w:tcPr>
          <w:p w14:paraId="00203FFA" w14:textId="77777777" w:rsidR="00FE78ED" w:rsidRPr="00FE78ED" w:rsidRDefault="00FE78ED" w:rsidP="00FE78ED">
            <w:pPr>
              <w:spacing w:before="100" w:beforeAutospacing="1"/>
              <w:jc w:val="center"/>
              <w:rPr>
                <w:rFonts w:ascii="Times New Roman" w:eastAsia="Times New Roman" w:hAnsi="Times New Roman" w:cs="Times New Roman"/>
                <w:b/>
                <w:sz w:val="24"/>
                <w:szCs w:val="24"/>
              </w:rPr>
            </w:pPr>
            <w:r w:rsidRPr="00FE78ED">
              <w:rPr>
                <w:rFonts w:ascii="Times New Roman" w:eastAsia="Times New Roman" w:hAnsi="Times New Roman" w:cs="Times New Roman"/>
                <w:b/>
                <w:sz w:val="24"/>
                <w:szCs w:val="24"/>
              </w:rPr>
              <w:t>Seasonal values</w:t>
            </w:r>
          </w:p>
        </w:tc>
      </w:tr>
      <w:tr w:rsidR="00FE78ED" w:rsidRPr="00E73634" w14:paraId="161930E0" w14:textId="77777777" w:rsidTr="002B7D7D">
        <w:trPr>
          <w:jc w:val="center"/>
        </w:trPr>
        <w:tc>
          <w:tcPr>
            <w:tcW w:w="1702" w:type="dxa"/>
            <w:vMerge w:val="restart"/>
          </w:tcPr>
          <w:p w14:paraId="5941F8AF"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Parameters</w:t>
            </w:r>
          </w:p>
        </w:tc>
        <w:tc>
          <w:tcPr>
            <w:tcW w:w="3544" w:type="dxa"/>
            <w:gridSpan w:val="3"/>
          </w:tcPr>
          <w:p w14:paraId="52EE3BBF"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Dry season (May 2024)</w:t>
            </w:r>
          </w:p>
        </w:tc>
        <w:tc>
          <w:tcPr>
            <w:tcW w:w="3827" w:type="dxa"/>
            <w:gridSpan w:val="3"/>
          </w:tcPr>
          <w:p w14:paraId="1876F6FD"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Rainy season  (July 2024)</w:t>
            </w:r>
          </w:p>
        </w:tc>
        <w:tc>
          <w:tcPr>
            <w:tcW w:w="992" w:type="dxa"/>
            <w:vMerge w:val="restart"/>
          </w:tcPr>
          <w:p w14:paraId="26EE1144"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WHO standard</w:t>
            </w:r>
            <w:r>
              <w:rPr>
                <w:rFonts w:ascii="Times New Roman" w:eastAsia="Times New Roman" w:hAnsi="Times New Roman" w:cs="Times New Roman"/>
                <w:b/>
              </w:rPr>
              <w:t xml:space="preserve"> 2017</w:t>
            </w:r>
          </w:p>
        </w:tc>
      </w:tr>
      <w:tr w:rsidR="00FE78ED" w:rsidRPr="00E73634" w14:paraId="7837E53B" w14:textId="77777777" w:rsidTr="002B7D7D">
        <w:trPr>
          <w:jc w:val="center"/>
        </w:trPr>
        <w:tc>
          <w:tcPr>
            <w:tcW w:w="1702" w:type="dxa"/>
            <w:vMerge/>
          </w:tcPr>
          <w:p w14:paraId="5F74CCAD" w14:textId="77777777" w:rsidR="00FE78ED" w:rsidRPr="00E73634" w:rsidRDefault="00FE78ED" w:rsidP="002B7D7D">
            <w:pPr>
              <w:rPr>
                <w:rFonts w:asciiTheme="majorBidi" w:hAnsiTheme="majorBidi" w:cstheme="majorBidi"/>
                <w:b/>
              </w:rPr>
            </w:pPr>
          </w:p>
        </w:tc>
        <w:tc>
          <w:tcPr>
            <w:tcW w:w="1134" w:type="dxa"/>
          </w:tcPr>
          <w:p w14:paraId="1EDCF7BE" w14:textId="77777777" w:rsidR="00FE78ED" w:rsidRPr="00E73634" w:rsidRDefault="00FE78ED" w:rsidP="002B7D7D">
            <w:pPr>
              <w:rPr>
                <w:rFonts w:asciiTheme="majorBidi" w:hAnsiTheme="majorBidi" w:cstheme="majorBidi"/>
                <w:b/>
              </w:rPr>
            </w:pPr>
            <w:r w:rsidRPr="00E73634">
              <w:rPr>
                <w:rFonts w:asciiTheme="majorBidi" w:hAnsiTheme="majorBidi" w:cstheme="majorBidi"/>
                <w:b/>
              </w:rPr>
              <w:t>BRAEXU</w:t>
            </w:r>
          </w:p>
        </w:tc>
        <w:tc>
          <w:tcPr>
            <w:tcW w:w="1137" w:type="dxa"/>
          </w:tcPr>
          <w:p w14:paraId="1E190745"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COTEXU</w:t>
            </w:r>
          </w:p>
        </w:tc>
        <w:tc>
          <w:tcPr>
            <w:tcW w:w="1273" w:type="dxa"/>
          </w:tcPr>
          <w:p w14:paraId="4138B457"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ABAEXU</w:t>
            </w:r>
          </w:p>
        </w:tc>
        <w:tc>
          <w:tcPr>
            <w:tcW w:w="1275" w:type="dxa"/>
          </w:tcPr>
          <w:p w14:paraId="376B3204"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BRAEXU</w:t>
            </w:r>
          </w:p>
        </w:tc>
        <w:tc>
          <w:tcPr>
            <w:tcW w:w="1276" w:type="dxa"/>
          </w:tcPr>
          <w:p w14:paraId="266A9713"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COTEXU</w:t>
            </w:r>
          </w:p>
        </w:tc>
        <w:tc>
          <w:tcPr>
            <w:tcW w:w="1276" w:type="dxa"/>
          </w:tcPr>
          <w:p w14:paraId="623282A6"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ABAEXU</w:t>
            </w:r>
          </w:p>
        </w:tc>
        <w:tc>
          <w:tcPr>
            <w:tcW w:w="992" w:type="dxa"/>
            <w:vMerge/>
          </w:tcPr>
          <w:p w14:paraId="46CB16D6" w14:textId="77777777" w:rsidR="00FE78ED" w:rsidRPr="00E73634" w:rsidRDefault="00FE78ED" w:rsidP="002B7D7D">
            <w:pPr>
              <w:jc w:val="center"/>
              <w:rPr>
                <w:rFonts w:asciiTheme="majorBidi" w:hAnsiTheme="majorBidi" w:cstheme="majorBidi"/>
                <w:b/>
              </w:rPr>
            </w:pPr>
          </w:p>
        </w:tc>
      </w:tr>
      <w:tr w:rsidR="00FE78ED" w:rsidRPr="00E05978" w14:paraId="5A7686DB" w14:textId="77777777" w:rsidTr="002B7D7D">
        <w:trPr>
          <w:jc w:val="center"/>
        </w:trPr>
        <w:tc>
          <w:tcPr>
            <w:tcW w:w="1702" w:type="dxa"/>
          </w:tcPr>
          <w:p w14:paraId="1362124E" w14:textId="77777777" w:rsidR="00FE78ED" w:rsidRPr="00E05978" w:rsidRDefault="00ED21B7"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Ph</w:t>
            </w:r>
          </w:p>
        </w:tc>
        <w:tc>
          <w:tcPr>
            <w:tcW w:w="1134" w:type="dxa"/>
          </w:tcPr>
          <w:p w14:paraId="3464F63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4.57</w:t>
            </w:r>
          </w:p>
        </w:tc>
        <w:tc>
          <w:tcPr>
            <w:tcW w:w="1137" w:type="dxa"/>
          </w:tcPr>
          <w:p w14:paraId="204607C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12.60</w:t>
            </w:r>
          </w:p>
        </w:tc>
        <w:tc>
          <w:tcPr>
            <w:tcW w:w="1273" w:type="dxa"/>
          </w:tcPr>
          <w:p w14:paraId="39A428F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6.34</w:t>
            </w:r>
          </w:p>
        </w:tc>
        <w:tc>
          <w:tcPr>
            <w:tcW w:w="1275" w:type="dxa"/>
          </w:tcPr>
          <w:p w14:paraId="69C3775F"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11.50</w:t>
            </w:r>
          </w:p>
        </w:tc>
        <w:tc>
          <w:tcPr>
            <w:tcW w:w="1276" w:type="dxa"/>
          </w:tcPr>
          <w:p w14:paraId="0AC75ED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7.33</w:t>
            </w:r>
          </w:p>
        </w:tc>
        <w:tc>
          <w:tcPr>
            <w:tcW w:w="1276" w:type="dxa"/>
          </w:tcPr>
          <w:p w14:paraId="1D8E241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6.40</w:t>
            </w:r>
          </w:p>
        </w:tc>
        <w:tc>
          <w:tcPr>
            <w:tcW w:w="992" w:type="dxa"/>
          </w:tcPr>
          <w:p w14:paraId="710B52D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6.5-8.5</w:t>
            </w:r>
          </w:p>
        </w:tc>
      </w:tr>
      <w:tr w:rsidR="00FE78ED" w:rsidRPr="00E05978" w14:paraId="20995241" w14:textId="77777777" w:rsidTr="002B7D7D">
        <w:trPr>
          <w:jc w:val="center"/>
        </w:trPr>
        <w:tc>
          <w:tcPr>
            <w:tcW w:w="1702" w:type="dxa"/>
          </w:tcPr>
          <w:p w14:paraId="10205D99"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Temp (°C)</w:t>
            </w:r>
          </w:p>
        </w:tc>
        <w:tc>
          <w:tcPr>
            <w:tcW w:w="1134" w:type="dxa"/>
          </w:tcPr>
          <w:p w14:paraId="44B3687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37.5</w:t>
            </w:r>
          </w:p>
        </w:tc>
        <w:tc>
          <w:tcPr>
            <w:tcW w:w="1137" w:type="dxa"/>
          </w:tcPr>
          <w:p w14:paraId="31BC35D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27.5</w:t>
            </w:r>
          </w:p>
        </w:tc>
        <w:tc>
          <w:tcPr>
            <w:tcW w:w="1273" w:type="dxa"/>
          </w:tcPr>
          <w:p w14:paraId="1C6A35F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25.7</w:t>
            </w:r>
          </w:p>
        </w:tc>
        <w:tc>
          <w:tcPr>
            <w:tcW w:w="1275" w:type="dxa"/>
          </w:tcPr>
          <w:p w14:paraId="31A471A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37.8</w:t>
            </w:r>
          </w:p>
        </w:tc>
        <w:tc>
          <w:tcPr>
            <w:tcW w:w="1276" w:type="dxa"/>
          </w:tcPr>
          <w:p w14:paraId="0CA8433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25.0</w:t>
            </w:r>
          </w:p>
        </w:tc>
        <w:tc>
          <w:tcPr>
            <w:tcW w:w="1276" w:type="dxa"/>
          </w:tcPr>
          <w:p w14:paraId="2E26AB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24.6</w:t>
            </w:r>
          </w:p>
        </w:tc>
        <w:tc>
          <w:tcPr>
            <w:tcW w:w="992" w:type="dxa"/>
          </w:tcPr>
          <w:p w14:paraId="1C9BD07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30</w:t>
            </w:r>
          </w:p>
        </w:tc>
      </w:tr>
      <w:tr w:rsidR="00FE78ED" w:rsidRPr="00E05978" w14:paraId="65BDB40F" w14:textId="77777777" w:rsidTr="002B7D7D">
        <w:trPr>
          <w:jc w:val="center"/>
        </w:trPr>
        <w:tc>
          <w:tcPr>
            <w:tcW w:w="1702" w:type="dxa"/>
          </w:tcPr>
          <w:p w14:paraId="34F5461B"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Con.µS/cm</w:t>
            </w:r>
          </w:p>
        </w:tc>
        <w:tc>
          <w:tcPr>
            <w:tcW w:w="1134" w:type="dxa"/>
          </w:tcPr>
          <w:p w14:paraId="408F400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466</w:t>
            </w:r>
          </w:p>
        </w:tc>
        <w:tc>
          <w:tcPr>
            <w:tcW w:w="1137" w:type="dxa"/>
          </w:tcPr>
          <w:p w14:paraId="5297BA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4540</w:t>
            </w:r>
          </w:p>
        </w:tc>
        <w:tc>
          <w:tcPr>
            <w:tcW w:w="1273" w:type="dxa"/>
          </w:tcPr>
          <w:p w14:paraId="21E868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4270</w:t>
            </w:r>
          </w:p>
        </w:tc>
        <w:tc>
          <w:tcPr>
            <w:tcW w:w="1275" w:type="dxa"/>
          </w:tcPr>
          <w:p w14:paraId="6C0B78B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1552</w:t>
            </w:r>
          </w:p>
        </w:tc>
        <w:tc>
          <w:tcPr>
            <w:tcW w:w="1276" w:type="dxa"/>
          </w:tcPr>
          <w:p w14:paraId="0F22F88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348</w:t>
            </w:r>
          </w:p>
        </w:tc>
        <w:tc>
          <w:tcPr>
            <w:tcW w:w="1276" w:type="dxa"/>
          </w:tcPr>
          <w:p w14:paraId="4BA5D44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33CD4A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1000</w:t>
            </w:r>
          </w:p>
        </w:tc>
      </w:tr>
      <w:tr w:rsidR="00FE78ED" w:rsidRPr="00E05978" w14:paraId="048B14CC" w14:textId="77777777" w:rsidTr="002B7D7D">
        <w:trPr>
          <w:jc w:val="center"/>
        </w:trPr>
        <w:tc>
          <w:tcPr>
            <w:tcW w:w="1702" w:type="dxa"/>
          </w:tcPr>
          <w:p w14:paraId="39B190FF"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BOD5 (mg/L)</w:t>
            </w:r>
          </w:p>
        </w:tc>
        <w:tc>
          <w:tcPr>
            <w:tcW w:w="1134" w:type="dxa"/>
          </w:tcPr>
          <w:p w14:paraId="6C144F8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282</w:t>
            </w:r>
          </w:p>
        </w:tc>
        <w:tc>
          <w:tcPr>
            <w:tcW w:w="1137" w:type="dxa"/>
          </w:tcPr>
          <w:p w14:paraId="623C573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518</w:t>
            </w:r>
          </w:p>
        </w:tc>
        <w:tc>
          <w:tcPr>
            <w:tcW w:w="1273" w:type="dxa"/>
          </w:tcPr>
          <w:p w14:paraId="3FEAE36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614</w:t>
            </w:r>
          </w:p>
        </w:tc>
        <w:tc>
          <w:tcPr>
            <w:tcW w:w="1275" w:type="dxa"/>
          </w:tcPr>
          <w:p w14:paraId="3121A02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626</w:t>
            </w:r>
          </w:p>
        </w:tc>
        <w:tc>
          <w:tcPr>
            <w:tcW w:w="1276" w:type="dxa"/>
          </w:tcPr>
          <w:p w14:paraId="720A06E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1070</w:t>
            </w:r>
          </w:p>
        </w:tc>
        <w:tc>
          <w:tcPr>
            <w:tcW w:w="1276" w:type="dxa"/>
          </w:tcPr>
          <w:p w14:paraId="05B7CD1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621</w:t>
            </w:r>
          </w:p>
        </w:tc>
        <w:tc>
          <w:tcPr>
            <w:tcW w:w="992" w:type="dxa"/>
          </w:tcPr>
          <w:p w14:paraId="7743F14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30</w:t>
            </w:r>
          </w:p>
        </w:tc>
      </w:tr>
      <w:tr w:rsidR="00FE78ED" w:rsidRPr="00E05978" w14:paraId="0684B156" w14:textId="77777777" w:rsidTr="002B7D7D">
        <w:trPr>
          <w:jc w:val="center"/>
        </w:trPr>
        <w:tc>
          <w:tcPr>
            <w:tcW w:w="1702" w:type="dxa"/>
          </w:tcPr>
          <w:p w14:paraId="66A982F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COD (mg/L)</w:t>
            </w:r>
          </w:p>
        </w:tc>
        <w:tc>
          <w:tcPr>
            <w:tcW w:w="1134" w:type="dxa"/>
          </w:tcPr>
          <w:p w14:paraId="10131C8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923</w:t>
            </w:r>
          </w:p>
        </w:tc>
        <w:tc>
          <w:tcPr>
            <w:tcW w:w="1137" w:type="dxa"/>
          </w:tcPr>
          <w:p w14:paraId="483AEB4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1200</w:t>
            </w:r>
          </w:p>
        </w:tc>
        <w:tc>
          <w:tcPr>
            <w:tcW w:w="1273" w:type="dxa"/>
          </w:tcPr>
          <w:p w14:paraId="176089B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801</w:t>
            </w:r>
          </w:p>
        </w:tc>
        <w:tc>
          <w:tcPr>
            <w:tcW w:w="1275" w:type="dxa"/>
          </w:tcPr>
          <w:p w14:paraId="6D8EF3AF"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98</w:t>
            </w:r>
          </w:p>
        </w:tc>
        <w:tc>
          <w:tcPr>
            <w:tcW w:w="1276" w:type="dxa"/>
          </w:tcPr>
          <w:p w14:paraId="20277D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1000</w:t>
            </w:r>
          </w:p>
        </w:tc>
        <w:tc>
          <w:tcPr>
            <w:tcW w:w="1276" w:type="dxa"/>
          </w:tcPr>
          <w:p w14:paraId="25F74A7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1AF00F3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90</w:t>
            </w:r>
          </w:p>
        </w:tc>
      </w:tr>
      <w:tr w:rsidR="00FE78ED" w:rsidRPr="00E05978" w14:paraId="65195993" w14:textId="77777777" w:rsidTr="002B7D7D">
        <w:trPr>
          <w:jc w:val="center"/>
        </w:trPr>
        <w:tc>
          <w:tcPr>
            <w:tcW w:w="1702" w:type="dxa"/>
          </w:tcPr>
          <w:p w14:paraId="2B93E97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COD/BOD5</w:t>
            </w:r>
          </w:p>
        </w:tc>
        <w:tc>
          <w:tcPr>
            <w:tcW w:w="1134" w:type="dxa"/>
          </w:tcPr>
          <w:p w14:paraId="6471318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3.27</w:t>
            </w:r>
          </w:p>
        </w:tc>
        <w:tc>
          <w:tcPr>
            <w:tcW w:w="1137" w:type="dxa"/>
          </w:tcPr>
          <w:p w14:paraId="658709E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2.32</w:t>
            </w:r>
          </w:p>
        </w:tc>
        <w:tc>
          <w:tcPr>
            <w:tcW w:w="1273" w:type="dxa"/>
          </w:tcPr>
          <w:p w14:paraId="08948DD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1.30</w:t>
            </w:r>
          </w:p>
        </w:tc>
        <w:tc>
          <w:tcPr>
            <w:tcW w:w="1275" w:type="dxa"/>
          </w:tcPr>
          <w:p w14:paraId="4611075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0.16</w:t>
            </w:r>
          </w:p>
        </w:tc>
        <w:tc>
          <w:tcPr>
            <w:tcW w:w="1276" w:type="dxa"/>
          </w:tcPr>
          <w:p w14:paraId="1653062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0.93</w:t>
            </w:r>
          </w:p>
        </w:tc>
        <w:tc>
          <w:tcPr>
            <w:tcW w:w="1276" w:type="dxa"/>
          </w:tcPr>
          <w:p w14:paraId="0A1F911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780EA69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w:t>
            </w:r>
          </w:p>
        </w:tc>
      </w:tr>
      <w:tr w:rsidR="00FE78ED" w:rsidRPr="00E05978" w14:paraId="67BB7E8E" w14:textId="77777777" w:rsidTr="002B7D7D">
        <w:trPr>
          <w:jc w:val="center"/>
        </w:trPr>
        <w:tc>
          <w:tcPr>
            <w:tcW w:w="1702" w:type="dxa"/>
          </w:tcPr>
          <w:p w14:paraId="188E4621"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NO3 (mg/L)</w:t>
            </w:r>
          </w:p>
        </w:tc>
        <w:tc>
          <w:tcPr>
            <w:tcW w:w="1134" w:type="dxa"/>
          </w:tcPr>
          <w:p w14:paraId="25251EC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22.5</w:t>
            </w:r>
          </w:p>
        </w:tc>
        <w:tc>
          <w:tcPr>
            <w:tcW w:w="1137" w:type="dxa"/>
          </w:tcPr>
          <w:p w14:paraId="1C1A9A6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63.6</w:t>
            </w:r>
          </w:p>
        </w:tc>
        <w:tc>
          <w:tcPr>
            <w:tcW w:w="1273" w:type="dxa"/>
          </w:tcPr>
          <w:p w14:paraId="43A125C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53.1</w:t>
            </w:r>
          </w:p>
        </w:tc>
        <w:tc>
          <w:tcPr>
            <w:tcW w:w="1275" w:type="dxa"/>
          </w:tcPr>
          <w:p w14:paraId="1833E38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7.2</w:t>
            </w:r>
          </w:p>
        </w:tc>
        <w:tc>
          <w:tcPr>
            <w:tcW w:w="1276" w:type="dxa"/>
          </w:tcPr>
          <w:p w14:paraId="19AD1C92"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14.1</w:t>
            </w:r>
          </w:p>
        </w:tc>
        <w:tc>
          <w:tcPr>
            <w:tcW w:w="1276" w:type="dxa"/>
          </w:tcPr>
          <w:p w14:paraId="212DD5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7652F63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1</w:t>
            </w:r>
          </w:p>
        </w:tc>
      </w:tr>
      <w:tr w:rsidR="00FE78ED" w:rsidRPr="00E05978" w14:paraId="22307517" w14:textId="77777777" w:rsidTr="002B7D7D">
        <w:trPr>
          <w:jc w:val="center"/>
        </w:trPr>
        <w:tc>
          <w:tcPr>
            <w:tcW w:w="1702" w:type="dxa"/>
          </w:tcPr>
          <w:p w14:paraId="1EF2F5D0"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PO4 (mg/L)</w:t>
            </w:r>
          </w:p>
        </w:tc>
        <w:tc>
          <w:tcPr>
            <w:tcW w:w="1134" w:type="dxa"/>
          </w:tcPr>
          <w:p w14:paraId="69CCF97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185</w:t>
            </w:r>
          </w:p>
        </w:tc>
        <w:tc>
          <w:tcPr>
            <w:tcW w:w="1137" w:type="dxa"/>
          </w:tcPr>
          <w:p w14:paraId="778A257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548</w:t>
            </w:r>
          </w:p>
        </w:tc>
        <w:tc>
          <w:tcPr>
            <w:tcW w:w="1273" w:type="dxa"/>
          </w:tcPr>
          <w:p w14:paraId="09CC0FA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904</w:t>
            </w:r>
          </w:p>
        </w:tc>
        <w:tc>
          <w:tcPr>
            <w:tcW w:w="1275" w:type="dxa"/>
          </w:tcPr>
          <w:p w14:paraId="7481A08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1.78</w:t>
            </w:r>
          </w:p>
        </w:tc>
        <w:tc>
          <w:tcPr>
            <w:tcW w:w="1276" w:type="dxa"/>
          </w:tcPr>
          <w:p w14:paraId="2BF86EF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2.33</w:t>
            </w:r>
          </w:p>
        </w:tc>
        <w:tc>
          <w:tcPr>
            <w:tcW w:w="1276" w:type="dxa"/>
          </w:tcPr>
          <w:p w14:paraId="74C54FB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508F3D5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2</w:t>
            </w:r>
          </w:p>
        </w:tc>
      </w:tr>
      <w:tr w:rsidR="00FE78ED" w:rsidRPr="00E05978" w14:paraId="5420083B" w14:textId="77777777" w:rsidTr="002B7D7D">
        <w:trPr>
          <w:jc w:val="center"/>
        </w:trPr>
        <w:tc>
          <w:tcPr>
            <w:tcW w:w="1702" w:type="dxa"/>
          </w:tcPr>
          <w:p w14:paraId="3808C85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SO4 (mg/L)</w:t>
            </w:r>
          </w:p>
        </w:tc>
        <w:tc>
          <w:tcPr>
            <w:tcW w:w="1134" w:type="dxa"/>
          </w:tcPr>
          <w:p w14:paraId="43F9F13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w:t>
            </w:r>
          </w:p>
        </w:tc>
        <w:tc>
          <w:tcPr>
            <w:tcW w:w="1137" w:type="dxa"/>
          </w:tcPr>
          <w:p w14:paraId="66A8B03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1280</w:t>
            </w:r>
          </w:p>
        </w:tc>
        <w:tc>
          <w:tcPr>
            <w:tcW w:w="1273" w:type="dxa"/>
          </w:tcPr>
          <w:p w14:paraId="707DF06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490</w:t>
            </w:r>
          </w:p>
        </w:tc>
        <w:tc>
          <w:tcPr>
            <w:tcW w:w="1275" w:type="dxa"/>
          </w:tcPr>
          <w:p w14:paraId="2A7C438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55</w:t>
            </w:r>
          </w:p>
        </w:tc>
        <w:tc>
          <w:tcPr>
            <w:tcW w:w="1276" w:type="dxa"/>
          </w:tcPr>
          <w:p w14:paraId="7C37A78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150</w:t>
            </w:r>
          </w:p>
        </w:tc>
        <w:tc>
          <w:tcPr>
            <w:tcW w:w="1276" w:type="dxa"/>
          </w:tcPr>
          <w:p w14:paraId="7E22A7D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128D5C7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250</w:t>
            </w:r>
          </w:p>
        </w:tc>
      </w:tr>
      <w:tr w:rsidR="00FE78ED" w:rsidRPr="00E05978" w14:paraId="15683CD1" w14:textId="77777777" w:rsidTr="002B7D7D">
        <w:trPr>
          <w:jc w:val="center"/>
        </w:trPr>
        <w:tc>
          <w:tcPr>
            <w:tcW w:w="1702" w:type="dxa"/>
          </w:tcPr>
          <w:p w14:paraId="6BE8AD9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Cd  (mg/L)</w:t>
            </w:r>
          </w:p>
        </w:tc>
        <w:tc>
          <w:tcPr>
            <w:tcW w:w="1134" w:type="dxa"/>
          </w:tcPr>
          <w:p w14:paraId="5857E10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0.330</w:t>
            </w:r>
          </w:p>
        </w:tc>
        <w:tc>
          <w:tcPr>
            <w:tcW w:w="1137" w:type="dxa"/>
          </w:tcPr>
          <w:p w14:paraId="3E61AB4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7.667</w:t>
            </w:r>
          </w:p>
        </w:tc>
        <w:tc>
          <w:tcPr>
            <w:tcW w:w="1273" w:type="dxa"/>
          </w:tcPr>
          <w:p w14:paraId="43F4B0C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5" w:type="dxa"/>
          </w:tcPr>
          <w:p w14:paraId="1D2F01B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0.0138</w:t>
            </w:r>
          </w:p>
        </w:tc>
        <w:tc>
          <w:tcPr>
            <w:tcW w:w="1276" w:type="dxa"/>
          </w:tcPr>
          <w:p w14:paraId="2F6266A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0.0660</w:t>
            </w:r>
          </w:p>
        </w:tc>
        <w:tc>
          <w:tcPr>
            <w:tcW w:w="1276" w:type="dxa"/>
          </w:tcPr>
          <w:p w14:paraId="6D09214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31.78</w:t>
            </w:r>
          </w:p>
        </w:tc>
        <w:tc>
          <w:tcPr>
            <w:tcW w:w="992" w:type="dxa"/>
          </w:tcPr>
          <w:p w14:paraId="124FAB3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w:t>
            </w:r>
          </w:p>
        </w:tc>
      </w:tr>
      <w:tr w:rsidR="00FE78ED" w:rsidRPr="00E05978" w14:paraId="600A1923" w14:textId="77777777" w:rsidTr="002B7D7D">
        <w:trPr>
          <w:jc w:val="center"/>
        </w:trPr>
        <w:tc>
          <w:tcPr>
            <w:tcW w:w="1702" w:type="dxa"/>
          </w:tcPr>
          <w:p w14:paraId="5AF1DD9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Pb (mg/L)</w:t>
            </w:r>
          </w:p>
        </w:tc>
        <w:tc>
          <w:tcPr>
            <w:tcW w:w="1134" w:type="dxa"/>
          </w:tcPr>
          <w:p w14:paraId="0BCFB90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0.480</w:t>
            </w:r>
          </w:p>
        </w:tc>
        <w:tc>
          <w:tcPr>
            <w:tcW w:w="1137" w:type="dxa"/>
          </w:tcPr>
          <w:p w14:paraId="3AF96DE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1.90</w:t>
            </w:r>
          </w:p>
        </w:tc>
        <w:tc>
          <w:tcPr>
            <w:tcW w:w="1273" w:type="dxa"/>
          </w:tcPr>
          <w:p w14:paraId="0DFADBAB" w14:textId="77777777" w:rsidR="00FE78ED" w:rsidRPr="00E05978" w:rsidRDefault="00FE78ED" w:rsidP="00FE78E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0.018</w:t>
            </w:r>
          </w:p>
        </w:tc>
        <w:tc>
          <w:tcPr>
            <w:tcW w:w="1275" w:type="dxa"/>
          </w:tcPr>
          <w:p w14:paraId="6BC9D5E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0.002</w:t>
            </w:r>
          </w:p>
        </w:tc>
        <w:tc>
          <w:tcPr>
            <w:tcW w:w="1276" w:type="dxa"/>
          </w:tcPr>
          <w:p w14:paraId="39210F1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0.102</w:t>
            </w:r>
          </w:p>
        </w:tc>
        <w:tc>
          <w:tcPr>
            <w:tcW w:w="1276" w:type="dxa"/>
          </w:tcPr>
          <w:p w14:paraId="444D848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6CE31E3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w:t>
            </w:r>
          </w:p>
        </w:tc>
      </w:tr>
      <w:tr w:rsidR="00FE78ED" w:rsidRPr="00E05978" w14:paraId="19A221E4" w14:textId="77777777" w:rsidTr="002B7D7D">
        <w:trPr>
          <w:jc w:val="center"/>
        </w:trPr>
        <w:tc>
          <w:tcPr>
            <w:tcW w:w="1702" w:type="dxa"/>
          </w:tcPr>
          <w:p w14:paraId="7E733DBC"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Zn (mg/L)</w:t>
            </w:r>
          </w:p>
        </w:tc>
        <w:tc>
          <w:tcPr>
            <w:tcW w:w="1134" w:type="dxa"/>
          </w:tcPr>
          <w:p w14:paraId="2614565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0.98</w:t>
            </w:r>
          </w:p>
        </w:tc>
        <w:tc>
          <w:tcPr>
            <w:tcW w:w="1137" w:type="dxa"/>
          </w:tcPr>
          <w:p w14:paraId="75407FE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3.0</w:t>
            </w:r>
          </w:p>
        </w:tc>
        <w:tc>
          <w:tcPr>
            <w:tcW w:w="1273" w:type="dxa"/>
          </w:tcPr>
          <w:p w14:paraId="46777AE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9.3</w:t>
            </w:r>
          </w:p>
        </w:tc>
        <w:tc>
          <w:tcPr>
            <w:tcW w:w="1275" w:type="dxa"/>
          </w:tcPr>
          <w:p w14:paraId="70B32D42"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1.05</w:t>
            </w:r>
          </w:p>
        </w:tc>
        <w:tc>
          <w:tcPr>
            <w:tcW w:w="1276" w:type="dxa"/>
          </w:tcPr>
          <w:p w14:paraId="24DC3D6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2.87</w:t>
            </w:r>
          </w:p>
        </w:tc>
        <w:tc>
          <w:tcPr>
            <w:tcW w:w="1276" w:type="dxa"/>
          </w:tcPr>
          <w:p w14:paraId="302C7F2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11.24</w:t>
            </w:r>
          </w:p>
        </w:tc>
        <w:tc>
          <w:tcPr>
            <w:tcW w:w="992" w:type="dxa"/>
          </w:tcPr>
          <w:p w14:paraId="3616896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0.5</w:t>
            </w:r>
          </w:p>
        </w:tc>
      </w:tr>
      <w:tr w:rsidR="00FE78ED" w:rsidRPr="00E05978" w14:paraId="19147F9F" w14:textId="77777777" w:rsidTr="002B7D7D">
        <w:trPr>
          <w:jc w:val="center"/>
        </w:trPr>
        <w:tc>
          <w:tcPr>
            <w:tcW w:w="1702" w:type="dxa"/>
          </w:tcPr>
          <w:p w14:paraId="7BFAE9C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Cu (mg/L)</w:t>
            </w:r>
          </w:p>
        </w:tc>
        <w:tc>
          <w:tcPr>
            <w:tcW w:w="1134" w:type="dxa"/>
          </w:tcPr>
          <w:p w14:paraId="63E6D8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1.20</w:t>
            </w:r>
          </w:p>
        </w:tc>
        <w:tc>
          <w:tcPr>
            <w:tcW w:w="1137" w:type="dxa"/>
          </w:tcPr>
          <w:p w14:paraId="29FB281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18.5</w:t>
            </w:r>
          </w:p>
        </w:tc>
        <w:tc>
          <w:tcPr>
            <w:tcW w:w="1273" w:type="dxa"/>
          </w:tcPr>
          <w:p w14:paraId="233DCB2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18.0</w:t>
            </w:r>
          </w:p>
        </w:tc>
        <w:tc>
          <w:tcPr>
            <w:tcW w:w="1275" w:type="dxa"/>
          </w:tcPr>
          <w:p w14:paraId="14A6837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6" w:type="dxa"/>
          </w:tcPr>
          <w:p w14:paraId="530F055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6" w:type="dxa"/>
          </w:tcPr>
          <w:p w14:paraId="024D88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22.6</w:t>
            </w:r>
          </w:p>
        </w:tc>
        <w:tc>
          <w:tcPr>
            <w:tcW w:w="992" w:type="dxa"/>
          </w:tcPr>
          <w:p w14:paraId="7368DDD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0.02</w:t>
            </w:r>
          </w:p>
        </w:tc>
      </w:tr>
      <w:tr w:rsidR="00FE78ED" w:rsidRPr="00E05978" w14:paraId="29239AF7" w14:textId="77777777" w:rsidTr="002B7D7D">
        <w:trPr>
          <w:jc w:val="center"/>
        </w:trPr>
        <w:tc>
          <w:tcPr>
            <w:tcW w:w="1702" w:type="dxa"/>
          </w:tcPr>
          <w:p w14:paraId="4270A571"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Cr (mg/L)</w:t>
            </w:r>
          </w:p>
        </w:tc>
        <w:tc>
          <w:tcPr>
            <w:tcW w:w="1134" w:type="dxa"/>
          </w:tcPr>
          <w:p w14:paraId="7687C0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0.32</w:t>
            </w:r>
          </w:p>
        </w:tc>
        <w:tc>
          <w:tcPr>
            <w:tcW w:w="1137" w:type="dxa"/>
          </w:tcPr>
          <w:p w14:paraId="50E1C6C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0.55</w:t>
            </w:r>
          </w:p>
        </w:tc>
        <w:tc>
          <w:tcPr>
            <w:tcW w:w="1273" w:type="dxa"/>
          </w:tcPr>
          <w:p w14:paraId="009329E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4.2</w:t>
            </w:r>
          </w:p>
        </w:tc>
        <w:tc>
          <w:tcPr>
            <w:tcW w:w="1275" w:type="dxa"/>
          </w:tcPr>
          <w:p w14:paraId="28BADDC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0.39</w:t>
            </w:r>
          </w:p>
        </w:tc>
        <w:tc>
          <w:tcPr>
            <w:tcW w:w="1276" w:type="dxa"/>
          </w:tcPr>
          <w:p w14:paraId="23DA0B5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0.71</w:t>
            </w:r>
          </w:p>
        </w:tc>
        <w:tc>
          <w:tcPr>
            <w:tcW w:w="1276" w:type="dxa"/>
          </w:tcPr>
          <w:p w14:paraId="7EF28A0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5.96</w:t>
            </w:r>
          </w:p>
        </w:tc>
        <w:tc>
          <w:tcPr>
            <w:tcW w:w="992" w:type="dxa"/>
          </w:tcPr>
          <w:p w14:paraId="39A5CFD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w:t>
            </w:r>
          </w:p>
        </w:tc>
      </w:tr>
      <w:tr w:rsidR="00FE78ED" w:rsidRPr="00E05978" w14:paraId="10D5A0B0" w14:textId="77777777" w:rsidTr="002B7D7D">
        <w:trPr>
          <w:jc w:val="center"/>
        </w:trPr>
        <w:tc>
          <w:tcPr>
            <w:tcW w:w="1702" w:type="dxa"/>
          </w:tcPr>
          <w:p w14:paraId="55FCB51E"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Fe (mg/L)</w:t>
            </w:r>
          </w:p>
        </w:tc>
        <w:tc>
          <w:tcPr>
            <w:tcW w:w="1134" w:type="dxa"/>
          </w:tcPr>
          <w:p w14:paraId="5ABD335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8.40</w:t>
            </w:r>
          </w:p>
        </w:tc>
        <w:tc>
          <w:tcPr>
            <w:tcW w:w="1137" w:type="dxa"/>
          </w:tcPr>
          <w:p w14:paraId="27684D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62.0</w:t>
            </w:r>
          </w:p>
        </w:tc>
        <w:tc>
          <w:tcPr>
            <w:tcW w:w="1273" w:type="dxa"/>
          </w:tcPr>
          <w:p w14:paraId="6762C1E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50</w:t>
            </w:r>
          </w:p>
        </w:tc>
        <w:tc>
          <w:tcPr>
            <w:tcW w:w="1275" w:type="dxa"/>
          </w:tcPr>
          <w:p w14:paraId="52B489A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4.36</w:t>
            </w:r>
          </w:p>
        </w:tc>
        <w:tc>
          <w:tcPr>
            <w:tcW w:w="1276" w:type="dxa"/>
          </w:tcPr>
          <w:p w14:paraId="7311153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7.74</w:t>
            </w:r>
          </w:p>
        </w:tc>
        <w:tc>
          <w:tcPr>
            <w:tcW w:w="1276" w:type="dxa"/>
          </w:tcPr>
          <w:p w14:paraId="7166F6F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63.34</w:t>
            </w:r>
          </w:p>
        </w:tc>
        <w:tc>
          <w:tcPr>
            <w:tcW w:w="992" w:type="dxa"/>
          </w:tcPr>
          <w:p w14:paraId="161DD08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w:t>
            </w:r>
          </w:p>
        </w:tc>
      </w:tr>
    </w:tbl>
    <w:p w14:paraId="6E824B03" w14:textId="77777777" w:rsidR="00ED21B7" w:rsidRPr="00E05978" w:rsidRDefault="00ED21B7" w:rsidP="00ED21B7">
      <w:pPr>
        <w:spacing w:before="240" w:after="0" w:line="360" w:lineRule="auto"/>
        <w:jc w:val="both"/>
        <w:rPr>
          <w:rFonts w:ascii="Times New Roman" w:eastAsia="Times New Roman" w:hAnsi="Times New Roman" w:cs="Times New Roman"/>
          <w:b/>
          <w:sz w:val="24"/>
          <w:szCs w:val="24"/>
          <w:lang w:eastAsia="fr-FR"/>
        </w:rPr>
      </w:pPr>
      <w:r w:rsidRPr="00E05978">
        <w:rPr>
          <w:rFonts w:ascii="Times New Roman" w:eastAsia="Times New Roman" w:hAnsi="Times New Roman" w:cs="Times New Roman"/>
          <w:b/>
          <w:sz w:val="24"/>
          <w:szCs w:val="24"/>
          <w:lang w:eastAsia="fr-FR"/>
        </w:rPr>
        <w:t>II.2. Discussion</w:t>
      </w:r>
    </w:p>
    <w:p w14:paraId="1784B272" w14:textId="77777777" w:rsidR="00ED21B7" w:rsidRPr="00ED21B7" w:rsidRDefault="00ED21B7" w:rsidP="00ED21B7">
      <w:pPr>
        <w:spacing w:after="0" w:line="360" w:lineRule="auto"/>
        <w:jc w:val="both"/>
        <w:rPr>
          <w:rFonts w:ascii="Times New Roman" w:eastAsia="Times New Roman" w:hAnsi="Times New Roman" w:cs="Times New Roman"/>
          <w:b/>
          <w:sz w:val="24"/>
          <w:szCs w:val="24"/>
          <w:lang w:eastAsia="fr-FR"/>
        </w:rPr>
      </w:pPr>
      <w:r w:rsidRPr="00ED21B7">
        <w:rPr>
          <w:rFonts w:ascii="Times New Roman" w:eastAsia="Times New Roman" w:hAnsi="Times New Roman" w:cs="Times New Roman"/>
          <w:b/>
          <w:sz w:val="24"/>
          <w:szCs w:val="24"/>
          <w:lang w:eastAsia="fr-FR"/>
        </w:rPr>
        <w:t>Hydrogen potential (pH)</w:t>
      </w:r>
    </w:p>
    <w:p w14:paraId="58BE78BC" w14:textId="77777777" w:rsidR="00ED21B7" w:rsidRDefault="00ED21B7" w:rsidP="00ED21B7">
      <w:pPr>
        <w:spacing w:after="120" w:line="360" w:lineRule="auto"/>
        <w:jc w:val="both"/>
        <w:rPr>
          <w:rFonts w:ascii="Times New Roman" w:hAnsi="Times New Roman" w:cs="Times New Roman"/>
          <w:sz w:val="24"/>
          <w:szCs w:val="24"/>
        </w:rPr>
      </w:pPr>
      <w:r w:rsidRPr="00BD5AF3">
        <w:rPr>
          <w:rFonts w:ascii="Times New Roman" w:eastAsia="Times New Roman" w:hAnsi="Times New Roman" w:cs="Times New Roman"/>
          <w:sz w:val="24"/>
          <w:szCs w:val="24"/>
          <w:lang w:eastAsia="fr-FR"/>
        </w:rPr>
        <w:t>pH is a measure of the concentration of hydrogen ions in water,</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providing an indication of the acidity, neutrality, or basicity of a solution (Khan</w:t>
      </w:r>
      <w:r>
        <w:rPr>
          <w:rFonts w:ascii="Times New Roman" w:eastAsia="Times New Roman" w:hAnsi="Times New Roman" w:cs="Times New Roman"/>
          <w:sz w:val="24"/>
          <w:szCs w:val="24"/>
          <w:lang w:eastAsia="fr-FR"/>
        </w:rPr>
        <w:t xml:space="preserve"> </w:t>
      </w:r>
      <w:r w:rsidRPr="00BD5AF3">
        <w:rPr>
          <w:rFonts w:ascii="Times New Roman" w:hAnsi="Times New Roman" w:cs="Times New Roman"/>
          <w:sz w:val="24"/>
          <w:szCs w:val="24"/>
        </w:rPr>
        <w:t xml:space="preserve">and Jhariya, 2017). The pH of effluents from industrial units in the city of Moundou varies between 4.57 and 12.6. For effluents from Brasseries du Tchad (BDT), pH values range from 4.57 in the dry season (May) to 11.5 in the rainy season (July), with an average of 9.59. The basic pH values (pH &gt; 7) are due to the discharge of caustic soda used to wash machines and bottles. These average pH values do not agree with those found by Umar and Chidi (2017). According to Begum et al., 2009, the high pH value indicates the presence of carbonates and calcium in the water. The pH of the effluents from the Cotontchad factory ranges from 12.60 in the dry season (May) to 7.33 in the rainy season (July), with an average of 9.12. This high value explains the excessive use of soda, detergents, and other chemicals. For effluents from the Moundou central slaughterhouse, the pH values recorded range from 6.34 in the dry season (May) to 6.40 in the rainy season (July). The latter shows that slaughterhouse effluent is neutral. This is attributed to the drinking water used for processing carcasses and blood, which has a neutral pH. Our results are lower than those (8.18) reported by El Guamri et al. (2008) for effluents from the slaughterhouse in the city of Kenitra, Morocco. The WHO recommends a guideline value between 6.5 and 8.5. </w:t>
      </w:r>
    </w:p>
    <w:p w14:paraId="1E2A9C6A" w14:textId="77777777" w:rsidR="00ED21B7" w:rsidRPr="00603AEA" w:rsidRDefault="00ED21B7" w:rsidP="00ED21B7">
      <w:pPr>
        <w:spacing w:after="0" w:line="360" w:lineRule="auto"/>
        <w:jc w:val="both"/>
        <w:rPr>
          <w:rFonts w:ascii="Times New Roman" w:hAnsi="Times New Roman" w:cs="Times New Roman"/>
          <w:b/>
          <w:sz w:val="24"/>
          <w:szCs w:val="24"/>
        </w:rPr>
      </w:pPr>
      <w:r w:rsidRPr="00603AEA">
        <w:rPr>
          <w:rFonts w:ascii="Times New Roman" w:eastAsia="Times New Roman" w:hAnsi="Times New Roman" w:cs="Times New Roman"/>
          <w:b/>
          <w:sz w:val="24"/>
          <w:szCs w:val="24"/>
          <w:lang w:eastAsia="fr-FR"/>
        </w:rPr>
        <w:t xml:space="preserve">Temperature </w:t>
      </w:r>
    </w:p>
    <w:p w14:paraId="63BF595C" w14:textId="77777777" w:rsidR="00ED21B7" w:rsidRDefault="00ED21B7" w:rsidP="00ED21B7">
      <w:pPr>
        <w:pStyle w:val="NormalWeb"/>
        <w:spacing w:before="0" w:beforeAutospacing="0" w:after="120" w:afterAutospacing="0" w:line="360" w:lineRule="auto"/>
        <w:jc w:val="both"/>
      </w:pPr>
      <w:r w:rsidRPr="00BD5AF3">
        <w:lastRenderedPageBreak/>
        <w:t xml:space="preserve">Temperature is an important ecological factor for aquatic environments. It is linked to seasonal and daily variations in ambient temperature and to discharges from anthropogenic activities (cooling water). It plays a very important role in the solubility of salts and especially gases (Rodier, 2009). Its disruption can influence aquatic life (thermal pollution). The temperatures recorded in industrial effluents vary between 24.4°C and 37.8°C for both seasons. For effluents from Brasseries du Tchad (BDT), average temperatures vary from 37.5°C in the dry season (May) to 37.8°C in the rainy season (July) with an average of 36.65°C. For Cotontchad, temperatures range from 27.5°C in the dry season (May) to 25.0°C in the rainy season (July) with an average of 26.25°C. Finally, for the slaughterhouse, the temperature is 24.4°C in the dry season (May). These high temperature values are similar to those found by Alaki-Issi Massimapton SEMA et al. (2019). The WHO recommends a limit value of 30°C for discharge. The temperature of the effluents from Brasserie du Tchad (BDT) exceeds the standard. They use hot water for pasteurization, washing, and rinsing bottles in hot water. These high temperatures pose a risk of thermal pollution for the receiving environment, but are beneficial for biological wastewater and sludge treatment processes, as they contribute to increasing the rate of organic matter degradation (Benyakhlef et al. 2011). </w:t>
      </w:r>
    </w:p>
    <w:p w14:paraId="3ED409DF" w14:textId="77777777" w:rsidR="00ED21B7" w:rsidRPr="00603AEA" w:rsidRDefault="00ED21B7" w:rsidP="00ED21B7">
      <w:pPr>
        <w:pStyle w:val="NormalWeb"/>
        <w:spacing w:before="0" w:beforeAutospacing="0" w:after="0" w:afterAutospacing="0" w:line="360" w:lineRule="auto"/>
        <w:jc w:val="both"/>
        <w:rPr>
          <w:b/>
        </w:rPr>
      </w:pPr>
      <w:r w:rsidRPr="00603AEA">
        <w:rPr>
          <w:b/>
        </w:rPr>
        <w:t>Electrical conductivity</w:t>
      </w:r>
    </w:p>
    <w:p w14:paraId="678B759E" w14:textId="77777777" w:rsidR="00ED21B7" w:rsidRPr="00BD5AF3" w:rsidRDefault="00ED21B7" w:rsidP="00ED21B7">
      <w:pPr>
        <w:pStyle w:val="NormalWeb"/>
        <w:spacing w:before="0" w:beforeAutospacing="0" w:after="120" w:afterAutospacing="0" w:line="360" w:lineRule="auto"/>
        <w:jc w:val="both"/>
      </w:pPr>
      <w:r w:rsidRPr="00BD5AF3">
        <w:t>Measuring electrical conductivity provides information on the salinity and mineralization of water. The electrical conductivity values measured in the effluents of the Chad Breweries (BDT) range from 466 µS/cm in the dry season (May) to 1552 µS/cm in the rainy season (July), with an average of 1009 µS/cm. A value of 1525.13 µS/cm was found at the brewery in Ethiopia by Bizualem Wakuma (2017). Those of Cotontchad vary between 4540 µS/cm in the dry season (May) and 348 µS/cm in the rainy season (July), with an average of 2444 μS/cm. And a conductivity of 4270 μS/cm in the dry season (May) for slaughterhouse discharges (Table 1). A value of 963 µS/cm was found at the Niamey slaughterhouse by Adamou et al. (2020). Our results exceed WHO discharge standards (1000 µS/cm). This indicates high mineralization of industrial waste. The high electrical conductivity values are due to the presence of mineral salts in the wastewater.</w:t>
      </w:r>
    </w:p>
    <w:p w14:paraId="6C2C24C8" w14:textId="77777777" w:rsidR="00ED21B7" w:rsidRPr="00603AEA" w:rsidRDefault="00ED21B7" w:rsidP="00ED21B7">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Chemical Oxygen Demand</w:t>
      </w:r>
    </w:p>
    <w:p w14:paraId="748C0C8E"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COD is used to assess the concentration of organic or mineral matter, dissolved or suspended in water, based on the amount of oxygen required for their total chemical oxidation. The COD content of brewery effluents varies from 923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to 98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510.5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 value of 1265.47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w:t>
      </w:r>
      <w:r w:rsidRPr="00BD5AF3">
        <w:rPr>
          <w:rFonts w:ascii="Times New Roman" w:eastAsia="Times New Roman" w:hAnsi="Times New Roman" w:cs="Times New Roman"/>
          <w:sz w:val="24"/>
          <w:szCs w:val="24"/>
          <w:lang w:eastAsia="fr-FR"/>
        </w:rPr>
        <w:lastRenderedPageBreak/>
        <w:t>was found at the Kara Brewery in Togo by Alaki - Issi Massimapatom SEMA et al. (2019). The values for Cotontchad's discharges vary between 1200 mg O2/L in the dry season (May) and 1000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1100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 value of 801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was recorded in the dry season (May) for slaughterhouse effluents. These high values are due to the non-treatment of wastewater rich in non-biodegradable organic matter, which requires more dissolved oxygen for its chemical degradation. </w:t>
      </w:r>
    </w:p>
    <w:p w14:paraId="3BCAA630"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Biological Oxygen Demand BOD</w:t>
      </w:r>
      <w:r w:rsidRPr="00603AEA">
        <w:rPr>
          <w:rFonts w:ascii="Times New Roman" w:eastAsia="Times New Roman" w:hAnsi="Times New Roman" w:cs="Times New Roman"/>
          <w:b/>
          <w:sz w:val="24"/>
          <w:szCs w:val="24"/>
          <w:vertAlign w:val="subscript"/>
          <w:lang w:eastAsia="fr-FR"/>
        </w:rPr>
        <w:t>5</w:t>
      </w:r>
    </w:p>
    <w:p w14:paraId="685649FD"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is an expression used to indicate the amount of oxygen used to destroy decomposable organic matter through biochemical processes. The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values of effluents from breweries in Chad vary between 282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and 626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454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Those of Cotontchad range from 518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to 1070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794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and a value of 614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for slaughterhouse discharges (Table 1). A value of 88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of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was found by Bizualem Wakuma (2017) for brewery discharges in Ethiopia. Our results exceed the limit of 30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recommended by the WHO. These high values are due to the lack of treatment of effluents, which are rich in organic matter and require more dissolved oxygen for their biodegradation. </w:t>
      </w:r>
    </w:p>
    <w:p w14:paraId="516164D9"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COD/BOD5 ratio</w:t>
      </w:r>
    </w:p>
    <w:p w14:paraId="2066AEED"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is important and can be used to determine whether industrial effluents discharged into receiving environments are biodegradable or not. If this ratio is less than 3 (ONEP 1998), this implies the presence of a large proportion of biodegradable matter and makes biological treatment a viable option. Conversely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/COD), a high value for this ratio indicates that a large proportion of the organic matter is not biodegradable and, in this case, it is preferable to consider physicochemical treatment. The results of this ratio provide an indication of the importance of pollutants that are not readily biodegradable (Rodier, 1996). The effluent from the Cotontchad plant has an average COD/BOD5 ratio of 2.32 mg/L in the dry season (May) and 0.93 mg/L in the rainy season (July). 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is &lt; 3, meaning that the pollution is biodegradable. The average COD/BOD5 ratio values obtained for the breweries vary between 3.27 mg/L in the dry season (May) and 0.16 in the rainy season (July). This ratio allows us to classify the effluents from Cotontchad as biodegradable, whereas the effluents from the breweries are not biodegradable. 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helps guide the choice of the most suitable treatment process (Metahri 2012).</w:t>
      </w:r>
    </w:p>
    <w:p w14:paraId="1E5188A0" w14:textId="77777777" w:rsidR="00ED21B7" w:rsidRPr="00BD5AF3" w:rsidRDefault="00ED21B7" w:rsidP="00ED21B7">
      <w:pPr>
        <w:spacing w:before="120"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Phosphate ion concentration (PO</w:t>
      </w:r>
      <w:r w:rsidRPr="00ED21B7">
        <w:rPr>
          <w:rFonts w:ascii="Times New Roman" w:eastAsia="Times New Roman" w:hAnsi="Times New Roman" w:cs="Times New Roman"/>
          <w:sz w:val="24"/>
          <w:szCs w:val="24"/>
          <w:vertAlign w:val="subscript"/>
          <w:lang w:eastAsia="fr-FR"/>
        </w:rPr>
        <w:t>4</w:t>
      </w:r>
      <w:r w:rsidRPr="00ED21B7">
        <w:rPr>
          <w:rFonts w:ascii="Times New Roman" w:eastAsia="Times New Roman" w:hAnsi="Times New Roman" w:cs="Times New Roman"/>
          <w:sz w:val="24"/>
          <w:szCs w:val="24"/>
          <w:vertAlign w:val="superscript"/>
          <w:lang w:eastAsia="fr-FR"/>
        </w:rPr>
        <w:t>3-</w:t>
      </w:r>
      <w:r w:rsidRPr="00BD5AF3">
        <w:rPr>
          <w:rFonts w:ascii="Times New Roman" w:eastAsia="Times New Roman" w:hAnsi="Times New Roman" w:cs="Times New Roman"/>
          <w:sz w:val="24"/>
          <w:szCs w:val="24"/>
          <w:lang w:eastAsia="fr-FR"/>
        </w:rPr>
        <w:t>)</w:t>
      </w:r>
    </w:p>
    <w:p w14:paraId="38F32363"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 xml:space="preserve">Phosphorus plays an important role in algae growth and can promote their proliferation in reservoirs, large-diameter pipes, and lakes, where it contributes to eutrophication. The phosphate ion concentrations in the brewery's effluents vary between 1.78 mg/L in the rainy season (July) and 622 mg/L in the dry season (May), with an average of 331.89 mg/L. Those of Cotontchad and the Moundou slaughterhouse vary between 2.33 mg/L in the rainy season (July) and 548 mg/L in the dry season (May), with an average of 275.165 mg/L and 904 mg/L in the dry season (May), respectively. A value of 42.45 mg/L was found by Bizualem Wakuma (2017) in brewery discharges in Ethiopia, and a value of 3.32 mg/L was recorded by Ngaram (2011) at the N'Djamena Brewery. In contrast, a value of 0.147 mg/L of phosphate ions was found at the Kenitra slaughterhouse in Morocco (El Guamri, et al., 2008). Our results are higher than the WHO standard (2 mg/L). In addition, phosphate ion concentrations are related to pH. The higher the pH, the higher the phosphate ion concentrations, which leads to eutrophication of the receiving environment. </w:t>
      </w:r>
    </w:p>
    <w:p w14:paraId="62A16ED2"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Concentration of sulfate ions (SO</w:t>
      </w:r>
      <w:r w:rsidRPr="00603AEA">
        <w:rPr>
          <w:rFonts w:ascii="Times New Roman" w:eastAsia="Times New Roman" w:hAnsi="Times New Roman" w:cs="Times New Roman"/>
          <w:b/>
          <w:sz w:val="24"/>
          <w:szCs w:val="24"/>
          <w:vertAlign w:val="subscript"/>
          <w:lang w:eastAsia="fr-FR"/>
        </w:rPr>
        <w:t>4</w:t>
      </w:r>
      <w:r w:rsidRPr="00603AEA">
        <w:rPr>
          <w:rFonts w:ascii="Times New Roman" w:eastAsia="Times New Roman" w:hAnsi="Times New Roman" w:cs="Times New Roman"/>
          <w:b/>
          <w:sz w:val="24"/>
          <w:szCs w:val="24"/>
          <w:vertAlign w:val="superscript"/>
          <w:lang w:eastAsia="fr-FR"/>
        </w:rPr>
        <w:t>2-</w:t>
      </w:r>
      <w:r w:rsidRPr="00603AEA">
        <w:rPr>
          <w:rFonts w:ascii="Times New Roman" w:eastAsia="Times New Roman" w:hAnsi="Times New Roman" w:cs="Times New Roman"/>
          <w:b/>
          <w:sz w:val="24"/>
          <w:szCs w:val="24"/>
          <w:lang w:eastAsia="fr-FR"/>
        </w:rPr>
        <w:t xml:space="preserve">) </w:t>
      </w:r>
    </w:p>
    <w:p w14:paraId="662550AB" w14:textId="77777777" w:rsidR="00ED21B7" w:rsidRPr="00BD5AF3" w:rsidRDefault="00ED21B7" w:rsidP="00603AEA">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Sulfates cause water hardness and therefore high levels are not recommended. In this study, the concentrations of ions (SO</w:t>
      </w:r>
      <w:r w:rsidRPr="00603AEA">
        <w:rPr>
          <w:rFonts w:ascii="Times New Roman" w:eastAsia="Times New Roman" w:hAnsi="Times New Roman" w:cs="Times New Roman"/>
          <w:sz w:val="24"/>
          <w:szCs w:val="24"/>
          <w:vertAlign w:val="subscript"/>
          <w:lang w:eastAsia="fr-FR"/>
        </w:rPr>
        <w:t>4</w:t>
      </w:r>
      <w:r w:rsidRPr="00603AEA">
        <w:rPr>
          <w:rFonts w:ascii="Times New Roman" w:eastAsia="Times New Roman" w:hAnsi="Times New Roman" w:cs="Times New Roman"/>
          <w:sz w:val="24"/>
          <w:szCs w:val="24"/>
          <w:vertAlign w:val="superscript"/>
          <w:lang w:eastAsia="fr-FR"/>
        </w:rPr>
        <w:t>2-</w:t>
      </w:r>
      <w:r w:rsidRPr="00BD5AF3">
        <w:rPr>
          <w:rFonts w:ascii="Times New Roman" w:eastAsia="Times New Roman" w:hAnsi="Times New Roman" w:cs="Times New Roman"/>
          <w:sz w:val="24"/>
          <w:szCs w:val="24"/>
          <w:lang w:eastAsia="fr-FR"/>
        </w:rPr>
        <w:t>) in the brewery's effluents vary between 45 mg/L in the dry season (May) and 55 mg/L in the rainy season (July), with an average of 50 mg/L. Those of Cotontchad and the Moundou slaughterhouse vary between 1280 mg/L in the dry season (May) and 150 mg/L in July (rainy season) with an average of 715 mg/L and 490 mg/L in the dry season (May) for the slaughterhouse. A value of 1.68 mg/L was found in the effluent from the Lagos Brewery (Avemaria Obasi, 2017), which is lower than our results. The values found for Cotontchad and the slaughterhouse are higher than the permissible limit prescribed by the WHO, which is 250 mg/L.</w:t>
      </w:r>
    </w:p>
    <w:p w14:paraId="40949CEB" w14:textId="77777777" w:rsidR="00ED21B7" w:rsidRPr="00603AEA" w:rsidRDefault="00ED21B7" w:rsidP="00603AEA">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Concentration of nitrate ions (NO</w:t>
      </w:r>
      <w:r w:rsidRPr="00E42E4F">
        <w:rPr>
          <w:rFonts w:ascii="Times New Roman" w:eastAsia="Times New Roman" w:hAnsi="Times New Roman" w:cs="Times New Roman"/>
          <w:b/>
          <w:sz w:val="24"/>
          <w:szCs w:val="24"/>
          <w:vertAlign w:val="subscript"/>
          <w:lang w:eastAsia="fr-FR"/>
        </w:rPr>
        <w:t>3</w:t>
      </w:r>
      <w:r w:rsidRPr="00603AEA">
        <w:rPr>
          <w:rFonts w:ascii="Times New Roman" w:eastAsia="Times New Roman" w:hAnsi="Times New Roman" w:cs="Times New Roman"/>
          <w:b/>
          <w:sz w:val="24"/>
          <w:szCs w:val="24"/>
          <w:vertAlign w:val="superscript"/>
          <w:lang w:eastAsia="fr-FR"/>
        </w:rPr>
        <w:t>-</w:t>
      </w:r>
      <w:r w:rsidRPr="00603AEA">
        <w:rPr>
          <w:rFonts w:ascii="Times New Roman" w:eastAsia="Times New Roman" w:hAnsi="Times New Roman" w:cs="Times New Roman"/>
          <w:b/>
          <w:sz w:val="24"/>
          <w:szCs w:val="24"/>
          <w:lang w:eastAsia="fr-FR"/>
        </w:rPr>
        <w:t>)</w:t>
      </w:r>
    </w:p>
    <w:p w14:paraId="2054B352" w14:textId="77777777" w:rsidR="00ED21B7"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Nitrogen (N) is used as a major indicator of organic pollution. It comes in two forms: organic (amino acids, proteins, etc.) and mineral (ammonium, nitrites, nitrates, etc.). The nitrate ion concentrations in brewery effluents vary between 22.5 mg/L in the dry season (May) and 7.2 mg/L in the rainy season (July), with an average of 14.85 mg/L. Those of Cotontchad and the Moundou slaughterhouse vary between 63.6 mg/L in the dry season (May) and 14.1 mg/L in the rainy season (July), with an average of 38.85 mg/L and 53.1 mg/L in the dry season (May). A value of 0.54 mg/L was obtained in the effluents from the Lagos Brewery in Nigeria (Avemaria Obasi, 2017). It can be seen that</w:t>
      </w:r>
      <w:r w:rsidR="00A5410C">
        <w:rPr>
          <w:rFonts w:ascii="Times New Roman" w:eastAsia="Times New Roman" w:hAnsi="Times New Roman" w:cs="Times New Roman"/>
          <w:sz w:val="24"/>
          <w:szCs w:val="24"/>
          <w:lang w:eastAsia="fr-FR"/>
        </w:rPr>
        <w:t xml:space="preserve"> the values for the breweries in</w:t>
      </w:r>
      <w:r w:rsidRPr="00BD5AF3">
        <w:rPr>
          <w:rFonts w:ascii="Times New Roman" w:eastAsia="Times New Roman" w:hAnsi="Times New Roman" w:cs="Times New Roman"/>
          <w:sz w:val="24"/>
          <w:szCs w:val="24"/>
          <w:lang w:eastAsia="fr-FR"/>
        </w:rPr>
        <w:t xml:space="preserve"> Chad are higher than those recorded by Avermaria Obasi (2017). A value of 5.60 mg/L was found in the </w:t>
      </w:r>
      <w:r w:rsidRPr="00BD5AF3">
        <w:rPr>
          <w:rFonts w:ascii="Times New Roman" w:eastAsia="Times New Roman" w:hAnsi="Times New Roman" w:cs="Times New Roman"/>
          <w:sz w:val="24"/>
          <w:szCs w:val="24"/>
          <w:lang w:eastAsia="fr-FR"/>
        </w:rPr>
        <w:lastRenderedPageBreak/>
        <w:t>effluent from the soap factory in Bafoussam, Cameroon, by Gouafo and Yerima (2012). Our nitrate ion (NO</w:t>
      </w:r>
      <w:r w:rsidRPr="00E42E4F">
        <w:rPr>
          <w:rFonts w:ascii="Times New Roman" w:eastAsia="Times New Roman" w:hAnsi="Times New Roman" w:cs="Times New Roman"/>
          <w:sz w:val="24"/>
          <w:szCs w:val="24"/>
          <w:vertAlign w:val="subscript"/>
          <w:lang w:eastAsia="fr-FR"/>
        </w:rPr>
        <w:t>3</w:t>
      </w:r>
      <w:r w:rsidRPr="00603AEA">
        <w:rPr>
          <w:rFonts w:ascii="Times New Roman" w:eastAsia="Times New Roman" w:hAnsi="Times New Roman" w:cs="Times New Roman"/>
          <w:sz w:val="24"/>
          <w:szCs w:val="24"/>
          <w:vertAlign w:val="superscript"/>
          <w:lang w:eastAsia="fr-FR"/>
        </w:rPr>
        <w:t>-</w:t>
      </w:r>
      <w:r w:rsidRPr="00BD5AF3">
        <w:rPr>
          <w:rFonts w:ascii="Times New Roman" w:eastAsia="Times New Roman" w:hAnsi="Times New Roman" w:cs="Times New Roman"/>
          <w:sz w:val="24"/>
          <w:szCs w:val="24"/>
          <w:lang w:eastAsia="fr-FR"/>
        </w:rPr>
        <w:t xml:space="preserve">) concentration results are higher than the WHO standard (&lt;1 mg/L). High concentrations can lead to excessive growth of algae and aquatic plants, causing eutrophication of aquatic environments. </w:t>
      </w:r>
      <w:r>
        <w:rPr>
          <w:rFonts w:ascii="Times New Roman" w:eastAsia="Times New Roman" w:hAnsi="Times New Roman" w:cs="Times New Roman"/>
          <w:sz w:val="24"/>
          <w:szCs w:val="24"/>
          <w:lang w:eastAsia="fr-FR"/>
        </w:rPr>
        <w:t xml:space="preserve"> </w:t>
      </w:r>
    </w:p>
    <w:p w14:paraId="6C70235C" w14:textId="77777777" w:rsidR="00ED21B7" w:rsidRPr="00603AEA" w:rsidRDefault="00ED21B7" w:rsidP="00603AEA">
      <w:pPr>
        <w:spacing w:before="120" w:after="0" w:line="360" w:lineRule="auto"/>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Heavy metals in industrial effluents in Moundou.</w:t>
      </w:r>
    </w:p>
    <w:p w14:paraId="250960B5" w14:textId="77777777" w:rsidR="00ED21B7" w:rsidRPr="00603AEA" w:rsidRDefault="00ED21B7" w:rsidP="00ED21B7">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Iron </w:t>
      </w:r>
    </w:p>
    <w:p w14:paraId="73CFC2F6"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Iron is widely used in metallurgy and has a variety of secondary uses in chemistry. In well-aerated waters, its concentration is rarely significant; however, in groundwater, high iron levels can be observed when solubilization conditions are met. Iron concentrations in the brewery's effluents vary between 8.40 mg/L in the dry season (May) and 4.36 mg/L in the rainy season (July), with an average of 12.76 mg/L. Those of Cotontchad and the Moundou slaughterhouse vary between 62 mg/L in the dry season (May) and 7.74 mg/L in the rainy season (July) with an average of 34.87 mg/L and 50 mg/L in the dry season (May) and 63.34 mg/L in the rainy season (July) with an average of 56.67 mg/L. Values of 8.40 mg/L were found in the brewery in Nigeria by Igbeneghu et al. (2013) and 1.90 mg/L were found for effluents from the N'Djamena slaughterhouse by Ngaram (2011). The WHO recommends a limit value of 3.00 mg/L. Our results are higher than the WHO limit. </w:t>
      </w:r>
    </w:p>
    <w:p w14:paraId="047754F3"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Zinc </w:t>
      </w:r>
    </w:p>
    <w:p w14:paraId="7102B23C"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Metallic zinc, often found in effluents, can come from various industrial sources. Its presence can have environmental impacts, particularly on water quality and human health. The concentrations of Zn ions in the effluents of Brasseries du Tchad (BDT) vary between 0.98 mg/L in the dry season (May) and 1.05 mg/L in the rainy season (July), with an average of 1.015 mg/L. Those of Cotontchad and the Moundou slaughterhouse vary between 3.00 mg/L in the dry season (May) and 2.87 mg/L in the rainy season (July), with an average of 2.935 mg/L and 9.30 mg/L in the dry season (May). A value of 1.70 mg/L was found at the Ibadan slaughterhouse in Nigeria by Addy Jose Vershima et al. (2015), and 0.20 mg/L was found at the N'Djamena Brewery by Ngaram (2011). Our results exceed the WHO standard (1 mg/L). The results from Cotontchad and the slaughterhouse exceed the WHO limit, while the results found at the brewery are close to the WHO standard.</w:t>
      </w:r>
    </w:p>
    <w:p w14:paraId="0F7C9E56"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Lead </w:t>
      </w:r>
    </w:p>
    <w:p w14:paraId="3AD30A81"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Lead in water is anthropogenic in origin, resulting from pollution from large industries and mines (Adjahossou 2014), as well as corrosion of old pipes (Lavaine 2016). Lead ion concentrations in brewery effluents vary between 0.0480 mg/L in the dry season (May) and </w:t>
      </w:r>
      <w:r w:rsidRPr="00BD5AF3">
        <w:rPr>
          <w:rFonts w:ascii="Times New Roman" w:eastAsia="Times New Roman" w:hAnsi="Times New Roman" w:cs="Times New Roman"/>
          <w:sz w:val="24"/>
          <w:szCs w:val="24"/>
          <w:lang w:eastAsia="fr-FR"/>
        </w:rPr>
        <w:lastRenderedPageBreak/>
        <w:t>0.002 mg/L in the rainy season (July), with an average of 0.049 mg/L. Those from Cotontchad and the Moundou slaughterhouse vary between 1.90 mg/L in the dry season (May) and 0.102 mg/L in the rainy season (July), with an average of 1.001 mg/L and 0.018 mg/L in the dry season (May). A value of 2.62 mg/L was obtained from the Bedelle Brewery in southwestern Ethiopia by Bizualem Wakuma (2017). Our results are close to the WHO recommended standard (0.05 mg/L), with the exception of Cotontchad (1.001 mg/L).</w:t>
      </w:r>
    </w:p>
    <w:p w14:paraId="4D46D8B8"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Copper </w:t>
      </w:r>
    </w:p>
    <w:p w14:paraId="31F4ED3A"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Copper is a transition metal and a trace element that is essential to life in small quantities but toxic in larger quantities. A concentration of 1.20 mg/L of copper ions was recorded in the effluents of the Brasseries du Tchad (BDT) during the dry season (May). The concentration at Cotontchad was 18.50 mg/L during the dry season (May) and at the Moundou slaughterhouse it was 18.00 mg/L during the dry season (May). A value of 0.77 mg/L was obtained by Ermias Alayu et al. (2018) at the Ethiopian Brewery. Our results obtained from Cotontchad and the slaughterhouse are very high compared to the standard (0.2 mg/L) recommended by the WHO. This has consequences for aquatic fauna and flora. </w:t>
      </w:r>
    </w:p>
    <w:p w14:paraId="1C3D9081"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Cadmium</w:t>
      </w:r>
    </w:p>
    <w:p w14:paraId="00DD74D1"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Cadmium poses a serious problem for the environment, and industry can be considered the main source of the spread of this metal. The toxicity of cadmium does not depend on its concentration but on its chemical forms and its behavior in different environmental compartments (water, air, soil). Cadmium levels in brewery effluents and Cotontchad vary between 0.330 mg/L in the dry season (May) and 0.0138 mg/L in the rainy season (July), with an average of 0.172 mg/L and 7.667 in the dry season (May) and 0.066 mg/L in the rainy season (July), with an average of 3.867 mg/L. Values of 0.700 mg/L and 0.04 mg/L were obtained by Ojekunle OZ and Lateef ST (2017) at the Abeokuta brewery in Ogun State, Nigeria, and by Ngaram (2011) at the Ndjamena brewery in Chad. It can be seen that the results of the analyses obtained are higher than the standard recommended by the WHO (0.1 mg/L). </w:t>
      </w:r>
    </w:p>
    <w:p w14:paraId="4AD72222"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Chromium </w:t>
      </w:r>
    </w:p>
    <w:p w14:paraId="3A4552A3" w14:textId="77777777" w:rsidR="00603AEA" w:rsidRPr="00ED21B7" w:rsidRDefault="00ED21B7" w:rsidP="00ED21B7">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Chromium effluents are wastewater contaminated with chromium. These effluents can pose environmental and health risks. Chromium ion concentrations in effluents from breweries (BDT) vary between 0.32 mg/L in the dry season (May) and 0.39 mg/L in the rainy season (July), with an average of 0.35 mg/L. Those from Cotontchad and the Moundou slaughterhouse vary between 0.55 mg/L in the dry season (May) and 0.71 mg/L in the rainy </w:t>
      </w:r>
      <w:r w:rsidRPr="00BD5AF3">
        <w:rPr>
          <w:rFonts w:ascii="Times New Roman" w:eastAsia="Times New Roman" w:hAnsi="Times New Roman" w:cs="Times New Roman"/>
          <w:sz w:val="24"/>
          <w:szCs w:val="24"/>
          <w:lang w:eastAsia="fr-FR"/>
        </w:rPr>
        <w:lastRenderedPageBreak/>
        <w:t>season (July), with an average of 0.63 mg/L, and 4.2 mg/L in the dry season (May) for the slaughterhouse. A value of 0.01 mg/L was found in the effluents of the Ibadan Brewery in Nigeria (ALAO Olajumoke, 2010). In contrast, a value of 0.04 mg/L was recorded in the effluents of the Ndjamena Brewery by Ngaram (2011). The concentration of chromium ions obtained in slaughterhouse discharges is higher than the WHO standard (0.05 mg/L).</w:t>
      </w:r>
    </w:p>
    <w:p w14:paraId="108005D1" w14:textId="77777777" w:rsidR="00603AEA" w:rsidRPr="00BD5AF3" w:rsidRDefault="00603AEA" w:rsidP="004D499C">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CONCLUSION </w:t>
      </w:r>
    </w:p>
    <w:p w14:paraId="1A6BEB29" w14:textId="5D6F042A" w:rsidR="00603AEA" w:rsidRDefault="00603AEA" w:rsidP="004D499C">
      <w:pPr>
        <w:pStyle w:val="NormalWeb"/>
        <w:spacing w:before="0" w:beforeAutospacing="0" w:after="120" w:afterAutospacing="0" w:line="360" w:lineRule="auto"/>
        <w:jc w:val="both"/>
      </w:pPr>
      <w:r w:rsidRPr="00BD5AF3">
        <w:t>This study was conducted to assess the physicochemical quality of effluents from three industrial units: Brasseries du Tchad (BDT) Cotontchad and the Moundou slaughterhouse. It also sought to determine the pollutant load discharged into the Logone River by each plant. We assessed the physicochemical quality of industrial effluents at the Water and Environment Laboratory (LABEEN) of the Faculty of Exact and Applied Sciences at the University of N'Djamena. This study enabled us to characterize the contributions of these three untreated industrial discharges in order to identify their impacts on the receiving environment during the following climatic periods (dry and rainy). Based on this assessment, we found that: Cotontchad's effluents during the dry season are well above WHO discharge standards. These effluent concentrations are reflected in average COD and BOD</w:t>
      </w:r>
      <w:r w:rsidRPr="008B6A73">
        <w:rPr>
          <w:vertAlign w:val="subscript"/>
        </w:rPr>
        <w:t>5</w:t>
      </w:r>
      <w:r w:rsidRPr="00BD5AF3">
        <w:t xml:space="preserve"> values that exceed the upper discharge limits of 90 mg/L for COD and 30 mg/L for BOD</w:t>
      </w:r>
      <w:r w:rsidRPr="008B6A73">
        <w:rPr>
          <w:vertAlign w:val="subscript"/>
        </w:rPr>
        <w:t>5</w:t>
      </w:r>
      <w:r w:rsidRPr="00BD5AF3">
        <w:t>. The temperatures in the brewery (37.8°C) are well above the standard. While the pH of Cotontchad (12.6) exceeds discharge standards, the pH values (4.5 and 6.40) differ from one season to another. The COD/BOD</w:t>
      </w:r>
      <w:r w:rsidRPr="008B6A73">
        <w:rPr>
          <w:vertAlign w:val="subscript"/>
        </w:rPr>
        <w:t>5</w:t>
      </w:r>
      <w:r w:rsidRPr="00BD5AF3">
        <w:t xml:space="preserve"> ratio for the brewery is 3.27, meaning that the effluent is not biodegradable. The electrical conductivity for Cotontchad's discharge (4540 µS/cm) indicates high mineralization of the effluent. Nutrients such as nitrates (63.6 mg/L, Cotontchad), orthophosphates (904 mg/L, Abattoir), and sulfates (1280 mg/L, Cotontchad) contribute to the eutrophication of the aquatic environment. As for heavy metals, Cd (7.667 mg/L, Cotontchad), Pb (1.90 mg/L, Cotontchad), Zn (11.24 mg/L, Abattoir), Cu (22.6 mg/L, Abattoir), Cr (5.96 mg/L, Abattoir), and Fe (63.34 mg/L, Abattoir), show the very high toxicity of the discharges from these two industries. From the above and according to the present results, the industrial effluents received by the Logone River are characterized by significant pollution, which is due to the use of chemicals by manufacturers in the production and manufacturing stages. Finally, based on the results we have found, we propose some solutions on how to eliminate industrial effluents. </w:t>
      </w:r>
    </w:p>
    <w:p w14:paraId="06FFAC95" w14:textId="198C8422" w:rsidR="00E011E3" w:rsidRDefault="00E011E3" w:rsidP="004D499C">
      <w:pPr>
        <w:pStyle w:val="NormalWeb"/>
        <w:spacing w:before="0" w:beforeAutospacing="0" w:after="120" w:afterAutospacing="0" w:line="360" w:lineRule="auto"/>
        <w:jc w:val="both"/>
      </w:pPr>
    </w:p>
    <w:p w14:paraId="3EB5C213" w14:textId="77777777" w:rsidR="00E011E3" w:rsidRDefault="00E011E3" w:rsidP="004D499C">
      <w:pPr>
        <w:pStyle w:val="NormalWeb"/>
        <w:spacing w:before="0" w:beforeAutospacing="0" w:after="120" w:afterAutospacing="0" w:line="360" w:lineRule="auto"/>
        <w:jc w:val="both"/>
      </w:pPr>
    </w:p>
    <w:p w14:paraId="3640ABC7" w14:textId="77777777" w:rsidR="004D499C" w:rsidRPr="004D499C" w:rsidRDefault="004D499C" w:rsidP="004D499C">
      <w:pPr>
        <w:spacing w:after="0" w:line="360" w:lineRule="auto"/>
        <w:jc w:val="both"/>
        <w:rPr>
          <w:rFonts w:ascii="Times New Roman" w:eastAsia="Times New Roman" w:hAnsi="Times New Roman" w:cs="Times New Roman"/>
          <w:b/>
          <w:sz w:val="24"/>
          <w:szCs w:val="24"/>
          <w:lang w:eastAsia="fr-FR"/>
        </w:rPr>
      </w:pPr>
      <w:bookmarkStart w:id="0" w:name="_GoBack"/>
      <w:bookmarkEnd w:id="0"/>
      <w:r w:rsidRPr="004D499C">
        <w:rPr>
          <w:rFonts w:ascii="Times New Roman" w:eastAsia="Times New Roman" w:hAnsi="Times New Roman" w:cs="Times New Roman"/>
          <w:b/>
          <w:sz w:val="24"/>
          <w:szCs w:val="24"/>
          <w:lang w:eastAsia="fr-FR"/>
        </w:rPr>
        <w:lastRenderedPageBreak/>
        <w:t>REFERENCES</w:t>
      </w:r>
    </w:p>
    <w:p w14:paraId="6A0AD312"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Adamou Marafa M., Tankari dan Badjo A., Abdou Gado F. (2020). Sources and origins of water pollution in the Niger River in the city of Niamey. Revue des Bio Ressources .Vol 10 No. 2 December 2020.pls </w:t>
      </w:r>
    </w:p>
    <w:p w14:paraId="3C505B51"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Alaki - Issi Massimapatom SEMA, Kwamivi N. SEGBEAYA and Gnon BABA. (2019) Impact of industrial wastewater discharge on the physicochemical quality of urban waters: the case of the Kpiyimboua stream in the city of Kara, Togo. Afrique SCIENCE 15(6) (2019) 116 - 129ISSN 1813-548X, http://www.afriquescience.net.</w:t>
      </w:r>
    </w:p>
    <w:p w14:paraId="71CBFCFA"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ALAO Olajumoke. Arojojoye Oluwatosin. Ogunlaja Olumuyiwa. Famuyiwa Abimbola.(2010). Impact assessment of brewery effluent on water quality in Majawe, Ibadan, Southwestern Nigeria. Department of Biochemistry, Lead City University, Ibadan.</w:t>
      </w:r>
    </w:p>
    <w:p w14:paraId="39B4F8C2"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Avemaria Obasi1 and Ogochukwu Agwu.2017. Bioremoval of Heavy Metals from a Nigerian Brewery Wastewater by Bacterial Application. Food and Applied Bioscience Journal, 5(3):165–175.</w:t>
      </w:r>
    </w:p>
    <w:p w14:paraId="6EB800B7"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BANDE. Florent. (2017) Hydrodynamic and hydrochemical characterization of groundwater in an urban context: the case of the city of Moundou (southwestern Chad), 76p.</w:t>
      </w:r>
    </w:p>
    <w:p w14:paraId="24006F4F"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Begum, A.; Ramaiah, M.; Khan, H. I.; Veena, K., (2009). Heavy metal pollution and chemical profile of Cauvery River Water. E-J. Chem., 6 (1), 47-52 (6 pages)</w:t>
      </w:r>
    </w:p>
    <w:p w14:paraId="3FBAE2DF"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Belabed, A., Moulessehoul, F. M. R., Bennabi, F., Mouhamedi, C., Saadaoui, E., Kandouci, A. B., Tanguy, M., &amp; Fanello, S. (2010). Strategy for screening for nasal sinus pathologies in workers exposed to wood dust in a region of northeastern Algeria. Archives des Maladies Professionnelles et de l’Environnement, 71(4): 653-659.</w:t>
      </w:r>
    </w:p>
    <w:p w14:paraId="7F9E4F30"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BENYAKHLEF M. et al. (2011). Physicochemical characterization of industrial wastewater in Greater Agadir (Morocco), Case study of an oil mill, Sciencelib, Vol. 3, No. 110707. </w:t>
      </w:r>
    </w:p>
    <w:p w14:paraId="7750DDE5"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Berremdane Rania and Belerhmi Sanae. (2024). Interaction between pH, temperature, and heavy metals in wastewater from the city of Biskra (Chaâbet Roba). MASTER'S THESIS, Faculty of Exact Sciences and Natural and Life Sciences - Mohamed Khider University of Biskra, Algeria. pp. 01.</w:t>
      </w:r>
    </w:p>
    <w:p w14:paraId="745D84F6"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Bizualem Wakuma. (2017). Characterization of Brewery Wastewater for Irrigation Purpose (in case of Bedelle Brewery Share Company, Illubabor Zone, South-west Ethiopia). </w:t>
      </w:r>
      <w:r w:rsidRPr="00BD5AF3">
        <w:rPr>
          <w:rFonts w:ascii="Times New Roman" w:eastAsia="Times New Roman" w:hAnsi="Times New Roman" w:cs="Times New Roman"/>
          <w:sz w:val="24"/>
          <w:szCs w:val="24"/>
          <w:lang w:eastAsia="fr-FR"/>
        </w:rPr>
        <w:lastRenderedPageBreak/>
        <w:t>International Journal of Engineering Inventions e-ISSN: 2278-7461, p-ISSN: 2319-6491 Volume 6, Issue 2 [Feb. 2017] PP: 18-24.</w:t>
      </w:r>
    </w:p>
    <w:p w14:paraId="42C2CB6D"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Boussouf. Algeria. Rahman, A. (2024). Promising and Environmentally Friendly Removal of Copper, Zinc, Cadmium, and Lead from Wastewater Using Modified Shrimp-Based Chitosan. Water, 16(1), 184.</w:t>
      </w:r>
    </w:p>
    <w:p w14:paraId="4602EA64"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Deh S.K. (2013). Contributions of the assessment of specific vulnerability to nitrates and an organochlorine transport model to the protection of groundwater in the</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district of Abidjan (southern Côte d'Ivoire). Doctoral thesis, University</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Félix Houphouet Boigny (Abidjan, Ivory Coast), 230 p.</w:t>
      </w:r>
    </w:p>
    <w:p w14:paraId="78E6D757"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DURAH. (2015) Mission report on the capacity-building workshop in the municipality</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of Moundou, p2.</w:t>
      </w:r>
    </w:p>
    <w:p w14:paraId="4AE01CB7"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EL Guamri D. Belghyti. Kh. El Kharrim. S. Raweh. Sylla and M. Benyakhef (2008). Physicochemical study of raw wastewater from the municipal slaughterhouse in Kenitra (Morocco) with a view to implementing appropriate treatment. 36-42p.</w:t>
      </w:r>
    </w:p>
    <w:p w14:paraId="12BA78EB"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Ermias Alayu. Seyoum Leta and Temesgen Aragaw (2018). Characterization of the Physicochemical and Biological Properties of Kombolcha Brewery Wastewater Treatment Plant Bio-solid in Relative to Agricultural Uses. Advances in Recycling and Waste Management. Centre for Environmental Science, College of Natural Science, Addis Ababa University, Ethiopia</w:t>
      </w:r>
    </w:p>
    <w:p w14:paraId="16BD7A15"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Fakorede CN, Igbeneghu OA and Odeyemi O. (2013). The microbiological and physicochemical characterization of wastewater from a brewery in southwest Nigeria: A case study Issues in Biological Sciences and Pharmaceutical Research Vol.1 (1), pp. 001-007.Available online at http://www.journalissues.org/IBSPR/</w:t>
      </w:r>
    </w:p>
    <w:p w14:paraId="7E013FA2" w14:textId="77777777" w:rsidR="004D499C" w:rsidRPr="00BD5AF3" w:rsidRDefault="004D499C" w:rsidP="004D499C">
      <w:pPr>
        <w:autoSpaceDE w:val="0"/>
        <w:autoSpaceDN w:val="0"/>
        <w:adjustRightInd w:val="0"/>
        <w:spacing w:after="120" w:line="360" w:lineRule="auto"/>
        <w:jc w:val="both"/>
        <w:rPr>
          <w:rFonts w:ascii="Times New Roman" w:hAnsi="Times New Roman" w:cs="Times New Roman"/>
          <w:sz w:val="24"/>
          <w:szCs w:val="24"/>
        </w:rPr>
      </w:pPr>
      <w:r w:rsidRPr="00BD5AF3">
        <w:rPr>
          <w:rFonts w:ascii="Times New Roman" w:hAnsi="Times New Roman" w:cs="Times New Roman"/>
          <w:sz w:val="24"/>
          <w:szCs w:val="24"/>
        </w:rPr>
        <w:t>Gouafo C. and  B.P.K. Yerima. (2013). Evaluation and Mitigation of Industrial Wastewater Pollutants from Soap Factories and Breweries in the Bafoussam City Vicinity (Western Highlands of Cameroon). Research Journal of Environmental and Earth Sciences 5(9): 529-536, 2013 ISSN: 2041-0484; e-ISSN: 2041-0492 © Maxwell Scientific Organization.</w:t>
      </w:r>
    </w:p>
    <w:p w14:paraId="10F3190C"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GUEMMAZ FATEH. (2023). Impact of the reuse of raw wastewater from the city of Biskra on humans and the environment, doctoral thesis in science, environmental ecology, Department of Biology, Ferhat Abbas University Sétif 1, Algeria. </w:t>
      </w:r>
    </w:p>
    <w:p w14:paraId="5914AA1D"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GWP (Global Water Partnership) (2009). Strategies 2009-2013, 23 p.</w:t>
      </w:r>
    </w:p>
    <w:p w14:paraId="08CF02B0"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 xml:space="preserve">INSEED. (2009) 2nd General Population and Housing Census (RGPH2) monograph 120p. </w:t>
      </w:r>
    </w:p>
    <w:p w14:paraId="08A6DFD9" w14:textId="77777777" w:rsidR="004D499C" w:rsidRPr="00BD5AF3" w:rsidRDefault="004D499C" w:rsidP="004D499C">
      <w:pPr>
        <w:spacing w:after="120" w:line="360" w:lineRule="auto"/>
        <w:jc w:val="both"/>
        <w:rPr>
          <w:rFonts w:ascii="Times New Roman" w:hAnsi="Times New Roman" w:cs="Times New Roman"/>
          <w:sz w:val="24"/>
          <w:szCs w:val="24"/>
        </w:rPr>
      </w:pPr>
      <w:r w:rsidRPr="00BD5AF3">
        <w:rPr>
          <w:rFonts w:ascii="Times New Roman" w:hAnsi="Times New Roman" w:cs="Times New Roman"/>
          <w:color w:val="000000"/>
          <w:sz w:val="24"/>
          <w:szCs w:val="24"/>
        </w:rPr>
        <w:t>Khan, R., &amp; Jhariya, D. C. (2017). Groundwater quality assessment for drinking</w:t>
      </w:r>
      <w:r w:rsidRPr="00BD5AF3">
        <w:rPr>
          <w:rFonts w:ascii="Times New Roman" w:hAnsi="Times New Roman" w:cs="Times New Roman"/>
          <w:color w:val="000000"/>
          <w:sz w:val="24"/>
          <w:szCs w:val="24"/>
        </w:rPr>
        <w:br/>
        <w:t>purpose in Raipur city, Chhattisgarh using water quality index and geographic</w:t>
      </w:r>
      <w:r w:rsidRPr="00BD5AF3">
        <w:rPr>
          <w:rFonts w:ascii="Times New Roman" w:hAnsi="Times New Roman" w:cs="Times New Roman"/>
          <w:color w:val="000000"/>
          <w:sz w:val="24"/>
          <w:szCs w:val="24"/>
        </w:rPr>
        <w:br/>
        <w:t xml:space="preserve">information system. </w:t>
      </w:r>
      <w:r w:rsidRPr="00BD5AF3">
        <w:rPr>
          <w:rFonts w:ascii="Times New Roman" w:hAnsi="Times New Roman" w:cs="Times New Roman"/>
          <w:i/>
          <w:iCs/>
          <w:color w:val="000000"/>
          <w:sz w:val="24"/>
          <w:szCs w:val="24"/>
        </w:rPr>
        <w:t>Journal of the Geological Society of India</w:t>
      </w:r>
      <w:r w:rsidRPr="00BD5AF3">
        <w:rPr>
          <w:rFonts w:ascii="Times New Roman" w:hAnsi="Times New Roman" w:cs="Times New Roman"/>
          <w:color w:val="000000"/>
          <w:sz w:val="24"/>
          <w:szCs w:val="24"/>
        </w:rPr>
        <w:t xml:space="preserve">, </w:t>
      </w:r>
      <w:r w:rsidRPr="00BD5AF3">
        <w:rPr>
          <w:rFonts w:ascii="Times New Roman" w:hAnsi="Times New Roman" w:cs="Times New Roman"/>
          <w:i/>
          <w:iCs/>
          <w:color w:val="000000"/>
          <w:sz w:val="24"/>
          <w:szCs w:val="24"/>
        </w:rPr>
        <w:t>90</w:t>
      </w:r>
      <w:r w:rsidRPr="00BD5AF3">
        <w:rPr>
          <w:rFonts w:ascii="Times New Roman" w:hAnsi="Times New Roman" w:cs="Times New Roman"/>
          <w:color w:val="000000"/>
          <w:sz w:val="24"/>
          <w:szCs w:val="24"/>
        </w:rPr>
        <w:t>, 69–76.</w:t>
      </w:r>
      <w:r w:rsidRPr="00BD5AF3">
        <w:rPr>
          <w:rFonts w:ascii="Times New Roman" w:hAnsi="Times New Roman" w:cs="Times New Roman"/>
          <w:color w:val="000000"/>
          <w:sz w:val="24"/>
          <w:szCs w:val="24"/>
        </w:rPr>
        <w:br/>
      </w:r>
      <w:r w:rsidRPr="00BD5AF3">
        <w:rPr>
          <w:rFonts w:ascii="Times New Roman" w:hAnsi="Times New Roman" w:cs="Times New Roman"/>
          <w:b/>
          <w:bCs/>
          <w:color w:val="0070C0"/>
          <w:sz w:val="24"/>
          <w:szCs w:val="24"/>
        </w:rPr>
        <w:t>https://doi.org/10.1007/s12594-017-0665-0.</w:t>
      </w:r>
    </w:p>
    <w:p w14:paraId="04E64D5F"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KMENAN YIWA Monique (2021). Development of a groundwater protection model in bedrock areas: the case of the fissured aquifers of the Lobo watershed in Nibéhibé (central-western Côte d'Ivoire). Jean LOROUGNON GUEDE University. Côte d'Ivoire.</w:t>
      </w:r>
    </w:p>
    <w:p w14:paraId="1232D835" w14:textId="77777777" w:rsidR="004D499C" w:rsidRPr="00BD5AF3" w:rsidRDefault="004D499C" w:rsidP="004D499C">
      <w:pPr>
        <w:spacing w:after="120" w:line="360" w:lineRule="auto"/>
        <w:jc w:val="both"/>
        <w:rPr>
          <w:rFonts w:ascii="Times New Roman" w:hAnsi="Times New Roman" w:cs="Times New Roman"/>
          <w:sz w:val="24"/>
          <w:szCs w:val="24"/>
        </w:rPr>
      </w:pPr>
      <w:r w:rsidRPr="00BD5AF3">
        <w:rPr>
          <w:rFonts w:ascii="Times New Roman" w:hAnsi="Times New Roman" w:cs="Times New Roman"/>
          <w:sz w:val="24"/>
          <w:szCs w:val="24"/>
        </w:rPr>
        <w:t xml:space="preserve">Kolawole Sunday Obueh Henrietta Moru Monday. (2017). Physicochemical and Mineral Compositions of Wastewater and Soils from Two Selected Abattoirs in Warri, Delta State, Nigeria. International </w:t>
      </w:r>
      <w:r w:rsidRPr="00BD5AF3">
        <w:rPr>
          <w:rFonts w:ascii="Times New Roman" w:hAnsi="Times New Roman" w:cs="Times New Roman"/>
          <w:color w:val="000000"/>
          <w:sz w:val="24"/>
          <w:szCs w:val="24"/>
        </w:rPr>
        <w:t>jou</w:t>
      </w:r>
      <w:r w:rsidRPr="00BD5AF3">
        <w:rPr>
          <w:rFonts w:ascii="Times New Roman" w:hAnsi="Times New Roman" w:cs="Times New Roman"/>
          <w:sz w:val="24"/>
          <w:szCs w:val="24"/>
        </w:rPr>
        <w:t xml:space="preserve">rnal of Sciences. </w:t>
      </w:r>
    </w:p>
    <w:p w14:paraId="439D208D"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Nehme N (2014). Assessment of water quality in the lower Litani River basin, Lebanon: an environmental approach. Doctoral thesis. University of Lorraine (France), 359 p.</w:t>
      </w:r>
    </w:p>
    <w:p w14:paraId="7DF69D02" w14:textId="77777777" w:rsidR="004D499C" w:rsidRPr="00BD5AF3" w:rsidRDefault="004D499C" w:rsidP="004D499C">
      <w:pPr>
        <w:spacing w:after="120" w:line="360" w:lineRule="auto"/>
        <w:jc w:val="both"/>
        <w:rPr>
          <w:rFonts w:ascii="Times New Roman" w:hAnsi="Times New Roman" w:cs="Times New Roman"/>
          <w:color w:val="000000"/>
          <w:sz w:val="24"/>
          <w:szCs w:val="24"/>
        </w:rPr>
      </w:pPr>
      <w:r w:rsidRPr="00BD5AF3">
        <w:rPr>
          <w:rFonts w:ascii="Times New Roman" w:hAnsi="Times New Roman" w:cs="Times New Roman"/>
          <w:color w:val="000000"/>
          <w:sz w:val="24"/>
          <w:szCs w:val="24"/>
        </w:rPr>
        <w:t>OMS. (2017). Guidelines for drinking-water quality: 4th edition incorporating first addendum. ISBN 978-92-4-254995-9, 538 p.</w:t>
      </w:r>
    </w:p>
    <w:p w14:paraId="78F2431E"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ONEP. (1998). Approach to the typology of urban wastewater in Morocco. ONEP and GTZ. Rabat.</w:t>
      </w:r>
    </w:p>
    <w:p w14:paraId="0105DD99" w14:textId="77777777" w:rsidR="004D499C" w:rsidRDefault="004D499C" w:rsidP="004D499C">
      <w:pPr>
        <w:spacing w:after="120" w:line="360" w:lineRule="auto"/>
        <w:ind w:right="51"/>
        <w:jc w:val="both"/>
        <w:rPr>
          <w:rFonts w:ascii="Times New Roman" w:hAnsi="Times New Roman" w:cs="Times New Roman"/>
          <w:sz w:val="24"/>
          <w:szCs w:val="24"/>
        </w:rPr>
      </w:pPr>
      <w:r w:rsidRPr="00BD5AF3">
        <w:rPr>
          <w:rFonts w:ascii="Times New Roman" w:hAnsi="Times New Roman" w:cs="Times New Roman"/>
          <w:sz w:val="24"/>
          <w:szCs w:val="24"/>
        </w:rPr>
        <w:t>Rahman, A. (2024). Promising and Environmentally Friendly Removal of Copper, Zinc, Cadmium, and Lead from Wastewater Using Modified Shrimp-Based Chitosan. Water, 16(1), 184.</w:t>
      </w:r>
    </w:p>
    <w:p w14:paraId="5912E842"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Rodier, J., B. Legube and N. Merlet (2016). Water analysis—10th ed. Dunod. France</w:t>
      </w:r>
    </w:p>
    <w:p w14:paraId="4565163A"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Rodier, J., B. Legube and N. Merlet (2016). Water analysis—10th ed. Dunod. France</w:t>
      </w:r>
    </w:p>
    <w:p w14:paraId="521283BD" w14:textId="77777777" w:rsidR="004D499C" w:rsidRDefault="004D499C" w:rsidP="004D499C">
      <w:pPr>
        <w:spacing w:after="120" w:line="360" w:lineRule="auto"/>
        <w:ind w:right="51"/>
        <w:jc w:val="both"/>
        <w:rPr>
          <w:rFonts w:ascii="Times New Roman" w:hAnsi="Times New Roman" w:cs="Times New Roman"/>
          <w:sz w:val="24"/>
          <w:szCs w:val="24"/>
        </w:rPr>
      </w:pPr>
      <w:r w:rsidRPr="00BD5AF3">
        <w:rPr>
          <w:rFonts w:ascii="Times New Roman" w:eastAsia="Times New Roman" w:hAnsi="Times New Roman" w:cs="Times New Roman"/>
          <w:sz w:val="24"/>
          <w:szCs w:val="24"/>
          <w:lang w:eastAsia="fr-FR"/>
        </w:rPr>
        <w:t>Romeyssa, M. and B. Bouhali (2021). Treatment efficiency of the Ferdjioua Ain Beida ahariech–Mila wastewater treatment plant. Abdalhafid TCHOROUN Massang Digué University Center.</w:t>
      </w:r>
    </w:p>
    <w:p w14:paraId="2B54CD3E" w14:textId="77777777" w:rsidR="004D499C" w:rsidRPr="004D499C" w:rsidRDefault="004D499C" w:rsidP="004D499C">
      <w:pPr>
        <w:spacing w:after="120" w:line="360" w:lineRule="auto"/>
        <w:ind w:right="51"/>
        <w:jc w:val="both"/>
        <w:rPr>
          <w:rFonts w:ascii="Times New Roman" w:hAnsi="Times New Roman" w:cs="Times New Roman"/>
          <w:sz w:val="24"/>
          <w:szCs w:val="24"/>
        </w:rPr>
      </w:pPr>
      <w:r w:rsidRPr="00B259C1">
        <w:rPr>
          <w:rFonts w:asciiTheme="majorBidi" w:hAnsiTheme="majorBidi" w:cstheme="majorBidi"/>
          <w:bCs/>
          <w:sz w:val="24"/>
          <w:szCs w:val="24"/>
        </w:rPr>
        <w:t xml:space="preserve">TCHOROUN Massang Digué. </w:t>
      </w:r>
      <w:r w:rsidRPr="00BD5AF3">
        <w:rPr>
          <w:rFonts w:ascii="Times New Roman" w:eastAsia="Times New Roman" w:hAnsi="Times New Roman" w:cs="Times New Roman"/>
          <w:sz w:val="24"/>
          <w:szCs w:val="24"/>
          <w:lang w:eastAsia="fr-FR"/>
        </w:rPr>
        <w:t>(2012). Assessment of heavy metal contamination in sediments, fish, and water in the Logone River near the city of Moundou in Chad. Master's thesis. (2012). Assessment of heavy metal contamination in sediments, fish, and water in the Logone River near the town of Moundou in Chad. Master's thesis, University of Ngaoundéré, 58p.</w:t>
      </w:r>
    </w:p>
    <w:p w14:paraId="6F52865B" w14:textId="77777777" w:rsidR="004D499C" w:rsidRPr="00BD5AF3" w:rsidRDefault="004D499C" w:rsidP="004D499C">
      <w:pPr>
        <w:spacing w:after="120" w:line="360" w:lineRule="auto"/>
        <w:jc w:val="both"/>
        <w:rPr>
          <w:rFonts w:ascii="Times New Roman" w:hAnsi="Times New Roman" w:cs="Times New Roman"/>
          <w:color w:val="000000"/>
          <w:sz w:val="24"/>
          <w:szCs w:val="24"/>
        </w:rPr>
      </w:pPr>
      <w:r w:rsidRPr="00BD5AF3">
        <w:rPr>
          <w:rFonts w:ascii="Times New Roman" w:hAnsi="Times New Roman" w:cs="Times New Roman"/>
          <w:sz w:val="24"/>
          <w:szCs w:val="24"/>
        </w:rPr>
        <w:lastRenderedPageBreak/>
        <w:t>Umar Musa and Paul Chidi Okonkwo. (2017). Assessment of</w:t>
      </w:r>
      <w:r>
        <w:rPr>
          <w:rFonts w:ascii="Times New Roman" w:hAnsi="Times New Roman" w:cs="Times New Roman"/>
          <w:sz w:val="24"/>
          <w:szCs w:val="24"/>
        </w:rPr>
        <w:t xml:space="preserve"> Effects of Brewery Waste Water </w:t>
      </w:r>
      <w:r w:rsidRPr="00BD5AF3">
        <w:rPr>
          <w:rFonts w:ascii="Times New Roman" w:hAnsi="Times New Roman" w:cs="Times New Roman"/>
          <w:sz w:val="24"/>
          <w:szCs w:val="24"/>
        </w:rPr>
        <w:t>Discharge and Self Purification Potential of “Rafin Giya” Stream in Kudenda Industrial Layout, Kaduna Nigeria. Asian Journal of Environment &amp; Ecology 4(2): 1-9, 2017; Article no.AJEE.35837 ISSN: 2456-690X.</w:t>
      </w:r>
    </w:p>
    <w:p w14:paraId="4BF95229" w14:textId="77777777" w:rsidR="00F62769" w:rsidRPr="00F62769"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WHO. (2017). Guidelines for drinking-water quality: 4th edition incorporating first addendum. ISBN 978-92-4-254995-9, 538 p.</w:t>
      </w:r>
    </w:p>
    <w:sectPr w:rsidR="00F62769" w:rsidRPr="00F62769" w:rsidSect="0082447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A04B" w14:textId="77777777" w:rsidR="00265073" w:rsidRDefault="00265073" w:rsidP="00830C79">
      <w:pPr>
        <w:spacing w:after="0" w:line="240" w:lineRule="auto"/>
      </w:pPr>
      <w:r>
        <w:separator/>
      </w:r>
    </w:p>
  </w:endnote>
  <w:endnote w:type="continuationSeparator" w:id="0">
    <w:p w14:paraId="69AF6988" w14:textId="77777777" w:rsidR="00265073" w:rsidRDefault="00265073" w:rsidP="0083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EA56" w14:textId="77777777" w:rsidR="00830C79" w:rsidRDefault="0083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FCF6" w14:textId="77777777" w:rsidR="00830C79" w:rsidRDefault="00830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3C85" w14:textId="77777777" w:rsidR="00830C79" w:rsidRDefault="0083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AAFD" w14:textId="77777777" w:rsidR="00265073" w:rsidRDefault="00265073" w:rsidP="00830C79">
      <w:pPr>
        <w:spacing w:after="0" w:line="240" w:lineRule="auto"/>
      </w:pPr>
      <w:r>
        <w:separator/>
      </w:r>
    </w:p>
  </w:footnote>
  <w:footnote w:type="continuationSeparator" w:id="0">
    <w:p w14:paraId="0C371F34" w14:textId="77777777" w:rsidR="00265073" w:rsidRDefault="00265073" w:rsidP="0083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AC3A" w14:textId="5B3F1F7B" w:rsidR="00830C79" w:rsidRDefault="00265073">
    <w:pPr>
      <w:pStyle w:val="Header"/>
    </w:pPr>
    <w:r>
      <w:rPr>
        <w:noProof/>
      </w:rPr>
      <w:pict w14:anchorId="79736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8"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84C1" w14:textId="1DB67A9D" w:rsidR="00830C79" w:rsidRDefault="00265073">
    <w:pPr>
      <w:pStyle w:val="Header"/>
    </w:pPr>
    <w:r>
      <w:rPr>
        <w:noProof/>
      </w:rPr>
      <w:pict w14:anchorId="224DC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9"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68AC" w14:textId="484432FF" w:rsidR="00830C79" w:rsidRDefault="00265073">
    <w:pPr>
      <w:pStyle w:val="Header"/>
    </w:pPr>
    <w:r>
      <w:rPr>
        <w:noProof/>
      </w:rPr>
      <w:pict w14:anchorId="34E4C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7"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96B3D"/>
    <w:multiLevelType w:val="hybridMultilevel"/>
    <w:tmpl w:val="B1FCA0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0F"/>
    <w:rsid w:val="00105CCC"/>
    <w:rsid w:val="001A2E76"/>
    <w:rsid w:val="00265073"/>
    <w:rsid w:val="003D39EA"/>
    <w:rsid w:val="004D499C"/>
    <w:rsid w:val="00580622"/>
    <w:rsid w:val="005A1939"/>
    <w:rsid w:val="005E64B5"/>
    <w:rsid w:val="00603AEA"/>
    <w:rsid w:val="007234FB"/>
    <w:rsid w:val="00775605"/>
    <w:rsid w:val="007A4A0F"/>
    <w:rsid w:val="0082447D"/>
    <w:rsid w:val="00830C79"/>
    <w:rsid w:val="00897B4D"/>
    <w:rsid w:val="008B6A73"/>
    <w:rsid w:val="00975990"/>
    <w:rsid w:val="00A07BB6"/>
    <w:rsid w:val="00A5410C"/>
    <w:rsid w:val="00B5168C"/>
    <w:rsid w:val="00C86725"/>
    <w:rsid w:val="00D066DC"/>
    <w:rsid w:val="00DD5199"/>
    <w:rsid w:val="00DF0A08"/>
    <w:rsid w:val="00E011E3"/>
    <w:rsid w:val="00E05978"/>
    <w:rsid w:val="00E42E4F"/>
    <w:rsid w:val="00E7251F"/>
    <w:rsid w:val="00ED21B7"/>
    <w:rsid w:val="00F62769"/>
    <w:rsid w:val="00FE78ED"/>
    <w:rsid w:val="00FF2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2299CC"/>
  <w15:docId w15:val="{D12332CC-C73F-4095-9460-3ED8F80D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4A0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rsid w:val="00FE78E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D499C"/>
    <w:pPr>
      <w:ind w:left="720"/>
      <w:contextualSpacing/>
    </w:pPr>
  </w:style>
  <w:style w:type="paragraph" w:styleId="BalloonText">
    <w:name w:val="Balloon Text"/>
    <w:basedOn w:val="Normal"/>
    <w:link w:val="BalloonTextChar"/>
    <w:uiPriority w:val="99"/>
    <w:semiHidden/>
    <w:unhideWhenUsed/>
    <w:rsid w:val="00A5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0C"/>
    <w:rPr>
      <w:rFonts w:ascii="Tahoma" w:hAnsi="Tahoma" w:cs="Tahoma"/>
      <w:sz w:val="16"/>
      <w:szCs w:val="16"/>
    </w:rPr>
  </w:style>
  <w:style w:type="character" w:styleId="Hyperlink">
    <w:name w:val="Hyperlink"/>
    <w:basedOn w:val="DefaultParagraphFont"/>
    <w:uiPriority w:val="99"/>
    <w:unhideWhenUsed/>
    <w:rsid w:val="00897B4D"/>
    <w:rPr>
      <w:color w:val="0563C1" w:themeColor="hyperlink"/>
      <w:u w:val="single"/>
    </w:rPr>
  </w:style>
  <w:style w:type="character" w:styleId="UnresolvedMention">
    <w:name w:val="Unresolved Mention"/>
    <w:basedOn w:val="DefaultParagraphFont"/>
    <w:uiPriority w:val="99"/>
    <w:semiHidden/>
    <w:unhideWhenUsed/>
    <w:rsid w:val="00897B4D"/>
    <w:rPr>
      <w:color w:val="605E5C"/>
      <w:shd w:val="clear" w:color="auto" w:fill="E1DFDD"/>
    </w:rPr>
  </w:style>
  <w:style w:type="paragraph" w:styleId="Header">
    <w:name w:val="header"/>
    <w:basedOn w:val="Normal"/>
    <w:link w:val="HeaderChar"/>
    <w:uiPriority w:val="99"/>
    <w:unhideWhenUsed/>
    <w:rsid w:val="00830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C79"/>
  </w:style>
  <w:style w:type="paragraph" w:styleId="Footer">
    <w:name w:val="footer"/>
    <w:basedOn w:val="Normal"/>
    <w:link w:val="FooterChar"/>
    <w:uiPriority w:val="99"/>
    <w:unhideWhenUsed/>
    <w:rsid w:val="00830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C79"/>
  </w:style>
  <w:style w:type="paragraph" w:styleId="NoSpacing">
    <w:name w:val="No Spacing"/>
    <w:uiPriority w:val="1"/>
    <w:qFormat/>
    <w:rsid w:val="00D066DC"/>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15</Pages>
  <Words>4839</Words>
  <Characters>27587</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KARNOT</dc:creator>
  <cp:keywords/>
  <dc:description/>
  <cp:lastModifiedBy>SDI 1138</cp:lastModifiedBy>
  <cp:revision>14</cp:revision>
  <dcterms:created xsi:type="dcterms:W3CDTF">2025-12-09T10:13:00Z</dcterms:created>
  <dcterms:modified xsi:type="dcterms:W3CDTF">2026-03-14T11:37:00Z</dcterms:modified>
</cp:coreProperties>
</file>