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3537D" w14:textId="77777777" w:rsidR="00430FF2" w:rsidRPr="00430FF2" w:rsidRDefault="00430FF2" w:rsidP="00430FF2">
      <w:pPr>
        <w:widowControl w:val="0"/>
        <w:spacing w:before="0"/>
        <w:ind w:firstLine="0"/>
        <w:jc w:val="left"/>
        <w:rPr>
          <w:rFonts w:ascii="Arial" w:eastAsia="Arial" w:hAnsi="Arial" w:cs="Arial"/>
          <w:b/>
          <w:bCs/>
          <w:i/>
          <w:iCs/>
          <w:color w:val="1F1F1F"/>
          <w:u w:val="single"/>
          <w:lang w:val="en-US"/>
        </w:rPr>
      </w:pPr>
      <w:r w:rsidRPr="00430FF2">
        <w:rPr>
          <w:rFonts w:ascii="Arial" w:eastAsia="Arial" w:hAnsi="Arial" w:cs="Arial"/>
          <w:b/>
          <w:bCs/>
          <w:i/>
          <w:iCs/>
          <w:color w:val="1F1F1F"/>
          <w:u w:val="single"/>
          <w:lang w:val="en-US"/>
        </w:rPr>
        <w:t>Original Research Article</w:t>
      </w:r>
    </w:p>
    <w:p w14:paraId="6CFD4E81" w14:textId="77777777" w:rsidR="009448D0" w:rsidRDefault="00674922">
      <w:pPr>
        <w:widowControl w:val="0"/>
        <w:spacing w:before="0"/>
        <w:ind w:firstLine="0"/>
        <w:jc w:val="left"/>
        <w:rPr>
          <w:rFonts w:ascii="Arial" w:eastAsia="Arial" w:hAnsi="Arial" w:cs="Arial"/>
          <w:b/>
          <w:bCs/>
          <w:color w:val="1F1F1F"/>
        </w:rPr>
      </w:pPr>
      <w:r>
        <w:rPr>
          <w:rFonts w:ascii="Arial" w:eastAsia="Arial" w:hAnsi="Arial" w:cs="Arial"/>
          <w:b/>
          <w:bCs/>
          <w:color w:val="1F1F1F"/>
        </w:rPr>
        <w:t>Evaluation of Renal Function Indicators and Systemic Electrolytes in End-Stage Renal Disease Patients Undergoing Maintenance Hemodialysis in Diwaniyah Governorate, Iraq</w:t>
      </w:r>
    </w:p>
    <w:p w14:paraId="3F2EB5DC" w14:textId="77777777" w:rsidR="009448D0" w:rsidRDefault="00674922">
      <w:pPr>
        <w:widowControl w:val="0"/>
        <w:ind w:left="-567" w:firstLine="0"/>
        <w:rPr>
          <w:b/>
          <w:bCs/>
          <w:sz w:val="28"/>
          <w:szCs w:val="28"/>
        </w:rPr>
      </w:pPr>
      <w:bookmarkStart w:id="0" w:name="_GoBack"/>
      <w:bookmarkEnd w:id="0"/>
      <w:r>
        <w:pict w14:anchorId="46D5FAB8">
          <v:rect id="_x0000_i1025" style="width:0;height:1.5pt" o:hralign="center" o:hrstd="t" o:hr="t" fillcolor="#a0a0a0" stroked="f"/>
        </w:pict>
      </w:r>
    </w:p>
    <w:p w14:paraId="7E039B13" w14:textId="77777777" w:rsidR="009448D0" w:rsidRDefault="00674922">
      <w:pPr>
        <w:pStyle w:val="Heading2"/>
        <w:keepNext w:val="0"/>
        <w:keepLines w:val="0"/>
        <w:widowControl w:val="0"/>
        <w:rPr>
          <w:sz w:val="33"/>
          <w:szCs w:val="33"/>
        </w:rPr>
      </w:pPr>
      <w:bookmarkStart w:id="1" w:name="_1tpbhif0gkeh" w:colFirst="0" w:colLast="0"/>
      <w:bookmarkEnd w:id="1"/>
      <w:r>
        <w:rPr>
          <w:sz w:val="33"/>
          <w:szCs w:val="33"/>
        </w:rPr>
        <w:t>Abstract</w:t>
      </w:r>
    </w:p>
    <w:p w14:paraId="6B612627" w14:textId="77777777" w:rsidR="009448D0" w:rsidRDefault="00674922">
      <w:r>
        <w:t>Chronic kidney disease is recognized globally as a progressive and critical health challenge, frequently culminating in end-stage renal disease. Consequently, when life-saving renal replacement therapies such as hemodialysis are initiated, the patient's in</w:t>
      </w:r>
      <w:r>
        <w:t>ternal metabolic environment is significantly altered, making the continuous monitoring of biochemical parameters absolutely vital for survival and care quality. Therefore, the primary objective of this research was to comprehensively evaluate the levels o</w:t>
      </w:r>
      <w:r>
        <w:t>f essential biochemical markers, specifically targeting renal function indicators and systemic electrolytes, among end-stage renal disease patients undergoing regular hemodialysis in Diwaniyah Governorate, thereby establishing a critical localized clinical</w:t>
      </w:r>
      <w:r>
        <w:t xml:space="preserve"> database.</w:t>
      </w:r>
    </w:p>
    <w:p w14:paraId="0901A8EC" w14:textId="77777777" w:rsidR="009448D0" w:rsidRPr="00355CA9" w:rsidRDefault="00674922">
      <w:pPr>
        <w:rPr>
          <w:rFonts w:ascii="Arial" w:hAnsi="Arial" w:cs="Arial"/>
        </w:rPr>
      </w:pPr>
      <w:r w:rsidRPr="00355CA9">
        <w:rPr>
          <w:rFonts w:ascii="Arial" w:eastAsia="Gungsuh" w:hAnsi="Arial" w:cs="Arial"/>
        </w:rPr>
        <w:t>To achieve this, a cross-sectional analytical study was conducted involving 90 adult participants, who were meticulously stratified into an experimental group of 70 patients receiving maintenance hemodialysis and a control group of 20 apparently</w:t>
      </w:r>
      <w:r w:rsidRPr="00355CA9">
        <w:rPr>
          <w:rFonts w:ascii="Arial" w:eastAsia="Gungsuh" w:hAnsi="Arial" w:cs="Arial"/>
        </w:rPr>
        <w:t xml:space="preserve"> healthy subjects. Venous blood samples were systematically collected prior to dialysis sessions and subsequently analyzed for blood urea, serum creatinine, uric acid, and key electrolytes using automated clinical chemistry analyzers. The findings revealed</w:t>
      </w:r>
      <w:r w:rsidRPr="00355CA9">
        <w:rPr>
          <w:rFonts w:ascii="Arial" w:eastAsia="Gungsuh" w:hAnsi="Arial" w:cs="Arial"/>
        </w:rPr>
        <w:t xml:space="preserve"> that primary indicators of renal function were massively elevated; specifically, mean serum creatinine and blood urea concentrations in the patient cohort surged to 8.4 ± 1.8 mg/dL and 145.6 ± 22.4 mg/dL, respectively, in stark contrast to the healthy con</w:t>
      </w:r>
      <w:r w:rsidRPr="00355CA9">
        <w:rPr>
          <w:rFonts w:ascii="Arial" w:eastAsia="Gungsuh" w:hAnsi="Arial" w:cs="Arial"/>
        </w:rPr>
        <w:t xml:space="preserve">trols (P ≤ 0.001). Furthermore, severe systemic electrolyte imbalances were detected, characterized by significant hyperkalemia (5.6 ± 0.6 </w:t>
      </w:r>
      <w:proofErr w:type="spellStart"/>
      <w:r w:rsidRPr="00355CA9">
        <w:rPr>
          <w:rFonts w:ascii="Arial" w:eastAsia="Gungsuh" w:hAnsi="Arial" w:cs="Arial"/>
        </w:rPr>
        <w:t>mEq</w:t>
      </w:r>
      <w:proofErr w:type="spellEnd"/>
      <w:r w:rsidRPr="00355CA9">
        <w:rPr>
          <w:rFonts w:ascii="Arial" w:eastAsia="Gungsuh" w:hAnsi="Arial" w:cs="Arial"/>
        </w:rPr>
        <w:t>/L) and hyperphosphatemia (6.3 ± 1.2 mg/dL), alongside a marked depletion in serum calcium levels (7.8 ± 0.7 mg/dL</w:t>
      </w:r>
      <w:r w:rsidRPr="00355CA9">
        <w:rPr>
          <w:rFonts w:ascii="Arial" w:eastAsia="Gungsuh" w:hAnsi="Arial" w:cs="Arial"/>
        </w:rPr>
        <w:t>) among the hemodialysis patients (P ≤ 0.001), whereas sodium levels remained statistically comparable between the two groups.</w:t>
      </w:r>
    </w:p>
    <w:p w14:paraId="1FBA17DD" w14:textId="77777777" w:rsidR="009448D0" w:rsidRDefault="00674922">
      <w:r>
        <w:t xml:space="preserve">In conclusion, it is evident that routine hemodialysis partially fails to restore physiological equilibrium, leaving patients in </w:t>
      </w:r>
      <w:r>
        <w:t>this region highly susceptible to severe uremia and electrolytic derangements. To mitigate these profound metabolic complications, the strict implementation of "tailored dietary counseling and optimized dialysis prescriptions" is urgently recommended to im</w:t>
      </w:r>
      <w:r>
        <w:t>prove overall patient outcomes.</w:t>
      </w:r>
    </w:p>
    <w:p w14:paraId="4132409E" w14:textId="77777777" w:rsidR="009448D0" w:rsidRDefault="00674922">
      <w:pPr>
        <w:ind w:firstLine="0"/>
      </w:pPr>
      <w:r>
        <w:rPr>
          <w:b/>
          <w:bCs/>
        </w:rPr>
        <w:lastRenderedPageBreak/>
        <w:t>Keywords</w:t>
      </w:r>
      <w:r>
        <w:t>: Chronic kidney disease; Hemodialysis; Biochemical markers; Electrolyte imbalance; End-stage renal disease; Uremia; Diwaniyah.</w:t>
      </w:r>
    </w:p>
    <w:p w14:paraId="3FE5C43E" w14:textId="77777777" w:rsidR="009448D0" w:rsidRDefault="009448D0">
      <w:pPr>
        <w:rPr>
          <w:b/>
          <w:bCs/>
        </w:rPr>
      </w:pPr>
    </w:p>
    <w:p w14:paraId="6CA64601" w14:textId="77777777" w:rsidR="009448D0" w:rsidRDefault="00674922">
      <w:pPr>
        <w:pStyle w:val="Heading2"/>
        <w:keepNext w:val="0"/>
        <w:keepLines w:val="0"/>
        <w:widowControl w:val="0"/>
        <w:numPr>
          <w:ilvl w:val="0"/>
          <w:numId w:val="1"/>
        </w:numPr>
        <w:rPr>
          <w:sz w:val="33"/>
          <w:szCs w:val="33"/>
        </w:rPr>
      </w:pPr>
      <w:bookmarkStart w:id="2" w:name="_wpwoq9t7j0nn" w:colFirst="0" w:colLast="0"/>
      <w:bookmarkEnd w:id="2"/>
      <w:r>
        <w:rPr>
          <w:sz w:val="33"/>
          <w:szCs w:val="33"/>
        </w:rPr>
        <w:t>Introduction</w:t>
      </w:r>
    </w:p>
    <w:p w14:paraId="41D87924" w14:textId="77777777" w:rsidR="009448D0" w:rsidRDefault="00674922">
      <w:r>
        <w:t xml:space="preserve">The gradual deterioration of renal function characterizes chronic kidney </w:t>
      </w:r>
      <w:r>
        <w:t>disease, a condition that frequently advances to end-stage renal disease. Consequently, life-saving interventions, primarily hemodialysis, are necessitated when the filtration of waste products becomes ineffective. Because the internal physiological enviro</w:t>
      </w:r>
      <w:r>
        <w:t>nment is substantially modified by this treatment, the continuous monitoring of biochemical parameters is required to ensure therapeutic efficacy (Hill et al., 2016). In clinical practice, tracking these markers is the cornerstone of patient survival and c</w:t>
      </w:r>
      <w:r>
        <w:t>are quality.</w:t>
      </w:r>
    </w:p>
    <w:p w14:paraId="28AC3FC2" w14:textId="77777777" w:rsidR="009448D0" w:rsidRDefault="00674922">
      <w:r>
        <w:t>Significant variations in vital biochemical and hematological indices are routinely observed in patients receiving regular hemodialysis. To avert life-threatening cardiovascular and bone-related complications, the routine measurement of key el</w:t>
      </w:r>
      <w:r>
        <w:t>ements like serum creatinine, blood urea, and electrolytes is mandated (Kalantar-Zadeh et al., 2021). Therefore, understanding these shifts allows nephrologists to tailor interventions more accurately.</w:t>
      </w:r>
    </w:p>
    <w:p w14:paraId="7316BB9B" w14:textId="77777777" w:rsidR="009448D0" w:rsidRDefault="00674922">
      <w:r>
        <w:t>Globally, the prevalence of end-stage renal disease is</w:t>
      </w:r>
      <w:r>
        <w:t xml:space="preserve"> surging, leaving millions dependent on dialysis for survival. As noted in recent literature, mortality rates among hemodialysis patients remain alarmingly high globally, often exceeding 20% annually due to "severe cardiovascular and metabolic complication</w:t>
      </w:r>
      <w:r>
        <w:t>s" (</w:t>
      </w:r>
      <w:proofErr w:type="spellStart"/>
      <w:r>
        <w:t>Bikbov</w:t>
      </w:r>
      <w:proofErr w:type="spellEnd"/>
      <w:r>
        <w:t xml:space="preserve"> et al., 2020). Addressing this high mortality requires a deeper understanding of localized biochemical trends, which can guide more customized and effective clinical protocols.</w:t>
      </w:r>
    </w:p>
    <w:p w14:paraId="4A282A1C" w14:textId="77777777" w:rsidR="009448D0" w:rsidRDefault="00674922">
      <w:r>
        <w:t>A notable geographic data gap exists in the Iraqi medical literature</w:t>
      </w:r>
      <w:r>
        <w:t>, as prior clinical studies have largely focused on specific metropolitan centers, leaving other regions underrepresented. Generalized national statistics often overlook unique regional variables, including specific dietary patterns, environmental influenc</w:t>
      </w:r>
      <w:r>
        <w:t>es, and local healthcare protocols. By establishing localized baseline data for Diwaniyah, the present study seeks to overcome these shortcomings and facilitate highly targeted therapeutic interventions.</w:t>
      </w:r>
    </w:p>
    <w:p w14:paraId="01E4574E" w14:textId="77777777" w:rsidR="009448D0" w:rsidRDefault="00674922">
      <w:r>
        <w:t>In a previous study about the evaluation of some bio</w:t>
      </w:r>
      <w:r>
        <w:t>chemical and hematological parameters in the year 2024 in the city of Baghdad and its goal was to evaluate the findings of certain tests in samples from Iraqi CKD patients, researchers assessed renal function indicators including serum blood urea, creatini</w:t>
      </w:r>
      <w:r>
        <w:t xml:space="preserve">ne, uric acid, and estimated glomerular filtration rate, alongside complete blood count and cystatin C (AL-Ani and Al-Lami, 2024). This broad metabolic assessment highlights the profound systemic impact of the disease. Furthermore, in a previous </w:t>
      </w:r>
      <w:r>
        <w:lastRenderedPageBreak/>
        <w:t>study abou</w:t>
      </w:r>
      <w:r>
        <w:t>t the evaluation of galectin-3 and other biochemical parameters in the year 2023 in the city of Erbil and its goal was to evaluate these markers in hemodialysis patients, it was established that serum galectin-3 levels were significantly elevated among pat</w:t>
      </w:r>
      <w:r>
        <w:t xml:space="preserve">ients suffering from concurrent cardiovascular disease compared to those without it (Abdullah and </w:t>
      </w:r>
      <w:proofErr w:type="spellStart"/>
      <w:r>
        <w:t>Mohammadamin</w:t>
      </w:r>
      <w:proofErr w:type="spellEnd"/>
      <w:r>
        <w:t>, 2023). These contrasting regional findings underscore the urgent need to evaluate equivalent parameters in previously unstudied governorates.</w:t>
      </w:r>
    </w:p>
    <w:p w14:paraId="2FF60ABA" w14:textId="77777777" w:rsidR="009448D0" w:rsidRDefault="00674922">
      <w:r>
        <w:t>Co</w:t>
      </w:r>
      <w:r>
        <w:t>nsequently, the primary objective of the current study is to comprehensively evaluate the levels of key biochemical markers, including blood urea, creatinine, and electrolytes, in chronic kidney failure patients undergoing regular hemodialysis in Diwaniyah</w:t>
      </w:r>
      <w:r>
        <w:t xml:space="preserve"> Governorate. Through the rigorous mapping of their metabolic profiles, this research endeavors to build a localized scientific database, which will ultimately optimize regional healthcare delivery and inform future investigations.</w:t>
      </w:r>
    </w:p>
    <w:p w14:paraId="0D064EAD" w14:textId="77777777" w:rsidR="009448D0" w:rsidRDefault="009448D0">
      <w:pPr>
        <w:ind w:firstLine="0"/>
      </w:pPr>
    </w:p>
    <w:p w14:paraId="460509CE" w14:textId="77777777" w:rsidR="009448D0" w:rsidRDefault="00674922">
      <w:pPr>
        <w:pStyle w:val="Heading1"/>
      </w:pPr>
      <w:bookmarkStart w:id="3" w:name="_804q9znynr4r" w:colFirst="0" w:colLast="0"/>
      <w:bookmarkEnd w:id="3"/>
      <w:r>
        <w:t>2.1 Methods</w:t>
      </w:r>
    </w:p>
    <w:p w14:paraId="4A55FE33" w14:textId="77777777" w:rsidR="009448D0" w:rsidRDefault="00674922">
      <w:pPr>
        <w:pStyle w:val="Heading2"/>
      </w:pPr>
      <w:bookmarkStart w:id="4" w:name="_wgkw3f7p7tk0" w:colFirst="0" w:colLast="0"/>
      <w:bookmarkEnd w:id="4"/>
      <w:r>
        <w:t xml:space="preserve">2.1. Study </w:t>
      </w:r>
      <w:r>
        <w:t xml:space="preserve">Design and Setting </w:t>
      </w:r>
    </w:p>
    <w:p w14:paraId="6005C69D" w14:textId="77777777" w:rsidR="009448D0" w:rsidRDefault="00674922">
      <w:r>
        <w:t xml:space="preserve">A cross-sectional analytical design was employed to execute the current investigation within the Diwaniyah Governorate, Iraq. The primary setting for participant recruitment and clinical data collection was the specialized hemodialysis </w:t>
      </w:r>
      <w:r>
        <w:t>unit at the regional tertiary care facilities. By adopting this specific epidemiological approach, the precise and concurrent assessment of multiple biochemical parameters was facilitated. As emphasized in a comparable regional evaluation, utilizing a cros</w:t>
      </w:r>
      <w:r>
        <w:t>s-sectional framework allows researchers to effectively capture "metabolic changes in chronic kidney disease" within a specific timeframe (AL-Ani and Al-Lami, 2024). This methodological choice is highly advantageous, as it provides an immediate, reliable s</w:t>
      </w:r>
      <w:r>
        <w:t>napshot of the metabolic stability and healthcare needs of the targeted local population.</w:t>
      </w:r>
    </w:p>
    <w:p w14:paraId="58A157F0" w14:textId="77777777" w:rsidR="009448D0" w:rsidRDefault="00674922">
      <w:pPr>
        <w:pStyle w:val="Heading2"/>
      </w:pPr>
      <w:bookmarkStart w:id="5" w:name="_ur6ilvl67ng9" w:colFirst="0" w:colLast="0"/>
      <w:bookmarkEnd w:id="5"/>
      <w:r>
        <w:t>2.2. Study Population and Sampling Strategy</w:t>
      </w:r>
    </w:p>
    <w:p w14:paraId="40B78966" w14:textId="77777777" w:rsidR="009448D0" w:rsidRDefault="00674922">
      <w:r>
        <w:t xml:space="preserve"> A comprehensive cohort comprising 90 adult individuals was systematically enrolled in this research. To ensure statistica</w:t>
      </w:r>
      <w:r>
        <w:t>l reliability, this sample was meticulously stratified into two distinct categories: an experimental group consisting of 70 patients diagnosed with end-stage renal disease who were actively receiving maintenance hemodialysis, and a control group encompassi</w:t>
      </w:r>
      <w:r>
        <w:t>ng 20 apparently healthy volunteers. The recruitment process was rigorously governed by predefined inclusion criteria; notably, eligible patients were required to have been on a stable hemodialysis regimen—typically undergoing two to three sessions per wee</w:t>
      </w:r>
      <w:r>
        <w:t xml:space="preserve">k—for a minimum duration of six </w:t>
      </w:r>
      <w:r>
        <w:lastRenderedPageBreak/>
        <w:t>months. Conversely, individuals presenting with acute kidney injury, active systemic infections, malignancies, or severe hepatic disorders were explicitly excluded from the study to prevent the introduction of confounding va</w:t>
      </w:r>
      <w:r>
        <w:t>riables that could skew the biochemical results. In a previous study about the evaluation of galectin-3 and other biochemical parameters in the year 2023 in the city of Erbil and its goal was to evaluate these markers in hemodialysis patients, the investig</w:t>
      </w:r>
      <w:r>
        <w:t xml:space="preserve">ators implemented a highly similar sampling architecture by comparing a cohort of regular hemodialysis patients against a healthy control group (Abdullah and </w:t>
      </w:r>
      <w:proofErr w:type="spellStart"/>
      <w:r>
        <w:t>Mohammadamin</w:t>
      </w:r>
      <w:proofErr w:type="spellEnd"/>
      <w:r>
        <w:t>, 2023). The strict alignment of our sampling methodology with these established regio</w:t>
      </w:r>
      <w:r>
        <w:t>nal protocols significantly enhances the validity, reproducibility, and comparative value of our clinical findings.</w:t>
      </w:r>
    </w:p>
    <w:p w14:paraId="5C1EE785" w14:textId="77777777" w:rsidR="009448D0" w:rsidRDefault="00674922">
      <w:pPr>
        <w:pStyle w:val="Heading2"/>
      </w:pPr>
      <w:bookmarkStart w:id="6" w:name="_5spsk2d7zjuu" w:colFirst="0" w:colLast="0"/>
      <w:bookmarkEnd w:id="6"/>
      <w:r>
        <w:t xml:space="preserve">2.3. Ethical Considerations </w:t>
      </w:r>
    </w:p>
    <w:p w14:paraId="28A4AE83" w14:textId="77777777" w:rsidR="009448D0" w:rsidRDefault="00674922">
      <w:r>
        <w:t>Prior to the initiation of any participant recruitment or sample collection procedures, formal ethical approval</w:t>
      </w:r>
      <w:r>
        <w:t xml:space="preserve"> was officially secured from the Institutional Review Board associated with the Iraqi Ministry of Health - Diwaniyah Health Department. Furthermore, comprehensive, written informed consent was mandated and obtained from every participant after the objectiv</w:t>
      </w:r>
      <w:r>
        <w:t>es and procedures of the research were clearly elucidated to them. Throughout the entirety of the project, the core ethical principles outlined in the Declaration of Helsinki were strictly upheld, guaranteeing that the privacy, confidentiality, and overall</w:t>
      </w:r>
      <w:r>
        <w:t xml:space="preserve"> well-being of the patients were uncompromised.</w:t>
      </w:r>
    </w:p>
    <w:p w14:paraId="50C79F38" w14:textId="77777777" w:rsidR="009448D0" w:rsidRDefault="00674922">
      <w:pPr>
        <w:pStyle w:val="Heading2"/>
      </w:pPr>
      <w:bookmarkStart w:id="7" w:name="_5xht8mwbnyk7" w:colFirst="0" w:colLast="0"/>
      <w:bookmarkEnd w:id="7"/>
      <w:r>
        <w:t>2.4. Blood Sample Collection and Processing</w:t>
      </w:r>
    </w:p>
    <w:p w14:paraId="15341A10" w14:textId="77777777" w:rsidR="009448D0" w:rsidRDefault="00674922">
      <w:r>
        <w:t xml:space="preserve">Venous blood samples, typically 5 mL in volume, were meticulously extracted from all participants under strict aseptic conditions. For the hemodialysis cohort, the </w:t>
      </w:r>
      <w:r>
        <w:t>blood was specifically drawn immediately prior to the commencement of their mid-week dialysis session; this timing was chosen to accurately reflect the maximum baseline systemic accumulation of metabolic waste products. Subsequently, the collected specimen</w:t>
      </w:r>
      <w:r>
        <w:t>s were transferred into sterile, gel-separator tubes and centrifuged at 3000 rpm for approximately 10 to 15 minutes to effectively isolate the serum. This extracted serum was then carefully aliquoted and preserved at -20°C until the requisite biochemical e</w:t>
      </w:r>
      <w:r>
        <w:t xml:space="preserve">valuations could be conducted. In a previous study about the evaluation of some biochemical and hematological parameters in the year 2024 in the city of Baghdad and its goal was to evaluate the findings of certain tests in samples from Iraqi CKD patients, </w:t>
      </w:r>
      <w:r>
        <w:t>similar pre-analytical protocols were rigorously applied, wherein blood samples were systematically collected during the patients' routine hospital visits and processed promptly for renal function testing (AL-Ani and Al-Lami, 2024). This stringent standard</w:t>
      </w:r>
      <w:r>
        <w:t>ization ensures minimal degradation of the target biomarkers before laboratory analysis.</w:t>
      </w:r>
    </w:p>
    <w:p w14:paraId="0AD88ED0" w14:textId="77777777" w:rsidR="009448D0" w:rsidRDefault="00674922">
      <w:pPr>
        <w:pStyle w:val="Heading2"/>
      </w:pPr>
      <w:bookmarkStart w:id="8" w:name="_uw673goty0m" w:colFirst="0" w:colLast="0"/>
      <w:bookmarkEnd w:id="8"/>
      <w:r>
        <w:lastRenderedPageBreak/>
        <w:t>2.5. Biochemical Laboratory Analysis</w:t>
      </w:r>
    </w:p>
    <w:p w14:paraId="30EB817A" w14:textId="77777777" w:rsidR="009448D0" w:rsidRDefault="00674922">
      <w:r>
        <w:t xml:space="preserve">The quantitative determination of the primary renal profile—specifically encompassing blood urea, serum creatinine, and uric </w:t>
      </w:r>
      <w:r>
        <w:t>acid—was executed utilizing a fully automated, state-of-the-art clinical chemistry analyzer. Furthermore, the concentrations of critical serum electrolytes, namely sodium (Na⁺), potassium (K⁺), calcium (Ca²⁺), and phosphorus (PO₄³⁻), were measured utilizin</w:t>
      </w:r>
      <w:r>
        <w:t>g advanced ion-selective electrode (ISE) technology alongside standard commercial colorimetric assay kits. By employing these highly calibrated analytical methodologies, a superior degree of precision and diagnostic reliability was guaranteed in reflecting</w:t>
      </w:r>
      <w:r>
        <w:t xml:space="preserve"> the internal metabolic environments of the participants.</w:t>
      </w:r>
    </w:p>
    <w:p w14:paraId="55D2FCD6" w14:textId="77777777" w:rsidR="009448D0" w:rsidRDefault="00674922">
      <w:pPr>
        <w:pStyle w:val="Heading2"/>
      </w:pPr>
      <w:bookmarkStart w:id="9" w:name="_z0txv19tqfso" w:colFirst="0" w:colLast="0"/>
      <w:bookmarkEnd w:id="9"/>
      <w:r>
        <w:t>2.6. Statistical Analysis</w:t>
      </w:r>
    </w:p>
    <w:p w14:paraId="1A3A7D94" w14:textId="77777777" w:rsidR="009448D0" w:rsidRPr="00355CA9" w:rsidRDefault="00674922">
      <w:pPr>
        <w:rPr>
          <w:rFonts w:ascii="Arial" w:hAnsi="Arial" w:cs="Arial"/>
        </w:rPr>
      </w:pPr>
      <w:r w:rsidRPr="00355CA9">
        <w:rPr>
          <w:rFonts w:ascii="Arial" w:eastAsia="Gungsuh" w:hAnsi="Arial" w:cs="Arial"/>
        </w:rPr>
        <w:t>All obtained clinical and demographic data were systematically compiled, coded, and subjected to rigorous statistical evaluation using the Statistical Package for the Socia</w:t>
      </w:r>
      <w:r w:rsidRPr="00355CA9">
        <w:rPr>
          <w:rFonts w:ascii="Arial" w:eastAsia="Gungsuh" w:hAnsi="Arial" w:cs="Arial"/>
        </w:rPr>
        <w:t xml:space="preserve">l Sciences (SPSS) software, version 25.0. Descriptive statistics were initially generated, with continuous biological variables being expressed as means accompanied by their respective standard deviations (Mean ± SD), while categorical data were presented </w:t>
      </w:r>
      <w:r w:rsidRPr="00355CA9">
        <w:rPr>
          <w:rFonts w:ascii="Arial" w:eastAsia="Gungsuh" w:hAnsi="Arial" w:cs="Arial"/>
        </w:rPr>
        <w:t>as frequencies and percentages. To ascertain the statistical significance of the observed biochemical variances between the hemodialysis patients and the healthy control group, an independent samples t-test was rigorously applied. A P-value equal to or les</w:t>
      </w:r>
      <w:r w:rsidRPr="00355CA9">
        <w:rPr>
          <w:rFonts w:ascii="Arial" w:eastAsia="Gungsuh" w:hAnsi="Arial" w:cs="Arial"/>
        </w:rPr>
        <w:t>s than 0.05 (P ≤ 0.05) was universally established as the definitive threshold for statistical significance throughout all comparative analyses. As seen in a previous study about the evaluation of galectin-3 and other biochemical parameters in the year 202</w:t>
      </w:r>
      <w:r w:rsidRPr="00355CA9">
        <w:rPr>
          <w:rFonts w:ascii="Arial" w:eastAsia="Gungsuh" w:hAnsi="Arial" w:cs="Arial"/>
        </w:rPr>
        <w:t>3 in the city of Erbil and its goal was to evaluate these markers in hemodialysis patients, the researchers similarly utilized advanced software to determine the mean levels of specific parameters, comparing hemodialysis cohorts against control groups to d</w:t>
      </w:r>
      <w:r w:rsidRPr="00355CA9">
        <w:rPr>
          <w:rFonts w:ascii="Arial" w:eastAsia="Gungsuh" w:hAnsi="Arial" w:cs="Arial"/>
        </w:rPr>
        <w:t xml:space="preserve">erive clinically meaningful associations (Abdullah and </w:t>
      </w:r>
      <w:proofErr w:type="spellStart"/>
      <w:r w:rsidRPr="00355CA9">
        <w:rPr>
          <w:rFonts w:ascii="Arial" w:eastAsia="Gungsuh" w:hAnsi="Arial" w:cs="Arial"/>
        </w:rPr>
        <w:t>Mohammadamin</w:t>
      </w:r>
      <w:proofErr w:type="spellEnd"/>
      <w:r w:rsidRPr="00355CA9">
        <w:rPr>
          <w:rFonts w:ascii="Arial" w:eastAsia="Gungsuh" w:hAnsi="Arial" w:cs="Arial"/>
        </w:rPr>
        <w:t>, 2023). Such robust statistical frameworks are absolutely essential for validating the clinical relevance of the empirical data gathered in this study.</w:t>
      </w:r>
    </w:p>
    <w:p w14:paraId="50F05674" w14:textId="77777777" w:rsidR="009448D0" w:rsidRDefault="009448D0">
      <w:pPr>
        <w:ind w:firstLine="0"/>
      </w:pPr>
    </w:p>
    <w:p w14:paraId="2F31891E" w14:textId="77777777" w:rsidR="009448D0" w:rsidRDefault="009448D0"/>
    <w:p w14:paraId="1A6609BC" w14:textId="77777777" w:rsidR="009448D0" w:rsidRDefault="00674922">
      <w:pPr>
        <w:pStyle w:val="Heading1"/>
      </w:pPr>
      <w:bookmarkStart w:id="10" w:name="_kokdrh522go" w:colFirst="0" w:colLast="0"/>
      <w:bookmarkEnd w:id="10"/>
      <w:r>
        <w:lastRenderedPageBreak/>
        <w:t>3. Results</w:t>
      </w:r>
    </w:p>
    <w:p w14:paraId="57902FDC" w14:textId="77777777" w:rsidR="009448D0" w:rsidRDefault="00674922">
      <w:pPr>
        <w:pStyle w:val="Heading2"/>
      </w:pPr>
      <w:bookmarkStart w:id="11" w:name="_973ho92209ne" w:colFirst="0" w:colLast="0"/>
      <w:bookmarkEnd w:id="11"/>
      <w:r>
        <w:t>3.1. General Characteri</w:t>
      </w:r>
      <w:r>
        <w:t>stics of the Study Population</w:t>
      </w:r>
    </w:p>
    <w:p w14:paraId="5188FE76" w14:textId="77777777" w:rsidR="009448D0" w:rsidRDefault="00674922">
      <w:r>
        <w:t xml:space="preserve">The demographic and general characteristics of the participants involved in the current study were statistically analyzed, and the findings are detailed in Table 1. The study cohort consisted of a total of 90 individuals, who </w:t>
      </w:r>
      <w:r>
        <w:t>were categorized into two distinct groups: a patient group comprising 70 individuals diagnosed with end-stage renal disease undergoing regular hemodialysis, and a comparatively healthy control group consisting of 20 individuals.</w:t>
      </w:r>
    </w:p>
    <w:p w14:paraId="0F96D228" w14:textId="77777777" w:rsidR="009448D0" w:rsidRDefault="00674922">
      <w:r>
        <w:t>Regarding the gender distri</w:t>
      </w:r>
      <w:r>
        <w:t>bution within the study, the patient group included 40 males, representing 57.1% of the group, and 30 females, making up the remaining 42.9%. In parallel, the healthy control group consisted of 12 males (60.0%) and 8 females (40.0%). The age distribution w</w:t>
      </w:r>
      <w:r>
        <w:t>as also evaluated, revealing that the mean age for the hemodialysis patients was recorded at 52.4 ± 8.6 years. This was statistically comparable to the control group, which demonstrated a mean age of 50.1 ± 7.2 years, showing no significant variation betwe</w:t>
      </w:r>
      <w:r>
        <w:t xml:space="preserve">en the two categories. Furthermore, the Body Mass Index (BMI) was measured for all participants. The data indicated a mean BMI value of 23.5 ± 3.1 kg/m² for the hemodialysis patients, while the healthy subjects exhibited a slightly higher mean BMI of 24.8 </w:t>
      </w:r>
      <w:r>
        <w:t>± 2.5 kg/m².</w:t>
      </w:r>
    </w:p>
    <w:p w14:paraId="2809017B" w14:textId="77777777" w:rsidR="009448D0" w:rsidRDefault="009448D0"/>
    <w:p w14:paraId="7C8A80F4" w14:textId="77777777" w:rsidR="009448D0" w:rsidRDefault="00674922">
      <w:pPr>
        <w:pStyle w:val="Subtitle"/>
        <w:widowControl w:val="0"/>
      </w:pPr>
      <w:bookmarkStart w:id="12" w:name="_tp0nfkxrtww9" w:colFirst="0" w:colLast="0"/>
      <w:bookmarkEnd w:id="12"/>
      <w:r>
        <w:t>Table 1: Demographic and general characteristics of hemodialysis patients and the control group in Diwaniyah Governorate.</w:t>
      </w:r>
    </w:p>
    <w:tbl>
      <w:tblPr>
        <w:tblStyle w:val="a"/>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9448D0" w14:paraId="0602B021"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68821676" w14:textId="77777777" w:rsidR="009448D0" w:rsidRDefault="00674922">
            <w:pPr>
              <w:widowControl w:val="0"/>
              <w:spacing w:before="0" w:after="0"/>
              <w:ind w:firstLine="0"/>
              <w:jc w:val="center"/>
              <w:rPr>
                <w:color w:val="1F1F1F"/>
              </w:rPr>
            </w:pPr>
            <w:r>
              <w:rPr>
                <w:b/>
                <w:bCs/>
                <w:color w:val="1F1F1F"/>
              </w:rPr>
              <w:t>Parameter</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61A49697" w14:textId="77777777" w:rsidR="009448D0" w:rsidRDefault="00674922">
            <w:pPr>
              <w:widowControl w:val="0"/>
              <w:spacing w:before="0" w:after="0"/>
              <w:ind w:firstLine="0"/>
              <w:jc w:val="center"/>
              <w:rPr>
                <w:color w:val="1F1F1F"/>
              </w:rPr>
            </w:pPr>
            <w:r>
              <w:rPr>
                <w:b/>
                <w:bCs/>
                <w:color w:val="1F1F1F"/>
              </w:rPr>
              <w:t>Hemodialysis Patients (n = 70)</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02320403" w14:textId="77777777" w:rsidR="009448D0" w:rsidRDefault="00674922">
            <w:pPr>
              <w:widowControl w:val="0"/>
              <w:spacing w:before="0" w:after="0"/>
              <w:ind w:firstLine="0"/>
              <w:jc w:val="center"/>
              <w:rPr>
                <w:color w:val="1F1F1F"/>
              </w:rPr>
            </w:pPr>
            <w:r>
              <w:rPr>
                <w:b/>
                <w:bCs/>
                <w:color w:val="1F1F1F"/>
              </w:rPr>
              <w:t>Control Group (n = 20)</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53D0A2CF" w14:textId="77777777" w:rsidR="009448D0" w:rsidRDefault="00674922">
            <w:pPr>
              <w:widowControl w:val="0"/>
              <w:spacing w:before="0" w:after="0"/>
              <w:ind w:firstLine="0"/>
              <w:jc w:val="center"/>
              <w:rPr>
                <w:color w:val="1F1F1F"/>
              </w:rPr>
            </w:pPr>
            <w:r>
              <w:rPr>
                <w:b/>
                <w:bCs/>
                <w:color w:val="1F1F1F"/>
              </w:rPr>
              <w:t>P-value</w:t>
            </w:r>
          </w:p>
        </w:tc>
      </w:tr>
      <w:tr w:rsidR="009448D0" w14:paraId="07E9C7AE" w14:textId="7777777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302B8CB3" w14:textId="77777777" w:rsidR="009448D0" w:rsidRDefault="00674922">
            <w:pPr>
              <w:widowControl w:val="0"/>
              <w:spacing w:before="0" w:after="0"/>
              <w:ind w:firstLine="0"/>
              <w:jc w:val="center"/>
              <w:rPr>
                <w:color w:val="1F1F1F"/>
              </w:rPr>
            </w:pPr>
            <w:r>
              <w:rPr>
                <w:b/>
                <w:bCs/>
                <w:color w:val="1F1F1F"/>
              </w:rPr>
              <w:t>Gender, n (%)</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11C17709"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46005D1A"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17007734" w14:textId="77777777" w:rsidR="009448D0" w:rsidRDefault="009448D0">
            <w:pPr>
              <w:widowControl w:val="0"/>
              <w:spacing w:before="0" w:after="0"/>
              <w:ind w:firstLine="0"/>
              <w:jc w:val="center"/>
              <w:rPr>
                <w:color w:val="1F1F1F"/>
              </w:rPr>
            </w:pPr>
          </w:p>
        </w:tc>
      </w:tr>
      <w:tr w:rsidR="009448D0" w14:paraId="350D8429" w14:textId="7777777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E9E241F" w14:textId="77777777" w:rsidR="009448D0" w:rsidRDefault="00674922">
            <w:pPr>
              <w:widowControl w:val="0"/>
              <w:spacing w:before="0" w:after="0"/>
              <w:ind w:firstLine="0"/>
              <w:jc w:val="center"/>
              <w:rPr>
                <w:color w:val="1F1F1F"/>
              </w:rPr>
            </w:pPr>
            <w:r>
              <w:rPr>
                <w:color w:val="1F1F1F"/>
              </w:rPr>
              <w:t>Male</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03DC7ECD" w14:textId="77777777" w:rsidR="009448D0" w:rsidRDefault="00674922">
            <w:pPr>
              <w:widowControl w:val="0"/>
              <w:spacing w:before="0" w:after="0"/>
              <w:ind w:firstLine="0"/>
              <w:jc w:val="center"/>
              <w:rPr>
                <w:color w:val="1F1F1F"/>
              </w:rPr>
            </w:pPr>
            <w:r>
              <w:rPr>
                <w:color w:val="1F1F1F"/>
              </w:rPr>
              <w:t>40 (57.1%)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3CF9212A" w14:textId="77777777" w:rsidR="009448D0" w:rsidRDefault="00674922">
            <w:pPr>
              <w:widowControl w:val="0"/>
              <w:spacing w:before="0" w:after="0"/>
              <w:ind w:firstLine="0"/>
              <w:jc w:val="center"/>
              <w:rPr>
                <w:color w:val="1F1F1F"/>
              </w:rPr>
            </w:pPr>
            <w:r>
              <w:rPr>
                <w:color w:val="1F1F1F"/>
              </w:rPr>
              <w:t>12 (60.0%)</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3C7A25EB" w14:textId="77777777" w:rsidR="009448D0" w:rsidRDefault="00674922">
            <w:pPr>
              <w:widowControl w:val="0"/>
              <w:spacing w:before="0" w:after="0"/>
              <w:ind w:firstLine="0"/>
              <w:jc w:val="center"/>
              <w:rPr>
                <w:color w:val="1F1F1F"/>
              </w:rPr>
            </w:pPr>
            <w:r>
              <w:rPr>
                <w:color w:val="1F1F1F"/>
              </w:rPr>
              <w:t>0.812</w:t>
            </w:r>
          </w:p>
        </w:tc>
      </w:tr>
      <w:tr w:rsidR="009448D0" w14:paraId="7793F490" w14:textId="7777777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6293DFED" w14:textId="77777777" w:rsidR="009448D0" w:rsidRDefault="00674922">
            <w:pPr>
              <w:widowControl w:val="0"/>
              <w:spacing w:before="0" w:after="0"/>
              <w:ind w:firstLine="0"/>
              <w:jc w:val="center"/>
              <w:rPr>
                <w:color w:val="1F1F1F"/>
              </w:rPr>
            </w:pPr>
            <w:r>
              <w:rPr>
                <w:color w:val="1F1F1F"/>
              </w:rPr>
              <w:lastRenderedPageBreak/>
              <w:t>Female</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5E02686E" w14:textId="77777777" w:rsidR="009448D0" w:rsidRDefault="00674922">
            <w:pPr>
              <w:widowControl w:val="0"/>
              <w:spacing w:before="0" w:after="0"/>
              <w:ind w:firstLine="0"/>
              <w:jc w:val="center"/>
              <w:rPr>
                <w:color w:val="1F1F1F"/>
              </w:rPr>
            </w:pPr>
            <w:r>
              <w:rPr>
                <w:color w:val="1F1F1F"/>
              </w:rPr>
              <w:t>30 (42.9%)</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1D6D1BEE" w14:textId="77777777" w:rsidR="009448D0" w:rsidRDefault="00674922">
            <w:pPr>
              <w:widowControl w:val="0"/>
              <w:spacing w:before="0" w:after="0"/>
              <w:ind w:firstLine="0"/>
              <w:jc w:val="center"/>
              <w:rPr>
                <w:color w:val="1F1F1F"/>
              </w:rPr>
            </w:pPr>
            <w:r>
              <w:rPr>
                <w:color w:val="1F1F1F"/>
              </w:rPr>
              <w:t>8 (40.0%)</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7DD53660" w14:textId="77777777" w:rsidR="009448D0" w:rsidRDefault="009448D0">
            <w:pPr>
              <w:widowControl w:val="0"/>
              <w:spacing w:before="0" w:after="0"/>
              <w:ind w:firstLine="0"/>
              <w:jc w:val="center"/>
              <w:rPr>
                <w:color w:val="1F1F1F"/>
              </w:rPr>
            </w:pPr>
          </w:p>
        </w:tc>
      </w:tr>
      <w:tr w:rsidR="009448D0" w14:paraId="5DCCC7A5" w14:textId="7777777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021A238A" w14:textId="77777777" w:rsidR="009448D0" w:rsidRDefault="00674922">
            <w:pPr>
              <w:widowControl w:val="0"/>
              <w:spacing w:before="0" w:after="0"/>
              <w:ind w:firstLine="0"/>
              <w:jc w:val="center"/>
              <w:rPr>
                <w:color w:val="1F1F1F"/>
              </w:rPr>
            </w:pPr>
            <w:r>
              <w:rPr>
                <w:b/>
                <w:bCs/>
                <w:color w:val="1F1F1F"/>
              </w:rPr>
              <w:t>Age (years)</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3FD215E9"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799F6F00"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74723E4B" w14:textId="77777777" w:rsidR="009448D0" w:rsidRDefault="009448D0">
            <w:pPr>
              <w:widowControl w:val="0"/>
              <w:spacing w:before="0" w:after="0"/>
              <w:ind w:firstLine="0"/>
              <w:jc w:val="center"/>
              <w:rPr>
                <w:color w:val="1F1F1F"/>
              </w:rPr>
            </w:pPr>
          </w:p>
        </w:tc>
      </w:tr>
      <w:tr w:rsidR="009448D0" w14:paraId="7B9ED499" w14:textId="7777777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1413DD49" w14:textId="77777777" w:rsidR="009448D0" w:rsidRDefault="00674922">
            <w:pPr>
              <w:widowControl w:val="0"/>
              <w:spacing w:before="0" w:after="0"/>
              <w:ind w:firstLine="0"/>
              <w:jc w:val="center"/>
              <w:rPr>
                <w:color w:val="1F1F1F"/>
              </w:rPr>
            </w:pPr>
            <w:r>
              <w:rPr>
                <w:color w:val="1F1F1F"/>
              </w:rPr>
              <w:t>Mean ± SD</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591CF2EA" w14:textId="77777777" w:rsidR="009448D0" w:rsidRDefault="00674922">
            <w:pPr>
              <w:widowControl w:val="0"/>
              <w:spacing w:before="0" w:after="0"/>
              <w:ind w:firstLine="0"/>
              <w:jc w:val="center"/>
              <w:rPr>
                <w:color w:val="1F1F1F"/>
              </w:rPr>
            </w:pPr>
            <w:r>
              <w:rPr>
                <w:color w:val="1F1F1F"/>
              </w:rPr>
              <w:t>52.4 ± 8.6</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469FDA17" w14:textId="77777777" w:rsidR="009448D0" w:rsidRDefault="00674922">
            <w:pPr>
              <w:widowControl w:val="0"/>
              <w:spacing w:before="0" w:after="0"/>
              <w:ind w:firstLine="0"/>
              <w:jc w:val="center"/>
              <w:rPr>
                <w:color w:val="1F1F1F"/>
              </w:rPr>
            </w:pPr>
            <w:r>
              <w:rPr>
                <w:color w:val="1F1F1F"/>
              </w:rPr>
              <w:t>50.1 ± 7.2</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7D7E9173" w14:textId="77777777" w:rsidR="009448D0" w:rsidRDefault="00674922">
            <w:pPr>
              <w:widowControl w:val="0"/>
              <w:spacing w:before="0" w:after="0"/>
              <w:ind w:firstLine="0"/>
              <w:jc w:val="center"/>
              <w:rPr>
                <w:color w:val="1F1F1F"/>
              </w:rPr>
            </w:pPr>
            <w:r>
              <w:rPr>
                <w:color w:val="1F1F1F"/>
              </w:rPr>
              <w:t>0.275</w:t>
            </w:r>
          </w:p>
        </w:tc>
      </w:tr>
      <w:tr w:rsidR="009448D0" w14:paraId="35720A66" w14:textId="7777777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174EDA1C" w14:textId="77777777" w:rsidR="009448D0" w:rsidRDefault="00674922">
            <w:pPr>
              <w:widowControl w:val="0"/>
              <w:spacing w:before="0" w:after="0"/>
              <w:ind w:firstLine="0"/>
              <w:jc w:val="center"/>
              <w:rPr>
                <w:color w:val="1F1F1F"/>
              </w:rPr>
            </w:pPr>
            <w:r>
              <w:rPr>
                <w:color w:val="1F1F1F"/>
              </w:rPr>
              <w:t>Range</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471226A2" w14:textId="77777777" w:rsidR="009448D0" w:rsidRDefault="00674922">
            <w:pPr>
              <w:widowControl w:val="0"/>
              <w:spacing w:before="0" w:after="0"/>
              <w:ind w:firstLine="0"/>
              <w:jc w:val="center"/>
              <w:rPr>
                <w:color w:val="1F1F1F"/>
              </w:rPr>
            </w:pPr>
            <w:r>
              <w:rPr>
                <w:color w:val="1F1F1F"/>
              </w:rPr>
              <w:t>35 - 71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1E60F31D" w14:textId="77777777" w:rsidR="009448D0" w:rsidRDefault="00674922">
            <w:pPr>
              <w:widowControl w:val="0"/>
              <w:spacing w:before="0" w:after="0"/>
              <w:ind w:firstLine="0"/>
              <w:jc w:val="center"/>
              <w:rPr>
                <w:color w:val="1F1F1F"/>
              </w:rPr>
            </w:pPr>
            <w:r>
              <w:rPr>
                <w:color w:val="1F1F1F"/>
              </w:rPr>
              <w:t>38 - 65</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085B6659" w14:textId="77777777" w:rsidR="009448D0" w:rsidRDefault="009448D0">
            <w:pPr>
              <w:widowControl w:val="0"/>
              <w:spacing w:before="0" w:after="0"/>
              <w:ind w:firstLine="0"/>
              <w:jc w:val="center"/>
              <w:rPr>
                <w:color w:val="1F1F1F"/>
              </w:rPr>
            </w:pPr>
          </w:p>
        </w:tc>
      </w:tr>
      <w:tr w:rsidR="009448D0" w14:paraId="1C360F2C"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7305A905" w14:textId="77777777" w:rsidR="009448D0" w:rsidRDefault="00674922">
            <w:pPr>
              <w:widowControl w:val="0"/>
              <w:spacing w:before="0" w:after="0"/>
              <w:ind w:firstLine="0"/>
              <w:jc w:val="center"/>
              <w:rPr>
                <w:color w:val="1F1F1F"/>
              </w:rPr>
            </w:pPr>
            <w:r>
              <w:rPr>
                <w:b/>
                <w:bCs/>
                <w:color w:val="1F1F1F"/>
              </w:rPr>
              <w:t>Body Mass Index (BMI, kg/m²)</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3B3206F9"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09425680"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50FD3062" w14:textId="77777777" w:rsidR="009448D0" w:rsidRDefault="009448D0">
            <w:pPr>
              <w:widowControl w:val="0"/>
              <w:spacing w:before="0" w:after="0"/>
              <w:ind w:firstLine="0"/>
              <w:jc w:val="center"/>
              <w:rPr>
                <w:color w:val="1F1F1F"/>
              </w:rPr>
            </w:pPr>
          </w:p>
        </w:tc>
      </w:tr>
      <w:tr w:rsidR="009448D0" w14:paraId="5E28A97C" w14:textId="7777777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60F0D037" w14:textId="77777777" w:rsidR="009448D0" w:rsidRDefault="00674922">
            <w:pPr>
              <w:widowControl w:val="0"/>
              <w:spacing w:before="0" w:after="0"/>
              <w:ind w:firstLine="0"/>
              <w:jc w:val="center"/>
              <w:rPr>
                <w:color w:val="1F1F1F"/>
              </w:rPr>
            </w:pPr>
            <w:r>
              <w:rPr>
                <w:color w:val="1F1F1F"/>
              </w:rPr>
              <w:t>Mean ± SD</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1170C7E4" w14:textId="77777777" w:rsidR="009448D0" w:rsidRDefault="00674922">
            <w:pPr>
              <w:widowControl w:val="0"/>
              <w:spacing w:before="0" w:after="0"/>
              <w:ind w:firstLine="0"/>
              <w:jc w:val="center"/>
              <w:rPr>
                <w:color w:val="1F1F1F"/>
              </w:rPr>
            </w:pPr>
            <w:r>
              <w:rPr>
                <w:color w:val="1F1F1F"/>
              </w:rPr>
              <w:t>23.5 ± 3.1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EB13D9C" w14:textId="77777777" w:rsidR="009448D0" w:rsidRDefault="00674922">
            <w:pPr>
              <w:widowControl w:val="0"/>
              <w:spacing w:before="0" w:after="0"/>
              <w:ind w:firstLine="0"/>
              <w:jc w:val="center"/>
              <w:rPr>
                <w:color w:val="1F1F1F"/>
              </w:rPr>
            </w:pPr>
            <w:r>
              <w:rPr>
                <w:color w:val="1F1F1F"/>
              </w:rPr>
              <w:t>24.8 ± 2.5</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609563F5" w14:textId="77777777" w:rsidR="009448D0" w:rsidRDefault="00674922">
            <w:pPr>
              <w:widowControl w:val="0"/>
              <w:spacing w:before="0" w:after="0"/>
              <w:ind w:firstLine="0"/>
              <w:jc w:val="center"/>
              <w:rPr>
                <w:color w:val="1F1F1F"/>
              </w:rPr>
            </w:pPr>
            <w:r>
              <w:rPr>
                <w:color w:val="1F1F1F"/>
              </w:rPr>
              <w:t>0.084</w:t>
            </w:r>
          </w:p>
        </w:tc>
      </w:tr>
    </w:tbl>
    <w:p w14:paraId="58FAE112" w14:textId="77777777" w:rsidR="009448D0" w:rsidRDefault="00674922">
      <w:pPr>
        <w:widowControl w:val="0"/>
        <w:spacing w:before="0"/>
        <w:ind w:firstLine="0"/>
        <w:rPr>
          <w:rFonts w:ascii="Arial" w:eastAsia="Arial" w:hAnsi="Arial" w:cs="Arial"/>
          <w:color w:val="1F1F1F"/>
        </w:rPr>
      </w:pPr>
      <w:r>
        <w:rPr>
          <w:rFonts w:ascii="Arial" w:eastAsia="Arial" w:hAnsi="Arial" w:cs="Arial"/>
          <w:color w:val="1F1F1F"/>
        </w:rPr>
        <w:t xml:space="preserve"> </w:t>
      </w:r>
    </w:p>
    <w:p w14:paraId="2B996660" w14:textId="77777777" w:rsidR="009448D0" w:rsidRDefault="00674922">
      <w:pPr>
        <w:pStyle w:val="Heading2"/>
      </w:pPr>
      <w:bookmarkStart w:id="13" w:name="_pxs7xbfjpnsz" w:colFirst="0" w:colLast="0"/>
      <w:bookmarkEnd w:id="13"/>
      <w:r>
        <w:t>3.2. Evaluation of Renal Function and Biochemical Markers</w:t>
      </w:r>
    </w:p>
    <w:p w14:paraId="36F94DDD" w14:textId="77777777" w:rsidR="009448D0" w:rsidRPr="00355CA9" w:rsidRDefault="00674922">
      <w:pPr>
        <w:rPr>
          <w:rFonts w:ascii="Arial" w:hAnsi="Arial" w:cs="Arial"/>
        </w:rPr>
      </w:pPr>
      <w:r w:rsidRPr="00355CA9">
        <w:rPr>
          <w:rFonts w:ascii="Arial" w:eastAsia="Gungsuh" w:hAnsi="Arial" w:cs="Arial"/>
        </w:rPr>
        <w:t xml:space="preserve">The </w:t>
      </w:r>
      <w:r w:rsidRPr="00355CA9">
        <w:rPr>
          <w:rFonts w:ascii="Arial" w:eastAsia="Gungsuh" w:hAnsi="Arial" w:cs="Arial"/>
        </w:rPr>
        <w:t xml:space="preserve">biochemical profiles of all participants were rigorously analyzed to assess their metabolic status, and the comprehensive findings are explicitly detailed in Table 2. When evaluating the primary indicators of renal function, a highly significant elevation </w:t>
      </w:r>
      <w:r w:rsidRPr="00355CA9">
        <w:rPr>
          <w:rFonts w:ascii="Arial" w:eastAsia="Gungsuh" w:hAnsi="Arial" w:cs="Arial"/>
        </w:rPr>
        <w:t>was observed in the patient group receiving hemodialysis compared to the healthy control subjects. Specifically, the mean serum creatinine concentration was recorded at 8.4 ± 1.8 mg/dL for the patients, which represents a drastic increase against the 0.9 ±</w:t>
      </w:r>
      <w:r w:rsidRPr="00355CA9">
        <w:rPr>
          <w:rFonts w:ascii="Arial" w:eastAsia="Gungsuh" w:hAnsi="Arial" w:cs="Arial"/>
        </w:rPr>
        <w:t xml:space="preserve"> 0.2 mg/dL observed in the control group (P ≤ 0.001). Similarly, blood urea levels were substantially escalated, demonstrating a mean value of 145.6 ± 22.4 mg/dL in the hemodialysis cohort, contrasting sharply with the normal baseline of 28.3 ± 5.1 mg/dL d</w:t>
      </w:r>
      <w:r w:rsidRPr="00355CA9">
        <w:rPr>
          <w:rFonts w:ascii="Arial" w:eastAsia="Gungsuh" w:hAnsi="Arial" w:cs="Arial"/>
        </w:rPr>
        <w:t xml:space="preserve">ocumented for the healthy participants (P ≤ 0.001). Furthermore, the measurement of serum uric acid </w:t>
      </w:r>
      <w:r w:rsidRPr="00355CA9">
        <w:rPr>
          <w:rFonts w:ascii="Arial" w:eastAsia="Gungsuh" w:hAnsi="Arial" w:cs="Arial"/>
        </w:rPr>
        <w:lastRenderedPageBreak/>
        <w:t xml:space="preserve">revealed a parallel upward trend, where patients exhibited an average concentration of 7.2 ± 1.1 mg/dL, whereas the controls maintained a mean of 4.5 ± 0.8 </w:t>
      </w:r>
      <w:r w:rsidRPr="00355CA9">
        <w:rPr>
          <w:rFonts w:ascii="Arial" w:eastAsia="Gungsuh" w:hAnsi="Arial" w:cs="Arial"/>
        </w:rPr>
        <w:t>mg/dL (P ≤ 0.001).</w:t>
      </w:r>
    </w:p>
    <w:p w14:paraId="152CDAB9" w14:textId="77777777" w:rsidR="009448D0" w:rsidRPr="00355CA9" w:rsidRDefault="00674922">
      <w:pPr>
        <w:rPr>
          <w:rFonts w:ascii="Arial" w:hAnsi="Arial" w:cs="Arial"/>
        </w:rPr>
      </w:pPr>
      <w:r w:rsidRPr="00355CA9">
        <w:rPr>
          <w:rFonts w:ascii="Arial" w:eastAsia="Gungsuh" w:hAnsi="Arial" w:cs="Arial"/>
        </w:rPr>
        <w:t>In addition to the primary renal markers, systemic electrolyte balances were meticulously quantified. The data demonstrated profound statistical fluctuations within the hemodialysis group. Serum potassium levels were significantly elevat</w:t>
      </w:r>
      <w:r w:rsidRPr="00355CA9">
        <w:rPr>
          <w:rFonts w:ascii="Arial" w:eastAsia="Gungsuh" w:hAnsi="Arial" w:cs="Arial"/>
        </w:rPr>
        <w:t xml:space="preserve">ed, reaching a mean of 5.6 ± 0.6 </w:t>
      </w:r>
      <w:proofErr w:type="spellStart"/>
      <w:r w:rsidRPr="00355CA9">
        <w:rPr>
          <w:rFonts w:ascii="Arial" w:eastAsia="Gungsuh" w:hAnsi="Arial" w:cs="Arial"/>
        </w:rPr>
        <w:t>mEq</w:t>
      </w:r>
      <w:proofErr w:type="spellEnd"/>
      <w:r w:rsidRPr="00355CA9">
        <w:rPr>
          <w:rFonts w:ascii="Arial" w:eastAsia="Gungsuh" w:hAnsi="Arial" w:cs="Arial"/>
        </w:rPr>
        <w:t xml:space="preserve">/L, compared to 4.1 ± 0.4 </w:t>
      </w:r>
      <w:proofErr w:type="spellStart"/>
      <w:r w:rsidRPr="00355CA9">
        <w:rPr>
          <w:rFonts w:ascii="Arial" w:eastAsia="Gungsuh" w:hAnsi="Arial" w:cs="Arial"/>
        </w:rPr>
        <w:t>mEq</w:t>
      </w:r>
      <w:proofErr w:type="spellEnd"/>
      <w:r w:rsidRPr="00355CA9">
        <w:rPr>
          <w:rFonts w:ascii="Arial" w:eastAsia="Gungsuh" w:hAnsi="Arial" w:cs="Arial"/>
        </w:rPr>
        <w:t>/L in the healthy controls (P ≤ 0.001). Conversely, a marked depletion in serum calcium concentrations was detected, with the patient group displaying an average of 7.8 ± 0.7 mg/dL against th</w:t>
      </w:r>
      <w:r w:rsidRPr="00355CA9">
        <w:rPr>
          <w:rFonts w:ascii="Arial" w:eastAsia="Gungsuh" w:hAnsi="Arial" w:cs="Arial"/>
        </w:rPr>
        <w:t>e control group's 9.6 ± 0.5 mg/dL (P ≤ 0.001). Serum phosphorus levels also exhibited a highly significant surge among the patients, recording 6.3 ± 1.2 mg/dL in contrast to 3.4 ± 0.4 mg/dL in the control cohort (P ≤ 0.001). However, regarding serum sodium</w:t>
      </w:r>
      <w:r w:rsidRPr="00355CA9">
        <w:rPr>
          <w:rFonts w:ascii="Arial" w:eastAsia="Gungsuh" w:hAnsi="Arial" w:cs="Arial"/>
        </w:rPr>
        <w:t xml:space="preserve"> concentrations, no statistically significant difference was identified between the two groups, as patients showed a mean of 138.2 ± 4.5 </w:t>
      </w:r>
      <w:proofErr w:type="spellStart"/>
      <w:r w:rsidRPr="00355CA9">
        <w:rPr>
          <w:rFonts w:ascii="Arial" w:eastAsia="Gungsuh" w:hAnsi="Arial" w:cs="Arial"/>
        </w:rPr>
        <w:t>mEq</w:t>
      </w:r>
      <w:proofErr w:type="spellEnd"/>
      <w:r w:rsidRPr="00355CA9">
        <w:rPr>
          <w:rFonts w:ascii="Arial" w:eastAsia="Gungsuh" w:hAnsi="Arial" w:cs="Arial"/>
        </w:rPr>
        <w:t xml:space="preserve">/L compared to 140.1 ± 3.2 </w:t>
      </w:r>
      <w:proofErr w:type="spellStart"/>
      <w:r w:rsidRPr="00355CA9">
        <w:rPr>
          <w:rFonts w:ascii="Arial" w:eastAsia="Gungsuh" w:hAnsi="Arial" w:cs="Arial"/>
        </w:rPr>
        <w:t>mEq</w:t>
      </w:r>
      <w:proofErr w:type="spellEnd"/>
      <w:r w:rsidRPr="00355CA9">
        <w:rPr>
          <w:rFonts w:ascii="Arial" w:eastAsia="Gungsuh" w:hAnsi="Arial" w:cs="Arial"/>
        </w:rPr>
        <w:t>/L in the controls (P = 0.075).</w:t>
      </w:r>
    </w:p>
    <w:p w14:paraId="74CFB0F6" w14:textId="77777777" w:rsidR="009448D0" w:rsidRDefault="00674922">
      <w:pPr>
        <w:pStyle w:val="Subtitle"/>
        <w:widowControl w:val="0"/>
      </w:pPr>
      <w:bookmarkStart w:id="14" w:name="_xoxp3o9dmk3k" w:colFirst="0" w:colLast="0"/>
      <w:bookmarkEnd w:id="14"/>
      <w:r>
        <w:t>Table 2: Comparison of biochemical parameters and elec</w:t>
      </w:r>
      <w:r>
        <w:t>trolyte levels between hemodialysis patients and the healthy control group.</w:t>
      </w:r>
    </w:p>
    <w:tbl>
      <w:tblPr>
        <w:tblStyle w:val="a0"/>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9448D0" w14:paraId="4C1CC6AB"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5EC4D1B0" w14:textId="77777777" w:rsidR="009448D0" w:rsidRDefault="00674922">
            <w:pPr>
              <w:widowControl w:val="0"/>
              <w:spacing w:before="0" w:after="0"/>
              <w:ind w:firstLine="0"/>
              <w:jc w:val="center"/>
              <w:rPr>
                <w:color w:val="1F1F1F"/>
              </w:rPr>
            </w:pPr>
            <w:r>
              <w:rPr>
                <w:b/>
                <w:bCs/>
                <w:color w:val="1F1F1F"/>
              </w:rPr>
              <w:t>Biochemical Parameter</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3FAD44C0" w14:textId="77777777" w:rsidR="009448D0" w:rsidRDefault="00674922">
            <w:pPr>
              <w:widowControl w:val="0"/>
              <w:spacing w:before="0" w:after="0"/>
              <w:ind w:firstLine="0"/>
              <w:jc w:val="center"/>
              <w:rPr>
                <w:color w:val="1F1F1F"/>
              </w:rPr>
            </w:pPr>
            <w:r>
              <w:rPr>
                <w:b/>
                <w:bCs/>
                <w:color w:val="1F1F1F"/>
              </w:rPr>
              <w:t>Hemodialysis Patients (n = 70) (Mean ± SD)</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75333E3B" w14:textId="77777777" w:rsidR="009448D0" w:rsidRDefault="00674922">
            <w:pPr>
              <w:widowControl w:val="0"/>
              <w:spacing w:before="0" w:after="0"/>
              <w:ind w:firstLine="0"/>
              <w:jc w:val="center"/>
              <w:rPr>
                <w:color w:val="1F1F1F"/>
              </w:rPr>
            </w:pPr>
            <w:r>
              <w:rPr>
                <w:b/>
                <w:bCs/>
                <w:color w:val="1F1F1F"/>
              </w:rPr>
              <w:t>Control Group (n = 20) (Mean ± SD)</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49E75E63" w14:textId="77777777" w:rsidR="009448D0" w:rsidRDefault="00674922">
            <w:pPr>
              <w:widowControl w:val="0"/>
              <w:spacing w:before="0" w:after="0"/>
              <w:ind w:firstLine="0"/>
              <w:jc w:val="center"/>
              <w:rPr>
                <w:color w:val="1F1F1F"/>
              </w:rPr>
            </w:pPr>
            <w:r>
              <w:rPr>
                <w:b/>
                <w:bCs/>
                <w:color w:val="1F1F1F"/>
              </w:rPr>
              <w:t>P-value</w:t>
            </w:r>
          </w:p>
        </w:tc>
      </w:tr>
      <w:tr w:rsidR="009448D0" w14:paraId="0064619E"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06FE6BA3" w14:textId="77777777" w:rsidR="009448D0" w:rsidRDefault="00674922">
            <w:pPr>
              <w:widowControl w:val="0"/>
              <w:spacing w:before="0" w:after="0"/>
              <w:ind w:firstLine="0"/>
              <w:jc w:val="center"/>
              <w:rPr>
                <w:color w:val="1F1F1F"/>
              </w:rPr>
            </w:pPr>
            <w:r>
              <w:rPr>
                <w:b/>
                <w:bCs/>
                <w:color w:val="1F1F1F"/>
              </w:rPr>
              <w:t>Renal Function Tests</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6973F3B3"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0590FAB"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13BACD58" w14:textId="77777777" w:rsidR="009448D0" w:rsidRDefault="009448D0">
            <w:pPr>
              <w:widowControl w:val="0"/>
              <w:spacing w:before="0" w:after="0"/>
              <w:ind w:firstLine="0"/>
              <w:jc w:val="center"/>
              <w:rPr>
                <w:color w:val="1F1F1F"/>
              </w:rPr>
            </w:pPr>
          </w:p>
        </w:tc>
      </w:tr>
      <w:tr w:rsidR="009448D0" w14:paraId="6E04B618"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601AA2A" w14:textId="77777777" w:rsidR="009448D0" w:rsidRDefault="00674922">
            <w:pPr>
              <w:widowControl w:val="0"/>
              <w:spacing w:before="0" w:after="0"/>
              <w:ind w:firstLine="0"/>
              <w:jc w:val="center"/>
              <w:rPr>
                <w:color w:val="1F1F1F"/>
              </w:rPr>
            </w:pPr>
            <w:r>
              <w:rPr>
                <w:color w:val="1F1F1F"/>
              </w:rPr>
              <w:t>Blood Urea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8E9D6D7" w14:textId="77777777" w:rsidR="009448D0" w:rsidRDefault="00674922">
            <w:pPr>
              <w:widowControl w:val="0"/>
              <w:spacing w:before="0" w:after="0"/>
              <w:ind w:firstLine="0"/>
              <w:jc w:val="center"/>
              <w:rPr>
                <w:color w:val="1F1F1F"/>
              </w:rPr>
            </w:pPr>
            <w:r>
              <w:rPr>
                <w:color w:val="1F1F1F"/>
              </w:rPr>
              <w:t>145.6 ± 22.4</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DE3C635" w14:textId="77777777" w:rsidR="009448D0" w:rsidRDefault="00674922">
            <w:pPr>
              <w:widowControl w:val="0"/>
              <w:spacing w:before="0" w:after="0"/>
              <w:ind w:firstLine="0"/>
              <w:jc w:val="center"/>
              <w:rPr>
                <w:color w:val="1F1F1F"/>
              </w:rPr>
            </w:pPr>
            <w:r>
              <w:rPr>
                <w:color w:val="1F1F1F"/>
              </w:rPr>
              <w:t>28.3 ± 5.1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16379967" w14:textId="77777777" w:rsidR="009448D0" w:rsidRDefault="00674922">
            <w:pPr>
              <w:widowControl w:val="0"/>
              <w:spacing w:before="0" w:after="0"/>
              <w:ind w:firstLine="0"/>
              <w:jc w:val="center"/>
              <w:rPr>
                <w:color w:val="1F1F1F"/>
              </w:rPr>
            </w:pPr>
            <w:r>
              <w:rPr>
                <w:rFonts w:ascii="Gungsuh" w:eastAsia="Gungsuh" w:hAnsi="Gungsuh" w:cs="Gungsuh"/>
                <w:color w:val="1F1F1F"/>
              </w:rPr>
              <w:t xml:space="preserve">≤ </w:t>
            </w:r>
            <w:r>
              <w:rPr>
                <w:rFonts w:ascii="Gungsuh" w:eastAsia="Gungsuh" w:hAnsi="Gungsuh" w:cs="Gungsuh"/>
                <w:color w:val="1F1F1F"/>
              </w:rPr>
              <w:t>0.001</w:t>
            </w:r>
          </w:p>
        </w:tc>
      </w:tr>
      <w:tr w:rsidR="009448D0" w14:paraId="0E6EBAAA"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45CAA0F8" w14:textId="77777777" w:rsidR="009448D0" w:rsidRDefault="00674922">
            <w:pPr>
              <w:widowControl w:val="0"/>
              <w:spacing w:before="0" w:after="0"/>
              <w:ind w:firstLine="0"/>
              <w:jc w:val="center"/>
              <w:rPr>
                <w:color w:val="1F1F1F"/>
              </w:rPr>
            </w:pPr>
            <w:r>
              <w:rPr>
                <w:color w:val="1F1F1F"/>
              </w:rPr>
              <w:t>Serum Creatinine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098E1374" w14:textId="77777777" w:rsidR="009448D0" w:rsidRDefault="00674922">
            <w:pPr>
              <w:widowControl w:val="0"/>
              <w:spacing w:before="0" w:after="0"/>
              <w:ind w:firstLine="0"/>
              <w:jc w:val="center"/>
              <w:rPr>
                <w:color w:val="1F1F1F"/>
              </w:rPr>
            </w:pPr>
            <w:r>
              <w:rPr>
                <w:color w:val="1F1F1F"/>
              </w:rPr>
              <w:t>8.4 ± 1.8</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A8CF5F3" w14:textId="77777777" w:rsidR="009448D0" w:rsidRDefault="00674922">
            <w:pPr>
              <w:widowControl w:val="0"/>
              <w:spacing w:before="0" w:after="0"/>
              <w:ind w:firstLine="0"/>
              <w:jc w:val="center"/>
              <w:rPr>
                <w:color w:val="1F1F1F"/>
              </w:rPr>
            </w:pPr>
            <w:r>
              <w:rPr>
                <w:color w:val="1F1F1F"/>
              </w:rPr>
              <w:t>0.9 ± 0.2</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7CC43694" w14:textId="77777777" w:rsidR="009448D0" w:rsidRDefault="00674922">
            <w:pPr>
              <w:widowControl w:val="0"/>
              <w:spacing w:before="0" w:after="0"/>
              <w:ind w:firstLine="0"/>
              <w:jc w:val="center"/>
              <w:rPr>
                <w:color w:val="1F1F1F"/>
              </w:rPr>
            </w:pPr>
            <w:r>
              <w:rPr>
                <w:rFonts w:ascii="Gungsuh" w:eastAsia="Gungsuh" w:hAnsi="Gungsuh" w:cs="Gungsuh"/>
                <w:color w:val="1F1F1F"/>
              </w:rPr>
              <w:t>≤ 0.001</w:t>
            </w:r>
          </w:p>
        </w:tc>
      </w:tr>
      <w:tr w:rsidR="009448D0" w14:paraId="5E056A28"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48FBB8A4" w14:textId="77777777" w:rsidR="009448D0" w:rsidRDefault="00674922">
            <w:pPr>
              <w:widowControl w:val="0"/>
              <w:spacing w:before="0" w:after="0"/>
              <w:ind w:firstLine="0"/>
              <w:jc w:val="center"/>
              <w:rPr>
                <w:color w:val="1F1F1F"/>
              </w:rPr>
            </w:pPr>
            <w:r>
              <w:rPr>
                <w:color w:val="1F1F1F"/>
              </w:rPr>
              <w:lastRenderedPageBreak/>
              <w:t>Serum Uric Acid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7BE73DD9" w14:textId="77777777" w:rsidR="009448D0" w:rsidRDefault="00674922">
            <w:pPr>
              <w:widowControl w:val="0"/>
              <w:spacing w:before="0" w:after="0"/>
              <w:ind w:firstLine="0"/>
              <w:jc w:val="center"/>
              <w:rPr>
                <w:color w:val="1F1F1F"/>
              </w:rPr>
            </w:pPr>
            <w:r>
              <w:rPr>
                <w:color w:val="1F1F1F"/>
              </w:rPr>
              <w:t>7.2 ± 1.1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713C989A" w14:textId="77777777" w:rsidR="009448D0" w:rsidRDefault="00674922">
            <w:pPr>
              <w:widowControl w:val="0"/>
              <w:spacing w:before="0" w:after="0"/>
              <w:ind w:firstLine="0"/>
              <w:jc w:val="center"/>
              <w:rPr>
                <w:color w:val="1F1F1F"/>
              </w:rPr>
            </w:pPr>
            <w:r>
              <w:rPr>
                <w:color w:val="1F1F1F"/>
              </w:rPr>
              <w:t>4.5 ± 0.8</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3CB74601" w14:textId="77777777" w:rsidR="009448D0" w:rsidRDefault="00674922">
            <w:pPr>
              <w:widowControl w:val="0"/>
              <w:spacing w:before="0" w:after="0"/>
              <w:ind w:firstLine="0"/>
              <w:jc w:val="center"/>
              <w:rPr>
                <w:color w:val="1F1F1F"/>
              </w:rPr>
            </w:pPr>
            <w:r>
              <w:rPr>
                <w:rFonts w:ascii="Gungsuh" w:eastAsia="Gungsuh" w:hAnsi="Gungsuh" w:cs="Gungsuh"/>
                <w:color w:val="1F1F1F"/>
              </w:rPr>
              <w:t>≤ 0.001</w:t>
            </w:r>
          </w:p>
        </w:tc>
      </w:tr>
      <w:tr w:rsidR="009448D0" w14:paraId="3B170E46" w14:textId="7777777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10C6598D" w14:textId="77777777" w:rsidR="009448D0" w:rsidRDefault="00674922">
            <w:pPr>
              <w:widowControl w:val="0"/>
              <w:spacing w:before="0" w:after="0"/>
              <w:ind w:firstLine="0"/>
              <w:jc w:val="center"/>
              <w:rPr>
                <w:color w:val="1F1F1F"/>
              </w:rPr>
            </w:pPr>
            <w:r>
              <w:rPr>
                <w:b/>
                <w:bCs/>
                <w:color w:val="1F1F1F"/>
              </w:rPr>
              <w:t>Electrolytes</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466219C"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7D2417AA" w14:textId="77777777" w:rsidR="009448D0" w:rsidRDefault="009448D0">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6CACC539" w14:textId="77777777" w:rsidR="009448D0" w:rsidRDefault="009448D0">
            <w:pPr>
              <w:widowControl w:val="0"/>
              <w:spacing w:before="0" w:after="0"/>
              <w:ind w:firstLine="0"/>
              <w:jc w:val="center"/>
              <w:rPr>
                <w:color w:val="1F1F1F"/>
              </w:rPr>
            </w:pPr>
          </w:p>
        </w:tc>
      </w:tr>
      <w:tr w:rsidR="009448D0" w14:paraId="398B2E1C"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7E8B62ED" w14:textId="77777777" w:rsidR="009448D0" w:rsidRDefault="00674922">
            <w:pPr>
              <w:widowControl w:val="0"/>
              <w:spacing w:before="0" w:after="0"/>
              <w:ind w:firstLine="0"/>
              <w:jc w:val="center"/>
              <w:rPr>
                <w:color w:val="1F1F1F"/>
              </w:rPr>
            </w:pPr>
            <w:r>
              <w:rPr>
                <w:color w:val="1F1F1F"/>
              </w:rPr>
              <w:t>Serum Sodium (Na⁺) (</w:t>
            </w:r>
            <w:proofErr w:type="spellStart"/>
            <w:r>
              <w:rPr>
                <w:color w:val="1F1F1F"/>
              </w:rPr>
              <w:t>mEq</w:t>
            </w:r>
            <w:proofErr w:type="spellEnd"/>
            <w:r>
              <w:rPr>
                <w:color w:val="1F1F1F"/>
              </w:rPr>
              <w:t>/L)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445F1396" w14:textId="77777777" w:rsidR="009448D0" w:rsidRDefault="00674922">
            <w:pPr>
              <w:widowControl w:val="0"/>
              <w:spacing w:before="0" w:after="0"/>
              <w:ind w:firstLine="0"/>
              <w:jc w:val="center"/>
              <w:rPr>
                <w:color w:val="1F1F1F"/>
              </w:rPr>
            </w:pPr>
            <w:r>
              <w:rPr>
                <w:color w:val="1F1F1F"/>
              </w:rPr>
              <w:t>138.2 ± 4.5</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0E7F3424" w14:textId="77777777" w:rsidR="009448D0" w:rsidRDefault="00674922">
            <w:pPr>
              <w:widowControl w:val="0"/>
              <w:spacing w:before="0" w:after="0"/>
              <w:ind w:firstLine="0"/>
              <w:jc w:val="center"/>
              <w:rPr>
                <w:color w:val="1F1F1F"/>
              </w:rPr>
            </w:pPr>
            <w:r>
              <w:rPr>
                <w:color w:val="1F1F1F"/>
              </w:rPr>
              <w:t>140.1 ± 3.2</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410009F7" w14:textId="77777777" w:rsidR="009448D0" w:rsidRDefault="00674922">
            <w:pPr>
              <w:widowControl w:val="0"/>
              <w:spacing w:before="0" w:after="0"/>
              <w:ind w:firstLine="0"/>
              <w:jc w:val="center"/>
              <w:rPr>
                <w:color w:val="1F1F1F"/>
              </w:rPr>
            </w:pPr>
            <w:r>
              <w:rPr>
                <w:color w:val="1F1F1F"/>
              </w:rPr>
              <w:t>0.075</w:t>
            </w:r>
          </w:p>
        </w:tc>
      </w:tr>
      <w:tr w:rsidR="009448D0" w14:paraId="6F4E6DD5"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B74B8CC" w14:textId="77777777" w:rsidR="009448D0" w:rsidRDefault="00674922">
            <w:pPr>
              <w:widowControl w:val="0"/>
              <w:spacing w:before="0" w:after="0"/>
              <w:ind w:firstLine="0"/>
              <w:jc w:val="center"/>
              <w:rPr>
                <w:color w:val="1F1F1F"/>
              </w:rPr>
            </w:pPr>
            <w:r>
              <w:rPr>
                <w:color w:val="1F1F1F"/>
              </w:rPr>
              <w:t>Serum Potassium (K⁺) (</w:t>
            </w:r>
            <w:proofErr w:type="spellStart"/>
            <w:r>
              <w:rPr>
                <w:color w:val="1F1F1F"/>
              </w:rPr>
              <w:t>mEq</w:t>
            </w:r>
            <w:proofErr w:type="spellEnd"/>
            <w:r>
              <w:rPr>
                <w:color w:val="1F1F1F"/>
              </w:rPr>
              <w:t>/L)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37E22EAB" w14:textId="77777777" w:rsidR="009448D0" w:rsidRDefault="00674922">
            <w:pPr>
              <w:widowControl w:val="0"/>
              <w:spacing w:before="0" w:after="0"/>
              <w:ind w:firstLine="0"/>
              <w:jc w:val="center"/>
              <w:rPr>
                <w:color w:val="1F1F1F"/>
              </w:rPr>
            </w:pPr>
            <w:r>
              <w:rPr>
                <w:color w:val="1F1F1F"/>
              </w:rPr>
              <w:t>5.6 ± 0.6</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7B2537AD" w14:textId="77777777" w:rsidR="009448D0" w:rsidRDefault="00674922">
            <w:pPr>
              <w:widowControl w:val="0"/>
              <w:spacing w:before="0" w:after="0"/>
              <w:ind w:firstLine="0"/>
              <w:jc w:val="center"/>
              <w:rPr>
                <w:color w:val="1F1F1F"/>
              </w:rPr>
            </w:pPr>
            <w:r>
              <w:rPr>
                <w:color w:val="1F1F1F"/>
              </w:rPr>
              <w:t>4.1 ± 0.4</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5DD5D4B8" w14:textId="77777777" w:rsidR="009448D0" w:rsidRDefault="00674922">
            <w:pPr>
              <w:widowControl w:val="0"/>
              <w:spacing w:before="0" w:after="0"/>
              <w:ind w:firstLine="0"/>
              <w:jc w:val="center"/>
              <w:rPr>
                <w:color w:val="1F1F1F"/>
              </w:rPr>
            </w:pPr>
            <w:r>
              <w:rPr>
                <w:rFonts w:ascii="Gungsuh" w:eastAsia="Gungsuh" w:hAnsi="Gungsuh" w:cs="Gungsuh"/>
                <w:color w:val="1F1F1F"/>
              </w:rPr>
              <w:t>≤ 0.001</w:t>
            </w:r>
          </w:p>
        </w:tc>
      </w:tr>
      <w:tr w:rsidR="009448D0" w14:paraId="4A7EDC92"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2ED88029" w14:textId="77777777" w:rsidR="009448D0" w:rsidRDefault="00674922">
            <w:pPr>
              <w:widowControl w:val="0"/>
              <w:spacing w:before="0" w:after="0"/>
              <w:ind w:firstLine="0"/>
              <w:jc w:val="center"/>
              <w:rPr>
                <w:color w:val="1F1F1F"/>
              </w:rPr>
            </w:pPr>
            <w:r>
              <w:rPr>
                <w:color w:val="1F1F1F"/>
              </w:rPr>
              <w:t xml:space="preserve">Serum </w:t>
            </w:r>
            <w:r>
              <w:rPr>
                <w:color w:val="1F1F1F"/>
              </w:rPr>
              <w:t>Calcium (Ca²⁺)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42B9816E" w14:textId="77777777" w:rsidR="009448D0" w:rsidRDefault="00674922">
            <w:pPr>
              <w:widowControl w:val="0"/>
              <w:spacing w:before="0" w:after="0"/>
              <w:ind w:firstLine="0"/>
              <w:jc w:val="center"/>
              <w:rPr>
                <w:color w:val="1F1F1F"/>
              </w:rPr>
            </w:pPr>
            <w:r>
              <w:rPr>
                <w:color w:val="1F1F1F"/>
              </w:rPr>
              <w:t>7.8 ± 0.7</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61A73F50" w14:textId="77777777" w:rsidR="009448D0" w:rsidRDefault="00674922">
            <w:pPr>
              <w:widowControl w:val="0"/>
              <w:spacing w:before="0" w:after="0"/>
              <w:ind w:firstLine="0"/>
              <w:jc w:val="center"/>
              <w:rPr>
                <w:color w:val="1F1F1F"/>
              </w:rPr>
            </w:pPr>
            <w:r>
              <w:rPr>
                <w:color w:val="1F1F1F"/>
              </w:rPr>
              <w:t>9.6 ± 0.5</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6834BE8C" w14:textId="77777777" w:rsidR="009448D0" w:rsidRDefault="00674922">
            <w:pPr>
              <w:widowControl w:val="0"/>
              <w:spacing w:before="0" w:after="0"/>
              <w:ind w:firstLine="0"/>
              <w:jc w:val="center"/>
              <w:rPr>
                <w:color w:val="1F1F1F"/>
              </w:rPr>
            </w:pPr>
            <w:r>
              <w:rPr>
                <w:rFonts w:ascii="Gungsuh" w:eastAsia="Gungsuh" w:hAnsi="Gungsuh" w:cs="Gungsuh"/>
                <w:color w:val="1F1F1F"/>
              </w:rPr>
              <w:t>≤ 0.001</w:t>
            </w:r>
          </w:p>
        </w:tc>
      </w:tr>
      <w:tr w:rsidR="009448D0" w14:paraId="049B3D2A" w14:textId="7777777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7FE0B376" w14:textId="77777777" w:rsidR="009448D0" w:rsidRDefault="00674922">
            <w:pPr>
              <w:widowControl w:val="0"/>
              <w:spacing w:before="0" w:after="0"/>
              <w:ind w:firstLine="0"/>
              <w:jc w:val="center"/>
              <w:rPr>
                <w:color w:val="1F1F1F"/>
              </w:rPr>
            </w:pPr>
            <w:r>
              <w:rPr>
                <w:color w:val="1F1F1F"/>
              </w:rPr>
              <w:t>Serum Phosphorus (PO₄³⁻)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6A51C1AE" w14:textId="77777777" w:rsidR="009448D0" w:rsidRDefault="00674922">
            <w:pPr>
              <w:widowControl w:val="0"/>
              <w:spacing w:before="0" w:after="0"/>
              <w:ind w:firstLine="0"/>
              <w:jc w:val="center"/>
              <w:rPr>
                <w:color w:val="1F1F1F"/>
              </w:rPr>
            </w:pPr>
            <w:r>
              <w:rPr>
                <w:color w:val="1F1F1F"/>
              </w:rPr>
              <w:t>6.3 ± 1.2</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14:paraId="5D802E50" w14:textId="77777777" w:rsidR="009448D0" w:rsidRDefault="00674922">
            <w:pPr>
              <w:widowControl w:val="0"/>
              <w:spacing w:before="0" w:after="0"/>
              <w:ind w:firstLine="0"/>
              <w:jc w:val="center"/>
              <w:rPr>
                <w:color w:val="1F1F1F"/>
              </w:rPr>
            </w:pPr>
            <w:r>
              <w:rPr>
                <w:color w:val="1F1F1F"/>
              </w:rPr>
              <w:t>3.4 ± 0.4</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14:paraId="197DA7CE" w14:textId="77777777" w:rsidR="009448D0" w:rsidRDefault="00674922">
            <w:pPr>
              <w:widowControl w:val="0"/>
              <w:spacing w:before="0" w:after="0"/>
              <w:ind w:firstLine="0"/>
              <w:jc w:val="center"/>
              <w:rPr>
                <w:color w:val="1F1F1F"/>
              </w:rPr>
            </w:pPr>
            <w:r>
              <w:rPr>
                <w:rFonts w:ascii="Gungsuh" w:eastAsia="Gungsuh" w:hAnsi="Gungsuh" w:cs="Gungsuh"/>
                <w:color w:val="1F1F1F"/>
              </w:rPr>
              <w:t>≤ 0.001</w:t>
            </w:r>
          </w:p>
        </w:tc>
      </w:tr>
    </w:tbl>
    <w:p w14:paraId="528637FE" w14:textId="77777777" w:rsidR="009448D0" w:rsidRDefault="00674922">
      <w:pPr>
        <w:widowControl w:val="0"/>
        <w:spacing w:before="0"/>
        <w:ind w:firstLine="0"/>
        <w:rPr>
          <w:rFonts w:ascii="Arial" w:eastAsia="Arial" w:hAnsi="Arial" w:cs="Arial"/>
          <w:i/>
          <w:iCs/>
          <w:color w:val="1F1F1F"/>
        </w:rPr>
      </w:pPr>
      <w:r>
        <w:rPr>
          <w:rFonts w:ascii="Arial" w:eastAsia="Arial" w:hAnsi="Arial" w:cs="Arial"/>
          <w:color w:val="1F1F1F"/>
        </w:rPr>
        <w:t xml:space="preserve"> </w:t>
      </w:r>
    </w:p>
    <w:p w14:paraId="021EECE9" w14:textId="77777777" w:rsidR="009448D0" w:rsidRDefault="00674922">
      <w:pPr>
        <w:pStyle w:val="Heading1"/>
      </w:pPr>
      <w:bookmarkStart w:id="15" w:name="_xg5xa1s8d4bf" w:colFirst="0" w:colLast="0"/>
      <w:bookmarkEnd w:id="15"/>
      <w:r>
        <w:t>4. Discussion</w:t>
      </w:r>
    </w:p>
    <w:p w14:paraId="77734DC1" w14:textId="77777777" w:rsidR="009448D0" w:rsidRDefault="00674922">
      <w:r>
        <w:t xml:space="preserve">The results appeared as shown in Table 1 regarding the demographic and general characteristics of the participants. These </w:t>
      </w:r>
      <w:r>
        <w:t xml:space="preserve">results indicate that the selection of the patient and control groups was highly comparable, demonstrating no significant disparities in age, gender distribution, or body mass index. Perhaps the reason is the rigorous application of specific inclusion and </w:t>
      </w:r>
      <w:r>
        <w:t>exclusion criteria during the sample collection phase to eliminate demographic bias. A previous study, whose goal was to assess the nutritional status of hemodialysis patients using anthropometric measurements, was conducted in the year 2021 in the country</w:t>
      </w:r>
      <w:r>
        <w:t xml:space="preserve"> of Pakistan and </w:t>
      </w:r>
      <w:r>
        <w:lastRenderedPageBreak/>
        <w:t>reached a similar conclusion, showing stable body mass indices in controlled dialysis cohorts (Sultan et al., 2021). This indicates that routine dialysis, combined with proper dietary counseling, can maintain basic physical parameters. The</w:t>
      </w:r>
      <w:r>
        <w:t xml:space="preserve"> aforementioned study agrees with the current study, while another study, which aimed to evaluate the association between body mass index and mortality, found results that differed from the current study, as it found a severe and progressive decline in BMI</w:t>
      </w:r>
      <w:r>
        <w:t xml:space="preserve"> among incident dialysis patients (Badve et al., 2014). Perhaps this indicates that drastic changes in body mass are more strongly associated with the duration of the disease and the presence of severe protein-energy wasting rather than the initial stages </w:t>
      </w:r>
      <w:r>
        <w:t>of hemodialysis therapy.</w:t>
      </w:r>
    </w:p>
    <w:p w14:paraId="1D7ADE47" w14:textId="77777777" w:rsidR="009448D0" w:rsidRDefault="00674922">
      <w:r>
        <w:t>The results appeared as shown in Table 2 concerning the primary renal function markers, highlighting a massive elevation in blood urea, serum creatinine, and uric acid among the patient group compared to the healthy controls. These</w:t>
      </w:r>
      <w:r>
        <w:t xml:space="preserve"> results indicate that the patients are experiencing severe uremia and a profound inability to filter physiological waste. Perhaps the reason is the progressive, irreversible destruction of functional nephrons characteristics of end-stage renal disease, wh</w:t>
      </w:r>
      <w:r>
        <w:t>ich fundamentally halts the excretion of nitrogenous metabolic byproducts (</w:t>
      </w:r>
      <w:proofErr w:type="spellStart"/>
      <w:r>
        <w:t>Vadakedath</w:t>
      </w:r>
      <w:proofErr w:type="spellEnd"/>
      <w:r>
        <w:t xml:space="preserve"> and Kandi, 2017). In a previous study about the assessment and correlation of urea and creatinine levels in the year 2016 in the city of Wardha (India) and its goal was t</w:t>
      </w:r>
      <w:r>
        <w:t>o evaluate these markers in chronic kidney disease, the researchers found that serum creatinine and urea were drastically elevated by over 70% in affected patients, and this indicates a universal, unavoidable metabolic consequence of advanced renal failure</w:t>
      </w:r>
      <w:r>
        <w:t xml:space="preserve"> (Pandya et al., 2016). This aligns perfectly with our findings, confirming that while hemodialysis is life-sustaining, it only partially substitutes the continuous, efficient filtration provided by healthy kidneys (Abbasi et al., 2010).</w:t>
      </w:r>
    </w:p>
    <w:p w14:paraId="0DAE0943" w14:textId="77777777" w:rsidR="009448D0" w:rsidRDefault="00674922">
      <w:r>
        <w:t>Regarding the syst</w:t>
      </w:r>
      <w:r>
        <w:t xml:space="preserve">emic electrolyte balances, the results appeared as shown in Table 2, where these results indicate that hemodialysis patients suffer from severe hyperkalemia, hyperphosphatemia, and notable hypocalcemia, despite maintaining relatively normal sodium levels. </w:t>
      </w:r>
      <w:r>
        <w:t>Perhaps the reason is the diminished renal excretion capacity for dietary potassium and phosphorus, coupled with the kidneys' failure to synthesize active vitamin D (calcitriol), which is essential for intestinal calcium absorption (Cozzolino et al., 2018)</w:t>
      </w:r>
      <w:r>
        <w:t>. Where a previous study showed that the aim of which was to determine coronary risk factors in maintenance hemodialysis patients, where the study was conducted in the year 2011 in the country of India, and it reached the conclusion that critical hyperkale</w:t>
      </w:r>
      <w:r>
        <w:t xml:space="preserve">mia and hyperphosphatemia are highly prevalent among the dialysis population, and this indicates that dietary non-compliance and inadequate dialysis sessions significantly exacerbate these dangerous imbalances (Gupta and Mahajan, 2011). The aforementioned </w:t>
      </w:r>
      <w:r>
        <w:t>study agrees with the current study, while another study, which aimed to compare nutritional and biochemical parameters among adult and elderly hemodialysis patients, found results that differed from the current study, as it found widespread and significan</w:t>
      </w:r>
      <w:r>
        <w:t>t hyponatremia (low sodium) among the elderly cohorts (Çelik et al., 2011). Perhaps this indicates that advancing age, localized fluid intake restrictiveness, and different dialysis fluid compositions can uniquely alter sodium regulation, a complication no</w:t>
      </w:r>
      <w:r>
        <w:t>t distinctly observed in the younger demographic of the current study.</w:t>
      </w:r>
    </w:p>
    <w:p w14:paraId="68A5FD0B" w14:textId="77777777" w:rsidR="009448D0" w:rsidRDefault="00674922">
      <w:pPr>
        <w:pStyle w:val="Heading2"/>
        <w:keepNext w:val="0"/>
        <w:keepLines w:val="0"/>
        <w:widowControl w:val="0"/>
        <w:rPr>
          <w:sz w:val="33"/>
          <w:szCs w:val="33"/>
        </w:rPr>
      </w:pPr>
      <w:bookmarkStart w:id="16" w:name="_a863pubx6frv" w:colFirst="0" w:colLast="0"/>
      <w:bookmarkEnd w:id="16"/>
      <w:r>
        <w:rPr>
          <w:sz w:val="33"/>
          <w:szCs w:val="33"/>
        </w:rPr>
        <w:lastRenderedPageBreak/>
        <w:t>Conclusions</w:t>
      </w:r>
    </w:p>
    <w:p w14:paraId="42E9878E" w14:textId="77777777" w:rsidR="009448D0" w:rsidRDefault="00674922">
      <w:r>
        <w:t>In conclusion, the current investigation substantiates that end-stage renal disease patients undergoing regular hemodialysis in Diwaniyah Governorate endure profound metabol</w:t>
      </w:r>
      <w:r>
        <w:t>ic and electrolytic derangements, which are characterized primarily by severe uremia, hyperkalemia, and hyperphosphatemia alongside significant hypocalcemia. Because it was explicitly observed that routine dialysis sessions fail to completely restore norma</w:t>
      </w:r>
      <w:r>
        <w:t>l physiological equilibrium, the continuous and precise monitoring of these specific biochemical indices is rendered absolutely critical. Addressing these persistent imbalances requires a highly localized clinical approach; therefore, it is imperative that</w:t>
      </w:r>
      <w:r>
        <w:t xml:space="preserve"> "tailored dietary counseling and optimized dialysis prescriptions" are rigorously implemented. Ultimately, by establishing this regional baseline data, healthcare providers are better equipped to mitigate the high risks of cardiovascular and mineral bone </w:t>
      </w:r>
      <w:r>
        <w:t>complications within this specific Iraqi demographic, thereby improving overall patient survival and quality of life.</w:t>
      </w:r>
    </w:p>
    <w:p w14:paraId="14023665" w14:textId="77777777" w:rsidR="009448D0" w:rsidRDefault="00674922">
      <w:pPr>
        <w:pStyle w:val="Heading2"/>
        <w:keepNext w:val="0"/>
        <w:keepLines w:val="0"/>
        <w:widowControl w:val="0"/>
        <w:rPr>
          <w:sz w:val="34"/>
          <w:szCs w:val="34"/>
        </w:rPr>
      </w:pPr>
      <w:bookmarkStart w:id="17" w:name="_gvpv8i7xj27j" w:colFirst="0" w:colLast="0"/>
      <w:bookmarkEnd w:id="17"/>
      <w:r>
        <w:rPr>
          <w:sz w:val="33"/>
          <w:szCs w:val="33"/>
        </w:rPr>
        <w:t xml:space="preserve"> References</w:t>
      </w:r>
    </w:p>
    <w:p w14:paraId="33ED7212" w14:textId="77777777" w:rsidR="009448D0" w:rsidRDefault="00674922">
      <w:pPr>
        <w:ind w:left="630" w:hanging="540"/>
        <w:rPr>
          <w:color w:val="1F1F1F"/>
        </w:rPr>
      </w:pPr>
      <w:r>
        <w:rPr>
          <w:color w:val="1F1F1F"/>
        </w:rPr>
        <w:t xml:space="preserve">Abbasi, M.A., </w:t>
      </w:r>
      <w:proofErr w:type="spellStart"/>
      <w:r>
        <w:rPr>
          <w:color w:val="1F1F1F"/>
        </w:rPr>
        <w:t>Chertow</w:t>
      </w:r>
      <w:proofErr w:type="spellEnd"/>
      <w:r>
        <w:rPr>
          <w:color w:val="1F1F1F"/>
        </w:rPr>
        <w:t xml:space="preserve">, G.M. and Hall, Y.N. (2010). 'End-stage renal disease'. </w:t>
      </w:r>
      <w:r>
        <w:rPr>
          <w:i/>
          <w:iCs/>
          <w:color w:val="1F1F1F"/>
        </w:rPr>
        <w:t>BMJ Clinical Evidence</w:t>
      </w:r>
      <w:r>
        <w:rPr>
          <w:color w:val="1F1F1F"/>
        </w:rPr>
        <w:t xml:space="preserve">, 2010, p. 2036. Available </w:t>
      </w:r>
      <w:r>
        <w:rPr>
          <w:color w:val="1F1F1F"/>
        </w:rPr>
        <w:t>at:</w:t>
      </w:r>
      <w:hyperlink r:id="rId7">
        <w:r>
          <w:rPr>
            <w:color w:val="1F1F1F"/>
          </w:rPr>
          <w:t xml:space="preserve"> </w:t>
        </w:r>
      </w:hyperlink>
      <w:hyperlink r:id="rId8">
        <w:r>
          <w:rPr>
            <w:color w:val="1155CC"/>
            <w:u w:val="single"/>
          </w:rPr>
          <w:t>https://pubmed.ncbi.nlm.nih.gov/21418665</w:t>
        </w:r>
      </w:hyperlink>
      <w:r>
        <w:rPr>
          <w:color w:val="1F1F1F"/>
        </w:rPr>
        <w:t>.</w:t>
      </w:r>
    </w:p>
    <w:p w14:paraId="373DEAEA" w14:textId="77777777" w:rsidR="009448D0" w:rsidRDefault="00674922">
      <w:pPr>
        <w:ind w:left="630" w:hanging="540"/>
        <w:rPr>
          <w:color w:val="1F1F1F"/>
        </w:rPr>
      </w:pPr>
      <w:r>
        <w:rPr>
          <w:color w:val="1F1F1F"/>
        </w:rPr>
        <w:t xml:space="preserve">Abdullah, Z.M. and </w:t>
      </w:r>
      <w:proofErr w:type="spellStart"/>
      <w:r>
        <w:rPr>
          <w:color w:val="1F1F1F"/>
        </w:rPr>
        <w:t>Mohammadamin</w:t>
      </w:r>
      <w:proofErr w:type="spellEnd"/>
      <w:r>
        <w:rPr>
          <w:color w:val="1F1F1F"/>
        </w:rPr>
        <w:t>, K.Y. (2023). 'Evaluation of galectin-3 and other biochemi</w:t>
      </w:r>
      <w:r>
        <w:rPr>
          <w:color w:val="1F1F1F"/>
        </w:rPr>
        <w:t xml:space="preserve">cal parameters in chronic kidney disease patients on hemodialysis in Erbil city'. </w:t>
      </w:r>
      <w:r>
        <w:rPr>
          <w:i/>
          <w:iCs/>
          <w:color w:val="1F1F1F"/>
        </w:rPr>
        <w:t>Zanco Journal of Medical Sciences (ZJMS)</w:t>
      </w:r>
      <w:r>
        <w:rPr>
          <w:color w:val="1F1F1F"/>
        </w:rPr>
        <w:t>, 27(2), pp. 176-183. Available at:</w:t>
      </w:r>
      <w:hyperlink r:id="rId9">
        <w:r>
          <w:rPr>
            <w:color w:val="1F1F1F"/>
          </w:rPr>
          <w:t xml:space="preserve"> </w:t>
        </w:r>
      </w:hyperlink>
      <w:hyperlink r:id="rId10">
        <w:r>
          <w:rPr>
            <w:color w:val="1155CC"/>
            <w:u w:val="single"/>
          </w:rPr>
          <w:t>https://doi.org/10.15218/zjms.2023.020</w:t>
        </w:r>
      </w:hyperlink>
      <w:r>
        <w:rPr>
          <w:color w:val="1F1F1F"/>
        </w:rPr>
        <w:t>.</w:t>
      </w:r>
    </w:p>
    <w:p w14:paraId="5D69ECB2" w14:textId="77777777" w:rsidR="009448D0" w:rsidRDefault="00674922">
      <w:pPr>
        <w:ind w:left="630" w:hanging="540"/>
        <w:rPr>
          <w:color w:val="1F1F1F"/>
        </w:rPr>
      </w:pPr>
      <w:r>
        <w:rPr>
          <w:color w:val="1F1F1F"/>
        </w:rPr>
        <w:t xml:space="preserve">AL-Ani, H.T. and Al-Lami, M.Q. (2024). 'Evaluation of some Biochemical and Hematological Parameters in Patients with Chronic Kidney Disease'. </w:t>
      </w:r>
      <w:r>
        <w:rPr>
          <w:i/>
          <w:iCs/>
          <w:color w:val="1F1F1F"/>
        </w:rPr>
        <w:t>Journal of the Fac</w:t>
      </w:r>
      <w:r>
        <w:rPr>
          <w:i/>
          <w:iCs/>
          <w:color w:val="1F1F1F"/>
        </w:rPr>
        <w:t>ulty of Medicine Baghdad</w:t>
      </w:r>
      <w:r>
        <w:rPr>
          <w:color w:val="1F1F1F"/>
        </w:rPr>
        <w:t>, [Online]. Available at:</w:t>
      </w:r>
      <w:hyperlink r:id="rId11">
        <w:r>
          <w:rPr>
            <w:color w:val="1F1F1F"/>
          </w:rPr>
          <w:t xml:space="preserve"> </w:t>
        </w:r>
      </w:hyperlink>
      <w:hyperlink r:id="rId12">
        <w:r>
          <w:rPr>
            <w:color w:val="1155CC"/>
            <w:u w:val="single"/>
          </w:rPr>
          <w:t>https://doi.org/10.32007/jfacmedbagdad.2269</w:t>
        </w:r>
      </w:hyperlink>
      <w:r>
        <w:rPr>
          <w:color w:val="1F1F1F"/>
        </w:rPr>
        <w:t>.</w:t>
      </w:r>
    </w:p>
    <w:p w14:paraId="43AA52C3" w14:textId="77777777" w:rsidR="009448D0" w:rsidRDefault="00674922">
      <w:pPr>
        <w:ind w:left="630" w:hanging="540"/>
        <w:rPr>
          <w:color w:val="1F1F1F"/>
        </w:rPr>
      </w:pPr>
      <w:r>
        <w:rPr>
          <w:color w:val="1F1F1F"/>
        </w:rPr>
        <w:t>Badve, S.V., Paul, S.K., Klein, K.,</w:t>
      </w:r>
      <w:r>
        <w:rPr>
          <w:color w:val="1F1F1F"/>
        </w:rPr>
        <w:t xml:space="preserve"> Clayton, P.A., Hawley, C.M., Brown, F.G., Johnson, D.W. and Perkovic, V. (2014). 'The association between body mass index and mortality in incident dialysis patients'. </w:t>
      </w:r>
      <w:proofErr w:type="spellStart"/>
      <w:r>
        <w:rPr>
          <w:i/>
          <w:iCs/>
          <w:color w:val="1F1F1F"/>
        </w:rPr>
        <w:t>PLoS</w:t>
      </w:r>
      <w:proofErr w:type="spellEnd"/>
      <w:r>
        <w:rPr>
          <w:i/>
          <w:iCs/>
          <w:color w:val="1F1F1F"/>
        </w:rPr>
        <w:t xml:space="preserve"> One</w:t>
      </w:r>
      <w:r>
        <w:rPr>
          <w:color w:val="1F1F1F"/>
        </w:rPr>
        <w:t>, 9(12), p.e114897. Available at:</w:t>
      </w:r>
      <w:hyperlink r:id="rId13">
        <w:r>
          <w:rPr>
            <w:color w:val="1F1F1F"/>
          </w:rPr>
          <w:t xml:space="preserve"> </w:t>
        </w:r>
      </w:hyperlink>
      <w:hyperlink r:id="rId14">
        <w:r>
          <w:rPr>
            <w:color w:val="1155CC"/>
            <w:u w:val="single"/>
          </w:rPr>
          <w:t>https://doi.org/10.1371/journal.pone.0114897</w:t>
        </w:r>
      </w:hyperlink>
      <w:r>
        <w:rPr>
          <w:color w:val="1F1F1F"/>
        </w:rPr>
        <w:t>.</w:t>
      </w:r>
    </w:p>
    <w:p w14:paraId="7835E478" w14:textId="77777777" w:rsidR="009448D0" w:rsidRDefault="00674922">
      <w:pPr>
        <w:ind w:left="630" w:hanging="540"/>
        <w:rPr>
          <w:color w:val="1F1F1F"/>
        </w:rPr>
      </w:pPr>
      <w:r>
        <w:rPr>
          <w:color w:val="1F1F1F"/>
        </w:rPr>
        <w:t>Bikbov, B., Purcell, C.A., Levey, A.S. et al. (2020). 'Global, regional, and national burden of chronic kidney disease, 1990–20</w:t>
      </w:r>
      <w:r>
        <w:rPr>
          <w:color w:val="1F1F1F"/>
        </w:rPr>
        <w:t xml:space="preserve">17: a systematic analysis for the Global Burden of Disease Study 2017'. </w:t>
      </w:r>
      <w:r>
        <w:rPr>
          <w:i/>
          <w:iCs/>
          <w:color w:val="1F1F1F"/>
        </w:rPr>
        <w:t>The Lancet</w:t>
      </w:r>
      <w:r>
        <w:rPr>
          <w:color w:val="1F1F1F"/>
        </w:rPr>
        <w:t>, 395(10225), pp. 709-733. Available at:</w:t>
      </w:r>
      <w:hyperlink r:id="rId15">
        <w:r>
          <w:rPr>
            <w:color w:val="1F1F1F"/>
          </w:rPr>
          <w:t xml:space="preserve"> </w:t>
        </w:r>
      </w:hyperlink>
      <w:hyperlink r:id="rId16">
        <w:r>
          <w:rPr>
            <w:color w:val="1155CC"/>
            <w:u w:val="single"/>
          </w:rPr>
          <w:t>https://www.thelancet.com/journals/lancet/article/PIIS0140-6736(20)30045-3/fulltext</w:t>
        </w:r>
      </w:hyperlink>
      <w:r>
        <w:rPr>
          <w:color w:val="1F1F1F"/>
        </w:rPr>
        <w:t>.</w:t>
      </w:r>
    </w:p>
    <w:p w14:paraId="468AC36F" w14:textId="77777777" w:rsidR="009448D0" w:rsidRDefault="00674922">
      <w:pPr>
        <w:ind w:left="630" w:hanging="540"/>
        <w:rPr>
          <w:color w:val="1F1F1F"/>
        </w:rPr>
      </w:pPr>
      <w:r>
        <w:rPr>
          <w:color w:val="1F1F1F"/>
        </w:rPr>
        <w:lastRenderedPageBreak/>
        <w:t xml:space="preserve">Çelik, G., </w:t>
      </w:r>
      <w:proofErr w:type="spellStart"/>
      <w:r>
        <w:rPr>
          <w:color w:val="1F1F1F"/>
        </w:rPr>
        <w:t>Oc</w:t>
      </w:r>
      <w:proofErr w:type="spellEnd"/>
      <w:r>
        <w:rPr>
          <w:color w:val="1F1F1F"/>
        </w:rPr>
        <w:t xml:space="preserve">, B., Kara, I., Yılmaz, M., </w:t>
      </w:r>
      <w:proofErr w:type="spellStart"/>
      <w:r>
        <w:rPr>
          <w:color w:val="1F1F1F"/>
        </w:rPr>
        <w:t>Yuceaktas</w:t>
      </w:r>
      <w:proofErr w:type="spellEnd"/>
      <w:r>
        <w:rPr>
          <w:color w:val="1F1F1F"/>
        </w:rPr>
        <w:t xml:space="preserve">, A. and </w:t>
      </w:r>
      <w:proofErr w:type="spellStart"/>
      <w:r>
        <w:rPr>
          <w:color w:val="1F1F1F"/>
        </w:rPr>
        <w:t>Apiliogullari</w:t>
      </w:r>
      <w:proofErr w:type="spellEnd"/>
      <w:r>
        <w:rPr>
          <w:color w:val="1F1F1F"/>
        </w:rPr>
        <w:t>, S. (2011). 'Comparison o</w:t>
      </w:r>
      <w:r>
        <w:rPr>
          <w:color w:val="1F1F1F"/>
        </w:rPr>
        <w:t xml:space="preserve">f nutritional parameters among adult and elderly hemodialysis patients'. </w:t>
      </w:r>
      <w:r>
        <w:rPr>
          <w:i/>
          <w:iCs/>
          <w:color w:val="1F1F1F"/>
        </w:rPr>
        <w:t>International Journal of Medical Sciences</w:t>
      </w:r>
      <w:r>
        <w:rPr>
          <w:color w:val="1F1F1F"/>
        </w:rPr>
        <w:t>, 8(7), pp. 628-634. Available at:</w:t>
      </w:r>
      <w:hyperlink r:id="rId17">
        <w:r>
          <w:rPr>
            <w:color w:val="1F1F1F"/>
          </w:rPr>
          <w:t xml:space="preserve"> </w:t>
        </w:r>
      </w:hyperlink>
      <w:hyperlink r:id="rId18">
        <w:r>
          <w:rPr>
            <w:color w:val="1155CC"/>
            <w:u w:val="single"/>
          </w:rPr>
          <w:t>https://doi.org/10.7150/ijms.8.628</w:t>
        </w:r>
      </w:hyperlink>
      <w:r>
        <w:rPr>
          <w:color w:val="1F1F1F"/>
        </w:rPr>
        <w:t>.</w:t>
      </w:r>
    </w:p>
    <w:p w14:paraId="54784C45" w14:textId="77777777" w:rsidR="009448D0" w:rsidRDefault="00674922">
      <w:pPr>
        <w:ind w:left="630" w:hanging="540"/>
        <w:rPr>
          <w:color w:val="1F1F1F"/>
        </w:rPr>
      </w:pPr>
      <w:r>
        <w:rPr>
          <w:color w:val="1F1F1F"/>
        </w:rPr>
        <w:t xml:space="preserve">Cozzolino, M., Mangano, M., Stucchi, A., </w:t>
      </w:r>
      <w:proofErr w:type="spellStart"/>
      <w:r>
        <w:rPr>
          <w:color w:val="1F1F1F"/>
        </w:rPr>
        <w:t>Ciceri</w:t>
      </w:r>
      <w:proofErr w:type="spellEnd"/>
      <w:r>
        <w:rPr>
          <w:color w:val="1F1F1F"/>
        </w:rPr>
        <w:t xml:space="preserve">, P., Conte, F. and Galassi, A. (2018). 'Cardiovascular disease in dialysis patients'. </w:t>
      </w:r>
      <w:r>
        <w:rPr>
          <w:i/>
          <w:iCs/>
          <w:color w:val="1F1F1F"/>
        </w:rPr>
        <w:t>Nephrology Dialysis Transplantation</w:t>
      </w:r>
      <w:r>
        <w:rPr>
          <w:color w:val="1F1F1F"/>
        </w:rPr>
        <w:t>, 33(suppl_3), pp. iii28–iii34. Available at:</w:t>
      </w:r>
      <w:hyperlink r:id="rId19">
        <w:r>
          <w:rPr>
            <w:color w:val="1F1F1F"/>
          </w:rPr>
          <w:t xml:space="preserve"> </w:t>
        </w:r>
      </w:hyperlink>
      <w:hyperlink r:id="rId20">
        <w:r>
          <w:rPr>
            <w:color w:val="1155CC"/>
            <w:u w:val="single"/>
          </w:rPr>
          <w:t>https://doi.org/10.1093/ndt/gfy174</w:t>
        </w:r>
      </w:hyperlink>
      <w:r>
        <w:rPr>
          <w:color w:val="1F1F1F"/>
        </w:rPr>
        <w:t>.</w:t>
      </w:r>
    </w:p>
    <w:p w14:paraId="2612CFD4" w14:textId="77777777" w:rsidR="009448D0" w:rsidRDefault="00674922">
      <w:pPr>
        <w:ind w:left="630" w:hanging="540"/>
        <w:rPr>
          <w:color w:val="1F1F1F"/>
        </w:rPr>
      </w:pPr>
      <w:r>
        <w:rPr>
          <w:color w:val="1F1F1F"/>
        </w:rPr>
        <w:t>Gupta, K. and Mahajan, R. (2011). 'Coronary risk factors in maintenance hemodialysis patients: Who is the culprit–he</w:t>
      </w:r>
      <w:r>
        <w:rPr>
          <w:color w:val="1F1F1F"/>
        </w:rPr>
        <w:t xml:space="preserve">modialysis or chronic renal failure?'. </w:t>
      </w:r>
      <w:r>
        <w:rPr>
          <w:i/>
          <w:iCs/>
          <w:color w:val="1F1F1F"/>
        </w:rPr>
        <w:t>International Journal of Applied and Basic Medical Research</w:t>
      </w:r>
      <w:r>
        <w:rPr>
          <w:color w:val="1F1F1F"/>
        </w:rPr>
        <w:t>, 1(1), pp. 11-15. Available at:</w:t>
      </w:r>
      <w:hyperlink r:id="rId21">
        <w:r>
          <w:rPr>
            <w:color w:val="1F1F1F"/>
          </w:rPr>
          <w:t xml:space="preserve"> </w:t>
        </w:r>
      </w:hyperlink>
      <w:hyperlink r:id="rId22">
        <w:r>
          <w:rPr>
            <w:color w:val="1155CC"/>
            <w:u w:val="single"/>
          </w:rPr>
          <w:t>https:/</w:t>
        </w:r>
        <w:r>
          <w:rPr>
            <w:color w:val="1155CC"/>
            <w:u w:val="single"/>
          </w:rPr>
          <w:t>/doi.org/10.4103/2229-516X.81973</w:t>
        </w:r>
      </w:hyperlink>
      <w:r>
        <w:rPr>
          <w:color w:val="1F1F1F"/>
        </w:rPr>
        <w:t>.</w:t>
      </w:r>
    </w:p>
    <w:p w14:paraId="3ABBCCE9" w14:textId="77777777" w:rsidR="009448D0" w:rsidRDefault="00674922">
      <w:pPr>
        <w:ind w:left="630" w:hanging="540"/>
        <w:rPr>
          <w:color w:val="1F1F1F"/>
        </w:rPr>
      </w:pPr>
      <w:r>
        <w:rPr>
          <w:color w:val="1F1F1F"/>
        </w:rPr>
        <w:t xml:space="preserve">Hill, N.R., </w:t>
      </w:r>
      <w:proofErr w:type="spellStart"/>
      <w:r>
        <w:rPr>
          <w:color w:val="1F1F1F"/>
        </w:rPr>
        <w:t>Fatoba</w:t>
      </w:r>
      <w:proofErr w:type="spellEnd"/>
      <w:r>
        <w:rPr>
          <w:color w:val="1F1F1F"/>
        </w:rPr>
        <w:t xml:space="preserve">, S.T., </w:t>
      </w:r>
      <w:proofErr w:type="spellStart"/>
      <w:r>
        <w:rPr>
          <w:color w:val="1F1F1F"/>
        </w:rPr>
        <w:t>Oke</w:t>
      </w:r>
      <w:proofErr w:type="spellEnd"/>
      <w:r>
        <w:rPr>
          <w:color w:val="1F1F1F"/>
        </w:rPr>
        <w:t xml:space="preserve">, J.L., Hirst, J.A., O’Callaghan, C.A., </w:t>
      </w:r>
      <w:proofErr w:type="spellStart"/>
      <w:r>
        <w:rPr>
          <w:color w:val="1F1F1F"/>
        </w:rPr>
        <w:t>Lasserson</w:t>
      </w:r>
      <w:proofErr w:type="spellEnd"/>
      <w:r>
        <w:rPr>
          <w:color w:val="1F1F1F"/>
        </w:rPr>
        <w:t xml:space="preserve">, D.S. and Hobbs, F.D.R. (2016). 'Global prevalence of chronic kidney disease–a systematic review and meta-analysis'. </w:t>
      </w:r>
      <w:proofErr w:type="spellStart"/>
      <w:r>
        <w:rPr>
          <w:i/>
          <w:iCs/>
          <w:color w:val="1F1F1F"/>
        </w:rPr>
        <w:t>PloS</w:t>
      </w:r>
      <w:proofErr w:type="spellEnd"/>
      <w:r>
        <w:rPr>
          <w:i/>
          <w:iCs/>
          <w:color w:val="1F1F1F"/>
        </w:rPr>
        <w:t xml:space="preserve"> one</w:t>
      </w:r>
      <w:r>
        <w:rPr>
          <w:color w:val="1F1F1F"/>
        </w:rPr>
        <w:t xml:space="preserve">, 11(7), </w:t>
      </w:r>
      <w:r>
        <w:rPr>
          <w:color w:val="1F1F1F"/>
        </w:rPr>
        <w:t>p.e0158765. Available at:</w:t>
      </w:r>
      <w:hyperlink r:id="rId23">
        <w:r>
          <w:rPr>
            <w:color w:val="1F1F1F"/>
          </w:rPr>
          <w:t xml:space="preserve"> </w:t>
        </w:r>
      </w:hyperlink>
      <w:hyperlink r:id="rId24">
        <w:r>
          <w:rPr>
            <w:color w:val="1155CC"/>
            <w:u w:val="single"/>
          </w:rPr>
          <w:t>https://journals.plos.org/plosone/article?id</w:t>
        </w:r>
        <w:r>
          <w:rPr>
            <w:color w:val="1155CC"/>
            <w:u w:val="single"/>
          </w:rPr>
          <w:t>=10.1371/journal.pone.0158765</w:t>
        </w:r>
      </w:hyperlink>
      <w:r>
        <w:rPr>
          <w:color w:val="1F1F1F"/>
        </w:rPr>
        <w:t>.</w:t>
      </w:r>
    </w:p>
    <w:p w14:paraId="51B0D8C4" w14:textId="77777777" w:rsidR="009448D0" w:rsidRDefault="00674922">
      <w:pPr>
        <w:ind w:left="630" w:hanging="540"/>
        <w:rPr>
          <w:color w:val="1F1F1F"/>
        </w:rPr>
      </w:pPr>
      <w:r>
        <w:rPr>
          <w:color w:val="1F1F1F"/>
        </w:rPr>
        <w:t xml:space="preserve">Kalantar-Zadeh, K., Jafar, T.H., Nitsch, D., </w:t>
      </w:r>
      <w:proofErr w:type="spellStart"/>
      <w:r>
        <w:rPr>
          <w:color w:val="1F1F1F"/>
        </w:rPr>
        <w:t>Neuen</w:t>
      </w:r>
      <w:proofErr w:type="spellEnd"/>
      <w:r>
        <w:rPr>
          <w:color w:val="1F1F1F"/>
        </w:rPr>
        <w:t xml:space="preserve">, B.L. and </w:t>
      </w:r>
      <w:proofErr w:type="spellStart"/>
      <w:r>
        <w:rPr>
          <w:color w:val="1F1F1F"/>
        </w:rPr>
        <w:t>Perkovic</w:t>
      </w:r>
      <w:proofErr w:type="spellEnd"/>
      <w:r>
        <w:rPr>
          <w:color w:val="1F1F1F"/>
        </w:rPr>
        <w:t xml:space="preserve">, V. (2021). 'Chronic kidney disease'. </w:t>
      </w:r>
      <w:r>
        <w:rPr>
          <w:i/>
          <w:iCs/>
          <w:color w:val="1F1F1F"/>
        </w:rPr>
        <w:t>The Lancet</w:t>
      </w:r>
      <w:r>
        <w:rPr>
          <w:color w:val="1F1F1F"/>
        </w:rPr>
        <w:t>, 398(10302), pp. 786-802. Available at:</w:t>
      </w:r>
      <w:hyperlink r:id="rId25">
        <w:r>
          <w:rPr>
            <w:color w:val="1F1F1F"/>
          </w:rPr>
          <w:t xml:space="preserve"> </w:t>
        </w:r>
      </w:hyperlink>
      <w:hyperlink r:id="rId26">
        <w:r>
          <w:rPr>
            <w:color w:val="1155CC"/>
            <w:u w:val="single"/>
          </w:rPr>
          <w:t>https://www.thelancet.com/journals/lancet/article/PIIS0140-6736(21)00519-5/fulltext</w:t>
        </w:r>
      </w:hyperlink>
      <w:r>
        <w:rPr>
          <w:color w:val="1F1F1F"/>
        </w:rPr>
        <w:t>.</w:t>
      </w:r>
    </w:p>
    <w:p w14:paraId="0878B40B" w14:textId="77777777" w:rsidR="009448D0" w:rsidRDefault="00674922">
      <w:pPr>
        <w:ind w:left="630" w:hanging="540"/>
        <w:rPr>
          <w:color w:val="1F1F1F"/>
        </w:rPr>
      </w:pPr>
      <w:r>
        <w:rPr>
          <w:color w:val="1F1F1F"/>
        </w:rPr>
        <w:t xml:space="preserve">Pandya, D., </w:t>
      </w:r>
      <w:proofErr w:type="spellStart"/>
      <w:r>
        <w:rPr>
          <w:color w:val="1F1F1F"/>
        </w:rPr>
        <w:t>Nagrajappa</w:t>
      </w:r>
      <w:proofErr w:type="spellEnd"/>
      <w:r>
        <w:rPr>
          <w:color w:val="1F1F1F"/>
        </w:rPr>
        <w:t>, A.K. an</w:t>
      </w:r>
      <w:r>
        <w:rPr>
          <w:color w:val="1F1F1F"/>
        </w:rPr>
        <w:t xml:space="preserve">d Ravi, K.S. (2016). 'Assessment and correlation of urea and creatinine levels in saliva and serum of patients with chronic kidney disease, diabetes and hypertension–a research study'. </w:t>
      </w:r>
      <w:r>
        <w:rPr>
          <w:i/>
          <w:iCs/>
          <w:color w:val="1F1F1F"/>
        </w:rPr>
        <w:t>Journal of Clinical and Diagnostic Research (JCDR)</w:t>
      </w:r>
      <w:r>
        <w:rPr>
          <w:color w:val="1F1F1F"/>
        </w:rPr>
        <w:t>, 10(10), pp. ZC58-ZC</w:t>
      </w:r>
      <w:r>
        <w:rPr>
          <w:color w:val="1F1F1F"/>
        </w:rPr>
        <w:t>62. Available at:</w:t>
      </w:r>
      <w:hyperlink r:id="rId27">
        <w:r>
          <w:rPr>
            <w:color w:val="1F1F1F"/>
          </w:rPr>
          <w:t xml:space="preserve"> </w:t>
        </w:r>
      </w:hyperlink>
      <w:hyperlink r:id="rId28">
        <w:r>
          <w:rPr>
            <w:color w:val="1155CC"/>
            <w:u w:val="single"/>
          </w:rPr>
          <w:t>https://doi.org/10.7860/JCDR/2016/20294.8651</w:t>
        </w:r>
      </w:hyperlink>
      <w:r>
        <w:rPr>
          <w:color w:val="1F1F1F"/>
        </w:rPr>
        <w:t>.</w:t>
      </w:r>
    </w:p>
    <w:p w14:paraId="199FBF7F" w14:textId="77777777" w:rsidR="009448D0" w:rsidRDefault="00674922">
      <w:pPr>
        <w:ind w:left="630" w:hanging="540"/>
        <w:rPr>
          <w:color w:val="1F1F1F"/>
        </w:rPr>
      </w:pPr>
      <w:r>
        <w:rPr>
          <w:color w:val="1F1F1F"/>
        </w:rPr>
        <w:t>Sultan, S., Nasir, K., Qureshi, R., Dhrolia, M. and Ahmad, A. (2</w:t>
      </w:r>
      <w:r>
        <w:rPr>
          <w:color w:val="1F1F1F"/>
        </w:rPr>
        <w:t xml:space="preserve">021). 'Assessment of the nutritional status of the hemodialysis patients by anthropometric measurements'. </w:t>
      </w:r>
      <w:r>
        <w:rPr>
          <w:i/>
          <w:iCs/>
          <w:color w:val="1F1F1F"/>
        </w:rPr>
        <w:t>Cureus</w:t>
      </w:r>
      <w:r>
        <w:rPr>
          <w:color w:val="1F1F1F"/>
        </w:rPr>
        <w:t>, 13(10), p.e18605. Available at:</w:t>
      </w:r>
      <w:hyperlink r:id="rId29">
        <w:r>
          <w:rPr>
            <w:color w:val="1F1F1F"/>
          </w:rPr>
          <w:t xml:space="preserve"> </w:t>
        </w:r>
      </w:hyperlink>
      <w:hyperlink r:id="rId30">
        <w:r>
          <w:rPr>
            <w:color w:val="1155CC"/>
            <w:u w:val="single"/>
          </w:rPr>
          <w:t>https://doi.org/10.7759/cureus.18605</w:t>
        </w:r>
      </w:hyperlink>
      <w:r>
        <w:rPr>
          <w:color w:val="1F1F1F"/>
        </w:rPr>
        <w:t>.</w:t>
      </w:r>
    </w:p>
    <w:p w14:paraId="20823924" w14:textId="77777777" w:rsidR="009448D0" w:rsidRDefault="00674922">
      <w:pPr>
        <w:ind w:left="630" w:hanging="540"/>
        <w:rPr>
          <w:color w:val="1F1F1F"/>
        </w:rPr>
      </w:pPr>
      <w:proofErr w:type="spellStart"/>
      <w:r>
        <w:rPr>
          <w:color w:val="1F1F1F"/>
        </w:rPr>
        <w:t>Vadakedath</w:t>
      </w:r>
      <w:proofErr w:type="spellEnd"/>
      <w:r>
        <w:rPr>
          <w:color w:val="1F1F1F"/>
        </w:rPr>
        <w:t xml:space="preserve">, S. and Kandi, V. (2017). 'Dialysis: A Review of the Mechanisms Underlying Complications in the Management of Chronic Renal Failure'. </w:t>
      </w:r>
      <w:r>
        <w:rPr>
          <w:i/>
          <w:iCs/>
          <w:color w:val="1F1F1F"/>
        </w:rPr>
        <w:t>Cureus</w:t>
      </w:r>
      <w:r>
        <w:rPr>
          <w:color w:val="1F1F1F"/>
        </w:rPr>
        <w:t>, 9(8), p.e1603. Available at:</w:t>
      </w:r>
      <w:hyperlink r:id="rId31">
        <w:r>
          <w:rPr>
            <w:color w:val="1F1F1F"/>
          </w:rPr>
          <w:t xml:space="preserve"> </w:t>
        </w:r>
      </w:hyperlink>
      <w:hyperlink r:id="rId32">
        <w:r>
          <w:rPr>
            <w:color w:val="1155CC"/>
            <w:u w:val="single"/>
          </w:rPr>
          <w:t>https://doi.org/10.7759/cureus.1603</w:t>
        </w:r>
      </w:hyperlink>
      <w:r>
        <w:rPr>
          <w:color w:val="1F1F1F"/>
        </w:rPr>
        <w:t>.</w:t>
      </w:r>
    </w:p>
    <w:p w14:paraId="3ED6D0ED" w14:textId="77777777" w:rsidR="009448D0" w:rsidRDefault="009448D0">
      <w:pPr>
        <w:ind w:left="720" w:hanging="630"/>
      </w:pPr>
    </w:p>
    <w:sectPr w:rsidR="009448D0">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49099" w14:textId="77777777" w:rsidR="00674922" w:rsidRDefault="00674922" w:rsidP="00AE1012">
      <w:pPr>
        <w:spacing w:before="0" w:after="0" w:line="240" w:lineRule="auto"/>
      </w:pPr>
      <w:r>
        <w:separator/>
      </w:r>
    </w:p>
  </w:endnote>
  <w:endnote w:type="continuationSeparator" w:id="0">
    <w:p w14:paraId="35703FBF" w14:textId="77777777" w:rsidR="00674922" w:rsidRDefault="00674922" w:rsidP="00AE10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fontKey="{E974C203-36A0-4F6B-BF05-93C2C0D1ED89}"/>
  </w:font>
  <w:font w:name="Calibri">
    <w:panose1 w:val="020F0502020204030204"/>
    <w:charset w:val="00"/>
    <w:family w:val="swiss"/>
    <w:pitch w:val="variable"/>
    <w:sig w:usb0="E4002EFF" w:usb1="C000247B" w:usb2="00000009" w:usb3="00000000" w:csb0="000001FF" w:csb1="00000000"/>
    <w:embedRegular r:id="rId2" w:fontKey="{BE4A331C-6050-41BE-9157-02E5BCC46BC3}"/>
  </w:font>
  <w:font w:name="Cambria">
    <w:panose1 w:val="02040503050406030204"/>
    <w:charset w:val="00"/>
    <w:family w:val="roman"/>
    <w:pitch w:val="variable"/>
    <w:sig w:usb0="E00006FF" w:usb1="420024FF" w:usb2="02000000" w:usb3="00000000" w:csb0="0000019F" w:csb1="00000000"/>
    <w:embedRegular r:id="rId3" w:fontKey="{6DC91ED1-2849-450E-9E50-18801DECE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F15C8" w14:textId="77777777" w:rsidR="00AE1012" w:rsidRDefault="00AE10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D38F" w14:textId="77777777" w:rsidR="00AE1012" w:rsidRDefault="00AE10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DA1B" w14:textId="77777777" w:rsidR="00AE1012" w:rsidRDefault="00AE1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E121E" w14:textId="77777777" w:rsidR="00674922" w:rsidRDefault="00674922" w:rsidP="00AE1012">
      <w:pPr>
        <w:spacing w:before="0" w:after="0" w:line="240" w:lineRule="auto"/>
      </w:pPr>
      <w:r>
        <w:separator/>
      </w:r>
    </w:p>
  </w:footnote>
  <w:footnote w:type="continuationSeparator" w:id="0">
    <w:p w14:paraId="2BC3418D" w14:textId="77777777" w:rsidR="00674922" w:rsidRDefault="00674922" w:rsidP="00AE101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025D" w14:textId="35A428D1" w:rsidR="00AE1012" w:rsidRDefault="00AE1012">
    <w:pPr>
      <w:pStyle w:val="Header"/>
    </w:pPr>
    <w:r>
      <w:rPr>
        <w:noProof/>
      </w:rPr>
      <w:pict w14:anchorId="55A4F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339594"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41C46" w14:textId="7E4600AA" w:rsidR="00AE1012" w:rsidRDefault="00AE1012">
    <w:pPr>
      <w:pStyle w:val="Header"/>
    </w:pPr>
    <w:r>
      <w:rPr>
        <w:noProof/>
      </w:rPr>
      <w:pict w14:anchorId="5B12E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339595"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27A0" w14:textId="1D4234A0" w:rsidR="00AE1012" w:rsidRDefault="00AE1012">
    <w:pPr>
      <w:pStyle w:val="Header"/>
    </w:pPr>
    <w:r>
      <w:rPr>
        <w:noProof/>
      </w:rPr>
      <w:pict w14:anchorId="08E03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339593"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6715"/>
    <w:multiLevelType w:val="multilevel"/>
    <w:tmpl w:val="B66AB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8D0"/>
    <w:rsid w:val="00355CA9"/>
    <w:rsid w:val="00430FF2"/>
    <w:rsid w:val="00674922"/>
    <w:rsid w:val="008E4450"/>
    <w:rsid w:val="009448D0"/>
    <w:rsid w:val="00AE1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6C1D3B"/>
  <w15:docId w15:val="{CB0DB0E2-EE43-40AC-A518-79D2EA45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GB"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49" w:lineRule="auto"/>
      <w:ind w:firstLine="0"/>
      <w:outlineLvl w:val="0"/>
    </w:pPr>
    <w:rPr>
      <w:b/>
      <w:bCs/>
      <w:sz w:val="28"/>
      <w:szCs w:val="28"/>
    </w:rPr>
  </w:style>
  <w:style w:type="paragraph" w:styleId="Heading2">
    <w:name w:val="heading 2"/>
    <w:basedOn w:val="Normal"/>
    <w:next w:val="Normal"/>
    <w:uiPriority w:val="9"/>
    <w:unhideWhenUsed/>
    <w:qFormat/>
    <w:pPr>
      <w:keepNext/>
      <w:keepLines/>
      <w:spacing w:before="480" w:line="349" w:lineRule="auto"/>
      <w:ind w:firstLine="0"/>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0"/>
      <w:ind w:firstLine="0"/>
      <w:jc w:val="center"/>
    </w:pPr>
    <w:rPr>
      <w:b/>
      <w:bC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430FF2"/>
    <w:rPr>
      <w:color w:val="0000FF" w:themeColor="hyperlink"/>
      <w:u w:val="single"/>
    </w:rPr>
  </w:style>
  <w:style w:type="character" w:styleId="UnresolvedMention">
    <w:name w:val="Unresolved Mention"/>
    <w:basedOn w:val="DefaultParagraphFont"/>
    <w:uiPriority w:val="99"/>
    <w:semiHidden/>
    <w:unhideWhenUsed/>
    <w:rsid w:val="00430FF2"/>
    <w:rPr>
      <w:color w:val="605E5C"/>
      <w:shd w:val="clear" w:color="auto" w:fill="E1DFDD"/>
    </w:rPr>
  </w:style>
  <w:style w:type="paragraph" w:styleId="Header">
    <w:name w:val="header"/>
    <w:basedOn w:val="Normal"/>
    <w:link w:val="HeaderChar"/>
    <w:uiPriority w:val="99"/>
    <w:unhideWhenUsed/>
    <w:rsid w:val="00AE101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E1012"/>
    <w:rPr>
      <w:shd w:val="clear" w:color="auto" w:fill="FFFFFF"/>
    </w:rPr>
  </w:style>
  <w:style w:type="paragraph" w:styleId="Footer">
    <w:name w:val="footer"/>
    <w:basedOn w:val="Normal"/>
    <w:link w:val="FooterChar"/>
    <w:uiPriority w:val="99"/>
    <w:unhideWhenUsed/>
    <w:rsid w:val="00AE101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E1012"/>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371/journal.pone.0114897" TargetMode="External"/><Relationship Id="rId18" Type="http://schemas.openxmlformats.org/officeDocument/2006/relationships/hyperlink" Target="https://doi.org/10.7150/ijms.8.628" TargetMode="External"/><Relationship Id="rId26" Type="http://schemas.openxmlformats.org/officeDocument/2006/relationships/hyperlink" Target="https://www.thelancet.com/journals/lancet/article/PIIS0140-6736(21)00519-5/fulltext" TargetMode="External"/><Relationship Id="rId39" Type="http://schemas.openxmlformats.org/officeDocument/2006/relationships/fontTable" Target="fontTable.xml"/><Relationship Id="rId21" Type="http://schemas.openxmlformats.org/officeDocument/2006/relationships/hyperlink" Target="https://doi.org/10.4103/2229-516X.81973" TargetMode="External"/><Relationship Id="rId34" Type="http://schemas.openxmlformats.org/officeDocument/2006/relationships/header" Target="header2.xml"/><Relationship Id="rId7" Type="http://schemas.openxmlformats.org/officeDocument/2006/relationships/hyperlink" Target="https://pubmed.ncbi.nlm.nih.gov/21418665" TargetMode="External"/><Relationship Id="rId12" Type="http://schemas.openxmlformats.org/officeDocument/2006/relationships/hyperlink" Target="https://doi.org/10.32007/jfacmedbagdad.2269" TargetMode="External"/><Relationship Id="rId17" Type="http://schemas.openxmlformats.org/officeDocument/2006/relationships/hyperlink" Target="https://doi.org/10.7150/ijms.8.628" TargetMode="External"/><Relationship Id="rId25" Type="http://schemas.openxmlformats.org/officeDocument/2006/relationships/hyperlink" Target="https://www.thelancet.com/journals/lancet/article/PIIS0140-6736(21)00519-5/fulltext"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thelancet.com/journals/lancet/article/PIIS0140-6736(20)30045-3/fulltext" TargetMode="External"/><Relationship Id="rId20" Type="http://schemas.openxmlformats.org/officeDocument/2006/relationships/hyperlink" Target="https://doi.org/10.1093/ndt/gfy174" TargetMode="External"/><Relationship Id="rId29" Type="http://schemas.openxmlformats.org/officeDocument/2006/relationships/hyperlink" Target="https://doi.org/10.7759/cureus.186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2007/jfacmedbagdad.2269" TargetMode="External"/><Relationship Id="rId24" Type="http://schemas.openxmlformats.org/officeDocument/2006/relationships/hyperlink" Target="https://journals.plos.org/plosone/article?id=10.1371/journal.pone.0158765" TargetMode="External"/><Relationship Id="rId32" Type="http://schemas.openxmlformats.org/officeDocument/2006/relationships/hyperlink" Target="https://doi.org/10.7759/cureus.1603"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elancet.com/journals/lancet/article/PIIS0140-6736(20)30045-3/fulltext" TargetMode="External"/><Relationship Id="rId23" Type="http://schemas.openxmlformats.org/officeDocument/2006/relationships/hyperlink" Target="https://journals.plos.org/plosone/article?id=10.1371/journal.pone.0158765" TargetMode="External"/><Relationship Id="rId28" Type="http://schemas.openxmlformats.org/officeDocument/2006/relationships/hyperlink" Target="https://doi.org/10.7860/JCDR/2016/20294.8651" TargetMode="External"/><Relationship Id="rId36" Type="http://schemas.openxmlformats.org/officeDocument/2006/relationships/footer" Target="footer2.xml"/><Relationship Id="rId10" Type="http://schemas.openxmlformats.org/officeDocument/2006/relationships/hyperlink" Target="https://doi.org/10.15218/zjms.2023.020" TargetMode="External"/><Relationship Id="rId19" Type="http://schemas.openxmlformats.org/officeDocument/2006/relationships/hyperlink" Target="https://doi.org/10.1093/ndt/gfy174" TargetMode="External"/><Relationship Id="rId31" Type="http://schemas.openxmlformats.org/officeDocument/2006/relationships/hyperlink" Target="https://doi.org/10.7759/cureus.1603" TargetMode="External"/><Relationship Id="rId4" Type="http://schemas.openxmlformats.org/officeDocument/2006/relationships/webSettings" Target="webSettings.xml"/><Relationship Id="rId9" Type="http://schemas.openxmlformats.org/officeDocument/2006/relationships/hyperlink" Target="https://doi.org/10.15218/zjms.2023.020" TargetMode="External"/><Relationship Id="rId14" Type="http://schemas.openxmlformats.org/officeDocument/2006/relationships/hyperlink" Target="https://doi.org/10.1371/journal.pone.0114897" TargetMode="External"/><Relationship Id="rId22" Type="http://schemas.openxmlformats.org/officeDocument/2006/relationships/hyperlink" Target="https://doi.org/10.4103/2229-516X.81973" TargetMode="External"/><Relationship Id="rId27" Type="http://schemas.openxmlformats.org/officeDocument/2006/relationships/hyperlink" Target="https://doi.org/10.7860/JCDR/2016/20294.8651" TargetMode="External"/><Relationship Id="rId30" Type="http://schemas.openxmlformats.org/officeDocument/2006/relationships/hyperlink" Target="https://doi.org/10.7759/cureus.18605" TargetMode="External"/><Relationship Id="rId35" Type="http://schemas.openxmlformats.org/officeDocument/2006/relationships/footer" Target="footer1.xml"/><Relationship Id="rId8" Type="http://schemas.openxmlformats.org/officeDocument/2006/relationships/hyperlink" Target="https://pubmed.ncbi.nlm.nih.gov/21418665"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4202</Words>
  <Characters>23955</Characters>
  <Application>Microsoft Office Word</Application>
  <DocSecurity>0</DocSecurity>
  <Lines>199</Lines>
  <Paragraphs>56</Paragraphs>
  <ScaleCrop>false</ScaleCrop>
  <Company/>
  <LinksUpToDate>false</LinksUpToDate>
  <CharactersWithSpaces>28101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2026-03-18T07:18:00Z</dcterms:created>
  <dcterms:modified xsi:type="dcterms:W3CDTF">2026-03-18T13:42:00Z</dcterms:modified>
</cp:coreProperties>
</file>