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D1401" w14:textId="77777777" w:rsidR="00754C9A" w:rsidRDefault="00754C9A" w:rsidP="00441B6F">
      <w:pPr>
        <w:pStyle w:val="Title"/>
        <w:spacing w:after="0"/>
        <w:jc w:val="both"/>
        <w:rPr>
          <w:rFonts w:ascii="Arial" w:hAnsi="Arial" w:cs="Arial"/>
        </w:rPr>
      </w:pPr>
    </w:p>
    <w:p w14:paraId="391E2FC8" w14:textId="77777777" w:rsidR="007D1DD9" w:rsidRPr="007D1DD9" w:rsidRDefault="007D1DD9" w:rsidP="007D1DD9">
      <w:pPr>
        <w:pStyle w:val="NoSpacing"/>
        <w:spacing w:line="360" w:lineRule="auto"/>
        <w:rPr>
          <w:rFonts w:ascii="Arial" w:hAnsi="Arial" w:cs="Arial"/>
          <w:b/>
          <w:bCs/>
          <w:i/>
          <w:iCs/>
          <w:sz w:val="36"/>
          <w:szCs w:val="26"/>
          <w:u w:val="single"/>
        </w:rPr>
      </w:pPr>
      <w:r w:rsidRPr="007D1DD9">
        <w:rPr>
          <w:rFonts w:ascii="Arial" w:hAnsi="Arial" w:cs="Arial"/>
          <w:b/>
          <w:bCs/>
          <w:i/>
          <w:iCs/>
          <w:sz w:val="36"/>
          <w:szCs w:val="26"/>
          <w:u w:val="single"/>
        </w:rPr>
        <w:t>Original Research Article</w:t>
      </w:r>
    </w:p>
    <w:p w14:paraId="73953AC2" w14:textId="553F4E2A" w:rsidR="000A6A61" w:rsidRPr="000A6A61" w:rsidRDefault="000A6A61" w:rsidP="000A6A61">
      <w:pPr>
        <w:pStyle w:val="NoSpacing"/>
        <w:spacing w:line="360" w:lineRule="auto"/>
        <w:jc w:val="right"/>
        <w:rPr>
          <w:rFonts w:ascii="Times New Roman" w:hAnsi="Times New Roman" w:cs="Times New Roman"/>
          <w:b/>
          <w:sz w:val="36"/>
          <w:szCs w:val="26"/>
        </w:rPr>
      </w:pPr>
      <w:r w:rsidRPr="000A6A61">
        <w:rPr>
          <w:rFonts w:ascii="Arial" w:hAnsi="Arial" w:cs="Arial"/>
          <w:b/>
          <w:sz w:val="36"/>
          <w:szCs w:val="26"/>
        </w:rPr>
        <w:t>Pathogenic Risks in Courier-Based Food Delivery Systems: Integrating Microbiological Surveillance in Zambia’s Food Safety Framework</w:t>
      </w:r>
    </w:p>
    <w:p w14:paraId="5433D164" w14:textId="77777777" w:rsidR="002C57D2" w:rsidRPr="00FB3A86" w:rsidRDefault="002C57D2" w:rsidP="00441B6F">
      <w:pPr>
        <w:pStyle w:val="Affiliation"/>
        <w:spacing w:after="0" w:line="240" w:lineRule="auto"/>
        <w:jc w:val="both"/>
        <w:rPr>
          <w:rFonts w:ascii="Arial" w:hAnsi="Arial" w:cs="Arial"/>
        </w:rPr>
      </w:pPr>
    </w:p>
    <w:p w14:paraId="62F4C4E4" w14:textId="62408E33" w:rsidR="00B01FCD" w:rsidRPr="00FB3A86" w:rsidRDefault="006E2FDC" w:rsidP="00441B6F">
      <w:pPr>
        <w:pStyle w:val="Copyright"/>
        <w:spacing w:after="0" w:line="240" w:lineRule="auto"/>
        <w:jc w:val="both"/>
        <w:rPr>
          <w:rFonts w:ascii="Arial" w:hAnsi="Arial" w:cs="Arial"/>
        </w:rPr>
        <w:sectPr w:rsidR="00B01FCD" w:rsidRPr="00FB3A86" w:rsidSect="00D82D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5DEF030" wp14:editId="0EC6232F">
                <wp:extent cx="5303520" cy="635"/>
                <wp:effectExtent l="15240" t="10160" r="15240"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8D375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332375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810C2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E941D47" w14:textId="77777777" w:rsidTr="001E44FE">
        <w:tc>
          <w:tcPr>
            <w:tcW w:w="9576" w:type="dxa"/>
            <w:shd w:val="clear" w:color="auto" w:fill="F2F2F2"/>
          </w:tcPr>
          <w:p w14:paraId="29BAD81B" w14:textId="77777777"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Aims: </w:t>
            </w:r>
            <w:r w:rsidRPr="00692B0F">
              <w:rPr>
                <w:rFonts w:ascii="Arial" w:hAnsi="Arial" w:cs="Arial"/>
                <w:sz w:val="20"/>
              </w:rPr>
              <w:t>This study aimed to assess microbial contamination in food carriers used by courier bikers in Lusaka during the 2025/2026 cholera outbreak response, and to identify operational factors associated with contamination risk.</w:t>
            </w:r>
          </w:p>
          <w:p w14:paraId="00014B4B" w14:textId="77777777"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Study Design: </w:t>
            </w:r>
            <w:r w:rsidRPr="00692B0F">
              <w:rPr>
                <w:rFonts w:ascii="Arial" w:hAnsi="Arial" w:cs="Arial"/>
                <w:sz w:val="20"/>
              </w:rPr>
              <w:t>An analytical cross-sectional study was conducted.</w:t>
            </w:r>
          </w:p>
          <w:p w14:paraId="4CB23AA9" w14:textId="77777777"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Place and Duration of Study: </w:t>
            </w:r>
            <w:r w:rsidRPr="00692B0F">
              <w:rPr>
                <w:rFonts w:ascii="Arial" w:hAnsi="Arial" w:cs="Arial"/>
                <w:sz w:val="20"/>
              </w:rPr>
              <w:t>The study was carried out in Lusaka District, Zambia, between February 2026 and April 2026.</w:t>
            </w:r>
          </w:p>
          <w:p w14:paraId="6C814AFF" w14:textId="77777777"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Methodology: </w:t>
            </w:r>
            <w:r w:rsidRPr="00692B0F">
              <w:rPr>
                <w:rFonts w:ascii="Arial" w:hAnsi="Arial" w:cs="Arial"/>
                <w:sz w:val="20"/>
              </w:rPr>
              <w:t>A total of 93 food carriers (bags, cooler boxes, and metal containers) were randomly sampled from courier bikers. Swabs were collected from internal surfaces and processed within 24 hours using standard microbiological culture and biochemical identification methods. Statistical analyses included chi-square tests, Pearson correlations, and logistic regression to determine associations between contamination and operational factors such as cleaning frequency, carrier type, years in service, and certification status.</w:t>
            </w:r>
          </w:p>
          <w:p w14:paraId="37270C07" w14:textId="77777777"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Results: </w:t>
            </w:r>
            <w:r w:rsidRPr="00692B0F">
              <w:rPr>
                <w:rFonts w:ascii="Arial" w:hAnsi="Arial" w:cs="Arial"/>
                <w:sz w:val="20"/>
              </w:rPr>
              <w:t xml:space="preserve">Microbial contamination was detected in 69% of carriers. The most frequently isolated pathogens were </w:t>
            </w:r>
            <w:r w:rsidRPr="00692B0F">
              <w:rPr>
                <w:rFonts w:ascii="Arial" w:hAnsi="Arial" w:cs="Arial"/>
                <w:i/>
                <w:iCs/>
                <w:sz w:val="20"/>
              </w:rPr>
              <w:t>Escherichia coli</w:t>
            </w:r>
            <w:r w:rsidRPr="00692B0F">
              <w:rPr>
                <w:rFonts w:ascii="Arial" w:hAnsi="Arial" w:cs="Arial"/>
                <w:sz w:val="20"/>
              </w:rPr>
              <w:t xml:space="preserve"> (30%), coagulase-negative </w:t>
            </w:r>
            <w:r w:rsidRPr="00692B0F">
              <w:rPr>
                <w:rFonts w:ascii="Arial" w:hAnsi="Arial" w:cs="Arial"/>
                <w:i/>
                <w:iCs/>
                <w:sz w:val="20"/>
              </w:rPr>
              <w:t>Staphylococcus</w:t>
            </w:r>
            <w:r w:rsidRPr="00692B0F">
              <w:rPr>
                <w:rFonts w:ascii="Arial" w:hAnsi="Arial" w:cs="Arial"/>
                <w:sz w:val="20"/>
              </w:rPr>
              <w:t xml:space="preserve"> (24%), and </w:t>
            </w:r>
            <w:r w:rsidRPr="00692B0F">
              <w:rPr>
                <w:rFonts w:ascii="Arial" w:hAnsi="Arial" w:cs="Arial"/>
                <w:i/>
                <w:iCs/>
                <w:sz w:val="20"/>
              </w:rPr>
              <w:t>Staphylococcus aureus</w:t>
            </w:r>
            <w:r w:rsidRPr="00692B0F">
              <w:rPr>
                <w:rFonts w:ascii="Arial" w:hAnsi="Arial" w:cs="Arial"/>
                <w:sz w:val="20"/>
              </w:rPr>
              <w:t xml:space="preserve"> (18%). Additional isolates included Gram-positive bacilli (11%) and </w:t>
            </w:r>
            <w:r w:rsidRPr="00692B0F">
              <w:rPr>
                <w:rFonts w:ascii="Arial" w:hAnsi="Arial" w:cs="Arial"/>
                <w:i/>
                <w:iCs/>
                <w:sz w:val="20"/>
              </w:rPr>
              <w:t>Klebsiella pneumoniae</w:t>
            </w:r>
            <w:r w:rsidRPr="00692B0F">
              <w:rPr>
                <w:rFonts w:ascii="Arial" w:hAnsi="Arial" w:cs="Arial"/>
                <w:sz w:val="20"/>
              </w:rPr>
              <w:t xml:space="preserve"> (8%). Logistic regression revealed cleaning frequency as the strongest predictor of contamination, with infrequent cleaning associated with significantly higher odds ratios (26.5–94.7, p &lt; .05). Carrier type also influenced contamination risk, while years in service and certification status were not statistically significant.</w:t>
            </w:r>
          </w:p>
          <w:p w14:paraId="700537E4" w14:textId="77777777"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Conclusion: </w:t>
            </w:r>
            <w:r w:rsidRPr="00692B0F">
              <w:rPr>
                <w:rFonts w:ascii="Arial" w:hAnsi="Arial" w:cs="Arial"/>
                <w:sz w:val="20"/>
              </w:rPr>
              <w:t>Inadequate cleaning practices and carrier design are primary drivers of microbiological risks in courier-based food delivery systems. Strengthening hygiene protocols and design standards for food carriers may reduce contamination risks and enhance food safety during outbreak responses. Further studies are recommended to validate these findings across broader courier networks.</w:t>
            </w:r>
          </w:p>
          <w:p w14:paraId="133E0D62"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szCs w:val="22"/>
              </w:rPr>
              <w:t>h the presence of esophageal varices in advanced liver disease to validate other screening parameters.</w:t>
            </w:r>
          </w:p>
        </w:tc>
      </w:tr>
    </w:tbl>
    <w:p w14:paraId="2333FADF" w14:textId="77777777" w:rsidR="00636EB2" w:rsidRDefault="00636EB2" w:rsidP="00441B6F">
      <w:pPr>
        <w:pStyle w:val="Body"/>
        <w:spacing w:after="0"/>
        <w:rPr>
          <w:rFonts w:ascii="Arial" w:hAnsi="Arial" w:cs="Arial"/>
          <w:i/>
        </w:rPr>
      </w:pPr>
    </w:p>
    <w:p w14:paraId="1C2BFAD4" w14:textId="77777777" w:rsidR="0024282C" w:rsidRPr="00D13DC3" w:rsidRDefault="00A24E7E" w:rsidP="00441B6F">
      <w:pPr>
        <w:pStyle w:val="Body"/>
        <w:spacing w:after="0"/>
        <w:rPr>
          <w:rFonts w:ascii="Arial" w:hAnsi="Arial" w:cs="Arial"/>
          <w:i/>
        </w:rPr>
      </w:pPr>
      <w:r w:rsidRPr="00D13DC3">
        <w:rPr>
          <w:rFonts w:ascii="Arial" w:hAnsi="Arial" w:cs="Arial"/>
          <w:b/>
          <w:i/>
        </w:rPr>
        <w:t>Keywords:</w:t>
      </w:r>
      <w:r>
        <w:rPr>
          <w:rFonts w:ascii="Arial" w:hAnsi="Arial" w:cs="Arial"/>
          <w:i/>
        </w:rPr>
        <w:t xml:space="preserve"> </w:t>
      </w:r>
      <w:r w:rsidR="00D13DC3" w:rsidRPr="00D13DC3">
        <w:rPr>
          <w:rFonts w:ascii="Arial" w:hAnsi="Arial" w:cs="Arial"/>
          <w:i/>
        </w:rPr>
        <w:t>Foodborne diseases; courier food delivery; microbial contamination; hygiene practices; public health</w:t>
      </w:r>
    </w:p>
    <w:p w14:paraId="5E426B3C" w14:textId="77777777" w:rsidR="00505F06" w:rsidRPr="00A24E7E" w:rsidRDefault="00505F06" w:rsidP="00441B6F">
      <w:pPr>
        <w:pStyle w:val="Body"/>
        <w:spacing w:after="0"/>
        <w:rPr>
          <w:rFonts w:ascii="Arial" w:hAnsi="Arial" w:cs="Arial"/>
          <w:i/>
        </w:rPr>
      </w:pPr>
    </w:p>
    <w:p w14:paraId="3518BCEE"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114D207" w14:textId="77777777" w:rsidR="00790ADA" w:rsidRPr="00FB3A86" w:rsidRDefault="00790ADA" w:rsidP="00441B6F">
      <w:pPr>
        <w:pStyle w:val="AbstHead"/>
        <w:spacing w:after="0"/>
        <w:jc w:val="both"/>
        <w:rPr>
          <w:rFonts w:ascii="Arial" w:hAnsi="Arial" w:cs="Arial"/>
        </w:rPr>
      </w:pPr>
    </w:p>
    <w:p w14:paraId="66CA08AB" w14:textId="77777777" w:rsidR="00D13DC3" w:rsidRPr="006E2FDC" w:rsidRDefault="00D13DC3" w:rsidP="00D13DC3">
      <w:pPr>
        <w:pStyle w:val="NoSpacing"/>
        <w:jc w:val="both"/>
        <w:rPr>
          <w:rFonts w:ascii="Arial" w:hAnsi="Arial" w:cs="Arial"/>
          <w:sz w:val="20"/>
          <w:szCs w:val="20"/>
        </w:rPr>
      </w:pPr>
      <w:r w:rsidRPr="00D13DC3">
        <w:rPr>
          <w:rFonts w:ascii="Arial" w:hAnsi="Arial" w:cs="Arial"/>
          <w:sz w:val="20"/>
          <w:szCs w:val="24"/>
        </w:rPr>
        <w:t xml:space="preserve">Food safety remains a pressing global public health concern, with foodborne diseases (FBDs) contributing significantly to morbidity and mortality </w:t>
      </w:r>
      <w:r w:rsidRPr="00F4451A">
        <w:rPr>
          <w:rFonts w:ascii="Arial" w:hAnsi="Arial" w:cs="Arial"/>
          <w:sz w:val="20"/>
          <w:szCs w:val="20"/>
        </w:rPr>
        <w:t xml:space="preserve">worldwide </w:t>
      </w:r>
      <w:r w:rsidR="00F4451A" w:rsidRPr="00F4451A">
        <w:rPr>
          <w:rFonts w:ascii="Arial" w:eastAsia="Times New Roman" w:hAnsi="Arial" w:cs="Arial"/>
          <w:sz w:val="20"/>
          <w:szCs w:val="20"/>
        </w:rPr>
        <w:t>(</w:t>
      </w:r>
      <w:proofErr w:type="spellStart"/>
      <w:r w:rsidR="00F4451A" w:rsidRPr="00F4451A">
        <w:rPr>
          <w:rFonts w:ascii="Arial" w:eastAsia="Times New Roman" w:hAnsi="Arial" w:cs="Arial"/>
          <w:sz w:val="20"/>
          <w:szCs w:val="20"/>
        </w:rPr>
        <w:t>Devleesschauwer</w:t>
      </w:r>
      <w:proofErr w:type="spellEnd"/>
      <w:r w:rsidR="00F4451A" w:rsidRPr="00F4451A">
        <w:rPr>
          <w:rFonts w:ascii="Arial" w:eastAsia="Times New Roman" w:hAnsi="Arial" w:cs="Arial"/>
          <w:sz w:val="20"/>
          <w:szCs w:val="20"/>
        </w:rPr>
        <w:t xml:space="preserve"> et al., 2018; </w:t>
      </w:r>
      <w:proofErr w:type="spellStart"/>
      <w:r w:rsidR="00F4451A" w:rsidRPr="00F4451A">
        <w:rPr>
          <w:rFonts w:ascii="Arial" w:eastAsia="Times New Roman" w:hAnsi="Arial" w:cs="Arial"/>
          <w:sz w:val="20"/>
          <w:szCs w:val="20"/>
        </w:rPr>
        <w:t>Käferstein</w:t>
      </w:r>
      <w:proofErr w:type="spellEnd"/>
      <w:r w:rsidR="00F4451A" w:rsidRPr="00F4451A">
        <w:rPr>
          <w:rFonts w:ascii="Arial" w:eastAsia="Times New Roman" w:hAnsi="Arial" w:cs="Arial"/>
          <w:sz w:val="20"/>
          <w:szCs w:val="20"/>
        </w:rPr>
        <w:t xml:space="preserve"> et al., 2019)</w:t>
      </w:r>
      <w:r w:rsidRPr="00D13DC3">
        <w:rPr>
          <w:rFonts w:ascii="Arial" w:hAnsi="Arial" w:cs="Arial"/>
          <w:sz w:val="20"/>
          <w:szCs w:val="24"/>
        </w:rPr>
        <w:t xml:space="preserve">. The World Health Organization (WHO) estimates that unsafe food causes over 600 million cases of illness annually, with pathogens such as </w:t>
      </w:r>
      <w:r w:rsidRPr="00D13DC3">
        <w:rPr>
          <w:rFonts w:ascii="Arial" w:hAnsi="Arial" w:cs="Arial"/>
          <w:i/>
          <w:sz w:val="20"/>
          <w:szCs w:val="24"/>
        </w:rPr>
        <w:t>Salmonella spp.</w:t>
      </w:r>
      <w:r w:rsidRPr="00D13DC3">
        <w:rPr>
          <w:rFonts w:ascii="Arial" w:hAnsi="Arial" w:cs="Arial"/>
          <w:sz w:val="20"/>
          <w:szCs w:val="24"/>
        </w:rPr>
        <w:t xml:space="preserve">, </w:t>
      </w:r>
      <w:r w:rsidRPr="00D13DC3">
        <w:rPr>
          <w:rFonts w:ascii="Arial" w:hAnsi="Arial" w:cs="Arial"/>
          <w:i/>
          <w:sz w:val="20"/>
          <w:szCs w:val="24"/>
        </w:rPr>
        <w:t>Escherichia coli</w:t>
      </w:r>
      <w:r w:rsidRPr="00D13DC3">
        <w:rPr>
          <w:rFonts w:ascii="Arial" w:hAnsi="Arial" w:cs="Arial"/>
          <w:sz w:val="20"/>
          <w:szCs w:val="24"/>
        </w:rPr>
        <w:t xml:space="preserve">, </w:t>
      </w:r>
      <w:r w:rsidRPr="00D13DC3">
        <w:rPr>
          <w:rFonts w:ascii="Arial" w:hAnsi="Arial" w:cs="Arial"/>
          <w:i/>
          <w:sz w:val="20"/>
          <w:szCs w:val="24"/>
        </w:rPr>
        <w:t>Listeria monocytogenes</w:t>
      </w:r>
      <w:r w:rsidRPr="00D13DC3">
        <w:rPr>
          <w:rFonts w:ascii="Arial" w:hAnsi="Arial" w:cs="Arial"/>
          <w:sz w:val="20"/>
          <w:szCs w:val="24"/>
        </w:rPr>
        <w:t xml:space="preserve">, </w:t>
      </w:r>
      <w:r w:rsidRPr="00D13DC3">
        <w:rPr>
          <w:rFonts w:ascii="Arial" w:hAnsi="Arial" w:cs="Arial"/>
          <w:i/>
          <w:sz w:val="20"/>
          <w:szCs w:val="24"/>
        </w:rPr>
        <w:t>Campylobacter spp.</w:t>
      </w:r>
      <w:r w:rsidRPr="00D13DC3">
        <w:rPr>
          <w:rFonts w:ascii="Arial" w:hAnsi="Arial" w:cs="Arial"/>
          <w:sz w:val="20"/>
          <w:szCs w:val="24"/>
        </w:rPr>
        <w:t xml:space="preserve">, and </w:t>
      </w:r>
      <w:r w:rsidRPr="006E2FDC">
        <w:rPr>
          <w:rFonts w:ascii="Arial" w:hAnsi="Arial" w:cs="Arial"/>
          <w:i/>
          <w:sz w:val="20"/>
          <w:szCs w:val="24"/>
        </w:rPr>
        <w:t>Staphylococcus aureus</w:t>
      </w:r>
      <w:r w:rsidRPr="006E2FDC">
        <w:rPr>
          <w:rFonts w:ascii="Arial" w:hAnsi="Arial" w:cs="Arial"/>
          <w:sz w:val="20"/>
          <w:szCs w:val="24"/>
        </w:rPr>
        <w:t xml:space="preserve"> among the most prevalent etiological agents </w:t>
      </w:r>
      <w:r w:rsidR="00F4451A" w:rsidRPr="006E2FDC">
        <w:rPr>
          <w:rFonts w:ascii="Arial" w:hAnsi="Arial" w:cs="Arial"/>
          <w:sz w:val="20"/>
          <w:szCs w:val="20"/>
        </w:rPr>
        <w:t xml:space="preserve">(Lee &amp; Yoon, 2021; Pires &amp; </w:t>
      </w:r>
      <w:proofErr w:type="spellStart"/>
      <w:r w:rsidR="00F4451A" w:rsidRPr="006E2FDC">
        <w:rPr>
          <w:rFonts w:ascii="Arial" w:hAnsi="Arial" w:cs="Arial"/>
          <w:sz w:val="20"/>
          <w:szCs w:val="20"/>
        </w:rPr>
        <w:t>Devleesschauwer</w:t>
      </w:r>
      <w:proofErr w:type="spellEnd"/>
      <w:r w:rsidR="00F4451A" w:rsidRPr="006E2FDC">
        <w:rPr>
          <w:rFonts w:ascii="Arial" w:hAnsi="Arial" w:cs="Arial"/>
          <w:sz w:val="20"/>
          <w:szCs w:val="20"/>
        </w:rPr>
        <w:t xml:space="preserve">, 2021). </w:t>
      </w:r>
      <w:r w:rsidRPr="006E2FDC">
        <w:rPr>
          <w:rFonts w:ascii="Arial" w:hAnsi="Arial" w:cs="Arial"/>
          <w:sz w:val="20"/>
          <w:szCs w:val="24"/>
        </w:rPr>
        <w:t>Beyond microbial hazards, chemical contaminants and poor handling practices exacerbate risks, underscoring the multifactorial nature of food safety challenges</w:t>
      </w:r>
      <w:r w:rsidR="00F4451A" w:rsidRPr="006E2FDC">
        <w:rPr>
          <w:rFonts w:ascii="Arial" w:hAnsi="Arial" w:cs="Arial"/>
          <w:sz w:val="20"/>
          <w:szCs w:val="24"/>
        </w:rPr>
        <w:t xml:space="preserve"> </w:t>
      </w:r>
      <w:r w:rsidR="00F4451A" w:rsidRPr="006E2FDC">
        <w:rPr>
          <w:rFonts w:ascii="Arial" w:hAnsi="Arial" w:cs="Arial"/>
          <w:sz w:val="20"/>
          <w:szCs w:val="20"/>
        </w:rPr>
        <w:t xml:space="preserve">(Garvey, 2019). </w:t>
      </w:r>
      <w:r w:rsidRPr="006E2FDC">
        <w:rPr>
          <w:rFonts w:ascii="Arial" w:hAnsi="Arial" w:cs="Arial"/>
          <w:sz w:val="20"/>
          <w:szCs w:val="24"/>
        </w:rPr>
        <w:t xml:space="preserve">Comparable concerns are evident in Europe, where surveillance data reveal recurrent outbreaks linked to zoonotic pathogens and poor food handling. Between 2015 and 2019, major FBD outbreaks across the European Union highlighted persistent risks from Salmonella, Listeria, and Campylobacter </w:t>
      </w:r>
      <w:r w:rsidR="00F4451A" w:rsidRPr="006E2FDC">
        <w:rPr>
          <w:rFonts w:ascii="Arial" w:hAnsi="Arial" w:cs="Arial"/>
          <w:sz w:val="20"/>
          <w:szCs w:val="20"/>
        </w:rPr>
        <w:t>(</w:t>
      </w:r>
      <w:proofErr w:type="spellStart"/>
      <w:r w:rsidR="00F4451A" w:rsidRPr="006E2FDC">
        <w:rPr>
          <w:rFonts w:ascii="Arial" w:hAnsi="Arial" w:cs="Arial"/>
          <w:sz w:val="20"/>
          <w:szCs w:val="20"/>
        </w:rPr>
        <w:t>Schirone</w:t>
      </w:r>
      <w:proofErr w:type="spellEnd"/>
      <w:r w:rsidR="00F4451A" w:rsidRPr="006E2FDC">
        <w:rPr>
          <w:rFonts w:ascii="Arial" w:hAnsi="Arial" w:cs="Arial"/>
          <w:sz w:val="20"/>
          <w:szCs w:val="20"/>
        </w:rPr>
        <w:t xml:space="preserve"> &amp; </w:t>
      </w:r>
      <w:proofErr w:type="spellStart"/>
      <w:r w:rsidR="00F4451A" w:rsidRPr="006E2FDC">
        <w:rPr>
          <w:rFonts w:ascii="Arial" w:hAnsi="Arial" w:cs="Arial"/>
          <w:sz w:val="20"/>
          <w:szCs w:val="20"/>
        </w:rPr>
        <w:t>Visciano</w:t>
      </w:r>
      <w:proofErr w:type="spellEnd"/>
      <w:r w:rsidR="00F4451A" w:rsidRPr="006E2FDC">
        <w:rPr>
          <w:rFonts w:ascii="Arial" w:hAnsi="Arial" w:cs="Arial"/>
          <w:sz w:val="20"/>
          <w:szCs w:val="20"/>
        </w:rPr>
        <w:t xml:space="preserve">, 2021). </w:t>
      </w:r>
      <w:r w:rsidRPr="006E2FDC">
        <w:rPr>
          <w:rFonts w:ascii="Arial" w:hAnsi="Arial" w:cs="Arial"/>
          <w:sz w:val="20"/>
          <w:szCs w:val="24"/>
        </w:rPr>
        <w:t xml:space="preserve">The WHO European Region estimates that unsafe food contributes significantly to the burden of disease, with children under five disproportionately affected </w:t>
      </w:r>
      <w:r w:rsidR="00F4451A" w:rsidRPr="006E2FDC">
        <w:rPr>
          <w:rFonts w:ascii="Arial" w:hAnsi="Arial" w:cs="Arial"/>
          <w:sz w:val="20"/>
          <w:szCs w:val="20"/>
        </w:rPr>
        <w:t xml:space="preserve">(WHO, 2017). </w:t>
      </w:r>
      <w:r w:rsidRPr="006E2FDC">
        <w:rPr>
          <w:rFonts w:ascii="Arial" w:hAnsi="Arial" w:cs="Arial"/>
          <w:sz w:val="20"/>
          <w:szCs w:val="24"/>
        </w:rPr>
        <w:t xml:space="preserve">More recent analyses confirm a surge in outbreaks and fatalities between 2008 and 2022, emphasizing the need for integrated One Health approaches to mitigate emerging threats </w:t>
      </w:r>
      <w:r w:rsidR="00F4451A" w:rsidRPr="006E2FDC">
        <w:rPr>
          <w:rFonts w:ascii="Arial" w:hAnsi="Arial" w:cs="Arial"/>
          <w:sz w:val="20"/>
          <w:szCs w:val="20"/>
        </w:rPr>
        <w:t>(</w:t>
      </w:r>
      <w:proofErr w:type="spellStart"/>
      <w:r w:rsidR="00F4451A" w:rsidRPr="006E2FDC">
        <w:rPr>
          <w:rFonts w:ascii="Arial" w:hAnsi="Arial" w:cs="Arial"/>
          <w:sz w:val="20"/>
          <w:szCs w:val="20"/>
        </w:rPr>
        <w:t>Boiteanu</w:t>
      </w:r>
      <w:proofErr w:type="spellEnd"/>
      <w:r w:rsidR="00F4451A" w:rsidRPr="006E2FDC">
        <w:rPr>
          <w:rFonts w:ascii="Arial" w:hAnsi="Arial" w:cs="Arial"/>
          <w:sz w:val="20"/>
          <w:szCs w:val="20"/>
        </w:rPr>
        <w:t xml:space="preserve"> et al., 2025; EFSA &amp; ECDC, 2022).</w:t>
      </w:r>
    </w:p>
    <w:p w14:paraId="6FBB75D0" w14:textId="77777777" w:rsidR="00D13DC3" w:rsidRPr="006E2FDC" w:rsidRDefault="00D13DC3" w:rsidP="00D13DC3">
      <w:pPr>
        <w:pStyle w:val="NoSpacing"/>
        <w:jc w:val="both"/>
        <w:rPr>
          <w:rFonts w:ascii="Arial" w:hAnsi="Arial" w:cs="Arial"/>
          <w:sz w:val="20"/>
          <w:szCs w:val="20"/>
        </w:rPr>
      </w:pPr>
      <w:r w:rsidRPr="006E2FDC">
        <w:rPr>
          <w:rFonts w:ascii="Arial" w:hAnsi="Arial" w:cs="Arial"/>
          <w:sz w:val="20"/>
          <w:szCs w:val="24"/>
        </w:rPr>
        <w:t>The African region bears a disproportionate burden of FBDs due to infrastructural limitations, weak enforcement of food safety regulations, and inadequate training among food handlers</w:t>
      </w:r>
      <w:r w:rsidR="006E2FDC" w:rsidRPr="006E2FDC">
        <w:rPr>
          <w:rFonts w:ascii="Arial" w:hAnsi="Arial" w:cs="Arial"/>
          <w:sz w:val="20"/>
          <w:szCs w:val="24"/>
        </w:rPr>
        <w:t xml:space="preserve"> </w:t>
      </w:r>
      <w:r w:rsidR="006E2FDC" w:rsidRPr="006E2FDC">
        <w:rPr>
          <w:rFonts w:ascii="Arial" w:hAnsi="Arial" w:cs="Arial"/>
          <w:sz w:val="20"/>
          <w:szCs w:val="20"/>
        </w:rPr>
        <w:t xml:space="preserve">(Silvanus et al., 2025; Adi et al., 2024). </w:t>
      </w:r>
      <w:r w:rsidRPr="006E2FDC">
        <w:rPr>
          <w:rFonts w:ascii="Arial" w:hAnsi="Arial" w:cs="Arial"/>
          <w:sz w:val="20"/>
          <w:szCs w:val="24"/>
        </w:rPr>
        <w:t xml:space="preserve">Studies in Ghana and other Sub-Saharan countries have documented unsafe courier and food handling practices, highlighting courier-based delivery systems as emerging contamination pathways </w:t>
      </w:r>
      <w:r w:rsidR="006E2FDC" w:rsidRPr="006E2FDC">
        <w:rPr>
          <w:rFonts w:ascii="Arial" w:hAnsi="Arial" w:cs="Arial"/>
          <w:sz w:val="20"/>
          <w:szCs w:val="20"/>
        </w:rPr>
        <w:t xml:space="preserve">(Adi et al., 2024; Musa, 2017). </w:t>
      </w:r>
      <w:r w:rsidRPr="006E2FDC">
        <w:rPr>
          <w:rFonts w:ascii="Arial" w:hAnsi="Arial" w:cs="Arial"/>
          <w:sz w:val="20"/>
          <w:szCs w:val="24"/>
        </w:rPr>
        <w:t xml:space="preserve">Microbiological assessments of delivery boxes in Accra revealed contamination with pathogens such as </w:t>
      </w:r>
      <w:r w:rsidRPr="006E2FDC">
        <w:rPr>
          <w:rFonts w:ascii="Arial" w:hAnsi="Arial" w:cs="Arial"/>
          <w:i/>
          <w:sz w:val="20"/>
          <w:szCs w:val="24"/>
        </w:rPr>
        <w:t>E. coli</w:t>
      </w:r>
      <w:r w:rsidRPr="006E2FDC">
        <w:rPr>
          <w:rFonts w:ascii="Arial" w:hAnsi="Arial" w:cs="Arial"/>
          <w:sz w:val="20"/>
          <w:szCs w:val="24"/>
        </w:rPr>
        <w:t xml:space="preserve"> and </w:t>
      </w:r>
      <w:r w:rsidRPr="006E2FDC">
        <w:rPr>
          <w:rFonts w:ascii="Arial" w:hAnsi="Arial" w:cs="Arial"/>
          <w:i/>
          <w:sz w:val="20"/>
          <w:szCs w:val="24"/>
        </w:rPr>
        <w:t>Staphylococcus aureus</w:t>
      </w:r>
      <w:r w:rsidRPr="006E2FDC">
        <w:rPr>
          <w:rFonts w:ascii="Arial" w:hAnsi="Arial" w:cs="Arial"/>
          <w:sz w:val="20"/>
          <w:szCs w:val="24"/>
        </w:rPr>
        <w:t>, emphasizing the vulnerability of last-mile delivery systems</w:t>
      </w:r>
      <w:r w:rsidR="006E2FDC" w:rsidRPr="006E2FDC">
        <w:rPr>
          <w:rFonts w:ascii="Arial" w:hAnsi="Arial" w:cs="Arial"/>
          <w:sz w:val="20"/>
          <w:szCs w:val="20"/>
        </w:rPr>
        <w:t xml:space="preserve"> (Adi, 2024). </w:t>
      </w:r>
      <w:r w:rsidRPr="006E2FDC">
        <w:rPr>
          <w:rFonts w:ascii="Arial" w:hAnsi="Arial" w:cs="Arial"/>
          <w:sz w:val="20"/>
          <w:szCs w:val="24"/>
        </w:rPr>
        <w:t xml:space="preserve">Similarly, research on street food vendors in Lusaka identified persistent hygiene gaps, reinforcing the need for systemic interventions </w:t>
      </w:r>
      <w:r w:rsidR="006E2FDC" w:rsidRPr="006E2FDC">
        <w:rPr>
          <w:rFonts w:ascii="Arial" w:hAnsi="Arial" w:cs="Arial"/>
          <w:sz w:val="20"/>
          <w:szCs w:val="20"/>
        </w:rPr>
        <w:t>(Musa, 2017).</w:t>
      </w:r>
    </w:p>
    <w:p w14:paraId="05A3A9C6" w14:textId="77777777" w:rsidR="00D13DC3" w:rsidRPr="006E2FDC" w:rsidRDefault="00D13DC3" w:rsidP="00D13DC3">
      <w:pPr>
        <w:pStyle w:val="NoSpacing"/>
        <w:jc w:val="both"/>
        <w:rPr>
          <w:rFonts w:ascii="Arial" w:hAnsi="Arial" w:cs="Arial"/>
          <w:sz w:val="20"/>
          <w:szCs w:val="24"/>
        </w:rPr>
      </w:pPr>
      <w:r w:rsidRPr="006E2FDC">
        <w:rPr>
          <w:rFonts w:ascii="Arial" w:hAnsi="Arial" w:cs="Arial"/>
          <w:sz w:val="20"/>
          <w:szCs w:val="24"/>
        </w:rPr>
        <w:t xml:space="preserve">In Zambia, microbial risks have been documented across traditional food chains. Phiri et al., </w:t>
      </w:r>
      <w:r w:rsidR="006E2FDC" w:rsidRPr="006E2FDC">
        <w:rPr>
          <w:rFonts w:ascii="Arial" w:hAnsi="Arial" w:cs="Arial"/>
          <w:sz w:val="20"/>
          <w:szCs w:val="20"/>
        </w:rPr>
        <w:t xml:space="preserve">(2021) </w:t>
      </w:r>
      <w:r w:rsidRPr="006E2FDC">
        <w:rPr>
          <w:rFonts w:ascii="Arial" w:hAnsi="Arial" w:cs="Arial"/>
          <w:sz w:val="20"/>
          <w:szCs w:val="24"/>
        </w:rPr>
        <w:t xml:space="preserve">identified contamination in dairy value chains, while </w:t>
      </w:r>
      <w:proofErr w:type="spellStart"/>
      <w:r w:rsidRPr="006E2FDC">
        <w:rPr>
          <w:rFonts w:ascii="Arial" w:hAnsi="Arial" w:cs="Arial"/>
          <w:sz w:val="20"/>
          <w:szCs w:val="24"/>
        </w:rPr>
        <w:t>Mumbula</w:t>
      </w:r>
      <w:proofErr w:type="spellEnd"/>
      <w:r w:rsidRPr="006E2FDC">
        <w:rPr>
          <w:rFonts w:ascii="Arial" w:hAnsi="Arial" w:cs="Arial"/>
          <w:sz w:val="20"/>
          <w:szCs w:val="24"/>
        </w:rPr>
        <w:t xml:space="preserve"> et al., </w:t>
      </w:r>
      <w:r w:rsidR="006E2FDC" w:rsidRPr="006E2FDC">
        <w:rPr>
          <w:rFonts w:ascii="Arial" w:hAnsi="Arial" w:cs="Arial"/>
          <w:sz w:val="20"/>
          <w:szCs w:val="20"/>
        </w:rPr>
        <w:t xml:space="preserve">(2022) </w:t>
      </w:r>
      <w:r w:rsidRPr="006E2FDC">
        <w:rPr>
          <w:rFonts w:ascii="Arial" w:hAnsi="Arial" w:cs="Arial"/>
          <w:sz w:val="20"/>
          <w:szCs w:val="24"/>
        </w:rPr>
        <w:t xml:space="preserve">reported microbial loads in edible insects. More recently, Mulungu et al., </w:t>
      </w:r>
      <w:r w:rsidR="006E2FDC" w:rsidRPr="006E2FDC">
        <w:rPr>
          <w:rFonts w:ascii="Arial" w:hAnsi="Arial" w:cs="Arial"/>
          <w:sz w:val="20"/>
          <w:szCs w:val="24"/>
        </w:rPr>
        <w:t>(2024)</w:t>
      </w:r>
      <w:r w:rsidRPr="006E2FDC">
        <w:rPr>
          <w:rFonts w:ascii="Arial" w:hAnsi="Arial" w:cs="Arial"/>
          <w:sz w:val="20"/>
          <w:szCs w:val="24"/>
        </w:rPr>
        <w:t xml:space="preserve"> highlighted gaps in food safety training programs for food handlers, pointing to systemic weaknesses in regulatory compliance. Despite the enactment of the Food safety Act No. 7 of 2019, which provides comprehensive provisions for food safety regulation and enforcement, courier-based food delivery systems remain largely undocumented in Zambia’s food safety literature. This is concerning given the rapid growth of online food delivery in Lusaka, where motorcycles and bicycles are increasingly used to transport ready-to-eat meals.</w:t>
      </w:r>
    </w:p>
    <w:p w14:paraId="72B4B21F" w14:textId="77777777" w:rsidR="00D13DC3" w:rsidRPr="006E2FDC" w:rsidRDefault="00D13DC3" w:rsidP="00D13DC3">
      <w:pPr>
        <w:pStyle w:val="NoSpacing"/>
        <w:jc w:val="both"/>
        <w:rPr>
          <w:rFonts w:ascii="Arial" w:hAnsi="Arial" w:cs="Arial"/>
          <w:sz w:val="20"/>
          <w:szCs w:val="24"/>
        </w:rPr>
      </w:pPr>
      <w:r w:rsidRPr="006E2FDC">
        <w:rPr>
          <w:rFonts w:ascii="Arial" w:hAnsi="Arial" w:cs="Arial"/>
          <w:sz w:val="20"/>
          <w:szCs w:val="24"/>
        </w:rPr>
        <w:t xml:space="preserve">Microbiological surveillance of food carriers is critical, as studies elsewhere have demonstrated contamination risks in reusable plastic bags </w:t>
      </w:r>
      <w:r w:rsidR="006E2FDC" w:rsidRPr="006E2FDC">
        <w:rPr>
          <w:rFonts w:ascii="Arial" w:hAnsi="Arial" w:cs="Arial"/>
          <w:sz w:val="20"/>
          <w:szCs w:val="20"/>
        </w:rPr>
        <w:t xml:space="preserve">(Barbosa et al., 2019) </w:t>
      </w:r>
      <w:r w:rsidRPr="006E2FDC">
        <w:rPr>
          <w:rFonts w:ascii="Arial" w:hAnsi="Arial" w:cs="Arial"/>
          <w:sz w:val="20"/>
          <w:szCs w:val="24"/>
        </w:rPr>
        <w:t xml:space="preserve">and cold chain packaging systems </w:t>
      </w:r>
      <w:r w:rsidR="006E2FDC" w:rsidRPr="006E2FDC">
        <w:rPr>
          <w:rFonts w:ascii="Arial" w:hAnsi="Arial" w:cs="Arial"/>
          <w:sz w:val="20"/>
          <w:szCs w:val="20"/>
        </w:rPr>
        <w:t>(</w:t>
      </w:r>
      <w:proofErr w:type="spellStart"/>
      <w:r w:rsidR="006E2FDC" w:rsidRPr="006E2FDC">
        <w:rPr>
          <w:rFonts w:ascii="Arial" w:hAnsi="Arial" w:cs="Arial"/>
          <w:sz w:val="20"/>
          <w:szCs w:val="20"/>
        </w:rPr>
        <w:t>Korakot</w:t>
      </w:r>
      <w:proofErr w:type="spellEnd"/>
      <w:r w:rsidR="006E2FDC" w:rsidRPr="006E2FDC">
        <w:rPr>
          <w:rFonts w:ascii="Arial" w:hAnsi="Arial" w:cs="Arial"/>
          <w:sz w:val="20"/>
          <w:szCs w:val="20"/>
        </w:rPr>
        <w:t xml:space="preserve"> et al., 2022; </w:t>
      </w:r>
      <w:proofErr w:type="spellStart"/>
      <w:r w:rsidR="006E2FDC" w:rsidRPr="006E2FDC">
        <w:rPr>
          <w:rFonts w:ascii="Arial" w:hAnsi="Arial" w:cs="Arial"/>
          <w:sz w:val="20"/>
          <w:szCs w:val="20"/>
        </w:rPr>
        <w:t>Wasserlauf</w:t>
      </w:r>
      <w:proofErr w:type="spellEnd"/>
      <w:r w:rsidR="006E2FDC" w:rsidRPr="006E2FDC">
        <w:rPr>
          <w:rFonts w:ascii="Arial" w:hAnsi="Arial" w:cs="Arial"/>
          <w:sz w:val="20"/>
          <w:szCs w:val="20"/>
        </w:rPr>
        <w:t xml:space="preserve">-Pepper et al., 2025). </w:t>
      </w:r>
      <w:r w:rsidRPr="006E2FDC">
        <w:rPr>
          <w:rFonts w:ascii="Arial" w:hAnsi="Arial" w:cs="Arial"/>
          <w:sz w:val="20"/>
          <w:szCs w:val="24"/>
        </w:rPr>
        <w:t>In Zambia, where courier-based food delivery is expanding rapidly, the absence of systematic microbial risk assessments represents a critical gap in safeguarding consumers against FBDs.</w:t>
      </w:r>
    </w:p>
    <w:p w14:paraId="19223B03" w14:textId="77777777" w:rsidR="00790ADA" w:rsidRPr="006E2FDC" w:rsidRDefault="00790ADA" w:rsidP="00441B6F">
      <w:pPr>
        <w:pStyle w:val="Body"/>
        <w:spacing w:after="0"/>
        <w:rPr>
          <w:rFonts w:ascii="Arial" w:hAnsi="Arial" w:cs="Arial"/>
        </w:rPr>
      </w:pPr>
    </w:p>
    <w:p w14:paraId="513E9D5B" w14:textId="77777777" w:rsidR="007F7B32" w:rsidRPr="006E2FDC" w:rsidRDefault="00902823" w:rsidP="00441B6F">
      <w:pPr>
        <w:pStyle w:val="AbstHead"/>
        <w:spacing w:after="0"/>
        <w:jc w:val="both"/>
        <w:rPr>
          <w:rFonts w:ascii="Arial" w:hAnsi="Arial" w:cs="Arial"/>
        </w:rPr>
      </w:pPr>
      <w:r w:rsidRPr="006E2FDC">
        <w:rPr>
          <w:rFonts w:ascii="Arial" w:hAnsi="Arial" w:cs="Arial"/>
        </w:rPr>
        <w:t>2. material and method</w:t>
      </w:r>
      <w:r w:rsidR="00000F8F" w:rsidRPr="006E2FDC">
        <w:rPr>
          <w:rFonts w:ascii="Arial" w:hAnsi="Arial" w:cs="Arial"/>
        </w:rPr>
        <w:t xml:space="preserve">s </w:t>
      </w:r>
    </w:p>
    <w:p w14:paraId="6A279FE5" w14:textId="77777777" w:rsidR="00790ADA" w:rsidRPr="006E2FDC" w:rsidRDefault="00790ADA" w:rsidP="00441B6F">
      <w:pPr>
        <w:pStyle w:val="AbstHead"/>
        <w:spacing w:after="0"/>
        <w:jc w:val="both"/>
        <w:rPr>
          <w:rFonts w:ascii="Arial" w:hAnsi="Arial" w:cs="Arial"/>
        </w:rPr>
      </w:pPr>
    </w:p>
    <w:p w14:paraId="0D2E0D5B" w14:textId="77777777" w:rsidR="00D13DC3" w:rsidRPr="006E2FDC" w:rsidRDefault="00D13DC3" w:rsidP="00D13DC3">
      <w:pPr>
        <w:pStyle w:val="Heading2"/>
        <w:rPr>
          <w:rFonts w:ascii="Arial" w:hAnsi="Arial" w:cs="Arial"/>
          <w:b/>
          <w:color w:val="auto"/>
          <w:sz w:val="22"/>
        </w:rPr>
      </w:pPr>
      <w:r w:rsidRPr="006E2FDC">
        <w:rPr>
          <w:rFonts w:ascii="Arial" w:hAnsi="Arial" w:cs="Arial"/>
          <w:b/>
          <w:color w:val="auto"/>
          <w:sz w:val="22"/>
        </w:rPr>
        <w:t>Study Design</w:t>
      </w:r>
    </w:p>
    <w:p w14:paraId="3AC30485" w14:textId="77777777" w:rsidR="00D13DC3" w:rsidRPr="006E2FDC" w:rsidRDefault="00D13DC3" w:rsidP="00D13DC3">
      <w:pPr>
        <w:pStyle w:val="NoSpacing"/>
        <w:jc w:val="both"/>
        <w:rPr>
          <w:rFonts w:ascii="Arial" w:hAnsi="Arial" w:cs="Arial"/>
          <w:sz w:val="20"/>
          <w:szCs w:val="24"/>
        </w:rPr>
      </w:pPr>
    </w:p>
    <w:p w14:paraId="66913F73" w14:textId="77777777" w:rsidR="00D13DC3" w:rsidRPr="006E2FDC" w:rsidRDefault="00D13DC3" w:rsidP="00D13DC3">
      <w:pPr>
        <w:pStyle w:val="NoSpacing"/>
        <w:jc w:val="both"/>
        <w:rPr>
          <w:rFonts w:ascii="Arial" w:hAnsi="Arial" w:cs="Arial"/>
          <w:sz w:val="20"/>
          <w:szCs w:val="24"/>
        </w:rPr>
      </w:pPr>
      <w:r w:rsidRPr="006E2FDC">
        <w:rPr>
          <w:rFonts w:ascii="Arial" w:hAnsi="Arial" w:cs="Arial"/>
          <w:sz w:val="20"/>
          <w:szCs w:val="24"/>
        </w:rPr>
        <w:t>An analytical cross-sectional quantitative study was conducted to assess microbial contamination in food carriers used by courier bikers in Lusaka, Zambia. The study focused on microbiological sampling and analysis to provide direct evidence of contamination risks in courier-based food delivery systems.</w:t>
      </w:r>
    </w:p>
    <w:p w14:paraId="6D3C1683" w14:textId="77777777" w:rsidR="00D13DC3" w:rsidRPr="006E2FDC" w:rsidRDefault="00D13DC3" w:rsidP="00D13DC3">
      <w:pPr>
        <w:pStyle w:val="NoSpacing"/>
        <w:jc w:val="both"/>
        <w:rPr>
          <w:rFonts w:ascii="Arial" w:hAnsi="Arial" w:cs="Arial"/>
          <w:sz w:val="20"/>
          <w:szCs w:val="24"/>
        </w:rPr>
      </w:pPr>
    </w:p>
    <w:p w14:paraId="35388378" w14:textId="77777777" w:rsidR="00D13DC3" w:rsidRPr="006E2FDC" w:rsidRDefault="00D13DC3" w:rsidP="00D13DC3">
      <w:pPr>
        <w:pStyle w:val="Heading2"/>
        <w:rPr>
          <w:rFonts w:ascii="Arial" w:hAnsi="Arial" w:cs="Arial"/>
          <w:b/>
          <w:color w:val="auto"/>
          <w:sz w:val="22"/>
        </w:rPr>
      </w:pPr>
      <w:r w:rsidRPr="006E2FDC">
        <w:rPr>
          <w:rFonts w:ascii="Arial" w:hAnsi="Arial" w:cs="Arial"/>
          <w:b/>
          <w:color w:val="auto"/>
          <w:sz w:val="22"/>
        </w:rPr>
        <w:lastRenderedPageBreak/>
        <w:t>Procedure</w:t>
      </w:r>
    </w:p>
    <w:p w14:paraId="54187161" w14:textId="77777777" w:rsidR="00D13DC3" w:rsidRPr="006E2FDC" w:rsidRDefault="00D13DC3" w:rsidP="00D13DC3">
      <w:pPr>
        <w:pStyle w:val="NoSpacing"/>
        <w:jc w:val="both"/>
        <w:rPr>
          <w:rFonts w:ascii="Arial" w:hAnsi="Arial" w:cs="Arial"/>
          <w:sz w:val="20"/>
          <w:szCs w:val="24"/>
        </w:rPr>
      </w:pPr>
    </w:p>
    <w:p w14:paraId="48C26776" w14:textId="77777777" w:rsidR="00D13DC3" w:rsidRPr="006E2FDC" w:rsidRDefault="00D13DC3" w:rsidP="00D13DC3">
      <w:pPr>
        <w:pStyle w:val="NoSpacing"/>
        <w:jc w:val="both"/>
        <w:rPr>
          <w:rFonts w:ascii="Arial" w:hAnsi="Arial" w:cs="Arial"/>
          <w:strike/>
          <w:sz w:val="20"/>
          <w:szCs w:val="24"/>
        </w:rPr>
      </w:pPr>
      <w:r w:rsidRPr="006E2FDC">
        <w:rPr>
          <w:rFonts w:ascii="Arial" w:hAnsi="Arial" w:cs="Arial"/>
          <w:sz w:val="20"/>
          <w:szCs w:val="24"/>
        </w:rPr>
        <w:t xml:space="preserve">Courier bikers actively engaged in food delivery within Lusaka were approached at bike ranks, delivery hubs, shopping malls, markets and streets. Inclusion criteria required participants to be aged 18 years or older, actively delivering food, and willing to allow for swabbing for microbiological analysis. A total of </w:t>
      </w:r>
      <w:r w:rsidRPr="006E2FDC">
        <w:rPr>
          <w:rStyle w:val="Strong"/>
          <w:rFonts w:ascii="Arial" w:hAnsi="Arial" w:cs="Arial"/>
          <w:b w:val="0"/>
          <w:sz w:val="20"/>
          <w:szCs w:val="24"/>
        </w:rPr>
        <w:t>93 food carriers including thermal bags, cooler boxes, Fiber boxes, plastic buckets, metal boxes and food delivery bags</w:t>
      </w:r>
      <w:r w:rsidRPr="006E2FDC">
        <w:rPr>
          <w:rFonts w:ascii="Arial" w:hAnsi="Arial" w:cs="Arial"/>
          <w:sz w:val="20"/>
          <w:szCs w:val="24"/>
        </w:rPr>
        <w:t xml:space="preserve"> were sampled using simple random sampling. This sample was larger than prior research by Budhathoki et al., </w:t>
      </w:r>
      <w:r w:rsidR="006E2FDC" w:rsidRPr="006E2FDC">
        <w:rPr>
          <w:rFonts w:ascii="Arial" w:hAnsi="Arial" w:cs="Arial"/>
          <w:sz w:val="20"/>
          <w:szCs w:val="20"/>
        </w:rPr>
        <w:t xml:space="preserve">(2021), </w:t>
      </w:r>
      <w:r w:rsidRPr="006E2FDC">
        <w:rPr>
          <w:rFonts w:ascii="Arial" w:hAnsi="Arial" w:cs="Arial"/>
          <w:sz w:val="20"/>
          <w:szCs w:val="24"/>
        </w:rPr>
        <w:t>which included only 34 carriers. Participants who declined were replaced by the next randomly selected biker until the target size was reached. Microbial saturation was achieved by the 46</w:t>
      </w:r>
      <w:r w:rsidRPr="006E2FDC">
        <w:rPr>
          <w:rFonts w:ascii="Arial" w:hAnsi="Arial" w:cs="Arial"/>
          <w:sz w:val="20"/>
          <w:szCs w:val="24"/>
          <w:vertAlign w:val="superscript"/>
        </w:rPr>
        <w:t>th</w:t>
      </w:r>
      <w:r w:rsidRPr="006E2FDC">
        <w:rPr>
          <w:rFonts w:ascii="Arial" w:hAnsi="Arial" w:cs="Arial"/>
          <w:sz w:val="20"/>
          <w:szCs w:val="24"/>
        </w:rPr>
        <w:t xml:space="preserve"> swab, with no new organisms isolated thereafter. Extending to 93 carriers confirmed saturation and strengthened reliability without unnecessary duplication. Given the concurrent cholera outbreak, resources limited further analysis beyond doubling the saturation point. This approach aligns with international food safety studies emphasizing saturation in environmental sampling </w:t>
      </w:r>
      <w:r w:rsidR="006E2FDC" w:rsidRPr="006E2FDC">
        <w:rPr>
          <w:rFonts w:ascii="Arial" w:hAnsi="Arial" w:cs="Arial"/>
          <w:sz w:val="20"/>
          <w:szCs w:val="20"/>
        </w:rPr>
        <w:t>(Barbosa et al., 2019; Adi, 2024).</w:t>
      </w:r>
    </w:p>
    <w:p w14:paraId="6507EFCF" w14:textId="77777777" w:rsidR="00D13DC3" w:rsidRPr="006E2FDC" w:rsidRDefault="00D13DC3" w:rsidP="00D13DC3">
      <w:pPr>
        <w:pStyle w:val="NoSpacing"/>
        <w:jc w:val="both"/>
        <w:rPr>
          <w:rFonts w:ascii="Arial" w:hAnsi="Arial" w:cs="Arial"/>
          <w:sz w:val="20"/>
          <w:szCs w:val="24"/>
        </w:rPr>
      </w:pPr>
      <w:r w:rsidRPr="006E2FDC">
        <w:rPr>
          <w:rFonts w:ascii="Arial" w:hAnsi="Arial" w:cs="Arial"/>
          <w:sz w:val="20"/>
          <w:szCs w:val="24"/>
        </w:rPr>
        <w:t xml:space="preserve">Swab samples were collected from the internal surfaces of food carriers using sterile cotton swabs moistened with buffered peptone water. Each swab was applied to a 25 cm² area of the carrier surface, following standardized protocols for environmental sampling in food safety research </w:t>
      </w:r>
      <w:r w:rsidR="006E2FDC" w:rsidRPr="006E2FDC">
        <w:rPr>
          <w:rFonts w:ascii="Arial" w:hAnsi="Arial" w:cs="Arial"/>
          <w:sz w:val="20"/>
          <w:szCs w:val="20"/>
        </w:rPr>
        <w:t xml:space="preserve">(Lee &amp; Yoon, 2021; Barbosa et al., 2019). </w:t>
      </w:r>
      <w:r w:rsidRPr="006E2FDC">
        <w:rPr>
          <w:rFonts w:ascii="Arial" w:hAnsi="Arial" w:cs="Arial"/>
          <w:sz w:val="20"/>
          <w:szCs w:val="24"/>
        </w:rPr>
        <w:t>Samples were immediately placed in sterile transport tubes, labeled, and maintained under cold chain conditions during transportation to microbiology laboratories in Lusaka.</w:t>
      </w:r>
    </w:p>
    <w:p w14:paraId="7C87BF26" w14:textId="77777777" w:rsidR="000E5D4B" w:rsidRPr="006E2FDC" w:rsidRDefault="000E5D4B" w:rsidP="000E5D4B"/>
    <w:p w14:paraId="7EBD04AB" w14:textId="77777777" w:rsidR="00D13DC3" w:rsidRPr="006E2FDC" w:rsidRDefault="00D13DC3" w:rsidP="00D13DC3">
      <w:pPr>
        <w:pStyle w:val="Heading2"/>
        <w:rPr>
          <w:rFonts w:ascii="Arial" w:hAnsi="Arial" w:cs="Arial"/>
          <w:b/>
          <w:color w:val="auto"/>
          <w:sz w:val="22"/>
        </w:rPr>
      </w:pPr>
      <w:r w:rsidRPr="006E2FDC">
        <w:rPr>
          <w:rFonts w:ascii="Arial" w:hAnsi="Arial" w:cs="Arial"/>
          <w:b/>
          <w:color w:val="auto"/>
          <w:sz w:val="22"/>
        </w:rPr>
        <w:t>Microbiological Analysis</w:t>
      </w:r>
    </w:p>
    <w:p w14:paraId="34691BAB" w14:textId="77777777" w:rsidR="000E5D4B" w:rsidRPr="006E2FDC" w:rsidRDefault="000E5D4B" w:rsidP="00D13DC3">
      <w:pPr>
        <w:pStyle w:val="NoSpacing"/>
        <w:jc w:val="both"/>
        <w:rPr>
          <w:rFonts w:ascii="Arial" w:hAnsi="Arial" w:cs="Arial"/>
          <w:sz w:val="20"/>
          <w:szCs w:val="24"/>
        </w:rPr>
      </w:pPr>
    </w:p>
    <w:p w14:paraId="3F57393A" w14:textId="77777777" w:rsidR="00D13DC3" w:rsidRPr="006E2FDC" w:rsidRDefault="00D13DC3" w:rsidP="00D13DC3">
      <w:pPr>
        <w:pStyle w:val="NoSpacing"/>
        <w:jc w:val="both"/>
        <w:rPr>
          <w:rFonts w:ascii="Arial" w:hAnsi="Arial" w:cs="Arial"/>
          <w:sz w:val="20"/>
          <w:szCs w:val="24"/>
        </w:rPr>
      </w:pPr>
      <w:r w:rsidRPr="006E2FDC">
        <w:rPr>
          <w:rFonts w:ascii="Arial" w:hAnsi="Arial" w:cs="Arial"/>
          <w:sz w:val="20"/>
          <w:szCs w:val="24"/>
        </w:rPr>
        <w:t xml:space="preserve">Samples were processed within 24 hours of collection. Standard culture methods were employed to isolate and identify microorganisms commonly implicated in FBDs, including </w:t>
      </w:r>
      <w:r w:rsidRPr="006E2FDC">
        <w:rPr>
          <w:rStyle w:val="Emphasis"/>
          <w:rFonts w:ascii="Arial" w:eastAsia="SimSun" w:hAnsi="Arial" w:cs="Arial"/>
          <w:sz w:val="20"/>
          <w:szCs w:val="24"/>
        </w:rPr>
        <w:t>Salmonella spp.</w:t>
      </w:r>
      <w:r w:rsidRPr="006E2FDC">
        <w:rPr>
          <w:rFonts w:ascii="Arial" w:hAnsi="Arial" w:cs="Arial"/>
          <w:sz w:val="20"/>
          <w:szCs w:val="24"/>
        </w:rPr>
        <w:t xml:space="preserve">, </w:t>
      </w:r>
      <w:r w:rsidRPr="006E2FDC">
        <w:rPr>
          <w:rStyle w:val="Emphasis"/>
          <w:rFonts w:ascii="Arial" w:eastAsia="SimSun" w:hAnsi="Arial" w:cs="Arial"/>
          <w:sz w:val="20"/>
          <w:szCs w:val="24"/>
        </w:rPr>
        <w:t>E. coli</w:t>
      </w:r>
      <w:r w:rsidRPr="006E2FDC">
        <w:rPr>
          <w:rFonts w:ascii="Arial" w:hAnsi="Arial" w:cs="Arial"/>
          <w:sz w:val="20"/>
          <w:szCs w:val="24"/>
        </w:rPr>
        <w:t xml:space="preserve">, </w:t>
      </w:r>
      <w:r w:rsidRPr="006E2FDC">
        <w:rPr>
          <w:rStyle w:val="Emphasis"/>
          <w:rFonts w:ascii="Arial" w:eastAsia="SimSun" w:hAnsi="Arial" w:cs="Arial"/>
          <w:sz w:val="20"/>
          <w:szCs w:val="24"/>
        </w:rPr>
        <w:t>Listeria monocytogenes</w:t>
      </w:r>
      <w:r w:rsidRPr="006E2FDC">
        <w:rPr>
          <w:rFonts w:ascii="Arial" w:hAnsi="Arial" w:cs="Arial"/>
          <w:sz w:val="20"/>
          <w:szCs w:val="24"/>
        </w:rPr>
        <w:t xml:space="preserve">, </w:t>
      </w:r>
      <w:r w:rsidRPr="006E2FDC">
        <w:rPr>
          <w:rStyle w:val="Emphasis"/>
          <w:rFonts w:ascii="Arial" w:eastAsia="SimSun" w:hAnsi="Arial" w:cs="Arial"/>
          <w:sz w:val="20"/>
          <w:szCs w:val="24"/>
        </w:rPr>
        <w:t>Campylobacter spp.</w:t>
      </w:r>
      <w:r w:rsidRPr="006E2FDC">
        <w:rPr>
          <w:rFonts w:ascii="Arial" w:hAnsi="Arial" w:cs="Arial"/>
          <w:sz w:val="20"/>
          <w:szCs w:val="24"/>
        </w:rPr>
        <w:t xml:space="preserve">, </w:t>
      </w:r>
      <w:r w:rsidRPr="006E2FDC">
        <w:rPr>
          <w:rStyle w:val="Emphasis"/>
          <w:rFonts w:ascii="Arial" w:eastAsia="SimSun" w:hAnsi="Arial" w:cs="Arial"/>
          <w:sz w:val="20"/>
          <w:szCs w:val="24"/>
        </w:rPr>
        <w:t>Staphylococcus aureus</w:t>
      </w:r>
      <w:r w:rsidRPr="006E2FDC">
        <w:rPr>
          <w:rFonts w:ascii="Arial" w:hAnsi="Arial" w:cs="Arial"/>
          <w:sz w:val="20"/>
          <w:szCs w:val="24"/>
        </w:rPr>
        <w:t xml:space="preserve">, and </w:t>
      </w:r>
      <w:r w:rsidRPr="006E2FDC">
        <w:rPr>
          <w:rStyle w:val="Emphasis"/>
          <w:rFonts w:ascii="Arial" w:eastAsia="SimSun" w:hAnsi="Arial" w:cs="Arial"/>
          <w:sz w:val="20"/>
          <w:szCs w:val="24"/>
        </w:rPr>
        <w:t>Clostridium perfringens</w:t>
      </w:r>
      <w:r w:rsidRPr="006E2FDC">
        <w:rPr>
          <w:rFonts w:ascii="Arial" w:hAnsi="Arial" w:cs="Arial"/>
          <w:sz w:val="20"/>
          <w:szCs w:val="24"/>
        </w:rPr>
        <w:t xml:space="preserve"> </w:t>
      </w:r>
      <w:r w:rsidR="006E2FDC" w:rsidRPr="006E2FDC">
        <w:rPr>
          <w:rFonts w:ascii="Arial" w:hAnsi="Arial" w:cs="Arial"/>
          <w:sz w:val="20"/>
          <w:szCs w:val="20"/>
        </w:rPr>
        <w:t>(Lee &amp; Yoon, 2021; Barbosa et al., 2019).</w:t>
      </w:r>
    </w:p>
    <w:p w14:paraId="103B3233" w14:textId="77777777" w:rsidR="00D13DC3" w:rsidRDefault="00D13DC3" w:rsidP="00D13DC3">
      <w:pPr>
        <w:pStyle w:val="NoSpacing"/>
        <w:jc w:val="both"/>
        <w:rPr>
          <w:rFonts w:ascii="Arial" w:hAnsi="Arial" w:cs="Arial"/>
          <w:sz w:val="20"/>
          <w:szCs w:val="24"/>
        </w:rPr>
      </w:pPr>
      <w:r w:rsidRPr="006E2FDC">
        <w:rPr>
          <w:rFonts w:ascii="Arial" w:hAnsi="Arial" w:cs="Arial"/>
          <w:sz w:val="20"/>
          <w:szCs w:val="24"/>
        </w:rPr>
        <w:t>Microbial identification was performed using selective and differential media, followed by biochemical testing. Colony counts were expressed as prevalence percentages of positive samples. Quality assurance procedures included duplicate plating and the use of reference</w:t>
      </w:r>
      <w:r w:rsidRPr="00D13DC3">
        <w:rPr>
          <w:rFonts w:ascii="Arial" w:hAnsi="Arial" w:cs="Arial"/>
          <w:sz w:val="20"/>
          <w:szCs w:val="24"/>
        </w:rPr>
        <w:t xml:space="preserve"> strains for validation.</w:t>
      </w:r>
    </w:p>
    <w:p w14:paraId="4A0196FC" w14:textId="77777777" w:rsidR="000E5D4B" w:rsidRPr="00D13DC3" w:rsidRDefault="000E5D4B" w:rsidP="00D13DC3">
      <w:pPr>
        <w:pStyle w:val="NoSpacing"/>
        <w:jc w:val="both"/>
        <w:rPr>
          <w:rFonts w:ascii="Arial" w:hAnsi="Arial" w:cs="Arial"/>
          <w:sz w:val="20"/>
          <w:szCs w:val="24"/>
        </w:rPr>
      </w:pPr>
    </w:p>
    <w:p w14:paraId="3A0A0DD3" w14:textId="77777777" w:rsidR="00D13DC3" w:rsidRPr="00D13DC3" w:rsidRDefault="00D13DC3" w:rsidP="00D13DC3">
      <w:pPr>
        <w:pStyle w:val="Heading2"/>
        <w:rPr>
          <w:rFonts w:ascii="Arial" w:hAnsi="Arial" w:cs="Arial"/>
          <w:b/>
          <w:color w:val="auto"/>
          <w:sz w:val="22"/>
        </w:rPr>
      </w:pPr>
      <w:r w:rsidRPr="00D13DC3">
        <w:rPr>
          <w:rFonts w:ascii="Arial" w:hAnsi="Arial" w:cs="Arial"/>
          <w:b/>
          <w:color w:val="auto"/>
          <w:sz w:val="22"/>
        </w:rPr>
        <w:t>Statistical Analysis</w:t>
      </w:r>
    </w:p>
    <w:p w14:paraId="2EC12E0C" w14:textId="77777777" w:rsidR="000E5D4B" w:rsidRDefault="000E5D4B" w:rsidP="00D13DC3">
      <w:pPr>
        <w:pStyle w:val="NoSpacing"/>
        <w:jc w:val="both"/>
        <w:rPr>
          <w:rFonts w:ascii="Arial" w:hAnsi="Arial" w:cs="Arial"/>
          <w:sz w:val="20"/>
          <w:szCs w:val="24"/>
        </w:rPr>
      </w:pPr>
    </w:p>
    <w:p w14:paraId="44104665" w14:textId="77777777" w:rsidR="00D13DC3" w:rsidRPr="00D13DC3" w:rsidRDefault="00D13DC3" w:rsidP="00D13DC3">
      <w:pPr>
        <w:pStyle w:val="NoSpacing"/>
        <w:jc w:val="both"/>
        <w:rPr>
          <w:rFonts w:ascii="Arial" w:hAnsi="Arial" w:cs="Arial"/>
          <w:sz w:val="20"/>
          <w:szCs w:val="24"/>
        </w:rPr>
      </w:pPr>
      <w:r w:rsidRPr="00D13DC3">
        <w:rPr>
          <w:rFonts w:ascii="Arial" w:hAnsi="Arial" w:cs="Arial"/>
          <w:sz w:val="20"/>
          <w:szCs w:val="24"/>
        </w:rPr>
        <w:t>Microbiological data were analyzed descriptively, reporting the prevalence and distribution of isolated pathogens across the 93 food carriers. Statistical analysis was conducted using JASP 0.19.0.0, with chi-square tests applied to examine associations between contamination and selected courier characteristics. Pearson coefficient correlation was employed to determine the relationships between variables while Logistic regression analysis was performed to estimate the predictors of contamination in the sample.</w:t>
      </w:r>
    </w:p>
    <w:p w14:paraId="3F6967D5" w14:textId="77777777" w:rsidR="00790ADA" w:rsidRPr="00FB3A86" w:rsidRDefault="00790ADA" w:rsidP="00441B6F">
      <w:pPr>
        <w:pStyle w:val="Body"/>
        <w:spacing w:after="0"/>
        <w:rPr>
          <w:rFonts w:ascii="Arial" w:hAnsi="Arial" w:cs="Arial"/>
        </w:rPr>
      </w:pPr>
    </w:p>
    <w:p w14:paraId="49C139B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D0B598" w14:textId="77777777" w:rsidR="00790ADA" w:rsidRPr="00FB3A86" w:rsidRDefault="00790ADA" w:rsidP="00441B6F">
      <w:pPr>
        <w:pStyle w:val="Head1"/>
        <w:spacing w:after="0"/>
        <w:jc w:val="both"/>
        <w:rPr>
          <w:rFonts w:ascii="Arial" w:hAnsi="Arial" w:cs="Arial"/>
        </w:rPr>
      </w:pPr>
    </w:p>
    <w:p w14:paraId="25D348F5" w14:textId="77777777" w:rsidR="000E5D4B" w:rsidRPr="000E5D4B" w:rsidRDefault="000E5D4B" w:rsidP="000E5D4B">
      <w:pPr>
        <w:pStyle w:val="Heading2"/>
        <w:rPr>
          <w:rFonts w:ascii="Arial" w:hAnsi="Arial" w:cs="Arial"/>
          <w:b/>
          <w:color w:val="auto"/>
          <w:sz w:val="22"/>
        </w:rPr>
      </w:pPr>
      <w:r w:rsidRPr="000E5D4B">
        <w:rPr>
          <w:rFonts w:ascii="Arial" w:hAnsi="Arial" w:cs="Arial"/>
          <w:b/>
          <w:color w:val="auto"/>
          <w:sz w:val="22"/>
        </w:rPr>
        <w:t xml:space="preserve">3.1 Sociodemographic and </w:t>
      </w:r>
      <w:r>
        <w:rPr>
          <w:rFonts w:ascii="Arial" w:hAnsi="Arial" w:cs="Arial"/>
          <w:b/>
          <w:color w:val="auto"/>
          <w:sz w:val="22"/>
        </w:rPr>
        <w:t>O</w:t>
      </w:r>
      <w:r w:rsidRPr="000E5D4B">
        <w:rPr>
          <w:rFonts w:ascii="Arial" w:hAnsi="Arial" w:cs="Arial"/>
          <w:b/>
          <w:color w:val="auto"/>
          <w:sz w:val="22"/>
        </w:rPr>
        <w:t xml:space="preserve">perational </w:t>
      </w:r>
      <w:r>
        <w:rPr>
          <w:rFonts w:ascii="Arial" w:hAnsi="Arial" w:cs="Arial"/>
          <w:b/>
          <w:color w:val="auto"/>
          <w:sz w:val="22"/>
        </w:rPr>
        <w:t>C</w:t>
      </w:r>
      <w:r w:rsidRPr="000E5D4B">
        <w:rPr>
          <w:rFonts w:ascii="Arial" w:hAnsi="Arial" w:cs="Arial"/>
          <w:b/>
          <w:color w:val="auto"/>
          <w:sz w:val="22"/>
        </w:rPr>
        <w:t xml:space="preserve">haracteristics of </w:t>
      </w:r>
      <w:r>
        <w:rPr>
          <w:rFonts w:ascii="Arial" w:hAnsi="Arial" w:cs="Arial"/>
          <w:b/>
          <w:color w:val="auto"/>
          <w:sz w:val="22"/>
        </w:rPr>
        <w:t>C</w:t>
      </w:r>
      <w:r w:rsidRPr="000E5D4B">
        <w:rPr>
          <w:rFonts w:ascii="Arial" w:hAnsi="Arial" w:cs="Arial"/>
          <w:b/>
          <w:color w:val="auto"/>
          <w:sz w:val="22"/>
        </w:rPr>
        <w:t xml:space="preserve">ourier </w:t>
      </w:r>
      <w:r>
        <w:rPr>
          <w:rFonts w:ascii="Arial" w:hAnsi="Arial" w:cs="Arial"/>
          <w:b/>
          <w:color w:val="auto"/>
          <w:sz w:val="22"/>
        </w:rPr>
        <w:t>B</w:t>
      </w:r>
      <w:r w:rsidRPr="000E5D4B">
        <w:rPr>
          <w:rFonts w:ascii="Arial" w:hAnsi="Arial" w:cs="Arial"/>
          <w:b/>
          <w:color w:val="auto"/>
          <w:sz w:val="22"/>
        </w:rPr>
        <w:t>ikers</w:t>
      </w:r>
    </w:p>
    <w:p w14:paraId="35A2B672" w14:textId="77777777" w:rsidR="000E5D4B" w:rsidRDefault="000E5D4B" w:rsidP="000E5D4B">
      <w:pPr>
        <w:pStyle w:val="NoSpacing"/>
        <w:spacing w:line="360" w:lineRule="auto"/>
        <w:jc w:val="both"/>
        <w:rPr>
          <w:rFonts w:ascii="Arial" w:hAnsi="Arial" w:cs="Arial"/>
          <w:b/>
        </w:rPr>
      </w:pPr>
    </w:p>
    <w:p w14:paraId="3E3E0C48" w14:textId="77777777" w:rsidR="000E5D4B" w:rsidRPr="000E5D4B" w:rsidRDefault="000E5D4B" w:rsidP="000E5D4B">
      <w:pPr>
        <w:pStyle w:val="NoSpacing"/>
        <w:spacing w:line="360" w:lineRule="auto"/>
        <w:rPr>
          <w:rFonts w:ascii="Arial" w:hAnsi="Arial" w:cs="Arial"/>
          <w:sz w:val="20"/>
        </w:rPr>
      </w:pPr>
      <w:r w:rsidRPr="000E5D4B">
        <w:rPr>
          <w:rFonts w:ascii="Arial" w:hAnsi="Arial" w:cs="Arial"/>
          <w:b/>
          <w:sz w:val="20"/>
        </w:rPr>
        <w:t xml:space="preserve">Table 1: </w:t>
      </w:r>
      <w:r w:rsidRPr="000E5D4B">
        <w:rPr>
          <w:rFonts w:ascii="Arial" w:hAnsi="Arial" w:cs="Arial"/>
          <w:sz w:val="20"/>
        </w:rPr>
        <w:t>Sociodemographic and operational characteristics of courier bikers (N = 93)</w:t>
      </w:r>
    </w:p>
    <w:tbl>
      <w:tblPr>
        <w:tblStyle w:val="TableGrid"/>
        <w:tblW w:w="824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1"/>
        <w:gridCol w:w="2882"/>
        <w:gridCol w:w="1601"/>
        <w:gridCol w:w="1680"/>
      </w:tblGrid>
      <w:tr w:rsidR="000E5D4B" w:rsidRPr="000E5D4B" w14:paraId="64869065" w14:textId="77777777" w:rsidTr="000E5D4B">
        <w:trPr>
          <w:trHeight w:val="270"/>
        </w:trPr>
        <w:tc>
          <w:tcPr>
            <w:tcW w:w="2081" w:type="dxa"/>
            <w:tcBorders>
              <w:top w:val="single" w:sz="4" w:space="0" w:color="auto"/>
              <w:bottom w:val="single" w:sz="4" w:space="0" w:color="auto"/>
            </w:tcBorders>
            <w:hideMark/>
          </w:tcPr>
          <w:p w14:paraId="6D69E9F7" w14:textId="77777777" w:rsidR="000E5D4B" w:rsidRPr="000E5D4B" w:rsidRDefault="000E5D4B" w:rsidP="000E5D4B">
            <w:pPr>
              <w:pStyle w:val="NoSpacing"/>
              <w:rPr>
                <w:rFonts w:ascii="Arial" w:hAnsi="Arial" w:cs="Arial"/>
                <w:b/>
                <w:sz w:val="20"/>
                <w:szCs w:val="20"/>
              </w:rPr>
            </w:pPr>
            <w:r w:rsidRPr="000E5D4B">
              <w:rPr>
                <w:rFonts w:ascii="Arial" w:hAnsi="Arial" w:cs="Arial"/>
                <w:b/>
                <w:sz w:val="20"/>
                <w:szCs w:val="20"/>
              </w:rPr>
              <w:t>Variable</w:t>
            </w:r>
          </w:p>
        </w:tc>
        <w:tc>
          <w:tcPr>
            <w:tcW w:w="2882" w:type="dxa"/>
            <w:tcBorders>
              <w:top w:val="single" w:sz="4" w:space="0" w:color="auto"/>
              <w:bottom w:val="single" w:sz="4" w:space="0" w:color="auto"/>
            </w:tcBorders>
            <w:hideMark/>
          </w:tcPr>
          <w:p w14:paraId="13419155" w14:textId="77777777" w:rsidR="000E5D4B" w:rsidRPr="000E5D4B" w:rsidRDefault="000E5D4B" w:rsidP="000E5D4B">
            <w:pPr>
              <w:pStyle w:val="NoSpacing"/>
              <w:rPr>
                <w:rFonts w:ascii="Arial" w:hAnsi="Arial" w:cs="Arial"/>
                <w:b/>
                <w:sz w:val="20"/>
                <w:szCs w:val="20"/>
              </w:rPr>
            </w:pPr>
            <w:r w:rsidRPr="000E5D4B">
              <w:rPr>
                <w:rFonts w:ascii="Arial" w:hAnsi="Arial" w:cs="Arial"/>
                <w:b/>
                <w:sz w:val="20"/>
                <w:szCs w:val="20"/>
              </w:rPr>
              <w:t>Categories</w:t>
            </w:r>
          </w:p>
        </w:tc>
        <w:tc>
          <w:tcPr>
            <w:tcW w:w="1601" w:type="dxa"/>
            <w:tcBorders>
              <w:top w:val="single" w:sz="4" w:space="0" w:color="auto"/>
              <w:bottom w:val="single" w:sz="4" w:space="0" w:color="auto"/>
            </w:tcBorders>
            <w:hideMark/>
          </w:tcPr>
          <w:p w14:paraId="5571333C" w14:textId="77777777" w:rsidR="000E5D4B" w:rsidRPr="000E5D4B" w:rsidRDefault="000E5D4B" w:rsidP="000E5D4B">
            <w:pPr>
              <w:pStyle w:val="NoSpacing"/>
              <w:rPr>
                <w:rFonts w:ascii="Arial" w:hAnsi="Arial" w:cs="Arial"/>
                <w:b/>
                <w:sz w:val="20"/>
                <w:szCs w:val="20"/>
              </w:rPr>
            </w:pPr>
            <w:r w:rsidRPr="000E5D4B">
              <w:rPr>
                <w:rFonts w:ascii="Arial" w:hAnsi="Arial" w:cs="Arial"/>
                <w:b/>
                <w:sz w:val="20"/>
                <w:szCs w:val="20"/>
              </w:rPr>
              <w:t>Frequency (n)</w:t>
            </w:r>
          </w:p>
        </w:tc>
        <w:tc>
          <w:tcPr>
            <w:tcW w:w="1680" w:type="dxa"/>
            <w:tcBorders>
              <w:top w:val="single" w:sz="4" w:space="0" w:color="auto"/>
              <w:bottom w:val="single" w:sz="4" w:space="0" w:color="auto"/>
            </w:tcBorders>
            <w:hideMark/>
          </w:tcPr>
          <w:p w14:paraId="72C757F7" w14:textId="77777777" w:rsidR="000E5D4B" w:rsidRPr="000E5D4B" w:rsidRDefault="000E5D4B" w:rsidP="000E5D4B">
            <w:pPr>
              <w:pStyle w:val="NoSpacing"/>
              <w:rPr>
                <w:rFonts w:ascii="Arial" w:hAnsi="Arial" w:cs="Arial"/>
                <w:b/>
                <w:sz w:val="20"/>
                <w:szCs w:val="20"/>
              </w:rPr>
            </w:pPr>
            <w:r w:rsidRPr="000E5D4B">
              <w:rPr>
                <w:rFonts w:ascii="Arial" w:hAnsi="Arial" w:cs="Arial"/>
                <w:b/>
                <w:sz w:val="20"/>
                <w:szCs w:val="20"/>
              </w:rPr>
              <w:t>Percentage (%)</w:t>
            </w:r>
          </w:p>
        </w:tc>
      </w:tr>
      <w:tr w:rsidR="000E5D4B" w:rsidRPr="000E5D4B" w14:paraId="2948BFCA" w14:textId="77777777" w:rsidTr="000E5D4B">
        <w:trPr>
          <w:trHeight w:val="270"/>
        </w:trPr>
        <w:tc>
          <w:tcPr>
            <w:tcW w:w="2081" w:type="dxa"/>
            <w:tcBorders>
              <w:top w:val="single" w:sz="4" w:space="0" w:color="auto"/>
            </w:tcBorders>
            <w:hideMark/>
          </w:tcPr>
          <w:p w14:paraId="195E61AA"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Age (years)</w:t>
            </w:r>
          </w:p>
        </w:tc>
        <w:tc>
          <w:tcPr>
            <w:tcW w:w="2882" w:type="dxa"/>
            <w:tcBorders>
              <w:top w:val="single" w:sz="4" w:space="0" w:color="auto"/>
            </w:tcBorders>
            <w:hideMark/>
          </w:tcPr>
          <w:p w14:paraId="54D56A9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Mean = 28.9, Range = 18–48</w:t>
            </w:r>
          </w:p>
        </w:tc>
        <w:tc>
          <w:tcPr>
            <w:tcW w:w="1601" w:type="dxa"/>
            <w:tcBorders>
              <w:top w:val="single" w:sz="4" w:space="0" w:color="auto"/>
            </w:tcBorders>
            <w:hideMark/>
          </w:tcPr>
          <w:p w14:paraId="1A67B0D3" w14:textId="77777777" w:rsidR="000E5D4B" w:rsidRPr="000E5D4B" w:rsidRDefault="000E5D4B" w:rsidP="000E5D4B">
            <w:pPr>
              <w:pStyle w:val="NoSpacing"/>
              <w:rPr>
                <w:rFonts w:ascii="Arial" w:hAnsi="Arial" w:cs="Arial"/>
                <w:sz w:val="20"/>
                <w:szCs w:val="20"/>
              </w:rPr>
            </w:pPr>
            <w:proofErr w:type="spellStart"/>
            <w:proofErr w:type="gramStart"/>
            <w:r w:rsidRPr="000E5D4B">
              <w:rPr>
                <w:rFonts w:ascii="Arial" w:hAnsi="Arial" w:cs="Arial"/>
                <w:sz w:val="20"/>
                <w:szCs w:val="20"/>
              </w:rPr>
              <w:t>n.d</w:t>
            </w:r>
            <w:proofErr w:type="spellEnd"/>
            <w:proofErr w:type="gramEnd"/>
          </w:p>
        </w:tc>
        <w:tc>
          <w:tcPr>
            <w:tcW w:w="1680" w:type="dxa"/>
            <w:tcBorders>
              <w:top w:val="single" w:sz="4" w:space="0" w:color="auto"/>
            </w:tcBorders>
            <w:hideMark/>
          </w:tcPr>
          <w:p w14:paraId="16F75370" w14:textId="77777777" w:rsidR="000E5D4B" w:rsidRPr="000E5D4B" w:rsidRDefault="000E5D4B" w:rsidP="000E5D4B">
            <w:pPr>
              <w:pStyle w:val="NoSpacing"/>
              <w:rPr>
                <w:rFonts w:ascii="Arial" w:hAnsi="Arial" w:cs="Arial"/>
                <w:sz w:val="20"/>
                <w:szCs w:val="20"/>
              </w:rPr>
            </w:pPr>
            <w:proofErr w:type="spellStart"/>
            <w:proofErr w:type="gramStart"/>
            <w:r w:rsidRPr="000E5D4B">
              <w:rPr>
                <w:rFonts w:ascii="Arial" w:hAnsi="Arial" w:cs="Arial"/>
                <w:sz w:val="20"/>
                <w:szCs w:val="20"/>
              </w:rPr>
              <w:t>n.d</w:t>
            </w:r>
            <w:proofErr w:type="spellEnd"/>
            <w:proofErr w:type="gramEnd"/>
          </w:p>
        </w:tc>
      </w:tr>
      <w:tr w:rsidR="000E5D4B" w:rsidRPr="000E5D4B" w14:paraId="069770E5" w14:textId="77777777" w:rsidTr="000E5D4B">
        <w:trPr>
          <w:trHeight w:val="270"/>
        </w:trPr>
        <w:tc>
          <w:tcPr>
            <w:tcW w:w="2081" w:type="dxa"/>
            <w:hideMark/>
          </w:tcPr>
          <w:p w14:paraId="66F2628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Education</w:t>
            </w:r>
          </w:p>
        </w:tc>
        <w:tc>
          <w:tcPr>
            <w:tcW w:w="2882" w:type="dxa"/>
            <w:hideMark/>
          </w:tcPr>
          <w:p w14:paraId="7BBAAD15"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No school</w:t>
            </w:r>
          </w:p>
        </w:tc>
        <w:tc>
          <w:tcPr>
            <w:tcW w:w="1601" w:type="dxa"/>
            <w:hideMark/>
          </w:tcPr>
          <w:p w14:paraId="438EE8E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w:t>
            </w:r>
          </w:p>
        </w:tc>
        <w:tc>
          <w:tcPr>
            <w:tcW w:w="1680" w:type="dxa"/>
            <w:hideMark/>
          </w:tcPr>
          <w:p w14:paraId="5C88C91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w:t>
            </w:r>
          </w:p>
        </w:tc>
      </w:tr>
      <w:tr w:rsidR="000E5D4B" w:rsidRPr="000E5D4B" w14:paraId="1A0A4597" w14:textId="77777777" w:rsidTr="000E5D4B">
        <w:trPr>
          <w:trHeight w:val="270"/>
        </w:trPr>
        <w:tc>
          <w:tcPr>
            <w:tcW w:w="2081" w:type="dxa"/>
            <w:hideMark/>
          </w:tcPr>
          <w:p w14:paraId="7AD2A621" w14:textId="77777777" w:rsidR="000E5D4B" w:rsidRPr="000E5D4B" w:rsidRDefault="000E5D4B" w:rsidP="000E5D4B">
            <w:pPr>
              <w:pStyle w:val="NoSpacing"/>
              <w:rPr>
                <w:rFonts w:ascii="Arial" w:hAnsi="Arial" w:cs="Arial"/>
                <w:sz w:val="20"/>
                <w:szCs w:val="20"/>
              </w:rPr>
            </w:pPr>
          </w:p>
        </w:tc>
        <w:tc>
          <w:tcPr>
            <w:tcW w:w="2882" w:type="dxa"/>
            <w:hideMark/>
          </w:tcPr>
          <w:p w14:paraId="7E3C2EE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Primary</w:t>
            </w:r>
          </w:p>
        </w:tc>
        <w:tc>
          <w:tcPr>
            <w:tcW w:w="1601" w:type="dxa"/>
            <w:hideMark/>
          </w:tcPr>
          <w:p w14:paraId="65DF675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12</w:t>
            </w:r>
          </w:p>
        </w:tc>
        <w:tc>
          <w:tcPr>
            <w:tcW w:w="1680" w:type="dxa"/>
            <w:hideMark/>
          </w:tcPr>
          <w:p w14:paraId="468C93AE"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13%</w:t>
            </w:r>
          </w:p>
        </w:tc>
      </w:tr>
      <w:tr w:rsidR="000E5D4B" w:rsidRPr="000E5D4B" w14:paraId="6762E018" w14:textId="77777777" w:rsidTr="000E5D4B">
        <w:trPr>
          <w:trHeight w:val="270"/>
        </w:trPr>
        <w:tc>
          <w:tcPr>
            <w:tcW w:w="2081" w:type="dxa"/>
            <w:hideMark/>
          </w:tcPr>
          <w:p w14:paraId="171C815B" w14:textId="77777777" w:rsidR="000E5D4B" w:rsidRPr="000E5D4B" w:rsidRDefault="000E5D4B" w:rsidP="000E5D4B">
            <w:pPr>
              <w:pStyle w:val="NoSpacing"/>
              <w:rPr>
                <w:rFonts w:ascii="Arial" w:hAnsi="Arial" w:cs="Arial"/>
                <w:sz w:val="20"/>
                <w:szCs w:val="20"/>
              </w:rPr>
            </w:pPr>
          </w:p>
        </w:tc>
        <w:tc>
          <w:tcPr>
            <w:tcW w:w="2882" w:type="dxa"/>
            <w:hideMark/>
          </w:tcPr>
          <w:p w14:paraId="3B9B4F2F"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Secondary</w:t>
            </w:r>
          </w:p>
        </w:tc>
        <w:tc>
          <w:tcPr>
            <w:tcW w:w="1601" w:type="dxa"/>
            <w:hideMark/>
          </w:tcPr>
          <w:p w14:paraId="503990B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70</w:t>
            </w:r>
          </w:p>
        </w:tc>
        <w:tc>
          <w:tcPr>
            <w:tcW w:w="1680" w:type="dxa"/>
            <w:hideMark/>
          </w:tcPr>
          <w:p w14:paraId="4B71CA1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75%</w:t>
            </w:r>
          </w:p>
        </w:tc>
      </w:tr>
      <w:tr w:rsidR="000E5D4B" w:rsidRPr="000E5D4B" w14:paraId="7DAA010E" w14:textId="77777777" w:rsidTr="000E5D4B">
        <w:trPr>
          <w:trHeight w:val="270"/>
        </w:trPr>
        <w:tc>
          <w:tcPr>
            <w:tcW w:w="2081" w:type="dxa"/>
            <w:hideMark/>
          </w:tcPr>
          <w:p w14:paraId="573BEFB4" w14:textId="77777777" w:rsidR="000E5D4B" w:rsidRPr="000E5D4B" w:rsidRDefault="000E5D4B" w:rsidP="000E5D4B">
            <w:pPr>
              <w:pStyle w:val="NoSpacing"/>
              <w:rPr>
                <w:rFonts w:ascii="Arial" w:hAnsi="Arial" w:cs="Arial"/>
                <w:sz w:val="20"/>
                <w:szCs w:val="20"/>
              </w:rPr>
            </w:pPr>
          </w:p>
        </w:tc>
        <w:tc>
          <w:tcPr>
            <w:tcW w:w="2882" w:type="dxa"/>
            <w:hideMark/>
          </w:tcPr>
          <w:p w14:paraId="3167B75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Tertiary</w:t>
            </w:r>
          </w:p>
        </w:tc>
        <w:tc>
          <w:tcPr>
            <w:tcW w:w="1601" w:type="dxa"/>
            <w:hideMark/>
          </w:tcPr>
          <w:p w14:paraId="72F0599E"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8</w:t>
            </w:r>
          </w:p>
        </w:tc>
        <w:tc>
          <w:tcPr>
            <w:tcW w:w="1680" w:type="dxa"/>
            <w:hideMark/>
          </w:tcPr>
          <w:p w14:paraId="09AAEF4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9%</w:t>
            </w:r>
          </w:p>
        </w:tc>
      </w:tr>
      <w:tr w:rsidR="000E5D4B" w:rsidRPr="000E5D4B" w14:paraId="4D686E3B" w14:textId="77777777" w:rsidTr="000E5D4B">
        <w:trPr>
          <w:trHeight w:val="270"/>
        </w:trPr>
        <w:tc>
          <w:tcPr>
            <w:tcW w:w="2081" w:type="dxa"/>
            <w:hideMark/>
          </w:tcPr>
          <w:p w14:paraId="7DF771D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Certified Food Handler</w:t>
            </w:r>
          </w:p>
        </w:tc>
        <w:tc>
          <w:tcPr>
            <w:tcW w:w="2882" w:type="dxa"/>
            <w:hideMark/>
          </w:tcPr>
          <w:p w14:paraId="18D82E30"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Yes</w:t>
            </w:r>
          </w:p>
        </w:tc>
        <w:tc>
          <w:tcPr>
            <w:tcW w:w="1601" w:type="dxa"/>
            <w:hideMark/>
          </w:tcPr>
          <w:p w14:paraId="3870A78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23</w:t>
            </w:r>
          </w:p>
        </w:tc>
        <w:tc>
          <w:tcPr>
            <w:tcW w:w="1680" w:type="dxa"/>
            <w:hideMark/>
          </w:tcPr>
          <w:p w14:paraId="54D6BEF4"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25%</w:t>
            </w:r>
          </w:p>
        </w:tc>
      </w:tr>
      <w:tr w:rsidR="000E5D4B" w:rsidRPr="000E5D4B" w14:paraId="6C4493AE" w14:textId="77777777" w:rsidTr="000E5D4B">
        <w:trPr>
          <w:trHeight w:val="285"/>
        </w:trPr>
        <w:tc>
          <w:tcPr>
            <w:tcW w:w="2081" w:type="dxa"/>
            <w:hideMark/>
          </w:tcPr>
          <w:p w14:paraId="3A59B43C" w14:textId="77777777" w:rsidR="000E5D4B" w:rsidRPr="000E5D4B" w:rsidRDefault="000E5D4B" w:rsidP="000E5D4B">
            <w:pPr>
              <w:pStyle w:val="NoSpacing"/>
              <w:rPr>
                <w:rFonts w:ascii="Arial" w:hAnsi="Arial" w:cs="Arial"/>
                <w:sz w:val="20"/>
                <w:szCs w:val="20"/>
              </w:rPr>
            </w:pPr>
          </w:p>
        </w:tc>
        <w:tc>
          <w:tcPr>
            <w:tcW w:w="2882" w:type="dxa"/>
            <w:hideMark/>
          </w:tcPr>
          <w:p w14:paraId="1E6443B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No</w:t>
            </w:r>
          </w:p>
        </w:tc>
        <w:tc>
          <w:tcPr>
            <w:tcW w:w="1601" w:type="dxa"/>
            <w:hideMark/>
          </w:tcPr>
          <w:p w14:paraId="07871FEC"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70</w:t>
            </w:r>
          </w:p>
        </w:tc>
        <w:tc>
          <w:tcPr>
            <w:tcW w:w="1680" w:type="dxa"/>
            <w:hideMark/>
          </w:tcPr>
          <w:p w14:paraId="65E0630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75%</w:t>
            </w:r>
          </w:p>
        </w:tc>
      </w:tr>
      <w:tr w:rsidR="000E5D4B" w:rsidRPr="000E5D4B" w14:paraId="608E104D" w14:textId="77777777" w:rsidTr="000E5D4B">
        <w:trPr>
          <w:trHeight w:val="270"/>
        </w:trPr>
        <w:tc>
          <w:tcPr>
            <w:tcW w:w="2081" w:type="dxa"/>
            <w:hideMark/>
          </w:tcPr>
          <w:p w14:paraId="1DE26FA0"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Mode of Operation</w:t>
            </w:r>
          </w:p>
        </w:tc>
        <w:tc>
          <w:tcPr>
            <w:tcW w:w="2882" w:type="dxa"/>
            <w:hideMark/>
          </w:tcPr>
          <w:p w14:paraId="12E118E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Employed</w:t>
            </w:r>
          </w:p>
        </w:tc>
        <w:tc>
          <w:tcPr>
            <w:tcW w:w="1601" w:type="dxa"/>
            <w:hideMark/>
          </w:tcPr>
          <w:p w14:paraId="60843BB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39</w:t>
            </w:r>
          </w:p>
        </w:tc>
        <w:tc>
          <w:tcPr>
            <w:tcW w:w="1680" w:type="dxa"/>
            <w:hideMark/>
          </w:tcPr>
          <w:p w14:paraId="4BF3BC5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42%</w:t>
            </w:r>
          </w:p>
        </w:tc>
      </w:tr>
      <w:tr w:rsidR="000E5D4B" w:rsidRPr="000E5D4B" w14:paraId="572AEBC5" w14:textId="77777777" w:rsidTr="000E5D4B">
        <w:trPr>
          <w:trHeight w:val="270"/>
        </w:trPr>
        <w:tc>
          <w:tcPr>
            <w:tcW w:w="2081" w:type="dxa"/>
            <w:hideMark/>
          </w:tcPr>
          <w:p w14:paraId="451455FB" w14:textId="77777777" w:rsidR="000E5D4B" w:rsidRPr="000E5D4B" w:rsidRDefault="000E5D4B" w:rsidP="000E5D4B">
            <w:pPr>
              <w:pStyle w:val="NoSpacing"/>
              <w:rPr>
                <w:rFonts w:ascii="Arial" w:hAnsi="Arial" w:cs="Arial"/>
                <w:sz w:val="20"/>
                <w:szCs w:val="20"/>
              </w:rPr>
            </w:pPr>
          </w:p>
        </w:tc>
        <w:tc>
          <w:tcPr>
            <w:tcW w:w="2882" w:type="dxa"/>
            <w:hideMark/>
          </w:tcPr>
          <w:p w14:paraId="3833494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Independent</w:t>
            </w:r>
          </w:p>
        </w:tc>
        <w:tc>
          <w:tcPr>
            <w:tcW w:w="1601" w:type="dxa"/>
            <w:hideMark/>
          </w:tcPr>
          <w:p w14:paraId="228E6955"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54</w:t>
            </w:r>
          </w:p>
        </w:tc>
        <w:tc>
          <w:tcPr>
            <w:tcW w:w="1680" w:type="dxa"/>
            <w:hideMark/>
          </w:tcPr>
          <w:p w14:paraId="4C6B9B20"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58%</w:t>
            </w:r>
          </w:p>
        </w:tc>
      </w:tr>
      <w:tr w:rsidR="000E5D4B" w:rsidRPr="000E5D4B" w14:paraId="2D335A07" w14:textId="77777777" w:rsidTr="000E5D4B">
        <w:trPr>
          <w:trHeight w:val="270"/>
        </w:trPr>
        <w:tc>
          <w:tcPr>
            <w:tcW w:w="2081" w:type="dxa"/>
            <w:hideMark/>
          </w:tcPr>
          <w:p w14:paraId="24A3D9E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Years in Service</w:t>
            </w:r>
          </w:p>
        </w:tc>
        <w:tc>
          <w:tcPr>
            <w:tcW w:w="2882" w:type="dxa"/>
            <w:hideMark/>
          </w:tcPr>
          <w:p w14:paraId="3CEB5DFE"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&lt;1 year</w:t>
            </w:r>
          </w:p>
        </w:tc>
        <w:tc>
          <w:tcPr>
            <w:tcW w:w="1601" w:type="dxa"/>
            <w:hideMark/>
          </w:tcPr>
          <w:p w14:paraId="2C81A26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18</w:t>
            </w:r>
          </w:p>
        </w:tc>
        <w:tc>
          <w:tcPr>
            <w:tcW w:w="1680" w:type="dxa"/>
            <w:hideMark/>
          </w:tcPr>
          <w:p w14:paraId="04402E0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19%</w:t>
            </w:r>
          </w:p>
        </w:tc>
      </w:tr>
      <w:tr w:rsidR="000E5D4B" w:rsidRPr="000E5D4B" w14:paraId="57B22FEE" w14:textId="77777777" w:rsidTr="000E5D4B">
        <w:trPr>
          <w:trHeight w:val="270"/>
        </w:trPr>
        <w:tc>
          <w:tcPr>
            <w:tcW w:w="2081" w:type="dxa"/>
            <w:hideMark/>
          </w:tcPr>
          <w:p w14:paraId="261185F4" w14:textId="77777777" w:rsidR="000E5D4B" w:rsidRPr="000E5D4B" w:rsidRDefault="000E5D4B" w:rsidP="000E5D4B">
            <w:pPr>
              <w:pStyle w:val="NoSpacing"/>
              <w:rPr>
                <w:rFonts w:ascii="Arial" w:hAnsi="Arial" w:cs="Arial"/>
                <w:sz w:val="20"/>
                <w:szCs w:val="20"/>
              </w:rPr>
            </w:pPr>
          </w:p>
        </w:tc>
        <w:tc>
          <w:tcPr>
            <w:tcW w:w="2882" w:type="dxa"/>
            <w:hideMark/>
          </w:tcPr>
          <w:p w14:paraId="094C991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1–2 years</w:t>
            </w:r>
          </w:p>
        </w:tc>
        <w:tc>
          <w:tcPr>
            <w:tcW w:w="1601" w:type="dxa"/>
            <w:hideMark/>
          </w:tcPr>
          <w:p w14:paraId="5A99CAB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38</w:t>
            </w:r>
          </w:p>
        </w:tc>
        <w:tc>
          <w:tcPr>
            <w:tcW w:w="1680" w:type="dxa"/>
            <w:hideMark/>
          </w:tcPr>
          <w:p w14:paraId="5902B3A2"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41%</w:t>
            </w:r>
          </w:p>
        </w:tc>
      </w:tr>
      <w:tr w:rsidR="000E5D4B" w:rsidRPr="000E5D4B" w14:paraId="69AF6F93" w14:textId="77777777" w:rsidTr="000E5D4B">
        <w:trPr>
          <w:trHeight w:val="270"/>
        </w:trPr>
        <w:tc>
          <w:tcPr>
            <w:tcW w:w="2081" w:type="dxa"/>
            <w:hideMark/>
          </w:tcPr>
          <w:p w14:paraId="69E5B4BF" w14:textId="77777777" w:rsidR="000E5D4B" w:rsidRPr="000E5D4B" w:rsidRDefault="000E5D4B" w:rsidP="000E5D4B">
            <w:pPr>
              <w:pStyle w:val="NoSpacing"/>
              <w:rPr>
                <w:rFonts w:ascii="Arial" w:hAnsi="Arial" w:cs="Arial"/>
                <w:sz w:val="20"/>
                <w:szCs w:val="20"/>
              </w:rPr>
            </w:pPr>
          </w:p>
        </w:tc>
        <w:tc>
          <w:tcPr>
            <w:tcW w:w="2882" w:type="dxa"/>
            <w:hideMark/>
          </w:tcPr>
          <w:p w14:paraId="2C53E3D2"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3–5 years</w:t>
            </w:r>
          </w:p>
        </w:tc>
        <w:tc>
          <w:tcPr>
            <w:tcW w:w="1601" w:type="dxa"/>
            <w:hideMark/>
          </w:tcPr>
          <w:p w14:paraId="2957C05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37</w:t>
            </w:r>
          </w:p>
        </w:tc>
        <w:tc>
          <w:tcPr>
            <w:tcW w:w="1680" w:type="dxa"/>
            <w:hideMark/>
          </w:tcPr>
          <w:p w14:paraId="267B77C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40%</w:t>
            </w:r>
          </w:p>
        </w:tc>
      </w:tr>
      <w:tr w:rsidR="000E5D4B" w:rsidRPr="000E5D4B" w14:paraId="608DB3FB" w14:textId="77777777" w:rsidTr="000E5D4B">
        <w:trPr>
          <w:trHeight w:val="270"/>
        </w:trPr>
        <w:tc>
          <w:tcPr>
            <w:tcW w:w="2081" w:type="dxa"/>
            <w:hideMark/>
          </w:tcPr>
          <w:p w14:paraId="0A58498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Bike Type</w:t>
            </w:r>
          </w:p>
        </w:tc>
        <w:tc>
          <w:tcPr>
            <w:tcW w:w="2882" w:type="dxa"/>
            <w:hideMark/>
          </w:tcPr>
          <w:p w14:paraId="78095B7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Motor Bike</w:t>
            </w:r>
          </w:p>
        </w:tc>
        <w:tc>
          <w:tcPr>
            <w:tcW w:w="1601" w:type="dxa"/>
            <w:hideMark/>
          </w:tcPr>
          <w:p w14:paraId="1A06D08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73</w:t>
            </w:r>
          </w:p>
        </w:tc>
        <w:tc>
          <w:tcPr>
            <w:tcW w:w="1680" w:type="dxa"/>
            <w:hideMark/>
          </w:tcPr>
          <w:p w14:paraId="1279AA7A"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78%</w:t>
            </w:r>
          </w:p>
        </w:tc>
      </w:tr>
      <w:tr w:rsidR="000E5D4B" w:rsidRPr="000E5D4B" w14:paraId="184D1DFE" w14:textId="77777777" w:rsidTr="000E5D4B">
        <w:trPr>
          <w:trHeight w:val="270"/>
        </w:trPr>
        <w:tc>
          <w:tcPr>
            <w:tcW w:w="2081" w:type="dxa"/>
            <w:hideMark/>
          </w:tcPr>
          <w:p w14:paraId="373E7DB9" w14:textId="77777777" w:rsidR="000E5D4B" w:rsidRPr="000E5D4B" w:rsidRDefault="000E5D4B" w:rsidP="000E5D4B">
            <w:pPr>
              <w:pStyle w:val="NoSpacing"/>
              <w:rPr>
                <w:rFonts w:ascii="Arial" w:hAnsi="Arial" w:cs="Arial"/>
                <w:sz w:val="20"/>
                <w:szCs w:val="20"/>
              </w:rPr>
            </w:pPr>
          </w:p>
        </w:tc>
        <w:tc>
          <w:tcPr>
            <w:tcW w:w="2882" w:type="dxa"/>
            <w:hideMark/>
          </w:tcPr>
          <w:p w14:paraId="7369FE5E"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Bicycle</w:t>
            </w:r>
          </w:p>
        </w:tc>
        <w:tc>
          <w:tcPr>
            <w:tcW w:w="1601" w:type="dxa"/>
            <w:hideMark/>
          </w:tcPr>
          <w:p w14:paraId="4450460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20</w:t>
            </w:r>
          </w:p>
        </w:tc>
        <w:tc>
          <w:tcPr>
            <w:tcW w:w="1680" w:type="dxa"/>
            <w:hideMark/>
          </w:tcPr>
          <w:p w14:paraId="569B20F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22%</w:t>
            </w:r>
          </w:p>
        </w:tc>
      </w:tr>
      <w:tr w:rsidR="000E5D4B" w:rsidRPr="000E5D4B" w14:paraId="72DCFBDB" w14:textId="77777777" w:rsidTr="000E5D4B">
        <w:trPr>
          <w:trHeight w:val="270"/>
        </w:trPr>
        <w:tc>
          <w:tcPr>
            <w:tcW w:w="2081" w:type="dxa"/>
          </w:tcPr>
          <w:p w14:paraId="618466D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Carrier Type</w:t>
            </w:r>
          </w:p>
        </w:tc>
        <w:tc>
          <w:tcPr>
            <w:tcW w:w="2882" w:type="dxa"/>
          </w:tcPr>
          <w:p w14:paraId="2F69866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Food Bag</w:t>
            </w:r>
          </w:p>
        </w:tc>
        <w:tc>
          <w:tcPr>
            <w:tcW w:w="1601" w:type="dxa"/>
          </w:tcPr>
          <w:p w14:paraId="7E568192"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62</w:t>
            </w:r>
          </w:p>
        </w:tc>
        <w:tc>
          <w:tcPr>
            <w:tcW w:w="1680" w:type="dxa"/>
          </w:tcPr>
          <w:p w14:paraId="57B5C1E9"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67%</w:t>
            </w:r>
          </w:p>
        </w:tc>
      </w:tr>
      <w:tr w:rsidR="000E5D4B" w:rsidRPr="000E5D4B" w14:paraId="3AEC6446" w14:textId="77777777" w:rsidTr="000E5D4B">
        <w:trPr>
          <w:trHeight w:val="270"/>
        </w:trPr>
        <w:tc>
          <w:tcPr>
            <w:tcW w:w="2081" w:type="dxa"/>
          </w:tcPr>
          <w:p w14:paraId="22B6F633" w14:textId="77777777" w:rsidR="000E5D4B" w:rsidRPr="000E5D4B" w:rsidRDefault="000E5D4B" w:rsidP="000E5D4B">
            <w:pPr>
              <w:pStyle w:val="NoSpacing"/>
              <w:rPr>
                <w:rFonts w:ascii="Arial" w:hAnsi="Arial" w:cs="Arial"/>
                <w:sz w:val="20"/>
                <w:szCs w:val="20"/>
              </w:rPr>
            </w:pPr>
          </w:p>
        </w:tc>
        <w:tc>
          <w:tcPr>
            <w:tcW w:w="2882" w:type="dxa"/>
          </w:tcPr>
          <w:p w14:paraId="600FBCE5"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Bucket</w:t>
            </w:r>
          </w:p>
        </w:tc>
        <w:tc>
          <w:tcPr>
            <w:tcW w:w="1601" w:type="dxa"/>
          </w:tcPr>
          <w:p w14:paraId="56CE8A2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w:t>
            </w:r>
          </w:p>
        </w:tc>
        <w:tc>
          <w:tcPr>
            <w:tcW w:w="1680" w:type="dxa"/>
          </w:tcPr>
          <w:p w14:paraId="4C963E99"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w:t>
            </w:r>
          </w:p>
        </w:tc>
      </w:tr>
      <w:tr w:rsidR="000E5D4B" w:rsidRPr="000E5D4B" w14:paraId="4038A874" w14:textId="77777777" w:rsidTr="000E5D4B">
        <w:trPr>
          <w:trHeight w:val="270"/>
        </w:trPr>
        <w:tc>
          <w:tcPr>
            <w:tcW w:w="2081" w:type="dxa"/>
          </w:tcPr>
          <w:p w14:paraId="19CFB277" w14:textId="77777777" w:rsidR="000E5D4B" w:rsidRPr="000E5D4B" w:rsidRDefault="000E5D4B" w:rsidP="000E5D4B">
            <w:pPr>
              <w:pStyle w:val="NoSpacing"/>
              <w:rPr>
                <w:rFonts w:ascii="Arial" w:hAnsi="Arial" w:cs="Arial"/>
                <w:sz w:val="20"/>
                <w:szCs w:val="20"/>
              </w:rPr>
            </w:pPr>
          </w:p>
        </w:tc>
        <w:tc>
          <w:tcPr>
            <w:tcW w:w="2882" w:type="dxa"/>
          </w:tcPr>
          <w:p w14:paraId="4FFE3B5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Metal Box</w:t>
            </w:r>
          </w:p>
        </w:tc>
        <w:tc>
          <w:tcPr>
            <w:tcW w:w="1601" w:type="dxa"/>
          </w:tcPr>
          <w:p w14:paraId="6736AC8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12</w:t>
            </w:r>
          </w:p>
        </w:tc>
        <w:tc>
          <w:tcPr>
            <w:tcW w:w="1680" w:type="dxa"/>
          </w:tcPr>
          <w:p w14:paraId="37868F6A"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13%</w:t>
            </w:r>
          </w:p>
        </w:tc>
      </w:tr>
      <w:tr w:rsidR="000E5D4B" w:rsidRPr="000E5D4B" w14:paraId="35599B02" w14:textId="77777777" w:rsidTr="000E5D4B">
        <w:trPr>
          <w:trHeight w:val="270"/>
        </w:trPr>
        <w:tc>
          <w:tcPr>
            <w:tcW w:w="2081" w:type="dxa"/>
          </w:tcPr>
          <w:p w14:paraId="58A346E7" w14:textId="77777777" w:rsidR="000E5D4B" w:rsidRPr="000E5D4B" w:rsidRDefault="000E5D4B" w:rsidP="000E5D4B">
            <w:pPr>
              <w:pStyle w:val="NoSpacing"/>
              <w:rPr>
                <w:rFonts w:ascii="Arial" w:hAnsi="Arial" w:cs="Arial"/>
                <w:sz w:val="20"/>
                <w:szCs w:val="20"/>
              </w:rPr>
            </w:pPr>
          </w:p>
        </w:tc>
        <w:tc>
          <w:tcPr>
            <w:tcW w:w="2882" w:type="dxa"/>
          </w:tcPr>
          <w:p w14:paraId="0AE3E0D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Cool Box</w:t>
            </w:r>
          </w:p>
        </w:tc>
        <w:tc>
          <w:tcPr>
            <w:tcW w:w="1601" w:type="dxa"/>
          </w:tcPr>
          <w:p w14:paraId="63345DAF"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12</w:t>
            </w:r>
          </w:p>
        </w:tc>
        <w:tc>
          <w:tcPr>
            <w:tcW w:w="1680" w:type="dxa"/>
          </w:tcPr>
          <w:p w14:paraId="6AFADF6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13%</w:t>
            </w:r>
          </w:p>
        </w:tc>
      </w:tr>
      <w:tr w:rsidR="000E5D4B" w:rsidRPr="000E5D4B" w14:paraId="34FA6384" w14:textId="77777777" w:rsidTr="000E5D4B">
        <w:trPr>
          <w:trHeight w:val="270"/>
        </w:trPr>
        <w:tc>
          <w:tcPr>
            <w:tcW w:w="2081" w:type="dxa"/>
          </w:tcPr>
          <w:p w14:paraId="499C69E0" w14:textId="77777777" w:rsidR="000E5D4B" w:rsidRPr="000E5D4B" w:rsidRDefault="000E5D4B" w:rsidP="000E5D4B">
            <w:pPr>
              <w:pStyle w:val="NoSpacing"/>
              <w:rPr>
                <w:rFonts w:ascii="Arial" w:hAnsi="Arial" w:cs="Arial"/>
                <w:sz w:val="20"/>
                <w:szCs w:val="20"/>
              </w:rPr>
            </w:pPr>
          </w:p>
        </w:tc>
        <w:tc>
          <w:tcPr>
            <w:tcW w:w="2882" w:type="dxa"/>
          </w:tcPr>
          <w:p w14:paraId="1096A18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Fiber Box</w:t>
            </w:r>
          </w:p>
        </w:tc>
        <w:tc>
          <w:tcPr>
            <w:tcW w:w="1601" w:type="dxa"/>
          </w:tcPr>
          <w:p w14:paraId="7DBF61C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w:t>
            </w:r>
          </w:p>
        </w:tc>
        <w:tc>
          <w:tcPr>
            <w:tcW w:w="1680" w:type="dxa"/>
          </w:tcPr>
          <w:p w14:paraId="3216EFC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w:t>
            </w:r>
          </w:p>
        </w:tc>
      </w:tr>
      <w:tr w:rsidR="000E5D4B" w:rsidRPr="000E5D4B" w14:paraId="2E5C3A64" w14:textId="77777777" w:rsidTr="000E5D4B">
        <w:trPr>
          <w:trHeight w:val="270"/>
        </w:trPr>
        <w:tc>
          <w:tcPr>
            <w:tcW w:w="2081" w:type="dxa"/>
          </w:tcPr>
          <w:p w14:paraId="04C882D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 xml:space="preserve">Contaminated carrier </w:t>
            </w:r>
          </w:p>
        </w:tc>
        <w:tc>
          <w:tcPr>
            <w:tcW w:w="2882" w:type="dxa"/>
          </w:tcPr>
          <w:p w14:paraId="1B503B50"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Yes</w:t>
            </w:r>
          </w:p>
        </w:tc>
        <w:tc>
          <w:tcPr>
            <w:tcW w:w="1601" w:type="dxa"/>
          </w:tcPr>
          <w:p w14:paraId="7000314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64</w:t>
            </w:r>
          </w:p>
        </w:tc>
        <w:tc>
          <w:tcPr>
            <w:tcW w:w="1680" w:type="dxa"/>
          </w:tcPr>
          <w:p w14:paraId="5270042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69%</w:t>
            </w:r>
          </w:p>
        </w:tc>
      </w:tr>
      <w:tr w:rsidR="000E5D4B" w:rsidRPr="000E5D4B" w14:paraId="3897B369" w14:textId="77777777" w:rsidTr="000E5D4B">
        <w:trPr>
          <w:trHeight w:val="270"/>
        </w:trPr>
        <w:tc>
          <w:tcPr>
            <w:tcW w:w="2081" w:type="dxa"/>
          </w:tcPr>
          <w:p w14:paraId="2338C939" w14:textId="77777777" w:rsidR="000E5D4B" w:rsidRPr="000E5D4B" w:rsidRDefault="000E5D4B" w:rsidP="000E5D4B">
            <w:pPr>
              <w:pStyle w:val="NoSpacing"/>
              <w:rPr>
                <w:rFonts w:ascii="Arial" w:hAnsi="Arial" w:cs="Arial"/>
                <w:sz w:val="20"/>
                <w:szCs w:val="20"/>
              </w:rPr>
            </w:pPr>
          </w:p>
        </w:tc>
        <w:tc>
          <w:tcPr>
            <w:tcW w:w="2882" w:type="dxa"/>
          </w:tcPr>
          <w:p w14:paraId="548C60B4"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 xml:space="preserve">No </w:t>
            </w:r>
          </w:p>
        </w:tc>
        <w:tc>
          <w:tcPr>
            <w:tcW w:w="1601" w:type="dxa"/>
          </w:tcPr>
          <w:p w14:paraId="2866C0C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29</w:t>
            </w:r>
          </w:p>
        </w:tc>
        <w:tc>
          <w:tcPr>
            <w:tcW w:w="1680" w:type="dxa"/>
          </w:tcPr>
          <w:p w14:paraId="08FEF8B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31%</w:t>
            </w:r>
          </w:p>
        </w:tc>
      </w:tr>
    </w:tbl>
    <w:p w14:paraId="2ECA8874" w14:textId="77777777" w:rsidR="000E5D4B" w:rsidRPr="000E5D4B" w:rsidRDefault="000E5D4B" w:rsidP="000E5D4B">
      <w:pPr>
        <w:pStyle w:val="NoSpacing"/>
        <w:rPr>
          <w:rFonts w:ascii="Arial" w:hAnsi="Arial" w:cs="Arial"/>
          <w:sz w:val="20"/>
        </w:rPr>
      </w:pPr>
      <w:proofErr w:type="spellStart"/>
      <w:r w:rsidRPr="000E5D4B">
        <w:rPr>
          <w:rFonts w:ascii="Arial" w:hAnsi="Arial" w:cs="Arial"/>
          <w:sz w:val="20"/>
        </w:rPr>
        <w:t>n.d</w:t>
      </w:r>
      <w:proofErr w:type="spellEnd"/>
      <w:r w:rsidRPr="000E5D4B">
        <w:rPr>
          <w:rFonts w:ascii="Arial" w:hAnsi="Arial" w:cs="Arial"/>
          <w:sz w:val="20"/>
        </w:rPr>
        <w:t xml:space="preserve"> = not detected, n = frequency in number</w:t>
      </w:r>
    </w:p>
    <w:p w14:paraId="2AE1A4A8" w14:textId="77777777" w:rsidR="000E5D4B" w:rsidRDefault="000E5D4B" w:rsidP="000E5D4B">
      <w:pPr>
        <w:pStyle w:val="NoSpacing"/>
        <w:spacing w:line="360" w:lineRule="auto"/>
        <w:jc w:val="both"/>
        <w:rPr>
          <w:rFonts w:ascii="Arial" w:hAnsi="Arial" w:cs="Arial"/>
          <w:b/>
        </w:rPr>
      </w:pPr>
    </w:p>
    <w:p w14:paraId="2D7684B1" w14:textId="77777777" w:rsidR="000E5D4B" w:rsidRDefault="000E5D4B" w:rsidP="000E5D4B">
      <w:pPr>
        <w:pStyle w:val="NoSpacing"/>
        <w:jc w:val="both"/>
        <w:rPr>
          <w:rFonts w:ascii="Arial" w:hAnsi="Arial" w:cs="Arial"/>
          <w:sz w:val="20"/>
        </w:rPr>
      </w:pPr>
      <w:r w:rsidRPr="000E5D4B">
        <w:rPr>
          <w:rFonts w:ascii="Arial" w:hAnsi="Arial" w:cs="Arial"/>
          <w:b/>
          <w:sz w:val="20"/>
        </w:rPr>
        <w:t>Table 1</w:t>
      </w:r>
      <w:r w:rsidRPr="000E5D4B">
        <w:rPr>
          <w:rFonts w:ascii="Arial" w:hAnsi="Arial" w:cs="Arial"/>
          <w:sz w:val="20"/>
        </w:rPr>
        <w:t>, the study included 93 courier bikers with a mean age of 28.9 years (range = 18–48). All participants were males, the majority of participants were educated to the secondary level (75.3%) and operated as independent contractors (58.1%). Regarding equipment, most of the participants utilized motorbikes (78.5%) and food bags as their primary carrier type (66.7%). Notably, only 24.7% of the bikers were</w:t>
      </w:r>
      <w:r w:rsidRPr="000E5D4B">
        <w:rPr>
          <w:rFonts w:ascii="Arial" w:hAnsi="Arial" w:cs="Arial"/>
          <w:strike/>
          <w:sz w:val="20"/>
        </w:rPr>
        <w:t xml:space="preserve"> </w:t>
      </w:r>
      <w:r w:rsidRPr="000E5D4B">
        <w:rPr>
          <w:rFonts w:ascii="Arial" w:hAnsi="Arial" w:cs="Arial"/>
          <w:sz w:val="20"/>
        </w:rPr>
        <w:t>certified food handlers, and a combined 81% had been in service for at least one year.</w:t>
      </w:r>
    </w:p>
    <w:p w14:paraId="36CD54F7" w14:textId="77777777" w:rsidR="000E5D4B" w:rsidRPr="000E5D4B" w:rsidRDefault="000E5D4B" w:rsidP="000E5D4B">
      <w:pPr>
        <w:pStyle w:val="NoSpacing"/>
        <w:jc w:val="both"/>
        <w:rPr>
          <w:rFonts w:ascii="Arial" w:hAnsi="Arial" w:cs="Arial"/>
          <w:sz w:val="20"/>
        </w:rPr>
      </w:pPr>
    </w:p>
    <w:p w14:paraId="7E415953" w14:textId="77777777" w:rsidR="000E5D4B" w:rsidRDefault="000E5D4B" w:rsidP="000E5D4B">
      <w:pPr>
        <w:pStyle w:val="Heading2"/>
        <w:rPr>
          <w:rFonts w:ascii="Arial" w:hAnsi="Arial" w:cs="Arial"/>
          <w:b/>
          <w:color w:val="auto"/>
          <w:sz w:val="22"/>
        </w:rPr>
      </w:pPr>
      <w:r w:rsidRPr="000E5D4B">
        <w:rPr>
          <w:rFonts w:ascii="Arial" w:hAnsi="Arial" w:cs="Arial"/>
          <w:b/>
          <w:color w:val="auto"/>
          <w:sz w:val="22"/>
        </w:rPr>
        <w:t xml:space="preserve">3.2 Pathogen </w:t>
      </w:r>
      <w:r>
        <w:rPr>
          <w:rFonts w:ascii="Arial" w:hAnsi="Arial" w:cs="Arial"/>
          <w:b/>
          <w:color w:val="auto"/>
          <w:sz w:val="22"/>
        </w:rPr>
        <w:t>P</w:t>
      </w:r>
      <w:r w:rsidRPr="000E5D4B">
        <w:rPr>
          <w:rFonts w:ascii="Arial" w:hAnsi="Arial" w:cs="Arial"/>
          <w:b/>
          <w:color w:val="auto"/>
          <w:sz w:val="22"/>
        </w:rPr>
        <w:t xml:space="preserve">revalence and </w:t>
      </w:r>
      <w:r>
        <w:rPr>
          <w:rFonts w:ascii="Arial" w:hAnsi="Arial" w:cs="Arial"/>
          <w:b/>
          <w:color w:val="auto"/>
          <w:sz w:val="22"/>
        </w:rPr>
        <w:t>H</w:t>
      </w:r>
      <w:r w:rsidRPr="000E5D4B">
        <w:rPr>
          <w:rFonts w:ascii="Arial" w:hAnsi="Arial" w:cs="Arial"/>
          <w:b/>
          <w:color w:val="auto"/>
          <w:sz w:val="22"/>
        </w:rPr>
        <w:t xml:space="preserve">ygiene </w:t>
      </w:r>
      <w:r>
        <w:rPr>
          <w:rFonts w:ascii="Arial" w:hAnsi="Arial" w:cs="Arial"/>
          <w:b/>
          <w:color w:val="auto"/>
          <w:sz w:val="22"/>
        </w:rPr>
        <w:t>A</w:t>
      </w:r>
      <w:r w:rsidRPr="000E5D4B">
        <w:rPr>
          <w:rFonts w:ascii="Arial" w:hAnsi="Arial" w:cs="Arial"/>
          <w:b/>
          <w:color w:val="auto"/>
          <w:sz w:val="22"/>
        </w:rPr>
        <w:t xml:space="preserve">ssociations among </w:t>
      </w:r>
      <w:r>
        <w:rPr>
          <w:rFonts w:ascii="Arial" w:hAnsi="Arial" w:cs="Arial"/>
          <w:b/>
          <w:color w:val="auto"/>
          <w:sz w:val="22"/>
        </w:rPr>
        <w:t>C</w:t>
      </w:r>
      <w:r w:rsidRPr="000E5D4B">
        <w:rPr>
          <w:rFonts w:ascii="Arial" w:hAnsi="Arial" w:cs="Arial"/>
          <w:b/>
          <w:color w:val="auto"/>
          <w:sz w:val="22"/>
        </w:rPr>
        <w:t xml:space="preserve">ourier </w:t>
      </w:r>
      <w:r>
        <w:rPr>
          <w:rFonts w:ascii="Arial" w:hAnsi="Arial" w:cs="Arial"/>
          <w:b/>
          <w:color w:val="auto"/>
          <w:sz w:val="22"/>
        </w:rPr>
        <w:t>B</w:t>
      </w:r>
      <w:r w:rsidRPr="000E5D4B">
        <w:rPr>
          <w:rFonts w:ascii="Arial" w:hAnsi="Arial" w:cs="Arial"/>
          <w:b/>
          <w:color w:val="auto"/>
          <w:sz w:val="22"/>
        </w:rPr>
        <w:t xml:space="preserve">iker </w:t>
      </w:r>
      <w:r>
        <w:rPr>
          <w:rFonts w:ascii="Arial" w:hAnsi="Arial" w:cs="Arial"/>
          <w:b/>
          <w:color w:val="auto"/>
          <w:sz w:val="22"/>
        </w:rPr>
        <w:t>C</w:t>
      </w:r>
      <w:r w:rsidRPr="000E5D4B">
        <w:rPr>
          <w:rFonts w:ascii="Arial" w:hAnsi="Arial" w:cs="Arial"/>
          <w:b/>
          <w:color w:val="auto"/>
          <w:sz w:val="22"/>
        </w:rPr>
        <w:t>arriers</w:t>
      </w:r>
    </w:p>
    <w:p w14:paraId="2C0CBDF0" w14:textId="77777777" w:rsidR="000E5D4B" w:rsidRDefault="000E5D4B" w:rsidP="000E5D4B"/>
    <w:p w14:paraId="7FDF7288" w14:textId="77777777" w:rsidR="000E5D4B" w:rsidRPr="00054665" w:rsidRDefault="000E5D4B" w:rsidP="000E5D4B">
      <w:pPr>
        <w:pStyle w:val="NoSpacing"/>
        <w:rPr>
          <w:rFonts w:ascii="Arial" w:hAnsi="Arial" w:cs="Arial"/>
          <w:b/>
          <w:sz w:val="20"/>
          <w:szCs w:val="20"/>
        </w:rPr>
      </w:pPr>
      <w:r w:rsidRPr="00054665">
        <w:rPr>
          <w:rFonts w:ascii="Arial" w:hAnsi="Arial" w:cs="Arial"/>
          <w:b/>
          <w:sz w:val="20"/>
          <w:szCs w:val="20"/>
        </w:rPr>
        <w:t xml:space="preserve">Table 2. </w:t>
      </w:r>
      <w:r w:rsidRPr="000E5D4B">
        <w:rPr>
          <w:rFonts w:ascii="Arial" w:hAnsi="Arial" w:cs="Arial"/>
          <w:sz w:val="20"/>
          <w:szCs w:val="20"/>
        </w:rPr>
        <w:t>Pathogen prevalence and hygiene associations among courier biker carriers</w:t>
      </w:r>
    </w:p>
    <w:tbl>
      <w:tblPr>
        <w:tblStyle w:val="TableGrid1"/>
        <w:tblW w:w="85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1051"/>
        <w:gridCol w:w="2811"/>
        <w:gridCol w:w="2653"/>
      </w:tblGrid>
      <w:tr w:rsidR="000E5D4B" w:rsidRPr="00054665" w14:paraId="53458F3F" w14:textId="77777777" w:rsidTr="000E5D4B">
        <w:trPr>
          <w:trHeight w:val="699"/>
        </w:trPr>
        <w:tc>
          <w:tcPr>
            <w:tcW w:w="1941" w:type="dxa"/>
            <w:tcBorders>
              <w:top w:val="single" w:sz="4" w:space="0" w:color="auto"/>
              <w:bottom w:val="single" w:sz="4" w:space="0" w:color="auto"/>
            </w:tcBorders>
            <w:hideMark/>
          </w:tcPr>
          <w:p w14:paraId="3A39BD26" w14:textId="77777777" w:rsidR="000E5D4B" w:rsidRPr="00054665" w:rsidRDefault="000E5D4B" w:rsidP="007B52FE">
            <w:pPr>
              <w:jc w:val="center"/>
              <w:rPr>
                <w:rFonts w:ascii="Arial" w:eastAsia="Times New Roman" w:hAnsi="Arial" w:cs="Arial"/>
                <w:b/>
                <w:bCs/>
                <w:sz w:val="20"/>
                <w:szCs w:val="20"/>
              </w:rPr>
            </w:pPr>
            <w:r w:rsidRPr="00054665">
              <w:rPr>
                <w:rFonts w:ascii="Arial" w:eastAsia="Times New Roman" w:hAnsi="Arial" w:cs="Arial"/>
                <w:b/>
                <w:bCs/>
                <w:sz w:val="20"/>
                <w:szCs w:val="20"/>
              </w:rPr>
              <w:t>Pathogen</w:t>
            </w:r>
          </w:p>
        </w:tc>
        <w:tc>
          <w:tcPr>
            <w:tcW w:w="1052" w:type="dxa"/>
            <w:tcBorders>
              <w:top w:val="single" w:sz="4" w:space="0" w:color="auto"/>
              <w:bottom w:val="single" w:sz="4" w:space="0" w:color="auto"/>
            </w:tcBorders>
            <w:hideMark/>
          </w:tcPr>
          <w:p w14:paraId="541A2A74" w14:textId="77777777" w:rsidR="000E5D4B" w:rsidRPr="00054665" w:rsidRDefault="000E5D4B" w:rsidP="007B52FE">
            <w:pPr>
              <w:jc w:val="center"/>
              <w:rPr>
                <w:rFonts w:ascii="Arial" w:eastAsia="Times New Roman" w:hAnsi="Arial" w:cs="Arial"/>
                <w:b/>
                <w:bCs/>
                <w:sz w:val="20"/>
                <w:szCs w:val="20"/>
              </w:rPr>
            </w:pPr>
            <w:r w:rsidRPr="00054665">
              <w:rPr>
                <w:rFonts w:ascii="Arial" w:eastAsia="Times New Roman" w:hAnsi="Arial" w:cs="Arial"/>
                <w:b/>
                <w:bCs/>
                <w:sz w:val="20"/>
                <w:szCs w:val="20"/>
              </w:rPr>
              <w:t>n (%) Positive</w:t>
            </w:r>
          </w:p>
        </w:tc>
        <w:tc>
          <w:tcPr>
            <w:tcW w:w="2838" w:type="dxa"/>
            <w:tcBorders>
              <w:top w:val="single" w:sz="4" w:space="0" w:color="auto"/>
              <w:bottom w:val="single" w:sz="4" w:space="0" w:color="auto"/>
            </w:tcBorders>
            <w:hideMark/>
          </w:tcPr>
          <w:p w14:paraId="0ADB8135" w14:textId="77777777" w:rsidR="000E5D4B" w:rsidRPr="00054665" w:rsidRDefault="000E5D4B" w:rsidP="007B52FE">
            <w:pPr>
              <w:jc w:val="center"/>
              <w:rPr>
                <w:rFonts w:ascii="Arial" w:eastAsia="Times New Roman" w:hAnsi="Arial" w:cs="Arial"/>
                <w:b/>
                <w:bCs/>
                <w:sz w:val="20"/>
                <w:szCs w:val="20"/>
              </w:rPr>
            </w:pPr>
            <w:r w:rsidRPr="00054665">
              <w:rPr>
                <w:rFonts w:ascii="Arial" w:eastAsia="Times New Roman" w:hAnsi="Arial" w:cs="Arial"/>
                <w:b/>
                <w:bCs/>
                <w:sz w:val="20"/>
                <w:szCs w:val="20"/>
              </w:rPr>
              <w:t>Carrier Appearance (Clean vs. Dirty)</w:t>
            </w:r>
          </w:p>
        </w:tc>
        <w:tc>
          <w:tcPr>
            <w:tcW w:w="2680" w:type="dxa"/>
            <w:tcBorders>
              <w:top w:val="single" w:sz="4" w:space="0" w:color="auto"/>
              <w:bottom w:val="single" w:sz="4" w:space="0" w:color="auto"/>
            </w:tcBorders>
            <w:hideMark/>
          </w:tcPr>
          <w:p w14:paraId="21F8724C" w14:textId="77777777" w:rsidR="000E5D4B" w:rsidRPr="00054665" w:rsidRDefault="000E5D4B" w:rsidP="007B52FE">
            <w:pPr>
              <w:jc w:val="center"/>
              <w:rPr>
                <w:rFonts w:ascii="Arial" w:eastAsia="Times New Roman" w:hAnsi="Arial" w:cs="Arial"/>
                <w:b/>
                <w:bCs/>
                <w:sz w:val="20"/>
                <w:szCs w:val="20"/>
              </w:rPr>
            </w:pPr>
            <w:r w:rsidRPr="00054665">
              <w:rPr>
                <w:rFonts w:ascii="Arial" w:eastAsia="Times New Roman" w:hAnsi="Arial" w:cs="Arial"/>
                <w:b/>
                <w:bCs/>
                <w:sz w:val="20"/>
                <w:szCs w:val="20"/>
              </w:rPr>
              <w:t>Cleaning Frequency (every trip vs. rarely)</w:t>
            </w:r>
          </w:p>
        </w:tc>
      </w:tr>
      <w:tr w:rsidR="000E5D4B" w:rsidRPr="00054665" w14:paraId="1D0C38AE" w14:textId="77777777" w:rsidTr="008A7BCB">
        <w:trPr>
          <w:trHeight w:val="620"/>
        </w:trPr>
        <w:tc>
          <w:tcPr>
            <w:tcW w:w="1941" w:type="dxa"/>
            <w:tcBorders>
              <w:top w:val="single" w:sz="4" w:space="0" w:color="auto"/>
            </w:tcBorders>
            <w:hideMark/>
          </w:tcPr>
          <w:p w14:paraId="2E954239"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i/>
                <w:iCs/>
                <w:sz w:val="20"/>
                <w:szCs w:val="20"/>
              </w:rPr>
              <w:t>Staphylococcus aureus</w:t>
            </w:r>
          </w:p>
        </w:tc>
        <w:tc>
          <w:tcPr>
            <w:tcW w:w="1052" w:type="dxa"/>
            <w:tcBorders>
              <w:top w:val="single" w:sz="4" w:space="0" w:color="auto"/>
            </w:tcBorders>
            <w:hideMark/>
          </w:tcPr>
          <w:p w14:paraId="2F1A527C"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17 (18%)</w:t>
            </w:r>
          </w:p>
        </w:tc>
        <w:tc>
          <w:tcPr>
            <w:tcW w:w="2838" w:type="dxa"/>
            <w:tcBorders>
              <w:top w:val="single" w:sz="4" w:space="0" w:color="auto"/>
            </w:tcBorders>
            <w:hideMark/>
          </w:tcPr>
          <w:p w14:paraId="1FDB275B"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(59%) </w:t>
            </w:r>
          </w:p>
          <w:p w14:paraId="35818C66"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0.757, p = 0.384</w:t>
            </w:r>
          </w:p>
        </w:tc>
        <w:tc>
          <w:tcPr>
            <w:tcW w:w="2680" w:type="dxa"/>
            <w:tcBorders>
              <w:top w:val="single" w:sz="4" w:space="0" w:color="auto"/>
            </w:tcBorders>
            <w:hideMark/>
          </w:tcPr>
          <w:p w14:paraId="45F403B0"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rare cleans (41%) </w:t>
            </w:r>
          </w:p>
          <w:p w14:paraId="3D3E6096"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3.665, p = 0.453</w:t>
            </w:r>
          </w:p>
        </w:tc>
      </w:tr>
      <w:tr w:rsidR="000E5D4B" w:rsidRPr="00054665" w14:paraId="4FC79828" w14:textId="77777777" w:rsidTr="008A7BCB">
        <w:trPr>
          <w:trHeight w:val="792"/>
        </w:trPr>
        <w:tc>
          <w:tcPr>
            <w:tcW w:w="1941" w:type="dxa"/>
            <w:hideMark/>
          </w:tcPr>
          <w:p w14:paraId="78E72B0C"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i/>
                <w:iCs/>
                <w:sz w:val="20"/>
                <w:szCs w:val="20"/>
              </w:rPr>
              <w:t>Pseudomonas spp.</w:t>
            </w:r>
          </w:p>
        </w:tc>
        <w:tc>
          <w:tcPr>
            <w:tcW w:w="1052" w:type="dxa"/>
            <w:hideMark/>
          </w:tcPr>
          <w:p w14:paraId="576B6245"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10(11%)</w:t>
            </w:r>
          </w:p>
        </w:tc>
        <w:tc>
          <w:tcPr>
            <w:tcW w:w="2838" w:type="dxa"/>
            <w:hideMark/>
          </w:tcPr>
          <w:p w14:paraId="4DA5D518"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(70%) </w:t>
            </w:r>
          </w:p>
          <w:p w14:paraId="6DECE65D"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0.026, p = 0.872</w:t>
            </w:r>
          </w:p>
        </w:tc>
        <w:tc>
          <w:tcPr>
            <w:tcW w:w="2680" w:type="dxa"/>
            <w:hideMark/>
          </w:tcPr>
          <w:p w14:paraId="344E6629"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weekly cleans (60%) </w:t>
            </w:r>
          </w:p>
          <w:p w14:paraId="3EB20DC8"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14.846, p = 0.005</w:t>
            </w:r>
          </w:p>
        </w:tc>
      </w:tr>
      <w:tr w:rsidR="000E5D4B" w:rsidRPr="00054665" w14:paraId="1D340ED5" w14:textId="77777777" w:rsidTr="000E5D4B">
        <w:trPr>
          <w:trHeight w:val="720"/>
        </w:trPr>
        <w:tc>
          <w:tcPr>
            <w:tcW w:w="1941" w:type="dxa"/>
            <w:hideMark/>
          </w:tcPr>
          <w:p w14:paraId="372522F4"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i/>
                <w:iCs/>
                <w:sz w:val="20"/>
                <w:szCs w:val="20"/>
              </w:rPr>
              <w:t>Klebsiella pneumoniae</w:t>
            </w:r>
          </w:p>
        </w:tc>
        <w:tc>
          <w:tcPr>
            <w:tcW w:w="1052" w:type="dxa"/>
            <w:hideMark/>
          </w:tcPr>
          <w:p w14:paraId="26BABE1D"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7(8%)</w:t>
            </w:r>
          </w:p>
        </w:tc>
        <w:tc>
          <w:tcPr>
            <w:tcW w:w="2838" w:type="dxa"/>
            <w:hideMark/>
          </w:tcPr>
          <w:p w14:paraId="651C1F59"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(86%) </w:t>
            </w:r>
          </w:p>
          <w:p w14:paraId="02EB77BF"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1.119, p = 0.290</w:t>
            </w:r>
          </w:p>
        </w:tc>
        <w:tc>
          <w:tcPr>
            <w:tcW w:w="2680" w:type="dxa"/>
            <w:hideMark/>
          </w:tcPr>
          <w:p w14:paraId="1E5D88C5"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Higher in rare cleans (35%)</w:t>
            </w:r>
          </w:p>
          <w:p w14:paraId="0554B1C2"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6.797, p = 0.147</w:t>
            </w:r>
          </w:p>
        </w:tc>
      </w:tr>
      <w:tr w:rsidR="000E5D4B" w:rsidRPr="00054665" w14:paraId="3D85497C" w14:textId="77777777" w:rsidTr="008A7BCB">
        <w:trPr>
          <w:trHeight w:val="558"/>
        </w:trPr>
        <w:tc>
          <w:tcPr>
            <w:tcW w:w="1941" w:type="dxa"/>
            <w:hideMark/>
          </w:tcPr>
          <w:p w14:paraId="7129D36C"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i/>
                <w:iCs/>
                <w:sz w:val="20"/>
                <w:szCs w:val="20"/>
              </w:rPr>
              <w:t>Proteus spp.</w:t>
            </w:r>
          </w:p>
        </w:tc>
        <w:tc>
          <w:tcPr>
            <w:tcW w:w="1052" w:type="dxa"/>
            <w:hideMark/>
          </w:tcPr>
          <w:p w14:paraId="6CA0D277"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3(3%)</w:t>
            </w:r>
          </w:p>
        </w:tc>
        <w:tc>
          <w:tcPr>
            <w:tcW w:w="2838" w:type="dxa"/>
            <w:hideMark/>
          </w:tcPr>
          <w:p w14:paraId="70B6FF5C"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(67%) </w:t>
            </w:r>
          </w:p>
          <w:p w14:paraId="376F6E6C"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0.002, p = 0.968</w:t>
            </w:r>
          </w:p>
        </w:tc>
        <w:tc>
          <w:tcPr>
            <w:tcW w:w="2680" w:type="dxa"/>
            <w:hideMark/>
          </w:tcPr>
          <w:p w14:paraId="48EC04C5"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Higher in rare cleans (35%)</w:t>
            </w:r>
          </w:p>
          <w:p w14:paraId="217FC3BF"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0.651, p = 0.957</w:t>
            </w:r>
          </w:p>
        </w:tc>
      </w:tr>
      <w:tr w:rsidR="000E5D4B" w:rsidRPr="00054665" w14:paraId="0D1EDD16" w14:textId="77777777" w:rsidTr="008A7BCB">
        <w:trPr>
          <w:trHeight w:val="612"/>
        </w:trPr>
        <w:tc>
          <w:tcPr>
            <w:tcW w:w="1941" w:type="dxa"/>
            <w:hideMark/>
          </w:tcPr>
          <w:p w14:paraId="3D60DE62"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lastRenderedPageBreak/>
              <w:t>Coagulase</w:t>
            </w:r>
            <w:r w:rsidRPr="00054665">
              <w:rPr>
                <w:rFonts w:ascii="Arial" w:eastAsia="Times New Roman" w:hAnsi="Arial" w:cs="Arial"/>
                <w:sz w:val="20"/>
                <w:szCs w:val="20"/>
              </w:rPr>
              <w:noBreakHyphen/>
              <w:t xml:space="preserve">negative </w:t>
            </w:r>
            <w:r w:rsidRPr="00054665">
              <w:rPr>
                <w:rFonts w:ascii="Arial" w:eastAsia="Times New Roman" w:hAnsi="Arial" w:cs="Arial"/>
                <w:i/>
                <w:iCs/>
                <w:sz w:val="20"/>
                <w:szCs w:val="20"/>
              </w:rPr>
              <w:t>Staphylococcus</w:t>
            </w:r>
          </w:p>
        </w:tc>
        <w:tc>
          <w:tcPr>
            <w:tcW w:w="1052" w:type="dxa"/>
            <w:hideMark/>
          </w:tcPr>
          <w:p w14:paraId="48402241"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22(24%)</w:t>
            </w:r>
          </w:p>
        </w:tc>
        <w:tc>
          <w:tcPr>
            <w:tcW w:w="2838" w:type="dxa"/>
            <w:hideMark/>
          </w:tcPr>
          <w:p w14:paraId="5F6EEA7B"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(64) </w:t>
            </w:r>
          </w:p>
          <w:p w14:paraId="3D266CD7"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0.222, p = 0.637</w:t>
            </w:r>
          </w:p>
        </w:tc>
        <w:tc>
          <w:tcPr>
            <w:tcW w:w="2680" w:type="dxa"/>
            <w:hideMark/>
          </w:tcPr>
          <w:p w14:paraId="062A4D20"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Higher in rare cleans (35%)</w:t>
            </w:r>
          </w:p>
          <w:p w14:paraId="1FDD7003"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10.591, p = 0.032</w:t>
            </w:r>
          </w:p>
        </w:tc>
      </w:tr>
      <w:tr w:rsidR="000E5D4B" w:rsidRPr="00054665" w14:paraId="520F1E8A" w14:textId="77777777" w:rsidTr="008A7BCB">
        <w:trPr>
          <w:trHeight w:val="558"/>
        </w:trPr>
        <w:tc>
          <w:tcPr>
            <w:tcW w:w="1941" w:type="dxa"/>
            <w:hideMark/>
          </w:tcPr>
          <w:p w14:paraId="74145F18"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i/>
                <w:iCs/>
                <w:sz w:val="20"/>
                <w:szCs w:val="20"/>
              </w:rPr>
              <w:t>E. coli</w:t>
            </w:r>
          </w:p>
        </w:tc>
        <w:tc>
          <w:tcPr>
            <w:tcW w:w="1052" w:type="dxa"/>
            <w:hideMark/>
          </w:tcPr>
          <w:p w14:paraId="4C910E35"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28(30%)</w:t>
            </w:r>
          </w:p>
        </w:tc>
        <w:tc>
          <w:tcPr>
            <w:tcW w:w="2838" w:type="dxa"/>
            <w:hideMark/>
          </w:tcPr>
          <w:p w14:paraId="73DAF612"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(61%) </w:t>
            </w:r>
          </w:p>
          <w:p w14:paraId="321F032E"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0.905, p = 0.341</w:t>
            </w:r>
          </w:p>
        </w:tc>
        <w:tc>
          <w:tcPr>
            <w:tcW w:w="2680" w:type="dxa"/>
            <w:hideMark/>
          </w:tcPr>
          <w:p w14:paraId="6AC9D240"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Higher in rare cleans (35%)</w:t>
            </w:r>
          </w:p>
          <w:p w14:paraId="5B93D995"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8.102, p = 0.088</w:t>
            </w:r>
          </w:p>
        </w:tc>
      </w:tr>
      <w:tr w:rsidR="000E5D4B" w:rsidRPr="00054665" w14:paraId="3FE4F17E" w14:textId="77777777" w:rsidTr="008A7BCB">
        <w:trPr>
          <w:trHeight w:val="612"/>
        </w:trPr>
        <w:tc>
          <w:tcPr>
            <w:tcW w:w="1941" w:type="dxa"/>
            <w:hideMark/>
          </w:tcPr>
          <w:p w14:paraId="2913862D"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Gram</w:t>
            </w:r>
            <w:r w:rsidRPr="00054665">
              <w:rPr>
                <w:rFonts w:ascii="Arial" w:eastAsia="Times New Roman" w:hAnsi="Arial" w:cs="Arial"/>
                <w:sz w:val="20"/>
                <w:szCs w:val="20"/>
              </w:rPr>
              <w:noBreakHyphen/>
              <w:t>positive bacilli</w:t>
            </w:r>
          </w:p>
        </w:tc>
        <w:tc>
          <w:tcPr>
            <w:tcW w:w="1052" w:type="dxa"/>
            <w:hideMark/>
          </w:tcPr>
          <w:p w14:paraId="6D0F315B"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10(11%)</w:t>
            </w:r>
          </w:p>
        </w:tc>
        <w:tc>
          <w:tcPr>
            <w:tcW w:w="2838" w:type="dxa"/>
            <w:hideMark/>
          </w:tcPr>
          <w:p w14:paraId="7AE5550F"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(80%) </w:t>
            </w:r>
          </w:p>
          <w:p w14:paraId="4AFD1AF5"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0.770, p = 0.380</w:t>
            </w:r>
          </w:p>
        </w:tc>
        <w:tc>
          <w:tcPr>
            <w:tcW w:w="2680" w:type="dxa"/>
            <w:hideMark/>
          </w:tcPr>
          <w:p w14:paraId="6B00023E"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Higher in rare cleans (35%)</w:t>
            </w:r>
          </w:p>
          <w:p w14:paraId="7A62EB2C"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14.698, p = 0.005</w:t>
            </w:r>
          </w:p>
        </w:tc>
      </w:tr>
      <w:tr w:rsidR="000E5D4B" w:rsidRPr="00054665" w14:paraId="3A708E37" w14:textId="77777777" w:rsidTr="008A7BCB">
        <w:trPr>
          <w:trHeight w:val="558"/>
        </w:trPr>
        <w:tc>
          <w:tcPr>
            <w:tcW w:w="1941" w:type="dxa"/>
            <w:hideMark/>
          </w:tcPr>
          <w:p w14:paraId="4D114803"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More than 1 organism present</w:t>
            </w:r>
          </w:p>
        </w:tc>
        <w:tc>
          <w:tcPr>
            <w:tcW w:w="1052" w:type="dxa"/>
            <w:hideMark/>
          </w:tcPr>
          <w:p w14:paraId="2B0481BE"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24(26%)</w:t>
            </w:r>
          </w:p>
        </w:tc>
        <w:tc>
          <w:tcPr>
            <w:tcW w:w="2838" w:type="dxa"/>
            <w:hideMark/>
          </w:tcPr>
          <w:p w14:paraId="66F22A04"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(63%) </w:t>
            </w:r>
          </w:p>
          <w:p w14:paraId="7342CD0B"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0.407, p = 0.524</w:t>
            </w:r>
          </w:p>
        </w:tc>
        <w:tc>
          <w:tcPr>
            <w:tcW w:w="2680" w:type="dxa"/>
            <w:hideMark/>
          </w:tcPr>
          <w:p w14:paraId="64C106EB"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Higher in rare cleans (35%)</w:t>
            </w:r>
          </w:p>
          <w:p w14:paraId="5C33632D"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7.277, p = 0.122</w:t>
            </w:r>
          </w:p>
        </w:tc>
      </w:tr>
    </w:tbl>
    <w:p w14:paraId="0B0C97CB" w14:textId="77777777" w:rsidR="000E5D4B" w:rsidRPr="00054665" w:rsidRDefault="000E5D4B" w:rsidP="000E5D4B">
      <w:pPr>
        <w:pStyle w:val="NoSpacing"/>
        <w:jc w:val="both"/>
        <w:rPr>
          <w:rFonts w:ascii="Arial" w:hAnsi="Arial" w:cs="Arial"/>
          <w:sz w:val="20"/>
          <w:szCs w:val="20"/>
        </w:rPr>
      </w:pPr>
      <w:r w:rsidRPr="00054665">
        <w:rPr>
          <w:rFonts w:ascii="Arial" w:eastAsia="Times New Roman" w:hAnsi="Arial" w:cs="Arial"/>
          <w:sz w:val="20"/>
          <w:szCs w:val="20"/>
        </w:rPr>
        <w:t xml:space="preserve">χ² = Chi Square, N = sample size, n = number of cases, spp. = species, </w:t>
      </w:r>
      <w:r w:rsidRPr="00054665">
        <w:rPr>
          <w:rFonts w:ascii="Arial" w:eastAsia="Times New Roman" w:hAnsi="Arial" w:cs="Arial"/>
          <w:i/>
          <w:sz w:val="20"/>
          <w:szCs w:val="20"/>
        </w:rPr>
        <w:t>E.</w:t>
      </w:r>
      <w:r w:rsidRPr="00054665">
        <w:rPr>
          <w:rFonts w:ascii="Arial" w:eastAsia="Times New Roman" w:hAnsi="Arial" w:cs="Arial"/>
          <w:sz w:val="20"/>
          <w:szCs w:val="20"/>
        </w:rPr>
        <w:t xml:space="preserve"> = Escherichia </w:t>
      </w:r>
    </w:p>
    <w:p w14:paraId="7D2808FB" w14:textId="77777777" w:rsidR="000E5D4B" w:rsidRPr="000E5D4B" w:rsidRDefault="000E5D4B" w:rsidP="000E5D4B"/>
    <w:p w14:paraId="03ED74E8" w14:textId="77777777" w:rsidR="000E5D4B" w:rsidRPr="000E5D4B" w:rsidRDefault="000E5D4B" w:rsidP="000E5D4B">
      <w:pPr>
        <w:pStyle w:val="NoSpacing"/>
        <w:jc w:val="both"/>
        <w:rPr>
          <w:rFonts w:ascii="Arial" w:hAnsi="Arial" w:cs="Arial"/>
          <w:sz w:val="20"/>
          <w:szCs w:val="24"/>
        </w:rPr>
      </w:pPr>
      <w:r w:rsidRPr="000E5D4B">
        <w:rPr>
          <w:rFonts w:ascii="Arial" w:hAnsi="Arial" w:cs="Arial"/>
          <w:b/>
          <w:sz w:val="20"/>
          <w:szCs w:val="24"/>
        </w:rPr>
        <w:t>Table 2</w:t>
      </w:r>
      <w:r w:rsidRPr="000E5D4B">
        <w:rPr>
          <w:rFonts w:ascii="Arial" w:hAnsi="Arial" w:cs="Arial"/>
          <w:sz w:val="20"/>
          <w:szCs w:val="24"/>
        </w:rPr>
        <w:t>, details microbial analysis of the courier carriers revealed a high prevalence of contamination. The most frequently isolated pathogen was E. coli (</w:t>
      </w:r>
      <w:r w:rsidRPr="000E5D4B">
        <w:rPr>
          <w:rFonts w:ascii="Arial" w:hAnsi="Arial" w:cs="Arial"/>
          <w:i/>
          <w:sz w:val="20"/>
          <w:szCs w:val="24"/>
        </w:rPr>
        <w:t>n</w:t>
      </w:r>
      <w:r w:rsidRPr="000E5D4B">
        <w:rPr>
          <w:rFonts w:ascii="Arial" w:hAnsi="Arial" w:cs="Arial"/>
          <w:sz w:val="20"/>
          <w:szCs w:val="24"/>
        </w:rPr>
        <w:t xml:space="preserve"> = 28, 30%), followed by Coagulase-negative Staphylococcus (</w:t>
      </w:r>
      <w:r w:rsidRPr="000E5D4B">
        <w:rPr>
          <w:rFonts w:ascii="Arial" w:hAnsi="Arial" w:cs="Arial"/>
          <w:i/>
          <w:sz w:val="20"/>
          <w:szCs w:val="24"/>
        </w:rPr>
        <w:t>n</w:t>
      </w:r>
      <w:r w:rsidRPr="000E5D4B">
        <w:rPr>
          <w:rFonts w:ascii="Arial" w:hAnsi="Arial" w:cs="Arial"/>
          <w:sz w:val="20"/>
          <w:szCs w:val="24"/>
        </w:rPr>
        <w:t xml:space="preserve"> = 22, 24%),) and Staphylococcus aureus (</w:t>
      </w:r>
      <w:r w:rsidRPr="000E5D4B">
        <w:rPr>
          <w:rFonts w:ascii="Arial" w:hAnsi="Arial" w:cs="Arial"/>
          <w:i/>
          <w:sz w:val="20"/>
          <w:szCs w:val="24"/>
        </w:rPr>
        <w:t>n</w:t>
      </w:r>
      <w:r w:rsidRPr="000E5D4B">
        <w:rPr>
          <w:rFonts w:ascii="Arial" w:hAnsi="Arial" w:cs="Arial"/>
          <w:sz w:val="20"/>
          <w:szCs w:val="24"/>
        </w:rPr>
        <w:t xml:space="preserve"> = 17, 18%),). Notably, 26% (</w:t>
      </w:r>
      <w:r w:rsidRPr="000E5D4B">
        <w:rPr>
          <w:rFonts w:ascii="Arial" w:hAnsi="Arial" w:cs="Arial"/>
          <w:i/>
          <w:sz w:val="20"/>
          <w:szCs w:val="24"/>
        </w:rPr>
        <w:t>n</w:t>
      </w:r>
      <w:r w:rsidRPr="000E5D4B">
        <w:rPr>
          <w:rFonts w:ascii="Arial" w:hAnsi="Arial" w:cs="Arial"/>
          <w:sz w:val="20"/>
          <w:szCs w:val="24"/>
        </w:rPr>
        <w:t xml:space="preserve"> = 24) of the carriers tested positive for more than one organism.</w:t>
      </w:r>
    </w:p>
    <w:p w14:paraId="47AA952A" w14:textId="77777777" w:rsidR="000E5D4B" w:rsidRDefault="000E5D4B" w:rsidP="000E5D4B">
      <w:pPr>
        <w:pStyle w:val="NoSpacing"/>
        <w:jc w:val="both"/>
        <w:rPr>
          <w:rFonts w:ascii="Arial" w:hAnsi="Arial" w:cs="Arial"/>
          <w:sz w:val="20"/>
          <w:szCs w:val="24"/>
        </w:rPr>
      </w:pPr>
      <w:r w:rsidRPr="000E5D4B">
        <w:rPr>
          <w:rFonts w:ascii="Arial" w:hAnsi="Arial" w:cs="Arial"/>
          <w:sz w:val="20"/>
          <w:szCs w:val="24"/>
        </w:rPr>
        <w:t xml:space="preserve">Chi-square tests were conducted to determine if carrier appearance or cleaning frequency were associated with the presence of pathogens. Interestingly, visible carrier appearance (clean vs. dirty) did not significantly associate with the presence of any specific pathogen (all </w:t>
      </w:r>
      <w:r w:rsidRPr="000E5D4B">
        <w:rPr>
          <w:rFonts w:ascii="Arial" w:hAnsi="Arial" w:cs="Arial"/>
          <w:i/>
          <w:sz w:val="20"/>
          <w:szCs w:val="24"/>
        </w:rPr>
        <w:t>p</w:t>
      </w:r>
      <w:r w:rsidRPr="000E5D4B">
        <w:rPr>
          <w:rFonts w:ascii="Arial" w:hAnsi="Arial" w:cs="Arial"/>
          <w:sz w:val="20"/>
          <w:szCs w:val="24"/>
        </w:rPr>
        <w:t xml:space="preserve"> &gt; .05). While pathogens were consistently "higher in dirty carriers" by percentage, visible cleanliness was not a statistically significant predictor of microbial safety. However, cleaning frequency showed several significant associations. The presence of Pseudomonas spp. was significantly associated with cleaning frequency, </w:t>
      </w:r>
      <w:r w:rsidRPr="000E5D4B">
        <w:rPr>
          <w:rFonts w:ascii="Arial" w:eastAsia="Times New Roman" w:hAnsi="Arial" w:cs="Arial"/>
          <w:sz w:val="20"/>
          <w:szCs w:val="24"/>
        </w:rPr>
        <w:t xml:space="preserve">χ² (1) =14.85, </w:t>
      </w:r>
      <w:r w:rsidRPr="000E5D4B">
        <w:rPr>
          <w:rFonts w:ascii="Arial" w:eastAsia="Times New Roman" w:hAnsi="Arial" w:cs="Arial"/>
          <w:i/>
          <w:sz w:val="20"/>
          <w:szCs w:val="24"/>
        </w:rPr>
        <w:t>p</w:t>
      </w:r>
      <w:r w:rsidRPr="000E5D4B">
        <w:rPr>
          <w:rFonts w:ascii="Arial" w:eastAsia="Times New Roman" w:hAnsi="Arial" w:cs="Arial"/>
          <w:sz w:val="20"/>
          <w:szCs w:val="24"/>
        </w:rPr>
        <w:t xml:space="preserve"> = .005</w:t>
      </w:r>
      <w:r w:rsidRPr="000E5D4B">
        <w:rPr>
          <w:rFonts w:ascii="Arial" w:hAnsi="Arial" w:cs="Arial"/>
          <w:sz w:val="20"/>
          <w:szCs w:val="24"/>
        </w:rPr>
        <w:t>, with higher rates found in carriers cleaned weekly. Significant associations were also found for Coagulase-negative Staphylococcus (</w:t>
      </w:r>
      <w:r w:rsidRPr="000E5D4B">
        <w:rPr>
          <w:rFonts w:ascii="Arial" w:eastAsia="Times New Roman" w:hAnsi="Arial" w:cs="Arial"/>
          <w:sz w:val="20"/>
          <w:szCs w:val="24"/>
        </w:rPr>
        <w:t xml:space="preserve">χ² (1) = 10.59, </w:t>
      </w:r>
      <w:r w:rsidRPr="000E5D4B">
        <w:rPr>
          <w:rFonts w:ascii="Arial" w:eastAsia="Times New Roman" w:hAnsi="Arial" w:cs="Arial"/>
          <w:i/>
          <w:sz w:val="20"/>
          <w:szCs w:val="24"/>
        </w:rPr>
        <w:t>p</w:t>
      </w:r>
      <w:r w:rsidRPr="000E5D4B">
        <w:rPr>
          <w:rFonts w:ascii="Arial" w:eastAsia="Times New Roman" w:hAnsi="Arial" w:cs="Arial"/>
          <w:sz w:val="20"/>
          <w:szCs w:val="24"/>
        </w:rPr>
        <w:t xml:space="preserve"> = .03</w:t>
      </w:r>
      <w:r w:rsidRPr="000E5D4B">
        <w:rPr>
          <w:rFonts w:ascii="Arial" w:hAnsi="Arial" w:cs="Arial"/>
          <w:sz w:val="20"/>
          <w:szCs w:val="24"/>
        </w:rPr>
        <w:t>) and Gram-positive bacilli (</w:t>
      </w:r>
      <w:r w:rsidRPr="000E5D4B">
        <w:rPr>
          <w:rFonts w:ascii="Arial" w:eastAsia="Times New Roman" w:hAnsi="Arial" w:cs="Arial"/>
          <w:sz w:val="20"/>
          <w:szCs w:val="24"/>
        </w:rPr>
        <w:t xml:space="preserve">χ² (1) = 14.70, </w:t>
      </w:r>
      <w:r w:rsidRPr="000E5D4B">
        <w:rPr>
          <w:rFonts w:ascii="Arial" w:eastAsia="Times New Roman" w:hAnsi="Arial" w:cs="Arial"/>
          <w:i/>
          <w:sz w:val="20"/>
          <w:szCs w:val="24"/>
        </w:rPr>
        <w:t>p</w:t>
      </w:r>
      <w:r w:rsidRPr="000E5D4B">
        <w:rPr>
          <w:rFonts w:ascii="Arial" w:eastAsia="Times New Roman" w:hAnsi="Arial" w:cs="Arial"/>
          <w:sz w:val="20"/>
          <w:szCs w:val="24"/>
        </w:rPr>
        <w:t xml:space="preserve"> = .005</w:t>
      </w:r>
      <w:r w:rsidRPr="000E5D4B">
        <w:rPr>
          <w:rFonts w:ascii="Arial" w:hAnsi="Arial" w:cs="Arial"/>
          <w:sz w:val="20"/>
          <w:szCs w:val="24"/>
        </w:rPr>
        <w:t>), both of which were more prevalent in carriers that were rarely cleaned. No significant association was found between cleaning frequency and the presence of E. coli (</w:t>
      </w:r>
      <w:r w:rsidRPr="000E5D4B">
        <w:rPr>
          <w:rFonts w:ascii="Arial" w:hAnsi="Arial" w:cs="Arial"/>
          <w:i/>
          <w:sz w:val="20"/>
          <w:szCs w:val="24"/>
        </w:rPr>
        <w:t>p</w:t>
      </w:r>
      <w:r w:rsidRPr="000E5D4B">
        <w:rPr>
          <w:rFonts w:ascii="Arial" w:hAnsi="Arial" w:cs="Arial"/>
          <w:sz w:val="20"/>
          <w:szCs w:val="24"/>
        </w:rPr>
        <w:t xml:space="preserve"> = .088) or S. aureus (</w:t>
      </w:r>
      <w:r w:rsidRPr="000E5D4B">
        <w:rPr>
          <w:rFonts w:ascii="Arial" w:hAnsi="Arial" w:cs="Arial"/>
          <w:i/>
          <w:sz w:val="20"/>
          <w:szCs w:val="24"/>
        </w:rPr>
        <w:t>p</w:t>
      </w:r>
      <w:r w:rsidRPr="000E5D4B">
        <w:rPr>
          <w:rFonts w:ascii="Arial" w:hAnsi="Arial" w:cs="Arial"/>
          <w:sz w:val="20"/>
          <w:szCs w:val="24"/>
        </w:rPr>
        <w:t xml:space="preserve"> = .452).</w:t>
      </w:r>
    </w:p>
    <w:p w14:paraId="76293E87" w14:textId="77777777" w:rsidR="008A7BCB" w:rsidRPr="000E5D4B" w:rsidRDefault="008A7BCB" w:rsidP="000E5D4B">
      <w:pPr>
        <w:pStyle w:val="NoSpacing"/>
        <w:jc w:val="both"/>
        <w:rPr>
          <w:rFonts w:ascii="Arial" w:hAnsi="Arial" w:cs="Arial"/>
          <w:sz w:val="20"/>
          <w:szCs w:val="24"/>
        </w:rPr>
      </w:pPr>
    </w:p>
    <w:p w14:paraId="2750ABD1" w14:textId="77777777" w:rsidR="000E5D4B" w:rsidRPr="008A7BCB" w:rsidRDefault="008A7BCB" w:rsidP="000E5D4B">
      <w:pPr>
        <w:pStyle w:val="Heading2"/>
        <w:rPr>
          <w:rFonts w:ascii="Arial" w:hAnsi="Arial" w:cs="Arial"/>
          <w:b/>
          <w:color w:val="auto"/>
          <w:sz w:val="22"/>
        </w:rPr>
      </w:pPr>
      <w:r w:rsidRPr="008A7BCB">
        <w:rPr>
          <w:rFonts w:ascii="Arial" w:hAnsi="Arial" w:cs="Arial"/>
          <w:b/>
          <w:color w:val="auto"/>
          <w:sz w:val="22"/>
        </w:rPr>
        <w:t xml:space="preserve">3.3 </w:t>
      </w:r>
      <w:r w:rsidR="000E5D4B" w:rsidRPr="008A7BCB">
        <w:rPr>
          <w:rFonts w:ascii="Arial" w:hAnsi="Arial" w:cs="Arial"/>
          <w:b/>
          <w:color w:val="auto"/>
          <w:sz w:val="22"/>
        </w:rPr>
        <w:t>Relationships between Carrier Contamination Classification and other Variables</w:t>
      </w:r>
    </w:p>
    <w:p w14:paraId="5CDC449F" w14:textId="77777777" w:rsidR="008A7BCB" w:rsidRDefault="008A7BCB" w:rsidP="000E5D4B">
      <w:pPr>
        <w:rPr>
          <w:rFonts w:cs="Arial"/>
          <w:color w:val="0A0A0A"/>
          <w:szCs w:val="24"/>
          <w:shd w:val="clear" w:color="auto" w:fill="FFFFFF"/>
        </w:rPr>
      </w:pPr>
    </w:p>
    <w:p w14:paraId="09415D7C" w14:textId="77777777" w:rsidR="008A7BCB" w:rsidRPr="00B61AA7" w:rsidRDefault="008A7BCB" w:rsidP="008A7BCB">
      <w:pPr>
        <w:pStyle w:val="NoSpacing"/>
        <w:rPr>
          <w:rFonts w:ascii="Arial" w:hAnsi="Arial" w:cs="Arial"/>
          <w:b/>
          <w:sz w:val="20"/>
          <w:szCs w:val="20"/>
        </w:rPr>
      </w:pPr>
      <w:r w:rsidRPr="00B61AA7">
        <w:rPr>
          <w:rFonts w:ascii="Arial" w:hAnsi="Arial" w:cs="Arial"/>
          <w:b/>
          <w:sz w:val="20"/>
          <w:szCs w:val="20"/>
        </w:rPr>
        <w:t xml:space="preserve">Table 3: </w:t>
      </w:r>
      <w:r w:rsidRPr="008A7BCB">
        <w:rPr>
          <w:rFonts w:ascii="Arial" w:hAnsi="Arial" w:cs="Arial"/>
          <w:sz w:val="20"/>
          <w:szCs w:val="20"/>
        </w:rPr>
        <w:t>Relationships between carrier contamination classification and other variables</w:t>
      </w:r>
      <w:r w:rsidRPr="00B61AA7">
        <w:rPr>
          <w:rFonts w:ascii="Arial" w:hAnsi="Arial" w:cs="Arial"/>
          <w:b/>
          <w:sz w:val="20"/>
          <w:szCs w:val="20"/>
        </w:rPr>
        <w:t xml:space="preserve"> </w:t>
      </w:r>
    </w:p>
    <w:tbl>
      <w:tblPr>
        <w:tblW w:w="8297"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248"/>
        <w:gridCol w:w="807"/>
        <w:gridCol w:w="967"/>
        <w:gridCol w:w="726"/>
        <w:gridCol w:w="726"/>
        <w:gridCol w:w="809"/>
        <w:gridCol w:w="645"/>
        <w:gridCol w:w="759"/>
        <w:gridCol w:w="610"/>
      </w:tblGrid>
      <w:tr w:rsidR="008A7BCB" w:rsidRPr="00B61AA7" w14:paraId="481C4EA0" w14:textId="77777777" w:rsidTr="008A7BCB">
        <w:trPr>
          <w:trHeight w:val="156"/>
          <w:tblHeader/>
        </w:trPr>
        <w:tc>
          <w:tcPr>
            <w:tcW w:w="2265" w:type="dxa"/>
            <w:tcBorders>
              <w:top w:val="single" w:sz="4" w:space="0" w:color="auto"/>
              <w:bottom w:val="single" w:sz="4" w:space="0" w:color="auto"/>
            </w:tcBorders>
            <w:tcMar>
              <w:top w:w="45" w:type="dxa"/>
              <w:left w:w="180" w:type="dxa"/>
              <w:bottom w:w="45" w:type="dxa"/>
              <w:right w:w="180" w:type="dxa"/>
            </w:tcMar>
            <w:vAlign w:val="center"/>
            <w:hideMark/>
          </w:tcPr>
          <w:p w14:paraId="2BAC09BB"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Variable</w:t>
            </w:r>
          </w:p>
        </w:tc>
        <w:tc>
          <w:tcPr>
            <w:tcW w:w="809" w:type="dxa"/>
            <w:tcBorders>
              <w:top w:val="single" w:sz="4" w:space="0" w:color="auto"/>
              <w:bottom w:val="single" w:sz="4" w:space="0" w:color="auto"/>
            </w:tcBorders>
            <w:tcMar>
              <w:top w:w="45" w:type="dxa"/>
              <w:left w:w="180" w:type="dxa"/>
              <w:bottom w:w="45" w:type="dxa"/>
              <w:right w:w="180" w:type="dxa"/>
            </w:tcMar>
            <w:vAlign w:val="center"/>
            <w:hideMark/>
          </w:tcPr>
          <w:p w14:paraId="01FE20CE"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1</w:t>
            </w:r>
          </w:p>
        </w:tc>
        <w:tc>
          <w:tcPr>
            <w:tcW w:w="970" w:type="dxa"/>
            <w:tcBorders>
              <w:top w:val="single" w:sz="4" w:space="0" w:color="auto"/>
              <w:bottom w:val="single" w:sz="4" w:space="0" w:color="auto"/>
            </w:tcBorders>
            <w:tcMar>
              <w:top w:w="45" w:type="dxa"/>
              <w:left w:w="180" w:type="dxa"/>
              <w:bottom w:w="45" w:type="dxa"/>
              <w:right w:w="180" w:type="dxa"/>
            </w:tcMar>
            <w:vAlign w:val="center"/>
            <w:hideMark/>
          </w:tcPr>
          <w:p w14:paraId="0D3D3876"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2</w:t>
            </w:r>
          </w:p>
        </w:tc>
        <w:tc>
          <w:tcPr>
            <w:tcW w:w="728" w:type="dxa"/>
            <w:tcBorders>
              <w:top w:val="single" w:sz="4" w:space="0" w:color="auto"/>
              <w:bottom w:val="single" w:sz="4" w:space="0" w:color="auto"/>
            </w:tcBorders>
            <w:tcMar>
              <w:top w:w="45" w:type="dxa"/>
              <w:left w:w="180" w:type="dxa"/>
              <w:bottom w:w="45" w:type="dxa"/>
              <w:right w:w="180" w:type="dxa"/>
            </w:tcMar>
            <w:vAlign w:val="center"/>
            <w:hideMark/>
          </w:tcPr>
          <w:p w14:paraId="00ABAE23"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3</w:t>
            </w:r>
          </w:p>
        </w:tc>
        <w:tc>
          <w:tcPr>
            <w:tcW w:w="728" w:type="dxa"/>
            <w:tcBorders>
              <w:top w:val="single" w:sz="4" w:space="0" w:color="auto"/>
              <w:bottom w:val="single" w:sz="4" w:space="0" w:color="auto"/>
            </w:tcBorders>
            <w:tcMar>
              <w:top w:w="45" w:type="dxa"/>
              <w:left w:w="180" w:type="dxa"/>
              <w:bottom w:w="45" w:type="dxa"/>
              <w:right w:w="180" w:type="dxa"/>
            </w:tcMar>
            <w:vAlign w:val="center"/>
            <w:hideMark/>
          </w:tcPr>
          <w:p w14:paraId="55441FB7"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4</w:t>
            </w:r>
          </w:p>
        </w:tc>
        <w:tc>
          <w:tcPr>
            <w:tcW w:w="809" w:type="dxa"/>
            <w:tcBorders>
              <w:top w:val="single" w:sz="4" w:space="0" w:color="auto"/>
              <w:bottom w:val="single" w:sz="4" w:space="0" w:color="auto"/>
            </w:tcBorders>
            <w:tcMar>
              <w:top w:w="45" w:type="dxa"/>
              <w:left w:w="180" w:type="dxa"/>
              <w:bottom w:w="45" w:type="dxa"/>
              <w:right w:w="180" w:type="dxa"/>
            </w:tcMar>
            <w:vAlign w:val="center"/>
            <w:hideMark/>
          </w:tcPr>
          <w:p w14:paraId="3181841B"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5</w:t>
            </w:r>
          </w:p>
        </w:tc>
        <w:tc>
          <w:tcPr>
            <w:tcW w:w="647" w:type="dxa"/>
            <w:tcBorders>
              <w:top w:val="single" w:sz="4" w:space="0" w:color="auto"/>
              <w:bottom w:val="single" w:sz="4" w:space="0" w:color="auto"/>
            </w:tcBorders>
            <w:tcMar>
              <w:top w:w="45" w:type="dxa"/>
              <w:left w:w="180" w:type="dxa"/>
              <w:bottom w:w="45" w:type="dxa"/>
              <w:right w:w="180" w:type="dxa"/>
            </w:tcMar>
            <w:vAlign w:val="center"/>
            <w:hideMark/>
          </w:tcPr>
          <w:p w14:paraId="50B5C8F0"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6</w:t>
            </w:r>
          </w:p>
        </w:tc>
        <w:tc>
          <w:tcPr>
            <w:tcW w:w="728" w:type="dxa"/>
            <w:tcBorders>
              <w:top w:val="single" w:sz="4" w:space="0" w:color="auto"/>
              <w:bottom w:val="single" w:sz="4" w:space="0" w:color="auto"/>
            </w:tcBorders>
            <w:tcMar>
              <w:top w:w="45" w:type="dxa"/>
              <w:left w:w="180" w:type="dxa"/>
              <w:bottom w:w="45" w:type="dxa"/>
              <w:right w:w="180" w:type="dxa"/>
            </w:tcMar>
            <w:vAlign w:val="center"/>
            <w:hideMark/>
          </w:tcPr>
          <w:p w14:paraId="68EA83D0"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7</w:t>
            </w:r>
          </w:p>
        </w:tc>
        <w:tc>
          <w:tcPr>
            <w:tcW w:w="613" w:type="dxa"/>
            <w:tcBorders>
              <w:top w:val="single" w:sz="4" w:space="0" w:color="auto"/>
              <w:bottom w:val="single" w:sz="4" w:space="0" w:color="auto"/>
            </w:tcBorders>
            <w:tcMar>
              <w:top w:w="45" w:type="dxa"/>
              <w:left w:w="180" w:type="dxa"/>
              <w:bottom w:w="45" w:type="dxa"/>
              <w:right w:w="180" w:type="dxa"/>
            </w:tcMar>
            <w:vAlign w:val="center"/>
            <w:hideMark/>
          </w:tcPr>
          <w:p w14:paraId="07CFC098"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8</w:t>
            </w:r>
          </w:p>
        </w:tc>
      </w:tr>
      <w:tr w:rsidR="008A7BCB" w:rsidRPr="00B61AA7" w14:paraId="36C9D570" w14:textId="77777777" w:rsidTr="008A7BCB">
        <w:trPr>
          <w:trHeight w:val="474"/>
        </w:trPr>
        <w:tc>
          <w:tcPr>
            <w:tcW w:w="2265" w:type="dxa"/>
            <w:tcBorders>
              <w:top w:val="single" w:sz="4" w:space="0" w:color="auto"/>
            </w:tcBorders>
            <w:tcMar>
              <w:top w:w="162" w:type="dxa"/>
              <w:left w:w="180" w:type="dxa"/>
              <w:bottom w:w="15" w:type="dxa"/>
              <w:right w:w="0" w:type="dxa"/>
            </w:tcMar>
            <w:vAlign w:val="center"/>
            <w:hideMark/>
          </w:tcPr>
          <w:p w14:paraId="01012DF0"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1. </w:t>
            </w:r>
            <w:r w:rsidRPr="00B61AA7">
              <w:rPr>
                <w:rFonts w:ascii="Arial" w:hAnsi="Arial" w:cs="Arial"/>
                <w:sz w:val="20"/>
                <w:szCs w:val="20"/>
              </w:rPr>
              <w:t>Carrier Classification</w:t>
            </w:r>
          </w:p>
        </w:tc>
        <w:tc>
          <w:tcPr>
            <w:tcW w:w="809" w:type="dxa"/>
            <w:tcBorders>
              <w:top w:val="single" w:sz="4" w:space="0" w:color="auto"/>
            </w:tcBorders>
            <w:tcMar>
              <w:top w:w="162" w:type="dxa"/>
              <w:left w:w="180" w:type="dxa"/>
              <w:bottom w:w="15" w:type="dxa"/>
              <w:right w:w="0" w:type="dxa"/>
            </w:tcMar>
            <w:hideMark/>
          </w:tcPr>
          <w:p w14:paraId="254C138D"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970" w:type="dxa"/>
            <w:tcBorders>
              <w:top w:val="single" w:sz="4" w:space="0" w:color="auto"/>
            </w:tcBorders>
            <w:tcMar>
              <w:top w:w="162" w:type="dxa"/>
              <w:left w:w="180" w:type="dxa"/>
              <w:bottom w:w="15" w:type="dxa"/>
              <w:right w:w="0" w:type="dxa"/>
            </w:tcMar>
            <w:hideMark/>
          </w:tcPr>
          <w:p w14:paraId="7296C703" w14:textId="77777777" w:rsidR="008A7BCB" w:rsidRPr="00B61AA7" w:rsidRDefault="008A7BCB" w:rsidP="007B52FE">
            <w:pPr>
              <w:pStyle w:val="NoSpacing"/>
              <w:rPr>
                <w:rFonts w:ascii="Arial" w:hAnsi="Arial" w:cs="Arial"/>
                <w:sz w:val="20"/>
                <w:szCs w:val="20"/>
              </w:rPr>
            </w:pPr>
          </w:p>
        </w:tc>
        <w:tc>
          <w:tcPr>
            <w:tcW w:w="728" w:type="dxa"/>
            <w:tcBorders>
              <w:top w:val="single" w:sz="4" w:space="0" w:color="auto"/>
            </w:tcBorders>
            <w:tcMar>
              <w:top w:w="162" w:type="dxa"/>
              <w:left w:w="180" w:type="dxa"/>
              <w:bottom w:w="15" w:type="dxa"/>
              <w:right w:w="0" w:type="dxa"/>
            </w:tcMar>
            <w:hideMark/>
          </w:tcPr>
          <w:p w14:paraId="1D5DABAD" w14:textId="77777777" w:rsidR="008A7BCB" w:rsidRPr="00B61AA7" w:rsidRDefault="008A7BCB" w:rsidP="007B52FE">
            <w:pPr>
              <w:pStyle w:val="NoSpacing"/>
              <w:rPr>
                <w:rFonts w:ascii="Arial" w:hAnsi="Arial" w:cs="Arial"/>
                <w:sz w:val="20"/>
                <w:szCs w:val="20"/>
              </w:rPr>
            </w:pPr>
          </w:p>
        </w:tc>
        <w:tc>
          <w:tcPr>
            <w:tcW w:w="728" w:type="dxa"/>
            <w:tcBorders>
              <w:top w:val="single" w:sz="4" w:space="0" w:color="auto"/>
            </w:tcBorders>
            <w:tcMar>
              <w:top w:w="162" w:type="dxa"/>
              <w:left w:w="180" w:type="dxa"/>
              <w:bottom w:w="15" w:type="dxa"/>
              <w:right w:w="0" w:type="dxa"/>
            </w:tcMar>
            <w:hideMark/>
          </w:tcPr>
          <w:p w14:paraId="2D8FC52B" w14:textId="77777777" w:rsidR="008A7BCB" w:rsidRPr="00B61AA7" w:rsidRDefault="008A7BCB" w:rsidP="007B52FE">
            <w:pPr>
              <w:pStyle w:val="NoSpacing"/>
              <w:rPr>
                <w:rFonts w:ascii="Arial" w:hAnsi="Arial" w:cs="Arial"/>
                <w:sz w:val="20"/>
                <w:szCs w:val="20"/>
              </w:rPr>
            </w:pPr>
          </w:p>
        </w:tc>
        <w:tc>
          <w:tcPr>
            <w:tcW w:w="809" w:type="dxa"/>
            <w:tcBorders>
              <w:top w:val="single" w:sz="4" w:space="0" w:color="auto"/>
            </w:tcBorders>
            <w:tcMar>
              <w:top w:w="162" w:type="dxa"/>
              <w:left w:w="180" w:type="dxa"/>
              <w:bottom w:w="15" w:type="dxa"/>
              <w:right w:w="0" w:type="dxa"/>
            </w:tcMar>
            <w:hideMark/>
          </w:tcPr>
          <w:p w14:paraId="7F8BDABC" w14:textId="77777777" w:rsidR="008A7BCB" w:rsidRPr="00B61AA7" w:rsidRDefault="008A7BCB" w:rsidP="007B52FE">
            <w:pPr>
              <w:pStyle w:val="NoSpacing"/>
              <w:rPr>
                <w:rFonts w:ascii="Arial" w:hAnsi="Arial" w:cs="Arial"/>
                <w:sz w:val="20"/>
                <w:szCs w:val="20"/>
              </w:rPr>
            </w:pPr>
          </w:p>
        </w:tc>
        <w:tc>
          <w:tcPr>
            <w:tcW w:w="647" w:type="dxa"/>
            <w:tcBorders>
              <w:top w:val="single" w:sz="4" w:space="0" w:color="auto"/>
            </w:tcBorders>
            <w:tcMar>
              <w:top w:w="162" w:type="dxa"/>
              <w:left w:w="180" w:type="dxa"/>
              <w:bottom w:w="15" w:type="dxa"/>
              <w:right w:w="0" w:type="dxa"/>
            </w:tcMar>
            <w:hideMark/>
          </w:tcPr>
          <w:p w14:paraId="33534F84" w14:textId="77777777" w:rsidR="008A7BCB" w:rsidRPr="00B61AA7" w:rsidRDefault="008A7BCB" w:rsidP="007B52FE">
            <w:pPr>
              <w:pStyle w:val="NoSpacing"/>
              <w:rPr>
                <w:rFonts w:ascii="Arial" w:hAnsi="Arial" w:cs="Arial"/>
                <w:sz w:val="20"/>
                <w:szCs w:val="20"/>
              </w:rPr>
            </w:pPr>
          </w:p>
        </w:tc>
        <w:tc>
          <w:tcPr>
            <w:tcW w:w="728" w:type="dxa"/>
            <w:tcBorders>
              <w:top w:val="single" w:sz="4" w:space="0" w:color="auto"/>
            </w:tcBorders>
            <w:tcMar>
              <w:top w:w="162" w:type="dxa"/>
              <w:left w:w="180" w:type="dxa"/>
              <w:bottom w:w="15" w:type="dxa"/>
              <w:right w:w="0" w:type="dxa"/>
            </w:tcMar>
            <w:hideMark/>
          </w:tcPr>
          <w:p w14:paraId="1E1E401D" w14:textId="77777777" w:rsidR="008A7BCB" w:rsidRPr="00B61AA7" w:rsidRDefault="008A7BCB" w:rsidP="007B52FE">
            <w:pPr>
              <w:pStyle w:val="NoSpacing"/>
              <w:rPr>
                <w:rFonts w:ascii="Arial" w:hAnsi="Arial" w:cs="Arial"/>
                <w:sz w:val="20"/>
                <w:szCs w:val="20"/>
              </w:rPr>
            </w:pPr>
          </w:p>
        </w:tc>
        <w:tc>
          <w:tcPr>
            <w:tcW w:w="613" w:type="dxa"/>
            <w:tcBorders>
              <w:top w:val="single" w:sz="4" w:space="0" w:color="auto"/>
            </w:tcBorders>
            <w:tcMar>
              <w:top w:w="162" w:type="dxa"/>
              <w:left w:w="180" w:type="dxa"/>
              <w:bottom w:w="15" w:type="dxa"/>
              <w:right w:w="0" w:type="dxa"/>
            </w:tcMar>
            <w:hideMark/>
          </w:tcPr>
          <w:p w14:paraId="098E651E" w14:textId="77777777" w:rsidR="008A7BCB" w:rsidRPr="00B61AA7" w:rsidRDefault="008A7BCB" w:rsidP="007B52FE">
            <w:pPr>
              <w:pStyle w:val="NoSpacing"/>
              <w:rPr>
                <w:rFonts w:ascii="Arial" w:hAnsi="Arial" w:cs="Arial"/>
                <w:sz w:val="20"/>
                <w:szCs w:val="20"/>
              </w:rPr>
            </w:pPr>
          </w:p>
        </w:tc>
      </w:tr>
      <w:tr w:rsidR="008A7BCB" w:rsidRPr="00B61AA7" w14:paraId="6906AF11" w14:textId="77777777" w:rsidTr="008A7BCB">
        <w:trPr>
          <w:trHeight w:val="474"/>
        </w:trPr>
        <w:tc>
          <w:tcPr>
            <w:tcW w:w="2265" w:type="dxa"/>
            <w:tcMar>
              <w:top w:w="162" w:type="dxa"/>
              <w:left w:w="180" w:type="dxa"/>
              <w:bottom w:w="15" w:type="dxa"/>
              <w:right w:w="0" w:type="dxa"/>
            </w:tcMar>
            <w:vAlign w:val="center"/>
            <w:hideMark/>
          </w:tcPr>
          <w:p w14:paraId="780E0399"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2. </w:t>
            </w:r>
            <w:r w:rsidRPr="00B61AA7">
              <w:rPr>
                <w:rFonts w:ascii="Arial" w:hAnsi="Arial" w:cs="Arial"/>
                <w:sz w:val="20"/>
                <w:szCs w:val="20"/>
              </w:rPr>
              <w:t>Certified Food Handler</w:t>
            </w:r>
          </w:p>
        </w:tc>
        <w:tc>
          <w:tcPr>
            <w:tcW w:w="809" w:type="dxa"/>
            <w:tcMar>
              <w:top w:w="162" w:type="dxa"/>
              <w:left w:w="180" w:type="dxa"/>
              <w:bottom w:w="15" w:type="dxa"/>
              <w:right w:w="0" w:type="dxa"/>
            </w:tcMar>
            <w:hideMark/>
          </w:tcPr>
          <w:p w14:paraId="4CAD0396"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-.004</w:t>
            </w:r>
          </w:p>
        </w:tc>
        <w:tc>
          <w:tcPr>
            <w:tcW w:w="970" w:type="dxa"/>
            <w:tcMar>
              <w:top w:w="162" w:type="dxa"/>
              <w:left w:w="180" w:type="dxa"/>
              <w:bottom w:w="15" w:type="dxa"/>
              <w:right w:w="0" w:type="dxa"/>
            </w:tcMar>
            <w:hideMark/>
          </w:tcPr>
          <w:p w14:paraId="246F66D6"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728" w:type="dxa"/>
            <w:tcMar>
              <w:top w:w="162" w:type="dxa"/>
              <w:left w:w="180" w:type="dxa"/>
              <w:bottom w:w="15" w:type="dxa"/>
              <w:right w:w="0" w:type="dxa"/>
            </w:tcMar>
            <w:hideMark/>
          </w:tcPr>
          <w:p w14:paraId="60C8F54F" w14:textId="77777777" w:rsidR="008A7BCB" w:rsidRPr="00B61AA7" w:rsidRDefault="008A7BCB" w:rsidP="007B52FE">
            <w:pPr>
              <w:pStyle w:val="NoSpacing"/>
              <w:rPr>
                <w:rFonts w:ascii="Arial" w:hAnsi="Arial" w:cs="Arial"/>
                <w:sz w:val="20"/>
                <w:szCs w:val="20"/>
              </w:rPr>
            </w:pPr>
          </w:p>
        </w:tc>
        <w:tc>
          <w:tcPr>
            <w:tcW w:w="728" w:type="dxa"/>
            <w:tcMar>
              <w:top w:w="162" w:type="dxa"/>
              <w:left w:w="180" w:type="dxa"/>
              <w:bottom w:w="15" w:type="dxa"/>
              <w:right w:w="0" w:type="dxa"/>
            </w:tcMar>
            <w:hideMark/>
          </w:tcPr>
          <w:p w14:paraId="1877C22D" w14:textId="77777777" w:rsidR="008A7BCB" w:rsidRPr="00B61AA7" w:rsidRDefault="008A7BCB" w:rsidP="007B52FE">
            <w:pPr>
              <w:pStyle w:val="NoSpacing"/>
              <w:rPr>
                <w:rFonts w:ascii="Arial" w:hAnsi="Arial" w:cs="Arial"/>
                <w:sz w:val="20"/>
                <w:szCs w:val="20"/>
              </w:rPr>
            </w:pPr>
          </w:p>
        </w:tc>
        <w:tc>
          <w:tcPr>
            <w:tcW w:w="809" w:type="dxa"/>
            <w:tcMar>
              <w:top w:w="162" w:type="dxa"/>
              <w:left w:w="180" w:type="dxa"/>
              <w:bottom w:w="15" w:type="dxa"/>
              <w:right w:w="0" w:type="dxa"/>
            </w:tcMar>
            <w:hideMark/>
          </w:tcPr>
          <w:p w14:paraId="4560F018" w14:textId="77777777" w:rsidR="008A7BCB" w:rsidRPr="00B61AA7" w:rsidRDefault="008A7BCB" w:rsidP="007B52FE">
            <w:pPr>
              <w:pStyle w:val="NoSpacing"/>
              <w:rPr>
                <w:rFonts w:ascii="Arial" w:hAnsi="Arial" w:cs="Arial"/>
                <w:sz w:val="20"/>
                <w:szCs w:val="20"/>
              </w:rPr>
            </w:pPr>
          </w:p>
        </w:tc>
        <w:tc>
          <w:tcPr>
            <w:tcW w:w="647" w:type="dxa"/>
            <w:tcMar>
              <w:top w:w="162" w:type="dxa"/>
              <w:left w:w="180" w:type="dxa"/>
              <w:bottom w:w="15" w:type="dxa"/>
              <w:right w:w="0" w:type="dxa"/>
            </w:tcMar>
            <w:hideMark/>
          </w:tcPr>
          <w:p w14:paraId="32E7A7F4" w14:textId="77777777" w:rsidR="008A7BCB" w:rsidRPr="00B61AA7" w:rsidRDefault="008A7BCB" w:rsidP="007B52FE">
            <w:pPr>
              <w:pStyle w:val="NoSpacing"/>
              <w:rPr>
                <w:rFonts w:ascii="Arial" w:hAnsi="Arial" w:cs="Arial"/>
                <w:sz w:val="20"/>
                <w:szCs w:val="20"/>
              </w:rPr>
            </w:pPr>
          </w:p>
        </w:tc>
        <w:tc>
          <w:tcPr>
            <w:tcW w:w="728" w:type="dxa"/>
            <w:tcMar>
              <w:top w:w="162" w:type="dxa"/>
              <w:left w:w="180" w:type="dxa"/>
              <w:bottom w:w="15" w:type="dxa"/>
              <w:right w:w="0" w:type="dxa"/>
            </w:tcMar>
            <w:hideMark/>
          </w:tcPr>
          <w:p w14:paraId="7C23104E" w14:textId="77777777" w:rsidR="008A7BCB" w:rsidRPr="00B61AA7" w:rsidRDefault="008A7BCB" w:rsidP="007B52FE">
            <w:pPr>
              <w:pStyle w:val="NoSpacing"/>
              <w:rPr>
                <w:rFonts w:ascii="Arial" w:hAnsi="Arial" w:cs="Arial"/>
                <w:sz w:val="20"/>
                <w:szCs w:val="20"/>
              </w:rPr>
            </w:pPr>
          </w:p>
        </w:tc>
        <w:tc>
          <w:tcPr>
            <w:tcW w:w="613" w:type="dxa"/>
            <w:tcMar>
              <w:top w:w="162" w:type="dxa"/>
              <w:left w:w="180" w:type="dxa"/>
              <w:bottom w:w="15" w:type="dxa"/>
              <w:right w:w="0" w:type="dxa"/>
            </w:tcMar>
            <w:hideMark/>
          </w:tcPr>
          <w:p w14:paraId="68358A47" w14:textId="77777777" w:rsidR="008A7BCB" w:rsidRPr="00B61AA7" w:rsidRDefault="008A7BCB" w:rsidP="007B52FE">
            <w:pPr>
              <w:pStyle w:val="NoSpacing"/>
              <w:rPr>
                <w:rFonts w:ascii="Arial" w:hAnsi="Arial" w:cs="Arial"/>
                <w:sz w:val="20"/>
                <w:szCs w:val="20"/>
              </w:rPr>
            </w:pPr>
          </w:p>
        </w:tc>
      </w:tr>
      <w:tr w:rsidR="008A7BCB" w:rsidRPr="00B61AA7" w14:paraId="5B63298C" w14:textId="77777777" w:rsidTr="008A7BCB">
        <w:trPr>
          <w:trHeight w:val="319"/>
        </w:trPr>
        <w:tc>
          <w:tcPr>
            <w:tcW w:w="2265" w:type="dxa"/>
            <w:tcMar>
              <w:top w:w="162" w:type="dxa"/>
              <w:left w:w="180" w:type="dxa"/>
              <w:bottom w:w="15" w:type="dxa"/>
              <w:right w:w="0" w:type="dxa"/>
            </w:tcMar>
            <w:vAlign w:val="center"/>
            <w:hideMark/>
          </w:tcPr>
          <w:p w14:paraId="407700E2"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3. </w:t>
            </w:r>
            <w:r w:rsidRPr="00B61AA7">
              <w:rPr>
                <w:rFonts w:ascii="Arial" w:hAnsi="Arial" w:cs="Arial"/>
                <w:sz w:val="20"/>
                <w:szCs w:val="20"/>
              </w:rPr>
              <w:t>Bike Type</w:t>
            </w:r>
          </w:p>
        </w:tc>
        <w:tc>
          <w:tcPr>
            <w:tcW w:w="809" w:type="dxa"/>
            <w:tcMar>
              <w:top w:w="162" w:type="dxa"/>
              <w:left w:w="180" w:type="dxa"/>
              <w:bottom w:w="15" w:type="dxa"/>
              <w:right w:w="0" w:type="dxa"/>
            </w:tcMar>
            <w:hideMark/>
          </w:tcPr>
          <w:p w14:paraId="3069B28C"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.229*</w:t>
            </w:r>
          </w:p>
        </w:tc>
        <w:tc>
          <w:tcPr>
            <w:tcW w:w="970" w:type="dxa"/>
            <w:tcMar>
              <w:top w:w="162" w:type="dxa"/>
              <w:left w:w="180" w:type="dxa"/>
              <w:bottom w:w="15" w:type="dxa"/>
              <w:right w:w="0" w:type="dxa"/>
            </w:tcMar>
            <w:hideMark/>
          </w:tcPr>
          <w:p w14:paraId="61F37388"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-.057</w:t>
            </w:r>
          </w:p>
        </w:tc>
        <w:tc>
          <w:tcPr>
            <w:tcW w:w="728" w:type="dxa"/>
            <w:tcMar>
              <w:top w:w="162" w:type="dxa"/>
              <w:left w:w="180" w:type="dxa"/>
              <w:bottom w:w="15" w:type="dxa"/>
              <w:right w:w="0" w:type="dxa"/>
            </w:tcMar>
            <w:hideMark/>
          </w:tcPr>
          <w:p w14:paraId="53A41DF8"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728" w:type="dxa"/>
            <w:tcMar>
              <w:top w:w="162" w:type="dxa"/>
              <w:left w:w="180" w:type="dxa"/>
              <w:bottom w:w="15" w:type="dxa"/>
              <w:right w:w="0" w:type="dxa"/>
            </w:tcMar>
            <w:hideMark/>
          </w:tcPr>
          <w:p w14:paraId="5A1E8CB5" w14:textId="77777777" w:rsidR="008A7BCB" w:rsidRPr="00B61AA7" w:rsidRDefault="008A7BCB" w:rsidP="007B52FE">
            <w:pPr>
              <w:pStyle w:val="NoSpacing"/>
              <w:rPr>
                <w:rFonts w:ascii="Arial" w:hAnsi="Arial" w:cs="Arial"/>
                <w:sz w:val="20"/>
                <w:szCs w:val="20"/>
              </w:rPr>
            </w:pPr>
          </w:p>
        </w:tc>
        <w:tc>
          <w:tcPr>
            <w:tcW w:w="809" w:type="dxa"/>
            <w:tcMar>
              <w:top w:w="162" w:type="dxa"/>
              <w:left w:w="180" w:type="dxa"/>
              <w:bottom w:w="15" w:type="dxa"/>
              <w:right w:w="0" w:type="dxa"/>
            </w:tcMar>
            <w:hideMark/>
          </w:tcPr>
          <w:p w14:paraId="6108DEE2" w14:textId="77777777" w:rsidR="008A7BCB" w:rsidRPr="00B61AA7" w:rsidRDefault="008A7BCB" w:rsidP="007B52FE">
            <w:pPr>
              <w:pStyle w:val="NoSpacing"/>
              <w:rPr>
                <w:rFonts w:ascii="Arial" w:hAnsi="Arial" w:cs="Arial"/>
                <w:sz w:val="20"/>
                <w:szCs w:val="20"/>
              </w:rPr>
            </w:pPr>
          </w:p>
        </w:tc>
        <w:tc>
          <w:tcPr>
            <w:tcW w:w="647" w:type="dxa"/>
            <w:tcMar>
              <w:top w:w="162" w:type="dxa"/>
              <w:left w:w="180" w:type="dxa"/>
              <w:bottom w:w="15" w:type="dxa"/>
              <w:right w:w="0" w:type="dxa"/>
            </w:tcMar>
            <w:hideMark/>
          </w:tcPr>
          <w:p w14:paraId="2C5B69DB" w14:textId="77777777" w:rsidR="008A7BCB" w:rsidRPr="00B61AA7" w:rsidRDefault="008A7BCB" w:rsidP="007B52FE">
            <w:pPr>
              <w:pStyle w:val="NoSpacing"/>
              <w:rPr>
                <w:rFonts w:ascii="Arial" w:hAnsi="Arial" w:cs="Arial"/>
                <w:sz w:val="20"/>
                <w:szCs w:val="20"/>
              </w:rPr>
            </w:pPr>
          </w:p>
        </w:tc>
        <w:tc>
          <w:tcPr>
            <w:tcW w:w="728" w:type="dxa"/>
            <w:tcMar>
              <w:top w:w="162" w:type="dxa"/>
              <w:left w:w="180" w:type="dxa"/>
              <w:bottom w:w="15" w:type="dxa"/>
              <w:right w:w="0" w:type="dxa"/>
            </w:tcMar>
            <w:hideMark/>
          </w:tcPr>
          <w:p w14:paraId="49F8C3A9" w14:textId="77777777" w:rsidR="008A7BCB" w:rsidRPr="00B61AA7" w:rsidRDefault="008A7BCB" w:rsidP="007B52FE">
            <w:pPr>
              <w:pStyle w:val="NoSpacing"/>
              <w:rPr>
                <w:rFonts w:ascii="Arial" w:hAnsi="Arial" w:cs="Arial"/>
                <w:sz w:val="20"/>
                <w:szCs w:val="20"/>
              </w:rPr>
            </w:pPr>
          </w:p>
        </w:tc>
        <w:tc>
          <w:tcPr>
            <w:tcW w:w="613" w:type="dxa"/>
            <w:tcMar>
              <w:top w:w="162" w:type="dxa"/>
              <w:left w:w="180" w:type="dxa"/>
              <w:bottom w:w="15" w:type="dxa"/>
              <w:right w:w="0" w:type="dxa"/>
            </w:tcMar>
            <w:hideMark/>
          </w:tcPr>
          <w:p w14:paraId="677700B6" w14:textId="77777777" w:rsidR="008A7BCB" w:rsidRPr="00B61AA7" w:rsidRDefault="008A7BCB" w:rsidP="007B52FE">
            <w:pPr>
              <w:pStyle w:val="NoSpacing"/>
              <w:rPr>
                <w:rFonts w:ascii="Arial" w:hAnsi="Arial" w:cs="Arial"/>
                <w:sz w:val="20"/>
                <w:szCs w:val="20"/>
              </w:rPr>
            </w:pPr>
          </w:p>
        </w:tc>
      </w:tr>
      <w:tr w:rsidR="008A7BCB" w:rsidRPr="00B61AA7" w14:paraId="2937EE7C" w14:textId="77777777" w:rsidTr="008A7BCB">
        <w:trPr>
          <w:trHeight w:val="489"/>
        </w:trPr>
        <w:tc>
          <w:tcPr>
            <w:tcW w:w="2265" w:type="dxa"/>
            <w:tcMar>
              <w:top w:w="162" w:type="dxa"/>
              <w:left w:w="180" w:type="dxa"/>
              <w:bottom w:w="15" w:type="dxa"/>
              <w:right w:w="0" w:type="dxa"/>
            </w:tcMar>
            <w:vAlign w:val="center"/>
            <w:hideMark/>
          </w:tcPr>
          <w:p w14:paraId="063DBB20"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4. </w:t>
            </w:r>
            <w:r w:rsidRPr="00B61AA7">
              <w:rPr>
                <w:rFonts w:ascii="Arial" w:hAnsi="Arial" w:cs="Arial"/>
                <w:sz w:val="20"/>
                <w:szCs w:val="20"/>
              </w:rPr>
              <w:t>Years in Service</w:t>
            </w:r>
          </w:p>
        </w:tc>
        <w:tc>
          <w:tcPr>
            <w:tcW w:w="809" w:type="dxa"/>
            <w:tcMar>
              <w:top w:w="162" w:type="dxa"/>
              <w:left w:w="180" w:type="dxa"/>
              <w:bottom w:w="15" w:type="dxa"/>
              <w:right w:w="0" w:type="dxa"/>
            </w:tcMar>
            <w:hideMark/>
          </w:tcPr>
          <w:p w14:paraId="0940773F"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-.102</w:t>
            </w:r>
          </w:p>
        </w:tc>
        <w:tc>
          <w:tcPr>
            <w:tcW w:w="970" w:type="dxa"/>
            <w:tcMar>
              <w:top w:w="162" w:type="dxa"/>
              <w:left w:w="180" w:type="dxa"/>
              <w:bottom w:w="15" w:type="dxa"/>
              <w:right w:w="0" w:type="dxa"/>
            </w:tcMar>
            <w:hideMark/>
          </w:tcPr>
          <w:p w14:paraId="092B5D58"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-.005</w:t>
            </w:r>
          </w:p>
        </w:tc>
        <w:tc>
          <w:tcPr>
            <w:tcW w:w="728" w:type="dxa"/>
            <w:tcMar>
              <w:top w:w="162" w:type="dxa"/>
              <w:left w:w="180" w:type="dxa"/>
              <w:bottom w:w="15" w:type="dxa"/>
              <w:right w:w="0" w:type="dxa"/>
            </w:tcMar>
            <w:hideMark/>
          </w:tcPr>
          <w:p w14:paraId="5FA8A7F2"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.090</w:t>
            </w:r>
          </w:p>
        </w:tc>
        <w:tc>
          <w:tcPr>
            <w:tcW w:w="728" w:type="dxa"/>
            <w:tcMar>
              <w:top w:w="162" w:type="dxa"/>
              <w:left w:w="180" w:type="dxa"/>
              <w:bottom w:w="15" w:type="dxa"/>
              <w:right w:w="0" w:type="dxa"/>
            </w:tcMar>
            <w:hideMark/>
          </w:tcPr>
          <w:p w14:paraId="643FEAD8"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809" w:type="dxa"/>
            <w:tcMar>
              <w:top w:w="162" w:type="dxa"/>
              <w:left w:w="180" w:type="dxa"/>
              <w:bottom w:w="15" w:type="dxa"/>
              <w:right w:w="0" w:type="dxa"/>
            </w:tcMar>
            <w:hideMark/>
          </w:tcPr>
          <w:p w14:paraId="03214AF2" w14:textId="77777777" w:rsidR="008A7BCB" w:rsidRPr="00B61AA7" w:rsidRDefault="008A7BCB" w:rsidP="007B52FE">
            <w:pPr>
              <w:pStyle w:val="NoSpacing"/>
              <w:rPr>
                <w:rFonts w:ascii="Arial" w:hAnsi="Arial" w:cs="Arial"/>
                <w:sz w:val="20"/>
                <w:szCs w:val="20"/>
              </w:rPr>
            </w:pPr>
          </w:p>
        </w:tc>
        <w:tc>
          <w:tcPr>
            <w:tcW w:w="647" w:type="dxa"/>
            <w:tcMar>
              <w:top w:w="162" w:type="dxa"/>
              <w:left w:w="180" w:type="dxa"/>
              <w:bottom w:w="15" w:type="dxa"/>
              <w:right w:w="0" w:type="dxa"/>
            </w:tcMar>
            <w:hideMark/>
          </w:tcPr>
          <w:p w14:paraId="2F44DDA9" w14:textId="77777777" w:rsidR="008A7BCB" w:rsidRPr="00B61AA7" w:rsidRDefault="008A7BCB" w:rsidP="007B52FE">
            <w:pPr>
              <w:pStyle w:val="NoSpacing"/>
              <w:rPr>
                <w:rFonts w:ascii="Arial" w:hAnsi="Arial" w:cs="Arial"/>
                <w:sz w:val="20"/>
                <w:szCs w:val="20"/>
              </w:rPr>
            </w:pPr>
          </w:p>
        </w:tc>
        <w:tc>
          <w:tcPr>
            <w:tcW w:w="728" w:type="dxa"/>
            <w:tcMar>
              <w:top w:w="162" w:type="dxa"/>
              <w:left w:w="180" w:type="dxa"/>
              <w:bottom w:w="15" w:type="dxa"/>
              <w:right w:w="0" w:type="dxa"/>
            </w:tcMar>
            <w:hideMark/>
          </w:tcPr>
          <w:p w14:paraId="7FF87BA1" w14:textId="77777777" w:rsidR="008A7BCB" w:rsidRPr="00B61AA7" w:rsidRDefault="008A7BCB" w:rsidP="007B52FE">
            <w:pPr>
              <w:pStyle w:val="NoSpacing"/>
              <w:rPr>
                <w:rFonts w:ascii="Arial" w:hAnsi="Arial" w:cs="Arial"/>
                <w:sz w:val="20"/>
                <w:szCs w:val="20"/>
              </w:rPr>
            </w:pPr>
          </w:p>
        </w:tc>
        <w:tc>
          <w:tcPr>
            <w:tcW w:w="613" w:type="dxa"/>
            <w:tcMar>
              <w:top w:w="162" w:type="dxa"/>
              <w:left w:w="180" w:type="dxa"/>
              <w:bottom w:w="15" w:type="dxa"/>
              <w:right w:w="0" w:type="dxa"/>
            </w:tcMar>
            <w:hideMark/>
          </w:tcPr>
          <w:p w14:paraId="7AABBB28" w14:textId="77777777" w:rsidR="008A7BCB" w:rsidRPr="00B61AA7" w:rsidRDefault="008A7BCB" w:rsidP="007B52FE">
            <w:pPr>
              <w:pStyle w:val="NoSpacing"/>
              <w:rPr>
                <w:rFonts w:ascii="Arial" w:hAnsi="Arial" w:cs="Arial"/>
                <w:sz w:val="20"/>
                <w:szCs w:val="20"/>
              </w:rPr>
            </w:pPr>
          </w:p>
        </w:tc>
      </w:tr>
      <w:tr w:rsidR="008A7BCB" w:rsidRPr="00B61AA7" w14:paraId="12BA877C" w14:textId="77777777" w:rsidTr="008A7BCB">
        <w:trPr>
          <w:trHeight w:val="474"/>
        </w:trPr>
        <w:tc>
          <w:tcPr>
            <w:tcW w:w="2265" w:type="dxa"/>
            <w:tcMar>
              <w:top w:w="162" w:type="dxa"/>
              <w:left w:w="180" w:type="dxa"/>
              <w:bottom w:w="15" w:type="dxa"/>
              <w:right w:w="0" w:type="dxa"/>
            </w:tcMar>
            <w:vAlign w:val="center"/>
            <w:hideMark/>
          </w:tcPr>
          <w:p w14:paraId="61C4D5C0"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5. </w:t>
            </w:r>
            <w:r w:rsidRPr="00B61AA7">
              <w:rPr>
                <w:rFonts w:ascii="Arial" w:hAnsi="Arial" w:cs="Arial"/>
                <w:sz w:val="20"/>
                <w:szCs w:val="20"/>
              </w:rPr>
              <w:t>Carrier type</w:t>
            </w:r>
          </w:p>
        </w:tc>
        <w:tc>
          <w:tcPr>
            <w:tcW w:w="809" w:type="dxa"/>
            <w:tcMar>
              <w:top w:w="162" w:type="dxa"/>
              <w:left w:w="180" w:type="dxa"/>
              <w:bottom w:w="15" w:type="dxa"/>
              <w:right w:w="0" w:type="dxa"/>
            </w:tcMar>
            <w:hideMark/>
          </w:tcPr>
          <w:p w14:paraId="57490442"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.268**</w:t>
            </w:r>
          </w:p>
        </w:tc>
        <w:tc>
          <w:tcPr>
            <w:tcW w:w="970" w:type="dxa"/>
            <w:tcMar>
              <w:top w:w="162" w:type="dxa"/>
              <w:left w:w="180" w:type="dxa"/>
              <w:bottom w:w="15" w:type="dxa"/>
              <w:right w:w="0" w:type="dxa"/>
            </w:tcMar>
            <w:hideMark/>
          </w:tcPr>
          <w:p w14:paraId="27354C31"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.163</w:t>
            </w:r>
          </w:p>
        </w:tc>
        <w:tc>
          <w:tcPr>
            <w:tcW w:w="728" w:type="dxa"/>
            <w:tcMar>
              <w:top w:w="162" w:type="dxa"/>
              <w:left w:w="180" w:type="dxa"/>
              <w:bottom w:w="15" w:type="dxa"/>
              <w:right w:w="0" w:type="dxa"/>
            </w:tcMar>
            <w:hideMark/>
          </w:tcPr>
          <w:p w14:paraId="42B8C313"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-.040</w:t>
            </w:r>
          </w:p>
        </w:tc>
        <w:tc>
          <w:tcPr>
            <w:tcW w:w="728" w:type="dxa"/>
            <w:tcMar>
              <w:top w:w="162" w:type="dxa"/>
              <w:left w:w="180" w:type="dxa"/>
              <w:bottom w:w="15" w:type="dxa"/>
              <w:right w:w="0" w:type="dxa"/>
            </w:tcMar>
            <w:hideMark/>
          </w:tcPr>
          <w:p w14:paraId="4520907C"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.175</w:t>
            </w:r>
          </w:p>
        </w:tc>
        <w:tc>
          <w:tcPr>
            <w:tcW w:w="809" w:type="dxa"/>
            <w:tcMar>
              <w:top w:w="162" w:type="dxa"/>
              <w:left w:w="180" w:type="dxa"/>
              <w:bottom w:w="15" w:type="dxa"/>
              <w:right w:w="0" w:type="dxa"/>
            </w:tcMar>
            <w:hideMark/>
          </w:tcPr>
          <w:p w14:paraId="0D53C40F"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647" w:type="dxa"/>
            <w:tcMar>
              <w:top w:w="162" w:type="dxa"/>
              <w:left w:w="180" w:type="dxa"/>
              <w:bottom w:w="15" w:type="dxa"/>
              <w:right w:w="0" w:type="dxa"/>
            </w:tcMar>
            <w:hideMark/>
          </w:tcPr>
          <w:p w14:paraId="61953336" w14:textId="77777777" w:rsidR="008A7BCB" w:rsidRPr="00B61AA7" w:rsidRDefault="008A7BCB" w:rsidP="007B52FE">
            <w:pPr>
              <w:pStyle w:val="NoSpacing"/>
              <w:rPr>
                <w:rFonts w:ascii="Arial" w:hAnsi="Arial" w:cs="Arial"/>
                <w:sz w:val="20"/>
                <w:szCs w:val="20"/>
              </w:rPr>
            </w:pPr>
          </w:p>
        </w:tc>
        <w:tc>
          <w:tcPr>
            <w:tcW w:w="728" w:type="dxa"/>
            <w:tcMar>
              <w:top w:w="162" w:type="dxa"/>
              <w:left w:w="180" w:type="dxa"/>
              <w:bottom w:w="15" w:type="dxa"/>
              <w:right w:w="0" w:type="dxa"/>
            </w:tcMar>
            <w:hideMark/>
          </w:tcPr>
          <w:p w14:paraId="33DA8E90" w14:textId="77777777" w:rsidR="008A7BCB" w:rsidRPr="00B61AA7" w:rsidRDefault="008A7BCB" w:rsidP="007B52FE">
            <w:pPr>
              <w:pStyle w:val="NoSpacing"/>
              <w:rPr>
                <w:rFonts w:ascii="Arial" w:hAnsi="Arial" w:cs="Arial"/>
                <w:sz w:val="20"/>
                <w:szCs w:val="20"/>
              </w:rPr>
            </w:pPr>
          </w:p>
        </w:tc>
        <w:tc>
          <w:tcPr>
            <w:tcW w:w="613" w:type="dxa"/>
            <w:tcMar>
              <w:top w:w="162" w:type="dxa"/>
              <w:left w:w="180" w:type="dxa"/>
              <w:bottom w:w="15" w:type="dxa"/>
              <w:right w:w="0" w:type="dxa"/>
            </w:tcMar>
            <w:hideMark/>
          </w:tcPr>
          <w:p w14:paraId="629BEC06" w14:textId="77777777" w:rsidR="008A7BCB" w:rsidRPr="00B61AA7" w:rsidRDefault="008A7BCB" w:rsidP="007B52FE">
            <w:pPr>
              <w:pStyle w:val="NoSpacing"/>
              <w:rPr>
                <w:rFonts w:ascii="Arial" w:hAnsi="Arial" w:cs="Arial"/>
                <w:sz w:val="20"/>
                <w:szCs w:val="20"/>
              </w:rPr>
            </w:pPr>
          </w:p>
        </w:tc>
      </w:tr>
      <w:tr w:rsidR="008A7BCB" w:rsidRPr="00B61AA7" w14:paraId="27602420" w14:textId="77777777" w:rsidTr="008A7BCB">
        <w:trPr>
          <w:trHeight w:val="474"/>
        </w:trPr>
        <w:tc>
          <w:tcPr>
            <w:tcW w:w="2265" w:type="dxa"/>
            <w:tcMar>
              <w:top w:w="162" w:type="dxa"/>
              <w:left w:w="180" w:type="dxa"/>
              <w:bottom w:w="15" w:type="dxa"/>
              <w:right w:w="0" w:type="dxa"/>
            </w:tcMar>
            <w:vAlign w:val="center"/>
            <w:hideMark/>
          </w:tcPr>
          <w:p w14:paraId="18EC69B4"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6. </w:t>
            </w:r>
            <w:r w:rsidRPr="00B61AA7">
              <w:rPr>
                <w:rFonts w:ascii="Arial" w:hAnsi="Arial" w:cs="Arial"/>
                <w:sz w:val="20"/>
                <w:szCs w:val="20"/>
              </w:rPr>
              <w:t>Appearance of Carrier</w:t>
            </w:r>
          </w:p>
        </w:tc>
        <w:tc>
          <w:tcPr>
            <w:tcW w:w="809" w:type="dxa"/>
            <w:tcMar>
              <w:top w:w="162" w:type="dxa"/>
              <w:left w:w="180" w:type="dxa"/>
              <w:bottom w:w="15" w:type="dxa"/>
              <w:right w:w="0" w:type="dxa"/>
            </w:tcMar>
            <w:hideMark/>
          </w:tcPr>
          <w:p w14:paraId="409FE712"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-.049</w:t>
            </w:r>
          </w:p>
        </w:tc>
        <w:tc>
          <w:tcPr>
            <w:tcW w:w="970" w:type="dxa"/>
            <w:tcMar>
              <w:top w:w="162" w:type="dxa"/>
              <w:left w:w="180" w:type="dxa"/>
              <w:bottom w:w="15" w:type="dxa"/>
              <w:right w:w="0" w:type="dxa"/>
            </w:tcMar>
            <w:hideMark/>
          </w:tcPr>
          <w:p w14:paraId="51707EB8"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.351***</w:t>
            </w:r>
          </w:p>
        </w:tc>
        <w:tc>
          <w:tcPr>
            <w:tcW w:w="728" w:type="dxa"/>
            <w:tcMar>
              <w:top w:w="162" w:type="dxa"/>
              <w:left w:w="180" w:type="dxa"/>
              <w:bottom w:w="15" w:type="dxa"/>
              <w:right w:w="0" w:type="dxa"/>
            </w:tcMar>
            <w:hideMark/>
          </w:tcPr>
          <w:p w14:paraId="63BA493C"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-.249*</w:t>
            </w:r>
          </w:p>
        </w:tc>
        <w:tc>
          <w:tcPr>
            <w:tcW w:w="728" w:type="dxa"/>
            <w:tcMar>
              <w:top w:w="162" w:type="dxa"/>
              <w:left w:w="180" w:type="dxa"/>
              <w:bottom w:w="15" w:type="dxa"/>
              <w:right w:w="0" w:type="dxa"/>
            </w:tcMar>
            <w:hideMark/>
          </w:tcPr>
          <w:p w14:paraId="7C986E51"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.220*</w:t>
            </w:r>
          </w:p>
        </w:tc>
        <w:tc>
          <w:tcPr>
            <w:tcW w:w="809" w:type="dxa"/>
            <w:tcMar>
              <w:top w:w="162" w:type="dxa"/>
              <w:left w:w="180" w:type="dxa"/>
              <w:bottom w:w="15" w:type="dxa"/>
              <w:right w:w="0" w:type="dxa"/>
            </w:tcMar>
            <w:hideMark/>
          </w:tcPr>
          <w:p w14:paraId="7ECD0C5D"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-0.062</w:t>
            </w:r>
          </w:p>
        </w:tc>
        <w:tc>
          <w:tcPr>
            <w:tcW w:w="647" w:type="dxa"/>
            <w:tcMar>
              <w:top w:w="162" w:type="dxa"/>
              <w:left w:w="180" w:type="dxa"/>
              <w:bottom w:w="15" w:type="dxa"/>
              <w:right w:w="0" w:type="dxa"/>
            </w:tcMar>
            <w:hideMark/>
          </w:tcPr>
          <w:p w14:paraId="1B603E34"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728" w:type="dxa"/>
            <w:tcMar>
              <w:top w:w="162" w:type="dxa"/>
              <w:left w:w="180" w:type="dxa"/>
              <w:bottom w:w="15" w:type="dxa"/>
              <w:right w:w="0" w:type="dxa"/>
            </w:tcMar>
            <w:hideMark/>
          </w:tcPr>
          <w:p w14:paraId="563F1274" w14:textId="77777777" w:rsidR="008A7BCB" w:rsidRPr="00B61AA7" w:rsidRDefault="008A7BCB" w:rsidP="007B52FE">
            <w:pPr>
              <w:pStyle w:val="NoSpacing"/>
              <w:rPr>
                <w:rFonts w:ascii="Arial" w:hAnsi="Arial" w:cs="Arial"/>
                <w:sz w:val="20"/>
                <w:szCs w:val="20"/>
              </w:rPr>
            </w:pPr>
          </w:p>
        </w:tc>
        <w:tc>
          <w:tcPr>
            <w:tcW w:w="613" w:type="dxa"/>
            <w:tcMar>
              <w:top w:w="162" w:type="dxa"/>
              <w:left w:w="180" w:type="dxa"/>
              <w:bottom w:w="15" w:type="dxa"/>
              <w:right w:w="0" w:type="dxa"/>
            </w:tcMar>
            <w:hideMark/>
          </w:tcPr>
          <w:p w14:paraId="4CB3C382" w14:textId="77777777" w:rsidR="008A7BCB" w:rsidRPr="00B61AA7" w:rsidRDefault="008A7BCB" w:rsidP="007B52FE">
            <w:pPr>
              <w:pStyle w:val="NoSpacing"/>
              <w:rPr>
                <w:rFonts w:ascii="Arial" w:hAnsi="Arial" w:cs="Arial"/>
                <w:sz w:val="20"/>
                <w:szCs w:val="20"/>
              </w:rPr>
            </w:pPr>
          </w:p>
        </w:tc>
      </w:tr>
      <w:tr w:rsidR="008A7BCB" w:rsidRPr="00B61AA7" w14:paraId="2B24E911" w14:textId="77777777" w:rsidTr="008A7BCB">
        <w:trPr>
          <w:trHeight w:val="474"/>
        </w:trPr>
        <w:tc>
          <w:tcPr>
            <w:tcW w:w="2265" w:type="dxa"/>
            <w:tcMar>
              <w:top w:w="162" w:type="dxa"/>
              <w:left w:w="180" w:type="dxa"/>
              <w:bottom w:w="15" w:type="dxa"/>
              <w:right w:w="0" w:type="dxa"/>
            </w:tcMar>
            <w:vAlign w:val="center"/>
            <w:hideMark/>
          </w:tcPr>
          <w:p w14:paraId="2E56A78F"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lastRenderedPageBreak/>
              <w:t xml:space="preserve">7. </w:t>
            </w:r>
            <w:r w:rsidRPr="00B61AA7">
              <w:rPr>
                <w:rFonts w:ascii="Arial" w:hAnsi="Arial" w:cs="Arial"/>
                <w:sz w:val="20"/>
                <w:szCs w:val="20"/>
              </w:rPr>
              <w:t>Frequency of Cleaning</w:t>
            </w:r>
          </w:p>
        </w:tc>
        <w:tc>
          <w:tcPr>
            <w:tcW w:w="809" w:type="dxa"/>
            <w:tcMar>
              <w:top w:w="162" w:type="dxa"/>
              <w:left w:w="180" w:type="dxa"/>
              <w:bottom w:w="15" w:type="dxa"/>
              <w:right w:w="0" w:type="dxa"/>
            </w:tcMar>
            <w:hideMark/>
          </w:tcPr>
          <w:p w14:paraId="4D66DAD0"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.279**</w:t>
            </w:r>
          </w:p>
        </w:tc>
        <w:tc>
          <w:tcPr>
            <w:tcW w:w="970" w:type="dxa"/>
            <w:tcMar>
              <w:top w:w="162" w:type="dxa"/>
              <w:left w:w="180" w:type="dxa"/>
              <w:bottom w:w="15" w:type="dxa"/>
              <w:right w:w="0" w:type="dxa"/>
            </w:tcMar>
            <w:hideMark/>
          </w:tcPr>
          <w:p w14:paraId="7DE52A6F"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.041</w:t>
            </w:r>
          </w:p>
        </w:tc>
        <w:tc>
          <w:tcPr>
            <w:tcW w:w="728" w:type="dxa"/>
            <w:tcMar>
              <w:top w:w="162" w:type="dxa"/>
              <w:left w:w="180" w:type="dxa"/>
              <w:bottom w:w="15" w:type="dxa"/>
              <w:right w:w="0" w:type="dxa"/>
            </w:tcMar>
            <w:hideMark/>
          </w:tcPr>
          <w:p w14:paraId="5B99F276"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.155</w:t>
            </w:r>
          </w:p>
        </w:tc>
        <w:tc>
          <w:tcPr>
            <w:tcW w:w="728" w:type="dxa"/>
            <w:tcMar>
              <w:top w:w="162" w:type="dxa"/>
              <w:left w:w="180" w:type="dxa"/>
              <w:bottom w:w="15" w:type="dxa"/>
              <w:right w:w="0" w:type="dxa"/>
            </w:tcMar>
            <w:hideMark/>
          </w:tcPr>
          <w:p w14:paraId="3BF788BC"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-.147</w:t>
            </w:r>
          </w:p>
        </w:tc>
        <w:tc>
          <w:tcPr>
            <w:tcW w:w="809" w:type="dxa"/>
            <w:tcMar>
              <w:top w:w="162" w:type="dxa"/>
              <w:left w:w="180" w:type="dxa"/>
              <w:bottom w:w="15" w:type="dxa"/>
              <w:right w:w="0" w:type="dxa"/>
            </w:tcMar>
            <w:hideMark/>
          </w:tcPr>
          <w:p w14:paraId="22457568"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.378***</w:t>
            </w:r>
          </w:p>
        </w:tc>
        <w:tc>
          <w:tcPr>
            <w:tcW w:w="647" w:type="dxa"/>
            <w:tcMar>
              <w:top w:w="162" w:type="dxa"/>
              <w:left w:w="180" w:type="dxa"/>
              <w:bottom w:w="15" w:type="dxa"/>
              <w:right w:w="0" w:type="dxa"/>
            </w:tcMar>
            <w:hideMark/>
          </w:tcPr>
          <w:p w14:paraId="5DB5D9D7"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-.201</w:t>
            </w:r>
          </w:p>
        </w:tc>
        <w:tc>
          <w:tcPr>
            <w:tcW w:w="728" w:type="dxa"/>
            <w:tcMar>
              <w:top w:w="162" w:type="dxa"/>
              <w:left w:w="180" w:type="dxa"/>
              <w:bottom w:w="15" w:type="dxa"/>
              <w:right w:w="0" w:type="dxa"/>
            </w:tcMar>
            <w:hideMark/>
          </w:tcPr>
          <w:p w14:paraId="2472FCC0"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613" w:type="dxa"/>
            <w:tcMar>
              <w:top w:w="162" w:type="dxa"/>
              <w:left w:w="180" w:type="dxa"/>
              <w:bottom w:w="15" w:type="dxa"/>
              <w:right w:w="0" w:type="dxa"/>
            </w:tcMar>
            <w:hideMark/>
          </w:tcPr>
          <w:p w14:paraId="6A571DF3" w14:textId="77777777" w:rsidR="008A7BCB" w:rsidRPr="00B61AA7" w:rsidRDefault="008A7BCB" w:rsidP="007B52FE">
            <w:pPr>
              <w:pStyle w:val="NoSpacing"/>
              <w:rPr>
                <w:rFonts w:ascii="Arial" w:hAnsi="Arial" w:cs="Arial"/>
                <w:sz w:val="20"/>
                <w:szCs w:val="20"/>
              </w:rPr>
            </w:pPr>
          </w:p>
        </w:tc>
      </w:tr>
      <w:tr w:rsidR="008A7BCB" w:rsidRPr="00B61AA7" w14:paraId="570F956E" w14:textId="77777777" w:rsidTr="008A7BCB">
        <w:trPr>
          <w:trHeight w:val="474"/>
        </w:trPr>
        <w:tc>
          <w:tcPr>
            <w:tcW w:w="2265" w:type="dxa"/>
            <w:tcMar>
              <w:top w:w="162" w:type="dxa"/>
              <w:left w:w="180" w:type="dxa"/>
              <w:bottom w:w="15" w:type="dxa"/>
              <w:right w:w="0" w:type="dxa"/>
            </w:tcMar>
            <w:vAlign w:val="center"/>
            <w:hideMark/>
          </w:tcPr>
          <w:p w14:paraId="420DF955"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8. </w:t>
            </w:r>
            <w:r w:rsidRPr="00B61AA7">
              <w:rPr>
                <w:rFonts w:ascii="Arial" w:hAnsi="Arial" w:cs="Arial"/>
                <w:sz w:val="20"/>
                <w:szCs w:val="20"/>
              </w:rPr>
              <w:t>Age of Biker</w:t>
            </w:r>
          </w:p>
        </w:tc>
        <w:tc>
          <w:tcPr>
            <w:tcW w:w="809" w:type="dxa"/>
            <w:tcMar>
              <w:top w:w="162" w:type="dxa"/>
              <w:left w:w="180" w:type="dxa"/>
              <w:bottom w:w="15" w:type="dxa"/>
              <w:right w:w="0" w:type="dxa"/>
            </w:tcMar>
            <w:hideMark/>
          </w:tcPr>
          <w:p w14:paraId="2D2308A6"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.119</w:t>
            </w:r>
          </w:p>
        </w:tc>
        <w:tc>
          <w:tcPr>
            <w:tcW w:w="970" w:type="dxa"/>
            <w:tcMar>
              <w:top w:w="162" w:type="dxa"/>
              <w:left w:w="180" w:type="dxa"/>
              <w:bottom w:w="15" w:type="dxa"/>
              <w:right w:w="0" w:type="dxa"/>
            </w:tcMar>
            <w:hideMark/>
          </w:tcPr>
          <w:p w14:paraId="340F88D2"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.145</w:t>
            </w:r>
          </w:p>
        </w:tc>
        <w:tc>
          <w:tcPr>
            <w:tcW w:w="728" w:type="dxa"/>
            <w:tcMar>
              <w:top w:w="162" w:type="dxa"/>
              <w:left w:w="180" w:type="dxa"/>
              <w:bottom w:w="15" w:type="dxa"/>
              <w:right w:w="0" w:type="dxa"/>
            </w:tcMar>
            <w:hideMark/>
          </w:tcPr>
          <w:p w14:paraId="5300A2D3"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.104</w:t>
            </w:r>
          </w:p>
        </w:tc>
        <w:tc>
          <w:tcPr>
            <w:tcW w:w="728" w:type="dxa"/>
            <w:tcMar>
              <w:top w:w="162" w:type="dxa"/>
              <w:left w:w="180" w:type="dxa"/>
              <w:bottom w:w="15" w:type="dxa"/>
              <w:right w:w="0" w:type="dxa"/>
            </w:tcMar>
            <w:hideMark/>
          </w:tcPr>
          <w:p w14:paraId="5A735DE1"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-.165</w:t>
            </w:r>
          </w:p>
        </w:tc>
        <w:tc>
          <w:tcPr>
            <w:tcW w:w="809" w:type="dxa"/>
            <w:tcMar>
              <w:top w:w="162" w:type="dxa"/>
              <w:left w:w="180" w:type="dxa"/>
              <w:bottom w:w="15" w:type="dxa"/>
              <w:right w:w="0" w:type="dxa"/>
            </w:tcMar>
            <w:hideMark/>
          </w:tcPr>
          <w:p w14:paraId="16E569CA"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.136</w:t>
            </w:r>
          </w:p>
        </w:tc>
        <w:tc>
          <w:tcPr>
            <w:tcW w:w="647" w:type="dxa"/>
            <w:tcMar>
              <w:top w:w="162" w:type="dxa"/>
              <w:left w:w="180" w:type="dxa"/>
              <w:bottom w:w="15" w:type="dxa"/>
              <w:right w:w="0" w:type="dxa"/>
            </w:tcMar>
            <w:hideMark/>
          </w:tcPr>
          <w:p w14:paraId="7A18372E"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-.101</w:t>
            </w:r>
          </w:p>
        </w:tc>
        <w:tc>
          <w:tcPr>
            <w:tcW w:w="728" w:type="dxa"/>
            <w:tcMar>
              <w:top w:w="162" w:type="dxa"/>
              <w:left w:w="180" w:type="dxa"/>
              <w:bottom w:w="15" w:type="dxa"/>
              <w:right w:w="0" w:type="dxa"/>
            </w:tcMar>
            <w:hideMark/>
          </w:tcPr>
          <w:p w14:paraId="0E09E6E3"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0.211*</w:t>
            </w:r>
          </w:p>
        </w:tc>
        <w:tc>
          <w:tcPr>
            <w:tcW w:w="613" w:type="dxa"/>
            <w:tcMar>
              <w:top w:w="162" w:type="dxa"/>
              <w:left w:w="180" w:type="dxa"/>
              <w:bottom w:w="15" w:type="dxa"/>
              <w:right w:w="0" w:type="dxa"/>
            </w:tcMar>
            <w:hideMark/>
          </w:tcPr>
          <w:p w14:paraId="2CEB39A7"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r>
    </w:tbl>
    <w:p w14:paraId="0BE48E08" w14:textId="77777777" w:rsidR="008A7BCB" w:rsidRPr="00B61AA7" w:rsidRDefault="008A7BCB" w:rsidP="008A7BCB">
      <w:pPr>
        <w:rPr>
          <w:rFonts w:ascii="Arial" w:hAnsi="Arial" w:cs="Arial"/>
          <w:color w:val="000000"/>
        </w:rPr>
      </w:pPr>
      <w:r w:rsidRPr="00B61AA7">
        <w:rPr>
          <w:rFonts w:ascii="Arial" w:hAnsi="Arial" w:cs="Arial"/>
          <w:color w:val="000000"/>
        </w:rPr>
        <w:t>* p &lt; .05, ** p &lt; .01, *** p &lt; .001</w:t>
      </w:r>
    </w:p>
    <w:p w14:paraId="5A29800D" w14:textId="77777777" w:rsidR="008A7BCB" w:rsidRDefault="008A7BCB" w:rsidP="000E5D4B">
      <w:pPr>
        <w:rPr>
          <w:rFonts w:cs="Arial"/>
          <w:color w:val="0A0A0A"/>
          <w:szCs w:val="24"/>
          <w:shd w:val="clear" w:color="auto" w:fill="FFFFFF"/>
        </w:rPr>
      </w:pPr>
    </w:p>
    <w:p w14:paraId="052266F1" w14:textId="77777777" w:rsidR="000E5D4B" w:rsidRDefault="000E5D4B" w:rsidP="008A7BCB">
      <w:pPr>
        <w:jc w:val="both"/>
        <w:rPr>
          <w:rFonts w:cs="Arial"/>
          <w:color w:val="0A0A0A"/>
          <w:szCs w:val="24"/>
          <w:shd w:val="clear" w:color="auto" w:fill="FFFFFF"/>
        </w:rPr>
      </w:pPr>
      <w:r w:rsidRPr="003D2A60">
        <w:rPr>
          <w:rFonts w:cs="Arial"/>
          <w:color w:val="0A0A0A"/>
          <w:szCs w:val="24"/>
          <w:shd w:val="clear" w:color="auto" w:fill="FFFFFF"/>
        </w:rPr>
        <w:t>A Pearson’s correlation analysis was conducted to examine the relationships between carrier contamination and various operational factors (</w:t>
      </w:r>
      <w:r w:rsidRPr="003D2A60">
        <w:rPr>
          <w:rFonts w:cs="Arial"/>
          <w:b/>
          <w:color w:val="0A0A0A"/>
          <w:szCs w:val="24"/>
          <w:shd w:val="clear" w:color="auto" w:fill="FFFFFF"/>
        </w:rPr>
        <w:t>Table 3</w:t>
      </w:r>
      <w:r w:rsidRPr="003D2A60">
        <w:rPr>
          <w:rFonts w:cs="Arial"/>
          <w:color w:val="0A0A0A"/>
          <w:szCs w:val="24"/>
          <w:shd w:val="clear" w:color="auto" w:fill="FFFFFF"/>
        </w:rPr>
        <w:t>). </w:t>
      </w:r>
      <w:r w:rsidRPr="003D2A60">
        <w:rPr>
          <w:rFonts w:cs="Arial"/>
          <w:bCs/>
          <w:color w:val="0A0A0A"/>
          <w:szCs w:val="24"/>
          <w:shd w:val="clear" w:color="auto" w:fill="FFFFFF"/>
        </w:rPr>
        <w:t>Carrier classification</w:t>
      </w:r>
      <w:r w:rsidRPr="003D2A60">
        <w:rPr>
          <w:rFonts w:cs="Arial"/>
          <w:color w:val="0A0A0A"/>
          <w:szCs w:val="24"/>
          <w:shd w:val="clear" w:color="auto" w:fill="FFFFFF"/>
        </w:rPr>
        <w:t> (or contamination status) was found to have a significant positive correlation with </w:t>
      </w:r>
      <w:r w:rsidRPr="003D2A60">
        <w:rPr>
          <w:rFonts w:cs="Arial"/>
          <w:bCs/>
          <w:color w:val="0A0A0A"/>
          <w:szCs w:val="24"/>
          <w:shd w:val="clear" w:color="auto" w:fill="FFFFFF"/>
        </w:rPr>
        <w:t>frequency of cleaning</w:t>
      </w:r>
      <w:r w:rsidRPr="003D2A60">
        <w:rPr>
          <w:rFonts w:cs="Arial"/>
          <w:color w:val="0A0A0A"/>
          <w:szCs w:val="24"/>
          <w:shd w:val="clear" w:color="auto" w:fill="FFFFFF"/>
        </w:rPr>
        <w:t> (</w:t>
      </w:r>
      <w:r w:rsidRPr="003D2A60">
        <w:rPr>
          <w:rFonts w:cs="Arial"/>
          <w:i/>
          <w:color w:val="0A0A0A"/>
          <w:szCs w:val="24"/>
          <w:shd w:val="clear" w:color="auto" w:fill="FFFFFF"/>
        </w:rPr>
        <w:t xml:space="preserve">r </w:t>
      </w:r>
      <w:r w:rsidRPr="003D2A60">
        <w:rPr>
          <w:rFonts w:cs="Arial"/>
          <w:color w:val="0A0A0A"/>
          <w:szCs w:val="24"/>
          <w:shd w:val="clear" w:color="auto" w:fill="FFFFFF"/>
        </w:rPr>
        <w:t xml:space="preserve">= .279, </w:t>
      </w:r>
      <w:r w:rsidRPr="003D2A60">
        <w:rPr>
          <w:rFonts w:cs="Arial"/>
          <w:i/>
          <w:color w:val="0A0A0A"/>
          <w:szCs w:val="24"/>
          <w:shd w:val="clear" w:color="auto" w:fill="FFFFFF"/>
        </w:rPr>
        <w:t>p</w:t>
      </w:r>
      <w:r w:rsidRPr="003D2A60">
        <w:rPr>
          <w:rFonts w:cs="Arial"/>
          <w:color w:val="0A0A0A"/>
          <w:szCs w:val="24"/>
          <w:shd w:val="clear" w:color="auto" w:fill="FFFFFF"/>
        </w:rPr>
        <w:t xml:space="preserve"> = .007), </w:t>
      </w:r>
      <w:r w:rsidRPr="003D2A60">
        <w:rPr>
          <w:rFonts w:cs="Arial"/>
          <w:bCs/>
          <w:color w:val="0A0A0A"/>
          <w:szCs w:val="24"/>
          <w:shd w:val="clear" w:color="auto" w:fill="FFFFFF"/>
        </w:rPr>
        <w:t>carrier type</w:t>
      </w:r>
      <w:r w:rsidRPr="003D2A60">
        <w:rPr>
          <w:rFonts w:cs="Arial"/>
          <w:color w:val="0A0A0A"/>
          <w:szCs w:val="24"/>
          <w:shd w:val="clear" w:color="auto" w:fill="FFFFFF"/>
        </w:rPr>
        <w:t> (</w:t>
      </w:r>
      <w:r w:rsidRPr="003D2A60">
        <w:rPr>
          <w:rFonts w:cs="Arial"/>
          <w:i/>
          <w:color w:val="0A0A0A"/>
          <w:szCs w:val="24"/>
          <w:shd w:val="clear" w:color="auto" w:fill="FFFFFF"/>
        </w:rPr>
        <w:t>r</w:t>
      </w:r>
      <w:r w:rsidRPr="003D2A60">
        <w:rPr>
          <w:rFonts w:cs="Arial"/>
          <w:color w:val="0A0A0A"/>
          <w:szCs w:val="24"/>
          <w:shd w:val="clear" w:color="auto" w:fill="FFFFFF"/>
        </w:rPr>
        <w:t xml:space="preserve"> = .268, </w:t>
      </w:r>
      <w:r w:rsidRPr="003D2A60">
        <w:rPr>
          <w:rFonts w:cs="Arial"/>
          <w:i/>
          <w:color w:val="0A0A0A"/>
          <w:szCs w:val="24"/>
          <w:shd w:val="clear" w:color="auto" w:fill="FFFFFF"/>
        </w:rPr>
        <w:t>p</w:t>
      </w:r>
      <w:r w:rsidRPr="003D2A60">
        <w:rPr>
          <w:rFonts w:cs="Arial"/>
          <w:color w:val="0A0A0A"/>
          <w:szCs w:val="24"/>
          <w:shd w:val="clear" w:color="auto" w:fill="FFFFFF"/>
        </w:rPr>
        <w:t xml:space="preserve"> = .009), and </w:t>
      </w:r>
      <w:r w:rsidRPr="003D2A60">
        <w:rPr>
          <w:rFonts w:cs="Arial"/>
          <w:bCs/>
          <w:color w:val="0A0A0A"/>
          <w:szCs w:val="24"/>
          <w:shd w:val="clear" w:color="auto" w:fill="FFFFFF"/>
        </w:rPr>
        <w:t>bike type</w:t>
      </w:r>
      <w:r w:rsidRPr="003D2A60">
        <w:rPr>
          <w:rFonts w:cs="Arial"/>
          <w:color w:val="0A0A0A"/>
          <w:szCs w:val="24"/>
          <w:shd w:val="clear" w:color="auto" w:fill="FFFFFF"/>
        </w:rPr>
        <w:t> (</w:t>
      </w:r>
      <w:r w:rsidRPr="003D2A60">
        <w:rPr>
          <w:rFonts w:cs="Arial"/>
          <w:i/>
          <w:color w:val="0A0A0A"/>
          <w:szCs w:val="24"/>
          <w:shd w:val="clear" w:color="auto" w:fill="FFFFFF"/>
        </w:rPr>
        <w:t>r</w:t>
      </w:r>
      <w:r w:rsidRPr="003D2A60">
        <w:rPr>
          <w:rFonts w:cs="Arial"/>
          <w:color w:val="0A0A0A"/>
          <w:szCs w:val="24"/>
          <w:shd w:val="clear" w:color="auto" w:fill="FFFFFF"/>
        </w:rPr>
        <w:t xml:space="preserve"> = .229, </w:t>
      </w:r>
      <w:r w:rsidRPr="003D2A60">
        <w:rPr>
          <w:rFonts w:cs="Arial"/>
          <w:i/>
          <w:color w:val="0A0A0A"/>
          <w:szCs w:val="24"/>
          <w:shd w:val="clear" w:color="auto" w:fill="FFFFFF"/>
        </w:rPr>
        <w:t>p</w:t>
      </w:r>
      <w:r w:rsidRPr="003D2A60">
        <w:rPr>
          <w:rFonts w:cs="Arial"/>
          <w:color w:val="0A0A0A"/>
          <w:szCs w:val="24"/>
          <w:shd w:val="clear" w:color="auto" w:fill="FFFFFF"/>
        </w:rPr>
        <w:t xml:space="preserve"> = .027). While </w:t>
      </w:r>
      <w:r w:rsidRPr="003D2A60">
        <w:rPr>
          <w:rFonts w:cs="Arial"/>
          <w:bCs/>
          <w:color w:val="0A0A0A"/>
          <w:szCs w:val="24"/>
          <w:shd w:val="clear" w:color="auto" w:fill="FFFFFF"/>
        </w:rPr>
        <w:t>certified food handlers</w:t>
      </w:r>
      <w:r w:rsidRPr="003D2A60">
        <w:rPr>
          <w:rFonts w:cs="Arial"/>
          <w:color w:val="0A0A0A"/>
          <w:szCs w:val="24"/>
          <w:shd w:val="clear" w:color="auto" w:fill="FFFFFF"/>
        </w:rPr>
        <w:t> were significantly more likely to maintain a carrier with a </w:t>
      </w:r>
      <w:r w:rsidRPr="003D2A60">
        <w:rPr>
          <w:rFonts w:cs="Arial"/>
          <w:bCs/>
          <w:color w:val="0A0A0A"/>
          <w:szCs w:val="24"/>
          <w:shd w:val="clear" w:color="auto" w:fill="FFFFFF"/>
        </w:rPr>
        <w:t>clean appearance</w:t>
      </w:r>
      <w:r w:rsidRPr="003D2A60">
        <w:rPr>
          <w:rFonts w:cs="Arial"/>
          <w:color w:val="0A0A0A"/>
          <w:szCs w:val="24"/>
          <w:shd w:val="clear" w:color="auto" w:fill="FFFFFF"/>
        </w:rPr>
        <w:t> (</w:t>
      </w:r>
      <w:r w:rsidRPr="003D2A60">
        <w:rPr>
          <w:rFonts w:cs="Arial"/>
          <w:i/>
          <w:color w:val="0A0A0A"/>
          <w:szCs w:val="24"/>
          <w:shd w:val="clear" w:color="auto" w:fill="FFFFFF"/>
        </w:rPr>
        <w:t>r</w:t>
      </w:r>
      <w:r w:rsidRPr="003D2A60">
        <w:rPr>
          <w:rFonts w:cs="Arial"/>
          <w:color w:val="0A0A0A"/>
          <w:szCs w:val="24"/>
          <w:shd w:val="clear" w:color="auto" w:fill="FFFFFF"/>
        </w:rPr>
        <w:t xml:space="preserve"> = .351, </w:t>
      </w:r>
      <w:r w:rsidRPr="003D2A60">
        <w:rPr>
          <w:rFonts w:cs="Arial"/>
          <w:i/>
          <w:color w:val="0A0A0A"/>
          <w:szCs w:val="24"/>
          <w:shd w:val="clear" w:color="auto" w:fill="FFFFFF"/>
        </w:rPr>
        <w:t>p</w:t>
      </w:r>
      <w:r w:rsidRPr="003D2A60">
        <w:rPr>
          <w:rFonts w:cs="Arial"/>
          <w:color w:val="0A0A0A"/>
          <w:szCs w:val="24"/>
          <w:shd w:val="clear" w:color="auto" w:fill="FFFFFF"/>
        </w:rPr>
        <w:t xml:space="preserve"> = .001), neither certification nor physical appearance showed a significant linear relationship with the actual microbiological contamination status of the carrier (</w:t>
      </w:r>
      <w:r w:rsidRPr="003D2A60">
        <w:rPr>
          <w:rFonts w:cs="Arial"/>
          <w:i/>
          <w:color w:val="0A0A0A"/>
          <w:szCs w:val="24"/>
          <w:shd w:val="clear" w:color="auto" w:fill="FFFFFF"/>
        </w:rPr>
        <w:t>p</w:t>
      </w:r>
      <w:r w:rsidRPr="003D2A60">
        <w:rPr>
          <w:rFonts w:cs="Arial"/>
          <w:color w:val="0A0A0A"/>
          <w:szCs w:val="24"/>
          <w:shd w:val="clear" w:color="auto" w:fill="FFFFFF"/>
        </w:rPr>
        <w:t xml:space="preserve"> &gt;.05). Additionally, a strong positive correlation was observed between </w:t>
      </w:r>
      <w:r w:rsidRPr="003D2A60">
        <w:rPr>
          <w:rFonts w:cs="Arial"/>
          <w:bCs/>
          <w:color w:val="0A0A0A"/>
          <w:szCs w:val="24"/>
          <w:shd w:val="clear" w:color="auto" w:fill="FFFFFF"/>
        </w:rPr>
        <w:t>carrier type</w:t>
      </w:r>
      <w:r w:rsidRPr="003D2A60">
        <w:rPr>
          <w:rFonts w:cs="Arial"/>
          <w:color w:val="0A0A0A"/>
          <w:szCs w:val="24"/>
          <w:shd w:val="clear" w:color="auto" w:fill="FFFFFF"/>
        </w:rPr>
        <w:t> and </w:t>
      </w:r>
      <w:r w:rsidRPr="003D2A60">
        <w:rPr>
          <w:rFonts w:cs="Arial"/>
          <w:bCs/>
          <w:color w:val="0A0A0A"/>
          <w:szCs w:val="24"/>
          <w:shd w:val="clear" w:color="auto" w:fill="FFFFFF"/>
        </w:rPr>
        <w:t>frequency of cleaning</w:t>
      </w:r>
      <w:r w:rsidRPr="003D2A60">
        <w:rPr>
          <w:rFonts w:cs="Arial"/>
          <w:color w:val="0A0A0A"/>
          <w:szCs w:val="24"/>
          <w:shd w:val="clear" w:color="auto" w:fill="FFFFFF"/>
        </w:rPr>
        <w:t> (</w:t>
      </w:r>
      <w:r w:rsidRPr="003D2A60">
        <w:rPr>
          <w:rFonts w:cs="Arial"/>
          <w:i/>
          <w:color w:val="0A0A0A"/>
          <w:szCs w:val="24"/>
          <w:shd w:val="clear" w:color="auto" w:fill="FFFFFF"/>
        </w:rPr>
        <w:t xml:space="preserve">r </w:t>
      </w:r>
      <w:r w:rsidRPr="003D2A60">
        <w:rPr>
          <w:rFonts w:cs="Arial"/>
          <w:color w:val="0A0A0A"/>
          <w:szCs w:val="24"/>
          <w:shd w:val="clear" w:color="auto" w:fill="FFFFFF"/>
        </w:rPr>
        <w:t xml:space="preserve">= .378, </w:t>
      </w:r>
      <w:r w:rsidRPr="003D2A60">
        <w:rPr>
          <w:rFonts w:cs="Arial"/>
          <w:i/>
          <w:color w:val="0A0A0A"/>
          <w:szCs w:val="24"/>
          <w:shd w:val="clear" w:color="auto" w:fill="FFFFFF"/>
        </w:rPr>
        <w:t>p</w:t>
      </w:r>
      <w:r w:rsidRPr="003D2A60">
        <w:rPr>
          <w:rFonts w:cs="Arial"/>
          <w:color w:val="0A0A0A"/>
          <w:szCs w:val="24"/>
          <w:shd w:val="clear" w:color="auto" w:fill="FFFFFF"/>
        </w:rPr>
        <w:t xml:space="preserve"> = .001), suggesting that cleaning behaviors vary significantly across different container materials. Results indicate a significant negative correlation between Bike type and appearance</w:t>
      </w:r>
      <w:r w:rsidRPr="003D2A60">
        <w:rPr>
          <w:rFonts w:cs="Arial"/>
          <w:b/>
          <w:color w:val="0A0A0A"/>
          <w:szCs w:val="24"/>
          <w:shd w:val="clear" w:color="auto" w:fill="FFFFFF"/>
        </w:rPr>
        <w:t xml:space="preserve"> </w:t>
      </w:r>
      <w:r w:rsidRPr="003D2A60">
        <w:rPr>
          <w:rFonts w:cs="Arial"/>
          <w:color w:val="0A0A0A"/>
          <w:szCs w:val="24"/>
          <w:shd w:val="clear" w:color="auto" w:fill="FFFFFF"/>
        </w:rPr>
        <w:t>of the carrier (</w:t>
      </w:r>
      <w:r w:rsidRPr="003D2A60">
        <w:rPr>
          <w:rFonts w:cs="Arial"/>
          <w:i/>
          <w:color w:val="0A0A0A"/>
          <w:szCs w:val="24"/>
          <w:shd w:val="clear" w:color="auto" w:fill="FFFFFF"/>
        </w:rPr>
        <w:t>r</w:t>
      </w:r>
      <w:r w:rsidRPr="003D2A60">
        <w:rPr>
          <w:rFonts w:cs="Arial"/>
          <w:color w:val="0A0A0A"/>
          <w:szCs w:val="24"/>
          <w:shd w:val="clear" w:color="auto" w:fill="FFFFFF"/>
        </w:rPr>
        <w:t xml:space="preserve"> = -.249, </w:t>
      </w:r>
      <w:r w:rsidRPr="003D2A60">
        <w:rPr>
          <w:rFonts w:cs="Arial"/>
          <w:i/>
          <w:color w:val="0A0A0A"/>
          <w:szCs w:val="24"/>
          <w:shd w:val="clear" w:color="auto" w:fill="FFFFFF"/>
        </w:rPr>
        <w:t>p</w:t>
      </w:r>
      <w:r w:rsidRPr="003D2A60">
        <w:rPr>
          <w:rFonts w:cs="Arial"/>
          <w:color w:val="0A0A0A"/>
          <w:szCs w:val="24"/>
          <w:shd w:val="clear" w:color="auto" w:fill="FFFFFF"/>
        </w:rPr>
        <w:t xml:space="preserve"> = .016) suggesting that motor bikers were associated with cleaner carriers. Years in</w:t>
      </w:r>
      <w:r w:rsidRPr="003D2A60">
        <w:rPr>
          <w:rFonts w:cs="Arial"/>
          <w:b/>
          <w:color w:val="0A0A0A"/>
          <w:szCs w:val="24"/>
          <w:shd w:val="clear" w:color="auto" w:fill="FFFFFF"/>
        </w:rPr>
        <w:t xml:space="preserve"> </w:t>
      </w:r>
      <w:r w:rsidRPr="003D2A60">
        <w:rPr>
          <w:rFonts w:cs="Arial"/>
          <w:color w:val="0A0A0A"/>
          <w:szCs w:val="24"/>
          <w:shd w:val="clear" w:color="auto" w:fill="FFFFFF"/>
        </w:rPr>
        <w:t>service is positively correlated with appearance of the carrier (</w:t>
      </w:r>
      <w:r w:rsidRPr="003D2A60">
        <w:rPr>
          <w:rFonts w:cs="Arial"/>
          <w:i/>
          <w:color w:val="0A0A0A"/>
          <w:szCs w:val="24"/>
          <w:shd w:val="clear" w:color="auto" w:fill="FFFFFF"/>
        </w:rPr>
        <w:t>r</w:t>
      </w:r>
      <w:r w:rsidRPr="003D2A60">
        <w:rPr>
          <w:rFonts w:cs="Arial"/>
          <w:color w:val="0A0A0A"/>
          <w:szCs w:val="24"/>
          <w:shd w:val="clear" w:color="auto" w:fill="FFFFFF"/>
        </w:rPr>
        <w:t xml:space="preserve"> = .220, </w:t>
      </w:r>
      <w:r w:rsidRPr="003D2A60">
        <w:rPr>
          <w:rFonts w:cs="Arial"/>
          <w:i/>
          <w:color w:val="0A0A0A"/>
          <w:szCs w:val="24"/>
          <w:shd w:val="clear" w:color="auto" w:fill="FFFFFF"/>
        </w:rPr>
        <w:t>p</w:t>
      </w:r>
      <w:r w:rsidRPr="003D2A60">
        <w:rPr>
          <w:rFonts w:cs="Arial"/>
          <w:color w:val="0A0A0A"/>
          <w:szCs w:val="24"/>
          <w:shd w:val="clear" w:color="auto" w:fill="FFFFFF"/>
        </w:rPr>
        <w:t xml:space="preserve"> = .034) suggesting that bikers with more experience tended to have cleaner carriers while age of the biker was positively correlated with the frequency of cleaning (</w:t>
      </w:r>
      <w:r w:rsidRPr="003D2A60">
        <w:rPr>
          <w:rFonts w:cs="Arial"/>
          <w:i/>
          <w:color w:val="0A0A0A"/>
          <w:szCs w:val="24"/>
          <w:shd w:val="clear" w:color="auto" w:fill="FFFFFF"/>
        </w:rPr>
        <w:t>r</w:t>
      </w:r>
      <w:r w:rsidRPr="003D2A60">
        <w:rPr>
          <w:rFonts w:cs="Arial"/>
          <w:color w:val="0A0A0A"/>
          <w:szCs w:val="24"/>
          <w:shd w:val="clear" w:color="auto" w:fill="FFFFFF"/>
        </w:rPr>
        <w:t xml:space="preserve"> = .211, </w:t>
      </w:r>
      <w:r w:rsidRPr="003D2A60">
        <w:rPr>
          <w:rFonts w:cs="Arial"/>
          <w:i/>
          <w:color w:val="0A0A0A"/>
          <w:szCs w:val="24"/>
          <w:shd w:val="clear" w:color="auto" w:fill="FFFFFF"/>
        </w:rPr>
        <w:t>p</w:t>
      </w:r>
      <w:r w:rsidRPr="003D2A60">
        <w:rPr>
          <w:rFonts w:cs="Arial"/>
          <w:color w:val="0A0A0A"/>
          <w:szCs w:val="24"/>
          <w:shd w:val="clear" w:color="auto" w:fill="FFFFFF"/>
        </w:rPr>
        <w:t xml:space="preserve"> = .042) implying that age increased with increase in frequency of cleaning their carriers. </w:t>
      </w:r>
    </w:p>
    <w:p w14:paraId="13D3D477" w14:textId="77777777" w:rsidR="000E5D4B" w:rsidRPr="008A7BCB" w:rsidRDefault="008A7BCB" w:rsidP="000E5D4B">
      <w:pPr>
        <w:pStyle w:val="Heading2"/>
        <w:rPr>
          <w:rFonts w:ascii="Arial" w:hAnsi="Arial" w:cs="Arial"/>
          <w:b/>
          <w:color w:val="auto"/>
          <w:sz w:val="22"/>
        </w:rPr>
      </w:pPr>
      <w:r w:rsidRPr="008A7BCB">
        <w:rPr>
          <w:rFonts w:ascii="Arial" w:hAnsi="Arial" w:cs="Arial"/>
          <w:b/>
          <w:color w:val="auto"/>
          <w:sz w:val="22"/>
        </w:rPr>
        <w:t xml:space="preserve">3.4 </w:t>
      </w:r>
      <w:r w:rsidR="000E5D4B" w:rsidRPr="008A7BCB">
        <w:rPr>
          <w:rFonts w:ascii="Arial" w:hAnsi="Arial" w:cs="Arial"/>
          <w:b/>
          <w:color w:val="auto"/>
          <w:sz w:val="22"/>
        </w:rPr>
        <w:t xml:space="preserve">Regression </w:t>
      </w:r>
      <w:r w:rsidRPr="008A7BCB">
        <w:rPr>
          <w:rFonts w:ascii="Arial" w:hAnsi="Arial" w:cs="Arial"/>
          <w:b/>
          <w:color w:val="auto"/>
          <w:sz w:val="22"/>
        </w:rPr>
        <w:t>A</w:t>
      </w:r>
      <w:r w:rsidR="000E5D4B" w:rsidRPr="008A7BCB">
        <w:rPr>
          <w:rFonts w:ascii="Arial" w:hAnsi="Arial" w:cs="Arial"/>
          <w:b/>
          <w:color w:val="auto"/>
          <w:sz w:val="22"/>
        </w:rPr>
        <w:t xml:space="preserve">nalysis </w:t>
      </w:r>
    </w:p>
    <w:p w14:paraId="408A9373" w14:textId="77777777" w:rsidR="007B52FE" w:rsidRDefault="007B52FE" w:rsidP="000E5D4B">
      <w:pPr>
        <w:pStyle w:val="NoSpacing"/>
        <w:spacing w:line="360" w:lineRule="auto"/>
        <w:jc w:val="both"/>
        <w:rPr>
          <w:rFonts w:ascii="Times New Roman" w:hAnsi="Times New Roman" w:cs="Times New Roman"/>
          <w:sz w:val="24"/>
          <w:szCs w:val="24"/>
        </w:rPr>
      </w:pPr>
    </w:p>
    <w:p w14:paraId="1F4781CA" w14:textId="77777777" w:rsidR="007B52FE" w:rsidRPr="00CF7563" w:rsidRDefault="007B52FE" w:rsidP="007B52FE">
      <w:pPr>
        <w:pStyle w:val="NoSpacing"/>
        <w:rPr>
          <w:rFonts w:ascii="Arial" w:hAnsi="Arial" w:cs="Arial"/>
          <w:b/>
          <w:sz w:val="20"/>
          <w:szCs w:val="20"/>
        </w:rPr>
      </w:pPr>
      <w:r w:rsidRPr="00CF7563">
        <w:rPr>
          <w:rFonts w:ascii="Arial" w:hAnsi="Arial" w:cs="Arial"/>
          <w:b/>
          <w:sz w:val="20"/>
          <w:szCs w:val="20"/>
        </w:rPr>
        <w:t>Table 4: Regression analysis (logistic regression – odds of contamination)</w:t>
      </w:r>
    </w:p>
    <w:tbl>
      <w:tblPr>
        <w:tblStyle w:val="TableGrid"/>
        <w:tblW w:w="8362"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809"/>
        <w:gridCol w:w="1097"/>
        <w:gridCol w:w="1334"/>
        <w:gridCol w:w="1408"/>
        <w:gridCol w:w="1158"/>
      </w:tblGrid>
      <w:tr w:rsidR="007B52FE" w:rsidRPr="00CF7563" w14:paraId="55C81443" w14:textId="77777777" w:rsidTr="007B52FE">
        <w:trPr>
          <w:trHeight w:val="620"/>
        </w:trPr>
        <w:tc>
          <w:tcPr>
            <w:tcW w:w="2556" w:type="dxa"/>
            <w:tcBorders>
              <w:top w:val="single" w:sz="4" w:space="0" w:color="auto"/>
              <w:bottom w:val="single" w:sz="4" w:space="0" w:color="auto"/>
            </w:tcBorders>
            <w:hideMark/>
          </w:tcPr>
          <w:p w14:paraId="154AE226"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Predictor</w:t>
            </w:r>
          </w:p>
        </w:tc>
        <w:tc>
          <w:tcPr>
            <w:tcW w:w="809" w:type="dxa"/>
            <w:tcBorders>
              <w:top w:val="single" w:sz="4" w:space="0" w:color="auto"/>
              <w:bottom w:val="single" w:sz="4" w:space="0" w:color="auto"/>
            </w:tcBorders>
            <w:hideMark/>
          </w:tcPr>
          <w:p w14:paraId="74D29562"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B</w:t>
            </w:r>
          </w:p>
        </w:tc>
        <w:tc>
          <w:tcPr>
            <w:tcW w:w="1097" w:type="dxa"/>
            <w:tcBorders>
              <w:top w:val="single" w:sz="4" w:space="0" w:color="auto"/>
              <w:bottom w:val="single" w:sz="4" w:space="0" w:color="auto"/>
            </w:tcBorders>
            <w:hideMark/>
          </w:tcPr>
          <w:p w14:paraId="4DB9B8AD"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SE</w:t>
            </w:r>
          </w:p>
        </w:tc>
        <w:tc>
          <w:tcPr>
            <w:tcW w:w="1334" w:type="dxa"/>
            <w:tcBorders>
              <w:top w:val="single" w:sz="4" w:space="0" w:color="auto"/>
              <w:bottom w:val="single" w:sz="4" w:space="0" w:color="auto"/>
            </w:tcBorders>
            <w:hideMark/>
          </w:tcPr>
          <w:p w14:paraId="68EEAA39"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OR (Exp(B))</w:t>
            </w:r>
          </w:p>
        </w:tc>
        <w:tc>
          <w:tcPr>
            <w:tcW w:w="1408" w:type="dxa"/>
            <w:tcBorders>
              <w:top w:val="single" w:sz="4" w:space="0" w:color="auto"/>
              <w:bottom w:val="single" w:sz="4" w:space="0" w:color="auto"/>
            </w:tcBorders>
            <w:hideMark/>
          </w:tcPr>
          <w:p w14:paraId="270543B2"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95% CI for OR</w:t>
            </w:r>
          </w:p>
        </w:tc>
        <w:tc>
          <w:tcPr>
            <w:tcW w:w="1158" w:type="dxa"/>
            <w:tcBorders>
              <w:top w:val="single" w:sz="4" w:space="0" w:color="auto"/>
              <w:bottom w:val="single" w:sz="4" w:space="0" w:color="auto"/>
            </w:tcBorders>
            <w:hideMark/>
          </w:tcPr>
          <w:p w14:paraId="1002C83A"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p</w:t>
            </w:r>
            <w:r w:rsidRPr="00CF7563">
              <w:rPr>
                <w:rFonts w:ascii="Arial" w:eastAsia="Times New Roman" w:hAnsi="Arial" w:cs="Arial"/>
                <w:b/>
                <w:bCs/>
                <w:sz w:val="20"/>
                <w:szCs w:val="20"/>
              </w:rPr>
              <w:noBreakHyphen/>
              <w:t>value</w:t>
            </w:r>
          </w:p>
        </w:tc>
      </w:tr>
      <w:tr w:rsidR="007B52FE" w:rsidRPr="00CF7563" w14:paraId="0486FBF9" w14:textId="77777777" w:rsidTr="007B52FE">
        <w:trPr>
          <w:trHeight w:val="410"/>
        </w:trPr>
        <w:tc>
          <w:tcPr>
            <w:tcW w:w="2556" w:type="dxa"/>
            <w:tcBorders>
              <w:top w:val="single" w:sz="4" w:space="0" w:color="auto"/>
            </w:tcBorders>
            <w:hideMark/>
          </w:tcPr>
          <w:p w14:paraId="77BE3B3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Years in Service</w:t>
            </w:r>
          </w:p>
        </w:tc>
        <w:tc>
          <w:tcPr>
            <w:tcW w:w="809" w:type="dxa"/>
            <w:tcBorders>
              <w:top w:val="single" w:sz="4" w:space="0" w:color="auto"/>
            </w:tcBorders>
            <w:hideMark/>
          </w:tcPr>
          <w:p w14:paraId="57F25D88"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0.054</w:t>
            </w:r>
          </w:p>
        </w:tc>
        <w:tc>
          <w:tcPr>
            <w:tcW w:w="1097" w:type="dxa"/>
            <w:tcBorders>
              <w:top w:val="single" w:sz="4" w:space="0" w:color="auto"/>
            </w:tcBorders>
            <w:hideMark/>
          </w:tcPr>
          <w:p w14:paraId="07FB1F39"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0.230</w:t>
            </w:r>
          </w:p>
        </w:tc>
        <w:tc>
          <w:tcPr>
            <w:tcW w:w="1334" w:type="dxa"/>
            <w:tcBorders>
              <w:top w:val="single" w:sz="4" w:space="0" w:color="auto"/>
            </w:tcBorders>
            <w:hideMark/>
          </w:tcPr>
          <w:p w14:paraId="47E98800"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1.056</w:t>
            </w:r>
          </w:p>
        </w:tc>
        <w:tc>
          <w:tcPr>
            <w:tcW w:w="1408" w:type="dxa"/>
            <w:tcBorders>
              <w:top w:val="single" w:sz="4" w:space="0" w:color="auto"/>
            </w:tcBorders>
            <w:hideMark/>
          </w:tcPr>
          <w:p w14:paraId="65134DFA"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0.67 – 1.66</w:t>
            </w:r>
          </w:p>
        </w:tc>
        <w:tc>
          <w:tcPr>
            <w:tcW w:w="1158" w:type="dxa"/>
            <w:tcBorders>
              <w:top w:val="single" w:sz="4" w:space="0" w:color="auto"/>
            </w:tcBorders>
            <w:hideMark/>
          </w:tcPr>
          <w:p w14:paraId="30A351D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0.814</w:t>
            </w:r>
          </w:p>
        </w:tc>
      </w:tr>
      <w:tr w:rsidR="007B52FE" w:rsidRPr="00CF7563" w14:paraId="3D3187C0" w14:textId="77777777" w:rsidTr="007B52FE">
        <w:trPr>
          <w:trHeight w:val="488"/>
        </w:trPr>
        <w:tc>
          <w:tcPr>
            <w:tcW w:w="2556" w:type="dxa"/>
            <w:hideMark/>
          </w:tcPr>
          <w:p w14:paraId="497D3DA6"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Carrier Type (1)</w:t>
            </w:r>
          </w:p>
        </w:tc>
        <w:tc>
          <w:tcPr>
            <w:tcW w:w="809" w:type="dxa"/>
            <w:hideMark/>
          </w:tcPr>
          <w:p w14:paraId="64B2DA00"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noBreakHyphen/>
              <w:t>5.224</w:t>
            </w:r>
          </w:p>
        </w:tc>
        <w:tc>
          <w:tcPr>
            <w:tcW w:w="1097" w:type="dxa"/>
            <w:hideMark/>
          </w:tcPr>
          <w:p w14:paraId="3C6223E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2.470</w:t>
            </w:r>
          </w:p>
        </w:tc>
        <w:tc>
          <w:tcPr>
            <w:tcW w:w="1334" w:type="dxa"/>
            <w:hideMark/>
          </w:tcPr>
          <w:p w14:paraId="1C07BF4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0.005</w:t>
            </w:r>
          </w:p>
        </w:tc>
        <w:tc>
          <w:tcPr>
            <w:tcW w:w="1408" w:type="dxa"/>
            <w:hideMark/>
          </w:tcPr>
          <w:p w14:paraId="70415A9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0.01 – 0.68</w:t>
            </w:r>
          </w:p>
        </w:tc>
        <w:tc>
          <w:tcPr>
            <w:tcW w:w="1158" w:type="dxa"/>
            <w:hideMark/>
          </w:tcPr>
          <w:p w14:paraId="163CFFE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0.034*</w:t>
            </w:r>
          </w:p>
        </w:tc>
      </w:tr>
      <w:tr w:rsidR="007B52FE" w:rsidRPr="00CF7563" w14:paraId="08C3929A" w14:textId="77777777" w:rsidTr="007B52FE">
        <w:trPr>
          <w:trHeight w:val="603"/>
        </w:trPr>
        <w:tc>
          <w:tcPr>
            <w:tcW w:w="2556" w:type="dxa"/>
            <w:hideMark/>
          </w:tcPr>
          <w:p w14:paraId="303193E3"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Carrier Type (3)</w:t>
            </w:r>
          </w:p>
        </w:tc>
        <w:tc>
          <w:tcPr>
            <w:tcW w:w="809" w:type="dxa"/>
            <w:hideMark/>
          </w:tcPr>
          <w:p w14:paraId="79033BB6"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noBreakHyphen/>
              <w:t>5.372</w:t>
            </w:r>
          </w:p>
        </w:tc>
        <w:tc>
          <w:tcPr>
            <w:tcW w:w="1097" w:type="dxa"/>
            <w:hideMark/>
          </w:tcPr>
          <w:p w14:paraId="0C16A391"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2.789</w:t>
            </w:r>
          </w:p>
        </w:tc>
        <w:tc>
          <w:tcPr>
            <w:tcW w:w="1334" w:type="dxa"/>
            <w:hideMark/>
          </w:tcPr>
          <w:p w14:paraId="5B8D9B42"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0.005</w:t>
            </w:r>
          </w:p>
        </w:tc>
        <w:tc>
          <w:tcPr>
            <w:tcW w:w="1408" w:type="dxa"/>
            <w:hideMark/>
          </w:tcPr>
          <w:p w14:paraId="628A2BE9"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0.02 – 1.10</w:t>
            </w:r>
          </w:p>
        </w:tc>
        <w:tc>
          <w:tcPr>
            <w:tcW w:w="1158" w:type="dxa"/>
            <w:hideMark/>
          </w:tcPr>
          <w:p w14:paraId="69C369ED"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0.054</w:t>
            </w:r>
          </w:p>
        </w:tc>
      </w:tr>
      <w:tr w:rsidR="007B52FE" w:rsidRPr="00CF7563" w14:paraId="1A7A783A" w14:textId="77777777" w:rsidTr="007B52FE">
        <w:trPr>
          <w:trHeight w:val="449"/>
        </w:trPr>
        <w:tc>
          <w:tcPr>
            <w:tcW w:w="2556" w:type="dxa"/>
            <w:hideMark/>
          </w:tcPr>
          <w:p w14:paraId="51DBC7D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Carrier Type (4)</w:t>
            </w:r>
          </w:p>
        </w:tc>
        <w:tc>
          <w:tcPr>
            <w:tcW w:w="809" w:type="dxa"/>
            <w:hideMark/>
          </w:tcPr>
          <w:p w14:paraId="778DFE7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noBreakHyphen/>
              <w:t>3.401</w:t>
            </w:r>
          </w:p>
        </w:tc>
        <w:tc>
          <w:tcPr>
            <w:tcW w:w="1097" w:type="dxa"/>
            <w:hideMark/>
          </w:tcPr>
          <w:p w14:paraId="1D67C4AB"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2.803</w:t>
            </w:r>
          </w:p>
        </w:tc>
        <w:tc>
          <w:tcPr>
            <w:tcW w:w="1334" w:type="dxa"/>
            <w:hideMark/>
          </w:tcPr>
          <w:p w14:paraId="30F098D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0.033</w:t>
            </w:r>
          </w:p>
        </w:tc>
        <w:tc>
          <w:tcPr>
            <w:tcW w:w="1408" w:type="dxa"/>
            <w:hideMark/>
          </w:tcPr>
          <w:p w14:paraId="1923EC83"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0.41 – 8.09</w:t>
            </w:r>
          </w:p>
        </w:tc>
        <w:tc>
          <w:tcPr>
            <w:tcW w:w="1158" w:type="dxa"/>
            <w:hideMark/>
          </w:tcPr>
          <w:p w14:paraId="12351BDC"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0.225</w:t>
            </w:r>
          </w:p>
        </w:tc>
      </w:tr>
      <w:tr w:rsidR="007B52FE" w:rsidRPr="00CF7563" w14:paraId="59FB1B00" w14:textId="77777777" w:rsidTr="007B52FE">
        <w:trPr>
          <w:trHeight w:val="514"/>
        </w:trPr>
        <w:tc>
          <w:tcPr>
            <w:tcW w:w="2556" w:type="dxa"/>
            <w:hideMark/>
          </w:tcPr>
          <w:p w14:paraId="6763107A"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Frequency of Cleaning (2)</w:t>
            </w:r>
          </w:p>
        </w:tc>
        <w:tc>
          <w:tcPr>
            <w:tcW w:w="809" w:type="dxa"/>
            <w:hideMark/>
          </w:tcPr>
          <w:p w14:paraId="5E7BF621"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3.812</w:t>
            </w:r>
          </w:p>
        </w:tc>
        <w:tc>
          <w:tcPr>
            <w:tcW w:w="1097" w:type="dxa"/>
            <w:hideMark/>
          </w:tcPr>
          <w:p w14:paraId="549E39B6"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1.355</w:t>
            </w:r>
          </w:p>
        </w:tc>
        <w:tc>
          <w:tcPr>
            <w:tcW w:w="1334" w:type="dxa"/>
            <w:hideMark/>
          </w:tcPr>
          <w:p w14:paraId="5518E04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45.254</w:t>
            </w:r>
          </w:p>
        </w:tc>
        <w:tc>
          <w:tcPr>
            <w:tcW w:w="1408" w:type="dxa"/>
            <w:hideMark/>
          </w:tcPr>
          <w:p w14:paraId="36609926"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3.18 – 644.5</w:t>
            </w:r>
          </w:p>
        </w:tc>
        <w:tc>
          <w:tcPr>
            <w:tcW w:w="1158" w:type="dxa"/>
            <w:hideMark/>
          </w:tcPr>
          <w:p w14:paraId="32E017BA"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0.005**</w:t>
            </w:r>
          </w:p>
        </w:tc>
      </w:tr>
      <w:tr w:rsidR="007B52FE" w:rsidRPr="00CF7563" w14:paraId="09BE7212" w14:textId="77777777" w:rsidTr="007B52FE">
        <w:trPr>
          <w:trHeight w:val="514"/>
        </w:trPr>
        <w:tc>
          <w:tcPr>
            <w:tcW w:w="2556" w:type="dxa"/>
            <w:hideMark/>
          </w:tcPr>
          <w:p w14:paraId="1147C670"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Frequency of Cleaning (3)</w:t>
            </w:r>
          </w:p>
        </w:tc>
        <w:tc>
          <w:tcPr>
            <w:tcW w:w="809" w:type="dxa"/>
            <w:hideMark/>
          </w:tcPr>
          <w:p w14:paraId="09947EB2"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4.551</w:t>
            </w:r>
          </w:p>
        </w:tc>
        <w:tc>
          <w:tcPr>
            <w:tcW w:w="1097" w:type="dxa"/>
            <w:hideMark/>
          </w:tcPr>
          <w:p w14:paraId="20CD3B7F"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1.571</w:t>
            </w:r>
          </w:p>
        </w:tc>
        <w:tc>
          <w:tcPr>
            <w:tcW w:w="1334" w:type="dxa"/>
            <w:hideMark/>
          </w:tcPr>
          <w:p w14:paraId="7C703FE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94.733</w:t>
            </w:r>
          </w:p>
        </w:tc>
        <w:tc>
          <w:tcPr>
            <w:tcW w:w="1408" w:type="dxa"/>
            <w:hideMark/>
          </w:tcPr>
          <w:p w14:paraId="794FF5FA"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4.36 – 2058.4</w:t>
            </w:r>
          </w:p>
        </w:tc>
        <w:tc>
          <w:tcPr>
            <w:tcW w:w="1158" w:type="dxa"/>
            <w:hideMark/>
          </w:tcPr>
          <w:p w14:paraId="0B9C643F"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0.004**</w:t>
            </w:r>
          </w:p>
        </w:tc>
      </w:tr>
      <w:tr w:rsidR="007B52FE" w:rsidRPr="00CF7563" w14:paraId="6015C24F" w14:textId="77777777" w:rsidTr="007B52FE">
        <w:trPr>
          <w:trHeight w:val="514"/>
        </w:trPr>
        <w:tc>
          <w:tcPr>
            <w:tcW w:w="2556" w:type="dxa"/>
            <w:hideMark/>
          </w:tcPr>
          <w:p w14:paraId="6A2AE451"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Frequency of Cleaning (4)</w:t>
            </w:r>
          </w:p>
        </w:tc>
        <w:tc>
          <w:tcPr>
            <w:tcW w:w="809" w:type="dxa"/>
            <w:hideMark/>
          </w:tcPr>
          <w:p w14:paraId="0A85F81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3.278</w:t>
            </w:r>
          </w:p>
        </w:tc>
        <w:tc>
          <w:tcPr>
            <w:tcW w:w="1097" w:type="dxa"/>
            <w:hideMark/>
          </w:tcPr>
          <w:p w14:paraId="508AEC62"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1.349</w:t>
            </w:r>
          </w:p>
        </w:tc>
        <w:tc>
          <w:tcPr>
            <w:tcW w:w="1334" w:type="dxa"/>
            <w:hideMark/>
          </w:tcPr>
          <w:p w14:paraId="7C9B52A0"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26.519</w:t>
            </w:r>
          </w:p>
        </w:tc>
        <w:tc>
          <w:tcPr>
            <w:tcW w:w="1408" w:type="dxa"/>
            <w:hideMark/>
          </w:tcPr>
          <w:p w14:paraId="6DBDBAF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1.89 – 372.0</w:t>
            </w:r>
          </w:p>
        </w:tc>
        <w:tc>
          <w:tcPr>
            <w:tcW w:w="1158" w:type="dxa"/>
            <w:hideMark/>
          </w:tcPr>
          <w:p w14:paraId="22BA4C81"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0.015*</w:t>
            </w:r>
          </w:p>
        </w:tc>
      </w:tr>
    </w:tbl>
    <w:p w14:paraId="3DCC3B8C" w14:textId="77777777" w:rsidR="007B52FE" w:rsidRPr="00CF7563" w:rsidRDefault="007B52FE" w:rsidP="007B52FE">
      <w:pPr>
        <w:pStyle w:val="NoSpacing"/>
        <w:rPr>
          <w:rFonts w:ascii="Arial" w:hAnsi="Arial" w:cs="Arial"/>
          <w:sz w:val="20"/>
          <w:szCs w:val="20"/>
        </w:rPr>
      </w:pPr>
      <w:r w:rsidRPr="00CF7563">
        <w:rPr>
          <w:rFonts w:ascii="Arial" w:hAnsi="Arial" w:cs="Arial"/>
          <w:sz w:val="20"/>
          <w:szCs w:val="20"/>
        </w:rPr>
        <w:t xml:space="preserve">B = unstandardized regression coefficient, SE = standard error, OR(Exp(B)) = Odds ratio (exponentiated B coefficient), </w:t>
      </w:r>
      <w:r w:rsidRPr="00CF7563">
        <w:rPr>
          <w:rFonts w:ascii="Arial" w:eastAsia="Times New Roman" w:hAnsi="Arial" w:cs="Arial"/>
          <w:bCs/>
          <w:sz w:val="20"/>
          <w:szCs w:val="20"/>
        </w:rPr>
        <w:t>95% CI for OR</w:t>
      </w:r>
      <w:r w:rsidRPr="00CF7563">
        <w:rPr>
          <w:rFonts w:ascii="Arial" w:hAnsi="Arial" w:cs="Arial"/>
          <w:sz w:val="20"/>
          <w:szCs w:val="20"/>
        </w:rPr>
        <w:t xml:space="preserve"> = 95% confidence interval for the Odds ratio, p-value = probability value</w:t>
      </w:r>
    </w:p>
    <w:p w14:paraId="5F154472" w14:textId="77777777" w:rsidR="007B52FE" w:rsidRDefault="007B52FE" w:rsidP="000E5D4B">
      <w:pPr>
        <w:pStyle w:val="NoSpacing"/>
        <w:spacing w:line="360" w:lineRule="auto"/>
        <w:jc w:val="both"/>
        <w:rPr>
          <w:rFonts w:ascii="Arial" w:hAnsi="Arial" w:cs="Arial"/>
          <w:szCs w:val="24"/>
        </w:rPr>
      </w:pPr>
    </w:p>
    <w:p w14:paraId="4DEFBA68" w14:textId="77777777" w:rsidR="000E5D4B" w:rsidRPr="007B52FE" w:rsidRDefault="000E5D4B" w:rsidP="007B52FE">
      <w:pPr>
        <w:pStyle w:val="NoSpacing"/>
        <w:jc w:val="both"/>
        <w:rPr>
          <w:rFonts w:ascii="Arial" w:hAnsi="Arial" w:cs="Arial"/>
          <w:sz w:val="20"/>
        </w:rPr>
      </w:pPr>
      <w:r w:rsidRPr="007B52FE">
        <w:rPr>
          <w:rFonts w:ascii="Arial" w:hAnsi="Arial" w:cs="Arial"/>
          <w:sz w:val="20"/>
          <w:szCs w:val="24"/>
        </w:rPr>
        <w:lastRenderedPageBreak/>
        <w:t xml:space="preserve">The logistic regression model in (Table 4) examined years in service, carrier type, and frequency of cleaning as predictors of contamination. As shown in Table 5, </w:t>
      </w:r>
      <w:r w:rsidRPr="007B52FE">
        <w:rPr>
          <w:rStyle w:val="Strong"/>
          <w:rFonts w:ascii="Arial" w:hAnsi="Arial" w:cs="Arial"/>
          <w:b w:val="0"/>
          <w:sz w:val="20"/>
          <w:szCs w:val="24"/>
        </w:rPr>
        <w:t>years in service</w:t>
      </w:r>
      <w:r w:rsidRPr="007B52FE">
        <w:rPr>
          <w:rFonts w:ascii="Arial" w:hAnsi="Arial" w:cs="Arial"/>
          <w:sz w:val="20"/>
          <w:szCs w:val="24"/>
        </w:rPr>
        <w:t xml:space="preserve"> was not a significant predictor (</w:t>
      </w:r>
      <w:r w:rsidRPr="007B52FE">
        <w:rPr>
          <w:rFonts w:ascii="Arial" w:hAnsi="Arial" w:cs="Arial"/>
          <w:i/>
          <w:sz w:val="20"/>
          <w:szCs w:val="24"/>
        </w:rPr>
        <w:t>B</w:t>
      </w:r>
      <w:r w:rsidRPr="007B52FE">
        <w:rPr>
          <w:rFonts w:ascii="Arial" w:hAnsi="Arial" w:cs="Arial"/>
          <w:sz w:val="20"/>
          <w:szCs w:val="24"/>
        </w:rPr>
        <w:t xml:space="preserve"> = 0.054, </w:t>
      </w:r>
      <w:r w:rsidRPr="007B52FE">
        <w:rPr>
          <w:rFonts w:ascii="Arial" w:hAnsi="Arial" w:cs="Arial"/>
          <w:i/>
          <w:sz w:val="20"/>
          <w:szCs w:val="24"/>
        </w:rPr>
        <w:t>SE</w:t>
      </w:r>
      <w:r w:rsidRPr="007B52FE">
        <w:rPr>
          <w:rFonts w:ascii="Arial" w:hAnsi="Arial" w:cs="Arial"/>
          <w:sz w:val="20"/>
          <w:szCs w:val="24"/>
        </w:rPr>
        <w:t xml:space="preserve"> = 0.230, OR = 1.056, 95% CI [0.67, 1.66], </w:t>
      </w:r>
      <w:r w:rsidRPr="007B52FE">
        <w:rPr>
          <w:rFonts w:ascii="Arial" w:hAnsi="Arial" w:cs="Arial"/>
          <w:i/>
          <w:sz w:val="20"/>
          <w:szCs w:val="24"/>
        </w:rPr>
        <w:t>p</w:t>
      </w:r>
      <w:r w:rsidRPr="007B52FE">
        <w:rPr>
          <w:rFonts w:ascii="Arial" w:hAnsi="Arial" w:cs="Arial"/>
          <w:sz w:val="20"/>
          <w:szCs w:val="24"/>
        </w:rPr>
        <w:t xml:space="preserve"> = .814), indicating that experience did not reliably reduce contamination risk. In contrast, </w:t>
      </w:r>
      <w:r w:rsidRPr="007B52FE">
        <w:rPr>
          <w:rStyle w:val="Strong"/>
          <w:rFonts w:ascii="Arial" w:hAnsi="Arial" w:cs="Arial"/>
          <w:b w:val="0"/>
          <w:sz w:val="20"/>
          <w:szCs w:val="24"/>
        </w:rPr>
        <w:t>carrier type (1)</w:t>
      </w:r>
      <w:r w:rsidRPr="007B52FE">
        <w:rPr>
          <w:rFonts w:ascii="Arial" w:hAnsi="Arial" w:cs="Arial"/>
          <w:sz w:val="20"/>
          <w:szCs w:val="24"/>
        </w:rPr>
        <w:t xml:space="preserve"> was significantly associated with lower odds of contamination (</w:t>
      </w:r>
      <w:r w:rsidRPr="007B52FE">
        <w:rPr>
          <w:rFonts w:ascii="Arial" w:hAnsi="Arial" w:cs="Arial"/>
          <w:i/>
          <w:sz w:val="20"/>
          <w:szCs w:val="24"/>
        </w:rPr>
        <w:t>B</w:t>
      </w:r>
      <w:r w:rsidRPr="007B52FE">
        <w:rPr>
          <w:rFonts w:ascii="Arial" w:hAnsi="Arial" w:cs="Arial"/>
          <w:sz w:val="20"/>
          <w:szCs w:val="24"/>
        </w:rPr>
        <w:t xml:space="preserve"> = </w:t>
      </w:r>
      <w:r w:rsidRPr="007B52FE">
        <w:rPr>
          <w:rFonts w:ascii="Arial" w:hAnsi="Arial" w:cs="Arial"/>
          <w:sz w:val="20"/>
          <w:szCs w:val="24"/>
        </w:rPr>
        <w:noBreakHyphen/>
        <w:t xml:space="preserve">5.224, </w:t>
      </w:r>
      <w:r w:rsidRPr="007B52FE">
        <w:rPr>
          <w:rFonts w:ascii="Arial" w:hAnsi="Arial" w:cs="Arial"/>
          <w:i/>
          <w:sz w:val="20"/>
          <w:szCs w:val="24"/>
        </w:rPr>
        <w:t>SE</w:t>
      </w:r>
      <w:r w:rsidRPr="007B52FE">
        <w:rPr>
          <w:rFonts w:ascii="Arial" w:hAnsi="Arial" w:cs="Arial"/>
          <w:sz w:val="20"/>
          <w:szCs w:val="24"/>
        </w:rPr>
        <w:t xml:space="preserve"> = 2.470, </w:t>
      </w:r>
      <w:r w:rsidRPr="007B52FE">
        <w:rPr>
          <w:rFonts w:ascii="Arial" w:hAnsi="Arial" w:cs="Arial"/>
          <w:i/>
          <w:sz w:val="20"/>
          <w:szCs w:val="24"/>
        </w:rPr>
        <w:t>OR</w:t>
      </w:r>
      <w:r w:rsidRPr="007B52FE">
        <w:rPr>
          <w:rFonts w:ascii="Arial" w:hAnsi="Arial" w:cs="Arial"/>
          <w:sz w:val="20"/>
          <w:szCs w:val="24"/>
        </w:rPr>
        <w:t xml:space="preserve"> = 0.005, 95% CI [0.01, 0.68], </w:t>
      </w:r>
      <w:r w:rsidRPr="007B52FE">
        <w:rPr>
          <w:rFonts w:ascii="Arial" w:hAnsi="Arial" w:cs="Arial"/>
          <w:i/>
          <w:sz w:val="20"/>
          <w:szCs w:val="24"/>
        </w:rPr>
        <w:t>p</w:t>
      </w:r>
      <w:r w:rsidRPr="007B52FE">
        <w:rPr>
          <w:rFonts w:ascii="Arial" w:hAnsi="Arial" w:cs="Arial"/>
          <w:sz w:val="20"/>
          <w:szCs w:val="24"/>
        </w:rPr>
        <w:t xml:space="preserve"> = .034), suggesting that certain carrier designs may offer protective effects. Finally, </w:t>
      </w:r>
      <w:r w:rsidRPr="007B52FE">
        <w:rPr>
          <w:rStyle w:val="Strong"/>
          <w:rFonts w:ascii="Arial" w:hAnsi="Arial" w:cs="Arial"/>
          <w:b w:val="0"/>
          <w:sz w:val="20"/>
          <w:szCs w:val="24"/>
        </w:rPr>
        <w:t>frequency of cleaning</w:t>
      </w:r>
      <w:r w:rsidRPr="007B52FE">
        <w:rPr>
          <w:rFonts w:ascii="Arial" w:hAnsi="Arial" w:cs="Arial"/>
          <w:sz w:val="20"/>
          <w:szCs w:val="24"/>
        </w:rPr>
        <w:t xml:space="preserve"> emerged as a strong and consistent predictor: carriers cleaned less frequently had markedly higher odds of contamination, with odds ratios ranging from 26.5 to 94.7 across categories (all p &lt; .05). These findings highlight that operational hygiene practices, particularly cleaning frequency and carrier type, are more influential determinants of contamination risk than years of service. Overall</w:t>
      </w:r>
      <w:r w:rsidRPr="007B52FE">
        <w:rPr>
          <w:rFonts w:ascii="Arial" w:hAnsi="Arial" w:cs="Arial"/>
          <w:b/>
          <w:sz w:val="20"/>
          <w:szCs w:val="24"/>
        </w:rPr>
        <w:t>,</w:t>
      </w:r>
      <w:r w:rsidRPr="007B52FE">
        <w:rPr>
          <w:rStyle w:val="Strong"/>
          <w:rFonts w:ascii="Arial" w:hAnsi="Arial" w:cs="Arial"/>
          <w:b w:val="0"/>
          <w:sz w:val="20"/>
        </w:rPr>
        <w:t xml:space="preserve"> the model combining all predictors was highly significant (Δχ² = 42.98, p &lt; .001)</w:t>
      </w:r>
      <w:r w:rsidRPr="007B52FE">
        <w:rPr>
          <w:rFonts w:ascii="Arial" w:hAnsi="Arial" w:cs="Arial"/>
          <w:b/>
          <w:sz w:val="20"/>
        </w:rPr>
        <w:t xml:space="preserve">, </w:t>
      </w:r>
      <w:r w:rsidRPr="007B52FE">
        <w:rPr>
          <w:rFonts w:ascii="Arial" w:hAnsi="Arial" w:cs="Arial"/>
          <w:sz w:val="20"/>
        </w:rPr>
        <w:t>with Nagelkerke R² = 0.493, indicating that the set of operational and demographic factors explained nearly half of the variance in contamination risk.</w:t>
      </w:r>
    </w:p>
    <w:p w14:paraId="00CEFE54" w14:textId="77777777" w:rsidR="00927834" w:rsidRPr="008247A6" w:rsidRDefault="00927834" w:rsidP="00441B6F">
      <w:pPr>
        <w:autoSpaceDE w:val="0"/>
        <w:autoSpaceDN w:val="0"/>
        <w:adjustRightInd w:val="0"/>
        <w:ind w:left="360"/>
        <w:jc w:val="both"/>
        <w:rPr>
          <w:rFonts w:ascii="Arial" w:hAnsi="Arial" w:cs="Arial"/>
          <w:i/>
          <w:sz w:val="18"/>
        </w:rPr>
      </w:pPr>
    </w:p>
    <w:p w14:paraId="1FFF8820" w14:textId="77777777" w:rsidR="007B52FE" w:rsidRPr="007B52FE" w:rsidRDefault="007B52FE" w:rsidP="007B52FE">
      <w:pPr>
        <w:pStyle w:val="Heading2"/>
        <w:rPr>
          <w:rFonts w:ascii="Arial" w:hAnsi="Arial" w:cs="Arial"/>
          <w:b/>
          <w:color w:val="auto"/>
          <w:sz w:val="22"/>
        </w:rPr>
      </w:pPr>
      <w:r>
        <w:rPr>
          <w:rFonts w:ascii="Arial" w:hAnsi="Arial" w:cs="Arial"/>
          <w:b/>
          <w:color w:val="auto"/>
          <w:sz w:val="22"/>
        </w:rPr>
        <w:t xml:space="preserve">3.5 </w:t>
      </w:r>
      <w:r w:rsidRPr="007B52FE">
        <w:rPr>
          <w:rFonts w:ascii="Arial" w:hAnsi="Arial" w:cs="Arial"/>
          <w:b/>
          <w:color w:val="auto"/>
          <w:sz w:val="22"/>
        </w:rPr>
        <w:t>Discussion</w:t>
      </w:r>
    </w:p>
    <w:p w14:paraId="29160287" w14:textId="77777777" w:rsidR="007B52FE" w:rsidRPr="00CF7563" w:rsidRDefault="007B52FE" w:rsidP="007B52FE">
      <w:pPr>
        <w:pStyle w:val="NormalWeb"/>
        <w:jc w:val="both"/>
        <w:rPr>
          <w:rFonts w:ascii="Arial" w:hAnsi="Arial" w:cs="Arial"/>
          <w:sz w:val="20"/>
          <w:szCs w:val="22"/>
        </w:rPr>
      </w:pPr>
      <w:r w:rsidRPr="00CF7563">
        <w:rPr>
          <w:rFonts w:ascii="Arial" w:hAnsi="Arial" w:cs="Arial"/>
          <w:sz w:val="20"/>
          <w:szCs w:val="22"/>
        </w:rPr>
        <w:t xml:space="preserve">This study revealed a substantial prevalence (69%) of microbial contamination among courier biker carriers, with </w:t>
      </w:r>
      <w:r w:rsidRPr="00CF7563">
        <w:rPr>
          <w:rFonts w:ascii="Arial" w:hAnsi="Arial" w:cs="Arial"/>
          <w:i/>
          <w:iCs/>
          <w:sz w:val="20"/>
          <w:szCs w:val="22"/>
        </w:rPr>
        <w:t>Escherichia coli</w:t>
      </w:r>
      <w:r w:rsidRPr="00CF7563">
        <w:rPr>
          <w:rFonts w:ascii="Arial" w:hAnsi="Arial" w:cs="Arial"/>
          <w:sz w:val="20"/>
          <w:szCs w:val="22"/>
        </w:rPr>
        <w:t xml:space="preserve"> (30%), coagulase-negative </w:t>
      </w:r>
      <w:r w:rsidRPr="00CF7563">
        <w:rPr>
          <w:rFonts w:ascii="Arial" w:hAnsi="Arial" w:cs="Arial"/>
          <w:i/>
          <w:iCs/>
          <w:sz w:val="20"/>
          <w:szCs w:val="22"/>
        </w:rPr>
        <w:t>Staphylococcus</w:t>
      </w:r>
      <w:r w:rsidRPr="00CF7563">
        <w:rPr>
          <w:rFonts w:ascii="Arial" w:hAnsi="Arial" w:cs="Arial"/>
          <w:sz w:val="20"/>
          <w:szCs w:val="22"/>
        </w:rPr>
        <w:t xml:space="preserve"> (24%), and </w:t>
      </w:r>
      <w:r w:rsidRPr="00CF7563">
        <w:rPr>
          <w:rFonts w:ascii="Arial" w:hAnsi="Arial" w:cs="Arial"/>
          <w:i/>
          <w:iCs/>
          <w:sz w:val="20"/>
          <w:szCs w:val="22"/>
        </w:rPr>
        <w:t>Staphylococcus aureus</w:t>
      </w:r>
      <w:r w:rsidRPr="00CF7563">
        <w:rPr>
          <w:rFonts w:ascii="Arial" w:hAnsi="Arial" w:cs="Arial"/>
          <w:sz w:val="20"/>
          <w:szCs w:val="22"/>
        </w:rPr>
        <w:t xml:space="preserve"> (18%) most frequently isolated. Notably, 26% of carriers harbored more than one organism, underscoring the compounded risk of cross-contamination during food transport.</w:t>
      </w:r>
    </w:p>
    <w:p w14:paraId="4C6BBE49" w14:textId="77777777" w:rsidR="007B52FE" w:rsidRPr="006E2FDC" w:rsidRDefault="007B52FE" w:rsidP="007B52FE">
      <w:pPr>
        <w:pStyle w:val="NormalWeb"/>
        <w:jc w:val="both"/>
        <w:rPr>
          <w:rFonts w:ascii="Arial" w:hAnsi="Arial" w:cs="Arial"/>
          <w:sz w:val="20"/>
          <w:szCs w:val="22"/>
        </w:rPr>
      </w:pPr>
      <w:r w:rsidRPr="00CF7563">
        <w:rPr>
          <w:rFonts w:ascii="Arial" w:hAnsi="Arial" w:cs="Arial"/>
          <w:sz w:val="20"/>
          <w:szCs w:val="22"/>
        </w:rPr>
        <w:t xml:space="preserve">The presence of Gram-negative bacilli such as </w:t>
      </w:r>
      <w:r w:rsidRPr="00CF7563">
        <w:rPr>
          <w:rFonts w:ascii="Arial" w:hAnsi="Arial" w:cs="Arial"/>
          <w:i/>
          <w:iCs/>
          <w:sz w:val="20"/>
          <w:szCs w:val="22"/>
        </w:rPr>
        <w:t>E. coli</w:t>
      </w:r>
      <w:r w:rsidRPr="00CF7563">
        <w:rPr>
          <w:rFonts w:ascii="Arial" w:hAnsi="Arial" w:cs="Arial"/>
          <w:sz w:val="20"/>
          <w:szCs w:val="22"/>
        </w:rPr>
        <w:t xml:space="preserve"> and </w:t>
      </w:r>
      <w:r w:rsidRPr="00CF7563">
        <w:rPr>
          <w:rFonts w:ascii="Arial" w:hAnsi="Arial" w:cs="Arial"/>
          <w:i/>
          <w:iCs/>
          <w:sz w:val="20"/>
          <w:szCs w:val="22"/>
        </w:rPr>
        <w:t>Klebsiella pneumoniae</w:t>
      </w:r>
      <w:r w:rsidRPr="00CF7563">
        <w:rPr>
          <w:rFonts w:ascii="Arial" w:hAnsi="Arial" w:cs="Arial"/>
          <w:sz w:val="20"/>
          <w:szCs w:val="22"/>
        </w:rPr>
        <w:t xml:space="preserve"> aligns with </w:t>
      </w:r>
      <w:r w:rsidRPr="006E2FDC">
        <w:rPr>
          <w:rFonts w:ascii="Arial" w:hAnsi="Arial" w:cs="Arial"/>
          <w:sz w:val="20"/>
          <w:szCs w:val="22"/>
        </w:rPr>
        <w:t xml:space="preserve">findings from hospital and food chain studies, where these organisms were frequently isolated from equipment and surfaces </w:t>
      </w:r>
      <w:r w:rsidR="006E2FDC" w:rsidRPr="006E2FDC">
        <w:rPr>
          <w:rFonts w:ascii="Arial" w:hAnsi="Arial" w:cs="Arial"/>
          <w:sz w:val="20"/>
          <w:szCs w:val="20"/>
        </w:rPr>
        <w:t>(</w:t>
      </w:r>
      <w:proofErr w:type="spellStart"/>
      <w:r w:rsidR="006E2FDC" w:rsidRPr="006E2FDC">
        <w:rPr>
          <w:rFonts w:ascii="Arial" w:hAnsi="Arial" w:cs="Arial"/>
          <w:sz w:val="20"/>
          <w:szCs w:val="20"/>
        </w:rPr>
        <w:t>Ayatollahi</w:t>
      </w:r>
      <w:proofErr w:type="spellEnd"/>
      <w:r w:rsidR="006E2FDC" w:rsidRPr="006E2FDC">
        <w:rPr>
          <w:rFonts w:ascii="Arial" w:hAnsi="Arial" w:cs="Arial"/>
          <w:sz w:val="20"/>
          <w:szCs w:val="20"/>
        </w:rPr>
        <w:t xml:space="preserve"> et al., 2017; </w:t>
      </w:r>
      <w:proofErr w:type="spellStart"/>
      <w:r w:rsidR="006E2FDC" w:rsidRPr="006E2FDC">
        <w:rPr>
          <w:rFonts w:ascii="Arial" w:hAnsi="Arial" w:cs="Arial"/>
          <w:sz w:val="20"/>
          <w:szCs w:val="20"/>
        </w:rPr>
        <w:t>Riwu</w:t>
      </w:r>
      <w:proofErr w:type="spellEnd"/>
      <w:r w:rsidR="006E2FDC" w:rsidRPr="006E2FDC">
        <w:rPr>
          <w:rFonts w:ascii="Arial" w:hAnsi="Arial" w:cs="Arial"/>
          <w:sz w:val="20"/>
          <w:szCs w:val="20"/>
        </w:rPr>
        <w:t xml:space="preserve"> et al., 2022; Cortés-Sánchez et al., 2025). </w:t>
      </w:r>
      <w:r w:rsidRPr="006E2FDC">
        <w:rPr>
          <w:rFonts w:ascii="Arial" w:hAnsi="Arial" w:cs="Arial"/>
          <w:i/>
          <w:iCs/>
          <w:sz w:val="20"/>
          <w:szCs w:val="22"/>
        </w:rPr>
        <w:t>Klebsiella pneumoniae</w:t>
      </w:r>
      <w:r w:rsidRPr="006E2FDC">
        <w:rPr>
          <w:rFonts w:ascii="Arial" w:hAnsi="Arial" w:cs="Arial"/>
          <w:sz w:val="20"/>
          <w:szCs w:val="22"/>
        </w:rPr>
        <w:t xml:space="preserve">, in particular, has been increasingly recognized as an emerging foodborne hazard, often carrying antibiotic resistance traits </w:t>
      </w:r>
      <w:r w:rsidR="006E2FDC" w:rsidRPr="006E2FDC">
        <w:rPr>
          <w:rFonts w:ascii="Arial" w:hAnsi="Arial" w:cs="Arial"/>
          <w:sz w:val="20"/>
          <w:szCs w:val="20"/>
        </w:rPr>
        <w:t xml:space="preserve">(Khan et al., 2024; Cortés-Sánchez et al., 2025). </w:t>
      </w:r>
      <w:r w:rsidRPr="006E2FDC">
        <w:rPr>
          <w:rFonts w:ascii="Arial" w:hAnsi="Arial" w:cs="Arial"/>
          <w:sz w:val="20"/>
          <w:szCs w:val="22"/>
        </w:rPr>
        <w:t>These findings highlight the concern that courier-mediated food distribution may contribute to the spread of resistant pathogens.</w:t>
      </w:r>
    </w:p>
    <w:p w14:paraId="5C6FD26B" w14:textId="77777777" w:rsidR="007B52FE" w:rsidRPr="006E2FDC" w:rsidRDefault="007B52FE" w:rsidP="007B52FE">
      <w:pPr>
        <w:pStyle w:val="NormalWeb"/>
        <w:jc w:val="both"/>
        <w:rPr>
          <w:rFonts w:ascii="Arial" w:hAnsi="Arial" w:cs="Arial"/>
          <w:sz w:val="20"/>
          <w:szCs w:val="22"/>
        </w:rPr>
      </w:pPr>
      <w:r w:rsidRPr="006E2FDC">
        <w:rPr>
          <w:rFonts w:ascii="Arial" w:hAnsi="Arial" w:cs="Arial"/>
          <w:sz w:val="20"/>
          <w:szCs w:val="22"/>
        </w:rPr>
        <w:t xml:space="preserve">Gram-positive bacilli, including </w:t>
      </w:r>
      <w:r w:rsidRPr="006E2FDC">
        <w:rPr>
          <w:rFonts w:ascii="Arial" w:hAnsi="Arial" w:cs="Arial"/>
          <w:i/>
          <w:iCs/>
          <w:sz w:val="20"/>
          <w:szCs w:val="22"/>
        </w:rPr>
        <w:t>Bacillus cereus</w:t>
      </w:r>
      <w:r w:rsidRPr="006E2FDC">
        <w:rPr>
          <w:rFonts w:ascii="Arial" w:hAnsi="Arial" w:cs="Arial"/>
          <w:sz w:val="20"/>
          <w:szCs w:val="22"/>
        </w:rPr>
        <w:t>, are well-documented causes of food poisoning, particularly in ready-to-eat meals</w:t>
      </w:r>
      <w:r w:rsidR="006E2FDC" w:rsidRPr="006E2FDC">
        <w:rPr>
          <w:rFonts w:ascii="Arial" w:hAnsi="Arial" w:cs="Arial"/>
          <w:sz w:val="20"/>
          <w:szCs w:val="22"/>
        </w:rPr>
        <w:t xml:space="preserve"> </w:t>
      </w:r>
      <w:r w:rsidR="006E2FDC" w:rsidRPr="006E2FDC">
        <w:rPr>
          <w:rFonts w:ascii="Arial" w:hAnsi="Arial" w:cs="Arial"/>
          <w:sz w:val="20"/>
          <w:szCs w:val="20"/>
        </w:rPr>
        <w:t xml:space="preserve">(Rajkovic et al., 2020; </w:t>
      </w:r>
      <w:proofErr w:type="spellStart"/>
      <w:r w:rsidR="006E2FDC" w:rsidRPr="006E2FDC">
        <w:rPr>
          <w:rFonts w:ascii="Arial" w:hAnsi="Arial" w:cs="Arial"/>
          <w:sz w:val="20"/>
          <w:szCs w:val="20"/>
        </w:rPr>
        <w:t>Komprda</w:t>
      </w:r>
      <w:proofErr w:type="spellEnd"/>
      <w:r w:rsidR="006E2FDC" w:rsidRPr="006E2FDC">
        <w:rPr>
          <w:rFonts w:ascii="Arial" w:hAnsi="Arial" w:cs="Arial"/>
          <w:sz w:val="20"/>
          <w:szCs w:val="20"/>
        </w:rPr>
        <w:t xml:space="preserve"> et al., 2025). </w:t>
      </w:r>
      <w:r w:rsidRPr="006E2FDC">
        <w:rPr>
          <w:rFonts w:ascii="Arial" w:hAnsi="Arial" w:cs="Arial"/>
          <w:sz w:val="20"/>
          <w:szCs w:val="22"/>
        </w:rPr>
        <w:t xml:space="preserve">Their presence in carriers that were rarely cleaned suggests that inadequate hygiene practices facilitate spore persistence and toxin production, increasing outbreak risk. Similarly, coagulase-negative </w:t>
      </w:r>
      <w:r w:rsidRPr="006E2FDC">
        <w:rPr>
          <w:rFonts w:ascii="Arial" w:hAnsi="Arial" w:cs="Arial"/>
          <w:i/>
          <w:iCs/>
          <w:sz w:val="20"/>
          <w:szCs w:val="22"/>
        </w:rPr>
        <w:t>staphylococci</w:t>
      </w:r>
      <w:r w:rsidRPr="006E2FDC">
        <w:rPr>
          <w:rFonts w:ascii="Arial" w:hAnsi="Arial" w:cs="Arial"/>
          <w:sz w:val="20"/>
          <w:szCs w:val="22"/>
        </w:rPr>
        <w:t xml:space="preserve"> (</w:t>
      </w:r>
      <w:proofErr w:type="spellStart"/>
      <w:r w:rsidRPr="006E2FDC">
        <w:rPr>
          <w:rFonts w:ascii="Arial" w:hAnsi="Arial" w:cs="Arial"/>
          <w:sz w:val="20"/>
          <w:szCs w:val="22"/>
        </w:rPr>
        <w:t>CoNS</w:t>
      </w:r>
      <w:proofErr w:type="spellEnd"/>
      <w:r w:rsidRPr="006E2FDC">
        <w:rPr>
          <w:rFonts w:ascii="Arial" w:hAnsi="Arial" w:cs="Arial"/>
          <w:sz w:val="20"/>
          <w:szCs w:val="22"/>
        </w:rPr>
        <w:t xml:space="preserve">), though less pathogenic than </w:t>
      </w:r>
      <w:r w:rsidRPr="006E2FDC">
        <w:rPr>
          <w:rFonts w:ascii="Arial" w:hAnsi="Arial" w:cs="Arial"/>
          <w:i/>
          <w:iCs/>
          <w:sz w:val="20"/>
          <w:szCs w:val="22"/>
        </w:rPr>
        <w:t>S. aureus</w:t>
      </w:r>
      <w:r w:rsidRPr="006E2FDC">
        <w:rPr>
          <w:rFonts w:ascii="Arial" w:hAnsi="Arial" w:cs="Arial"/>
          <w:sz w:val="20"/>
          <w:szCs w:val="22"/>
        </w:rPr>
        <w:t xml:space="preserve">, possess enterotoxigenic potential and were significantly associated with carriers cleaned infrequently </w:t>
      </w:r>
      <w:r w:rsidR="006E2FDC" w:rsidRPr="006E2FDC">
        <w:rPr>
          <w:rFonts w:ascii="Arial" w:hAnsi="Arial" w:cs="Arial"/>
          <w:sz w:val="20"/>
          <w:szCs w:val="20"/>
        </w:rPr>
        <w:t>(</w:t>
      </w:r>
      <w:proofErr w:type="spellStart"/>
      <w:r w:rsidR="006E2FDC" w:rsidRPr="006E2FDC">
        <w:rPr>
          <w:rFonts w:ascii="Arial" w:hAnsi="Arial" w:cs="Arial"/>
          <w:sz w:val="20"/>
          <w:szCs w:val="20"/>
        </w:rPr>
        <w:t>Podkowik</w:t>
      </w:r>
      <w:proofErr w:type="spellEnd"/>
      <w:r w:rsidR="006E2FDC" w:rsidRPr="006E2FDC">
        <w:rPr>
          <w:rFonts w:ascii="Arial" w:hAnsi="Arial" w:cs="Arial"/>
          <w:sz w:val="20"/>
          <w:szCs w:val="20"/>
        </w:rPr>
        <w:t xml:space="preserve"> et al., 2013; Barbosa et al., 2019).</w:t>
      </w:r>
    </w:p>
    <w:p w14:paraId="48E83793" w14:textId="77777777" w:rsidR="007B52FE" w:rsidRPr="006E2FDC" w:rsidRDefault="007B52FE" w:rsidP="007B52FE">
      <w:pPr>
        <w:pStyle w:val="NormalWeb"/>
        <w:jc w:val="both"/>
        <w:rPr>
          <w:rFonts w:ascii="Arial" w:hAnsi="Arial" w:cs="Arial"/>
          <w:sz w:val="20"/>
          <w:szCs w:val="22"/>
        </w:rPr>
      </w:pPr>
      <w:r w:rsidRPr="006E2FDC">
        <w:rPr>
          <w:rFonts w:ascii="Arial" w:hAnsi="Arial" w:cs="Arial"/>
          <w:sz w:val="20"/>
          <w:szCs w:val="22"/>
        </w:rPr>
        <w:t>Importantly, visible carrier cleanliness was not a reliable predictor of microbial safety. Pathogens were more common in carriers classified as “dirty,” but statistical analysis showed that cleaning frequency was the strongest determinant of contamination risk, with odds ratios as high as 94.7 for carriers cleaned infrequently. This emphasizes that operational hygiene practices, rather than superficial appearance, are critical for food safety.</w:t>
      </w:r>
    </w:p>
    <w:p w14:paraId="0FA8E10A" w14:textId="77777777" w:rsidR="006E2FDC" w:rsidRPr="006E2FDC" w:rsidRDefault="007B52FE" w:rsidP="006E2FDC">
      <w:pPr>
        <w:pStyle w:val="NormalWeb"/>
        <w:jc w:val="both"/>
        <w:rPr>
          <w:rFonts w:ascii="Arial" w:hAnsi="Arial" w:cs="Arial"/>
          <w:sz w:val="20"/>
          <w:szCs w:val="20"/>
        </w:rPr>
      </w:pPr>
      <w:r w:rsidRPr="006E2FDC">
        <w:rPr>
          <w:rFonts w:ascii="Arial" w:hAnsi="Arial" w:cs="Arial"/>
          <w:sz w:val="20"/>
          <w:szCs w:val="22"/>
        </w:rPr>
        <w:t xml:space="preserve">Carrier type also influenced contamination risk, with certain designs associated with lower odds of contamination. This supports evidence that material and structural properties affect microbial persistence and cleaning behavior </w:t>
      </w:r>
      <w:r w:rsidR="006E2FDC" w:rsidRPr="006E2FDC">
        <w:rPr>
          <w:rFonts w:ascii="Arial" w:hAnsi="Arial" w:cs="Arial"/>
          <w:sz w:val="20"/>
          <w:szCs w:val="20"/>
        </w:rPr>
        <w:t>(</w:t>
      </w:r>
      <w:proofErr w:type="spellStart"/>
      <w:r w:rsidR="006E2FDC" w:rsidRPr="006E2FDC">
        <w:rPr>
          <w:rFonts w:ascii="Arial" w:hAnsi="Arial" w:cs="Arial"/>
          <w:sz w:val="20"/>
          <w:szCs w:val="20"/>
        </w:rPr>
        <w:t>Korakot</w:t>
      </w:r>
      <w:proofErr w:type="spellEnd"/>
      <w:r w:rsidR="006E2FDC" w:rsidRPr="006E2FDC">
        <w:rPr>
          <w:rFonts w:ascii="Arial" w:hAnsi="Arial" w:cs="Arial"/>
          <w:sz w:val="20"/>
          <w:szCs w:val="20"/>
        </w:rPr>
        <w:t xml:space="preserve"> et al., 2022; </w:t>
      </w:r>
      <w:proofErr w:type="spellStart"/>
      <w:r w:rsidR="006E2FDC" w:rsidRPr="006E2FDC">
        <w:rPr>
          <w:rFonts w:ascii="Arial" w:hAnsi="Arial" w:cs="Arial"/>
          <w:sz w:val="20"/>
          <w:szCs w:val="20"/>
        </w:rPr>
        <w:t>Wasserlauf</w:t>
      </w:r>
      <w:proofErr w:type="spellEnd"/>
      <w:r w:rsidR="006E2FDC" w:rsidRPr="006E2FDC">
        <w:rPr>
          <w:rFonts w:ascii="Arial" w:hAnsi="Arial" w:cs="Arial"/>
          <w:sz w:val="20"/>
          <w:szCs w:val="20"/>
        </w:rPr>
        <w:t>-Pepper et al., 2025).</w:t>
      </w:r>
    </w:p>
    <w:p w14:paraId="5CCDFFEB" w14:textId="77777777" w:rsidR="00863BD3" w:rsidRPr="006E2FDC" w:rsidRDefault="007B52FE" w:rsidP="006E2FDC">
      <w:pPr>
        <w:pStyle w:val="NoSpacing"/>
        <w:jc w:val="both"/>
        <w:rPr>
          <w:rFonts w:ascii="Arial" w:hAnsi="Arial" w:cs="Arial"/>
          <w:b/>
        </w:rPr>
      </w:pPr>
      <w:r w:rsidRPr="006E2FDC">
        <w:rPr>
          <w:rFonts w:ascii="Arial" w:hAnsi="Arial" w:cs="Arial"/>
          <w:sz w:val="20"/>
        </w:rPr>
        <w:t xml:space="preserve">Sociodemographic factors such as years in service and certification status did not significantly predict contamination, although certified food handlers were more likely to maintain carriers </w:t>
      </w:r>
      <w:r w:rsidRPr="006E2FDC">
        <w:rPr>
          <w:rFonts w:ascii="Arial" w:hAnsi="Arial" w:cs="Arial"/>
          <w:sz w:val="20"/>
        </w:rPr>
        <w:lastRenderedPageBreak/>
        <w:t xml:space="preserve">with a clean appearance. This parallels findings in Zimbabwe and Zambia, where outbreaks were linked more to systemic hygiene practices than to individual training </w:t>
      </w:r>
      <w:r w:rsidR="006E2FDC" w:rsidRPr="006E2FDC">
        <w:rPr>
          <w:rFonts w:ascii="Arial" w:hAnsi="Arial" w:cs="Arial"/>
          <w:sz w:val="20"/>
          <w:szCs w:val="20"/>
        </w:rPr>
        <w:t>(</w:t>
      </w:r>
      <w:proofErr w:type="spellStart"/>
      <w:r w:rsidR="006E2FDC" w:rsidRPr="006E2FDC">
        <w:rPr>
          <w:rFonts w:ascii="Arial" w:hAnsi="Arial" w:cs="Arial"/>
          <w:sz w:val="20"/>
          <w:szCs w:val="20"/>
        </w:rPr>
        <w:t>Gabida</w:t>
      </w:r>
      <w:proofErr w:type="spellEnd"/>
      <w:r w:rsidR="006E2FDC" w:rsidRPr="006E2FDC">
        <w:rPr>
          <w:rFonts w:ascii="Arial" w:hAnsi="Arial" w:cs="Arial"/>
          <w:sz w:val="20"/>
          <w:szCs w:val="20"/>
        </w:rPr>
        <w:t xml:space="preserve"> et al., 2015; Phiri et al., 2021). </w:t>
      </w:r>
      <w:r w:rsidRPr="006E2FDC">
        <w:rPr>
          <w:rFonts w:ascii="Arial" w:hAnsi="Arial" w:cs="Arial"/>
          <w:sz w:val="20"/>
        </w:rPr>
        <w:t xml:space="preserve">Consumer concerns about hygiene in motorcycle food delivery services further reinforce the need for stronger sanitation protocols </w:t>
      </w:r>
      <w:r w:rsidR="006E2FDC" w:rsidRPr="006E2FDC">
        <w:rPr>
          <w:rFonts w:ascii="Arial" w:hAnsi="Arial" w:cs="Arial"/>
          <w:sz w:val="20"/>
          <w:szCs w:val="20"/>
        </w:rPr>
        <w:t>(</w:t>
      </w:r>
      <w:proofErr w:type="spellStart"/>
      <w:r w:rsidR="006E2FDC" w:rsidRPr="006E2FDC">
        <w:rPr>
          <w:rFonts w:ascii="Arial" w:hAnsi="Arial" w:cs="Arial"/>
          <w:sz w:val="20"/>
          <w:szCs w:val="20"/>
        </w:rPr>
        <w:t>Spio-Kwofie</w:t>
      </w:r>
      <w:proofErr w:type="spellEnd"/>
      <w:r w:rsidR="006E2FDC" w:rsidRPr="006E2FDC">
        <w:rPr>
          <w:rFonts w:ascii="Arial" w:hAnsi="Arial" w:cs="Arial"/>
          <w:sz w:val="20"/>
          <w:szCs w:val="20"/>
        </w:rPr>
        <w:t xml:space="preserve"> &amp; </w:t>
      </w:r>
      <w:proofErr w:type="spellStart"/>
      <w:r w:rsidR="006E2FDC" w:rsidRPr="006E2FDC">
        <w:rPr>
          <w:rFonts w:ascii="Arial" w:hAnsi="Arial" w:cs="Arial"/>
          <w:sz w:val="20"/>
          <w:szCs w:val="20"/>
        </w:rPr>
        <w:t>Adu</w:t>
      </w:r>
      <w:proofErr w:type="spellEnd"/>
      <w:r w:rsidR="006E2FDC" w:rsidRPr="006E2FDC">
        <w:rPr>
          <w:rFonts w:ascii="Arial" w:hAnsi="Arial" w:cs="Arial"/>
          <w:sz w:val="20"/>
          <w:szCs w:val="20"/>
        </w:rPr>
        <w:t>, 2025).</w:t>
      </w:r>
      <w:r w:rsidR="006E2FDC" w:rsidRPr="006E2FDC">
        <w:rPr>
          <w:rFonts w:ascii="Arial" w:hAnsi="Arial" w:cs="Arial"/>
          <w:b/>
          <w:sz w:val="20"/>
          <w:szCs w:val="20"/>
        </w:rPr>
        <w:t xml:space="preserve"> </w:t>
      </w:r>
    </w:p>
    <w:p w14:paraId="65DFB88E" w14:textId="77777777" w:rsidR="00790ADA" w:rsidRPr="00FB3A86" w:rsidRDefault="00790ADA" w:rsidP="00441B6F">
      <w:pPr>
        <w:pStyle w:val="Body"/>
        <w:spacing w:after="0"/>
        <w:rPr>
          <w:rFonts w:ascii="Arial" w:hAnsi="Arial" w:cs="Arial"/>
        </w:rPr>
      </w:pPr>
    </w:p>
    <w:p w14:paraId="52B805C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8C2E6ED" w14:textId="77777777" w:rsidR="00790ADA" w:rsidRPr="00FB3A86" w:rsidRDefault="00790ADA" w:rsidP="00441B6F">
      <w:pPr>
        <w:pStyle w:val="ConcHead"/>
        <w:spacing w:after="0"/>
        <w:jc w:val="both"/>
        <w:rPr>
          <w:rFonts w:ascii="Arial" w:hAnsi="Arial" w:cs="Arial"/>
        </w:rPr>
      </w:pPr>
    </w:p>
    <w:p w14:paraId="68221C6A" w14:textId="77777777" w:rsidR="007B52FE" w:rsidRDefault="007B52FE" w:rsidP="007B52FE">
      <w:pPr>
        <w:jc w:val="both"/>
      </w:pPr>
      <w:r w:rsidRPr="007B52FE">
        <w:rPr>
          <w:rFonts w:ascii="Arial" w:hAnsi="Arial" w:cs="Arial"/>
        </w:rPr>
        <w:t>This study demonstrates that courier-mediated food delivery systems can act as significant vectors for foodborne pathogens, with contamination strongly influenced by cleaning frequency and carrier design. The identification of pathogens with established food poisoning potential highlights a critical gap in food safety oversight within this rapidly expanding sector. By providing the first empirical evidence from Lusaka, the findings underscore the novelty and urgency of addressing hygiene risks in courier-based food transport. Strengthening sanitation protocols, improving carrier design, and raising consumer awareness are essential steps to mitigate microbial hazards and curb the spread of antimicrobial resistance. These insights contribute to advancing food safety policy and practice, offering a timely scientific contribution with direct relevance to public health protection</w:t>
      </w:r>
      <w:r>
        <w:t>.</w:t>
      </w:r>
    </w:p>
    <w:p w14:paraId="7FA8F455" w14:textId="77777777" w:rsidR="007B52FE" w:rsidRDefault="007B52FE" w:rsidP="007B52FE">
      <w:pPr>
        <w:jc w:val="both"/>
      </w:pPr>
    </w:p>
    <w:p w14:paraId="0FB25B51" w14:textId="77777777" w:rsidR="007B52FE" w:rsidRPr="007B52FE" w:rsidRDefault="007B52FE" w:rsidP="007B52FE">
      <w:pPr>
        <w:pStyle w:val="Heading2"/>
        <w:rPr>
          <w:rFonts w:ascii="Arial" w:hAnsi="Arial" w:cs="Arial"/>
          <w:b/>
          <w:color w:val="auto"/>
          <w:sz w:val="22"/>
        </w:rPr>
      </w:pPr>
      <w:r w:rsidRPr="007B52FE">
        <w:rPr>
          <w:rFonts w:ascii="Arial" w:hAnsi="Arial" w:cs="Arial"/>
          <w:b/>
          <w:color w:val="auto"/>
          <w:sz w:val="22"/>
        </w:rPr>
        <w:t>Limitations</w:t>
      </w:r>
    </w:p>
    <w:p w14:paraId="4865DE69" w14:textId="77777777" w:rsidR="00790ADA" w:rsidRPr="00FB3A86" w:rsidRDefault="007B52FE" w:rsidP="007B52FE">
      <w:pPr>
        <w:pStyle w:val="NormalWeb"/>
        <w:jc w:val="both"/>
        <w:rPr>
          <w:rFonts w:ascii="Arial" w:hAnsi="Arial" w:cs="Arial"/>
        </w:rPr>
      </w:pPr>
      <w:r w:rsidRPr="007B52FE">
        <w:rPr>
          <w:rFonts w:ascii="Arial" w:hAnsi="Arial" w:cs="Arial"/>
          <w:sz w:val="20"/>
          <w:szCs w:val="22"/>
        </w:rPr>
        <w:t xml:space="preserve">While this study provides valuable insights, several limitations should be acknowledged. First, the sample size was limited to 93 courier bikers, which may restrict generalizability across broader delivery networks. Second, the study focused on bacterial contamination, leaving fungal and viral pathogens unexplored, despite evidence of fungal contamination in transport systems </w:t>
      </w:r>
      <w:r w:rsidR="006E2FDC" w:rsidRPr="006E2FDC">
        <w:rPr>
          <w:rFonts w:ascii="Arial" w:hAnsi="Arial" w:cs="Arial"/>
          <w:sz w:val="20"/>
          <w:szCs w:val="20"/>
        </w:rPr>
        <w:t>(Aliyu et al., 2024).</w:t>
      </w:r>
      <w:r w:rsidR="006E2FDC" w:rsidRPr="00013BE7">
        <w:rPr>
          <w:rFonts w:ascii="Arial" w:hAnsi="Arial" w:cs="Arial"/>
          <w:sz w:val="20"/>
          <w:szCs w:val="20"/>
        </w:rPr>
        <w:t xml:space="preserve"> </w:t>
      </w:r>
      <w:r w:rsidRPr="007B52FE">
        <w:rPr>
          <w:rFonts w:ascii="Arial" w:hAnsi="Arial" w:cs="Arial"/>
          <w:sz w:val="20"/>
          <w:szCs w:val="22"/>
        </w:rPr>
        <w:t xml:space="preserve">Third, the cross-sectional design precludes causal inference, and longitudinal studies would be needed to assess contamination dynamics over time. Environmental factors such as temperature fluctuations during delivery, which have been shown to influence microbial survival </w:t>
      </w:r>
      <w:r w:rsidR="006E2FDC" w:rsidRPr="006E2FDC">
        <w:rPr>
          <w:rFonts w:ascii="Arial" w:hAnsi="Arial" w:cs="Arial"/>
          <w:sz w:val="20"/>
          <w:szCs w:val="20"/>
        </w:rPr>
        <w:t>(</w:t>
      </w:r>
      <w:proofErr w:type="spellStart"/>
      <w:r w:rsidR="006E2FDC" w:rsidRPr="006E2FDC">
        <w:rPr>
          <w:rFonts w:ascii="Arial" w:hAnsi="Arial" w:cs="Arial"/>
          <w:sz w:val="20"/>
          <w:szCs w:val="20"/>
        </w:rPr>
        <w:t>Wasserlauf</w:t>
      </w:r>
      <w:proofErr w:type="spellEnd"/>
      <w:r w:rsidR="006E2FDC" w:rsidRPr="006E2FDC">
        <w:rPr>
          <w:rFonts w:ascii="Arial" w:hAnsi="Arial" w:cs="Arial"/>
          <w:sz w:val="20"/>
          <w:szCs w:val="20"/>
        </w:rPr>
        <w:t>-Pepper et al., 2025),</w:t>
      </w:r>
      <w:r w:rsidR="006E2FDC" w:rsidRPr="00013BE7">
        <w:rPr>
          <w:rFonts w:ascii="Arial" w:hAnsi="Arial" w:cs="Arial"/>
          <w:color w:val="FF0000"/>
          <w:sz w:val="20"/>
          <w:szCs w:val="20"/>
        </w:rPr>
        <w:t xml:space="preserve"> </w:t>
      </w:r>
      <w:r w:rsidRPr="007B52FE">
        <w:rPr>
          <w:rFonts w:ascii="Arial" w:hAnsi="Arial" w:cs="Arial"/>
          <w:sz w:val="20"/>
          <w:szCs w:val="22"/>
        </w:rPr>
        <w:t>were not directly measured. Finally, this study did not involve females due to none availability of females in the business. However, futures studies should endeavor to balance gender to identify any differences across gender</w:t>
      </w:r>
      <w:r>
        <w:rPr>
          <w:rFonts w:ascii="Arial" w:hAnsi="Arial" w:cs="Arial"/>
          <w:sz w:val="20"/>
          <w:szCs w:val="22"/>
        </w:rPr>
        <w:t>.</w:t>
      </w:r>
    </w:p>
    <w:p w14:paraId="5A974D37" w14:textId="77777777" w:rsidR="00315186" w:rsidRPr="00315186" w:rsidRDefault="00315186" w:rsidP="00441B6F">
      <w:bookmarkStart w:id="0" w:name="_GoBack"/>
      <w:bookmarkEnd w:id="0"/>
    </w:p>
    <w:p w14:paraId="797A1C81" w14:textId="77777777" w:rsidR="00315186" w:rsidRPr="00315186" w:rsidRDefault="00315186" w:rsidP="00441B6F"/>
    <w:p w14:paraId="5CA485C9" w14:textId="77777777" w:rsidR="00315186" w:rsidRPr="00315186" w:rsidRDefault="00315186" w:rsidP="00441B6F"/>
    <w:p w14:paraId="2EAD52DA" w14:textId="77777777" w:rsidR="00315186" w:rsidRPr="00315186" w:rsidRDefault="00315186" w:rsidP="00441B6F"/>
    <w:p w14:paraId="4A503F1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390997E" w14:textId="77777777" w:rsidR="00860000" w:rsidRPr="00786D36" w:rsidRDefault="00860000" w:rsidP="00441B6F">
      <w:pPr>
        <w:pStyle w:val="ReferHead"/>
        <w:spacing w:after="0"/>
        <w:jc w:val="both"/>
        <w:rPr>
          <w:rFonts w:ascii="Arial" w:hAnsi="Arial" w:cs="Arial"/>
        </w:rPr>
      </w:pPr>
    </w:p>
    <w:p w14:paraId="5D5D253A" w14:textId="77777777" w:rsidR="002941D9" w:rsidRPr="002941D9" w:rsidRDefault="002941D9" w:rsidP="002941D9">
      <w:pPr>
        <w:rPr>
          <w:rFonts w:ascii="Arial" w:hAnsi="Arial" w:cs="Arial"/>
        </w:rPr>
      </w:pPr>
      <w:r w:rsidRPr="002941D9">
        <w:rPr>
          <w:rFonts w:ascii="Arial" w:hAnsi="Arial" w:cs="Arial"/>
        </w:rPr>
        <w:t>The authors declare that they have no financial, professional, or personal conflicts of interest that could have influenced the conduct, analysis, or reporting of this study.</w:t>
      </w:r>
    </w:p>
    <w:p w14:paraId="596A1396" w14:textId="77777777" w:rsidR="00371FB6" w:rsidRDefault="00371FB6" w:rsidP="00441B6F">
      <w:pPr>
        <w:pStyle w:val="ReferHead"/>
        <w:spacing w:after="0"/>
        <w:jc w:val="both"/>
        <w:rPr>
          <w:rFonts w:ascii="Arial" w:hAnsi="Arial" w:cs="Arial"/>
          <w:b w:val="0"/>
          <w:caps w:val="0"/>
          <w:sz w:val="20"/>
        </w:rPr>
      </w:pPr>
    </w:p>
    <w:p w14:paraId="3C5F8F86" w14:textId="77777777" w:rsidR="002B685A" w:rsidRDefault="002B685A" w:rsidP="00441B6F">
      <w:pPr>
        <w:pStyle w:val="ReferHead"/>
        <w:spacing w:after="0"/>
        <w:jc w:val="both"/>
        <w:rPr>
          <w:rFonts w:ascii="Arial" w:hAnsi="Arial" w:cs="Arial"/>
          <w:b w:val="0"/>
          <w:caps w:val="0"/>
          <w:sz w:val="20"/>
        </w:rPr>
      </w:pPr>
    </w:p>
    <w:p w14:paraId="3911DE26" w14:textId="7777777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D842E45" w14:textId="77777777" w:rsidR="001A29D8" w:rsidRPr="00F469F0" w:rsidRDefault="001A29D8" w:rsidP="00441B6F">
      <w:pPr>
        <w:pStyle w:val="ReferHead"/>
        <w:spacing w:after="0"/>
        <w:jc w:val="both"/>
        <w:rPr>
          <w:rFonts w:ascii="Arial" w:hAnsi="Arial" w:cs="Arial"/>
          <w:b w:val="0"/>
          <w:caps w:val="0"/>
          <w:sz w:val="20"/>
          <w:u w:val="single"/>
        </w:rPr>
      </w:pPr>
      <w:r w:rsidRPr="002941D9">
        <w:rPr>
          <w:rFonts w:ascii="Arial" w:hAnsi="Arial" w:cs="Arial"/>
          <w:b w:val="0"/>
          <w:caps w:val="0"/>
          <w:sz w:val="20"/>
        </w:rPr>
        <w:t xml:space="preserve">All authors declare that ‘written informed consent was obtained from the patient (or other approved parties) for publication of this case report and accompanying images. A copy of the </w:t>
      </w:r>
      <w:r w:rsidRPr="002941D9">
        <w:rPr>
          <w:rFonts w:ascii="Arial" w:hAnsi="Arial" w:cs="Arial"/>
          <w:b w:val="0"/>
          <w:caps w:val="0"/>
          <w:sz w:val="20"/>
        </w:rPr>
        <w:lastRenderedPageBreak/>
        <w:t>written consent is available for review by the Editorial office/Chief Editor/Editorial Board members of this journal</w:t>
      </w:r>
      <w:r w:rsidRPr="00F469F0">
        <w:rPr>
          <w:rFonts w:ascii="Arial" w:hAnsi="Arial" w:cs="Arial"/>
          <w:b w:val="0"/>
          <w:caps w:val="0"/>
          <w:sz w:val="20"/>
          <w:u w:val="single"/>
        </w:rPr>
        <w:t>.</w:t>
      </w:r>
    </w:p>
    <w:p w14:paraId="52EFFE6F" w14:textId="77777777" w:rsidR="001A29D8" w:rsidRDefault="001A29D8" w:rsidP="00441B6F">
      <w:pPr>
        <w:pStyle w:val="ReferHead"/>
        <w:spacing w:after="0"/>
        <w:jc w:val="both"/>
        <w:rPr>
          <w:rFonts w:ascii="Arial" w:hAnsi="Arial" w:cs="Arial"/>
          <w:b w:val="0"/>
          <w:caps w:val="0"/>
          <w:sz w:val="20"/>
        </w:rPr>
      </w:pPr>
    </w:p>
    <w:p w14:paraId="5C00BB6B" w14:textId="77777777" w:rsidR="005C784C" w:rsidRDefault="005C784C" w:rsidP="00441B6F">
      <w:pPr>
        <w:pStyle w:val="ReferHead"/>
        <w:spacing w:after="0"/>
        <w:jc w:val="both"/>
        <w:rPr>
          <w:rFonts w:ascii="Arial" w:hAnsi="Arial" w:cs="Arial"/>
          <w:b w:val="0"/>
          <w:caps w:val="0"/>
          <w:sz w:val="20"/>
        </w:rPr>
      </w:pPr>
    </w:p>
    <w:p w14:paraId="2322E292"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C5AC7B2" w14:textId="77777777" w:rsidR="005C784C" w:rsidRPr="002B685A" w:rsidRDefault="005C784C" w:rsidP="00441B6F">
      <w:pPr>
        <w:pStyle w:val="ReferHead"/>
        <w:spacing w:after="0"/>
        <w:jc w:val="both"/>
        <w:rPr>
          <w:rFonts w:ascii="Arial" w:hAnsi="Arial" w:cs="Arial"/>
          <w:bCs/>
        </w:rPr>
      </w:pPr>
    </w:p>
    <w:p w14:paraId="11ABA42D" w14:textId="77777777" w:rsidR="0041027F" w:rsidRPr="00F469F0" w:rsidRDefault="001A29D8" w:rsidP="00441B6F">
      <w:pPr>
        <w:pStyle w:val="ReferHead"/>
        <w:spacing w:after="0"/>
        <w:jc w:val="both"/>
        <w:rPr>
          <w:rFonts w:ascii="Arial" w:hAnsi="Arial" w:cs="Arial"/>
          <w:b w:val="0"/>
          <w:caps w:val="0"/>
          <w:sz w:val="20"/>
          <w:u w:val="single"/>
        </w:rPr>
      </w:pPr>
      <w:r w:rsidRPr="002941D9">
        <w:rPr>
          <w:rFonts w:ascii="Arial" w:hAnsi="Arial" w:cs="Arial"/>
          <w:b w:val="0"/>
          <w:caps w:val="0"/>
          <w:sz w:val="20"/>
        </w:rPr>
        <w:t>All authors hereby declare that a</w:t>
      </w:r>
      <w:r w:rsidR="0041027F" w:rsidRPr="002941D9">
        <w:rPr>
          <w:rFonts w:ascii="Arial" w:hAnsi="Arial" w:cs="Arial"/>
          <w:b w:val="0"/>
          <w:caps w:val="0"/>
          <w:sz w:val="20"/>
        </w:rPr>
        <w:t xml:space="preserve">ll </w:t>
      </w:r>
      <w:r w:rsidR="00F469F0" w:rsidRPr="002941D9">
        <w:rPr>
          <w:rFonts w:ascii="Arial" w:hAnsi="Arial" w:cs="Arial"/>
          <w:b w:val="0"/>
          <w:caps w:val="0"/>
          <w:sz w:val="20"/>
        </w:rPr>
        <w:t>experiments</w:t>
      </w:r>
      <w:r w:rsidR="0041027F" w:rsidRPr="002941D9">
        <w:rPr>
          <w:rFonts w:ascii="Arial" w:hAnsi="Arial" w:cs="Arial"/>
          <w:b w:val="0"/>
          <w:caps w:val="0"/>
          <w:sz w:val="20"/>
        </w:rPr>
        <w:t xml:space="preserve"> have been examined</w:t>
      </w:r>
      <w:r w:rsidRPr="002941D9">
        <w:rPr>
          <w:rFonts w:ascii="Arial" w:hAnsi="Arial" w:cs="Arial"/>
          <w:b w:val="0"/>
          <w:caps w:val="0"/>
          <w:sz w:val="20"/>
        </w:rPr>
        <w:t xml:space="preserve"> and approved</w:t>
      </w:r>
      <w:r w:rsidR="0041027F" w:rsidRPr="002941D9">
        <w:rPr>
          <w:rFonts w:ascii="Arial" w:hAnsi="Arial" w:cs="Arial"/>
          <w:b w:val="0"/>
          <w:caps w:val="0"/>
          <w:sz w:val="20"/>
        </w:rPr>
        <w:t xml:space="preserve"> by the appropriate ethics committee and have therefore been performed in accordance with the ethical standards laid down in the 1964 Declaration of Helsinki</w:t>
      </w:r>
      <w:r w:rsidR="0041027F" w:rsidRPr="00F469F0">
        <w:rPr>
          <w:rFonts w:ascii="Arial" w:hAnsi="Arial" w:cs="Arial"/>
          <w:b w:val="0"/>
          <w:caps w:val="0"/>
          <w:sz w:val="20"/>
          <w:u w:val="single"/>
        </w:rPr>
        <w:t>.</w:t>
      </w:r>
    </w:p>
    <w:p w14:paraId="00C601C8" w14:textId="77777777" w:rsidR="00860000" w:rsidRDefault="00860000" w:rsidP="00441B6F">
      <w:pPr>
        <w:pStyle w:val="ReferHead"/>
        <w:spacing w:after="0"/>
        <w:jc w:val="both"/>
        <w:rPr>
          <w:rFonts w:ascii="Arial" w:hAnsi="Arial" w:cs="Arial"/>
        </w:rPr>
      </w:pPr>
    </w:p>
    <w:p w14:paraId="473F084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2E9072" w14:textId="77777777" w:rsidR="00790ADA" w:rsidRPr="00FB3A86" w:rsidRDefault="00790ADA" w:rsidP="00441B6F">
      <w:pPr>
        <w:pStyle w:val="ReferHead"/>
        <w:spacing w:after="0"/>
        <w:jc w:val="both"/>
        <w:rPr>
          <w:rFonts w:ascii="Arial" w:hAnsi="Arial" w:cs="Arial"/>
        </w:rPr>
      </w:pPr>
    </w:p>
    <w:p w14:paraId="0D68513D" w14:textId="77777777" w:rsidR="002941D9" w:rsidRPr="00F4451A" w:rsidRDefault="002941D9" w:rsidP="00F4451A">
      <w:pPr>
        <w:pStyle w:val="ListParagraph"/>
        <w:numPr>
          <w:ilvl w:val="0"/>
          <w:numId w:val="31"/>
        </w:numPr>
        <w:spacing w:after="160" w:line="240" w:lineRule="auto"/>
        <w:rPr>
          <w:rFonts w:cs="Arial"/>
          <w:color w:val="222222"/>
          <w:sz w:val="20"/>
          <w:szCs w:val="20"/>
          <w:shd w:val="clear" w:color="auto" w:fill="FFFFFF"/>
        </w:rPr>
      </w:pPr>
      <w:proofErr w:type="spellStart"/>
      <w:r w:rsidRPr="00F4451A">
        <w:rPr>
          <w:rFonts w:cs="Arial"/>
          <w:color w:val="222222"/>
          <w:sz w:val="20"/>
          <w:szCs w:val="20"/>
          <w:shd w:val="clear" w:color="auto" w:fill="FFFFFF"/>
        </w:rPr>
        <w:t>Devleesschauwer</w:t>
      </w:r>
      <w:proofErr w:type="spellEnd"/>
      <w:r w:rsidRPr="00F4451A">
        <w:rPr>
          <w:rFonts w:cs="Arial"/>
          <w:color w:val="222222"/>
          <w:sz w:val="20"/>
          <w:szCs w:val="20"/>
          <w:shd w:val="clear" w:color="auto" w:fill="FFFFFF"/>
        </w:rPr>
        <w:t xml:space="preserve"> B, </w:t>
      </w:r>
      <w:proofErr w:type="spellStart"/>
      <w:r w:rsidRPr="00F4451A">
        <w:rPr>
          <w:rFonts w:cs="Arial"/>
          <w:color w:val="222222"/>
          <w:sz w:val="20"/>
          <w:szCs w:val="20"/>
          <w:shd w:val="clear" w:color="auto" w:fill="FFFFFF"/>
        </w:rPr>
        <w:t>Haagsma</w:t>
      </w:r>
      <w:proofErr w:type="spellEnd"/>
      <w:r w:rsidRPr="00F4451A">
        <w:rPr>
          <w:rFonts w:cs="Arial"/>
          <w:color w:val="222222"/>
          <w:sz w:val="20"/>
          <w:szCs w:val="20"/>
          <w:shd w:val="clear" w:color="auto" w:fill="FFFFFF"/>
        </w:rPr>
        <w:t xml:space="preserve"> JA, Mangen MJ, Lake RJ, </w:t>
      </w:r>
      <w:proofErr w:type="spellStart"/>
      <w:r w:rsidRPr="00F4451A">
        <w:rPr>
          <w:rFonts w:cs="Arial"/>
          <w:color w:val="222222"/>
          <w:sz w:val="20"/>
          <w:szCs w:val="20"/>
          <w:shd w:val="clear" w:color="auto" w:fill="FFFFFF"/>
        </w:rPr>
        <w:t>Havelaar</w:t>
      </w:r>
      <w:proofErr w:type="spellEnd"/>
      <w:r w:rsidRPr="00F4451A">
        <w:rPr>
          <w:rFonts w:cs="Arial"/>
          <w:color w:val="222222"/>
          <w:sz w:val="20"/>
          <w:szCs w:val="20"/>
          <w:shd w:val="clear" w:color="auto" w:fill="FFFFFF"/>
        </w:rPr>
        <w:t xml:space="preserve"> AH. </w:t>
      </w:r>
      <w:r w:rsidR="00F4451A" w:rsidRPr="00F4451A">
        <w:rPr>
          <w:rFonts w:cs="Arial"/>
          <w:color w:val="222222"/>
          <w:sz w:val="20"/>
          <w:szCs w:val="20"/>
          <w:shd w:val="clear" w:color="auto" w:fill="FFFFFF"/>
        </w:rPr>
        <w:t xml:space="preserve">(2018). </w:t>
      </w:r>
      <w:r w:rsidRPr="00F4451A">
        <w:rPr>
          <w:rFonts w:cs="Arial"/>
          <w:color w:val="222222"/>
          <w:sz w:val="20"/>
          <w:szCs w:val="20"/>
          <w:shd w:val="clear" w:color="auto" w:fill="FFFFFF"/>
        </w:rPr>
        <w:t xml:space="preserve">The global burden of foodborne disease. </w:t>
      </w:r>
      <w:proofErr w:type="spellStart"/>
      <w:r w:rsidRPr="00F4451A">
        <w:rPr>
          <w:rFonts w:cs="Arial"/>
          <w:color w:val="222222"/>
          <w:sz w:val="20"/>
          <w:szCs w:val="20"/>
          <w:shd w:val="clear" w:color="auto" w:fill="FFFFFF"/>
        </w:rPr>
        <w:t>InFood</w:t>
      </w:r>
      <w:proofErr w:type="spellEnd"/>
      <w:r w:rsidRPr="00F4451A">
        <w:rPr>
          <w:rFonts w:cs="Arial"/>
          <w:color w:val="222222"/>
          <w:sz w:val="20"/>
          <w:szCs w:val="20"/>
          <w:shd w:val="clear" w:color="auto" w:fill="FFFFFF"/>
        </w:rPr>
        <w:t xml:space="preserve"> safety economics: Incentives for a safer food </w:t>
      </w:r>
      <w:proofErr w:type="gramStart"/>
      <w:r w:rsidRPr="00F4451A">
        <w:rPr>
          <w:rFonts w:cs="Arial"/>
          <w:color w:val="222222"/>
          <w:sz w:val="20"/>
          <w:szCs w:val="20"/>
          <w:shd w:val="clear" w:color="auto" w:fill="FFFFFF"/>
        </w:rPr>
        <w:t>supply  Dec</w:t>
      </w:r>
      <w:proofErr w:type="gramEnd"/>
      <w:r w:rsidRPr="00F4451A">
        <w:rPr>
          <w:rFonts w:cs="Arial"/>
          <w:color w:val="222222"/>
          <w:sz w:val="20"/>
          <w:szCs w:val="20"/>
          <w:shd w:val="clear" w:color="auto" w:fill="FFFFFF"/>
        </w:rPr>
        <w:t xml:space="preserve"> 22 (pp. 107-122). Cham: Springer International Publishing. </w:t>
      </w:r>
      <w:hyperlink r:id="rId14" w:history="1">
        <w:r w:rsidRPr="00F4451A">
          <w:rPr>
            <w:rStyle w:val="Hyperlink"/>
            <w:rFonts w:cs="Arial"/>
            <w:sz w:val="20"/>
            <w:szCs w:val="20"/>
            <w:shd w:val="clear" w:color="auto" w:fill="FFFFFF"/>
          </w:rPr>
          <w:t>https://doi.org/10.1007/978-3-319-92138-9_7</w:t>
        </w:r>
      </w:hyperlink>
      <w:r w:rsidRPr="00F4451A">
        <w:rPr>
          <w:rFonts w:cs="Arial"/>
          <w:color w:val="646464"/>
          <w:sz w:val="20"/>
          <w:szCs w:val="20"/>
          <w:shd w:val="clear" w:color="auto" w:fill="FFFFFF"/>
        </w:rPr>
        <w:t xml:space="preserve"> </w:t>
      </w:r>
    </w:p>
    <w:p w14:paraId="7601533E"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Käferstein</w:t>
      </w:r>
      <w:proofErr w:type="spellEnd"/>
      <w:r w:rsidRPr="00F4451A">
        <w:rPr>
          <w:rFonts w:cs="Arial"/>
          <w:color w:val="222222"/>
          <w:sz w:val="20"/>
          <w:szCs w:val="20"/>
          <w:shd w:val="clear" w:color="auto" w:fill="FFFFFF"/>
        </w:rPr>
        <w:t xml:space="preserve"> FK, </w:t>
      </w:r>
      <w:proofErr w:type="spellStart"/>
      <w:r w:rsidRPr="00F4451A">
        <w:rPr>
          <w:rFonts w:cs="Arial"/>
          <w:color w:val="222222"/>
          <w:sz w:val="20"/>
          <w:szCs w:val="20"/>
          <w:shd w:val="clear" w:color="auto" w:fill="FFFFFF"/>
        </w:rPr>
        <w:t>Motarjemi</w:t>
      </w:r>
      <w:proofErr w:type="spellEnd"/>
      <w:r w:rsidRPr="00F4451A">
        <w:rPr>
          <w:rFonts w:cs="Arial"/>
          <w:color w:val="222222"/>
          <w:sz w:val="20"/>
          <w:szCs w:val="20"/>
          <w:shd w:val="clear" w:color="auto" w:fill="FFFFFF"/>
        </w:rPr>
        <w:t xml:space="preserve"> Y, Moy GG, </w:t>
      </w:r>
      <w:proofErr w:type="spellStart"/>
      <w:r w:rsidRPr="00F4451A">
        <w:rPr>
          <w:rFonts w:cs="Arial"/>
          <w:color w:val="222222"/>
          <w:sz w:val="20"/>
          <w:szCs w:val="20"/>
          <w:shd w:val="clear" w:color="auto" w:fill="FFFFFF"/>
        </w:rPr>
        <w:t>Quevado</w:t>
      </w:r>
      <w:proofErr w:type="spellEnd"/>
      <w:r w:rsidRPr="00F4451A">
        <w:rPr>
          <w:rFonts w:cs="Arial"/>
          <w:color w:val="222222"/>
          <w:sz w:val="20"/>
          <w:szCs w:val="20"/>
          <w:shd w:val="clear" w:color="auto" w:fill="FFFFFF"/>
        </w:rPr>
        <w:t xml:space="preserve"> F. </w:t>
      </w:r>
      <w:r w:rsidR="00F4451A" w:rsidRPr="00F4451A">
        <w:rPr>
          <w:rFonts w:cs="Arial"/>
          <w:color w:val="222222"/>
          <w:sz w:val="20"/>
          <w:szCs w:val="20"/>
          <w:shd w:val="clear" w:color="auto" w:fill="FFFFFF"/>
        </w:rPr>
        <w:t xml:space="preserve">(2019). </w:t>
      </w:r>
      <w:r w:rsidRPr="00F4451A">
        <w:rPr>
          <w:rFonts w:cs="Arial"/>
          <w:color w:val="222222"/>
          <w:sz w:val="20"/>
          <w:szCs w:val="20"/>
          <w:shd w:val="clear" w:color="auto" w:fill="FFFFFF"/>
        </w:rPr>
        <w:t xml:space="preserve">Food safety: A worldwide public issue. International Food Safety </w:t>
      </w:r>
      <w:proofErr w:type="gramStart"/>
      <w:r w:rsidRPr="00F4451A">
        <w:rPr>
          <w:rFonts w:cs="Arial"/>
          <w:color w:val="222222"/>
          <w:sz w:val="20"/>
          <w:szCs w:val="20"/>
          <w:shd w:val="clear" w:color="auto" w:fill="FFFFFF"/>
        </w:rPr>
        <w:t>Handbook  Jul</w:t>
      </w:r>
      <w:proofErr w:type="gramEnd"/>
      <w:r w:rsidRPr="00F4451A">
        <w:rPr>
          <w:rFonts w:cs="Arial"/>
          <w:color w:val="222222"/>
          <w:sz w:val="20"/>
          <w:szCs w:val="20"/>
          <w:shd w:val="clear" w:color="auto" w:fill="FFFFFF"/>
        </w:rPr>
        <w:t xml:space="preserve"> 5 (pp. 1-20). Routledge. </w:t>
      </w:r>
      <w:hyperlink r:id="rId15" w:history="1">
        <w:r w:rsidRPr="00F4451A">
          <w:rPr>
            <w:rStyle w:val="Hyperlink"/>
            <w:rFonts w:cs="Arial"/>
            <w:sz w:val="20"/>
            <w:szCs w:val="20"/>
            <w:shd w:val="clear" w:color="auto" w:fill="FFFFFF"/>
          </w:rPr>
          <w:t>https://doi.org/10.1201/9780203750346-1</w:t>
        </w:r>
      </w:hyperlink>
      <w:r w:rsidRPr="00F4451A">
        <w:rPr>
          <w:rFonts w:cs="Arial"/>
          <w:color w:val="222222"/>
          <w:sz w:val="20"/>
          <w:szCs w:val="20"/>
          <w:shd w:val="clear" w:color="auto" w:fill="FFFFFF"/>
        </w:rPr>
        <w:t xml:space="preserve">  </w:t>
      </w:r>
    </w:p>
    <w:p w14:paraId="2BE379AB"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Lee H, Yoon Y. </w:t>
      </w:r>
      <w:r w:rsidR="00F4451A" w:rsidRPr="00F4451A">
        <w:rPr>
          <w:rFonts w:cs="Arial"/>
          <w:color w:val="222222"/>
          <w:sz w:val="20"/>
          <w:szCs w:val="20"/>
          <w:shd w:val="clear" w:color="auto" w:fill="FFFFFF"/>
        </w:rPr>
        <w:t xml:space="preserve">(2021). </w:t>
      </w:r>
      <w:r w:rsidRPr="00F4451A">
        <w:rPr>
          <w:rFonts w:cs="Arial"/>
          <w:color w:val="222222"/>
          <w:sz w:val="20"/>
          <w:szCs w:val="20"/>
          <w:shd w:val="clear" w:color="auto" w:fill="FFFFFF"/>
        </w:rPr>
        <w:t xml:space="preserve">Etiological agents implicated in foodborne illness worldwide. Food science of animal resources. Jan 1;41(1):1. </w:t>
      </w:r>
      <w:hyperlink r:id="rId16" w:history="1">
        <w:r w:rsidRPr="00F4451A">
          <w:rPr>
            <w:rStyle w:val="Hyperlink"/>
            <w:rFonts w:cs="Arial"/>
            <w:sz w:val="20"/>
            <w:szCs w:val="20"/>
            <w:shd w:val="clear" w:color="auto" w:fill="FFFFFF"/>
          </w:rPr>
          <w:t>https://doi.org/10.5851/kosfa</w:t>
        </w:r>
      </w:hyperlink>
      <w:r w:rsidRPr="00F4451A">
        <w:rPr>
          <w:rFonts w:cs="Arial"/>
          <w:color w:val="1B1B1B"/>
          <w:sz w:val="20"/>
          <w:szCs w:val="20"/>
          <w:shd w:val="clear" w:color="auto" w:fill="FFFFFF"/>
        </w:rPr>
        <w:t xml:space="preserve"> </w:t>
      </w:r>
    </w:p>
    <w:p w14:paraId="50BF709C"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Pires SM, </w:t>
      </w:r>
      <w:proofErr w:type="spellStart"/>
      <w:r w:rsidRPr="00F4451A">
        <w:rPr>
          <w:rFonts w:cs="Arial"/>
          <w:color w:val="222222"/>
          <w:sz w:val="20"/>
          <w:szCs w:val="20"/>
          <w:shd w:val="clear" w:color="auto" w:fill="FFFFFF"/>
        </w:rPr>
        <w:t>Devleesschauwer</w:t>
      </w:r>
      <w:proofErr w:type="spellEnd"/>
      <w:r w:rsidRPr="00F4451A">
        <w:rPr>
          <w:rFonts w:cs="Arial"/>
          <w:color w:val="222222"/>
          <w:sz w:val="20"/>
          <w:szCs w:val="20"/>
          <w:shd w:val="clear" w:color="auto" w:fill="FFFFFF"/>
        </w:rPr>
        <w:t xml:space="preserve"> B. </w:t>
      </w:r>
      <w:r w:rsidR="00F4451A" w:rsidRPr="00F4451A">
        <w:rPr>
          <w:rFonts w:cs="Arial"/>
          <w:color w:val="222222"/>
          <w:sz w:val="20"/>
          <w:szCs w:val="20"/>
          <w:shd w:val="clear" w:color="auto" w:fill="FFFFFF"/>
        </w:rPr>
        <w:t xml:space="preserve">(2021). </w:t>
      </w:r>
      <w:r w:rsidRPr="00F4451A">
        <w:rPr>
          <w:rFonts w:cs="Arial"/>
          <w:color w:val="222222"/>
          <w:sz w:val="20"/>
          <w:szCs w:val="20"/>
          <w:shd w:val="clear" w:color="auto" w:fill="FFFFFF"/>
        </w:rPr>
        <w:t xml:space="preserve">Estimates of global disease burden associated with foodborne pathogens. </w:t>
      </w:r>
      <w:proofErr w:type="spellStart"/>
      <w:r w:rsidRPr="00F4451A">
        <w:rPr>
          <w:rFonts w:cs="Arial"/>
          <w:color w:val="222222"/>
          <w:sz w:val="20"/>
          <w:szCs w:val="20"/>
          <w:shd w:val="clear" w:color="auto" w:fill="FFFFFF"/>
        </w:rPr>
        <w:t>InFoodborne</w:t>
      </w:r>
      <w:proofErr w:type="spellEnd"/>
      <w:r w:rsidRPr="00F4451A">
        <w:rPr>
          <w:rFonts w:cs="Arial"/>
          <w:color w:val="222222"/>
          <w:sz w:val="20"/>
          <w:szCs w:val="20"/>
          <w:shd w:val="clear" w:color="auto" w:fill="FFFFFF"/>
        </w:rPr>
        <w:t xml:space="preserve"> infections and intoxications Jan 1 (pp. 3-17). Academic Press. </w:t>
      </w:r>
      <w:hyperlink r:id="rId17" w:history="1">
        <w:r w:rsidRPr="00F4451A">
          <w:rPr>
            <w:rStyle w:val="Hyperlink"/>
            <w:rFonts w:cs="Arial"/>
            <w:sz w:val="20"/>
            <w:szCs w:val="20"/>
            <w:shd w:val="clear" w:color="auto" w:fill="FFFFFF"/>
          </w:rPr>
          <w:t>https://doi.org/10.1016/B978-0-12-819519-2.00020-7</w:t>
        </w:r>
      </w:hyperlink>
      <w:r w:rsidRPr="00F4451A">
        <w:rPr>
          <w:rFonts w:cs="Arial"/>
          <w:color w:val="222222"/>
          <w:sz w:val="20"/>
          <w:szCs w:val="20"/>
          <w:shd w:val="clear" w:color="auto" w:fill="FFFFFF"/>
        </w:rPr>
        <w:t xml:space="preserve"> </w:t>
      </w:r>
      <w:hyperlink r:id="rId18" w:history="1">
        <w:r w:rsidRPr="00F4451A">
          <w:rPr>
            <w:rStyle w:val="Hyperlink"/>
            <w:rFonts w:cs="Arial"/>
            <w:sz w:val="20"/>
            <w:szCs w:val="20"/>
            <w:shd w:val="clear" w:color="auto" w:fill="FFFFFF"/>
          </w:rPr>
          <w:t>https://doi.org/</w:t>
        </w:r>
      </w:hyperlink>
    </w:p>
    <w:p w14:paraId="5B4FE231"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Garvey M. Food pollution: </w:t>
      </w:r>
      <w:r w:rsidR="00F4451A" w:rsidRPr="00F4451A">
        <w:rPr>
          <w:rFonts w:cs="Arial"/>
          <w:color w:val="222222"/>
          <w:sz w:val="20"/>
          <w:szCs w:val="20"/>
          <w:shd w:val="clear" w:color="auto" w:fill="FFFFFF"/>
        </w:rPr>
        <w:t xml:space="preserve">(2019). </w:t>
      </w:r>
      <w:r w:rsidRPr="00F4451A">
        <w:rPr>
          <w:rFonts w:cs="Arial"/>
          <w:color w:val="222222"/>
          <w:sz w:val="20"/>
          <w:szCs w:val="20"/>
          <w:shd w:val="clear" w:color="auto" w:fill="FFFFFF"/>
        </w:rPr>
        <w:t xml:space="preserve">A comprehensive review of chemical and biological sources of food contamination and impact on human health. </w:t>
      </w:r>
      <w:proofErr w:type="spellStart"/>
      <w:r w:rsidRPr="00F4451A">
        <w:rPr>
          <w:rFonts w:cs="Arial"/>
          <w:color w:val="222222"/>
          <w:sz w:val="20"/>
          <w:szCs w:val="20"/>
          <w:shd w:val="clear" w:color="auto" w:fill="FFFFFF"/>
        </w:rPr>
        <w:t>Nutrire</w:t>
      </w:r>
      <w:proofErr w:type="spellEnd"/>
      <w:r w:rsidRPr="00F4451A">
        <w:rPr>
          <w:rFonts w:cs="Arial"/>
          <w:color w:val="222222"/>
          <w:sz w:val="20"/>
          <w:szCs w:val="20"/>
          <w:shd w:val="clear" w:color="auto" w:fill="FFFFFF"/>
        </w:rPr>
        <w:t xml:space="preserve">. Jul 3;44(1):1. </w:t>
      </w:r>
      <w:hyperlink r:id="rId19" w:history="1">
        <w:r w:rsidRPr="00F4451A">
          <w:rPr>
            <w:rStyle w:val="Hyperlink"/>
            <w:rFonts w:cs="Arial"/>
            <w:sz w:val="20"/>
            <w:szCs w:val="20"/>
            <w:shd w:val="clear" w:color="auto" w:fill="FFFFFF"/>
          </w:rPr>
          <w:t>https://doi.org/10.</w:t>
        </w:r>
        <w:r w:rsidRPr="00F4451A">
          <w:rPr>
            <w:rStyle w:val="Hyperlink"/>
            <w:rFonts w:cs="Arial"/>
            <w:sz w:val="20"/>
            <w:szCs w:val="20"/>
          </w:rPr>
          <w:t>1186/s41110-019-0096-3</w:t>
        </w:r>
      </w:hyperlink>
      <w:r w:rsidRPr="00F4451A">
        <w:rPr>
          <w:rFonts w:cs="Arial"/>
          <w:color w:val="666666"/>
          <w:sz w:val="20"/>
          <w:szCs w:val="20"/>
        </w:rPr>
        <w:t xml:space="preserve"> </w:t>
      </w:r>
    </w:p>
    <w:p w14:paraId="22A5639E"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Schirone</w:t>
      </w:r>
      <w:proofErr w:type="spellEnd"/>
      <w:r w:rsidRPr="00F4451A">
        <w:rPr>
          <w:rFonts w:cs="Arial"/>
          <w:color w:val="222222"/>
          <w:sz w:val="20"/>
          <w:szCs w:val="20"/>
          <w:shd w:val="clear" w:color="auto" w:fill="FFFFFF"/>
        </w:rPr>
        <w:t xml:space="preserve"> M, </w:t>
      </w:r>
      <w:proofErr w:type="spellStart"/>
      <w:r w:rsidRPr="00F4451A">
        <w:rPr>
          <w:rFonts w:cs="Arial"/>
          <w:color w:val="222222"/>
          <w:sz w:val="20"/>
          <w:szCs w:val="20"/>
          <w:shd w:val="clear" w:color="auto" w:fill="FFFFFF"/>
        </w:rPr>
        <w:t>Visciano</w:t>
      </w:r>
      <w:proofErr w:type="spellEnd"/>
      <w:r w:rsidRPr="00F4451A">
        <w:rPr>
          <w:rFonts w:cs="Arial"/>
          <w:color w:val="222222"/>
          <w:sz w:val="20"/>
          <w:szCs w:val="20"/>
          <w:shd w:val="clear" w:color="auto" w:fill="FFFFFF"/>
        </w:rPr>
        <w:t xml:space="preserve"> P. </w:t>
      </w:r>
      <w:r w:rsidR="00F4451A" w:rsidRPr="00F4451A">
        <w:rPr>
          <w:rFonts w:cs="Arial"/>
          <w:color w:val="222222"/>
          <w:sz w:val="20"/>
          <w:szCs w:val="20"/>
          <w:shd w:val="clear" w:color="auto" w:fill="FFFFFF"/>
        </w:rPr>
        <w:t xml:space="preserve">(2021). </w:t>
      </w:r>
      <w:r w:rsidRPr="00F4451A">
        <w:rPr>
          <w:rFonts w:cs="Arial"/>
          <w:color w:val="222222"/>
          <w:sz w:val="20"/>
          <w:szCs w:val="20"/>
          <w:shd w:val="clear" w:color="auto" w:fill="FFFFFF"/>
        </w:rPr>
        <w:t xml:space="preserve">Trends of major foodborne outbreaks in the </w:t>
      </w:r>
      <w:proofErr w:type="spellStart"/>
      <w:r w:rsidRPr="00F4451A">
        <w:rPr>
          <w:rFonts w:cs="Arial"/>
          <w:color w:val="222222"/>
          <w:sz w:val="20"/>
          <w:szCs w:val="20"/>
          <w:shd w:val="clear" w:color="auto" w:fill="FFFFFF"/>
        </w:rPr>
        <w:t>european</w:t>
      </w:r>
      <w:proofErr w:type="spellEnd"/>
      <w:r w:rsidRPr="00F4451A">
        <w:rPr>
          <w:rFonts w:cs="Arial"/>
          <w:color w:val="222222"/>
          <w:sz w:val="20"/>
          <w:szCs w:val="20"/>
          <w:shd w:val="clear" w:color="auto" w:fill="FFFFFF"/>
        </w:rPr>
        <w:t xml:space="preserve"> union during the years 2015–2019. Hygiene. Nov 2;1(3):106-19. </w:t>
      </w:r>
      <w:hyperlink r:id="rId20" w:history="1">
        <w:r w:rsidRPr="00F4451A">
          <w:rPr>
            <w:rStyle w:val="Hyperlink"/>
            <w:rFonts w:cs="Arial"/>
            <w:sz w:val="20"/>
            <w:szCs w:val="20"/>
            <w:shd w:val="clear" w:color="auto" w:fill="FFFFFF"/>
          </w:rPr>
          <w:t>https://doi.org/10.3390/hygiene1030010</w:t>
        </w:r>
      </w:hyperlink>
      <w:r w:rsidRPr="00F4451A">
        <w:rPr>
          <w:rFonts w:cs="Arial"/>
          <w:sz w:val="20"/>
          <w:szCs w:val="20"/>
        </w:rPr>
        <w:t xml:space="preserve">  </w:t>
      </w:r>
    </w:p>
    <w:p w14:paraId="3DEB7ADE" w14:textId="77777777" w:rsidR="002941D9" w:rsidRPr="00F4451A" w:rsidRDefault="002941D9" w:rsidP="00F4451A">
      <w:pPr>
        <w:pStyle w:val="ListParagraph"/>
        <w:numPr>
          <w:ilvl w:val="0"/>
          <w:numId w:val="31"/>
        </w:numPr>
        <w:spacing w:before="100" w:beforeAutospacing="1" w:after="100" w:afterAutospacing="1" w:line="240" w:lineRule="auto"/>
        <w:rPr>
          <w:rFonts w:eastAsia="Times New Roman" w:cs="Arial"/>
          <w:sz w:val="20"/>
          <w:szCs w:val="20"/>
        </w:rPr>
      </w:pPr>
      <w:r w:rsidRPr="00F4451A">
        <w:rPr>
          <w:rFonts w:eastAsia="Times New Roman" w:cs="Arial"/>
          <w:sz w:val="20"/>
          <w:szCs w:val="20"/>
        </w:rPr>
        <w:t xml:space="preserve">World Health Organization. </w:t>
      </w:r>
      <w:r w:rsidR="00F4451A" w:rsidRPr="00F4451A">
        <w:rPr>
          <w:rFonts w:eastAsia="Times New Roman" w:cs="Arial"/>
          <w:sz w:val="20"/>
          <w:szCs w:val="20"/>
        </w:rPr>
        <w:t xml:space="preserve">(2017). </w:t>
      </w:r>
      <w:r w:rsidRPr="00F4451A">
        <w:rPr>
          <w:rFonts w:eastAsia="Times New Roman" w:cs="Arial"/>
          <w:i/>
          <w:iCs/>
          <w:sz w:val="20"/>
          <w:szCs w:val="20"/>
        </w:rPr>
        <w:t>The burden of foodborne diseases in the WHO European region.</w:t>
      </w:r>
      <w:r w:rsidRPr="00F4451A">
        <w:rPr>
          <w:rFonts w:eastAsia="Times New Roman" w:cs="Arial"/>
          <w:sz w:val="20"/>
          <w:szCs w:val="20"/>
        </w:rPr>
        <w:t xml:space="preserve"> Regional Office for Europe; Aug 11. </w:t>
      </w:r>
      <w:r w:rsidRPr="00F4451A">
        <w:rPr>
          <w:rFonts w:cs="Arial"/>
          <w:color w:val="222222"/>
          <w:sz w:val="20"/>
          <w:szCs w:val="20"/>
          <w:shd w:val="clear" w:color="auto" w:fill="FFFFFF"/>
        </w:rPr>
        <w:t xml:space="preserve">Available at </w:t>
      </w:r>
      <w:hyperlink r:id="rId21" w:anchor=":~:text=The%20first%20estimates%20of%20the,at%20national%20and%20regional%20levels" w:history="1">
        <w:r w:rsidRPr="00F4451A">
          <w:rPr>
            <w:rStyle w:val="Hyperlink"/>
            <w:rFonts w:cs="Arial"/>
            <w:sz w:val="20"/>
            <w:szCs w:val="20"/>
            <w:shd w:val="clear" w:color="auto" w:fill="FFFFFF"/>
          </w:rPr>
          <w:t>https://pesquisa.bvsalud.org/portal/resource/pt/who-382447#:~:text=The%20first%20estimates%20of%20the,at%20national%20and%20regional%20levels</w:t>
        </w:r>
      </w:hyperlink>
      <w:r w:rsidRPr="00F4451A">
        <w:rPr>
          <w:rFonts w:cs="Arial"/>
          <w:color w:val="222222"/>
          <w:sz w:val="20"/>
          <w:szCs w:val="20"/>
          <w:shd w:val="clear" w:color="auto" w:fill="FFFFFF"/>
        </w:rPr>
        <w:t xml:space="preserve">. </w:t>
      </w:r>
    </w:p>
    <w:p w14:paraId="0DD561A8" w14:textId="77777777" w:rsidR="002941D9" w:rsidRPr="00F4451A" w:rsidRDefault="002941D9" w:rsidP="00F4451A">
      <w:pPr>
        <w:pStyle w:val="ListParagraph"/>
        <w:numPr>
          <w:ilvl w:val="0"/>
          <w:numId w:val="31"/>
        </w:numPr>
        <w:spacing w:before="100" w:beforeAutospacing="1" w:after="100" w:afterAutospacing="1" w:line="240" w:lineRule="auto"/>
        <w:rPr>
          <w:rFonts w:eastAsia="Times New Roman" w:cs="Arial"/>
          <w:sz w:val="20"/>
          <w:szCs w:val="20"/>
        </w:rPr>
      </w:pPr>
      <w:proofErr w:type="spellStart"/>
      <w:r w:rsidRPr="00F4451A">
        <w:rPr>
          <w:rFonts w:eastAsia="Times New Roman" w:cs="Arial"/>
          <w:sz w:val="20"/>
          <w:szCs w:val="20"/>
        </w:rPr>
        <w:t>Boiteanu</w:t>
      </w:r>
      <w:proofErr w:type="spellEnd"/>
      <w:r w:rsidRPr="00F4451A">
        <w:rPr>
          <w:rFonts w:eastAsia="Times New Roman" w:cs="Arial"/>
          <w:sz w:val="20"/>
          <w:szCs w:val="20"/>
        </w:rPr>
        <w:t xml:space="preserve"> CN, </w:t>
      </w:r>
      <w:proofErr w:type="spellStart"/>
      <w:r w:rsidRPr="00F4451A">
        <w:rPr>
          <w:rFonts w:eastAsia="Times New Roman" w:cs="Arial"/>
          <w:sz w:val="20"/>
          <w:szCs w:val="20"/>
        </w:rPr>
        <w:t>Neacsu</w:t>
      </w:r>
      <w:proofErr w:type="spellEnd"/>
      <w:r w:rsidRPr="00F4451A">
        <w:rPr>
          <w:rFonts w:eastAsia="Times New Roman" w:cs="Arial"/>
          <w:sz w:val="20"/>
          <w:szCs w:val="20"/>
        </w:rPr>
        <w:t xml:space="preserve"> F, Tudor L, </w:t>
      </w:r>
      <w:proofErr w:type="spellStart"/>
      <w:r w:rsidRPr="00F4451A">
        <w:rPr>
          <w:rFonts w:eastAsia="Times New Roman" w:cs="Arial"/>
          <w:sz w:val="20"/>
          <w:szCs w:val="20"/>
        </w:rPr>
        <w:t>Ciocîrlie</w:t>
      </w:r>
      <w:proofErr w:type="spellEnd"/>
      <w:r w:rsidRPr="00F4451A">
        <w:rPr>
          <w:rFonts w:eastAsia="Times New Roman" w:cs="Arial"/>
          <w:sz w:val="20"/>
          <w:szCs w:val="20"/>
        </w:rPr>
        <w:t xml:space="preserve"> N. </w:t>
      </w:r>
      <w:r w:rsidR="00F4451A" w:rsidRPr="00F4451A">
        <w:rPr>
          <w:rFonts w:eastAsia="Times New Roman" w:cs="Arial"/>
          <w:sz w:val="20"/>
          <w:szCs w:val="20"/>
        </w:rPr>
        <w:t xml:space="preserve">(2025). </w:t>
      </w:r>
      <w:r w:rsidRPr="00F4451A">
        <w:rPr>
          <w:rFonts w:eastAsia="Times New Roman" w:cs="Arial"/>
          <w:iCs/>
          <w:sz w:val="20"/>
          <w:szCs w:val="20"/>
        </w:rPr>
        <w:t>Surge in foodborne outbreaks and fatalities in the EU, a 2008–2022 overview of zoonotic diseases, emerging threats and ways of mitigation</w:t>
      </w:r>
      <w:r w:rsidRPr="00F4451A">
        <w:rPr>
          <w:rFonts w:eastAsia="Times New Roman" w:cs="Arial"/>
          <w:i/>
          <w:iCs/>
          <w:sz w:val="20"/>
          <w:szCs w:val="20"/>
        </w:rPr>
        <w:t>.</w:t>
      </w:r>
      <w:r w:rsidRPr="00F4451A">
        <w:rPr>
          <w:rFonts w:eastAsia="Times New Roman" w:cs="Arial"/>
          <w:sz w:val="20"/>
          <w:szCs w:val="20"/>
        </w:rPr>
        <w:t xml:space="preserve"> Scientific Papers. Series D. Animal Science. Jan 1;68(1). </w:t>
      </w:r>
      <w:hyperlink r:id="rId22" w:history="1">
        <w:r w:rsidRPr="00F4451A">
          <w:rPr>
            <w:rStyle w:val="Hyperlink"/>
            <w:rFonts w:cs="Arial"/>
            <w:sz w:val="20"/>
            <w:szCs w:val="20"/>
            <w:shd w:val="clear" w:color="auto" w:fill="FFFFFF"/>
          </w:rPr>
          <w:t>https://animalsciencejournal.usamv.ro/index.php/scientific-papers/past-issues?id=1560</w:t>
        </w:r>
      </w:hyperlink>
      <w:r w:rsidRPr="00F4451A">
        <w:rPr>
          <w:rFonts w:cs="Arial"/>
          <w:color w:val="222222"/>
          <w:sz w:val="20"/>
          <w:szCs w:val="20"/>
          <w:shd w:val="clear" w:color="auto" w:fill="FFFFFF"/>
        </w:rPr>
        <w:t xml:space="preserve"> </w:t>
      </w:r>
    </w:p>
    <w:p w14:paraId="4E1016B0" w14:textId="77777777" w:rsidR="002941D9" w:rsidRPr="00F4451A" w:rsidRDefault="002941D9" w:rsidP="00F4451A">
      <w:pPr>
        <w:pStyle w:val="ListParagraph"/>
        <w:numPr>
          <w:ilvl w:val="0"/>
          <w:numId w:val="31"/>
        </w:numPr>
        <w:spacing w:before="100" w:beforeAutospacing="1" w:after="100" w:afterAutospacing="1" w:line="240" w:lineRule="auto"/>
        <w:rPr>
          <w:rFonts w:eastAsia="Times New Roman" w:cs="Arial"/>
          <w:sz w:val="20"/>
          <w:szCs w:val="20"/>
        </w:rPr>
      </w:pPr>
      <w:r w:rsidRPr="00F4451A">
        <w:rPr>
          <w:rFonts w:eastAsia="Times New Roman" w:cs="Arial"/>
          <w:sz w:val="20"/>
          <w:szCs w:val="20"/>
        </w:rPr>
        <w:t xml:space="preserve">European Food Safety Authority </w:t>
      </w:r>
      <w:r w:rsidR="00F4451A" w:rsidRPr="00F4451A">
        <w:rPr>
          <w:rFonts w:eastAsia="Times New Roman" w:cs="Arial"/>
          <w:sz w:val="20"/>
          <w:szCs w:val="20"/>
        </w:rPr>
        <w:t xml:space="preserve">(2022). </w:t>
      </w:r>
      <w:r w:rsidRPr="00F4451A">
        <w:rPr>
          <w:rFonts w:eastAsia="Times New Roman" w:cs="Arial"/>
          <w:sz w:val="20"/>
          <w:szCs w:val="20"/>
        </w:rPr>
        <w:t xml:space="preserve">European Centre for Disease Prevention and Control. </w:t>
      </w:r>
      <w:r w:rsidRPr="00F4451A">
        <w:rPr>
          <w:rFonts w:eastAsia="Times New Roman" w:cs="Arial"/>
          <w:i/>
          <w:iCs/>
          <w:sz w:val="20"/>
          <w:szCs w:val="20"/>
        </w:rPr>
        <w:t>The European Union One Health 2021 zoonoses report.</w:t>
      </w:r>
      <w:r w:rsidRPr="00F4451A">
        <w:rPr>
          <w:rFonts w:eastAsia="Times New Roman" w:cs="Arial"/>
          <w:sz w:val="20"/>
          <w:szCs w:val="20"/>
        </w:rPr>
        <w:t xml:space="preserve"> EFSA Journal. Dec;20(12</w:t>
      </w:r>
      <w:proofErr w:type="gramStart"/>
      <w:r w:rsidRPr="00F4451A">
        <w:rPr>
          <w:rFonts w:eastAsia="Times New Roman" w:cs="Arial"/>
          <w:sz w:val="20"/>
          <w:szCs w:val="20"/>
        </w:rPr>
        <w:t>):e</w:t>
      </w:r>
      <w:proofErr w:type="gramEnd"/>
      <w:r w:rsidRPr="00F4451A">
        <w:rPr>
          <w:rFonts w:eastAsia="Times New Roman" w:cs="Arial"/>
          <w:sz w:val="20"/>
          <w:szCs w:val="20"/>
        </w:rPr>
        <w:t xml:space="preserve">07666. </w:t>
      </w:r>
      <w:hyperlink r:id="rId23" w:history="1">
        <w:r w:rsidRPr="00F4451A">
          <w:rPr>
            <w:rStyle w:val="Hyperlink"/>
            <w:rFonts w:cs="Arial"/>
            <w:sz w:val="20"/>
            <w:szCs w:val="20"/>
            <w:shd w:val="clear" w:color="auto" w:fill="FFFFFF"/>
          </w:rPr>
          <w:t>https://doi.org/10.2903/j.efsa.2022.7666</w:t>
        </w:r>
      </w:hyperlink>
      <w:r w:rsidRPr="00F4451A">
        <w:rPr>
          <w:rFonts w:cs="Arial"/>
          <w:color w:val="232323"/>
          <w:sz w:val="20"/>
          <w:szCs w:val="20"/>
          <w:shd w:val="clear" w:color="auto" w:fill="FFFFFF"/>
        </w:rPr>
        <w:t xml:space="preserve"> </w:t>
      </w:r>
    </w:p>
    <w:p w14:paraId="5A4341AA" w14:textId="77777777" w:rsidR="002941D9" w:rsidRPr="00F4451A" w:rsidRDefault="002941D9" w:rsidP="00F4451A">
      <w:pPr>
        <w:pStyle w:val="ListParagraph"/>
        <w:numPr>
          <w:ilvl w:val="0"/>
          <w:numId w:val="31"/>
        </w:numPr>
        <w:spacing w:before="100" w:beforeAutospacing="1" w:after="100" w:afterAutospacing="1" w:line="240" w:lineRule="auto"/>
        <w:rPr>
          <w:rFonts w:eastAsia="Times New Roman" w:cs="Arial"/>
          <w:sz w:val="20"/>
          <w:szCs w:val="20"/>
        </w:rPr>
      </w:pPr>
      <w:r w:rsidRPr="00F4451A">
        <w:rPr>
          <w:rFonts w:cs="Arial"/>
          <w:color w:val="222222"/>
          <w:sz w:val="20"/>
          <w:szCs w:val="20"/>
          <w:shd w:val="clear" w:color="auto" w:fill="FFFFFF"/>
        </w:rPr>
        <w:t xml:space="preserve">Silvanus SN, </w:t>
      </w:r>
      <w:proofErr w:type="spellStart"/>
      <w:r w:rsidRPr="00F4451A">
        <w:rPr>
          <w:rFonts w:cs="Arial"/>
          <w:color w:val="222222"/>
          <w:sz w:val="20"/>
          <w:szCs w:val="20"/>
          <w:shd w:val="clear" w:color="auto" w:fill="FFFFFF"/>
        </w:rPr>
        <w:t>Kaundjwa</w:t>
      </w:r>
      <w:proofErr w:type="spellEnd"/>
      <w:r w:rsidRPr="00F4451A">
        <w:rPr>
          <w:rFonts w:cs="Arial"/>
          <w:color w:val="222222"/>
          <w:sz w:val="20"/>
          <w:szCs w:val="20"/>
          <w:shd w:val="clear" w:color="auto" w:fill="FFFFFF"/>
        </w:rPr>
        <w:t xml:space="preserve"> AO, </w:t>
      </w:r>
      <w:proofErr w:type="spellStart"/>
      <w:r w:rsidRPr="00F4451A">
        <w:rPr>
          <w:rFonts w:cs="Arial"/>
          <w:color w:val="222222"/>
          <w:sz w:val="20"/>
          <w:szCs w:val="20"/>
          <w:shd w:val="clear" w:color="auto" w:fill="FFFFFF"/>
        </w:rPr>
        <w:t>Iita</w:t>
      </w:r>
      <w:proofErr w:type="spellEnd"/>
      <w:r w:rsidRPr="00F4451A">
        <w:rPr>
          <w:rFonts w:cs="Arial"/>
          <w:color w:val="222222"/>
          <w:sz w:val="20"/>
          <w:szCs w:val="20"/>
          <w:shd w:val="clear" w:color="auto" w:fill="FFFFFF"/>
        </w:rPr>
        <w:t xml:space="preserve"> H. </w:t>
      </w:r>
      <w:r w:rsidR="00F4451A" w:rsidRPr="00F4451A">
        <w:rPr>
          <w:rFonts w:cs="Arial"/>
          <w:color w:val="222222"/>
          <w:sz w:val="20"/>
          <w:szCs w:val="20"/>
          <w:shd w:val="clear" w:color="auto" w:fill="FFFFFF"/>
        </w:rPr>
        <w:t xml:space="preserve">(2025). </w:t>
      </w:r>
      <w:r w:rsidRPr="00F4451A">
        <w:rPr>
          <w:rFonts w:cs="Arial"/>
          <w:color w:val="222222"/>
          <w:sz w:val="20"/>
          <w:szCs w:val="20"/>
          <w:shd w:val="clear" w:color="auto" w:fill="FFFFFF"/>
        </w:rPr>
        <w:t xml:space="preserve">An Assessment on Knowledge, Attitudes, and Practices on Food Hygiene and Safety Among Food Handlers in Restaurants and Tuckshops in Sub-Saharan Africa: A Scoping Review. Int. J. Biomed. Res. Pract.;5:1-4. </w:t>
      </w:r>
      <w:hyperlink r:id="rId24" w:history="1">
        <w:r w:rsidRPr="00F4451A">
          <w:rPr>
            <w:rStyle w:val="Hyperlink"/>
            <w:rFonts w:cs="Arial"/>
            <w:sz w:val="20"/>
            <w:szCs w:val="20"/>
            <w:shd w:val="clear" w:color="auto" w:fill="FFFFFF"/>
          </w:rPr>
          <w:t>https://doi.org/10.33425/2769-6294.1039</w:t>
        </w:r>
      </w:hyperlink>
    </w:p>
    <w:p w14:paraId="613B0DE4"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Adi SB, Adi DD, Acquah-Mensah J, </w:t>
      </w:r>
      <w:proofErr w:type="spellStart"/>
      <w:r w:rsidRPr="00F4451A">
        <w:rPr>
          <w:rFonts w:cs="Arial"/>
          <w:color w:val="222222"/>
          <w:sz w:val="20"/>
          <w:szCs w:val="20"/>
          <w:shd w:val="clear" w:color="auto" w:fill="FFFFFF"/>
        </w:rPr>
        <w:t>Asare</w:t>
      </w:r>
      <w:proofErr w:type="spellEnd"/>
      <w:r w:rsidRPr="00F4451A">
        <w:rPr>
          <w:rFonts w:cs="Arial"/>
          <w:color w:val="222222"/>
          <w:sz w:val="20"/>
          <w:szCs w:val="20"/>
          <w:shd w:val="clear" w:color="auto" w:fill="FFFFFF"/>
        </w:rPr>
        <w:t xml:space="preserve"> CY, </w:t>
      </w:r>
      <w:proofErr w:type="spellStart"/>
      <w:r w:rsidRPr="00F4451A">
        <w:rPr>
          <w:rFonts w:cs="Arial"/>
          <w:color w:val="222222"/>
          <w:sz w:val="20"/>
          <w:szCs w:val="20"/>
          <w:shd w:val="clear" w:color="auto" w:fill="FFFFFF"/>
        </w:rPr>
        <w:t>Akubia</w:t>
      </w:r>
      <w:proofErr w:type="spellEnd"/>
      <w:r w:rsidRPr="00F4451A">
        <w:rPr>
          <w:rFonts w:cs="Arial"/>
          <w:color w:val="222222"/>
          <w:sz w:val="20"/>
          <w:szCs w:val="20"/>
          <w:shd w:val="clear" w:color="auto" w:fill="FFFFFF"/>
        </w:rPr>
        <w:t xml:space="preserve"> YM, </w:t>
      </w:r>
      <w:proofErr w:type="spellStart"/>
      <w:r w:rsidRPr="00F4451A">
        <w:rPr>
          <w:rFonts w:cs="Arial"/>
          <w:color w:val="222222"/>
          <w:sz w:val="20"/>
          <w:szCs w:val="20"/>
          <w:shd w:val="clear" w:color="auto" w:fill="FFFFFF"/>
        </w:rPr>
        <w:t>Fagbemi</w:t>
      </w:r>
      <w:proofErr w:type="spellEnd"/>
      <w:r w:rsidRPr="00F4451A">
        <w:rPr>
          <w:rFonts w:cs="Arial"/>
          <w:color w:val="222222"/>
          <w:sz w:val="20"/>
          <w:szCs w:val="20"/>
          <w:shd w:val="clear" w:color="auto" w:fill="FFFFFF"/>
        </w:rPr>
        <w:t xml:space="preserve"> EO. </w:t>
      </w:r>
      <w:r w:rsidR="00F4451A" w:rsidRPr="00F4451A">
        <w:rPr>
          <w:rFonts w:cs="Arial"/>
          <w:color w:val="222222"/>
          <w:sz w:val="20"/>
          <w:szCs w:val="20"/>
          <w:shd w:val="clear" w:color="auto" w:fill="FFFFFF"/>
        </w:rPr>
        <w:t xml:space="preserve">(2024). </w:t>
      </w:r>
      <w:r w:rsidRPr="00F4451A">
        <w:rPr>
          <w:rFonts w:cs="Arial"/>
          <w:color w:val="222222"/>
          <w:sz w:val="20"/>
          <w:szCs w:val="20"/>
          <w:shd w:val="clear" w:color="auto" w:fill="FFFFFF"/>
        </w:rPr>
        <w:t>Food Safety and Road Safety Implications of Delivery Rider Practices in Accra, Ghana. Open Access Library Journal.;</w:t>
      </w:r>
      <w:proofErr w:type="gramStart"/>
      <w:r w:rsidRPr="00F4451A">
        <w:rPr>
          <w:rFonts w:cs="Arial"/>
          <w:color w:val="222222"/>
          <w:sz w:val="20"/>
          <w:szCs w:val="20"/>
          <w:shd w:val="clear" w:color="auto" w:fill="FFFFFF"/>
        </w:rPr>
        <w:t>11:e</w:t>
      </w:r>
      <w:proofErr w:type="gramEnd"/>
      <w:r w:rsidRPr="00F4451A">
        <w:rPr>
          <w:rFonts w:cs="Arial"/>
          <w:color w:val="222222"/>
          <w:sz w:val="20"/>
          <w:szCs w:val="20"/>
          <w:shd w:val="clear" w:color="auto" w:fill="FFFFFF"/>
        </w:rPr>
        <w:t xml:space="preserve">12170. </w:t>
      </w:r>
      <w:hyperlink r:id="rId25" w:history="1">
        <w:r w:rsidRPr="00F4451A">
          <w:rPr>
            <w:rStyle w:val="Hyperlink"/>
            <w:rFonts w:cs="Arial"/>
            <w:sz w:val="20"/>
            <w:szCs w:val="20"/>
            <w:shd w:val="clear" w:color="auto" w:fill="FFFFFF"/>
          </w:rPr>
          <w:t>https://doi.org/10.4236/oalib.1112170</w:t>
        </w:r>
      </w:hyperlink>
      <w:r w:rsidRPr="00F4451A">
        <w:rPr>
          <w:rFonts w:cs="Arial"/>
          <w:color w:val="222222"/>
          <w:sz w:val="20"/>
          <w:szCs w:val="20"/>
          <w:shd w:val="clear" w:color="auto" w:fill="FFFFFF"/>
        </w:rPr>
        <w:t xml:space="preserve">  </w:t>
      </w:r>
    </w:p>
    <w:p w14:paraId="3190DCB0"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Musa NE. </w:t>
      </w:r>
      <w:r w:rsidR="00F4451A" w:rsidRPr="00F4451A">
        <w:rPr>
          <w:rFonts w:cs="Arial"/>
          <w:color w:val="222222"/>
          <w:sz w:val="20"/>
          <w:szCs w:val="20"/>
          <w:shd w:val="clear" w:color="auto" w:fill="FFFFFF"/>
        </w:rPr>
        <w:t xml:space="preserve">(2017).  </w:t>
      </w:r>
      <w:r w:rsidRPr="00F4451A">
        <w:rPr>
          <w:rFonts w:cs="Arial"/>
          <w:iCs/>
          <w:color w:val="222222"/>
          <w:sz w:val="20"/>
          <w:szCs w:val="20"/>
          <w:shd w:val="clear" w:color="auto" w:fill="FFFFFF"/>
        </w:rPr>
        <w:t>Participatory action research to improve safety and hygiene practices among street food venders in Lusaka central business district</w:t>
      </w:r>
      <w:r w:rsidRPr="00F4451A">
        <w:rPr>
          <w:rFonts w:cs="Arial"/>
          <w:color w:val="222222"/>
          <w:sz w:val="20"/>
          <w:szCs w:val="20"/>
          <w:shd w:val="clear" w:color="auto" w:fill="FFFFFF"/>
        </w:rPr>
        <w:t xml:space="preserve"> (Doctoral </w:t>
      </w:r>
      <w:r w:rsidRPr="00F4451A">
        <w:rPr>
          <w:rFonts w:cs="Arial"/>
          <w:color w:val="222222"/>
          <w:sz w:val="20"/>
          <w:szCs w:val="20"/>
          <w:shd w:val="clear" w:color="auto" w:fill="FFFFFF"/>
        </w:rPr>
        <w:lastRenderedPageBreak/>
        <w:t xml:space="preserve">dissertation, The University of Zambia). Available at </w:t>
      </w:r>
      <w:hyperlink r:id="rId26" w:history="1">
        <w:r w:rsidRPr="00F4451A">
          <w:rPr>
            <w:rStyle w:val="Hyperlink"/>
            <w:rFonts w:cs="Arial"/>
            <w:sz w:val="20"/>
            <w:szCs w:val="20"/>
            <w:shd w:val="clear" w:color="auto" w:fill="FFFFFF"/>
          </w:rPr>
          <w:t>https://dspace.unza.zm/items/fde64cc4-4bcd-4eed-869c-48e8061d7751</w:t>
        </w:r>
      </w:hyperlink>
      <w:r w:rsidRPr="00F4451A">
        <w:rPr>
          <w:rFonts w:cs="Arial"/>
          <w:color w:val="222222"/>
          <w:sz w:val="20"/>
          <w:szCs w:val="20"/>
          <w:shd w:val="clear" w:color="auto" w:fill="FFFFFF"/>
        </w:rPr>
        <w:t xml:space="preserve"> </w:t>
      </w:r>
    </w:p>
    <w:p w14:paraId="1D6F2541"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Adi DD. </w:t>
      </w:r>
      <w:r w:rsidR="00F4451A" w:rsidRPr="00F4451A">
        <w:rPr>
          <w:rFonts w:cs="Arial"/>
          <w:color w:val="222222"/>
          <w:sz w:val="20"/>
          <w:szCs w:val="20"/>
          <w:shd w:val="clear" w:color="auto" w:fill="FFFFFF"/>
        </w:rPr>
        <w:t xml:space="preserve">(2024). </w:t>
      </w:r>
      <w:r w:rsidRPr="00F4451A">
        <w:rPr>
          <w:rFonts w:cs="Arial"/>
          <w:color w:val="222222"/>
          <w:sz w:val="20"/>
          <w:szCs w:val="20"/>
          <w:shd w:val="clear" w:color="auto" w:fill="FFFFFF"/>
        </w:rPr>
        <w:t xml:space="preserve">Assessment of the Microbial Contamination of Delivery Boxes of Food Delivery Personnel in Accra. International Journal of Nutrition and Food Sciences. Oct;13(5):227-38. </w:t>
      </w:r>
      <w:hyperlink r:id="rId27" w:history="1">
        <w:r w:rsidRPr="00F4451A">
          <w:rPr>
            <w:rStyle w:val="Hyperlink"/>
            <w:rFonts w:cs="Arial"/>
            <w:sz w:val="20"/>
            <w:szCs w:val="20"/>
            <w:shd w:val="clear" w:color="auto" w:fill="FFFFFF"/>
          </w:rPr>
          <w:t>https://doi.org/10.11648/j.ijnfs.20241305.18</w:t>
        </w:r>
      </w:hyperlink>
      <w:r w:rsidRPr="00F4451A">
        <w:rPr>
          <w:rFonts w:cs="Arial"/>
          <w:color w:val="222222"/>
          <w:sz w:val="20"/>
          <w:szCs w:val="20"/>
          <w:shd w:val="clear" w:color="auto" w:fill="FFFFFF"/>
        </w:rPr>
        <w:t xml:space="preserve"> </w:t>
      </w:r>
    </w:p>
    <w:p w14:paraId="4BF4F5DF" w14:textId="77777777" w:rsidR="002941D9" w:rsidRPr="00F4451A" w:rsidRDefault="002941D9" w:rsidP="00F4451A">
      <w:pPr>
        <w:pStyle w:val="nova-legacy-e-listitem"/>
        <w:numPr>
          <w:ilvl w:val="0"/>
          <w:numId w:val="31"/>
        </w:numPr>
        <w:shd w:val="clear" w:color="auto" w:fill="FFFFFF"/>
        <w:spacing w:after="160" w:afterAutospacing="0"/>
        <w:jc w:val="both"/>
        <w:rPr>
          <w:rFonts w:ascii="Arial" w:hAnsi="Arial" w:cs="Arial"/>
          <w:sz w:val="20"/>
          <w:szCs w:val="20"/>
        </w:rPr>
      </w:pPr>
      <w:r w:rsidRPr="00F4451A">
        <w:rPr>
          <w:rFonts w:ascii="Arial" w:hAnsi="Arial" w:cs="Arial"/>
          <w:color w:val="222222"/>
          <w:sz w:val="20"/>
          <w:szCs w:val="20"/>
          <w:shd w:val="clear" w:color="auto" w:fill="FFFFFF"/>
        </w:rPr>
        <w:t xml:space="preserve">Phiri BS, </w:t>
      </w:r>
      <w:proofErr w:type="spellStart"/>
      <w:r w:rsidRPr="00F4451A">
        <w:rPr>
          <w:rFonts w:ascii="Arial" w:hAnsi="Arial" w:cs="Arial"/>
          <w:color w:val="222222"/>
          <w:sz w:val="20"/>
          <w:szCs w:val="20"/>
          <w:shd w:val="clear" w:color="auto" w:fill="FFFFFF"/>
        </w:rPr>
        <w:t>Sakumona</w:t>
      </w:r>
      <w:proofErr w:type="spellEnd"/>
      <w:r w:rsidRPr="00F4451A">
        <w:rPr>
          <w:rFonts w:ascii="Arial" w:hAnsi="Arial" w:cs="Arial"/>
          <w:color w:val="222222"/>
          <w:sz w:val="20"/>
          <w:szCs w:val="20"/>
          <w:shd w:val="clear" w:color="auto" w:fill="FFFFFF"/>
        </w:rPr>
        <w:t xml:space="preserve"> M, </w:t>
      </w:r>
      <w:proofErr w:type="spellStart"/>
      <w:r w:rsidRPr="00F4451A">
        <w:rPr>
          <w:rFonts w:ascii="Arial" w:hAnsi="Arial" w:cs="Arial"/>
          <w:color w:val="222222"/>
          <w:sz w:val="20"/>
          <w:szCs w:val="20"/>
          <w:shd w:val="clear" w:color="auto" w:fill="FFFFFF"/>
        </w:rPr>
        <w:t>Hang'ombe</w:t>
      </w:r>
      <w:proofErr w:type="spellEnd"/>
      <w:r w:rsidRPr="00F4451A">
        <w:rPr>
          <w:rFonts w:ascii="Arial" w:hAnsi="Arial" w:cs="Arial"/>
          <w:color w:val="222222"/>
          <w:sz w:val="20"/>
          <w:szCs w:val="20"/>
          <w:shd w:val="clear" w:color="auto" w:fill="FFFFFF"/>
        </w:rPr>
        <w:t xml:space="preserve"> BM, Fetsch A, Schaarschmidt S. </w:t>
      </w:r>
      <w:r w:rsidR="00F4451A" w:rsidRPr="00F4451A">
        <w:rPr>
          <w:rFonts w:ascii="Arial" w:hAnsi="Arial" w:cs="Arial"/>
          <w:color w:val="222222"/>
          <w:sz w:val="20"/>
          <w:szCs w:val="20"/>
          <w:shd w:val="clear" w:color="auto" w:fill="FFFFFF"/>
        </w:rPr>
        <w:t xml:space="preserve">(2021). </w:t>
      </w:r>
      <w:r w:rsidRPr="00F4451A">
        <w:rPr>
          <w:rFonts w:ascii="Arial" w:hAnsi="Arial" w:cs="Arial"/>
          <w:color w:val="222222"/>
          <w:sz w:val="20"/>
          <w:szCs w:val="20"/>
          <w:shd w:val="clear" w:color="auto" w:fill="FFFFFF"/>
        </w:rPr>
        <w:t xml:space="preserve">The traditional dairy value chain in Zambia and potential risk factors to microbiological food safety. Food Control. Jun </w:t>
      </w:r>
      <w:proofErr w:type="gramStart"/>
      <w:r w:rsidRPr="00F4451A">
        <w:rPr>
          <w:rFonts w:ascii="Arial" w:hAnsi="Arial" w:cs="Arial"/>
          <w:color w:val="222222"/>
          <w:sz w:val="20"/>
          <w:szCs w:val="20"/>
          <w:shd w:val="clear" w:color="auto" w:fill="FFFFFF"/>
        </w:rPr>
        <w:t>1;124:107885</w:t>
      </w:r>
      <w:proofErr w:type="gramEnd"/>
      <w:r w:rsidRPr="00F4451A">
        <w:rPr>
          <w:rFonts w:ascii="Arial" w:hAnsi="Arial" w:cs="Arial"/>
          <w:color w:val="222222"/>
          <w:sz w:val="20"/>
          <w:szCs w:val="20"/>
          <w:shd w:val="clear" w:color="auto" w:fill="FFFFFF"/>
        </w:rPr>
        <w:t xml:space="preserve">. </w:t>
      </w:r>
      <w:hyperlink r:id="rId28" w:history="1">
        <w:r w:rsidRPr="00F4451A">
          <w:rPr>
            <w:rStyle w:val="Hyperlink"/>
            <w:rFonts w:ascii="Arial" w:hAnsi="Arial" w:cs="Arial"/>
            <w:sz w:val="20"/>
            <w:szCs w:val="20"/>
            <w:shd w:val="clear" w:color="auto" w:fill="FFFFFF"/>
          </w:rPr>
          <w:t>https://doi.org/</w:t>
        </w:r>
        <w:r w:rsidRPr="00F4451A">
          <w:rPr>
            <w:rStyle w:val="Hyperlink"/>
            <w:rFonts w:ascii="Arial" w:hAnsi="Arial" w:cs="Arial"/>
            <w:sz w:val="20"/>
            <w:szCs w:val="20"/>
          </w:rPr>
          <w:t>10.1016/j.foodcont.2021.107885</w:t>
        </w:r>
      </w:hyperlink>
      <w:r w:rsidRPr="00F4451A">
        <w:rPr>
          <w:rFonts w:ascii="Arial" w:hAnsi="Arial" w:cs="Arial"/>
          <w:color w:val="525254"/>
          <w:sz w:val="20"/>
          <w:szCs w:val="20"/>
        </w:rPr>
        <w:t xml:space="preserve">  </w:t>
      </w:r>
    </w:p>
    <w:p w14:paraId="0F893BE3" w14:textId="77777777" w:rsidR="002941D9" w:rsidRPr="00F4451A" w:rsidRDefault="002941D9" w:rsidP="00F4451A">
      <w:pPr>
        <w:pStyle w:val="nova-legacy-e-listitem"/>
        <w:numPr>
          <w:ilvl w:val="0"/>
          <w:numId w:val="31"/>
        </w:numPr>
        <w:shd w:val="clear" w:color="auto" w:fill="FFFFFF"/>
        <w:spacing w:before="0" w:after="0"/>
        <w:jc w:val="both"/>
        <w:rPr>
          <w:rFonts w:ascii="Arial" w:hAnsi="Arial" w:cs="Arial"/>
          <w:sz w:val="20"/>
          <w:szCs w:val="20"/>
        </w:rPr>
      </w:pPr>
      <w:proofErr w:type="spellStart"/>
      <w:r w:rsidRPr="00F4451A">
        <w:rPr>
          <w:rFonts w:ascii="Arial" w:hAnsi="Arial" w:cs="Arial"/>
          <w:color w:val="222222"/>
          <w:sz w:val="20"/>
          <w:szCs w:val="20"/>
          <w:shd w:val="clear" w:color="auto" w:fill="FFFFFF"/>
        </w:rPr>
        <w:t>Mumbula</w:t>
      </w:r>
      <w:proofErr w:type="spellEnd"/>
      <w:r w:rsidRPr="00F4451A">
        <w:rPr>
          <w:rFonts w:ascii="Arial" w:hAnsi="Arial" w:cs="Arial"/>
          <w:color w:val="222222"/>
          <w:sz w:val="20"/>
          <w:szCs w:val="20"/>
          <w:shd w:val="clear" w:color="auto" w:fill="FFFFFF"/>
        </w:rPr>
        <w:t xml:space="preserve"> I, </w:t>
      </w:r>
      <w:proofErr w:type="spellStart"/>
      <w:r w:rsidRPr="00F4451A">
        <w:rPr>
          <w:rFonts w:ascii="Arial" w:hAnsi="Arial" w:cs="Arial"/>
          <w:color w:val="222222"/>
          <w:sz w:val="20"/>
          <w:szCs w:val="20"/>
          <w:shd w:val="clear" w:color="auto" w:fill="FFFFFF"/>
        </w:rPr>
        <w:t>Nyunja</w:t>
      </w:r>
      <w:proofErr w:type="spellEnd"/>
      <w:r w:rsidRPr="00F4451A">
        <w:rPr>
          <w:rFonts w:ascii="Arial" w:hAnsi="Arial" w:cs="Arial"/>
          <w:color w:val="222222"/>
          <w:sz w:val="20"/>
          <w:szCs w:val="20"/>
          <w:shd w:val="clear" w:color="auto" w:fill="FFFFFF"/>
        </w:rPr>
        <w:t xml:space="preserve"> R, Chungu D. </w:t>
      </w:r>
      <w:r w:rsidR="00F4451A" w:rsidRPr="00F4451A">
        <w:rPr>
          <w:rFonts w:ascii="Arial" w:hAnsi="Arial" w:cs="Arial"/>
          <w:color w:val="222222"/>
          <w:sz w:val="20"/>
          <w:szCs w:val="20"/>
          <w:shd w:val="clear" w:color="auto" w:fill="FFFFFF"/>
        </w:rPr>
        <w:t xml:space="preserve">(2022) </w:t>
      </w:r>
      <w:r w:rsidRPr="00F4451A">
        <w:rPr>
          <w:rFonts w:ascii="Arial" w:hAnsi="Arial" w:cs="Arial"/>
          <w:color w:val="222222"/>
          <w:sz w:val="20"/>
          <w:szCs w:val="20"/>
          <w:shd w:val="clear" w:color="auto" w:fill="FFFFFF"/>
        </w:rPr>
        <w:t>Microbial load of edible termites (</w:t>
      </w:r>
      <w:proofErr w:type="spellStart"/>
      <w:r w:rsidRPr="00F4451A">
        <w:rPr>
          <w:rFonts w:ascii="Arial" w:hAnsi="Arial" w:cs="Arial"/>
          <w:color w:val="222222"/>
          <w:sz w:val="20"/>
          <w:szCs w:val="20"/>
          <w:shd w:val="clear" w:color="auto" w:fill="FFFFFF"/>
        </w:rPr>
        <w:t>macroterme</w:t>
      </w:r>
      <w:proofErr w:type="spellEnd"/>
      <w:r w:rsidRPr="00F4451A">
        <w:rPr>
          <w:rFonts w:ascii="Arial" w:hAnsi="Arial" w:cs="Arial"/>
          <w:color w:val="222222"/>
          <w:sz w:val="20"/>
          <w:szCs w:val="20"/>
          <w:shd w:val="clear" w:color="auto" w:fill="FFFFFF"/>
        </w:rPr>
        <w:t xml:space="preserve"> spp.) from collection to marketing in </w:t>
      </w:r>
      <w:proofErr w:type="spellStart"/>
      <w:r w:rsidRPr="00F4451A">
        <w:rPr>
          <w:rFonts w:ascii="Arial" w:hAnsi="Arial" w:cs="Arial"/>
          <w:color w:val="222222"/>
          <w:sz w:val="20"/>
          <w:szCs w:val="20"/>
          <w:shd w:val="clear" w:color="auto" w:fill="FFFFFF"/>
        </w:rPr>
        <w:t>Serenje</w:t>
      </w:r>
      <w:proofErr w:type="spellEnd"/>
      <w:r w:rsidRPr="00F4451A">
        <w:rPr>
          <w:rFonts w:ascii="Arial" w:hAnsi="Arial" w:cs="Arial"/>
          <w:color w:val="222222"/>
          <w:sz w:val="20"/>
          <w:szCs w:val="20"/>
          <w:shd w:val="clear" w:color="auto" w:fill="FFFFFF"/>
        </w:rPr>
        <w:t xml:space="preserve"> District, Central Zambia. Journal of Insects as Food and Feed. May 24;8(5):557-64</w:t>
      </w:r>
      <w:r w:rsidRPr="00F4451A">
        <w:rPr>
          <w:rFonts w:ascii="Arial" w:hAnsi="Arial" w:cs="Arial"/>
          <w:sz w:val="20"/>
          <w:szCs w:val="20"/>
        </w:rPr>
        <w:t xml:space="preserve">. </w:t>
      </w:r>
      <w:hyperlink r:id="rId29" w:history="1">
        <w:r w:rsidRPr="00F4451A">
          <w:rPr>
            <w:rStyle w:val="Hyperlink"/>
            <w:rFonts w:ascii="Arial" w:hAnsi="Arial" w:cs="Arial"/>
            <w:sz w:val="20"/>
            <w:szCs w:val="20"/>
            <w:shd w:val="clear" w:color="auto" w:fill="FFFFFF"/>
          </w:rPr>
          <w:t>https://doi.org/10.3920/JIFF2021.0091</w:t>
        </w:r>
      </w:hyperlink>
      <w:r w:rsidRPr="00F4451A">
        <w:rPr>
          <w:rFonts w:ascii="Arial" w:hAnsi="Arial" w:cs="Arial"/>
          <w:color w:val="222222"/>
          <w:sz w:val="20"/>
          <w:szCs w:val="20"/>
          <w:shd w:val="clear" w:color="auto" w:fill="FFFFFF"/>
        </w:rPr>
        <w:t xml:space="preserve"> </w:t>
      </w:r>
    </w:p>
    <w:p w14:paraId="1ECB3F12" w14:textId="77777777" w:rsidR="002941D9"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r w:rsidRPr="00F4451A">
        <w:rPr>
          <w:rFonts w:ascii="Arial" w:hAnsi="Arial" w:cs="Arial"/>
          <w:color w:val="222222"/>
          <w:sz w:val="20"/>
          <w:szCs w:val="20"/>
          <w:shd w:val="clear" w:color="auto" w:fill="FFFFFF"/>
        </w:rPr>
        <w:t xml:space="preserve">Mulungu C, </w:t>
      </w:r>
      <w:proofErr w:type="spellStart"/>
      <w:r w:rsidRPr="00F4451A">
        <w:rPr>
          <w:rFonts w:ascii="Arial" w:hAnsi="Arial" w:cs="Arial"/>
          <w:color w:val="222222"/>
          <w:sz w:val="20"/>
          <w:szCs w:val="20"/>
          <w:shd w:val="clear" w:color="auto" w:fill="FFFFFF"/>
        </w:rPr>
        <w:t>Kapungwe</w:t>
      </w:r>
      <w:proofErr w:type="spellEnd"/>
      <w:r w:rsidRPr="00F4451A">
        <w:rPr>
          <w:rFonts w:ascii="Arial" w:hAnsi="Arial" w:cs="Arial"/>
          <w:color w:val="222222"/>
          <w:sz w:val="20"/>
          <w:szCs w:val="20"/>
          <w:shd w:val="clear" w:color="auto" w:fill="FFFFFF"/>
        </w:rPr>
        <w:t xml:space="preserve"> M, </w:t>
      </w:r>
      <w:proofErr w:type="spellStart"/>
      <w:r w:rsidRPr="00F4451A">
        <w:rPr>
          <w:rFonts w:ascii="Arial" w:hAnsi="Arial" w:cs="Arial"/>
          <w:color w:val="222222"/>
          <w:sz w:val="20"/>
          <w:szCs w:val="20"/>
          <w:shd w:val="clear" w:color="auto" w:fill="FFFFFF"/>
        </w:rPr>
        <w:t>Shimunzhila</w:t>
      </w:r>
      <w:proofErr w:type="spellEnd"/>
      <w:r w:rsidRPr="00F4451A">
        <w:rPr>
          <w:rFonts w:ascii="Arial" w:hAnsi="Arial" w:cs="Arial"/>
          <w:color w:val="222222"/>
          <w:sz w:val="20"/>
          <w:szCs w:val="20"/>
          <w:shd w:val="clear" w:color="auto" w:fill="FFFFFF"/>
        </w:rPr>
        <w:t xml:space="preserve"> L, </w:t>
      </w:r>
      <w:proofErr w:type="spellStart"/>
      <w:r w:rsidRPr="00F4451A">
        <w:rPr>
          <w:rFonts w:ascii="Arial" w:hAnsi="Arial" w:cs="Arial"/>
          <w:color w:val="222222"/>
          <w:sz w:val="20"/>
          <w:szCs w:val="20"/>
          <w:shd w:val="clear" w:color="auto" w:fill="FFFFFF"/>
        </w:rPr>
        <w:t>Simushi</w:t>
      </w:r>
      <w:proofErr w:type="spellEnd"/>
      <w:r w:rsidRPr="00F4451A">
        <w:rPr>
          <w:rFonts w:ascii="Arial" w:hAnsi="Arial" w:cs="Arial"/>
          <w:color w:val="222222"/>
          <w:sz w:val="20"/>
          <w:szCs w:val="20"/>
          <w:shd w:val="clear" w:color="auto" w:fill="FFFFFF"/>
        </w:rPr>
        <w:t xml:space="preserve"> L. </w:t>
      </w:r>
      <w:r w:rsidR="00F4451A" w:rsidRPr="00F4451A">
        <w:rPr>
          <w:rFonts w:ascii="Arial" w:hAnsi="Arial" w:cs="Arial"/>
          <w:color w:val="222222"/>
          <w:sz w:val="20"/>
          <w:szCs w:val="20"/>
          <w:shd w:val="clear" w:color="auto" w:fill="FFFFFF"/>
        </w:rPr>
        <w:t xml:space="preserve">(2024). </w:t>
      </w:r>
      <w:r w:rsidRPr="00F4451A">
        <w:rPr>
          <w:rFonts w:ascii="Arial" w:hAnsi="Arial" w:cs="Arial"/>
          <w:color w:val="222222"/>
          <w:sz w:val="20"/>
          <w:szCs w:val="20"/>
          <w:shd w:val="clear" w:color="auto" w:fill="FFFFFF"/>
        </w:rPr>
        <w:t xml:space="preserve">Dimensionality of food safety and hygiene training programs for food handlers in Lusaka, Zambia. Journal of Food Safety and Hygiene. Jul 27;10(2):156-69. </w:t>
      </w:r>
      <w:hyperlink r:id="rId30" w:history="1">
        <w:r w:rsidRPr="00F4451A">
          <w:rPr>
            <w:rStyle w:val="Hyperlink"/>
            <w:rFonts w:ascii="Arial" w:hAnsi="Arial" w:cs="Arial"/>
            <w:sz w:val="20"/>
            <w:szCs w:val="20"/>
            <w:shd w:val="clear" w:color="auto" w:fill="FFFFFF"/>
          </w:rPr>
          <w:t>https://doi.org/10.18502/jfsh.v10i2.17688</w:t>
        </w:r>
      </w:hyperlink>
      <w:r w:rsidRPr="00F4451A">
        <w:rPr>
          <w:rFonts w:ascii="Arial" w:hAnsi="Arial" w:cs="Arial"/>
          <w:color w:val="222222"/>
          <w:sz w:val="20"/>
          <w:szCs w:val="20"/>
          <w:shd w:val="clear" w:color="auto" w:fill="FFFFFF"/>
        </w:rPr>
        <w:t xml:space="preserve"> </w:t>
      </w:r>
    </w:p>
    <w:p w14:paraId="763F5394" w14:textId="77777777" w:rsidR="002941D9"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r w:rsidRPr="00F4451A">
        <w:rPr>
          <w:rFonts w:ascii="Arial" w:hAnsi="Arial" w:cs="Arial"/>
          <w:color w:val="222222"/>
          <w:sz w:val="20"/>
          <w:szCs w:val="20"/>
          <w:shd w:val="clear" w:color="auto" w:fill="FFFFFF"/>
        </w:rPr>
        <w:t xml:space="preserve">Barbosa J, Albano H, Silva CP, Teixeira P. </w:t>
      </w:r>
      <w:r w:rsidR="00F4451A" w:rsidRPr="00F4451A">
        <w:rPr>
          <w:rFonts w:ascii="Arial" w:hAnsi="Arial" w:cs="Arial"/>
          <w:color w:val="222222"/>
          <w:sz w:val="20"/>
          <w:szCs w:val="20"/>
          <w:shd w:val="clear" w:color="auto" w:fill="FFFFFF"/>
        </w:rPr>
        <w:t xml:space="preserve">(2019). </w:t>
      </w:r>
      <w:r w:rsidRPr="00F4451A">
        <w:rPr>
          <w:rFonts w:ascii="Arial" w:hAnsi="Arial" w:cs="Arial"/>
          <w:color w:val="222222"/>
          <w:sz w:val="20"/>
          <w:szCs w:val="20"/>
          <w:shd w:val="clear" w:color="auto" w:fill="FFFFFF"/>
        </w:rPr>
        <w:t xml:space="preserve">Microbiological contamination of reusable plastic bags for food transportation. Food Control. May </w:t>
      </w:r>
      <w:proofErr w:type="gramStart"/>
      <w:r w:rsidRPr="00F4451A">
        <w:rPr>
          <w:rFonts w:ascii="Arial" w:hAnsi="Arial" w:cs="Arial"/>
          <w:color w:val="222222"/>
          <w:sz w:val="20"/>
          <w:szCs w:val="20"/>
          <w:shd w:val="clear" w:color="auto" w:fill="FFFFFF"/>
        </w:rPr>
        <w:t>1;99:158</w:t>
      </w:r>
      <w:proofErr w:type="gramEnd"/>
      <w:r w:rsidRPr="00F4451A">
        <w:rPr>
          <w:rFonts w:ascii="Arial" w:hAnsi="Arial" w:cs="Arial"/>
          <w:color w:val="222222"/>
          <w:sz w:val="20"/>
          <w:szCs w:val="20"/>
          <w:shd w:val="clear" w:color="auto" w:fill="FFFFFF"/>
        </w:rPr>
        <w:t xml:space="preserve">-63. </w:t>
      </w:r>
      <w:hyperlink r:id="rId31" w:history="1">
        <w:r w:rsidRPr="00F4451A">
          <w:rPr>
            <w:rStyle w:val="Hyperlink"/>
            <w:rFonts w:ascii="Arial" w:hAnsi="Arial" w:cs="Arial"/>
            <w:color w:val="4A90E2"/>
            <w:sz w:val="20"/>
            <w:szCs w:val="20"/>
          </w:rPr>
          <w:t>http://hdl.handle.net/10400.14/26787</w:t>
        </w:r>
      </w:hyperlink>
    </w:p>
    <w:p w14:paraId="76763DE3" w14:textId="77777777" w:rsidR="002941D9"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proofErr w:type="spellStart"/>
      <w:r w:rsidRPr="00F4451A">
        <w:rPr>
          <w:rFonts w:ascii="Arial" w:hAnsi="Arial" w:cs="Arial"/>
          <w:color w:val="222222"/>
          <w:sz w:val="20"/>
          <w:szCs w:val="20"/>
          <w:shd w:val="clear" w:color="auto" w:fill="FFFFFF"/>
        </w:rPr>
        <w:t>Korakot</w:t>
      </w:r>
      <w:proofErr w:type="spellEnd"/>
      <w:r w:rsidRPr="00F4451A">
        <w:rPr>
          <w:rFonts w:ascii="Arial" w:hAnsi="Arial" w:cs="Arial"/>
          <w:color w:val="222222"/>
          <w:sz w:val="20"/>
          <w:szCs w:val="20"/>
          <w:shd w:val="clear" w:color="auto" w:fill="FFFFFF"/>
        </w:rPr>
        <w:t xml:space="preserve"> C, Kim SY, Shin YJ, Jung HM, Park JM. </w:t>
      </w:r>
      <w:r w:rsidR="00F4451A" w:rsidRPr="00F4451A">
        <w:rPr>
          <w:rFonts w:ascii="Arial" w:hAnsi="Arial" w:cs="Arial"/>
          <w:color w:val="222222"/>
          <w:sz w:val="20"/>
          <w:szCs w:val="20"/>
          <w:shd w:val="clear" w:color="auto" w:fill="FFFFFF"/>
        </w:rPr>
        <w:t xml:space="preserve">(2022). </w:t>
      </w:r>
      <w:r w:rsidRPr="00F4451A">
        <w:rPr>
          <w:rFonts w:ascii="Arial" w:hAnsi="Arial" w:cs="Arial"/>
          <w:color w:val="222222"/>
          <w:sz w:val="20"/>
          <w:szCs w:val="20"/>
          <w:shd w:val="clear" w:color="auto" w:fill="FFFFFF"/>
        </w:rPr>
        <w:t xml:space="preserve">Measurement of delivery service environment for cold chain eps packaging system of fresh food. Korean Journal of Packaging Science &amp; Technology.;28(1):67-73. </w:t>
      </w:r>
      <w:hyperlink r:id="rId32" w:history="1">
        <w:r w:rsidRPr="00F4451A">
          <w:rPr>
            <w:rStyle w:val="Hyperlink"/>
            <w:rFonts w:ascii="Arial" w:hAnsi="Arial" w:cs="Arial"/>
            <w:sz w:val="20"/>
            <w:szCs w:val="20"/>
            <w:shd w:val="clear" w:color="auto" w:fill="FFFFFF"/>
          </w:rPr>
          <w:t>https://doi.org/10.20909/kopast.2022.28.1.67</w:t>
        </w:r>
      </w:hyperlink>
      <w:r w:rsidRPr="00F4451A">
        <w:rPr>
          <w:rFonts w:ascii="Arial" w:hAnsi="Arial" w:cs="Arial"/>
          <w:color w:val="222222"/>
          <w:sz w:val="20"/>
          <w:szCs w:val="20"/>
          <w:shd w:val="clear" w:color="auto" w:fill="FFFFFF"/>
        </w:rPr>
        <w:t xml:space="preserve"> </w:t>
      </w:r>
    </w:p>
    <w:p w14:paraId="313127AD" w14:textId="77777777" w:rsidR="002941D9" w:rsidRPr="00F4451A" w:rsidRDefault="002941D9" w:rsidP="00F4451A">
      <w:pPr>
        <w:numPr>
          <w:ilvl w:val="0"/>
          <w:numId w:val="31"/>
        </w:numPr>
        <w:shd w:val="clear" w:color="auto" w:fill="FFFFFF"/>
        <w:spacing w:before="100" w:beforeAutospacing="1" w:after="160" w:afterAutospacing="1"/>
        <w:jc w:val="both"/>
        <w:rPr>
          <w:rFonts w:ascii="Arial" w:hAnsi="Arial" w:cs="Arial"/>
        </w:rPr>
      </w:pPr>
      <w:proofErr w:type="spellStart"/>
      <w:r w:rsidRPr="00F4451A">
        <w:rPr>
          <w:rFonts w:ascii="Arial" w:hAnsi="Arial" w:cs="Arial"/>
          <w:color w:val="222222"/>
          <w:shd w:val="clear" w:color="auto" w:fill="FFFFFF"/>
        </w:rPr>
        <w:t>Wasserlauf</w:t>
      </w:r>
      <w:proofErr w:type="spellEnd"/>
      <w:r w:rsidRPr="00F4451A">
        <w:rPr>
          <w:rFonts w:ascii="Arial" w:hAnsi="Arial" w:cs="Arial"/>
          <w:color w:val="222222"/>
          <w:shd w:val="clear" w:color="auto" w:fill="FFFFFF"/>
        </w:rPr>
        <w:t xml:space="preserve">-Pepper ZD, </w:t>
      </w:r>
      <w:proofErr w:type="spellStart"/>
      <w:r w:rsidRPr="00F4451A">
        <w:rPr>
          <w:rFonts w:ascii="Arial" w:hAnsi="Arial" w:cs="Arial"/>
          <w:color w:val="222222"/>
          <w:shd w:val="clear" w:color="auto" w:fill="FFFFFF"/>
        </w:rPr>
        <w:t>Su</w:t>
      </w:r>
      <w:proofErr w:type="spellEnd"/>
      <w:r w:rsidRPr="00F4451A">
        <w:rPr>
          <w:rFonts w:ascii="Arial" w:hAnsi="Arial" w:cs="Arial"/>
          <w:color w:val="222222"/>
          <w:shd w:val="clear" w:color="auto" w:fill="FFFFFF"/>
        </w:rPr>
        <w:t xml:space="preserve"> J, </w:t>
      </w:r>
      <w:proofErr w:type="spellStart"/>
      <w:r w:rsidRPr="00F4451A">
        <w:rPr>
          <w:rFonts w:ascii="Arial" w:hAnsi="Arial" w:cs="Arial"/>
          <w:color w:val="222222"/>
          <w:shd w:val="clear" w:color="auto" w:fill="FFFFFF"/>
        </w:rPr>
        <w:t>Trmcic</w:t>
      </w:r>
      <w:proofErr w:type="spellEnd"/>
      <w:r w:rsidRPr="00F4451A">
        <w:rPr>
          <w:rFonts w:ascii="Arial" w:hAnsi="Arial" w:cs="Arial"/>
          <w:color w:val="222222"/>
          <w:shd w:val="clear" w:color="auto" w:fill="FFFFFF"/>
        </w:rPr>
        <w:t xml:space="preserve"> A, Martin N. </w:t>
      </w:r>
      <w:r w:rsidR="00F4451A" w:rsidRPr="00F4451A">
        <w:rPr>
          <w:rFonts w:ascii="Arial" w:hAnsi="Arial" w:cs="Arial"/>
          <w:color w:val="222222"/>
          <w:shd w:val="clear" w:color="auto" w:fill="FFFFFF"/>
        </w:rPr>
        <w:t xml:space="preserve">(2025). </w:t>
      </w:r>
      <w:r w:rsidRPr="00F4451A">
        <w:rPr>
          <w:rFonts w:ascii="Arial" w:hAnsi="Arial" w:cs="Arial"/>
          <w:color w:val="222222"/>
          <w:shd w:val="clear" w:color="auto" w:fill="FFFFFF"/>
        </w:rPr>
        <w:t xml:space="preserve">Variability of temperature exposure of dairy products during refrigerated e-commerce distribution and its impact on dairy quality. Journal of Dairy Science. Sep 11. </w:t>
      </w:r>
      <w:hyperlink r:id="rId33" w:history="1">
        <w:r w:rsidRPr="00F4451A">
          <w:rPr>
            <w:rStyle w:val="Hyperlink"/>
            <w:rFonts w:ascii="Arial" w:hAnsi="Arial" w:cs="Arial"/>
            <w:shd w:val="clear" w:color="auto" w:fill="FFFFFF"/>
          </w:rPr>
          <w:t>https://doi.org/10.3168/jds2025-27108</w:t>
        </w:r>
      </w:hyperlink>
      <w:r w:rsidRPr="00F4451A">
        <w:rPr>
          <w:rFonts w:ascii="Arial" w:hAnsi="Arial" w:cs="Arial"/>
          <w:color w:val="222222"/>
          <w:shd w:val="clear" w:color="auto" w:fill="FFFFFF"/>
        </w:rPr>
        <w:t xml:space="preserve"> </w:t>
      </w:r>
    </w:p>
    <w:p w14:paraId="45CBD537"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Budhathoki</w:t>
      </w:r>
      <w:proofErr w:type="spellEnd"/>
      <w:r w:rsidRPr="00F4451A">
        <w:rPr>
          <w:rFonts w:cs="Arial"/>
          <w:color w:val="222222"/>
          <w:sz w:val="20"/>
          <w:szCs w:val="20"/>
          <w:shd w:val="clear" w:color="auto" w:fill="FFFFFF"/>
        </w:rPr>
        <w:t xml:space="preserve"> AK, </w:t>
      </w:r>
      <w:proofErr w:type="spellStart"/>
      <w:r w:rsidRPr="00F4451A">
        <w:rPr>
          <w:rFonts w:cs="Arial"/>
          <w:color w:val="222222"/>
          <w:sz w:val="20"/>
          <w:szCs w:val="20"/>
          <w:shd w:val="clear" w:color="auto" w:fill="FFFFFF"/>
        </w:rPr>
        <w:t>Pudasaini</w:t>
      </w:r>
      <w:proofErr w:type="spellEnd"/>
      <w:r w:rsidRPr="00F4451A">
        <w:rPr>
          <w:rFonts w:cs="Arial"/>
          <w:color w:val="222222"/>
          <w:sz w:val="20"/>
          <w:szCs w:val="20"/>
          <w:shd w:val="clear" w:color="auto" w:fill="FFFFFF"/>
        </w:rPr>
        <w:t xml:space="preserve"> D, Gurung G, Neupane M. </w:t>
      </w:r>
      <w:r w:rsidR="00F4451A" w:rsidRPr="00F4451A">
        <w:rPr>
          <w:rFonts w:cs="Arial"/>
          <w:color w:val="222222"/>
          <w:sz w:val="20"/>
          <w:szCs w:val="20"/>
          <w:shd w:val="clear" w:color="auto" w:fill="FFFFFF"/>
        </w:rPr>
        <w:t xml:space="preserve">(2021). </w:t>
      </w:r>
      <w:r w:rsidRPr="00F4451A">
        <w:rPr>
          <w:rFonts w:cs="Arial"/>
          <w:color w:val="222222"/>
          <w:sz w:val="20"/>
          <w:szCs w:val="20"/>
          <w:shd w:val="clear" w:color="auto" w:fill="FFFFFF"/>
        </w:rPr>
        <w:t xml:space="preserve">Microbiological Study of Food Packaging Paper of Kathmandu Valley. Tribhuvan University Journal of Microbiology. Dec 31:18-25. </w:t>
      </w:r>
      <w:hyperlink r:id="rId34" w:history="1">
        <w:r w:rsidRPr="00F4451A">
          <w:rPr>
            <w:rStyle w:val="Hyperlink"/>
            <w:rFonts w:cs="Arial"/>
            <w:color w:val="008ACB"/>
            <w:sz w:val="20"/>
            <w:szCs w:val="20"/>
            <w:shd w:val="clear" w:color="auto" w:fill="FFFFFF"/>
          </w:rPr>
          <w:t>https://doi.org/10.3126/tujm.v8i1.41189</w:t>
        </w:r>
      </w:hyperlink>
      <w:r w:rsidRPr="00F4451A">
        <w:rPr>
          <w:rFonts w:cs="Arial"/>
          <w:sz w:val="20"/>
          <w:szCs w:val="20"/>
        </w:rPr>
        <w:t xml:space="preserve"> </w:t>
      </w:r>
    </w:p>
    <w:p w14:paraId="37BF6FC1"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Ayatollahi</w:t>
      </w:r>
      <w:proofErr w:type="spellEnd"/>
      <w:r w:rsidRPr="00F4451A">
        <w:rPr>
          <w:rFonts w:cs="Arial"/>
          <w:color w:val="222222"/>
          <w:sz w:val="20"/>
          <w:szCs w:val="20"/>
          <w:shd w:val="clear" w:color="auto" w:fill="FFFFFF"/>
        </w:rPr>
        <w:t xml:space="preserve"> AA, </w:t>
      </w:r>
      <w:proofErr w:type="spellStart"/>
      <w:r w:rsidRPr="00F4451A">
        <w:rPr>
          <w:rFonts w:cs="Arial"/>
          <w:color w:val="222222"/>
          <w:sz w:val="20"/>
          <w:szCs w:val="20"/>
          <w:shd w:val="clear" w:color="auto" w:fill="FFFFFF"/>
        </w:rPr>
        <w:t>Amini</w:t>
      </w:r>
      <w:proofErr w:type="spellEnd"/>
      <w:r w:rsidRPr="00F4451A">
        <w:rPr>
          <w:rFonts w:cs="Arial"/>
          <w:color w:val="222222"/>
          <w:sz w:val="20"/>
          <w:szCs w:val="20"/>
          <w:shd w:val="clear" w:color="auto" w:fill="FFFFFF"/>
        </w:rPr>
        <w:t xml:space="preserve"> A, Rahimi S, </w:t>
      </w:r>
      <w:proofErr w:type="spellStart"/>
      <w:r w:rsidRPr="00F4451A">
        <w:rPr>
          <w:rFonts w:cs="Arial"/>
          <w:color w:val="222222"/>
          <w:sz w:val="20"/>
          <w:szCs w:val="20"/>
          <w:shd w:val="clear" w:color="auto" w:fill="FFFFFF"/>
        </w:rPr>
        <w:t>Takrami</w:t>
      </w:r>
      <w:proofErr w:type="spellEnd"/>
      <w:r w:rsidRPr="00F4451A">
        <w:rPr>
          <w:rFonts w:cs="Arial"/>
          <w:color w:val="222222"/>
          <w:sz w:val="20"/>
          <w:szCs w:val="20"/>
          <w:shd w:val="clear" w:color="auto" w:fill="FFFFFF"/>
        </w:rPr>
        <w:t xml:space="preserve"> SR, </w:t>
      </w:r>
      <w:proofErr w:type="spellStart"/>
      <w:r w:rsidRPr="00F4451A">
        <w:rPr>
          <w:rFonts w:cs="Arial"/>
          <w:color w:val="222222"/>
          <w:sz w:val="20"/>
          <w:szCs w:val="20"/>
          <w:shd w:val="clear" w:color="auto" w:fill="FFFFFF"/>
        </w:rPr>
        <w:t>Darsanaki</w:t>
      </w:r>
      <w:proofErr w:type="spellEnd"/>
      <w:r w:rsidRPr="00F4451A">
        <w:rPr>
          <w:rFonts w:cs="Arial"/>
          <w:color w:val="222222"/>
          <w:sz w:val="20"/>
          <w:szCs w:val="20"/>
          <w:shd w:val="clear" w:color="auto" w:fill="FFFFFF"/>
        </w:rPr>
        <w:t xml:space="preserve"> RK, Nezhad MS. </w:t>
      </w:r>
      <w:r w:rsidR="00F4451A" w:rsidRPr="00F4451A">
        <w:rPr>
          <w:rFonts w:cs="Arial"/>
          <w:color w:val="222222"/>
          <w:sz w:val="20"/>
          <w:szCs w:val="20"/>
          <w:shd w:val="clear" w:color="auto" w:fill="FFFFFF"/>
        </w:rPr>
        <w:t xml:space="preserve">(2017). </w:t>
      </w:r>
      <w:r w:rsidRPr="00F4451A">
        <w:rPr>
          <w:rFonts w:cs="Arial"/>
          <w:color w:val="222222"/>
          <w:sz w:val="20"/>
          <w:szCs w:val="20"/>
          <w:shd w:val="clear" w:color="auto" w:fill="FFFFFF"/>
        </w:rPr>
        <w:t xml:space="preserve">Prevalence of gram-negative bacilli isolated from the equipment and surfaces in hospital wards of Golestan Province, north of Iran. European Journal of Microbiology and Immunology. Dec;7(4):261-6. </w:t>
      </w:r>
      <w:hyperlink r:id="rId35" w:history="1">
        <w:r w:rsidRPr="00F4451A">
          <w:rPr>
            <w:rStyle w:val="Hyperlink"/>
            <w:rFonts w:cs="Arial"/>
            <w:sz w:val="20"/>
            <w:szCs w:val="20"/>
            <w:shd w:val="clear" w:color="auto" w:fill="FFFFFF"/>
          </w:rPr>
          <w:t>https://doi.org/10.1556/1886.2017.00015</w:t>
        </w:r>
      </w:hyperlink>
      <w:r w:rsidRPr="00F4451A">
        <w:rPr>
          <w:rFonts w:cs="Arial"/>
          <w:color w:val="222222"/>
          <w:sz w:val="20"/>
          <w:szCs w:val="20"/>
          <w:shd w:val="clear" w:color="auto" w:fill="FFFFFF"/>
        </w:rPr>
        <w:t xml:space="preserve"> </w:t>
      </w:r>
    </w:p>
    <w:p w14:paraId="462F119C"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Riwu</w:t>
      </w:r>
      <w:proofErr w:type="spellEnd"/>
      <w:r w:rsidRPr="00F4451A">
        <w:rPr>
          <w:rFonts w:cs="Arial"/>
          <w:color w:val="222222"/>
          <w:sz w:val="20"/>
          <w:szCs w:val="20"/>
          <w:shd w:val="clear" w:color="auto" w:fill="FFFFFF"/>
        </w:rPr>
        <w:t xml:space="preserve"> KH, Effendi MH, </w:t>
      </w:r>
      <w:proofErr w:type="spellStart"/>
      <w:r w:rsidRPr="00F4451A">
        <w:rPr>
          <w:rFonts w:cs="Arial"/>
          <w:color w:val="222222"/>
          <w:sz w:val="20"/>
          <w:szCs w:val="20"/>
          <w:shd w:val="clear" w:color="auto" w:fill="FFFFFF"/>
        </w:rPr>
        <w:t>Rantam</w:t>
      </w:r>
      <w:proofErr w:type="spellEnd"/>
      <w:r w:rsidRPr="00F4451A">
        <w:rPr>
          <w:rFonts w:cs="Arial"/>
          <w:color w:val="222222"/>
          <w:sz w:val="20"/>
          <w:szCs w:val="20"/>
          <w:shd w:val="clear" w:color="auto" w:fill="FFFFFF"/>
        </w:rPr>
        <w:t xml:space="preserve"> FA, </w:t>
      </w:r>
      <w:proofErr w:type="spellStart"/>
      <w:r w:rsidRPr="00F4451A">
        <w:rPr>
          <w:rFonts w:cs="Arial"/>
          <w:color w:val="222222"/>
          <w:sz w:val="20"/>
          <w:szCs w:val="20"/>
          <w:shd w:val="clear" w:color="auto" w:fill="FFFFFF"/>
        </w:rPr>
        <w:t>Khairullah</w:t>
      </w:r>
      <w:proofErr w:type="spellEnd"/>
      <w:r w:rsidRPr="00F4451A">
        <w:rPr>
          <w:rFonts w:cs="Arial"/>
          <w:color w:val="222222"/>
          <w:sz w:val="20"/>
          <w:szCs w:val="20"/>
          <w:shd w:val="clear" w:color="auto" w:fill="FFFFFF"/>
        </w:rPr>
        <w:t xml:space="preserve"> AR, Widodo A. </w:t>
      </w:r>
      <w:r w:rsidR="00F4451A" w:rsidRPr="00F4451A">
        <w:rPr>
          <w:rFonts w:cs="Arial"/>
          <w:color w:val="222222"/>
          <w:sz w:val="20"/>
          <w:szCs w:val="20"/>
          <w:shd w:val="clear" w:color="auto" w:fill="FFFFFF"/>
        </w:rPr>
        <w:t xml:space="preserve">(2022). </w:t>
      </w:r>
      <w:r w:rsidRPr="00F4451A">
        <w:rPr>
          <w:rFonts w:cs="Arial"/>
          <w:color w:val="222222"/>
          <w:sz w:val="20"/>
          <w:szCs w:val="20"/>
          <w:shd w:val="clear" w:color="auto" w:fill="FFFFFF"/>
        </w:rPr>
        <w:t xml:space="preserve">A review: Virulence factors of Klebsiella pneumonia as emerging infection on the food chain. Veterinary world. Sep 12;15(9):2172. </w:t>
      </w:r>
      <w:hyperlink r:id="rId36" w:history="1">
        <w:r w:rsidRPr="00F4451A">
          <w:rPr>
            <w:rStyle w:val="Hyperlink"/>
            <w:rFonts w:cs="Arial"/>
            <w:sz w:val="20"/>
            <w:szCs w:val="20"/>
            <w:shd w:val="clear" w:color="auto" w:fill="FFFFFF"/>
          </w:rPr>
          <w:t>https://doi.org/10.14202/vetworld.2022.2172-2179</w:t>
        </w:r>
      </w:hyperlink>
      <w:r w:rsidRPr="00F4451A">
        <w:rPr>
          <w:rFonts w:cs="Arial"/>
          <w:color w:val="222222"/>
          <w:sz w:val="20"/>
          <w:szCs w:val="20"/>
          <w:shd w:val="clear" w:color="auto" w:fill="FFFFFF"/>
        </w:rPr>
        <w:t xml:space="preserve"> </w:t>
      </w:r>
    </w:p>
    <w:p w14:paraId="16C366FD"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Cortés-Sánchez AD, Diaz-Ramírez M, </w:t>
      </w:r>
      <w:proofErr w:type="spellStart"/>
      <w:r w:rsidRPr="00F4451A">
        <w:rPr>
          <w:rFonts w:cs="Arial"/>
          <w:color w:val="222222"/>
          <w:sz w:val="20"/>
          <w:szCs w:val="20"/>
          <w:shd w:val="clear" w:color="auto" w:fill="FFFFFF"/>
        </w:rPr>
        <w:t>Rayas</w:t>
      </w:r>
      <w:proofErr w:type="spellEnd"/>
      <w:r w:rsidRPr="00F4451A">
        <w:rPr>
          <w:rFonts w:cs="Arial"/>
          <w:color w:val="222222"/>
          <w:sz w:val="20"/>
          <w:szCs w:val="20"/>
          <w:shd w:val="clear" w:color="auto" w:fill="FFFFFF"/>
        </w:rPr>
        <w:t>-Amor AA, Espinosa-</w:t>
      </w:r>
      <w:proofErr w:type="spellStart"/>
      <w:r w:rsidRPr="00F4451A">
        <w:rPr>
          <w:rFonts w:cs="Arial"/>
          <w:color w:val="222222"/>
          <w:sz w:val="20"/>
          <w:szCs w:val="20"/>
          <w:shd w:val="clear" w:color="auto" w:fill="FFFFFF"/>
        </w:rPr>
        <w:t>Chaurand</w:t>
      </w:r>
      <w:proofErr w:type="spellEnd"/>
      <w:r w:rsidRPr="00F4451A">
        <w:rPr>
          <w:rFonts w:cs="Arial"/>
          <w:color w:val="222222"/>
          <w:sz w:val="20"/>
          <w:szCs w:val="20"/>
          <w:shd w:val="clear" w:color="auto" w:fill="FFFFFF"/>
        </w:rPr>
        <w:t xml:space="preserve"> LD, Torres-Ochoa E, Salgado-Cruz MD. </w:t>
      </w:r>
      <w:r w:rsidR="00F4451A" w:rsidRPr="00F4451A">
        <w:rPr>
          <w:rFonts w:cs="Arial"/>
          <w:color w:val="222222"/>
          <w:sz w:val="20"/>
          <w:szCs w:val="20"/>
          <w:shd w:val="clear" w:color="auto" w:fill="FFFFFF"/>
        </w:rPr>
        <w:t xml:space="preserve">(2025). </w:t>
      </w:r>
      <w:r w:rsidRPr="00F4451A">
        <w:rPr>
          <w:rFonts w:cs="Arial"/>
          <w:color w:val="222222"/>
          <w:sz w:val="20"/>
          <w:szCs w:val="20"/>
          <w:shd w:val="clear" w:color="auto" w:fill="FFFFFF"/>
        </w:rPr>
        <w:t xml:space="preserve">Microbiological Hazards in the Food Chain of Fish and Products, a Focus on Klebsiella spp. Veterinary Sciences. Feb 6;12(2):133. </w:t>
      </w:r>
      <w:hyperlink r:id="rId37" w:history="1">
        <w:r w:rsidRPr="00F4451A">
          <w:rPr>
            <w:rStyle w:val="Hyperlink"/>
            <w:rFonts w:cs="Arial"/>
            <w:b/>
            <w:bCs/>
            <w:color w:val="4F5671"/>
            <w:sz w:val="20"/>
            <w:szCs w:val="20"/>
            <w:shd w:val="clear" w:color="auto" w:fill="FFFFFF"/>
          </w:rPr>
          <w:t>https://doi.org/10.3390/vetsci12020133</w:t>
        </w:r>
      </w:hyperlink>
    </w:p>
    <w:p w14:paraId="6152BF2A"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Khan R, Wali S, Khan S, Munir S, Pari B, Yousuf AM, </w:t>
      </w:r>
      <w:proofErr w:type="spellStart"/>
      <w:r w:rsidRPr="00F4451A">
        <w:rPr>
          <w:rFonts w:cs="Arial"/>
          <w:color w:val="222222"/>
          <w:sz w:val="20"/>
          <w:szCs w:val="20"/>
          <w:shd w:val="clear" w:color="auto" w:fill="FFFFFF"/>
        </w:rPr>
        <w:t>Almutawif</w:t>
      </w:r>
      <w:proofErr w:type="spellEnd"/>
      <w:r w:rsidRPr="00F4451A">
        <w:rPr>
          <w:rFonts w:cs="Arial"/>
          <w:color w:val="222222"/>
          <w:sz w:val="20"/>
          <w:szCs w:val="20"/>
          <w:shd w:val="clear" w:color="auto" w:fill="FFFFFF"/>
        </w:rPr>
        <w:t xml:space="preserve"> YA. </w:t>
      </w:r>
      <w:r w:rsidR="00F4451A" w:rsidRPr="00F4451A">
        <w:rPr>
          <w:rFonts w:cs="Arial"/>
          <w:color w:val="222222"/>
          <w:sz w:val="20"/>
          <w:szCs w:val="20"/>
          <w:shd w:val="clear" w:color="auto" w:fill="FFFFFF"/>
        </w:rPr>
        <w:t>(</w:t>
      </w:r>
      <w:r w:rsidRPr="00F4451A">
        <w:rPr>
          <w:rFonts w:cs="Arial"/>
          <w:color w:val="222222"/>
          <w:sz w:val="20"/>
          <w:szCs w:val="20"/>
          <w:shd w:val="clear" w:color="auto" w:fill="FFFFFF"/>
        </w:rPr>
        <w:t xml:space="preserve">2024). Isolation and characterization of pathogenic Klebsiella pneumoniae strains from lettuce: a potential source of antibiotic resistance and development of a mathematical model for ANOVA results. Frontiers in Microbiology. Sep </w:t>
      </w:r>
      <w:proofErr w:type="gramStart"/>
      <w:r w:rsidRPr="00F4451A">
        <w:rPr>
          <w:rFonts w:cs="Arial"/>
          <w:color w:val="222222"/>
          <w:sz w:val="20"/>
          <w:szCs w:val="20"/>
          <w:shd w:val="clear" w:color="auto" w:fill="FFFFFF"/>
        </w:rPr>
        <w:t>24;15:1473055</w:t>
      </w:r>
      <w:proofErr w:type="gramEnd"/>
      <w:r w:rsidRPr="00F4451A">
        <w:rPr>
          <w:rFonts w:cs="Arial"/>
          <w:color w:val="222222"/>
          <w:sz w:val="20"/>
          <w:szCs w:val="20"/>
          <w:shd w:val="clear" w:color="auto" w:fill="FFFFFF"/>
        </w:rPr>
        <w:t xml:space="preserve">. </w:t>
      </w:r>
      <w:hyperlink r:id="rId38" w:history="1">
        <w:r w:rsidRPr="00F4451A">
          <w:rPr>
            <w:rStyle w:val="Hyperlink"/>
            <w:rFonts w:cs="Arial"/>
            <w:sz w:val="20"/>
            <w:szCs w:val="20"/>
            <w:shd w:val="clear" w:color="auto" w:fill="FFFFFF"/>
          </w:rPr>
          <w:t>https://doi.org/10.3389/fmicb.2024.1473055</w:t>
        </w:r>
      </w:hyperlink>
    </w:p>
    <w:p w14:paraId="3E7CA47F"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Rajkovic A, Jovanovic J, Monteiro S, </w:t>
      </w:r>
      <w:proofErr w:type="spellStart"/>
      <w:r w:rsidRPr="00F4451A">
        <w:rPr>
          <w:rFonts w:cs="Arial"/>
          <w:color w:val="222222"/>
          <w:sz w:val="20"/>
          <w:szCs w:val="20"/>
          <w:shd w:val="clear" w:color="auto" w:fill="FFFFFF"/>
        </w:rPr>
        <w:t>Decleer</w:t>
      </w:r>
      <w:proofErr w:type="spellEnd"/>
      <w:r w:rsidRPr="00F4451A">
        <w:rPr>
          <w:rFonts w:cs="Arial"/>
          <w:color w:val="222222"/>
          <w:sz w:val="20"/>
          <w:szCs w:val="20"/>
          <w:shd w:val="clear" w:color="auto" w:fill="FFFFFF"/>
        </w:rPr>
        <w:t xml:space="preserve"> M, </w:t>
      </w:r>
      <w:proofErr w:type="spellStart"/>
      <w:r w:rsidRPr="00F4451A">
        <w:rPr>
          <w:rFonts w:cs="Arial"/>
          <w:color w:val="222222"/>
          <w:sz w:val="20"/>
          <w:szCs w:val="20"/>
          <w:shd w:val="clear" w:color="auto" w:fill="FFFFFF"/>
        </w:rPr>
        <w:t>Andjelkovic</w:t>
      </w:r>
      <w:proofErr w:type="spellEnd"/>
      <w:r w:rsidRPr="00F4451A">
        <w:rPr>
          <w:rFonts w:cs="Arial"/>
          <w:color w:val="222222"/>
          <w:sz w:val="20"/>
          <w:szCs w:val="20"/>
          <w:shd w:val="clear" w:color="auto" w:fill="FFFFFF"/>
        </w:rPr>
        <w:t xml:space="preserve"> M, </w:t>
      </w:r>
      <w:proofErr w:type="spellStart"/>
      <w:r w:rsidRPr="00F4451A">
        <w:rPr>
          <w:rFonts w:cs="Arial"/>
          <w:color w:val="222222"/>
          <w:sz w:val="20"/>
          <w:szCs w:val="20"/>
          <w:shd w:val="clear" w:color="auto" w:fill="FFFFFF"/>
        </w:rPr>
        <w:t>Foubert</w:t>
      </w:r>
      <w:proofErr w:type="spellEnd"/>
      <w:r w:rsidRPr="00F4451A">
        <w:rPr>
          <w:rFonts w:cs="Arial"/>
          <w:color w:val="222222"/>
          <w:sz w:val="20"/>
          <w:szCs w:val="20"/>
          <w:shd w:val="clear" w:color="auto" w:fill="FFFFFF"/>
        </w:rPr>
        <w:t xml:space="preserve"> A, </w:t>
      </w:r>
      <w:proofErr w:type="spellStart"/>
      <w:r w:rsidRPr="00F4451A">
        <w:rPr>
          <w:rFonts w:cs="Arial"/>
          <w:color w:val="222222"/>
          <w:sz w:val="20"/>
          <w:szCs w:val="20"/>
          <w:shd w:val="clear" w:color="auto" w:fill="FFFFFF"/>
        </w:rPr>
        <w:t>Beloglazova</w:t>
      </w:r>
      <w:proofErr w:type="spellEnd"/>
      <w:r w:rsidRPr="00F4451A">
        <w:rPr>
          <w:rFonts w:cs="Arial"/>
          <w:color w:val="222222"/>
          <w:sz w:val="20"/>
          <w:szCs w:val="20"/>
          <w:shd w:val="clear" w:color="auto" w:fill="FFFFFF"/>
        </w:rPr>
        <w:t xml:space="preserve"> N, </w:t>
      </w:r>
      <w:proofErr w:type="spellStart"/>
      <w:r w:rsidRPr="00F4451A">
        <w:rPr>
          <w:rFonts w:cs="Arial"/>
          <w:color w:val="222222"/>
          <w:sz w:val="20"/>
          <w:szCs w:val="20"/>
          <w:shd w:val="clear" w:color="auto" w:fill="FFFFFF"/>
        </w:rPr>
        <w:t>Tsilla</w:t>
      </w:r>
      <w:proofErr w:type="spellEnd"/>
      <w:r w:rsidRPr="00F4451A">
        <w:rPr>
          <w:rFonts w:cs="Arial"/>
          <w:color w:val="222222"/>
          <w:sz w:val="20"/>
          <w:szCs w:val="20"/>
          <w:shd w:val="clear" w:color="auto" w:fill="FFFFFF"/>
        </w:rPr>
        <w:t xml:space="preserve"> V, Sas B, Madder A, De Saeger S. (2020). Detection of toxins involved in foodborne diseases caused by Gram</w:t>
      </w:r>
      <w:r w:rsidRPr="00F4451A">
        <w:rPr>
          <w:rFonts w:ascii="Cambria Math" w:hAnsi="Cambria Math" w:cs="Cambria Math"/>
          <w:color w:val="222222"/>
          <w:sz w:val="20"/>
          <w:szCs w:val="20"/>
          <w:shd w:val="clear" w:color="auto" w:fill="FFFFFF"/>
        </w:rPr>
        <w:t>‐</w:t>
      </w:r>
      <w:r w:rsidRPr="00F4451A">
        <w:rPr>
          <w:rFonts w:cs="Arial"/>
          <w:color w:val="222222"/>
          <w:sz w:val="20"/>
          <w:szCs w:val="20"/>
          <w:shd w:val="clear" w:color="auto" w:fill="FFFFFF"/>
        </w:rPr>
        <w:t xml:space="preserve">positive bacteria. Comprehensive </w:t>
      </w:r>
      <w:r w:rsidRPr="00F4451A">
        <w:rPr>
          <w:rFonts w:cs="Arial"/>
          <w:color w:val="222222"/>
          <w:sz w:val="20"/>
          <w:szCs w:val="20"/>
          <w:shd w:val="clear" w:color="auto" w:fill="FFFFFF"/>
        </w:rPr>
        <w:lastRenderedPageBreak/>
        <w:t xml:space="preserve">reviews in food science and food safety. Jul;19(4):1605-57. </w:t>
      </w:r>
      <w:hyperlink r:id="rId39" w:history="1">
        <w:r w:rsidRPr="00F4451A">
          <w:rPr>
            <w:rStyle w:val="Hyperlink"/>
            <w:rFonts w:cs="Arial"/>
            <w:sz w:val="20"/>
            <w:szCs w:val="20"/>
            <w:shd w:val="clear" w:color="auto" w:fill="FFFFFF"/>
          </w:rPr>
          <w:t>https://doi.org/10.1111/1541.4337.12571</w:t>
        </w:r>
      </w:hyperlink>
      <w:r w:rsidRPr="00F4451A">
        <w:rPr>
          <w:rFonts w:cs="Arial"/>
          <w:color w:val="212121"/>
          <w:sz w:val="20"/>
          <w:szCs w:val="20"/>
          <w:shd w:val="clear" w:color="auto" w:fill="FFFFFF"/>
        </w:rPr>
        <w:t>. </w:t>
      </w:r>
    </w:p>
    <w:p w14:paraId="4EBF67BD"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Komprda</w:t>
      </w:r>
      <w:proofErr w:type="spellEnd"/>
      <w:r w:rsidRPr="00F4451A">
        <w:rPr>
          <w:rFonts w:cs="Arial"/>
          <w:color w:val="222222"/>
          <w:sz w:val="20"/>
          <w:szCs w:val="20"/>
          <w:shd w:val="clear" w:color="auto" w:fill="FFFFFF"/>
        </w:rPr>
        <w:t xml:space="preserve"> T, </w:t>
      </w:r>
      <w:proofErr w:type="spellStart"/>
      <w:r w:rsidRPr="00F4451A">
        <w:rPr>
          <w:rFonts w:cs="Arial"/>
          <w:color w:val="222222"/>
          <w:sz w:val="20"/>
          <w:szCs w:val="20"/>
          <w:shd w:val="clear" w:color="auto" w:fill="FFFFFF"/>
        </w:rPr>
        <w:t>Cwiková</w:t>
      </w:r>
      <w:proofErr w:type="spellEnd"/>
      <w:r w:rsidRPr="00F4451A">
        <w:rPr>
          <w:rFonts w:cs="Arial"/>
          <w:color w:val="222222"/>
          <w:sz w:val="20"/>
          <w:szCs w:val="20"/>
          <w:shd w:val="clear" w:color="auto" w:fill="FFFFFF"/>
        </w:rPr>
        <w:t xml:space="preserve"> O, </w:t>
      </w:r>
      <w:proofErr w:type="spellStart"/>
      <w:r w:rsidRPr="00F4451A">
        <w:rPr>
          <w:rFonts w:cs="Arial"/>
          <w:color w:val="222222"/>
          <w:sz w:val="20"/>
          <w:szCs w:val="20"/>
          <w:shd w:val="clear" w:color="auto" w:fill="FFFFFF"/>
        </w:rPr>
        <w:t>Kumbár</w:t>
      </w:r>
      <w:proofErr w:type="spellEnd"/>
      <w:r w:rsidRPr="00F4451A">
        <w:rPr>
          <w:rFonts w:cs="Arial"/>
          <w:color w:val="222222"/>
          <w:sz w:val="20"/>
          <w:szCs w:val="20"/>
          <w:shd w:val="clear" w:color="auto" w:fill="FFFFFF"/>
        </w:rPr>
        <w:t xml:space="preserve"> V, Franke G, </w:t>
      </w:r>
      <w:proofErr w:type="spellStart"/>
      <w:r w:rsidRPr="00F4451A">
        <w:rPr>
          <w:rFonts w:cs="Arial"/>
          <w:color w:val="222222"/>
          <w:sz w:val="20"/>
          <w:szCs w:val="20"/>
          <w:shd w:val="clear" w:color="auto" w:fill="FFFFFF"/>
        </w:rPr>
        <w:t>Kouřil</w:t>
      </w:r>
      <w:proofErr w:type="spellEnd"/>
      <w:r w:rsidRPr="00F4451A">
        <w:rPr>
          <w:rFonts w:cs="Arial"/>
          <w:color w:val="222222"/>
          <w:sz w:val="20"/>
          <w:szCs w:val="20"/>
          <w:shd w:val="clear" w:color="auto" w:fill="FFFFFF"/>
        </w:rPr>
        <w:t xml:space="preserve"> P, </w:t>
      </w:r>
      <w:proofErr w:type="spellStart"/>
      <w:r w:rsidRPr="00F4451A">
        <w:rPr>
          <w:rFonts w:cs="Arial"/>
          <w:color w:val="222222"/>
          <w:sz w:val="20"/>
          <w:szCs w:val="20"/>
          <w:shd w:val="clear" w:color="auto" w:fill="FFFFFF"/>
        </w:rPr>
        <w:t>Patloka</w:t>
      </w:r>
      <w:proofErr w:type="spellEnd"/>
      <w:r w:rsidRPr="00F4451A">
        <w:rPr>
          <w:rFonts w:cs="Arial"/>
          <w:color w:val="222222"/>
          <w:sz w:val="20"/>
          <w:szCs w:val="20"/>
          <w:shd w:val="clear" w:color="auto" w:fill="FFFFFF"/>
        </w:rPr>
        <w:t xml:space="preserve"> O, </w:t>
      </w:r>
      <w:proofErr w:type="spellStart"/>
      <w:r w:rsidRPr="00F4451A">
        <w:rPr>
          <w:rFonts w:cs="Arial"/>
          <w:color w:val="222222"/>
          <w:sz w:val="20"/>
          <w:szCs w:val="20"/>
          <w:shd w:val="clear" w:color="auto" w:fill="FFFFFF"/>
        </w:rPr>
        <w:t>Kameník</w:t>
      </w:r>
      <w:proofErr w:type="spellEnd"/>
      <w:r w:rsidRPr="00F4451A">
        <w:rPr>
          <w:rFonts w:cs="Arial"/>
          <w:color w:val="222222"/>
          <w:sz w:val="20"/>
          <w:szCs w:val="20"/>
          <w:shd w:val="clear" w:color="auto" w:fill="FFFFFF"/>
        </w:rPr>
        <w:t xml:space="preserve"> J, </w:t>
      </w:r>
      <w:proofErr w:type="spellStart"/>
      <w:r w:rsidRPr="00F4451A">
        <w:rPr>
          <w:rFonts w:cs="Arial"/>
          <w:color w:val="222222"/>
          <w:sz w:val="20"/>
          <w:szCs w:val="20"/>
          <w:shd w:val="clear" w:color="auto" w:fill="FFFFFF"/>
        </w:rPr>
        <w:t>Dušková</w:t>
      </w:r>
      <w:proofErr w:type="spellEnd"/>
      <w:r w:rsidRPr="00F4451A">
        <w:rPr>
          <w:rFonts w:cs="Arial"/>
          <w:color w:val="222222"/>
          <w:sz w:val="20"/>
          <w:szCs w:val="20"/>
          <w:shd w:val="clear" w:color="auto" w:fill="FFFFFF"/>
        </w:rPr>
        <w:t xml:space="preserve"> M, </w:t>
      </w:r>
      <w:proofErr w:type="spellStart"/>
      <w:r w:rsidRPr="00F4451A">
        <w:rPr>
          <w:rFonts w:cs="Arial"/>
          <w:color w:val="222222"/>
          <w:sz w:val="20"/>
          <w:szCs w:val="20"/>
          <w:shd w:val="clear" w:color="auto" w:fill="FFFFFF"/>
        </w:rPr>
        <w:t>Zouharová</w:t>
      </w:r>
      <w:proofErr w:type="spellEnd"/>
      <w:r w:rsidRPr="00F4451A">
        <w:rPr>
          <w:rFonts w:cs="Arial"/>
          <w:color w:val="222222"/>
          <w:sz w:val="20"/>
          <w:szCs w:val="20"/>
          <w:shd w:val="clear" w:color="auto" w:fill="FFFFFF"/>
        </w:rPr>
        <w:t xml:space="preserve"> A. (2025). Key Factors Influencing Bacillus </w:t>
      </w:r>
      <w:proofErr w:type="gramStart"/>
      <w:r w:rsidRPr="00F4451A">
        <w:rPr>
          <w:rFonts w:cs="Arial"/>
          <w:color w:val="222222"/>
          <w:sz w:val="20"/>
          <w:szCs w:val="20"/>
          <w:shd w:val="clear" w:color="auto" w:fill="FFFFFF"/>
        </w:rPr>
        <w:t>cereus</w:t>
      </w:r>
      <w:proofErr w:type="gramEnd"/>
      <w:r w:rsidRPr="00F4451A">
        <w:rPr>
          <w:rFonts w:cs="Arial"/>
          <w:color w:val="222222"/>
          <w:sz w:val="20"/>
          <w:szCs w:val="20"/>
          <w:shd w:val="clear" w:color="auto" w:fill="FFFFFF"/>
        </w:rPr>
        <w:t xml:space="preserve"> Contamination in Hot Ready-to-Eat Meal Delivery. Foods. Jul 24;14(15):2605. </w:t>
      </w:r>
      <w:hyperlink r:id="rId40" w:history="1">
        <w:r w:rsidRPr="00F4451A">
          <w:rPr>
            <w:rStyle w:val="Hyperlink"/>
            <w:rFonts w:cs="Arial"/>
            <w:bCs/>
            <w:color w:val="4F5671"/>
            <w:sz w:val="20"/>
            <w:szCs w:val="20"/>
            <w:shd w:val="clear" w:color="auto" w:fill="FFFFFF"/>
          </w:rPr>
          <w:t>https://doi.org/10.3390/foods14152605</w:t>
        </w:r>
      </w:hyperlink>
      <w:r w:rsidRPr="00F4451A">
        <w:rPr>
          <w:rFonts w:cs="Arial"/>
          <w:sz w:val="20"/>
          <w:szCs w:val="20"/>
        </w:rPr>
        <w:t xml:space="preserve"> </w:t>
      </w:r>
    </w:p>
    <w:p w14:paraId="1FFBA211"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Podkowik</w:t>
      </w:r>
      <w:proofErr w:type="spellEnd"/>
      <w:r w:rsidRPr="00F4451A">
        <w:rPr>
          <w:rFonts w:cs="Arial"/>
          <w:color w:val="222222"/>
          <w:sz w:val="20"/>
          <w:szCs w:val="20"/>
          <w:shd w:val="clear" w:color="auto" w:fill="FFFFFF"/>
        </w:rPr>
        <w:t xml:space="preserve"> M, Park JY, </w:t>
      </w:r>
      <w:proofErr w:type="spellStart"/>
      <w:r w:rsidRPr="00F4451A">
        <w:rPr>
          <w:rFonts w:cs="Arial"/>
          <w:color w:val="222222"/>
          <w:sz w:val="20"/>
          <w:szCs w:val="20"/>
          <w:shd w:val="clear" w:color="auto" w:fill="FFFFFF"/>
        </w:rPr>
        <w:t>Seo</w:t>
      </w:r>
      <w:proofErr w:type="spellEnd"/>
      <w:r w:rsidRPr="00F4451A">
        <w:rPr>
          <w:rFonts w:cs="Arial"/>
          <w:color w:val="222222"/>
          <w:sz w:val="20"/>
          <w:szCs w:val="20"/>
          <w:shd w:val="clear" w:color="auto" w:fill="FFFFFF"/>
        </w:rPr>
        <w:t xml:space="preserve"> KS, </w:t>
      </w:r>
      <w:proofErr w:type="spellStart"/>
      <w:r w:rsidRPr="00F4451A">
        <w:rPr>
          <w:rFonts w:cs="Arial"/>
          <w:color w:val="222222"/>
          <w:sz w:val="20"/>
          <w:szCs w:val="20"/>
          <w:shd w:val="clear" w:color="auto" w:fill="FFFFFF"/>
        </w:rPr>
        <w:t>Bystroń</w:t>
      </w:r>
      <w:proofErr w:type="spellEnd"/>
      <w:r w:rsidRPr="00F4451A">
        <w:rPr>
          <w:rFonts w:cs="Arial"/>
          <w:color w:val="222222"/>
          <w:sz w:val="20"/>
          <w:szCs w:val="20"/>
          <w:shd w:val="clear" w:color="auto" w:fill="FFFFFF"/>
        </w:rPr>
        <w:t xml:space="preserve"> J, </w:t>
      </w:r>
      <w:proofErr w:type="spellStart"/>
      <w:r w:rsidRPr="00F4451A">
        <w:rPr>
          <w:rFonts w:cs="Arial"/>
          <w:color w:val="222222"/>
          <w:sz w:val="20"/>
          <w:szCs w:val="20"/>
          <w:shd w:val="clear" w:color="auto" w:fill="FFFFFF"/>
        </w:rPr>
        <w:t>Bania</w:t>
      </w:r>
      <w:proofErr w:type="spellEnd"/>
      <w:r w:rsidRPr="00F4451A">
        <w:rPr>
          <w:rFonts w:cs="Arial"/>
          <w:color w:val="222222"/>
          <w:sz w:val="20"/>
          <w:szCs w:val="20"/>
          <w:shd w:val="clear" w:color="auto" w:fill="FFFFFF"/>
        </w:rPr>
        <w:t xml:space="preserve"> J. (2013). Enterotoxigenic potential of coagulase-negative staphylococci. International journal of food microbiology. Apr 15;163(1):34-40.  </w:t>
      </w:r>
      <w:hyperlink r:id="rId41" w:history="1">
        <w:r w:rsidRPr="00F4451A">
          <w:rPr>
            <w:rStyle w:val="Hyperlink"/>
            <w:rFonts w:cs="Arial"/>
            <w:bCs/>
            <w:color w:val="4F5671"/>
            <w:sz w:val="20"/>
            <w:szCs w:val="20"/>
            <w:shd w:val="clear" w:color="auto" w:fill="FFFFFF"/>
          </w:rPr>
          <w:t>https://doi.org/10.3390/pathogens9090734</w:t>
        </w:r>
      </w:hyperlink>
    </w:p>
    <w:p w14:paraId="138528F1" w14:textId="77777777" w:rsidR="002941D9" w:rsidRPr="00F4451A" w:rsidRDefault="002941D9" w:rsidP="00F4451A">
      <w:pPr>
        <w:numPr>
          <w:ilvl w:val="0"/>
          <w:numId w:val="31"/>
        </w:numPr>
        <w:shd w:val="clear" w:color="auto" w:fill="FFFFFF"/>
        <w:spacing w:before="100" w:beforeAutospacing="1" w:after="160" w:afterAutospacing="1"/>
        <w:jc w:val="both"/>
        <w:rPr>
          <w:rFonts w:ascii="Arial" w:hAnsi="Arial" w:cs="Arial"/>
        </w:rPr>
      </w:pPr>
      <w:proofErr w:type="spellStart"/>
      <w:r w:rsidRPr="00F4451A">
        <w:rPr>
          <w:rFonts w:ascii="Arial" w:hAnsi="Arial" w:cs="Arial"/>
          <w:color w:val="222222"/>
          <w:shd w:val="clear" w:color="auto" w:fill="FFFFFF"/>
        </w:rPr>
        <w:t>Gabida</w:t>
      </w:r>
      <w:proofErr w:type="spellEnd"/>
      <w:r w:rsidRPr="00F4451A">
        <w:rPr>
          <w:rFonts w:ascii="Arial" w:hAnsi="Arial" w:cs="Arial"/>
          <w:color w:val="222222"/>
          <w:shd w:val="clear" w:color="auto" w:fill="FFFFFF"/>
        </w:rPr>
        <w:t xml:space="preserve"> M, Gombe NT, </w:t>
      </w:r>
      <w:proofErr w:type="spellStart"/>
      <w:r w:rsidRPr="00F4451A">
        <w:rPr>
          <w:rFonts w:ascii="Arial" w:hAnsi="Arial" w:cs="Arial"/>
          <w:color w:val="222222"/>
          <w:shd w:val="clear" w:color="auto" w:fill="FFFFFF"/>
        </w:rPr>
        <w:t>Chemhuru</w:t>
      </w:r>
      <w:proofErr w:type="spellEnd"/>
      <w:r w:rsidRPr="00F4451A">
        <w:rPr>
          <w:rFonts w:ascii="Arial" w:hAnsi="Arial" w:cs="Arial"/>
          <w:color w:val="222222"/>
          <w:shd w:val="clear" w:color="auto" w:fill="FFFFFF"/>
        </w:rPr>
        <w:t xml:space="preserve"> M, </w:t>
      </w:r>
      <w:proofErr w:type="spellStart"/>
      <w:r w:rsidRPr="00F4451A">
        <w:rPr>
          <w:rFonts w:ascii="Arial" w:hAnsi="Arial" w:cs="Arial"/>
          <w:color w:val="222222"/>
          <w:shd w:val="clear" w:color="auto" w:fill="FFFFFF"/>
        </w:rPr>
        <w:t>Takundwa</w:t>
      </w:r>
      <w:proofErr w:type="spellEnd"/>
      <w:r w:rsidRPr="00F4451A">
        <w:rPr>
          <w:rFonts w:ascii="Arial" w:hAnsi="Arial" w:cs="Arial"/>
          <w:color w:val="222222"/>
          <w:shd w:val="clear" w:color="auto" w:fill="FFFFFF"/>
        </w:rPr>
        <w:t xml:space="preserve"> L, </w:t>
      </w:r>
      <w:proofErr w:type="spellStart"/>
      <w:r w:rsidRPr="00F4451A">
        <w:rPr>
          <w:rFonts w:ascii="Arial" w:hAnsi="Arial" w:cs="Arial"/>
          <w:color w:val="222222"/>
          <w:shd w:val="clear" w:color="auto" w:fill="FFFFFF"/>
        </w:rPr>
        <w:t>Bangure</w:t>
      </w:r>
      <w:proofErr w:type="spellEnd"/>
      <w:r w:rsidRPr="00F4451A">
        <w:rPr>
          <w:rFonts w:ascii="Arial" w:hAnsi="Arial" w:cs="Arial"/>
          <w:color w:val="222222"/>
          <w:shd w:val="clear" w:color="auto" w:fill="FFFFFF"/>
        </w:rPr>
        <w:t xml:space="preserve"> D, </w:t>
      </w:r>
      <w:proofErr w:type="spellStart"/>
      <w:r w:rsidRPr="00F4451A">
        <w:rPr>
          <w:rFonts w:ascii="Arial" w:hAnsi="Arial" w:cs="Arial"/>
          <w:color w:val="222222"/>
          <w:shd w:val="clear" w:color="auto" w:fill="FFFFFF"/>
        </w:rPr>
        <w:t>Tshimanga</w:t>
      </w:r>
      <w:proofErr w:type="spellEnd"/>
      <w:r w:rsidRPr="00F4451A">
        <w:rPr>
          <w:rFonts w:ascii="Arial" w:hAnsi="Arial" w:cs="Arial"/>
          <w:color w:val="222222"/>
          <w:shd w:val="clear" w:color="auto" w:fill="FFFFFF"/>
        </w:rPr>
        <w:t xml:space="preserve"> M. (2015). Foodborne illness among factory workers, Gweru, Zimbabwe, 2012: a retrospective cohort study. BMC research notes. Sep 29;8(1):493. </w:t>
      </w:r>
      <w:hyperlink r:id="rId42" w:history="1">
        <w:r w:rsidRPr="00F4451A">
          <w:rPr>
            <w:rStyle w:val="Hyperlink"/>
            <w:rFonts w:ascii="Arial" w:hAnsi="Arial" w:cs="Arial"/>
            <w:shd w:val="clear" w:color="auto" w:fill="FFFFFF"/>
          </w:rPr>
          <w:t>https://doi.org/10.1186/s13104-015-1512-2</w:t>
        </w:r>
      </w:hyperlink>
      <w:r w:rsidRPr="00F4451A">
        <w:rPr>
          <w:rFonts w:ascii="Arial" w:hAnsi="Arial" w:cs="Arial"/>
          <w:color w:val="222222"/>
          <w:shd w:val="clear" w:color="auto" w:fill="FFFFFF"/>
        </w:rPr>
        <w:t xml:space="preserve"> </w:t>
      </w:r>
    </w:p>
    <w:p w14:paraId="768052F4"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Spio-Kwofie</w:t>
      </w:r>
      <w:proofErr w:type="spellEnd"/>
      <w:r w:rsidRPr="00F4451A">
        <w:rPr>
          <w:rFonts w:cs="Arial"/>
          <w:color w:val="222222"/>
          <w:sz w:val="20"/>
          <w:szCs w:val="20"/>
          <w:shd w:val="clear" w:color="auto" w:fill="FFFFFF"/>
        </w:rPr>
        <w:t xml:space="preserve"> A, </w:t>
      </w:r>
      <w:proofErr w:type="spellStart"/>
      <w:r w:rsidRPr="00F4451A">
        <w:rPr>
          <w:rFonts w:cs="Arial"/>
          <w:color w:val="222222"/>
          <w:sz w:val="20"/>
          <w:szCs w:val="20"/>
          <w:shd w:val="clear" w:color="auto" w:fill="FFFFFF"/>
        </w:rPr>
        <w:t>Adu</w:t>
      </w:r>
      <w:proofErr w:type="spellEnd"/>
      <w:r w:rsidRPr="00F4451A">
        <w:rPr>
          <w:rFonts w:cs="Arial"/>
          <w:color w:val="222222"/>
          <w:sz w:val="20"/>
          <w:szCs w:val="20"/>
          <w:shd w:val="clear" w:color="auto" w:fill="FFFFFF"/>
        </w:rPr>
        <w:t xml:space="preserve"> C. (2025). Perceptions of Consumers on Food Safety Practices of Motorcycles Food Delivery Services. </w:t>
      </w:r>
      <w:hyperlink r:id="rId43" w:history="1">
        <w:r w:rsidRPr="00F4451A">
          <w:rPr>
            <w:rStyle w:val="Hyperlink"/>
            <w:rFonts w:cs="Arial"/>
            <w:sz w:val="20"/>
            <w:szCs w:val="20"/>
            <w:shd w:val="clear" w:color="auto" w:fill="FFFFFF"/>
          </w:rPr>
          <w:t>https://doi.org/10.4236/me.2025.167050</w:t>
        </w:r>
      </w:hyperlink>
      <w:r w:rsidRPr="00F4451A">
        <w:rPr>
          <w:rFonts w:cs="Arial"/>
          <w:color w:val="222222"/>
          <w:sz w:val="20"/>
          <w:szCs w:val="20"/>
          <w:shd w:val="clear" w:color="auto" w:fill="FFFFFF"/>
        </w:rPr>
        <w:t xml:space="preserve"> </w:t>
      </w:r>
    </w:p>
    <w:p w14:paraId="33FB5DB1" w14:textId="77777777" w:rsidR="002941D9"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proofErr w:type="spellStart"/>
      <w:r w:rsidRPr="00F4451A">
        <w:rPr>
          <w:rFonts w:ascii="Arial" w:hAnsi="Arial" w:cs="Arial"/>
          <w:color w:val="222222"/>
          <w:sz w:val="20"/>
          <w:szCs w:val="20"/>
          <w:shd w:val="clear" w:color="auto" w:fill="FFFFFF"/>
        </w:rPr>
        <w:t>Arfines</w:t>
      </w:r>
      <w:proofErr w:type="spellEnd"/>
      <w:r w:rsidRPr="00F4451A">
        <w:rPr>
          <w:rFonts w:ascii="Arial" w:hAnsi="Arial" w:cs="Arial"/>
          <w:color w:val="222222"/>
          <w:sz w:val="20"/>
          <w:szCs w:val="20"/>
          <w:shd w:val="clear" w:color="auto" w:fill="FFFFFF"/>
        </w:rPr>
        <w:t xml:space="preserve"> PP, </w:t>
      </w:r>
      <w:proofErr w:type="spellStart"/>
      <w:r w:rsidRPr="00F4451A">
        <w:rPr>
          <w:rFonts w:ascii="Arial" w:hAnsi="Arial" w:cs="Arial"/>
          <w:color w:val="222222"/>
          <w:sz w:val="20"/>
          <w:szCs w:val="20"/>
          <w:shd w:val="clear" w:color="auto" w:fill="FFFFFF"/>
        </w:rPr>
        <w:t>Amaliah</w:t>
      </w:r>
      <w:proofErr w:type="spellEnd"/>
      <w:r w:rsidRPr="00F4451A">
        <w:rPr>
          <w:rFonts w:ascii="Arial" w:hAnsi="Arial" w:cs="Arial"/>
          <w:color w:val="222222"/>
          <w:sz w:val="20"/>
          <w:szCs w:val="20"/>
          <w:shd w:val="clear" w:color="auto" w:fill="FFFFFF"/>
        </w:rPr>
        <w:t xml:space="preserve"> N, </w:t>
      </w:r>
      <w:proofErr w:type="spellStart"/>
      <w:r w:rsidRPr="00F4451A">
        <w:rPr>
          <w:rFonts w:ascii="Arial" w:hAnsi="Arial" w:cs="Arial"/>
          <w:color w:val="222222"/>
          <w:sz w:val="20"/>
          <w:szCs w:val="20"/>
          <w:shd w:val="clear" w:color="auto" w:fill="FFFFFF"/>
        </w:rPr>
        <w:t>Suryaputri</w:t>
      </w:r>
      <w:proofErr w:type="spellEnd"/>
      <w:r w:rsidRPr="00F4451A">
        <w:rPr>
          <w:rFonts w:ascii="Arial" w:hAnsi="Arial" w:cs="Arial"/>
          <w:color w:val="222222"/>
          <w:sz w:val="20"/>
          <w:szCs w:val="20"/>
          <w:shd w:val="clear" w:color="auto" w:fill="FFFFFF"/>
        </w:rPr>
        <w:t xml:space="preserve"> IY. (2023). Descriptive analysis of food hygiene and sanitation (FSH) practices performed by the food courier during the beginning of Covid-19 pandemic in greater Jakarta: An online study. </w:t>
      </w:r>
      <w:proofErr w:type="spellStart"/>
      <w:r w:rsidRPr="00F4451A">
        <w:rPr>
          <w:rFonts w:ascii="Arial" w:hAnsi="Arial" w:cs="Arial"/>
          <w:color w:val="222222"/>
          <w:sz w:val="20"/>
          <w:szCs w:val="20"/>
          <w:shd w:val="clear" w:color="auto" w:fill="FFFFFF"/>
        </w:rPr>
        <w:t>InAIP</w:t>
      </w:r>
      <w:proofErr w:type="spellEnd"/>
      <w:r w:rsidRPr="00F4451A">
        <w:rPr>
          <w:rFonts w:ascii="Arial" w:hAnsi="Arial" w:cs="Arial"/>
          <w:color w:val="222222"/>
          <w:sz w:val="20"/>
          <w:szCs w:val="20"/>
          <w:shd w:val="clear" w:color="auto" w:fill="FFFFFF"/>
        </w:rPr>
        <w:t xml:space="preserve"> Conference </w:t>
      </w:r>
      <w:proofErr w:type="gramStart"/>
      <w:r w:rsidRPr="00F4451A">
        <w:rPr>
          <w:rFonts w:ascii="Arial" w:hAnsi="Arial" w:cs="Arial"/>
          <w:color w:val="222222"/>
          <w:sz w:val="20"/>
          <w:szCs w:val="20"/>
          <w:shd w:val="clear" w:color="auto" w:fill="FFFFFF"/>
        </w:rPr>
        <w:t>Proceedings  Jan</w:t>
      </w:r>
      <w:proofErr w:type="gramEnd"/>
      <w:r w:rsidRPr="00F4451A">
        <w:rPr>
          <w:rFonts w:ascii="Arial" w:hAnsi="Arial" w:cs="Arial"/>
          <w:color w:val="222222"/>
          <w:sz w:val="20"/>
          <w:szCs w:val="20"/>
          <w:shd w:val="clear" w:color="auto" w:fill="FFFFFF"/>
        </w:rPr>
        <w:t xml:space="preserve"> 30 (Vol. 2613, No. 1, p. 040012). AIP Publishing LLC. </w:t>
      </w:r>
      <w:hyperlink r:id="rId44" w:history="1">
        <w:r w:rsidRPr="00F4451A">
          <w:rPr>
            <w:rStyle w:val="Hyperlink"/>
            <w:rFonts w:ascii="Arial" w:hAnsi="Arial" w:cs="Arial"/>
            <w:sz w:val="20"/>
            <w:szCs w:val="20"/>
            <w:shd w:val="clear" w:color="auto" w:fill="FFFFFF"/>
          </w:rPr>
          <w:t>https://doi.org/10.1063/5.0119341</w:t>
        </w:r>
      </w:hyperlink>
      <w:r w:rsidRPr="00F4451A">
        <w:rPr>
          <w:rFonts w:ascii="Arial" w:hAnsi="Arial" w:cs="Arial"/>
          <w:color w:val="222222"/>
          <w:sz w:val="20"/>
          <w:szCs w:val="20"/>
          <w:shd w:val="clear" w:color="auto" w:fill="FFFFFF"/>
        </w:rPr>
        <w:t xml:space="preserve"> </w:t>
      </w:r>
    </w:p>
    <w:p w14:paraId="4D461D4D" w14:textId="77777777" w:rsidR="00B01FCD"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r w:rsidRPr="00F4451A">
        <w:rPr>
          <w:rFonts w:ascii="Arial" w:hAnsi="Arial" w:cs="Arial"/>
          <w:color w:val="222222"/>
          <w:sz w:val="20"/>
          <w:szCs w:val="20"/>
          <w:shd w:val="clear" w:color="auto" w:fill="FFFFFF"/>
        </w:rPr>
        <w:t xml:space="preserve">Aliyu SI, Adamu MT, Salahudeen A. (2024). Hygienic Practices and Fungal Contamination: Evaluation of Commercial Tricyclists and Contact Surfaces of Tricycles within Gombe Metropolis. BIMA JOURNAL OF SCIENCE AND TECHNOLOGY GOMBE. Oct 30;8(3B):279-87. </w:t>
      </w:r>
      <w:r w:rsidRPr="00F4451A">
        <w:rPr>
          <w:rFonts w:ascii="Arial" w:hAnsi="Arial" w:cs="Arial"/>
          <w:sz w:val="20"/>
          <w:szCs w:val="20"/>
          <w:shd w:val="clear" w:color="auto" w:fill="FFFFFF"/>
        </w:rPr>
        <w:t xml:space="preserve">Retrieved from </w:t>
      </w:r>
      <w:hyperlink r:id="rId45" w:history="1">
        <w:r w:rsidRPr="00F4451A">
          <w:rPr>
            <w:rStyle w:val="Hyperlink"/>
            <w:rFonts w:ascii="Arial" w:hAnsi="Arial" w:cs="Arial"/>
            <w:sz w:val="20"/>
            <w:szCs w:val="20"/>
            <w:shd w:val="clear" w:color="auto" w:fill="FFFFFF"/>
          </w:rPr>
          <w:t>https://www.journal-academia.com/Ojs/index.php/bimajst/article/view/800</w:t>
        </w:r>
      </w:hyperlink>
    </w:p>
    <w:sectPr w:rsidR="00B01FCD" w:rsidRPr="00F4451A" w:rsidSect="00D82D74">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41AF6" w14:textId="77777777" w:rsidR="00483FFF" w:rsidRDefault="00483FFF" w:rsidP="00C37E61">
      <w:r>
        <w:separator/>
      </w:r>
    </w:p>
  </w:endnote>
  <w:endnote w:type="continuationSeparator" w:id="0">
    <w:p w14:paraId="4F02913D" w14:textId="77777777" w:rsidR="00483FFF" w:rsidRDefault="00483F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46BCF" w14:textId="77777777" w:rsidR="009E25E5" w:rsidRDefault="009E2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41C8" w14:textId="77777777" w:rsidR="009E25E5" w:rsidRDefault="009E2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66D9" w14:textId="08988907" w:rsidR="007B52FE" w:rsidRPr="00D82D74" w:rsidRDefault="007B52FE" w:rsidP="00D82D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6EA8" w14:textId="77777777" w:rsidR="007B52FE" w:rsidRPr="00C37E61" w:rsidRDefault="007B52F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61F40" w14:textId="77777777" w:rsidR="00483FFF" w:rsidRDefault="00483FFF" w:rsidP="00C37E61">
      <w:r>
        <w:separator/>
      </w:r>
    </w:p>
  </w:footnote>
  <w:footnote w:type="continuationSeparator" w:id="0">
    <w:p w14:paraId="55F33D59" w14:textId="77777777" w:rsidR="00483FFF" w:rsidRDefault="00483F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1ECD" w14:textId="6754C8EB" w:rsidR="009E25E5" w:rsidRDefault="009E25E5">
    <w:pPr>
      <w:pStyle w:val="Header"/>
    </w:pPr>
    <w:r>
      <w:rPr>
        <w:noProof/>
      </w:rPr>
      <w:pict w14:anchorId="30C09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49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CA5B" w14:textId="3819E3EC" w:rsidR="009E25E5" w:rsidRDefault="009E25E5">
    <w:pPr>
      <w:pStyle w:val="Header"/>
    </w:pPr>
    <w:r>
      <w:rPr>
        <w:noProof/>
      </w:rPr>
      <w:pict w14:anchorId="447E3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49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337C" w14:textId="28943452" w:rsidR="007B52FE" w:rsidRPr="00296529" w:rsidRDefault="009E25E5" w:rsidP="00296529">
    <w:pPr>
      <w:ind w:left="2160"/>
      <w:jc w:val="center"/>
      <w:rPr>
        <w:rFonts w:ascii="Times New Roman" w:eastAsia="Calibri" w:hAnsi="Times New Roman"/>
        <w:i/>
        <w:sz w:val="18"/>
        <w:szCs w:val="22"/>
      </w:rPr>
    </w:pPr>
    <w:r>
      <w:rPr>
        <w:noProof/>
      </w:rPr>
      <w:pict w14:anchorId="1EF49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49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74F4C4" w14:textId="77777777" w:rsidR="007B52FE" w:rsidRPr="00296529" w:rsidRDefault="007B52F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6DEB915" w14:textId="77777777" w:rsidR="007B52FE" w:rsidRPr="00296529" w:rsidRDefault="007B52F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6EFEBF" w14:textId="77777777" w:rsidR="007B52FE" w:rsidRPr="00296529" w:rsidRDefault="007B52F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2FADFF" w14:textId="77777777" w:rsidR="007B52FE" w:rsidRDefault="007B52F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32C37D" w14:textId="77777777" w:rsidR="007B52FE" w:rsidRDefault="007B52F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826090" w14:textId="77777777" w:rsidR="007B52FE" w:rsidRDefault="007B52F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749A" w14:textId="409DBD0C" w:rsidR="009E25E5" w:rsidRDefault="009E25E5">
    <w:pPr>
      <w:pStyle w:val="Header"/>
    </w:pPr>
    <w:r>
      <w:rPr>
        <w:noProof/>
      </w:rPr>
      <w:pict w14:anchorId="5CFF1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496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08573" w14:textId="78BA892D" w:rsidR="009E25E5" w:rsidRDefault="009E25E5">
    <w:pPr>
      <w:pStyle w:val="Header"/>
    </w:pPr>
    <w:r>
      <w:rPr>
        <w:noProof/>
      </w:rPr>
      <w:pict w14:anchorId="15124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496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9E14" w14:textId="0650D3B7" w:rsidR="009E25E5" w:rsidRDefault="009E25E5">
    <w:pPr>
      <w:pStyle w:val="Header"/>
    </w:pPr>
    <w:r>
      <w:rPr>
        <w:noProof/>
      </w:rPr>
      <w:pict w14:anchorId="6C3D4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496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54557B"/>
    <w:multiLevelType w:val="hybridMultilevel"/>
    <w:tmpl w:val="24AC5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A6A61"/>
    <w:rsid w:val="000B1E33"/>
    <w:rsid w:val="000D689F"/>
    <w:rsid w:val="000E5D4B"/>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41D9"/>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3FFF"/>
    <w:rsid w:val="004B5C4E"/>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FDC"/>
    <w:rsid w:val="006F11EC"/>
    <w:rsid w:val="0070082C"/>
    <w:rsid w:val="007369E6"/>
    <w:rsid w:val="00746E59"/>
    <w:rsid w:val="00754C9A"/>
    <w:rsid w:val="0075599A"/>
    <w:rsid w:val="00761D52"/>
    <w:rsid w:val="0077749E"/>
    <w:rsid w:val="00790ADA"/>
    <w:rsid w:val="007B52FE"/>
    <w:rsid w:val="007D1DD9"/>
    <w:rsid w:val="007D2288"/>
    <w:rsid w:val="007E088F"/>
    <w:rsid w:val="007F7B32"/>
    <w:rsid w:val="00804BC2"/>
    <w:rsid w:val="0081431A"/>
    <w:rsid w:val="0083216F"/>
    <w:rsid w:val="00860000"/>
    <w:rsid w:val="00863BD3"/>
    <w:rsid w:val="008641ED"/>
    <w:rsid w:val="00866D66"/>
    <w:rsid w:val="008671C6"/>
    <w:rsid w:val="00875803"/>
    <w:rsid w:val="008A7BCB"/>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25E5"/>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6D0"/>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3799"/>
    <w:rsid w:val="00CD6755"/>
    <w:rsid w:val="00CD6856"/>
    <w:rsid w:val="00CE0089"/>
    <w:rsid w:val="00CE793C"/>
    <w:rsid w:val="00CF193C"/>
    <w:rsid w:val="00D13DC3"/>
    <w:rsid w:val="00D173F1"/>
    <w:rsid w:val="00D74540"/>
    <w:rsid w:val="00D74CB0"/>
    <w:rsid w:val="00D8295D"/>
    <w:rsid w:val="00D82D74"/>
    <w:rsid w:val="00DC2A65"/>
    <w:rsid w:val="00DE15F0"/>
    <w:rsid w:val="00DE5663"/>
    <w:rsid w:val="00DE78AA"/>
    <w:rsid w:val="00E053D0"/>
    <w:rsid w:val="00E15994"/>
    <w:rsid w:val="00E22A2C"/>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451A"/>
    <w:rsid w:val="00F469F0"/>
    <w:rsid w:val="00F53273"/>
    <w:rsid w:val="00F755E4"/>
    <w:rsid w:val="00F77D02"/>
    <w:rsid w:val="00FB3A86"/>
    <w:rsid w:val="00FD36C8"/>
    <w:rsid w:val="00FF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283CB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13D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0A6A61"/>
    <w:rPr>
      <w:rFonts w:ascii="Calibri" w:eastAsia="Calibri" w:hAnsi="Calibri" w:cs="SimSun"/>
      <w:sz w:val="22"/>
      <w:szCs w:val="22"/>
    </w:rPr>
  </w:style>
  <w:style w:type="character" w:customStyle="1" w:styleId="Heading2Char">
    <w:name w:val="Heading 2 Char"/>
    <w:basedOn w:val="DefaultParagraphFont"/>
    <w:link w:val="Heading2"/>
    <w:semiHidden/>
    <w:rsid w:val="00D13DC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D13DC3"/>
    <w:rPr>
      <w:b/>
      <w:bCs/>
    </w:rPr>
  </w:style>
  <w:style w:type="table" w:customStyle="1" w:styleId="TableGrid1">
    <w:name w:val="Table Grid1"/>
    <w:basedOn w:val="TableNormal"/>
    <w:next w:val="TableGrid"/>
    <w:uiPriority w:val="39"/>
    <w:rsid w:val="000E5D4B"/>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B52FE"/>
    <w:pPr>
      <w:spacing w:before="100" w:beforeAutospacing="1" w:after="100" w:afterAutospacing="1"/>
    </w:pPr>
    <w:rPr>
      <w:rFonts w:ascii="Times New Roman" w:hAnsi="Times New Roman"/>
      <w:sz w:val="24"/>
      <w:szCs w:val="24"/>
    </w:rPr>
  </w:style>
  <w:style w:type="paragraph" w:customStyle="1" w:styleId="EndNoteBibliography">
    <w:name w:val="EndNote Bibliography"/>
    <w:basedOn w:val="Normal"/>
    <w:link w:val="EndNoteBibliography0"/>
    <w:rsid w:val="002941D9"/>
    <w:pPr>
      <w:spacing w:after="200"/>
      <w:ind w:firstLine="720"/>
      <w:jc w:val="both"/>
    </w:pPr>
    <w:rPr>
      <w:rFonts w:ascii="Calibri" w:eastAsia="Calibri" w:hAnsi="Calibri" w:cstheme="minorBidi"/>
      <w:noProof/>
      <w:sz w:val="22"/>
      <w:szCs w:val="22"/>
      <w:lang w:val="x-none" w:eastAsia="x-none"/>
    </w:rPr>
  </w:style>
  <w:style w:type="character" w:customStyle="1" w:styleId="EndNoteBibliography0">
    <w:name w:val="EndNote Bibliography อักขระ"/>
    <w:link w:val="EndNoteBibliography"/>
    <w:rsid w:val="002941D9"/>
    <w:rPr>
      <w:rFonts w:ascii="Calibri" w:eastAsia="Calibri" w:hAnsi="Calibri" w:cstheme="minorBidi"/>
      <w:noProof/>
      <w:sz w:val="22"/>
      <w:szCs w:val="22"/>
      <w:lang w:val="x-none" w:eastAsia="x-none"/>
    </w:rPr>
  </w:style>
  <w:style w:type="paragraph" w:styleId="ListParagraph">
    <w:name w:val="List Paragraph"/>
    <w:basedOn w:val="Normal"/>
    <w:uiPriority w:val="34"/>
    <w:qFormat/>
    <w:rsid w:val="002941D9"/>
    <w:pPr>
      <w:spacing w:line="360" w:lineRule="auto"/>
      <w:ind w:left="720" w:firstLine="720"/>
      <w:contextualSpacing/>
      <w:jc w:val="both"/>
    </w:pPr>
    <w:rPr>
      <w:rFonts w:ascii="Arial" w:eastAsiaTheme="minorHAnsi" w:hAnsi="Arial" w:cstheme="minorBidi"/>
      <w:sz w:val="22"/>
      <w:szCs w:val="22"/>
      <w:lang w:val="en-GB"/>
    </w:rPr>
  </w:style>
  <w:style w:type="paragraph" w:customStyle="1" w:styleId="nova-legacy-e-listitem">
    <w:name w:val="nova-legacy-e-list__item"/>
    <w:basedOn w:val="Normal"/>
    <w:rsid w:val="002941D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 TargetMode="External"/><Relationship Id="rId26" Type="http://schemas.openxmlformats.org/officeDocument/2006/relationships/hyperlink" Target="https://dspace.unza.zm/items/fde64cc4-4bcd-4eed-869c-48e8061d7751" TargetMode="External"/><Relationship Id="rId39" Type="http://schemas.openxmlformats.org/officeDocument/2006/relationships/hyperlink" Target="https://doi.org/10.1111/1541.4337.12571" TargetMode="External"/><Relationship Id="rId21" Type="http://schemas.openxmlformats.org/officeDocument/2006/relationships/hyperlink" Target="https://pesquisa.bvsalud.org/portal/resource/pt/who-382447" TargetMode="External"/><Relationship Id="rId34" Type="http://schemas.openxmlformats.org/officeDocument/2006/relationships/hyperlink" Target="https://doi.org/10.3126/tujm.v8i1.41189" TargetMode="External"/><Relationship Id="rId42" Type="http://schemas.openxmlformats.org/officeDocument/2006/relationships/hyperlink" Target="https://doi.org/10.1186/s13104-015-1512-2"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851/kosfa" TargetMode="External"/><Relationship Id="rId29" Type="http://schemas.openxmlformats.org/officeDocument/2006/relationships/hyperlink" Target="https://doi.org/10.3920/JIFF2021.0091" TargetMode="External"/><Relationship Id="rId11" Type="http://schemas.openxmlformats.org/officeDocument/2006/relationships/footer" Target="footer2.xml"/><Relationship Id="rId24" Type="http://schemas.openxmlformats.org/officeDocument/2006/relationships/hyperlink" Target="https://doi.org/10.33425/2769-6294.1039" TargetMode="External"/><Relationship Id="rId32" Type="http://schemas.openxmlformats.org/officeDocument/2006/relationships/hyperlink" Target="https://doi.org/10.20909/kopast.2022.28.1.67" TargetMode="External"/><Relationship Id="rId37" Type="http://schemas.openxmlformats.org/officeDocument/2006/relationships/hyperlink" Target="https://doi.org/10.3390/vetsci12020133" TargetMode="External"/><Relationship Id="rId40" Type="http://schemas.openxmlformats.org/officeDocument/2006/relationships/hyperlink" Target="https://doi.org/10.3390/foods14152605" TargetMode="External"/><Relationship Id="rId45" Type="http://schemas.openxmlformats.org/officeDocument/2006/relationships/hyperlink" Target="https://www.journal-academia.com/Ojs/index.php/bimajst/article/view/800" TargetMode="External"/><Relationship Id="rId5" Type="http://schemas.openxmlformats.org/officeDocument/2006/relationships/webSettings" Target="webSettings.xml"/><Relationship Id="rId15" Type="http://schemas.openxmlformats.org/officeDocument/2006/relationships/hyperlink" Target="https://doi.org/10.1201/9780203750346-1" TargetMode="External"/><Relationship Id="rId23" Type="http://schemas.openxmlformats.org/officeDocument/2006/relationships/hyperlink" Target="https://doi.org/10.2903/j.efsa.2022.7666" TargetMode="External"/><Relationship Id="rId28" Type="http://schemas.openxmlformats.org/officeDocument/2006/relationships/hyperlink" Target="https://doi.org/10.1016/j.foodcont.2021.107885" TargetMode="External"/><Relationship Id="rId36" Type="http://schemas.openxmlformats.org/officeDocument/2006/relationships/hyperlink" Target="https://doi.org/10.14202/vetworld.2022.2172-2179"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86/s41110-019-0096-3" TargetMode="External"/><Relationship Id="rId31" Type="http://schemas.openxmlformats.org/officeDocument/2006/relationships/hyperlink" Target="http://hdl.handle.net/10400.14/26787" TargetMode="External"/><Relationship Id="rId44" Type="http://schemas.openxmlformats.org/officeDocument/2006/relationships/hyperlink" Target="https://doi.org/10.1063/5.011934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978-3-319-92138-9_7" TargetMode="External"/><Relationship Id="rId22" Type="http://schemas.openxmlformats.org/officeDocument/2006/relationships/hyperlink" Target="https://animalsciencejournal.usamv.ro/index.php/scientific-papers/past-issues?id=1560" TargetMode="External"/><Relationship Id="rId27" Type="http://schemas.openxmlformats.org/officeDocument/2006/relationships/hyperlink" Target="https://doi.org/10.11648/j.ijnfs.20241305.18" TargetMode="External"/><Relationship Id="rId30" Type="http://schemas.openxmlformats.org/officeDocument/2006/relationships/hyperlink" Target="https://doi.org/10.18502/jfsh.v10i2.17688" TargetMode="External"/><Relationship Id="rId35" Type="http://schemas.openxmlformats.org/officeDocument/2006/relationships/hyperlink" Target="https://doi.org/10.1556/1886.2017.00015" TargetMode="External"/><Relationship Id="rId43" Type="http://schemas.openxmlformats.org/officeDocument/2006/relationships/hyperlink" Target="https://doi.org/10.4236/me.2025.167050"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B978-0-12-819519-2.00020-7" TargetMode="External"/><Relationship Id="rId25" Type="http://schemas.openxmlformats.org/officeDocument/2006/relationships/hyperlink" Target="https://doi.org/10.4236/oalib.1112170" TargetMode="External"/><Relationship Id="rId33" Type="http://schemas.openxmlformats.org/officeDocument/2006/relationships/hyperlink" Target="https://doi.org/10.3168/jds2025-27108" TargetMode="External"/><Relationship Id="rId38" Type="http://schemas.openxmlformats.org/officeDocument/2006/relationships/hyperlink" Target="https://doi.org/10.3389/fmicb.2024.1473055" TargetMode="External"/><Relationship Id="rId46" Type="http://schemas.openxmlformats.org/officeDocument/2006/relationships/header" Target="header4.xml"/><Relationship Id="rId20" Type="http://schemas.openxmlformats.org/officeDocument/2006/relationships/hyperlink" Target="https://doi.org/10.3390/hygiene1030010" TargetMode="External"/><Relationship Id="rId41" Type="http://schemas.openxmlformats.org/officeDocument/2006/relationships/hyperlink" Target="https://doi.org/10.3390/pathogens909073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742D-F5C2-40D0-83CF-5A821A69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11</Pages>
  <Words>4887</Words>
  <Characters>27859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2026-04-15T15:00:00Z</dcterms:created>
  <dcterms:modified xsi:type="dcterms:W3CDTF">2026-04-16T11:41:00Z</dcterms:modified>
</cp:coreProperties>
</file>