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F8875" w14:textId="0885FF32" w:rsidR="00757277" w:rsidRDefault="00757277" w:rsidP="00D26FFD">
      <w:pPr>
        <w:spacing w:line="360" w:lineRule="auto"/>
        <w:jc w:val="right"/>
        <w:rPr>
          <w:rFonts w:ascii="Arial" w:hAnsi="Arial" w:cs="Arial"/>
          <w:b/>
          <w:bCs/>
          <w:sz w:val="36"/>
          <w:szCs w:val="36"/>
        </w:rPr>
      </w:pPr>
      <w:r w:rsidRPr="004F7065">
        <w:rPr>
          <w:rFonts w:ascii="Times New Roman" w:hAnsi="Times New Roman" w:cs="Times New Roman"/>
          <w:sz w:val="20"/>
        </w:rPr>
        <w:t>Review Article</w:t>
      </w:r>
    </w:p>
    <w:p w14:paraId="47712BEC" w14:textId="71DA17CA" w:rsidR="007E4236" w:rsidRPr="00A75138" w:rsidRDefault="00967F9F" w:rsidP="00D26FFD">
      <w:pPr>
        <w:spacing w:line="360" w:lineRule="auto"/>
        <w:jc w:val="right"/>
        <w:rPr>
          <w:rFonts w:ascii="Arial" w:hAnsi="Arial" w:cs="Arial"/>
          <w:b/>
          <w:bCs/>
          <w:sz w:val="36"/>
          <w:szCs w:val="36"/>
        </w:rPr>
      </w:pPr>
      <w:r w:rsidRPr="00A75138">
        <w:rPr>
          <w:rFonts w:ascii="Arial" w:hAnsi="Arial" w:cs="Arial"/>
          <w:b/>
          <w:bCs/>
          <w:sz w:val="36"/>
          <w:szCs w:val="36"/>
        </w:rPr>
        <w:t>Decentralized Food Processing Technologies in Rural India: A Review of Technical Advancements and Socioeconomic Impacts</w:t>
      </w:r>
    </w:p>
    <w:p w14:paraId="6289C3AE" w14:textId="77777777" w:rsidR="00757277" w:rsidRPr="00A75138" w:rsidRDefault="00757277" w:rsidP="00D26FFD">
      <w:pPr>
        <w:spacing w:line="360" w:lineRule="auto"/>
        <w:jc w:val="right"/>
        <w:rPr>
          <w:rFonts w:ascii="Arial" w:hAnsi="Arial" w:cs="Arial"/>
          <w:sz w:val="20"/>
          <w:szCs w:val="18"/>
        </w:rPr>
      </w:pPr>
      <w:bookmarkStart w:id="0" w:name="_GoBack"/>
      <w:bookmarkEnd w:id="0"/>
    </w:p>
    <w:p w14:paraId="6E38785A" w14:textId="77777777" w:rsidR="00A34730" w:rsidRPr="00A75138" w:rsidRDefault="00A34730" w:rsidP="00C81016">
      <w:pPr>
        <w:spacing w:line="360" w:lineRule="auto"/>
        <w:jc w:val="both"/>
        <w:rPr>
          <w:rFonts w:ascii="Arial" w:hAnsi="Arial" w:cs="Arial"/>
          <w:sz w:val="24"/>
          <w:szCs w:val="22"/>
        </w:rPr>
      </w:pPr>
    </w:p>
    <w:p w14:paraId="0FC465E1" w14:textId="6C828615" w:rsidR="0059153B" w:rsidRPr="00A75138" w:rsidRDefault="0059153B" w:rsidP="00C81016">
      <w:pPr>
        <w:spacing w:line="360" w:lineRule="auto"/>
        <w:jc w:val="both"/>
        <w:rPr>
          <w:rFonts w:ascii="Arial" w:hAnsi="Arial" w:cs="Arial"/>
          <w:b/>
          <w:bCs/>
          <w:sz w:val="24"/>
          <w:szCs w:val="22"/>
        </w:rPr>
      </w:pPr>
      <w:r w:rsidRPr="00A75138">
        <w:rPr>
          <w:rFonts w:ascii="Arial" w:hAnsi="Arial" w:cs="Arial"/>
          <w:b/>
          <w:bCs/>
        </w:rPr>
        <w:t>Abstract</w:t>
      </w:r>
      <w:r w:rsidRPr="00A75138">
        <w:rPr>
          <w:rFonts w:ascii="Arial" w:hAnsi="Arial" w:cs="Arial"/>
          <w:b/>
          <w:bCs/>
          <w:sz w:val="24"/>
          <w:szCs w:val="22"/>
        </w:rPr>
        <w:t xml:space="preserve"> </w:t>
      </w:r>
    </w:p>
    <w:p w14:paraId="7AEE5212" w14:textId="31478870" w:rsidR="009D2672" w:rsidRPr="00A75138" w:rsidRDefault="009D2672" w:rsidP="0059153B">
      <w:pPr>
        <w:spacing w:line="360" w:lineRule="auto"/>
        <w:jc w:val="both"/>
        <w:rPr>
          <w:rFonts w:ascii="Arial" w:hAnsi="Arial" w:cs="Arial"/>
        </w:rPr>
      </w:pPr>
      <w:r w:rsidRPr="00A75138">
        <w:rPr>
          <w:rStyle w:val="citation-89"/>
          <w:rFonts w:ascii="Arial" w:hAnsi="Arial" w:cs="Arial"/>
          <w:sz w:val="20"/>
          <w:szCs w:val="18"/>
        </w:rPr>
        <w:t xml:space="preserve">The Indian food processing sector, a vital sunrise industry with a CAGR of 9.97% </w:t>
      </w:r>
      <w:r w:rsidRPr="00A75138">
        <w:rPr>
          <w:rStyle w:val="citation-88"/>
          <w:rFonts w:ascii="Arial" w:hAnsi="Arial" w:cs="Arial"/>
          <w:sz w:val="20"/>
          <w:szCs w:val="18"/>
        </w:rPr>
        <w:t xml:space="preserve">, faces a critical challenge where over 90% of agricultural production originates in rural areas </w:t>
      </w:r>
      <w:r w:rsidRPr="00A75138">
        <w:rPr>
          <w:rStyle w:val="citation-87"/>
          <w:rFonts w:ascii="Arial" w:hAnsi="Arial" w:cs="Arial"/>
          <w:sz w:val="20"/>
          <w:szCs w:val="18"/>
        </w:rPr>
        <w:t>yet suffers from annual post-harvest losses of approximately ₹90,000 crore due to a lack of village-level infrastructure</w:t>
      </w:r>
      <w:r w:rsidRPr="00A75138">
        <w:rPr>
          <w:rFonts w:ascii="Arial" w:hAnsi="Arial" w:cs="Arial"/>
          <w:sz w:val="20"/>
          <w:szCs w:val="18"/>
        </w:rPr>
        <w:t xml:space="preserve">. </w:t>
      </w:r>
      <w:r w:rsidRPr="00A75138">
        <w:rPr>
          <w:rStyle w:val="citation-86"/>
          <w:rFonts w:ascii="Arial" w:hAnsi="Arial" w:cs="Arial"/>
          <w:sz w:val="20"/>
          <w:szCs w:val="18"/>
        </w:rPr>
        <w:t>While centralized processing exists, a significant gap remains in the availability of affordable, decentralized, and energy-efficient technologies that allow primary producers to bypass intermediaries</w:t>
      </w:r>
      <w:r w:rsidRPr="00A75138">
        <w:rPr>
          <w:rFonts w:ascii="Arial" w:hAnsi="Arial" w:cs="Arial"/>
          <w:sz w:val="20"/>
          <w:szCs w:val="18"/>
        </w:rPr>
        <w:t xml:space="preserve">. </w:t>
      </w:r>
      <w:r w:rsidRPr="00A75138">
        <w:rPr>
          <w:rStyle w:val="citation-85"/>
          <w:rFonts w:ascii="Arial" w:hAnsi="Arial" w:cs="Arial"/>
          <w:sz w:val="20"/>
          <w:szCs w:val="18"/>
        </w:rPr>
        <w:t>This study addresses these systemic bottlenecks by evaluating the performance and socioeconomic impact of emerging innovations such as mini dal mills, solar tunnel dryers, and compact oil expellers</w:t>
      </w:r>
      <w:r w:rsidRPr="00A75138">
        <w:rPr>
          <w:rFonts w:ascii="Arial" w:hAnsi="Arial" w:cs="Arial"/>
          <w:sz w:val="20"/>
          <w:szCs w:val="18"/>
        </w:rPr>
        <w:t xml:space="preserve">. </w:t>
      </w:r>
      <w:r w:rsidR="000F6D31" w:rsidRPr="00A75138">
        <w:rPr>
          <w:rStyle w:val="citation-84"/>
          <w:rFonts w:ascii="Arial" w:hAnsi="Arial" w:cs="Arial"/>
          <w:sz w:val="20"/>
          <w:szCs w:val="18"/>
        </w:rPr>
        <w:t>The review</w:t>
      </w:r>
      <w:r w:rsidRPr="00A75138">
        <w:rPr>
          <w:rStyle w:val="citation-84"/>
          <w:rFonts w:ascii="Arial" w:hAnsi="Arial" w:cs="Arial"/>
          <w:sz w:val="20"/>
          <w:szCs w:val="18"/>
        </w:rPr>
        <w:t xml:space="preserve"> reveals that these technologies significantly enhance efficiency, such as achieving 80–84% pulse de-husking yields </w:t>
      </w:r>
      <w:r w:rsidRPr="00A75138">
        <w:rPr>
          <w:rStyle w:val="citation-83"/>
          <w:rFonts w:ascii="Arial" w:hAnsi="Arial" w:cs="Arial"/>
          <w:sz w:val="20"/>
          <w:szCs w:val="18"/>
        </w:rPr>
        <w:t>and extending the shelf life of perishables beyond one year</w:t>
      </w:r>
      <w:r w:rsidRPr="00A75138">
        <w:rPr>
          <w:rFonts w:ascii="Arial" w:hAnsi="Arial" w:cs="Arial"/>
          <w:sz w:val="20"/>
          <w:szCs w:val="18"/>
        </w:rPr>
        <w:t>.</w:t>
      </w:r>
      <w:r w:rsidR="000F6D31" w:rsidRPr="00A75138">
        <w:rPr>
          <w:rFonts w:ascii="Arial" w:hAnsi="Arial" w:cs="Arial"/>
          <w:sz w:val="20"/>
          <w:szCs w:val="18"/>
        </w:rPr>
        <w:t xml:space="preserve"> T</w:t>
      </w:r>
      <w:r w:rsidRPr="00A75138">
        <w:rPr>
          <w:rStyle w:val="citation-82"/>
          <w:rFonts w:ascii="Arial" w:hAnsi="Arial" w:cs="Arial"/>
          <w:sz w:val="20"/>
          <w:szCs w:val="18"/>
        </w:rPr>
        <w:t xml:space="preserve">hese technological interventions </w:t>
      </w:r>
      <w:r w:rsidR="000F6D31" w:rsidRPr="00A75138">
        <w:rPr>
          <w:rStyle w:val="citation-82"/>
          <w:rFonts w:ascii="Arial" w:hAnsi="Arial" w:cs="Arial"/>
          <w:sz w:val="20"/>
          <w:szCs w:val="18"/>
        </w:rPr>
        <w:t>catalyse</w:t>
      </w:r>
      <w:r w:rsidRPr="00A75138">
        <w:rPr>
          <w:rStyle w:val="citation-82"/>
          <w:rFonts w:ascii="Arial" w:hAnsi="Arial" w:cs="Arial"/>
          <w:sz w:val="20"/>
          <w:szCs w:val="18"/>
        </w:rPr>
        <w:t xml:space="preserve"> rural entrepreneurship and women’s empowerment through Self-Help Groups (SHGs) and Farmer Producer Organizations (FPOs)</w:t>
      </w:r>
      <w:r w:rsidRPr="00A75138">
        <w:rPr>
          <w:rFonts w:ascii="Arial" w:hAnsi="Arial" w:cs="Arial"/>
          <w:sz w:val="20"/>
          <w:szCs w:val="18"/>
        </w:rPr>
        <w:t xml:space="preserve">. </w:t>
      </w:r>
      <w:r w:rsidR="000F6D31" w:rsidRPr="00A75138">
        <w:rPr>
          <w:rFonts w:ascii="Arial" w:hAnsi="Arial" w:cs="Arial"/>
          <w:sz w:val="20"/>
          <w:szCs w:val="18"/>
        </w:rPr>
        <w:t>T</w:t>
      </w:r>
      <w:r w:rsidRPr="00A75138">
        <w:rPr>
          <w:rStyle w:val="citation-81"/>
          <w:rFonts w:ascii="Arial" w:hAnsi="Arial" w:cs="Arial"/>
          <w:sz w:val="20"/>
          <w:szCs w:val="18"/>
        </w:rPr>
        <w:t>he integratio</w:t>
      </w:r>
      <w:r w:rsidR="000F6D31" w:rsidRPr="00A75138">
        <w:rPr>
          <w:rStyle w:val="citation-81"/>
          <w:rFonts w:ascii="Arial" w:hAnsi="Arial" w:cs="Arial"/>
          <w:sz w:val="20"/>
          <w:szCs w:val="18"/>
        </w:rPr>
        <w:t xml:space="preserve">n of low-cost Industry </w:t>
      </w:r>
      <w:r w:rsidRPr="00A75138">
        <w:rPr>
          <w:rStyle w:val="citation-81"/>
          <w:rFonts w:ascii="Arial" w:hAnsi="Arial" w:cs="Arial"/>
          <w:sz w:val="20"/>
          <w:szCs w:val="18"/>
        </w:rPr>
        <w:t>and standardized quality-assurance frameworks is proposed as the essential path for transitioning rural producers into competitive participants in the global value chain</w:t>
      </w:r>
      <w:r w:rsidRPr="00A75138">
        <w:rPr>
          <w:rFonts w:ascii="Arial" w:hAnsi="Arial" w:cs="Arial"/>
          <w:sz w:val="20"/>
          <w:szCs w:val="18"/>
        </w:rPr>
        <w:t>.</w:t>
      </w:r>
      <w:r w:rsidRPr="00A75138">
        <w:rPr>
          <w:rFonts w:ascii="Arial" w:hAnsi="Arial" w:cs="Arial"/>
        </w:rPr>
        <w:t xml:space="preserve"> </w:t>
      </w:r>
    </w:p>
    <w:p w14:paraId="39BD5D99" w14:textId="73577CAC" w:rsidR="004120A1" w:rsidRPr="00A75138" w:rsidRDefault="00D34585" w:rsidP="0059153B">
      <w:pPr>
        <w:spacing w:line="360" w:lineRule="auto"/>
        <w:jc w:val="both"/>
        <w:rPr>
          <w:rFonts w:ascii="Arial" w:hAnsi="Arial" w:cs="Arial"/>
          <w:i/>
          <w:iCs/>
          <w:sz w:val="20"/>
          <w:szCs w:val="18"/>
        </w:rPr>
      </w:pPr>
      <w:r w:rsidRPr="00A75138">
        <w:rPr>
          <w:rFonts w:ascii="Arial" w:hAnsi="Arial" w:cs="Arial"/>
          <w:sz w:val="20"/>
          <w:szCs w:val="18"/>
        </w:rPr>
        <w:t xml:space="preserve">Key words: </w:t>
      </w:r>
      <w:r w:rsidRPr="00A75138">
        <w:rPr>
          <w:rFonts w:ascii="Arial" w:hAnsi="Arial" w:cs="Arial"/>
          <w:i/>
          <w:iCs/>
          <w:sz w:val="20"/>
          <w:szCs w:val="18"/>
        </w:rPr>
        <w:t>Decentralized Units, Value Addition, Post-Harvest Loss, Agri-Business, Empowerment, Sustainability</w:t>
      </w:r>
    </w:p>
    <w:p w14:paraId="7E56CDAA" w14:textId="611EE3FC" w:rsidR="00E535A0" w:rsidRPr="00A75138" w:rsidRDefault="00E535A0" w:rsidP="0059153B">
      <w:pPr>
        <w:spacing w:line="360" w:lineRule="auto"/>
        <w:jc w:val="both"/>
        <w:rPr>
          <w:rFonts w:ascii="Arial" w:hAnsi="Arial" w:cs="Arial"/>
          <w:i/>
          <w:iCs/>
          <w:sz w:val="20"/>
        </w:rPr>
      </w:pPr>
    </w:p>
    <w:p w14:paraId="791D2F22" w14:textId="17D42FD8" w:rsidR="003E07F3" w:rsidRPr="00A75138" w:rsidRDefault="003E07F3" w:rsidP="0059153B">
      <w:pPr>
        <w:spacing w:line="360" w:lineRule="auto"/>
        <w:jc w:val="both"/>
        <w:rPr>
          <w:rFonts w:ascii="Arial" w:hAnsi="Arial" w:cs="Arial"/>
          <w:i/>
          <w:iCs/>
          <w:sz w:val="20"/>
        </w:rPr>
      </w:pPr>
    </w:p>
    <w:p w14:paraId="693D9050" w14:textId="312F4544" w:rsidR="00A75138" w:rsidRPr="00A75138" w:rsidRDefault="00A75138" w:rsidP="0059153B">
      <w:pPr>
        <w:spacing w:line="360" w:lineRule="auto"/>
        <w:jc w:val="both"/>
        <w:rPr>
          <w:rFonts w:ascii="Arial" w:hAnsi="Arial" w:cs="Arial"/>
          <w:i/>
          <w:iCs/>
          <w:sz w:val="24"/>
          <w:szCs w:val="22"/>
        </w:rPr>
      </w:pPr>
    </w:p>
    <w:p w14:paraId="5BAED958" w14:textId="77777777" w:rsidR="000E17D7" w:rsidRPr="00A75138" w:rsidRDefault="007E4236" w:rsidP="00E630DD">
      <w:pPr>
        <w:pStyle w:val="ListParagraph"/>
        <w:numPr>
          <w:ilvl w:val="0"/>
          <w:numId w:val="6"/>
        </w:numPr>
        <w:spacing w:line="360" w:lineRule="auto"/>
        <w:ind w:left="0"/>
        <w:jc w:val="both"/>
        <w:rPr>
          <w:rFonts w:ascii="Arial" w:hAnsi="Arial" w:cs="Arial"/>
          <w:b/>
          <w:bCs/>
        </w:rPr>
      </w:pPr>
      <w:r w:rsidRPr="00A75138">
        <w:rPr>
          <w:rFonts w:ascii="Arial" w:hAnsi="Arial" w:cs="Arial"/>
          <w:b/>
          <w:bCs/>
        </w:rPr>
        <w:t>Introduction</w:t>
      </w:r>
    </w:p>
    <w:p w14:paraId="66F360F6" w14:textId="77777777" w:rsidR="002F205E" w:rsidRPr="00A75138" w:rsidRDefault="000E17D7" w:rsidP="00C81016">
      <w:pPr>
        <w:spacing w:line="360" w:lineRule="auto"/>
        <w:jc w:val="both"/>
        <w:rPr>
          <w:rFonts w:ascii="Arial" w:hAnsi="Arial" w:cs="Arial"/>
          <w:sz w:val="20"/>
        </w:rPr>
      </w:pPr>
      <w:r w:rsidRPr="00A75138">
        <w:rPr>
          <w:rFonts w:ascii="Arial" w:hAnsi="Arial" w:cs="Arial"/>
          <w:sz w:val="20"/>
        </w:rPr>
        <w:t>Food processing refers to the transformation of raw ingredients such as harvested crops or animal driven products into edible, safe, and marketable food products</w:t>
      </w:r>
      <w:r w:rsidR="00E069CD" w:rsidRPr="00A75138">
        <w:rPr>
          <w:rFonts w:ascii="Arial" w:hAnsi="Arial" w:cs="Arial"/>
          <w:sz w:val="20"/>
        </w:rPr>
        <w:t xml:space="preserve"> </w:t>
      </w:r>
      <w:r w:rsidRPr="00A75138">
        <w:rPr>
          <w:rFonts w:ascii="Arial" w:hAnsi="Arial" w:cs="Arial"/>
          <w:sz w:val="20"/>
        </w:rPr>
        <w:fldChar w:fldCharType="begin" w:fldLock="1"/>
      </w:r>
      <w:r w:rsidRPr="00A75138">
        <w:rPr>
          <w:rFonts w:ascii="Arial" w:hAnsi="Arial" w:cs="Arial"/>
          <w:sz w:val="20"/>
        </w:rPr>
        <w:instrText>ADDIN CSL_CITATION {"citationItems":[{"id":"ITEM-1","itemData":{"author":[{"dropping-particle":"","family":"Rais","given":"Mohammad","non-dropping-particle":"","parse-names":false,"suffix":""}],"id":"ITEM-1","issue":"4","issued":{"date-parts":[["2013"]]},"page":"451-478","title":"FOOD PROCESSING INDUSTRY IN INDIA : S &amp; T CAPABILITY , SKILLS AND","type":"article-journal","volume":"32"},"uris":["http://www.mendeley.com/documents/?uuid=d2b74b3e-f301-4f83-8fdf-228e95eb9485"]}],"mendeley":{"formattedCitation":"(Rais, 2013)","plainTextFormattedCitation":"(Rais, 2013)","previouslyFormattedCitation":"(Rais, 2013)"},"properties":{"noteIndex":0},"schema":"https://github.com/citation-style-language/schema/raw/master/csl-citation.json"}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(Rais, 2013)</w:t>
      </w:r>
      <w:r w:rsidRPr="00A75138">
        <w:rPr>
          <w:rFonts w:ascii="Arial" w:hAnsi="Arial" w:cs="Arial"/>
          <w:sz w:val="20"/>
        </w:rPr>
        <w:fldChar w:fldCharType="end"/>
      </w:r>
      <w:r w:rsidRPr="00A75138">
        <w:rPr>
          <w:rFonts w:ascii="Arial" w:hAnsi="Arial" w:cs="Arial"/>
          <w:sz w:val="20"/>
        </w:rPr>
        <w:t>. It involves operations like cleaning, grading, preservation, packaging, and value addition to enhance shelf life and consumer appeal. Globally considered a sunrise sector, food processing plays a vital role in income generation, waste reduction, foreign exchange earnings, and enhancing manufacturing competitiveness</w:t>
      </w:r>
      <w:r w:rsidR="00E8631E" w:rsidRPr="00A75138">
        <w:rPr>
          <w:rFonts w:ascii="Arial" w:hAnsi="Arial" w:cs="Arial"/>
          <w:sz w:val="20"/>
        </w:rPr>
        <w:t xml:space="preserve"> </w:t>
      </w:r>
      <w:r w:rsidRPr="00A75138">
        <w:rPr>
          <w:rFonts w:ascii="Arial" w:hAnsi="Arial" w:cs="Arial"/>
          <w:sz w:val="20"/>
        </w:rPr>
        <w:fldChar w:fldCharType="begin" w:fldLock="1"/>
      </w:r>
      <w:r w:rsidR="00533132" w:rsidRPr="00A75138">
        <w:rPr>
          <w:rFonts w:ascii="Arial" w:hAnsi="Arial" w:cs="Arial"/>
          <w:sz w:val="20"/>
        </w:rPr>
        <w:instrText>ADDIN CSL_CITATION {"citationItems":[{"id":"ITEM-1","itemData":{"ISSN":"18734359","abstract":"Abstract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Keywords:","author":[{"dropping-particle":"","family":"Patients","given":"Supportive","non-dropping-particle":"","parse-names":false,"suffix":""},{"dropping-particle":"","family":"in Solid Cancer","given":"Palliative Care","non-dropping-particle":"","parse-names":false,"suffix":""},{"dropping-particle":"","family":"Hassan","given":"Bassam Abdul Rasool","non-dropping-particle":"","parse-names":false,"suffix":""},{"dropping-particle":"","family":"Yusoff","given":"Zuraidah Binti Mohd","non-dropping-particle":"","parse-names":false,"suffix":""},{"dropping-particle":"","family":"Othman","given":"Mohamed Azmi Hassali","non-dropping-particle":"","parse-names":false,"suffix":""},{"dropping-particle":"","family":"Bin","given":"Saad","non-dropping-particle":"","parse-names":false,"suffix":""},{"dropping-particle":"","family":"information is available at the end of the Chapter","given":"Additional","non-dropping-particle":"","parse-names":false,"suffix":""},{"dropping-particle":"","family":"Http://dx.doi.org/10.5772/55358","given":"","non-dropping-particle":"","parse-names":false,"suffix":""}],"container-title":"Intech","id":"ITEM-1","issued":{"date-parts":[["2012"]]},"page":"13","title":"We are IntechOpen , the world ' s leading publisher of Open Access books Built by scientists , for scientists TOP 1 %","type":"article-journal"},"uris":["http://www.mendeley.com/documents/?uuid=075e7a27-50a8-4c17-b67b-3ead3c8db2c1"]}],"mendeley":{"formattedCitation":"(Patients et al., 2012)","plainTextFormattedCitation":"(Patients et al., 2012)","previouslyFormattedCitation":"(Patients et al., 2012)"},"properties":{"noteIndex":0},"schema":"https://github.com/citation-style-language/schema/raw/master/csl-citation.json"}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 xml:space="preserve">(Patients </w:t>
      </w:r>
      <w:r w:rsidRPr="00A75138">
        <w:rPr>
          <w:rFonts w:ascii="Arial" w:hAnsi="Arial" w:cs="Arial"/>
          <w:i/>
          <w:iCs/>
          <w:noProof/>
          <w:sz w:val="20"/>
        </w:rPr>
        <w:t>et al.,</w:t>
      </w:r>
      <w:r w:rsidRPr="00A75138">
        <w:rPr>
          <w:rFonts w:ascii="Arial" w:hAnsi="Arial" w:cs="Arial"/>
          <w:noProof/>
          <w:sz w:val="20"/>
        </w:rPr>
        <w:t xml:space="preserve"> 2012)</w:t>
      </w:r>
      <w:r w:rsidRPr="00A75138">
        <w:rPr>
          <w:rFonts w:ascii="Arial" w:hAnsi="Arial" w:cs="Arial"/>
          <w:sz w:val="20"/>
        </w:rPr>
        <w:fldChar w:fldCharType="end"/>
      </w:r>
      <w:r w:rsidR="00C054E5" w:rsidRPr="00A75138">
        <w:rPr>
          <w:rFonts w:ascii="Arial" w:hAnsi="Arial" w:cs="Arial"/>
          <w:sz w:val="20"/>
        </w:rPr>
        <w:t xml:space="preserve"> </w:t>
      </w:r>
      <w:r w:rsidR="00533132" w:rsidRPr="00A75138">
        <w:rPr>
          <w:rFonts w:ascii="Arial" w:hAnsi="Arial" w:cs="Arial"/>
          <w:sz w:val="20"/>
        </w:rPr>
        <w:fldChar w:fldCharType="begin" w:fldLock="1"/>
      </w:r>
      <w:r w:rsidR="00B1705B" w:rsidRPr="00A75138">
        <w:rPr>
          <w:rFonts w:ascii="Arial" w:hAnsi="Arial" w:cs="Arial"/>
          <w:sz w:val="20"/>
        </w:rPr>
        <w:instrText>ADDIN CSL_CITATION {"citationItems":[{"id":"ITEM-1","itemData":{"ISBN":"9789332701137","abstract":"Unleashing the Potential of the Non-alcoholic Beverage Sector E x e c u t i v e S u m m a r y","author":[{"dropping-particle":"","family":"Adukia","given":"Rajkumar S.","non-dropping-particle":"","parse-names":false,"suffix":""}],"container-title":"Icrier.Org","id":"ITEM-1","issue":"2","issued":{"date-parts":[["2012"]]},"page":"1-98","title":"Food Processing Industry in India.","type":"article-journal","volume":"7"},"uris":["http://www.mendeley.com/documents/?uuid=4a7fe4ea-1b24-4cdf-a9b8-03add80974e1"]}],"mendeley":{"formattedCitation":"(Adukia, 2012)","manualFormatting":"(Adukia, 2024)","plainTextFormattedCitation":"(Adukia, 2012)","previouslyFormattedCitation":"(Adukia, 2012)"},"properties":{"noteIndex":0},"schema":"https://github.com/citation-style-language/schema/raw/master/csl-citation.json"}</w:instrText>
      </w:r>
      <w:r w:rsidR="00533132" w:rsidRPr="00A75138">
        <w:rPr>
          <w:rFonts w:ascii="Arial" w:hAnsi="Arial" w:cs="Arial"/>
          <w:sz w:val="20"/>
        </w:rPr>
        <w:fldChar w:fldCharType="separate"/>
      </w:r>
      <w:r w:rsidR="00533132" w:rsidRPr="00A75138">
        <w:rPr>
          <w:rFonts w:ascii="Arial" w:hAnsi="Arial" w:cs="Arial"/>
          <w:noProof/>
          <w:sz w:val="20"/>
        </w:rPr>
        <w:t>(Adukia, 2024)</w:t>
      </w:r>
      <w:r w:rsidR="00533132" w:rsidRPr="00A75138">
        <w:rPr>
          <w:rFonts w:ascii="Arial" w:hAnsi="Arial" w:cs="Arial"/>
          <w:sz w:val="20"/>
        </w:rPr>
        <w:fldChar w:fldCharType="end"/>
      </w:r>
      <w:r w:rsidRPr="00A75138">
        <w:rPr>
          <w:rFonts w:ascii="Arial" w:hAnsi="Arial" w:cs="Arial"/>
          <w:sz w:val="20"/>
        </w:rPr>
        <w:t xml:space="preserve">. </w:t>
      </w:r>
      <w:r w:rsidR="007D5BBC" w:rsidRPr="00A75138">
        <w:rPr>
          <w:rFonts w:ascii="Arial" w:hAnsi="Arial" w:cs="Arial"/>
          <w:sz w:val="20"/>
        </w:rPr>
        <w:t xml:space="preserve">According to a press release by the Press Information Bureau (PIB) Delhi </w:t>
      </w:r>
      <w:r w:rsidR="007D5BBC" w:rsidRPr="00A75138">
        <w:rPr>
          <w:rFonts w:ascii="Arial" w:hAnsi="Arial" w:cs="Arial"/>
          <w:sz w:val="20"/>
        </w:rPr>
        <w:lastRenderedPageBreak/>
        <w:t>dated August 5, 2022, the contribution of the food processing sector in India has shown consistent growth, with the Gross Value Added (GVA) increasin</w:t>
      </w:r>
      <w:r w:rsidR="00292EFE" w:rsidRPr="00A75138">
        <w:rPr>
          <w:rFonts w:ascii="Arial" w:hAnsi="Arial" w:cs="Arial"/>
          <w:sz w:val="20"/>
        </w:rPr>
        <w:t>g from ₹1.34 lakh crore in 2014-</w:t>
      </w:r>
      <w:r w:rsidR="00C33984" w:rsidRPr="00A75138">
        <w:rPr>
          <w:rFonts w:ascii="Arial" w:hAnsi="Arial" w:cs="Arial"/>
          <w:sz w:val="20"/>
        </w:rPr>
        <w:t>15 to ₹2.37 lakh crore in 2020-</w:t>
      </w:r>
      <w:r w:rsidR="007D5BBC" w:rsidRPr="00A75138">
        <w:rPr>
          <w:rFonts w:ascii="Arial" w:hAnsi="Arial" w:cs="Arial"/>
          <w:sz w:val="20"/>
        </w:rPr>
        <w:t>21, reflecting a compound annual growth rate (CAGR) of 9.97% (PIB, 2022). Forecasts suggest a sustained expansion trajectory, with the market size projected to reach US$ 1,274 billion by the year 2027.</w:t>
      </w:r>
      <w:r w:rsidRPr="00A75138">
        <w:rPr>
          <w:rFonts w:ascii="Arial" w:hAnsi="Arial" w:cs="Arial"/>
          <w:sz w:val="20"/>
        </w:rPr>
        <w:t xml:space="preserve"> </w:t>
      </w:r>
      <w:r w:rsidR="007D5BBC" w:rsidRPr="00A75138">
        <w:rPr>
          <w:rFonts w:ascii="Arial" w:hAnsi="Arial" w:cs="Arial"/>
          <w:sz w:val="20"/>
        </w:rPr>
        <w:t>As of 2024, the food processing sector has emerged as a significant contributor to the national economy, accounting for approximately 8.80% of the Gross Value Added (GVA) within the manufacturing sector and 8.39% within the agriculture sector. Additionally, it constitutes around 13% of India's total exports and contributes 6% to the country’s overall industrial investment</w:t>
      </w:r>
      <w:r w:rsidR="00466CB0" w:rsidRPr="00A75138">
        <w:rPr>
          <w:rFonts w:ascii="Arial" w:hAnsi="Arial" w:cs="Arial"/>
          <w:sz w:val="20"/>
        </w:rPr>
        <w:t xml:space="preserve"> (India Food 2024 Report, Ministry of Food Processing Industries, 2024).</w:t>
      </w:r>
      <w:r w:rsidR="007D5BBC" w:rsidRPr="00A75138">
        <w:rPr>
          <w:rFonts w:ascii="Arial" w:hAnsi="Arial" w:cs="Arial"/>
          <w:sz w:val="20"/>
        </w:rPr>
        <w:t xml:space="preserve"> </w:t>
      </w:r>
    </w:p>
    <w:p w14:paraId="5DD4F24A" w14:textId="21DBBD46" w:rsidR="00466CB0" w:rsidRPr="00A75138" w:rsidRDefault="002F205E" w:rsidP="00C81016">
      <w:pPr>
        <w:spacing w:line="360" w:lineRule="auto"/>
        <w:jc w:val="both"/>
        <w:rPr>
          <w:rFonts w:ascii="Arial" w:hAnsi="Arial" w:cs="Arial"/>
          <w:sz w:val="20"/>
        </w:rPr>
      </w:pPr>
      <w:r w:rsidRPr="00A75138">
        <w:rPr>
          <w:rFonts w:ascii="Arial" w:hAnsi="Arial" w:cs="Arial"/>
          <w:sz w:val="20"/>
        </w:rPr>
        <w:tab/>
      </w:r>
      <w:r w:rsidR="000E17D7" w:rsidRPr="00A75138">
        <w:rPr>
          <w:rFonts w:ascii="Arial" w:hAnsi="Arial" w:cs="Arial"/>
          <w:sz w:val="20"/>
        </w:rPr>
        <w:t>Despite India's status as a major producer of milk, fruits, and vegetables, the overa</w:t>
      </w:r>
      <w:r w:rsidR="00466CB0" w:rsidRPr="00A75138">
        <w:rPr>
          <w:rFonts w:ascii="Arial" w:hAnsi="Arial" w:cs="Arial"/>
          <w:sz w:val="20"/>
        </w:rPr>
        <w:t>ll processing levels remain low According to the Foo</w:t>
      </w:r>
      <w:r w:rsidR="00FB2715" w:rsidRPr="00A75138">
        <w:rPr>
          <w:rFonts w:ascii="Arial" w:hAnsi="Arial" w:cs="Arial"/>
          <w:sz w:val="20"/>
        </w:rPr>
        <w:t>d Processing Ingredients Annual</w:t>
      </w:r>
      <w:r w:rsidR="00466CB0" w:rsidRPr="00A75138">
        <w:rPr>
          <w:rFonts w:ascii="Arial" w:hAnsi="Arial" w:cs="Arial"/>
          <w:sz w:val="20"/>
        </w:rPr>
        <w:t>- 2024 report published by the Foreign Agricultural Service, United States Department of Agriculture (USDA), the processing levels of food commodities in India remain relatively low compared to global standards. As per a Deloitte study cited in the report, the processing rate for fruits stands at approximately 4.5%, while vegetables are processed at a rate of 2.7%. In contrast, higher processing levels are observed in other categories such as milk (21.1%), meat (34.2%), and fishery products (15.4%) (USDA FAS, 2024, Report No. IN2024-0014).</w:t>
      </w:r>
    </w:p>
    <w:p w14:paraId="4D5FDB3F" w14:textId="4BFBB579" w:rsidR="00A840F8" w:rsidRPr="00A75138" w:rsidRDefault="00A840F8" w:rsidP="00C81016">
      <w:pPr>
        <w:spacing w:line="360" w:lineRule="auto"/>
        <w:jc w:val="both"/>
        <w:rPr>
          <w:rFonts w:ascii="Arial" w:hAnsi="Arial" w:cs="Arial"/>
          <w:sz w:val="20"/>
        </w:rPr>
      </w:pPr>
      <w:r w:rsidRPr="00A75138">
        <w:rPr>
          <w:rFonts w:ascii="Arial" w:hAnsi="Arial" w:cs="Arial"/>
          <w:sz w:val="20"/>
        </w:rPr>
        <w:t>Rural India, despite being the principal contributor to the nation's agricultural production, remains underdeveloped in terms of food processing infrastructure. A significant proportion of agricultural commodities are marketed in unprocessed form or are lost post-harvest due to the absence of affordable and scalable processing technologies at the village level</w:t>
      </w:r>
      <w:r w:rsidRPr="00A75138">
        <w:rPr>
          <w:rFonts w:ascii="Arial" w:hAnsi="Arial" w:cs="Arial"/>
          <w:sz w:val="20"/>
        </w:rPr>
        <w:fldChar w:fldCharType="begin" w:fldLock="1"/>
      </w:r>
      <w:r w:rsidRPr="00A75138">
        <w:rPr>
          <w:rFonts w:ascii="Arial" w:hAnsi="Arial" w:cs="Arial"/>
          <w:sz w:val="20"/>
        </w:rPr>
        <w:instrText>ADDIN CSL_CITATION {"citationItems":[{"id":"ITEM-1","itemData":{"ISBN":"9788177912012","author":[{"dropping-particle":"","family":"Manjunath","given":"Soumya","non-dropping-particle":"","parse-names":false,"suffix":""},{"dropping-particle":"","family":"Kannan","given":"Elumalai","non-dropping-particle":"","parse-names":false,"suffix":""}],"id":"ITEM-1","issue":"1","issued":{"date-parts":[["2015"]]},"page":"1-16","title":"Effect of Rural Infrastructure on Agricultural Development : District Level Analysis in Karnataka Effect of Rural Infrastructure on Agricultural Development : District Level Analysis in Karnataka Soumya Manjunath Elumalai Kannan","type":"article-journal"},"uris":["http://www.mendeley.com/documents/?uuid=208475f3-ec23-4471-b0ee-ce7b6e611e0a"]}],"mendeley":{"formattedCitation":"(Manjunath &amp; Kannan, 2015)","plainTextFormattedCitation":"(Manjunath &amp; Kannan, 2015)","previouslyFormattedCitation":"(Manjunath &amp; Kannan, 2015)"},"properties":{"noteIndex":0},"schema":"https://github.com/citation-style-language/schema/raw/master/csl-citation.json"}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(Manjunath &amp; Kannan, 2015)</w:t>
      </w:r>
      <w:r w:rsidRPr="00A75138">
        <w:rPr>
          <w:rFonts w:ascii="Arial" w:hAnsi="Arial" w:cs="Arial"/>
          <w:sz w:val="20"/>
        </w:rPr>
        <w:fldChar w:fldCharType="end"/>
      </w:r>
      <w:r w:rsidR="00B23DA6" w:rsidRPr="00A75138">
        <w:rPr>
          <w:rFonts w:ascii="Arial" w:hAnsi="Arial" w:cs="Arial"/>
          <w:sz w:val="20"/>
        </w:rPr>
        <w:t xml:space="preserve"> </w:t>
      </w:r>
      <w:r w:rsidRPr="00A75138">
        <w:rPr>
          <w:rFonts w:ascii="Arial" w:hAnsi="Arial" w:cs="Arial"/>
          <w:sz w:val="20"/>
        </w:rPr>
        <w:fldChar w:fldCharType="begin" w:fldLock="1"/>
      </w:r>
      <w:r w:rsidRPr="00A75138">
        <w:rPr>
          <w:rFonts w:ascii="Arial" w:hAnsi="Arial" w:cs="Arial"/>
          <w:sz w:val="20"/>
        </w:rPr>
        <w:instrText>ADDIN CSL_CITATION {"citationItems":[{"id":"ITEM-1","itemData":{"abstract":"Globally all major economies have advanced food processing ecosystems with high levels of processing (70-80 per cent against 10 per cent in India) and correspondingly higher value added per worker in agriculture. India, despite being the leader in production of several agricultural commodities, lags behind several countries in terms of value added per worker in agriculture. India's food sector attracted $ 4.18 Bn in foreign direct investment between April 2014-March 2020. Currently, India is processing less than 10% of its agricultural output, thus, presenting immense opportunities for increasing these processing levels and leading to investments in this sector. With agriculture and its allied sectors being the largest source of livelihoods in India, 70% of its rural households still depend primarily on agriculture for their livelihood. Thus, this sector provides a huge employment generation potential as well. With the government's focus and a favorable policy ecosystem, the food processing sector has been growing at an Average Annual Growth Rate (AAGR) of around 8.41 % between 2014-18. The sector constitutes 8.83% and 10.66% of gross value added in manufacturing and agriculture sector respectively. The Indian food industry's output is expected to reach $ 535 Bn by 2025-26. Rising household incomes, urbanization and the growth of organized retail are currently some of the major drivers of this market. According to the latest Annual Survey of Industries (2016-17), food processing accounted for 15.95% of the total number of factories, Employment to 11.36 % of the workforce, 14.09% of the output and 16.78% of the operational factories. The Indian market is fast evolving and has seen some major changes in terms of changing consumption patterns due to urbanization, changes in the gender composition of the workforce, and growing consumption rates. The growing consumption of food is expected to reach $ 1.2 Trn by 2025-26, owing to these factors.","author":[{"dropping-particle":"","family":"Suryavanshi","given":"Manoj","non-dropping-particle":"","parse-names":false,"suffix":""}],"id":"ITEM-1","issue":"4","issued":{"date-parts":[["2023"]]},"page":"76-85","title":"Food Processing Industries In India: A Study For Increasing Rural Income","type":"article-journal","volume":"11"},"uris":["http://www.mendeley.com/documents/?uuid=d1f589e1-a060-4716-919c-1f3c35dc971b"]}],"mendeley":{"formattedCitation":"(Suryavanshi, 2023)","plainTextFormattedCitation":"(Suryavanshi, 2023)","previouslyFormattedCitation":"(Suryavanshi, 2023)"},"properties":{"noteIndex":0},"schema":"https://github.com/citation-style-language/schema/raw/master/csl-citation.json"}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(Suryavanshi, 2023)</w:t>
      </w:r>
      <w:r w:rsidRPr="00A75138">
        <w:rPr>
          <w:rFonts w:ascii="Arial" w:hAnsi="Arial" w:cs="Arial"/>
          <w:sz w:val="20"/>
        </w:rPr>
        <w:fldChar w:fldCharType="end"/>
      </w:r>
      <w:r w:rsidRPr="00A75138">
        <w:rPr>
          <w:rFonts w:ascii="Arial" w:hAnsi="Arial" w:cs="Arial"/>
          <w:sz w:val="20"/>
        </w:rPr>
        <w:t>. According to estimates by NITI Aayog, annual postharvest losses in India amount to approximately ₹90,000 crore (</w:t>
      </w:r>
      <w:r w:rsidR="007422B3" w:rsidRPr="00A75138">
        <w:rPr>
          <w:rFonts w:ascii="Arial" w:hAnsi="Arial" w:cs="Arial"/>
          <w:sz w:val="20"/>
        </w:rPr>
        <w:t xml:space="preserve">US$ 10.79 billion), showing </w:t>
      </w:r>
      <w:r w:rsidRPr="00A75138">
        <w:rPr>
          <w:rFonts w:ascii="Arial" w:hAnsi="Arial" w:cs="Arial"/>
          <w:sz w:val="20"/>
        </w:rPr>
        <w:t>the ineffic</w:t>
      </w:r>
      <w:r w:rsidR="007422B3" w:rsidRPr="00A75138">
        <w:rPr>
          <w:rFonts w:ascii="Arial" w:hAnsi="Arial" w:cs="Arial"/>
          <w:sz w:val="20"/>
        </w:rPr>
        <w:t xml:space="preserve">iencies in the current post-harvest management of agricultural products </w:t>
      </w:r>
      <w:r w:rsidRPr="00A75138">
        <w:rPr>
          <w:rFonts w:ascii="Arial" w:hAnsi="Arial" w:cs="Arial"/>
          <w:sz w:val="20"/>
        </w:rPr>
        <w:fldChar w:fldCharType="begin" w:fldLock="1"/>
      </w:r>
      <w:r w:rsidRPr="00A75138">
        <w:rPr>
          <w:rFonts w:ascii="Arial" w:hAnsi="Arial" w:cs="Arial"/>
          <w:sz w:val="20"/>
        </w:rPr>
        <w:instrText>ADDIN CSL_CITATION {"citationItems":[{"id":"ITEM-1","itemData":{"abstract":"… Wheat 13.1 13.2 13.2 12.6 14.5 13.9 14.3 12.5 Maize 3.4 2.2 3.1 1.8 3.6 1.9 4.0 2.1 … using the value and quantity data of inputs given by the data agency. Comparison with alternate … agriculture in the economy and its strategic location in the supply chain. A number of agents …","author":[{"dropping-particle":"","family":"Ghosh","given":"N","non-dropping-particle":"","parse-names":false,"suffix":""}],"container-title":"… submitted to the Ministry of Agriculture and Farmers …","id":"ITEM-1","issued":{"date-parts":[["2014"]]},"title":"An assessment of the extent of food processing in various food sub-sectors","type":"article-journal"},"uris":["http://www.mendeley.com/documents/?uuid=a6d9246a-9390-42d7-bb81-5f783e53eada"]}],"mendeley":{"formattedCitation":"(Ghosh, 2014)","plainTextFormattedCitation":"(Ghosh, 2014)","previouslyFormattedCitation":"(Ghosh, 2014)"},"properties":{"noteIndex":0},"schema":"https://github.com/citation-style-language/schema/raw/master/csl-citation.json"}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(Ghosh, 2014)</w:t>
      </w:r>
      <w:r w:rsidRPr="00A75138">
        <w:rPr>
          <w:rFonts w:ascii="Arial" w:hAnsi="Arial" w:cs="Arial"/>
          <w:sz w:val="20"/>
        </w:rPr>
        <w:fldChar w:fldCharType="end"/>
      </w:r>
      <w:r w:rsidRPr="00A75138">
        <w:rPr>
          <w:rFonts w:ascii="Arial" w:hAnsi="Arial" w:cs="Arial"/>
          <w:sz w:val="20"/>
        </w:rPr>
        <w:t xml:space="preserve">. Structural challenges such as unreliable electrification, inadequate cold chain networks, and limited access to technical training further constrain the capacity for value addition at the grassroots level. Consequently, primary producers in rural areas are confined to low-margin activities and are heavily reliant on intermediaries, thereby limiting their integration into higher-value segments of the </w:t>
      </w:r>
      <w:r w:rsidR="007422B3" w:rsidRPr="00A75138">
        <w:rPr>
          <w:rFonts w:ascii="Arial" w:hAnsi="Arial" w:cs="Arial"/>
          <w:sz w:val="20"/>
        </w:rPr>
        <w:t>agro</w:t>
      </w:r>
      <w:r w:rsidRPr="00A75138">
        <w:rPr>
          <w:rFonts w:ascii="Arial" w:hAnsi="Arial" w:cs="Arial"/>
          <w:sz w:val="20"/>
        </w:rPr>
        <w:t>-value chain. Given that rural India accounts for over 90% of the agricultural Net D</w:t>
      </w:r>
      <w:r w:rsidR="00B23DA6" w:rsidRPr="00A75138">
        <w:rPr>
          <w:rFonts w:ascii="Arial" w:hAnsi="Arial" w:cs="Arial"/>
          <w:sz w:val="20"/>
        </w:rPr>
        <w:t>omestic Product (NDP) from 1970-71 to 2011-</w:t>
      </w:r>
      <w:r w:rsidRPr="00A75138">
        <w:rPr>
          <w:rFonts w:ascii="Arial" w:hAnsi="Arial" w:cs="Arial"/>
          <w:sz w:val="20"/>
        </w:rPr>
        <w:t>12</w:t>
      </w:r>
      <w:r w:rsidRPr="00A75138">
        <w:rPr>
          <w:rFonts w:ascii="Arial" w:hAnsi="Arial" w:cs="Arial"/>
          <w:sz w:val="20"/>
        </w:rPr>
        <w:fldChar w:fldCharType="begin" w:fldLock="1"/>
      </w:r>
      <w:r w:rsidR="002831D3" w:rsidRPr="00A75138">
        <w:rPr>
          <w:rFonts w:ascii="Arial" w:hAnsi="Arial" w:cs="Arial"/>
          <w:sz w:val="20"/>
        </w:rPr>
        <w:instrText>ADDIN CSL_CITATION {"citationItems":[{"id":"ITEM-1","itemData":{"abstract":"India is predominantly a rural country with two third population and 70% workforce residing in rural areas. Rural economy constitutes 46 per cent of national income. Despite the rise of urbanisation more than half of India‟s population is projected to be rural by 2050. Thus growth and development of rural economy and population are a key to overall growth and inclusive development of the country. Traditionally, agriculture is the prime sector of rural economy and rural employment. The transition in composition of output and occupation from agriculture to more productive non-farm sectors is considered as an important source of economic growth and transformation in rural and total economy. However, no serious attempt has been made to analyse and understand the transition in India‟s rural economy. Economic studies on rural India have focused mainly on changes in rural employment, by gender and at broad sectoral aggregation between agriculture and non agriculture. The present study examines long term changes in (i) sectoral composition of rural output and employment, (ii) their relationships and implications for output growth and employment and (iii) income inequalities across sectors and between rural and urban sectors. The findings of the study are used to suggest strategy for future development of India‟s rural economy. The study analyses changes in rural economy and employment during the last forty years covering the period 1970-71 to 2011-12. Sector, and gender wise information on distribution of household members across economic activities and those not in workforce was taken from the Unit Level data available in various Quinquennium rounds of NSSO on Employment and Unemployment. Sector wise output data for the corresponding years was taken from the National Accounts Statistics of CSO. The study highlights the profound changes experienced by India‟s rural economy which have not been reckoned. Contrary to the common perception about predominance of agriculture in rural economy, about two third of rural income is now generated in non agricultural activities. Similarly, it looks amazing to find that more than half of the value added in manufacturing sector in India is contributed by rural areas. However, the impressive growth of non agricultural sector in rural India has not brought significant employment gains or reduction in disparity in worker productivity. This underlines the need for a new approach to direct the transition of rural economy.","author":[{"dropping-particle":"","family":"Chand","given":"Ramesh","non-dropping-particle":"","parse-names":false,"suffix":""},{"dropping-particle":"","family":"Srivastava","given":"S. K.","non-dropping-particle":"","parse-names":false,"suffix":""},{"dropping-particle":"","family":"Singh","given":"Jaspal","non-dropping-particle":"","parse-names":false,"suffix":""}],"container-title":"National Institution for Transforming India ,NITI Aayog","id":"ITEM-1","issued":{"date-parts":[["2017"]]},"page":"1-26","title":"Changing Structure of Rural Economy of India- Implications for Employment and Growth","type":"article-journal"},"uris":["http://www.mendeley.com/documents/?uuid=05eb141d-8ca6-4085-825d-7d3a49549ec2"]}],"mendeley":{"formattedCitation":"(Chand et al., 2017)","plainTextFormattedCitation":"(Chand et al., 2017)","previouslyFormattedCitation":"(Chand et al., 2017)"},"properties":{"noteIndex":0},"schema":"https://github.com/citation-style-language/schema/raw/master/csl-citation.json"}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 xml:space="preserve">(Chand </w:t>
      </w:r>
      <w:r w:rsidRPr="00A75138">
        <w:rPr>
          <w:rFonts w:ascii="Arial" w:hAnsi="Arial" w:cs="Arial"/>
          <w:i/>
          <w:iCs/>
          <w:noProof/>
          <w:sz w:val="20"/>
        </w:rPr>
        <w:t>et al.,</w:t>
      </w:r>
      <w:r w:rsidRPr="00A75138">
        <w:rPr>
          <w:rFonts w:ascii="Arial" w:hAnsi="Arial" w:cs="Arial"/>
          <w:noProof/>
          <w:sz w:val="20"/>
        </w:rPr>
        <w:t xml:space="preserve"> 2017)</w:t>
      </w:r>
      <w:r w:rsidRPr="00A75138">
        <w:rPr>
          <w:rFonts w:ascii="Arial" w:hAnsi="Arial" w:cs="Arial"/>
          <w:sz w:val="20"/>
        </w:rPr>
        <w:fldChar w:fldCharType="end"/>
      </w:r>
      <w:r w:rsidRPr="00A75138">
        <w:rPr>
          <w:rFonts w:ascii="Arial" w:hAnsi="Arial" w:cs="Arial"/>
          <w:sz w:val="20"/>
        </w:rPr>
        <w:t>, there is an urgent need to bridge this technological divide through the deployment of decentralized, energy-efficient, and economically viable food processing equipment to enhance rural income, reduce postharvest losses, and improve food and nutritional security.</w:t>
      </w:r>
    </w:p>
    <w:p w14:paraId="716ADBF9" w14:textId="18FC3BA6" w:rsidR="0037065B" w:rsidRPr="00A75138" w:rsidRDefault="0040710F"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According to a press release issued by the Press Information Bureau (PIB) on December 24, 2024, the Ministry of Food Processing Industries (</w:t>
      </w:r>
      <w:proofErr w:type="spellStart"/>
      <w:r w:rsidRPr="00A75138">
        <w:rPr>
          <w:rFonts w:ascii="Arial" w:eastAsia="Times New Roman" w:hAnsi="Arial" w:cs="Arial"/>
          <w:sz w:val="20"/>
          <w:lang w:eastAsia="en-IN"/>
        </w:rPr>
        <w:t>MoFPI</w:t>
      </w:r>
      <w:proofErr w:type="spellEnd"/>
      <w:r w:rsidRPr="00A75138">
        <w:rPr>
          <w:rFonts w:ascii="Arial" w:eastAsia="Times New Roman" w:hAnsi="Arial" w:cs="Arial"/>
          <w:sz w:val="20"/>
          <w:lang w:eastAsia="en-IN"/>
        </w:rPr>
        <w:t xml:space="preserve">) has implemented several targeted initiatives to strengthen rural food processing infrastructure, particularly under the Pradhan Mantri Kisan Sampada Yojana (PMKSY) and the PM Formalisation of Micro Food Processing Enterprises (PMFME) scheme. As of January 2024, 143 new projects have been approved under PMKSY, contributing to a processing and preservation capacity of 14.41 lakh metric tonnes (MT), with 69 projects already operational. Overall, 1,087 out of 1,646 sanctioned projects are functional, collectively creating a capacity of 241.94 </w:t>
      </w:r>
      <w:r w:rsidRPr="00A75138">
        <w:rPr>
          <w:rFonts w:ascii="Arial" w:eastAsia="Times New Roman" w:hAnsi="Arial" w:cs="Arial"/>
          <w:sz w:val="20"/>
          <w:lang w:eastAsia="en-IN"/>
        </w:rPr>
        <w:lastRenderedPageBreak/>
        <w:t>lakh MT and leveraging investments worth ₹22,778.60 crore. Cold chain projects under PMKSY have demonstrated waste reductions of up to 70% in fisheries and 85% in dairy. Additionally, initiatives are underway to establish 50 food irradiation units and 100</w:t>
      </w:r>
      <w:r w:rsidR="007422B3" w:rsidRPr="00A75138">
        <w:rPr>
          <w:rFonts w:ascii="Arial" w:eastAsia="Times New Roman" w:hAnsi="Arial" w:cs="Arial"/>
          <w:sz w:val="20"/>
          <w:lang w:eastAsia="en-IN"/>
        </w:rPr>
        <w:t xml:space="preserve"> </w:t>
      </w:r>
      <w:r w:rsidR="0069302C" w:rsidRPr="00A75138">
        <w:rPr>
          <w:rFonts w:ascii="Arial" w:eastAsia="Times New Roman" w:hAnsi="Arial" w:cs="Arial"/>
          <w:sz w:val="20"/>
          <w:lang w:eastAsia="en-IN"/>
        </w:rPr>
        <w:t>National Accreditation Board for Testing and Calibration Laboratories (</w:t>
      </w:r>
      <w:r w:rsidR="007422B3" w:rsidRPr="00A75138">
        <w:rPr>
          <w:rFonts w:ascii="Arial" w:eastAsia="Times New Roman" w:hAnsi="Arial" w:cs="Arial"/>
          <w:sz w:val="20"/>
          <w:lang w:eastAsia="en-IN"/>
        </w:rPr>
        <w:t>NABL</w:t>
      </w:r>
      <w:r w:rsidR="0069302C" w:rsidRPr="00A75138">
        <w:rPr>
          <w:rFonts w:ascii="Arial" w:eastAsia="Times New Roman" w:hAnsi="Arial" w:cs="Arial"/>
          <w:sz w:val="20"/>
          <w:lang w:eastAsia="en-IN"/>
        </w:rPr>
        <w:t>)</w:t>
      </w:r>
      <w:r w:rsidR="007422B3" w:rsidRPr="00A75138">
        <w:rPr>
          <w:rFonts w:ascii="Arial" w:eastAsia="Times New Roman" w:hAnsi="Arial" w:cs="Arial"/>
          <w:sz w:val="20"/>
          <w:lang w:eastAsia="en-IN"/>
        </w:rPr>
        <w:t xml:space="preserve"> </w:t>
      </w:r>
      <w:r w:rsidRPr="00A75138">
        <w:rPr>
          <w:rFonts w:ascii="Arial" w:eastAsia="Times New Roman" w:hAnsi="Arial" w:cs="Arial"/>
          <w:sz w:val="20"/>
          <w:lang w:eastAsia="en-IN"/>
        </w:rPr>
        <w:t xml:space="preserve">accredited </w:t>
      </w:r>
      <w:r w:rsidR="00A75138" w:rsidRPr="00A75138">
        <w:rPr>
          <w:rFonts w:ascii="Arial" w:eastAsia="Times New Roman" w:hAnsi="Arial" w:cs="Arial"/>
          <w:sz w:val="20"/>
          <w:lang w:eastAsia="en-IN"/>
        </w:rPr>
        <w:t>food-testing</w:t>
      </w:r>
      <w:r w:rsidRPr="00A75138">
        <w:rPr>
          <w:rFonts w:ascii="Arial" w:eastAsia="Times New Roman" w:hAnsi="Arial" w:cs="Arial"/>
          <w:sz w:val="20"/>
          <w:lang w:eastAsia="en-IN"/>
        </w:rPr>
        <w:t xml:space="preserve"> laboratories. These infrastructure developments, combined with the dissemination of low-cost, energy-efficient equipment developed by institutions such as ICAR, CSIR, and IITs, are catalysing rural value addition and enabl</w:t>
      </w:r>
      <w:r w:rsidR="00F34261" w:rsidRPr="00A75138">
        <w:rPr>
          <w:rFonts w:ascii="Arial" w:eastAsia="Times New Roman" w:hAnsi="Arial" w:cs="Arial"/>
          <w:sz w:val="20"/>
          <w:lang w:eastAsia="en-IN"/>
        </w:rPr>
        <w:t xml:space="preserve">ing micro and small enterprises </w:t>
      </w:r>
      <w:r w:rsidRPr="00A75138">
        <w:rPr>
          <w:rFonts w:ascii="Arial" w:eastAsia="Times New Roman" w:hAnsi="Arial" w:cs="Arial"/>
          <w:sz w:val="20"/>
          <w:lang w:eastAsia="en-IN"/>
        </w:rPr>
        <w:t xml:space="preserve">constituting </w:t>
      </w:r>
      <w:r w:rsidR="00F34261" w:rsidRPr="00A75138">
        <w:rPr>
          <w:rFonts w:ascii="Arial" w:eastAsia="Times New Roman" w:hAnsi="Arial" w:cs="Arial"/>
          <w:sz w:val="20"/>
          <w:lang w:eastAsia="en-IN"/>
        </w:rPr>
        <w:t xml:space="preserve">approximately 74% of the sector </w:t>
      </w:r>
      <w:r w:rsidRPr="00A75138">
        <w:rPr>
          <w:rFonts w:ascii="Arial" w:eastAsia="Times New Roman" w:hAnsi="Arial" w:cs="Arial"/>
          <w:sz w:val="20"/>
          <w:lang w:eastAsia="en-IN"/>
        </w:rPr>
        <w:t>to access processing capabilities and expand into new markets.</w:t>
      </w:r>
    </w:p>
    <w:p w14:paraId="2B85C25D" w14:textId="0C6AB6C3" w:rsidR="00270B8B" w:rsidRPr="00A75138" w:rsidRDefault="00466CB0" w:rsidP="00C81016">
      <w:pPr>
        <w:spacing w:line="360" w:lineRule="auto"/>
        <w:jc w:val="both"/>
        <w:rPr>
          <w:rFonts w:ascii="Arial" w:hAnsi="Arial" w:cs="Arial"/>
          <w:sz w:val="20"/>
        </w:rPr>
      </w:pPr>
      <w:r w:rsidRPr="00A75138">
        <w:rPr>
          <w:rFonts w:ascii="Arial" w:hAnsi="Arial" w:cs="Arial"/>
          <w:sz w:val="20"/>
        </w:rPr>
        <w:t xml:space="preserve">This review critically </w:t>
      </w:r>
      <w:r w:rsidR="007F0EA0" w:rsidRPr="00A75138">
        <w:rPr>
          <w:rFonts w:ascii="Arial" w:hAnsi="Arial" w:cs="Arial"/>
          <w:sz w:val="20"/>
        </w:rPr>
        <w:t>analyses</w:t>
      </w:r>
      <w:r w:rsidRPr="00A75138">
        <w:rPr>
          <w:rFonts w:ascii="Arial" w:hAnsi="Arial" w:cs="Arial"/>
          <w:sz w:val="20"/>
        </w:rPr>
        <w:t xml:space="preserve"> emerging fo</w:t>
      </w:r>
      <w:r w:rsidR="007F0EA0" w:rsidRPr="00A75138">
        <w:rPr>
          <w:rFonts w:ascii="Arial" w:hAnsi="Arial" w:cs="Arial"/>
          <w:sz w:val="20"/>
        </w:rPr>
        <w:t>od processing equipment mainly useful</w:t>
      </w:r>
      <w:r w:rsidRPr="00A75138">
        <w:rPr>
          <w:rFonts w:ascii="Arial" w:hAnsi="Arial" w:cs="Arial"/>
          <w:sz w:val="20"/>
        </w:rPr>
        <w:t xml:space="preserve"> for rural India, emphas</w:t>
      </w:r>
      <w:r w:rsidR="00971D0D" w:rsidRPr="00A75138">
        <w:rPr>
          <w:rFonts w:ascii="Arial" w:hAnsi="Arial" w:cs="Arial"/>
          <w:sz w:val="20"/>
        </w:rPr>
        <w:t xml:space="preserve">izing the equipment’s acceptability and applicability. </w:t>
      </w:r>
      <w:r w:rsidR="00270B8B" w:rsidRPr="00A75138">
        <w:rPr>
          <w:rFonts w:ascii="Arial" w:hAnsi="Arial" w:cs="Arial"/>
          <w:sz w:val="20"/>
        </w:rPr>
        <w:t>The review also evaluates how these technological interventions have improved farmers’ livelihoods and rural employment.</w:t>
      </w:r>
      <w:r w:rsidRPr="00A75138">
        <w:rPr>
          <w:rFonts w:ascii="Arial" w:hAnsi="Arial" w:cs="Arial"/>
          <w:sz w:val="20"/>
        </w:rPr>
        <w:t xml:space="preserve"> The review syn</w:t>
      </w:r>
      <w:r w:rsidR="00971D0D" w:rsidRPr="00A75138">
        <w:rPr>
          <w:rFonts w:ascii="Arial" w:hAnsi="Arial" w:cs="Arial"/>
          <w:sz w:val="20"/>
        </w:rPr>
        <w:t xml:space="preserve">thesizes </w:t>
      </w:r>
      <w:r w:rsidR="00A75138" w:rsidRPr="00A75138">
        <w:rPr>
          <w:rFonts w:ascii="Arial" w:hAnsi="Arial" w:cs="Arial"/>
          <w:sz w:val="20"/>
        </w:rPr>
        <w:t>literature-based</w:t>
      </w:r>
      <w:r w:rsidRPr="00A75138">
        <w:rPr>
          <w:rFonts w:ascii="Arial" w:hAnsi="Arial" w:cs="Arial"/>
          <w:sz w:val="20"/>
        </w:rPr>
        <w:t xml:space="preserve"> evidence on equipment adoption by farmer</w:t>
      </w:r>
      <w:r w:rsidR="00971D0D" w:rsidRPr="00A75138">
        <w:rPr>
          <w:rFonts w:ascii="Arial" w:hAnsi="Arial" w:cs="Arial"/>
          <w:sz w:val="20"/>
        </w:rPr>
        <w:t>s, farmer</w:t>
      </w:r>
      <w:r w:rsidRPr="00A75138">
        <w:rPr>
          <w:rFonts w:ascii="Arial" w:hAnsi="Arial" w:cs="Arial"/>
          <w:sz w:val="20"/>
        </w:rPr>
        <w:t xml:space="preserve"> producer organizations (FPOs) and self-</w:t>
      </w:r>
      <w:r w:rsidR="00971D0D" w:rsidRPr="00A75138">
        <w:rPr>
          <w:rFonts w:ascii="Arial" w:hAnsi="Arial" w:cs="Arial"/>
          <w:sz w:val="20"/>
        </w:rPr>
        <w:t xml:space="preserve">help groups (SHGs), and its </w:t>
      </w:r>
      <w:r w:rsidRPr="00A75138">
        <w:rPr>
          <w:rFonts w:ascii="Arial" w:hAnsi="Arial" w:cs="Arial"/>
          <w:sz w:val="20"/>
        </w:rPr>
        <w:t>impacts on rural employment, e</w:t>
      </w:r>
      <w:r w:rsidR="00971D0D" w:rsidRPr="00A75138">
        <w:rPr>
          <w:rFonts w:ascii="Arial" w:hAnsi="Arial" w:cs="Arial"/>
          <w:sz w:val="20"/>
        </w:rPr>
        <w:t>ntrepreneurship, and food</w:t>
      </w:r>
      <w:r w:rsidRPr="00A75138">
        <w:rPr>
          <w:rFonts w:ascii="Arial" w:hAnsi="Arial" w:cs="Arial"/>
          <w:sz w:val="20"/>
        </w:rPr>
        <w:t xml:space="preserve"> security. The findings aim to guide future research and </w:t>
      </w:r>
      <w:r w:rsidR="00971D0D" w:rsidRPr="00A75138">
        <w:rPr>
          <w:rFonts w:ascii="Arial" w:hAnsi="Arial" w:cs="Arial"/>
          <w:sz w:val="20"/>
        </w:rPr>
        <w:t xml:space="preserve">policy directions in rural food </w:t>
      </w:r>
      <w:r w:rsidRPr="00A75138">
        <w:rPr>
          <w:rFonts w:ascii="Arial" w:hAnsi="Arial" w:cs="Arial"/>
          <w:sz w:val="20"/>
        </w:rPr>
        <w:t>processing technology development and dissemination.</w:t>
      </w:r>
    </w:p>
    <w:p w14:paraId="457E3AA2" w14:textId="77777777" w:rsidR="00270B8B" w:rsidRPr="00A75138" w:rsidRDefault="00270B8B" w:rsidP="00E630DD">
      <w:pPr>
        <w:pStyle w:val="ListParagraph"/>
        <w:numPr>
          <w:ilvl w:val="0"/>
          <w:numId w:val="6"/>
        </w:numPr>
        <w:spacing w:line="360" w:lineRule="auto"/>
        <w:ind w:left="-142" w:hanging="142"/>
        <w:jc w:val="both"/>
        <w:rPr>
          <w:rFonts w:ascii="Arial" w:hAnsi="Arial" w:cs="Arial"/>
          <w:b/>
          <w:bCs/>
          <w:szCs w:val="22"/>
        </w:rPr>
      </w:pPr>
      <w:r w:rsidRPr="00A75138">
        <w:rPr>
          <w:rFonts w:ascii="Arial" w:hAnsi="Arial" w:cs="Arial"/>
          <w:b/>
          <w:bCs/>
          <w:szCs w:val="22"/>
        </w:rPr>
        <w:t>Emerging Equipment and Technological Innovations</w:t>
      </w:r>
      <w:r w:rsidR="00F34E41" w:rsidRPr="00A75138">
        <w:rPr>
          <w:rFonts w:ascii="Arial" w:hAnsi="Arial" w:cs="Arial"/>
          <w:b/>
          <w:bCs/>
          <w:szCs w:val="22"/>
        </w:rPr>
        <w:t xml:space="preserve"> in food processing in rural India</w:t>
      </w:r>
    </w:p>
    <w:p w14:paraId="69CE3551" w14:textId="7D3A5CA0" w:rsidR="00892A48" w:rsidRPr="00A75138" w:rsidRDefault="00892A48" w:rsidP="00C81016">
      <w:pPr>
        <w:spacing w:after="0" w:line="360" w:lineRule="auto"/>
        <w:jc w:val="both"/>
        <w:rPr>
          <w:rFonts w:ascii="Arial" w:eastAsia="Times New Roman" w:hAnsi="Arial" w:cs="Arial"/>
          <w:color w:val="FF0000"/>
          <w:sz w:val="20"/>
          <w:lang w:val="en-US"/>
        </w:rPr>
      </w:pPr>
      <w:r w:rsidRPr="00A75138">
        <w:rPr>
          <w:rFonts w:ascii="Arial" w:eastAsia="Times New Roman" w:hAnsi="Arial" w:cs="Arial"/>
          <w:sz w:val="20"/>
          <w:lang w:val="en-US"/>
        </w:rPr>
        <w:t>By increasing productivity, lowering post-harvest losses, and raising the value of agricultural goods, recent developments in food processing machinery are revolutionizing rural India</w:t>
      </w:r>
      <w:r w:rsidR="00DE4282">
        <w:rPr>
          <w:rFonts w:ascii="Arial" w:eastAsia="Times New Roman" w:hAnsi="Arial" w:cs="Arial"/>
          <w:sz w:val="20"/>
          <w:lang w:val="en-US"/>
        </w:rPr>
        <w:t>.</w:t>
      </w:r>
      <w:r w:rsidR="00C81016" w:rsidRPr="00A75138">
        <w:rPr>
          <w:rFonts w:ascii="Arial" w:eastAsia="Times New Roman" w:hAnsi="Arial" w:cs="Arial"/>
          <w:color w:val="FF0000"/>
          <w:sz w:val="20"/>
          <w:lang w:val="en-US"/>
        </w:rPr>
        <w:t xml:space="preserve"> </w:t>
      </w:r>
      <w:r w:rsidRPr="00A75138">
        <w:rPr>
          <w:rFonts w:ascii="Arial" w:eastAsia="Times New Roman" w:hAnsi="Arial" w:cs="Arial"/>
          <w:sz w:val="20"/>
          <w:lang w:val="en-US"/>
        </w:rPr>
        <w:t>Innovations like inexpensive solar dryers, small-scale oil expellers, pulse de-huskers, and compact rice mills have made it possible for rural business owners to process food locally with little energy input</w:t>
      </w:r>
      <w:r w:rsidR="008C709B">
        <w:rPr>
          <w:rFonts w:ascii="Arial" w:eastAsia="Times New Roman" w:hAnsi="Arial" w:cs="Arial"/>
          <w:sz w:val="20"/>
          <w:lang w:val="en-US"/>
        </w:rPr>
        <w:t xml:space="preserve">. </w:t>
      </w:r>
      <w:r w:rsidRPr="00A75138">
        <w:rPr>
          <w:rFonts w:ascii="Arial" w:eastAsia="Times New Roman" w:hAnsi="Arial" w:cs="Arial"/>
          <w:sz w:val="20"/>
          <w:lang w:val="en-US"/>
        </w:rPr>
        <w:t>These technologies are especially crucial in areas with erratic electrical supplies, where manually operated and solar-powered machinery guarantee constant functioning.</w:t>
      </w:r>
      <w:r w:rsidR="008C709B">
        <w:rPr>
          <w:rFonts w:ascii="Arial" w:eastAsia="Times New Roman" w:hAnsi="Arial" w:cs="Arial"/>
          <w:sz w:val="20"/>
          <w:lang w:val="en-US"/>
        </w:rPr>
        <w:t xml:space="preserve"> T</w:t>
      </w:r>
      <w:r w:rsidRPr="00A75138">
        <w:rPr>
          <w:rFonts w:ascii="Arial" w:eastAsia="Times New Roman" w:hAnsi="Arial" w:cs="Arial"/>
          <w:sz w:val="20"/>
          <w:lang w:val="en-US"/>
        </w:rPr>
        <w:t>he use of inexpensive packing equipment and better storage options, like community-level cold rooms and hermetic bags, has decreased spoilage and promoted year-round market availability</w:t>
      </w:r>
      <w:r w:rsidR="008C709B">
        <w:rPr>
          <w:rFonts w:ascii="Arial" w:eastAsia="Times New Roman" w:hAnsi="Arial" w:cs="Arial"/>
          <w:sz w:val="20"/>
          <w:lang w:val="en-US"/>
        </w:rPr>
        <w:t xml:space="preserve"> </w:t>
      </w:r>
      <w:r w:rsidR="008C709B">
        <w:rPr>
          <w:rFonts w:ascii="Arial" w:eastAsia="Times New Roman" w:hAnsi="Arial" w:cs="Arial"/>
          <w:sz w:val="20"/>
          <w:lang w:val="en-US"/>
        </w:rPr>
        <w:fldChar w:fldCharType="begin" w:fldLock="1"/>
      </w:r>
      <w:r w:rsidR="008C709B">
        <w:rPr>
          <w:rFonts w:ascii="Arial" w:eastAsia="Times New Roman" w:hAnsi="Arial" w:cs="Arial"/>
          <w:sz w:val="20"/>
          <w:lang w:val="en-US"/>
        </w:rPr>
        <w:instrText>ADDIN CSL_CITATION {"citationItems":[{"id":"ITEM-1","itemData":{"DOI":"10.1016/j.solener.2023.04.022","ISSN":"0038092X","author":[{"dropping-particle":"","family":"Sharshir","given":"Swellam W.","non-dropping-particle":"","parse-names":false,"suffix":""},{"dropping-particle":"","family":"Joseph","given":"Abanob","non-dropping-particle":"","parse-names":false,"suffix":""},{"dropping-particle":"","family":"Peng","given":"Guilong","non-dropping-particle":"","parse-names":false,"suffix":""},{"dropping-particle":"","family":"Kandeal","given":"A.W.","non-dropping-particle":"","parse-names":false,"suffix":""},{"dropping-particle":"","family":"Abdullah","given":"A.S.","non-dropping-particle":"","parse-names":false,"suffix":""},{"dropping-particle":"","family":"Abdelaziz","given":"Gamal B.","non-dropping-particle":"","parse-names":false,"suffix":""},{"dropping-particle":"","family":"Edreis","given":"Elbager M.A.","non-dropping-particle":"","parse-names":false,"suffix":""},{"dropping-particle":"","family":"Yuan","given":"Zhanhui","non-dropping-particle":"","parse-names":false,"suffix":""}],"container-title":"Solar Energy","id":"ITEM-1","issued":{"date-parts":[["2023","6"]]},"page":"137-154","title":"Recent efforts in developing agricultural product drying processes using solar energy","type":"article-journal","volume":"257"},"uris":["http://www.mendeley.com/documents/?uuid=de21d736-501a-4690-b0c5-c4b86efbb97b"]}],"mendeley":{"formattedCitation":"(Sharshir et al., 2023)","plainTextFormattedCitation":"(Sharshir et al., 2023)","previouslyFormattedCitation":"(Sharshir et al., 2023)"},"properties":{"noteIndex":0},"schema":"https://github.com/citation-style-language/schema/raw/master/csl-citation.json"}</w:instrText>
      </w:r>
      <w:r w:rsidR="008C709B">
        <w:rPr>
          <w:rFonts w:ascii="Arial" w:eastAsia="Times New Roman" w:hAnsi="Arial" w:cs="Arial"/>
          <w:sz w:val="20"/>
          <w:lang w:val="en-US"/>
        </w:rPr>
        <w:fldChar w:fldCharType="separate"/>
      </w:r>
      <w:r w:rsidR="008C709B" w:rsidRPr="008C709B">
        <w:rPr>
          <w:rFonts w:ascii="Arial" w:eastAsia="Times New Roman" w:hAnsi="Arial" w:cs="Arial"/>
          <w:noProof/>
          <w:sz w:val="20"/>
          <w:lang w:val="en-US"/>
        </w:rPr>
        <w:t xml:space="preserve">(Sharshir </w:t>
      </w:r>
      <w:r w:rsidR="008C709B" w:rsidRPr="008C709B">
        <w:rPr>
          <w:rFonts w:ascii="Arial" w:eastAsia="Times New Roman" w:hAnsi="Arial" w:cs="Arial"/>
          <w:i/>
          <w:iCs/>
          <w:noProof/>
          <w:sz w:val="20"/>
          <w:lang w:val="en-US"/>
        </w:rPr>
        <w:t xml:space="preserve">et al., </w:t>
      </w:r>
      <w:r w:rsidR="008C709B" w:rsidRPr="008C709B">
        <w:rPr>
          <w:rFonts w:ascii="Arial" w:eastAsia="Times New Roman" w:hAnsi="Arial" w:cs="Arial"/>
          <w:noProof/>
          <w:sz w:val="20"/>
          <w:lang w:val="en-US"/>
        </w:rPr>
        <w:t>2023)</w:t>
      </w:r>
      <w:r w:rsidR="008C709B">
        <w:rPr>
          <w:rFonts w:ascii="Arial" w:eastAsia="Times New Roman" w:hAnsi="Arial" w:cs="Arial"/>
          <w:sz w:val="20"/>
          <w:lang w:val="en-US"/>
        </w:rPr>
        <w:fldChar w:fldCharType="end"/>
      </w:r>
      <w:r w:rsidR="008C709B">
        <w:rPr>
          <w:rFonts w:ascii="Arial" w:eastAsia="Times New Roman" w:hAnsi="Arial" w:cs="Arial"/>
          <w:sz w:val="20"/>
          <w:lang w:val="en-US"/>
        </w:rPr>
        <w:t>.</w:t>
      </w:r>
    </w:p>
    <w:p w14:paraId="7A0CCCEB" w14:textId="3FBC6113" w:rsidR="00212A5F" w:rsidRPr="00A75138" w:rsidRDefault="00892A48" w:rsidP="00A1238C">
      <w:pPr>
        <w:spacing w:line="360" w:lineRule="auto"/>
        <w:jc w:val="both"/>
        <w:rPr>
          <w:rFonts w:ascii="Arial" w:eastAsia="Times New Roman" w:hAnsi="Arial" w:cs="Arial"/>
          <w:sz w:val="20"/>
          <w:lang w:val="en-US"/>
        </w:rPr>
      </w:pPr>
      <w:r w:rsidRPr="00A75138">
        <w:rPr>
          <w:rFonts w:ascii="Arial" w:eastAsia="Times New Roman" w:hAnsi="Arial" w:cs="Arial"/>
          <w:sz w:val="20"/>
          <w:lang w:val="en-US"/>
        </w:rPr>
        <w:t>As per government of India, 2022, the modernization of rural food processing systems is being accelerated by technological advancements supported by government programs and agri-tech entrepreneurs.</w:t>
      </w:r>
      <w:r w:rsidRPr="00A75138">
        <w:rPr>
          <w:rFonts w:ascii="Arial" w:hAnsi="Arial" w:cs="Arial"/>
          <w:sz w:val="20"/>
        </w:rPr>
        <w:t xml:space="preserve"> </w:t>
      </w:r>
      <w:r w:rsidRPr="00A75138">
        <w:rPr>
          <w:rFonts w:ascii="Arial" w:eastAsia="Times New Roman" w:hAnsi="Arial" w:cs="Arial"/>
          <w:sz w:val="20"/>
          <w:lang w:val="en-US"/>
        </w:rPr>
        <w:t xml:space="preserve">Better product uniformity, traceability, and cleanliness have been made possible by the advent of IoT-enabled sensors for grain storage, mobile-based quality testing equipment, and small-scale automated </w:t>
      </w:r>
      <w:r w:rsidR="003E07F3" w:rsidRPr="00A75138">
        <w:rPr>
          <w:rFonts w:ascii="Arial" w:eastAsia="Times New Roman" w:hAnsi="Arial" w:cs="Arial"/>
          <w:sz w:val="20"/>
          <w:lang w:val="en-US"/>
        </w:rPr>
        <w:t>flourmills</w:t>
      </w:r>
      <w:r w:rsidR="008C709B">
        <w:rPr>
          <w:rFonts w:ascii="Arial" w:eastAsia="Times New Roman" w:hAnsi="Arial" w:cs="Arial"/>
          <w:sz w:val="20"/>
          <w:lang w:val="en-US"/>
        </w:rPr>
        <w:fldChar w:fldCharType="begin" w:fldLock="1"/>
      </w:r>
      <w:r w:rsidR="008639B2">
        <w:rPr>
          <w:rFonts w:ascii="Arial" w:eastAsia="Times New Roman" w:hAnsi="Arial" w:cs="Arial"/>
          <w:sz w:val="20"/>
          <w:lang w:val="en-US"/>
        </w:rPr>
        <w:instrText>ADDIN CSL_CITATION {"citationItems":[{"id":"ITEM-1","itemData":{"DOI":"10.3390/foods11121796","ISSN":"2304-8158","abstract":"There are long-standing established intrinsic quality requirements of end products made from durum wheat semolina, with color, textural, and cooking properties of pasta and couscous representing persistent key attributes for consumers. Over time, traditional efforts to advance development in these areas with respect to raw material, equipment, and process improvements have been influenced by growing awareness of issues around food safety, health and nutrition, and climate change, necessitating that development strategies incorporate specific considerations relating to safety, traceability, and sustainability. We examined improvements in durum wheat quality and innovations in milling and the resulting impact on product quality in light of these considerations, which are now fundamental to the planning and development of any food process, as required by consumers and regulators alike.","author":[{"dropping-particle":"","family":"Sarkar","given":"Ashok","non-dropping-particle":"","parse-names":false,"suffix":""},{"dropping-particle":"","family":"Fu","given":"Bin Xiao","non-dropping-particle":"","parse-names":false,"suffix":""}],"container-title":"Foods","id":"ITEM-1","issue":"12","issued":{"date-parts":[["2022","6","18"]]},"page":"1796","title":"Impact of Quality Improvement and Milling Innovations on Durum Wheat and End Products","type":"article-journal","volume":"11"},"uris":["http://www.mendeley.com/documents/?uuid=52496dfc-8312-4baa-b094-52b4617c0670"]}],"mendeley":{"formattedCitation":"(Sarkar &amp; Fu, 2022)","plainTextFormattedCitation":"(Sarkar &amp; Fu, 2022)","previouslyFormattedCitation":"(Sarkar &amp; Fu, 2022)"},"properties":{"noteIndex":0},"schema":"https://github.com/citation-style-language/schema/raw/master/csl-citation.json"}</w:instrText>
      </w:r>
      <w:r w:rsidR="008C709B">
        <w:rPr>
          <w:rFonts w:ascii="Arial" w:eastAsia="Times New Roman" w:hAnsi="Arial" w:cs="Arial"/>
          <w:sz w:val="20"/>
          <w:lang w:val="en-US"/>
        </w:rPr>
        <w:fldChar w:fldCharType="separate"/>
      </w:r>
      <w:r w:rsidR="008C709B" w:rsidRPr="008C709B">
        <w:rPr>
          <w:rFonts w:ascii="Arial" w:eastAsia="Times New Roman" w:hAnsi="Arial" w:cs="Arial"/>
          <w:noProof/>
          <w:sz w:val="20"/>
          <w:lang w:val="en-US"/>
        </w:rPr>
        <w:t>(Sarkar &amp; Fu, 2022)</w:t>
      </w:r>
      <w:r w:rsidR="008C709B">
        <w:rPr>
          <w:rFonts w:ascii="Arial" w:eastAsia="Times New Roman" w:hAnsi="Arial" w:cs="Arial"/>
          <w:sz w:val="20"/>
          <w:lang w:val="en-US"/>
        </w:rPr>
        <w:fldChar w:fldCharType="end"/>
      </w:r>
      <w:r w:rsidR="00C81016" w:rsidRPr="00A75138">
        <w:rPr>
          <w:rFonts w:ascii="Arial" w:hAnsi="Arial" w:cs="Arial"/>
          <w:sz w:val="20"/>
        </w:rPr>
        <w:t xml:space="preserve">. </w:t>
      </w:r>
      <w:r w:rsidRPr="00A75138">
        <w:rPr>
          <w:rFonts w:ascii="Arial" w:eastAsia="Times New Roman" w:hAnsi="Arial" w:cs="Arial"/>
          <w:sz w:val="20"/>
          <w:lang w:val="en-US"/>
        </w:rPr>
        <w:t>Together, these developments are boosting local economies, improving food security, and creating a more sustainable and inclusive food-processing ecosystem in rural India</w:t>
      </w:r>
      <w:r w:rsidR="00A23D20">
        <w:rPr>
          <w:rFonts w:ascii="Arial" w:eastAsia="Times New Roman" w:hAnsi="Arial" w:cs="Arial"/>
          <w:sz w:val="20"/>
          <w:lang w:val="en-US"/>
        </w:rPr>
        <w:t>.</w:t>
      </w:r>
    </w:p>
    <w:p w14:paraId="581E5B37" w14:textId="77777777" w:rsidR="00B1705B" w:rsidRPr="00EB5B9D" w:rsidRDefault="002C39D0" w:rsidP="00C81016">
      <w:pPr>
        <w:spacing w:line="360" w:lineRule="auto"/>
        <w:jc w:val="both"/>
        <w:rPr>
          <w:rFonts w:ascii="Arial" w:hAnsi="Arial" w:cs="Arial"/>
          <w:b/>
          <w:bCs/>
          <w:szCs w:val="22"/>
        </w:rPr>
      </w:pPr>
      <w:r w:rsidRPr="00EB5B9D">
        <w:rPr>
          <w:rFonts w:ascii="Arial" w:hAnsi="Arial" w:cs="Arial"/>
          <w:b/>
          <w:bCs/>
          <w:szCs w:val="22"/>
        </w:rPr>
        <w:t>2.1 Ginger Processing Technologies and Their Socioeconomic Impact in Rural Assam</w:t>
      </w:r>
    </w:p>
    <w:p w14:paraId="1F9E32F6" w14:textId="023BAB55" w:rsidR="004C463A" w:rsidRPr="00A75138" w:rsidRDefault="004C463A" w:rsidP="00C81016">
      <w:pPr>
        <w:spacing w:line="360" w:lineRule="auto"/>
        <w:jc w:val="both"/>
        <w:rPr>
          <w:rFonts w:ascii="Arial" w:hAnsi="Arial" w:cs="Arial"/>
          <w:sz w:val="20"/>
        </w:rPr>
      </w:pPr>
      <w:r w:rsidRPr="00A75138">
        <w:rPr>
          <w:rFonts w:ascii="Arial" w:hAnsi="Arial" w:cs="Arial"/>
          <w:sz w:val="20"/>
        </w:rPr>
        <w:t>Ginger (</w:t>
      </w:r>
      <w:r w:rsidRPr="00A75138">
        <w:rPr>
          <w:rFonts w:ascii="Arial" w:hAnsi="Arial" w:cs="Arial"/>
          <w:i/>
          <w:iCs/>
          <w:sz w:val="20"/>
        </w:rPr>
        <w:t>Zingiber officinale Roscoe</w:t>
      </w:r>
      <w:r w:rsidRPr="00A75138">
        <w:rPr>
          <w:rFonts w:ascii="Arial" w:hAnsi="Arial" w:cs="Arial"/>
          <w:sz w:val="20"/>
        </w:rPr>
        <w:t>) is a high-value rhizomatous crop widely used in the food, beverage, and pharmaceutical industries</w:t>
      </w:r>
      <w:r w:rsidR="00A11CEE" w:rsidRPr="00A75138">
        <w:rPr>
          <w:rFonts w:ascii="Arial" w:hAnsi="Arial" w:cs="Arial"/>
          <w:sz w:val="20"/>
        </w:rPr>
        <w:t xml:space="preserve"> </w:t>
      </w:r>
      <w:r w:rsidR="00B23DA6" w:rsidRPr="00A75138">
        <w:rPr>
          <w:rFonts w:ascii="Arial" w:hAnsi="Arial" w:cs="Arial"/>
          <w:sz w:val="20"/>
        </w:rPr>
        <w:t xml:space="preserve"> </w:t>
      </w:r>
      <w:r w:rsidR="00E55A8F" w:rsidRPr="00A75138">
        <w:rPr>
          <w:rFonts w:ascii="Arial" w:hAnsi="Arial" w:cs="Arial"/>
          <w:sz w:val="20"/>
        </w:rPr>
        <w:fldChar w:fldCharType="begin" w:fldLock="1"/>
      </w:r>
      <w:r w:rsidR="008639B2">
        <w:rPr>
          <w:rFonts w:ascii="Arial" w:hAnsi="Arial" w:cs="Arial"/>
          <w:sz w:val="20"/>
        </w:rPr>
        <w:instrText>ADDIN CSL_CITATION {"citationItems":[{"id":"ITEM-1","itemData":{"DOI":"10.3389/fnut.2024.1364836","ISSN":"2296861X","abstract":"Ginger (Zingiber officinale) is a rhizome that has been used as a healthy herbal plant for years. Ginger’s chemical components are recognized to provide beneficial health effects, namely as antioxidants and anti-inflammatory agents with the potential to operate as immunomodulators. This literature review covers numerous publications concerning ginger’s immunomodulatory potential, associated with antioxidant and anti-inflammatory effects in modifying the body’s immune system. Pathophysiology of oxidative stress and inflammation were introduced before diving deep down into the herbal plants as an immunomodulator. Ginger’s antioxidant and anti-inflammatory properties are provided by gingerol, shogaols, paradol, and zingerone. Ginger’s antioxidant mechanism is linked to Nrf2 signaling pathway activation. Its anti-inflammatory mechanism is linked to Akt inhibition and NF-KB activation, triggering the release of anti-inflammatory cytokines while reducing proinflammatory cytokines. Ginger consumption as food and drink was also explored. Overall, ginger and its active components have been shown to have strong antioxidant properties and the potential to reduce inflammation. Challenges and future prospects of ginger are also elaborated for future development. Future collaborations between researchers from various fields, including chemists, biologists, clinicians, pharmacists, and the food industry, are required further to investigate the effect of ginger on human immunity. Collaboration between researchers and industry can help accelerate the advancement of ginger applications.","author":[{"dropping-particle":"","family":"Ayustaningwarno","given":"Fitriyono","non-dropping-particle":"","parse-names":false,"suffix":""},{"dropping-particle":"","family":"Anjani","given":"Gemala","non-dropping-particle":"","parse-names":false,"suffix":""},{"dropping-particle":"","family":"Ayu","given":"Azzahra Mutiara","non-dropping-particle":"","parse-names":false,"suffix":""},{"dropping-particle":"","family":"Fogliano","given":"Vincenzo","non-dropping-particle":"","parse-names":false,"suffix":""}],"container-title":"Frontiers in Nutrition","id":"ITEM-1","issue":"June","issued":{"date-parts":[["2024"]]},"page":"1-16","title":"A critical review of Ginger’s (Zingiber officinale) antioxidant, anti-inflammatory, and immunomodulatory activities","type":"article-journal","volume":"11"},"uris":["http://www.mendeley.com/documents/?uuid=bcdf9e0f-ed77-4dc6-bccf-af93533dfc32"]}],"mendeley":{"formattedCitation":"(Ayustaningwarno et al., 2024)","manualFormatting":"(Ayustaningwarno et al., 2024","plainTextFormattedCitation":"(Ayustaningwarno et al., 2024)","previouslyFormattedCitation":"(Ayustaningwarno et al., 2024)"},"properties":{"noteIndex":0},"schema":"https://github.com/citation-style-language/schema/raw/master/csl-citation.json"}</w:instrText>
      </w:r>
      <w:r w:rsidR="00E55A8F" w:rsidRPr="00A75138">
        <w:rPr>
          <w:rFonts w:ascii="Arial" w:hAnsi="Arial" w:cs="Arial"/>
          <w:sz w:val="20"/>
        </w:rPr>
        <w:fldChar w:fldCharType="separate"/>
      </w:r>
      <w:r w:rsidR="00E55A8F" w:rsidRPr="00A75138">
        <w:rPr>
          <w:rFonts w:ascii="Arial" w:hAnsi="Arial" w:cs="Arial"/>
          <w:noProof/>
          <w:sz w:val="20"/>
        </w:rPr>
        <w:t xml:space="preserve">(Ayustaningwarno </w:t>
      </w:r>
      <w:r w:rsidR="00E55A8F" w:rsidRPr="00A75138">
        <w:rPr>
          <w:rFonts w:ascii="Arial" w:hAnsi="Arial" w:cs="Arial"/>
          <w:i/>
          <w:iCs/>
          <w:noProof/>
          <w:sz w:val="20"/>
        </w:rPr>
        <w:t>et al.,</w:t>
      </w:r>
      <w:r w:rsidR="00E55A8F" w:rsidRPr="00A75138">
        <w:rPr>
          <w:rFonts w:ascii="Arial" w:hAnsi="Arial" w:cs="Arial"/>
          <w:noProof/>
          <w:sz w:val="20"/>
        </w:rPr>
        <w:t xml:space="preserve"> 2024</w:t>
      </w:r>
      <w:r w:rsidR="00E55A8F" w:rsidRPr="00A75138">
        <w:rPr>
          <w:rFonts w:ascii="Arial" w:hAnsi="Arial" w:cs="Arial"/>
          <w:sz w:val="20"/>
        </w:rPr>
        <w:fldChar w:fldCharType="end"/>
      </w:r>
      <w:r w:rsidR="00A23D20">
        <w:rPr>
          <w:rFonts w:ascii="Arial" w:hAnsi="Arial" w:cs="Arial"/>
          <w:sz w:val="20"/>
        </w:rPr>
        <w:t>;</w:t>
      </w:r>
      <w:r w:rsidR="00A23D20" w:rsidRPr="00A23D20">
        <w:rPr>
          <w:rFonts w:ascii="Arial" w:hAnsi="Arial" w:cs="Arial"/>
          <w:sz w:val="20"/>
        </w:rPr>
        <w:t xml:space="preserve"> </w:t>
      </w:r>
      <w:r w:rsidR="00A23D20" w:rsidRPr="00A23D20">
        <w:rPr>
          <w:rFonts w:ascii="Arial" w:hAnsi="Arial" w:cs="Arial"/>
          <w:sz w:val="20"/>
        </w:rPr>
        <w:fldChar w:fldCharType="begin" w:fldLock="1"/>
      </w:r>
      <w:r w:rsidR="00A23D20">
        <w:rPr>
          <w:rFonts w:ascii="Arial" w:hAnsi="Arial" w:cs="Arial"/>
          <w:sz w:val="20"/>
        </w:rPr>
        <w:instrText>ADDIN CSL_CITATION {"citationItems":[{"id":"ITEM-1","itemData":{"DOI":"10.1016/j.phanu.2017.01.001","ISSN":"22134344","abstract":"Ginger (Zingiber officinale) rhizomes are commonly used in foods and beverages for their characteristic pungency and piquant flavor. Ginger is widely employed in Chinese, Ayurvedic, Unani medicines and home remedies since antiquity for many ailments including pain, inflammation, and gastrointestinal disorders. The bioactive constituents of ginger have been identified. Many of the beneficial pharmacological effects of its ingredients have been experimentally verified in recent years. The mechanistic aspects of the health effects have also been investigated in many studies. This article briefly reviews the most salient investigations which have validated the potential of ginger with respect to the digestive stimulant, protection to the gastrointestinal tract, lipid lowering, anti-obesity, cardioprotective, antidiabetic, anti-inflammatory, and cancer preventive properties. Ginger compounds are potent antioxidants, and consequently, ginger extracts exert promising anti-inflammatory and cancer preventive effects. The most significant among all the nutraceutical attributes of ginger are its positive influence on gastrointestinal tract including digestive stimulant action, anti-inflammatory influence, and anticancer effect. While ginger is generally considered to be safe, it also deserves to be recommended as a functional ingredient in our daily food. The present treatise reviews all the experimentally validated health benefits of this spice, to make a claim on its nutraceutical application.","author":[{"dropping-particle":"","family":"Srinivasan","given":"Krishnapura","non-dropping-particle":"","parse-names":false,"suffix":""}],"container-title":"PharmaNutrition","id":"ITEM-1","issue":"1","issued":{"date-parts":[["2017"]]},"page":"18-28","title":"Ginger rhizomes (Zingiber officinale): A spice with multiple health beneficial potentials","type":"article-journal","volume":"5"},"uris":["http://www.mendeley.com/documents/?uuid=aeef8ff5-fb85-479d-9a8f-4ba850128636"]}],"mendeley":{"formattedCitation":"(Srinivasan, 2017)","manualFormatting":"Srinivasan, 2017)","plainTextFormattedCitation":"(Srinivasan, 2017)","previouslyFormattedCitation":"(Srinivasan, 2017)"},"properties":{"noteIndex":0},"schema":"https://github.com/citation-style-language/schema/raw/master/csl-citation.json"}</w:instrText>
      </w:r>
      <w:r w:rsidR="00A23D20" w:rsidRPr="00A23D20">
        <w:rPr>
          <w:rFonts w:ascii="Arial" w:hAnsi="Arial" w:cs="Arial"/>
          <w:sz w:val="20"/>
        </w:rPr>
        <w:fldChar w:fldCharType="separate"/>
      </w:r>
      <w:r w:rsidR="00A23D20" w:rsidRPr="00A23D20">
        <w:rPr>
          <w:rFonts w:ascii="Arial" w:hAnsi="Arial" w:cs="Arial"/>
          <w:noProof/>
          <w:sz w:val="20"/>
        </w:rPr>
        <w:t>Srinivasan, 2017)</w:t>
      </w:r>
      <w:r w:rsidR="00A23D20" w:rsidRPr="00A23D20">
        <w:rPr>
          <w:rFonts w:ascii="Arial" w:hAnsi="Arial" w:cs="Arial"/>
          <w:sz w:val="20"/>
        </w:rPr>
        <w:fldChar w:fldCharType="end"/>
      </w:r>
      <w:r w:rsidRPr="00A75138">
        <w:rPr>
          <w:rFonts w:ascii="Arial" w:hAnsi="Arial" w:cs="Arial"/>
          <w:sz w:val="20"/>
        </w:rPr>
        <w:t xml:space="preserve">. To enhance its shelf life and marketability, ginger is subjected to a series of postharvest operations, transforming raw rhizomes into value-added products such as dehydrated ginger and essential oil. The process begins with the selection of mature, disease-free rhizomes, which are thoroughly cleaned using a rotary washer or water jet system to remove soil and contaminants. Peeling is carried out using a mechanical skin </w:t>
      </w:r>
      <w:r w:rsidRPr="00A75138">
        <w:rPr>
          <w:rFonts w:ascii="Arial" w:hAnsi="Arial" w:cs="Arial"/>
          <w:sz w:val="20"/>
        </w:rPr>
        <w:lastRenderedPageBreak/>
        <w:t>peeling machine, sometimes following lime water pre</w:t>
      </w:r>
      <w:r w:rsidR="00E55A8F" w:rsidRPr="00A75138">
        <w:rPr>
          <w:rFonts w:ascii="Arial" w:hAnsi="Arial" w:cs="Arial"/>
          <w:sz w:val="20"/>
        </w:rPr>
        <w:t>-</w:t>
      </w:r>
      <w:r w:rsidRPr="00A75138">
        <w:rPr>
          <w:rFonts w:ascii="Arial" w:hAnsi="Arial" w:cs="Arial"/>
          <w:sz w:val="20"/>
        </w:rPr>
        <w:t>treatment to improve microbial stability and appearance</w:t>
      </w:r>
      <w:r w:rsidR="00C054E5" w:rsidRPr="00A75138">
        <w:rPr>
          <w:rFonts w:ascii="Arial" w:hAnsi="Arial" w:cs="Arial"/>
          <w:sz w:val="20"/>
        </w:rPr>
        <w:t xml:space="preserve"> </w:t>
      </w:r>
      <w:r w:rsidR="00D17DB8" w:rsidRPr="00A75138">
        <w:rPr>
          <w:rFonts w:ascii="Arial" w:hAnsi="Arial" w:cs="Arial"/>
          <w:sz w:val="20"/>
        </w:rPr>
        <w:fldChar w:fldCharType="begin" w:fldLock="1"/>
      </w:r>
      <w:r w:rsidR="00D17DB8" w:rsidRPr="00A75138">
        <w:rPr>
          <w:rFonts w:ascii="Arial" w:hAnsi="Arial" w:cs="Arial"/>
          <w:sz w:val="20"/>
        </w:rPr>
        <w:instrText>ADDIN CSL_CITATION {"citationItems":[{"id":"ITEM-1","itemData":{"DOI":"10.48047/IJIEMR/V10/I04/95","author":[{"dropping-particle":"","family":"Lahari","given":"Kumbham","non-dropping-particle":"","parse-names":false,"suffix":""},{"dropping-particle":"","family":"Naga","given":"Madduri","non-dropping-particle":"","parse-names":false,"suffix":""},{"dropping-particle":"","family":"Sai","given":"Raja","non-dropping-particle":"","parse-names":false,"suffix":""},{"dropping-particle":"","family":"Sai","given":"Guntureddy","non-dropping-particle":"","parse-names":false,"suffix":""}],"container-title":"International Journal of Enginnering and Management Research","id":"ITEM-1","issue":"08","issued":{"date-parts":[["2021"]]},"page":"145-150","title":"Editor IJIEMR www.ijiemr.com To Secure Your Paper As Per UGC Guidelines We Are Providing A Electronic Bar Code","type":"article-journal","volume":"10"},"uris":["http://www.mendeley.com/documents/?uuid=98e7bfa3-a7f9-4a74-87a2-ef7619ceff18"]}],"mendeley":{"formattedCitation":"(Lahari et al., 2021)","plainTextFormattedCitation":"(Lahari et al., 2021)","previouslyFormattedCitation":"(Lahari et al., 2021)"},"properties":{"noteIndex":0},"schema":"https://github.com/citation-style-language/schema/raw/master/csl-citation.json"}</w:instrText>
      </w:r>
      <w:r w:rsidR="00D17DB8" w:rsidRPr="00A75138">
        <w:rPr>
          <w:rFonts w:ascii="Arial" w:hAnsi="Arial" w:cs="Arial"/>
          <w:sz w:val="20"/>
        </w:rPr>
        <w:fldChar w:fldCharType="separate"/>
      </w:r>
      <w:r w:rsidR="00D17DB8" w:rsidRPr="00A75138">
        <w:rPr>
          <w:rFonts w:ascii="Arial" w:hAnsi="Arial" w:cs="Arial"/>
          <w:noProof/>
          <w:sz w:val="20"/>
        </w:rPr>
        <w:t xml:space="preserve">(Lahari </w:t>
      </w:r>
      <w:r w:rsidR="00C054E5" w:rsidRPr="00A75138">
        <w:rPr>
          <w:rFonts w:ascii="Arial" w:hAnsi="Arial" w:cs="Arial"/>
          <w:i/>
          <w:iCs/>
          <w:noProof/>
          <w:sz w:val="20"/>
        </w:rPr>
        <w:t xml:space="preserve">et </w:t>
      </w:r>
      <w:r w:rsidR="00D17DB8" w:rsidRPr="00A75138">
        <w:rPr>
          <w:rFonts w:ascii="Arial" w:hAnsi="Arial" w:cs="Arial"/>
          <w:i/>
          <w:iCs/>
          <w:noProof/>
          <w:sz w:val="20"/>
        </w:rPr>
        <w:t>al.,</w:t>
      </w:r>
      <w:r w:rsidR="00D17DB8" w:rsidRPr="00A75138">
        <w:rPr>
          <w:rFonts w:ascii="Arial" w:hAnsi="Arial" w:cs="Arial"/>
          <w:noProof/>
          <w:sz w:val="20"/>
        </w:rPr>
        <w:t xml:space="preserve"> 2021)</w:t>
      </w:r>
      <w:r w:rsidR="00D17DB8" w:rsidRPr="00A75138">
        <w:rPr>
          <w:rFonts w:ascii="Arial" w:hAnsi="Arial" w:cs="Arial"/>
          <w:sz w:val="20"/>
        </w:rPr>
        <w:fldChar w:fldCharType="end"/>
      </w:r>
      <w:r w:rsidRPr="00A75138">
        <w:rPr>
          <w:rFonts w:ascii="Arial" w:hAnsi="Arial" w:cs="Arial"/>
          <w:sz w:val="20"/>
        </w:rPr>
        <w:t>. Uniform slicing is performed using a multipurpose vegetable cutter, facilitating efficient moisture removal.</w:t>
      </w:r>
    </w:p>
    <w:p w14:paraId="6119BC21" w14:textId="0B23C17B" w:rsidR="002A4B44" w:rsidRPr="00A75138" w:rsidRDefault="002420A3" w:rsidP="00C81016">
      <w:pPr>
        <w:spacing w:line="360" w:lineRule="auto"/>
        <w:jc w:val="both"/>
        <w:rPr>
          <w:rFonts w:ascii="Arial" w:hAnsi="Arial" w:cs="Arial"/>
          <w:noProof/>
          <w:sz w:val="24"/>
          <w:szCs w:val="22"/>
          <w:lang w:eastAsia="en-IN"/>
        </w:rPr>
      </w:pPr>
      <w:r w:rsidRPr="00A75138">
        <w:rPr>
          <w:rFonts w:ascii="Arial" w:hAnsi="Arial" w:cs="Arial"/>
          <w:noProof/>
          <w:sz w:val="24"/>
          <w:szCs w:val="22"/>
          <w:lang w:eastAsia="en-IN"/>
        </w:rPr>
        <w:t xml:space="preserve">        </w:t>
      </w:r>
      <w:r w:rsidR="00A11CEE" w:rsidRPr="00A75138">
        <w:rPr>
          <w:rFonts w:ascii="Arial" w:hAnsi="Arial" w:cs="Arial"/>
          <w:noProof/>
          <w:sz w:val="24"/>
          <w:szCs w:val="22"/>
          <w:lang w:eastAsia="en-IN"/>
        </w:rPr>
        <w:drawing>
          <wp:inline distT="0" distB="0" distL="0" distR="0" wp14:anchorId="31CFFDB3" wp14:editId="438DB4B1">
            <wp:extent cx="2415540" cy="2067581"/>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jpg"/>
                    <pic:cNvPicPr/>
                  </pic:nvPicPr>
                  <pic:blipFill>
                    <a:blip r:embed="rId8">
                      <a:extLst>
                        <a:ext uri="{28A0092B-C50C-407E-A947-70E740481C1C}">
                          <a14:useLocalDpi xmlns:a14="http://schemas.microsoft.com/office/drawing/2010/main" val="0"/>
                        </a:ext>
                      </a:extLst>
                    </a:blip>
                    <a:stretch>
                      <a:fillRect/>
                    </a:stretch>
                  </pic:blipFill>
                  <pic:spPr>
                    <a:xfrm>
                      <a:off x="0" y="0"/>
                      <a:ext cx="2415540" cy="2067581"/>
                    </a:xfrm>
                    <a:prstGeom prst="rect">
                      <a:avLst/>
                    </a:prstGeom>
                  </pic:spPr>
                </pic:pic>
              </a:graphicData>
            </a:graphic>
          </wp:inline>
        </w:drawing>
      </w:r>
      <w:r w:rsidRPr="00A75138">
        <w:rPr>
          <w:rFonts w:ascii="Arial" w:hAnsi="Arial" w:cs="Arial"/>
          <w:noProof/>
          <w:sz w:val="24"/>
          <w:szCs w:val="22"/>
          <w:lang w:eastAsia="en-IN"/>
        </w:rPr>
        <w:t xml:space="preserve"> </w:t>
      </w:r>
      <w:r w:rsidRPr="00A75138">
        <w:rPr>
          <w:rFonts w:ascii="Arial" w:hAnsi="Arial" w:cs="Arial"/>
          <w:noProof/>
          <w:sz w:val="24"/>
          <w:szCs w:val="22"/>
          <w:lang w:eastAsia="en-IN"/>
        </w:rPr>
        <w:drawing>
          <wp:inline distT="0" distB="0" distL="0" distR="0" wp14:anchorId="5DEBB849" wp14:editId="45C22883">
            <wp:extent cx="2369016" cy="2118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nger Process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016" cy="2118360"/>
                    </a:xfrm>
                    <a:prstGeom prst="rect">
                      <a:avLst/>
                    </a:prstGeom>
                  </pic:spPr>
                </pic:pic>
              </a:graphicData>
            </a:graphic>
          </wp:inline>
        </w:drawing>
      </w:r>
    </w:p>
    <w:p w14:paraId="2D343994" w14:textId="04A59FAF" w:rsidR="002A4B44" w:rsidRPr="00A75138" w:rsidRDefault="002A4B44" w:rsidP="002A4B44">
      <w:pPr>
        <w:jc w:val="both"/>
        <w:rPr>
          <w:rFonts w:ascii="Arial" w:hAnsi="Arial" w:cs="Arial"/>
          <w:b/>
          <w:bCs/>
          <w:i/>
          <w:iCs/>
          <w:sz w:val="16"/>
          <w:szCs w:val="14"/>
          <w:lang w:val="en-US"/>
        </w:rPr>
      </w:pPr>
      <w:r w:rsidRPr="00A75138">
        <w:rPr>
          <w:rFonts w:ascii="Arial" w:hAnsi="Arial" w:cs="Arial"/>
          <w:sz w:val="20"/>
          <w:szCs w:val="18"/>
          <w:lang w:val="en-US"/>
        </w:rPr>
        <w:t>Fig. 1. Ginger processing technology and equipment used for primary processing showing (a) washing unit for removal of soil and foreign matter, (b) peeling machine for surface skin removal, (c) slicing machine for uniform thickness slices, and (d) mechanical dryer for moisture reduction and shelf-life improvement</w:t>
      </w:r>
      <w:r w:rsidRPr="00A75138">
        <w:rPr>
          <w:rFonts w:ascii="Arial" w:hAnsi="Arial" w:cs="Arial"/>
          <w:b/>
          <w:bCs/>
          <w:i/>
          <w:iCs/>
          <w:sz w:val="16"/>
          <w:szCs w:val="14"/>
          <w:lang w:val="en-US"/>
        </w:rPr>
        <w:t>. Image source:</w:t>
      </w:r>
      <w:r w:rsidRPr="00A75138">
        <w:rPr>
          <w:rFonts w:ascii="Arial" w:hAnsi="Arial" w:cs="Arial"/>
        </w:rPr>
        <w:t xml:space="preserve"> </w:t>
      </w:r>
      <w:r w:rsidRPr="00A75138">
        <w:rPr>
          <w:rFonts w:ascii="Arial" w:hAnsi="Arial" w:cs="Arial"/>
          <w:b/>
          <w:bCs/>
          <w:i/>
          <w:iCs/>
          <w:sz w:val="16"/>
          <w:szCs w:val="14"/>
          <w:lang w:val="en-US"/>
        </w:rPr>
        <w:t>CSIR-Central Food Technological Research Institute (CFTRI)</w:t>
      </w:r>
    </w:p>
    <w:p w14:paraId="6FF8CE8C" w14:textId="41F06D6F" w:rsidR="004C463A" w:rsidRPr="00A75138" w:rsidRDefault="007201F1" w:rsidP="00C81016">
      <w:pPr>
        <w:spacing w:line="360" w:lineRule="auto"/>
        <w:jc w:val="both"/>
        <w:rPr>
          <w:rFonts w:ascii="Arial" w:hAnsi="Arial" w:cs="Arial"/>
          <w:sz w:val="20"/>
        </w:rPr>
      </w:pPr>
      <w:r w:rsidRPr="00A75138">
        <w:rPr>
          <w:rFonts w:ascii="Arial" w:hAnsi="Arial" w:cs="Arial"/>
          <w:sz w:val="20"/>
        </w:rPr>
        <w:t>Drying is a vital postharvest operation in ginger processing, commonly performed using sun drying, solar cabinet dryers (200 kg capacity), or electrically operated tray dryers set at 60 °C to ensure optimal retentio</w:t>
      </w:r>
      <w:r w:rsidR="003B7CFB" w:rsidRPr="00A75138">
        <w:rPr>
          <w:rFonts w:ascii="Arial" w:hAnsi="Arial" w:cs="Arial"/>
          <w:sz w:val="20"/>
        </w:rPr>
        <w:t xml:space="preserve">n of essential oil constituents </w:t>
      </w:r>
      <w:r w:rsidRPr="00A75138">
        <w:rPr>
          <w:rFonts w:ascii="Arial" w:hAnsi="Arial" w:cs="Arial"/>
          <w:sz w:val="20"/>
        </w:rPr>
        <w:t xml:space="preserve"> </w:t>
      </w:r>
      <w:r w:rsidR="00D17DB8" w:rsidRPr="00A75138">
        <w:rPr>
          <w:rFonts w:ascii="Arial" w:hAnsi="Arial" w:cs="Arial"/>
          <w:sz w:val="20"/>
        </w:rPr>
        <w:fldChar w:fldCharType="begin" w:fldLock="1"/>
      </w:r>
      <w:r w:rsidR="008639B2">
        <w:rPr>
          <w:rFonts w:ascii="Arial" w:hAnsi="Arial" w:cs="Arial"/>
          <w:sz w:val="20"/>
        </w:rPr>
        <w:instrText>ADDIN CSL_CITATION {"citationItems":[{"id":"ITEM-1","itemData":{"DOI":"10.1007/s13197-012-0823-8","ISSN":"09758402","abstract":"Ginger rhizomes sliced to various lengths of 5, 10, 15, 20, 30, 40, 50 mm and whole rhizomes were dried from an initial moisture content of 81.3 % to final moisture content of less than 10 % by various drying methods like sun drying, solar tunnel drying and cabinet tray drying at temperatures of 50, 55, 60 and 65 °C. Slicing of ginger rhizomes significantly reduced the drying time of ginger in all the drying methods. It was observed that drying of whole ginger rhizomes under sun took the maximum time (9 days) followed by solar tunnel drying (8 days). Significant reduction in essential oil and oleoresin content of dry ginger was found as the slice length decreased. The important constituents of ginger essential oil like zingiberene, limonene, linalool, geraniol and nerolidol as determined using a gas chromatography was also found to decrease during slicing and as the drying temperature increased. The pungency constituents in the oleoresin of ginger like total gingerols and total shogoals as determined using a reverse phase high performance liquid chromatography also showed a decreasing trend on slicing and with the increase in drying temperature. It was observed from the drying studies that whole ginger rhizomes dried under sun drying or in a solar tunnel drier retained the maximum essential oil (13.9 mg/g) and oleoresin content (45.2 mg/g) of dry ginger. In mechanical drying, the drying temperature of 60 °C was considered optimum however there was about 12.2 % loss in essential oil at this temperature.","author":[{"dropping-particle":"","family":"E","given":"Jayashree","non-dropping-particle":"","parse-names":false,"suffix":""},{"dropping-particle":"","family":"R","given":"Visvanathan","non-dropping-particle":"","parse-names":false,"suffix":""},{"dropping-particle":"","family":"T","given":"John Zachariah","non-dropping-particle":"","parse-names":false,"suffix":""}],"container-title":"Journal of Food Science and Technology","id":"ITEM-1","issue":"11","issued":{"date-parts":[["2014"]]},"page":"3190-3198","title":"Quality of dry ginger (Zingiber officinale) by different drying methods","type":"article-journal","volume":"51"},"uris":["http://www.mendeley.com/documents/?uuid=31ca6349-ef53-4927-9c19-8f5eb24a5110"]}],"mendeley":{"formattedCitation":"(E et al., 2014)","manualFormatting":"( Jayashree et al., 2014)","plainTextFormattedCitation":"(E et al., 2014)","previouslyFormattedCitation":"(E et al., 2014)"},"properties":{"noteIndex":0},"schema":"https://github.com/citation-style-language/schema/raw/master/csl-citation.json"}</w:instrText>
      </w:r>
      <w:r w:rsidR="00D17DB8" w:rsidRPr="00A75138">
        <w:rPr>
          <w:rFonts w:ascii="Arial" w:hAnsi="Arial" w:cs="Arial"/>
          <w:sz w:val="20"/>
        </w:rPr>
        <w:fldChar w:fldCharType="separate"/>
      </w:r>
      <w:r w:rsidR="008639B2">
        <w:rPr>
          <w:rFonts w:ascii="Arial" w:hAnsi="Arial" w:cs="Arial"/>
          <w:noProof/>
          <w:sz w:val="20"/>
        </w:rPr>
        <w:t>(</w:t>
      </w:r>
      <w:r w:rsidR="008639B2" w:rsidRPr="008639B2">
        <w:rPr>
          <w:noProof/>
        </w:rPr>
        <w:t xml:space="preserve"> </w:t>
      </w:r>
      <w:r w:rsidR="008639B2" w:rsidRPr="008639B2">
        <w:rPr>
          <w:rFonts w:ascii="Arial" w:hAnsi="Arial" w:cs="Arial"/>
          <w:noProof/>
          <w:sz w:val="20"/>
        </w:rPr>
        <w:t>Jayashree</w:t>
      </w:r>
      <w:r w:rsidR="00D17DB8" w:rsidRPr="00A75138">
        <w:rPr>
          <w:rFonts w:ascii="Arial" w:hAnsi="Arial" w:cs="Arial"/>
          <w:noProof/>
          <w:sz w:val="20"/>
        </w:rPr>
        <w:t xml:space="preserve"> </w:t>
      </w:r>
      <w:r w:rsidR="00D17DB8" w:rsidRPr="00A75138">
        <w:rPr>
          <w:rFonts w:ascii="Arial" w:hAnsi="Arial" w:cs="Arial"/>
          <w:i/>
          <w:iCs/>
          <w:noProof/>
          <w:sz w:val="20"/>
        </w:rPr>
        <w:t xml:space="preserve">et al., </w:t>
      </w:r>
      <w:r w:rsidR="00D17DB8" w:rsidRPr="00A75138">
        <w:rPr>
          <w:rFonts w:ascii="Arial" w:hAnsi="Arial" w:cs="Arial"/>
          <w:noProof/>
          <w:sz w:val="20"/>
        </w:rPr>
        <w:t>2014)</w:t>
      </w:r>
      <w:r w:rsidR="00D17DB8" w:rsidRPr="00A75138">
        <w:rPr>
          <w:rFonts w:ascii="Arial" w:hAnsi="Arial" w:cs="Arial"/>
          <w:sz w:val="20"/>
        </w:rPr>
        <w:fldChar w:fldCharType="end"/>
      </w:r>
      <w:r w:rsidR="004C463A" w:rsidRPr="00A75138">
        <w:rPr>
          <w:rFonts w:ascii="Arial" w:hAnsi="Arial" w:cs="Arial"/>
          <w:sz w:val="20"/>
        </w:rPr>
        <w:t xml:space="preserve">. The dried ginger is ground using a </w:t>
      </w:r>
      <w:r w:rsidR="00E55A8F" w:rsidRPr="00A75138">
        <w:rPr>
          <w:rFonts w:ascii="Arial" w:hAnsi="Arial" w:cs="Arial"/>
          <w:sz w:val="20"/>
        </w:rPr>
        <w:t>pulveriser</w:t>
      </w:r>
      <w:r w:rsidR="004C463A" w:rsidRPr="00A75138">
        <w:rPr>
          <w:rFonts w:ascii="Arial" w:hAnsi="Arial" w:cs="Arial"/>
          <w:sz w:val="20"/>
        </w:rPr>
        <w:t xml:space="preserve"> or spice grinder to the desired mesh size. For essential oil extraction, the dried or powdered ginger is loaded into a stainless steel distillation vessel, where steam generated from a baby boiler circulates through submerged coils. The oil–steam mixture is condensed in a water-cooled condenser and collected in a Florentine flask for separation. Re-distillation of the aqueous phase helps recover residual oils</w:t>
      </w:r>
      <w:r w:rsidR="00D17DB8" w:rsidRPr="00A75138">
        <w:rPr>
          <w:rFonts w:ascii="Arial" w:hAnsi="Arial" w:cs="Arial"/>
          <w:sz w:val="20"/>
        </w:rPr>
        <w:t xml:space="preserve"> </w:t>
      </w:r>
      <w:r w:rsidR="00D17DB8" w:rsidRPr="00A75138">
        <w:rPr>
          <w:rFonts w:ascii="Arial" w:hAnsi="Arial" w:cs="Arial"/>
          <w:sz w:val="20"/>
        </w:rPr>
        <w:fldChar w:fldCharType="begin" w:fldLock="1"/>
      </w:r>
      <w:r w:rsidR="00D17DB8" w:rsidRPr="00A75138">
        <w:rPr>
          <w:rFonts w:ascii="Arial" w:hAnsi="Arial" w:cs="Arial"/>
          <w:sz w:val="20"/>
        </w:rPr>
        <w:instrText>ADDIN CSL_CITATION {"citationItems":[{"id":"ITEM-1","itemData":{"DOI":"10.48047/IJIEMR/V10/I04/95","author":[{"dropping-particle":"","family":"Lahari","given":"Kumbham","non-dropping-particle":"","parse-names":false,"suffix":""},{"dropping-particle":"","family":"Naga","given":"Madduri","non-dropping-particle":"","parse-names":false,"suffix":""},{"dropping-particle":"","family":"Sai","given":"Raja","non-dropping-particle":"","parse-names":false,"suffix":""},{"dropping-particle":"","family":"Sai","given":"Guntureddy","non-dropping-particle":"","parse-names":false,"suffix":""}],"container-title":"International Journal of Enginnering and Management Research","id":"ITEM-1","issue":"08","issued":{"date-parts":[["2021"]]},"page":"145-150","title":"Editor IJIEMR www.ijiemr.com To Secure Your Paper As Per UGC Guidelines We Are Providing A Electronic Bar Code","type":"article-journal","volume":"10"},"uris":["http://www.mendeley.com/documents/?uuid=98e7bfa3-a7f9-4a74-87a2-ef7619ceff18"]}],"mendeley":{"formattedCitation":"(Lahari et al., 2021)","plainTextFormattedCitation":"(Lahari et al., 2021)","previouslyFormattedCitation":"(Lahari et al., 2021)"},"properties":{"noteIndex":0},"schema":"https://github.com/citation-style-language/schema/raw/master/csl-citation.json"}</w:instrText>
      </w:r>
      <w:r w:rsidR="00D17DB8" w:rsidRPr="00A75138">
        <w:rPr>
          <w:rFonts w:ascii="Arial" w:hAnsi="Arial" w:cs="Arial"/>
          <w:sz w:val="20"/>
        </w:rPr>
        <w:fldChar w:fldCharType="separate"/>
      </w:r>
      <w:r w:rsidR="00D17DB8" w:rsidRPr="00A75138">
        <w:rPr>
          <w:rFonts w:ascii="Arial" w:hAnsi="Arial" w:cs="Arial"/>
          <w:noProof/>
          <w:sz w:val="20"/>
        </w:rPr>
        <w:t xml:space="preserve">(Lahari </w:t>
      </w:r>
      <w:r w:rsidR="00D17DB8" w:rsidRPr="008639B2">
        <w:rPr>
          <w:rFonts w:ascii="Arial" w:hAnsi="Arial" w:cs="Arial"/>
          <w:i/>
          <w:iCs/>
          <w:noProof/>
          <w:sz w:val="20"/>
        </w:rPr>
        <w:t>et al.,</w:t>
      </w:r>
      <w:r w:rsidR="00D17DB8" w:rsidRPr="00A75138">
        <w:rPr>
          <w:rFonts w:ascii="Arial" w:hAnsi="Arial" w:cs="Arial"/>
          <w:noProof/>
          <w:sz w:val="20"/>
        </w:rPr>
        <w:t xml:space="preserve"> 2021)</w:t>
      </w:r>
      <w:r w:rsidR="00D17DB8" w:rsidRPr="00A75138">
        <w:rPr>
          <w:rFonts w:ascii="Arial" w:hAnsi="Arial" w:cs="Arial"/>
          <w:sz w:val="20"/>
        </w:rPr>
        <w:fldChar w:fldCharType="end"/>
      </w:r>
      <w:r w:rsidR="004C463A" w:rsidRPr="00A75138">
        <w:rPr>
          <w:rFonts w:ascii="Arial" w:hAnsi="Arial" w:cs="Arial"/>
          <w:sz w:val="20"/>
        </w:rPr>
        <w:t>. Final filtration is done through fine mesh filters, and packaging is completed using a heat sealing machine.</w:t>
      </w:r>
      <w:r w:rsidR="003B7CFB" w:rsidRPr="00A75138">
        <w:rPr>
          <w:rFonts w:ascii="Arial" w:hAnsi="Arial" w:cs="Arial"/>
          <w:sz w:val="20"/>
        </w:rPr>
        <w:t xml:space="preserve"> Among the methods evaluated, sun and solar tunnel drying of whole ginger rhizomes demonstrated superior preservation of essential oil (13.9 mg/g) and oleoresin (45.2 mg/g), as well as key volatile (zingiberene, linalool) and non-volatile (gingerols, shogaols) bioactive compounds, with drying durations ranging from 14 to 24 hours depending on the dryer configuration</w:t>
      </w:r>
      <w:r w:rsidR="003B7CFB" w:rsidRPr="00A75138">
        <w:rPr>
          <w:rFonts w:ascii="Arial" w:hAnsi="Arial" w:cs="Arial"/>
          <w:sz w:val="20"/>
        </w:rPr>
        <w:fldChar w:fldCharType="begin" w:fldLock="1"/>
      </w:r>
      <w:r w:rsidR="006B041A" w:rsidRPr="00A75138">
        <w:rPr>
          <w:rFonts w:ascii="Arial" w:hAnsi="Arial" w:cs="Arial"/>
          <w:sz w:val="20"/>
        </w:rPr>
        <w:instrText>ADDIN CSL_CITATION {"citationItems":[{"id":"ITEM-1","itemData":{"DOI":"10.1016/j.indcrop.2021.114048","ISSN":"09266690","author":[{"dropping-particle":"","family":"Osae","given":"Richard","non-dropping-particle":"","parse-names":false,"suffix":""},{"dropping-particle":"","family":"Apaliya","given":"Maurice Tibiru","non-dropping-particle":"","parse-names":false,"suffix":""},{"dropping-particle":"","family":"Kwaw","given":"Emmanuel","non-dropping-particle":"","parse-names":false,"suffix":""},{"dropping-particle":"","family":"Chisepo","given":"Michelle T.R.","non-dropping-particle":"","parse-names":false,"suffix":""},{"dropping-particle":"","family":"Yarley","given":"Otu Phyllis Naa","non-dropping-particle":"","parse-names":false,"suffix":""},{"dropping-particle":"","family":"Antiri","given":"Eric Aforo","non-dropping-particle":"","parse-names":false,"suffix":""},{"dropping-particle":"","family":"Alolga","given":"Raphael N.","non-dropping-particle":"","parse-names":false,"suffix":""}],"container-title":"Industrial Crops and Products","id":"ITEM-1","issued":{"date-parts":[["2021","11"]]},"page":"114048","title":"Drying techniques affect the quality and essential oil composition of Ghanaian ginger (Zingiber officinale Roscoe)","type":"article-journal","volume":"172"},"uris":["http://www.mendeley.com/documents/?uuid=8454afa4-bfa4-42af-a5b8-e1d63f4bd6c7"]}],"mendeley":{"formattedCitation":"(Osae et al., 2021)","plainTextFormattedCitation":"(Osae et al., 2021)","previouslyFormattedCitation":"(Osae et al., 2021)"},"properties":{"noteIndex":0},"schema":"https://github.com/citation-style-language/schema/raw/master/csl-citation.json"}</w:instrText>
      </w:r>
      <w:r w:rsidR="003B7CFB" w:rsidRPr="00A75138">
        <w:rPr>
          <w:rFonts w:ascii="Arial" w:hAnsi="Arial" w:cs="Arial"/>
          <w:sz w:val="20"/>
        </w:rPr>
        <w:fldChar w:fldCharType="separate"/>
      </w:r>
      <w:r w:rsidR="003B7CFB" w:rsidRPr="00A75138">
        <w:rPr>
          <w:rFonts w:ascii="Arial" w:hAnsi="Arial" w:cs="Arial"/>
          <w:noProof/>
          <w:sz w:val="20"/>
        </w:rPr>
        <w:t xml:space="preserve">(Osae </w:t>
      </w:r>
      <w:r w:rsidR="003B7CFB" w:rsidRPr="008639B2">
        <w:rPr>
          <w:rFonts w:ascii="Arial" w:hAnsi="Arial" w:cs="Arial"/>
          <w:i/>
          <w:iCs/>
          <w:noProof/>
          <w:sz w:val="20"/>
        </w:rPr>
        <w:t>et al.</w:t>
      </w:r>
      <w:r w:rsidR="003B7CFB" w:rsidRPr="00A75138">
        <w:rPr>
          <w:rFonts w:ascii="Arial" w:hAnsi="Arial" w:cs="Arial"/>
          <w:noProof/>
          <w:sz w:val="20"/>
        </w:rPr>
        <w:t>, 2021)</w:t>
      </w:r>
      <w:r w:rsidR="003B7CFB" w:rsidRPr="00A75138">
        <w:rPr>
          <w:rFonts w:ascii="Arial" w:hAnsi="Arial" w:cs="Arial"/>
          <w:sz w:val="20"/>
        </w:rPr>
        <w:fldChar w:fldCharType="end"/>
      </w:r>
      <w:r w:rsidR="003B7CFB" w:rsidRPr="00A75138">
        <w:rPr>
          <w:rFonts w:ascii="Arial" w:hAnsi="Arial" w:cs="Arial"/>
          <w:sz w:val="20"/>
        </w:rPr>
        <w:t>.</w:t>
      </w:r>
      <w:r w:rsidR="004C463A" w:rsidRPr="00A75138">
        <w:rPr>
          <w:rFonts w:ascii="Arial" w:hAnsi="Arial" w:cs="Arial"/>
          <w:sz w:val="20"/>
        </w:rPr>
        <w:t xml:space="preserve"> Additional tools like steam jacketed kettles and aluminium-topped working tables support thermal pre</w:t>
      </w:r>
      <w:r w:rsidR="00E55A8F" w:rsidRPr="00A75138">
        <w:rPr>
          <w:rFonts w:ascii="Arial" w:hAnsi="Arial" w:cs="Arial"/>
          <w:sz w:val="20"/>
        </w:rPr>
        <w:t>-</w:t>
      </w:r>
      <w:r w:rsidR="004C463A" w:rsidRPr="00A75138">
        <w:rPr>
          <w:rFonts w:ascii="Arial" w:hAnsi="Arial" w:cs="Arial"/>
          <w:sz w:val="20"/>
        </w:rPr>
        <w:t>treatment and hygienic handling.</w:t>
      </w:r>
      <w:r w:rsidR="006B041A" w:rsidRPr="00A75138">
        <w:rPr>
          <w:rFonts w:ascii="Arial" w:hAnsi="Arial" w:cs="Arial"/>
          <w:sz w:val="20"/>
        </w:rPr>
        <w:t xml:space="preserve"> Ginger can be processed into various products such as fresh, dried (whole, split, or sliced), powdered or ground, preserved (pickled, crystallized/candied, or in brine/syrup), paste, syrup, essential oil, oleoresin, and used in food items like ginger bread, biscuits, cookies, cakes, as well as beverages including ginger drinks, ale, beer, wine, tea, and coffee.</w:t>
      </w:r>
      <w:r w:rsidR="006B041A" w:rsidRPr="00A75138">
        <w:rPr>
          <w:rFonts w:ascii="Arial" w:hAnsi="Arial" w:cs="Arial"/>
          <w:sz w:val="20"/>
        </w:rPr>
        <w:fldChar w:fldCharType="begin" w:fldLock="1"/>
      </w:r>
      <w:r w:rsidR="00BD0209" w:rsidRPr="00A75138">
        <w:rPr>
          <w:rFonts w:ascii="Arial" w:hAnsi="Arial" w:cs="Arial"/>
          <w:sz w:val="20"/>
        </w:rPr>
        <w:instrText>ADDIN CSL_CITATION {"citationItems":[{"id":"ITEM-1","itemData":{"DOI":"10.20546/ijcmas.2018.704.185","ISSN":"23197692","abstract":"Ginger (Zingiber officinale Roscoe) is a spice of great commercial importance belongs to the Zingiberacea family. The leading states producing ginger in India are Orissa, Kerala, Karnataka, Sikkim, West Bengal, Arunachal Pradesh, and Madhya Pradesh. Kerala, is being partly responsible for 33 per cent of the total production in India. Different varieties of ginger, its nutritional composition and production status have discussed. This also highlighted uses of Ginger, processing methods like drying, splitting/slicing, mechanical expression, and post-harvest operations and processed products like fresh, dried, preserved, pickled, crystallized or(candied) and powdered or ground, essential oils and oleoresin processing and extraction methods. Various government schemes and export potential of ginger with respect to Indian scenario has also discussed.","author":[{"dropping-particle":"","family":"B. Bag","given":"Bijaya","non-dropping-particle":"","parse-names":false,"suffix":""}],"container-title":"International Journal of Current Microbiology and Applied Sciences","id":"ITEM-1","issue":"04","issued":{"date-parts":[["2018"]]},"page":"1639-1651","title":"Ginger Processing in India (Zingiber officinale): A Review","type":"article-journal","volume":"7"},"uris":["http://www.mendeley.com/documents/?uuid=b4bcabed-6e3e-4083-adf7-26d22640e5b9"]}],"mendeley":{"formattedCitation":"(B. Bag, 2018)","manualFormatting":"( Bag, 2018)","plainTextFormattedCitation":"(B. Bag, 2018)","previouslyFormattedCitation":"(B. Bag, 2018)"},"properties":{"noteIndex":0},"schema":"https://github.com/citation-style-language/schema/raw/master/csl-citation.json"}</w:instrText>
      </w:r>
      <w:r w:rsidR="006B041A" w:rsidRPr="00A75138">
        <w:rPr>
          <w:rFonts w:ascii="Arial" w:hAnsi="Arial" w:cs="Arial"/>
          <w:sz w:val="20"/>
        </w:rPr>
        <w:fldChar w:fldCharType="separate"/>
      </w:r>
      <w:r w:rsidR="006B041A" w:rsidRPr="00A75138">
        <w:rPr>
          <w:rFonts w:ascii="Arial" w:hAnsi="Arial" w:cs="Arial"/>
          <w:noProof/>
          <w:sz w:val="20"/>
        </w:rPr>
        <w:t>( Bag, 2018)</w:t>
      </w:r>
      <w:r w:rsidR="006B041A" w:rsidRPr="00A75138">
        <w:rPr>
          <w:rFonts w:ascii="Arial" w:hAnsi="Arial" w:cs="Arial"/>
          <w:sz w:val="20"/>
        </w:rPr>
        <w:fldChar w:fldCharType="end"/>
      </w:r>
      <w:r w:rsidR="004C463A" w:rsidRPr="00A75138">
        <w:rPr>
          <w:rFonts w:ascii="Arial" w:hAnsi="Arial" w:cs="Arial"/>
          <w:sz w:val="20"/>
        </w:rPr>
        <w:t xml:space="preserve"> The coordinated use of these scalable, semi-automated technologies makes ginger processing viable at the micro and small enterprise level in rural India.</w:t>
      </w:r>
    </w:p>
    <w:p w14:paraId="3718C7EC" w14:textId="563C8088" w:rsidR="004C463A" w:rsidRPr="00A75138" w:rsidRDefault="004C463A" w:rsidP="00C81016">
      <w:pPr>
        <w:spacing w:line="360" w:lineRule="auto"/>
        <w:jc w:val="both"/>
        <w:rPr>
          <w:rFonts w:ascii="Arial" w:hAnsi="Arial" w:cs="Arial"/>
          <w:sz w:val="20"/>
        </w:rPr>
      </w:pPr>
      <w:r w:rsidRPr="00A75138">
        <w:rPr>
          <w:rFonts w:ascii="Arial" w:hAnsi="Arial" w:cs="Arial"/>
          <w:sz w:val="20"/>
        </w:rPr>
        <w:t>The adoption of such int</w:t>
      </w:r>
      <w:r w:rsidR="00E55A8F" w:rsidRPr="00A75138">
        <w:rPr>
          <w:rFonts w:ascii="Arial" w:hAnsi="Arial" w:cs="Arial"/>
          <w:sz w:val="20"/>
        </w:rPr>
        <w:t xml:space="preserve">egrated processing technologies </w:t>
      </w:r>
      <w:r w:rsidRPr="00A75138">
        <w:rPr>
          <w:rFonts w:ascii="Arial" w:hAnsi="Arial" w:cs="Arial"/>
          <w:sz w:val="20"/>
        </w:rPr>
        <w:t>comprising energy-efficient dryers, compact distillatio</w:t>
      </w:r>
      <w:r w:rsidR="00E55A8F" w:rsidRPr="00A75138">
        <w:rPr>
          <w:rFonts w:ascii="Arial" w:hAnsi="Arial" w:cs="Arial"/>
          <w:sz w:val="20"/>
        </w:rPr>
        <w:t xml:space="preserve">n units, and mechanized peelers </w:t>
      </w:r>
      <w:r w:rsidRPr="00A75138">
        <w:rPr>
          <w:rFonts w:ascii="Arial" w:hAnsi="Arial" w:cs="Arial"/>
          <w:sz w:val="20"/>
        </w:rPr>
        <w:t xml:space="preserve">has been instrumental in enabling rural producer organizations to transition from subsistence farming to commercially viable enterprises. These </w:t>
      </w:r>
      <w:r w:rsidRPr="00A75138">
        <w:rPr>
          <w:rFonts w:ascii="Arial" w:hAnsi="Arial" w:cs="Arial"/>
          <w:sz w:val="20"/>
        </w:rPr>
        <w:lastRenderedPageBreak/>
        <w:t>equipment solutions reduce postharvest losses, improve product shelf life and quality, and facilitate access to regional and international markets. In areas with poor infrastructure and limited market linkages, especially in north</w:t>
      </w:r>
      <w:r w:rsidR="00E55A8F" w:rsidRPr="00A75138">
        <w:rPr>
          <w:rFonts w:ascii="Arial" w:hAnsi="Arial" w:cs="Arial"/>
          <w:sz w:val="20"/>
        </w:rPr>
        <w:t xml:space="preserve"> </w:t>
      </w:r>
      <w:r w:rsidRPr="00A75138">
        <w:rPr>
          <w:rFonts w:ascii="Arial" w:hAnsi="Arial" w:cs="Arial"/>
          <w:sz w:val="20"/>
        </w:rPr>
        <w:t>eastern India, the decentralization of processing capacity empowers local communities to capture a larger share of value addition. The following examples from Assam demonstrate how targeted equipment adoption, combined with institutional support, can deliver tangible socioeconomic benefits for farmer collectives.</w:t>
      </w:r>
    </w:p>
    <w:p w14:paraId="4CBA7456" w14:textId="0D390A05" w:rsidR="00B1705B" w:rsidRPr="00A75138" w:rsidRDefault="004C463A" w:rsidP="00C81016">
      <w:pPr>
        <w:spacing w:line="360" w:lineRule="auto"/>
        <w:jc w:val="both"/>
        <w:rPr>
          <w:rFonts w:ascii="Arial" w:hAnsi="Arial" w:cs="Arial"/>
          <w:sz w:val="20"/>
        </w:rPr>
      </w:pPr>
      <w:r w:rsidRPr="00A75138">
        <w:rPr>
          <w:rFonts w:ascii="Arial" w:hAnsi="Arial" w:cs="Arial"/>
          <w:sz w:val="20"/>
        </w:rPr>
        <w:t xml:space="preserve">One of the most notable cases is the </w:t>
      </w:r>
      <w:proofErr w:type="spellStart"/>
      <w:r w:rsidRPr="00A75138">
        <w:rPr>
          <w:rFonts w:ascii="Arial" w:hAnsi="Arial" w:cs="Arial"/>
          <w:sz w:val="20"/>
        </w:rPr>
        <w:t>Jirsong</w:t>
      </w:r>
      <w:proofErr w:type="spellEnd"/>
      <w:r w:rsidRPr="00A75138">
        <w:rPr>
          <w:rFonts w:ascii="Arial" w:hAnsi="Arial" w:cs="Arial"/>
          <w:sz w:val="20"/>
        </w:rPr>
        <w:t xml:space="preserve"> </w:t>
      </w:r>
      <w:proofErr w:type="spellStart"/>
      <w:r w:rsidRPr="00A75138">
        <w:rPr>
          <w:rFonts w:ascii="Arial" w:hAnsi="Arial" w:cs="Arial"/>
          <w:sz w:val="20"/>
        </w:rPr>
        <w:t>Agro</w:t>
      </w:r>
      <w:proofErr w:type="spellEnd"/>
      <w:r w:rsidRPr="00A75138">
        <w:rPr>
          <w:rFonts w:ascii="Arial" w:hAnsi="Arial" w:cs="Arial"/>
          <w:sz w:val="20"/>
        </w:rPr>
        <w:t xml:space="preserve"> Producer Company Ltd. in </w:t>
      </w:r>
      <w:proofErr w:type="spellStart"/>
      <w:r w:rsidRPr="00A75138">
        <w:rPr>
          <w:rFonts w:ascii="Arial" w:hAnsi="Arial" w:cs="Arial"/>
          <w:sz w:val="20"/>
        </w:rPr>
        <w:t>Karbi</w:t>
      </w:r>
      <w:proofErr w:type="spellEnd"/>
      <w:r w:rsidRPr="00A75138">
        <w:rPr>
          <w:rFonts w:ascii="Arial" w:hAnsi="Arial" w:cs="Arial"/>
          <w:sz w:val="20"/>
        </w:rPr>
        <w:t xml:space="preserve"> </w:t>
      </w:r>
      <w:proofErr w:type="spellStart"/>
      <w:r w:rsidRPr="00A75138">
        <w:rPr>
          <w:rFonts w:ascii="Arial" w:hAnsi="Arial" w:cs="Arial"/>
          <w:sz w:val="20"/>
        </w:rPr>
        <w:t>Anglong</w:t>
      </w:r>
      <w:proofErr w:type="spellEnd"/>
      <w:r w:rsidRPr="00A75138">
        <w:rPr>
          <w:rFonts w:ascii="Arial" w:hAnsi="Arial" w:cs="Arial"/>
          <w:sz w:val="20"/>
        </w:rPr>
        <w:t>, Assam, which recorded ₹54.00 lakhs in ginger sales within a three-month period</w:t>
      </w:r>
      <w:r w:rsidR="00B23DA6" w:rsidRPr="00A75138">
        <w:rPr>
          <w:rFonts w:ascii="Arial" w:hAnsi="Arial" w:cs="Arial"/>
          <w:sz w:val="20"/>
        </w:rPr>
        <w:t xml:space="preserve"> </w:t>
      </w:r>
      <w:r w:rsidRPr="00A75138">
        <w:rPr>
          <w:rFonts w:ascii="Arial" w:hAnsi="Arial" w:cs="Arial"/>
          <w:sz w:val="20"/>
        </w:rPr>
        <w:t xml:space="preserve">demonstrating the economic viability of localized processing and collective marketing in a logistically difficult region (Department of Biotechnology, 2021). Another successful model is the </w:t>
      </w:r>
      <w:proofErr w:type="spellStart"/>
      <w:r w:rsidRPr="00A75138">
        <w:rPr>
          <w:rFonts w:ascii="Arial" w:hAnsi="Arial" w:cs="Arial"/>
          <w:sz w:val="20"/>
        </w:rPr>
        <w:t>Padum</w:t>
      </w:r>
      <w:proofErr w:type="spellEnd"/>
      <w:r w:rsidRPr="00A75138">
        <w:rPr>
          <w:rFonts w:ascii="Arial" w:hAnsi="Arial" w:cs="Arial"/>
          <w:sz w:val="20"/>
        </w:rPr>
        <w:t xml:space="preserve"> </w:t>
      </w:r>
      <w:proofErr w:type="spellStart"/>
      <w:r w:rsidRPr="00A75138">
        <w:rPr>
          <w:rFonts w:ascii="Arial" w:hAnsi="Arial" w:cs="Arial"/>
          <w:sz w:val="20"/>
        </w:rPr>
        <w:t>Pathar</w:t>
      </w:r>
      <w:proofErr w:type="spellEnd"/>
      <w:r w:rsidRPr="00A75138">
        <w:rPr>
          <w:rFonts w:ascii="Arial" w:hAnsi="Arial" w:cs="Arial"/>
          <w:sz w:val="20"/>
        </w:rPr>
        <w:t xml:space="preserve"> </w:t>
      </w:r>
      <w:proofErr w:type="spellStart"/>
      <w:r w:rsidRPr="00A75138">
        <w:rPr>
          <w:rFonts w:ascii="Arial" w:hAnsi="Arial" w:cs="Arial"/>
          <w:sz w:val="20"/>
        </w:rPr>
        <w:t>Agro</w:t>
      </w:r>
      <w:proofErr w:type="spellEnd"/>
      <w:r w:rsidRPr="00A75138">
        <w:rPr>
          <w:rFonts w:ascii="Arial" w:hAnsi="Arial" w:cs="Arial"/>
          <w:sz w:val="20"/>
        </w:rPr>
        <w:t xml:space="preserve"> Organic Producer Company in </w:t>
      </w:r>
      <w:proofErr w:type="spellStart"/>
      <w:r w:rsidRPr="00A75138">
        <w:rPr>
          <w:rFonts w:ascii="Arial" w:hAnsi="Arial" w:cs="Arial"/>
          <w:sz w:val="20"/>
        </w:rPr>
        <w:t>Golaghat</w:t>
      </w:r>
      <w:proofErr w:type="spellEnd"/>
      <w:r w:rsidRPr="00A75138">
        <w:rPr>
          <w:rFonts w:ascii="Arial" w:hAnsi="Arial" w:cs="Arial"/>
          <w:sz w:val="20"/>
        </w:rPr>
        <w:t xml:space="preserve">, which exported 10 metric tonnes of ginger to Dubai in March 2024. According to the Times of India (2024), this shipment was facilitated by the Directorate of Horticulture and built on the FPC’s earlier success of exporting 20 metric tonnes of turmeric to Saudi Arabia in 2021. A separate consignment of 10 metric tonnes of GI-tagged ginger from </w:t>
      </w:r>
      <w:proofErr w:type="spellStart"/>
      <w:r w:rsidRPr="00A75138">
        <w:rPr>
          <w:rFonts w:ascii="Arial" w:hAnsi="Arial" w:cs="Arial"/>
          <w:sz w:val="20"/>
        </w:rPr>
        <w:t>Karbi</w:t>
      </w:r>
      <w:proofErr w:type="spellEnd"/>
      <w:r w:rsidRPr="00A75138">
        <w:rPr>
          <w:rFonts w:ascii="Arial" w:hAnsi="Arial" w:cs="Arial"/>
          <w:sz w:val="20"/>
        </w:rPr>
        <w:t xml:space="preserve"> </w:t>
      </w:r>
      <w:proofErr w:type="spellStart"/>
      <w:r w:rsidRPr="00A75138">
        <w:rPr>
          <w:rFonts w:ascii="Arial" w:hAnsi="Arial" w:cs="Arial"/>
          <w:sz w:val="20"/>
        </w:rPr>
        <w:t>Anglon</w:t>
      </w:r>
      <w:r w:rsidR="00A11CEE" w:rsidRPr="00A75138">
        <w:rPr>
          <w:rFonts w:ascii="Arial" w:hAnsi="Arial" w:cs="Arial"/>
          <w:sz w:val="20"/>
        </w:rPr>
        <w:t>g</w:t>
      </w:r>
      <w:proofErr w:type="spellEnd"/>
      <w:r w:rsidR="00A11CEE" w:rsidRPr="00A75138">
        <w:rPr>
          <w:rFonts w:ascii="Arial" w:hAnsi="Arial" w:cs="Arial"/>
          <w:sz w:val="20"/>
        </w:rPr>
        <w:t xml:space="preserve"> was also prepared for export. A</w:t>
      </w:r>
      <w:r w:rsidR="006B041A" w:rsidRPr="00A75138">
        <w:rPr>
          <w:rFonts w:ascii="Arial" w:hAnsi="Arial" w:cs="Arial"/>
          <w:sz w:val="20"/>
        </w:rPr>
        <w:t xml:space="preserve"> new Ginger Processing Unit was inaugurated in </w:t>
      </w:r>
      <w:proofErr w:type="spellStart"/>
      <w:r w:rsidR="006B041A" w:rsidRPr="00A75138">
        <w:rPr>
          <w:rFonts w:ascii="Arial" w:hAnsi="Arial" w:cs="Arial"/>
          <w:sz w:val="20"/>
        </w:rPr>
        <w:t>Tyrso</w:t>
      </w:r>
      <w:proofErr w:type="spellEnd"/>
      <w:r w:rsidR="006B041A" w:rsidRPr="00A75138">
        <w:rPr>
          <w:rFonts w:ascii="Arial" w:hAnsi="Arial" w:cs="Arial"/>
          <w:sz w:val="20"/>
        </w:rPr>
        <w:t xml:space="preserve"> village, Ri </w:t>
      </w:r>
      <w:proofErr w:type="spellStart"/>
      <w:r w:rsidR="006B041A" w:rsidRPr="00A75138">
        <w:rPr>
          <w:rFonts w:ascii="Arial" w:hAnsi="Arial" w:cs="Arial"/>
          <w:sz w:val="20"/>
        </w:rPr>
        <w:t>Bhoi</w:t>
      </w:r>
      <w:proofErr w:type="spellEnd"/>
      <w:r w:rsidR="006B041A" w:rsidRPr="00A75138">
        <w:rPr>
          <w:rFonts w:ascii="Arial" w:hAnsi="Arial" w:cs="Arial"/>
          <w:sz w:val="20"/>
        </w:rPr>
        <w:t xml:space="preserve"> district, Meghalaya, in October 2024. This unit, establish</w:t>
      </w:r>
      <w:r w:rsidR="00A11CEE" w:rsidRPr="00A75138">
        <w:rPr>
          <w:rFonts w:ascii="Arial" w:hAnsi="Arial" w:cs="Arial"/>
          <w:sz w:val="20"/>
        </w:rPr>
        <w:t xml:space="preserve">ed under the leadership of the </w:t>
      </w:r>
      <w:proofErr w:type="spellStart"/>
      <w:r w:rsidR="00A11CEE" w:rsidRPr="00A75138">
        <w:rPr>
          <w:rFonts w:ascii="Arial" w:hAnsi="Arial" w:cs="Arial"/>
          <w:sz w:val="20"/>
        </w:rPr>
        <w:t>I</w:t>
      </w:r>
      <w:r w:rsidR="006B041A" w:rsidRPr="00A75138">
        <w:rPr>
          <w:rFonts w:ascii="Arial" w:hAnsi="Arial" w:cs="Arial"/>
          <w:sz w:val="20"/>
        </w:rPr>
        <w:t>akyrshan</w:t>
      </w:r>
      <w:proofErr w:type="spellEnd"/>
      <w:r w:rsidR="006B041A" w:rsidRPr="00A75138">
        <w:rPr>
          <w:rFonts w:ascii="Arial" w:hAnsi="Arial" w:cs="Arial"/>
          <w:sz w:val="20"/>
        </w:rPr>
        <w:t xml:space="preserve"> Cluster Farmer’s Producer Multipurpose Cooperative Society with financial support from the Meghalaya Basin Management Agency, is expected to significantly enhance livelihoods and empower local farmers, especially women. (Highland Post, 2024).</w:t>
      </w:r>
    </w:p>
    <w:p w14:paraId="280DEBA6" w14:textId="77777777" w:rsidR="00B1705B" w:rsidRPr="00EB5B9D" w:rsidRDefault="00F34E41" w:rsidP="00C81016">
      <w:pPr>
        <w:spacing w:line="360" w:lineRule="auto"/>
        <w:jc w:val="both"/>
        <w:rPr>
          <w:rFonts w:ascii="Arial" w:hAnsi="Arial" w:cs="Arial"/>
        </w:rPr>
      </w:pPr>
      <w:r w:rsidRPr="00EB5B9D">
        <w:rPr>
          <w:rFonts w:ascii="Arial" w:hAnsi="Arial" w:cs="Arial"/>
          <w:b/>
          <w:bCs/>
        </w:rPr>
        <w:t>2.2 Honey processing</w:t>
      </w:r>
      <w:r w:rsidRPr="00EB5B9D">
        <w:rPr>
          <w:rFonts w:ascii="Arial" w:hAnsi="Arial" w:cs="Arial"/>
        </w:rPr>
        <w:t xml:space="preserve"> </w:t>
      </w:r>
      <w:r w:rsidRPr="00EB5B9D">
        <w:rPr>
          <w:rFonts w:ascii="Arial" w:hAnsi="Arial" w:cs="Arial"/>
          <w:b/>
          <w:bCs/>
        </w:rPr>
        <w:t>Technologies and Their Socioeconomic Impact in Rural</w:t>
      </w:r>
    </w:p>
    <w:p w14:paraId="39160211" w14:textId="27EACE57" w:rsidR="00B1705B" w:rsidRPr="00A75138" w:rsidRDefault="005C5536" w:rsidP="00C81016">
      <w:pPr>
        <w:spacing w:line="360" w:lineRule="auto"/>
        <w:jc w:val="both"/>
        <w:rPr>
          <w:rFonts w:ascii="Arial" w:hAnsi="Arial" w:cs="Arial"/>
          <w:sz w:val="20"/>
          <w:szCs w:val="18"/>
        </w:rPr>
      </w:pPr>
      <w:r w:rsidRPr="00A75138">
        <w:rPr>
          <w:rFonts w:ascii="Arial" w:hAnsi="Arial" w:cs="Arial"/>
          <w:sz w:val="20"/>
          <w:szCs w:val="18"/>
        </w:rPr>
        <w:t xml:space="preserve">Apiculture offers a sustainable and commercially significant alternative income source for rural Indian farmers, fuelled by increasing local and global demand for honey and its diverse by-products listed in </w:t>
      </w:r>
      <w:r w:rsidRPr="00A75138">
        <w:rPr>
          <w:rFonts w:ascii="Arial" w:hAnsi="Arial" w:cs="Arial"/>
          <w:b/>
          <w:bCs/>
          <w:sz w:val="20"/>
          <w:szCs w:val="18"/>
        </w:rPr>
        <w:t>Table 1</w:t>
      </w:r>
      <w:r w:rsidRPr="00A75138">
        <w:rPr>
          <w:rFonts w:ascii="Arial" w:hAnsi="Arial" w:cs="Arial"/>
          <w:sz w:val="20"/>
          <w:szCs w:val="18"/>
        </w:rPr>
        <w:t>, which are utilized across the food, pharmaceutical, nutraceutical, and cosmetic industries. However, raw honey is highly sensitive to environmental factors like moisture content and temperature, making it susceptible to quality deterioration through fermentation, crystallization, and colour change</w:t>
      </w:r>
      <w:r w:rsidR="00BD0209" w:rsidRPr="00A75138">
        <w:rPr>
          <w:rFonts w:ascii="Arial" w:hAnsi="Arial" w:cs="Arial"/>
          <w:sz w:val="20"/>
          <w:szCs w:val="18"/>
        </w:rPr>
        <w:fldChar w:fldCharType="begin" w:fldLock="1"/>
      </w:r>
      <w:r w:rsidR="008C709B">
        <w:rPr>
          <w:rFonts w:ascii="Arial" w:hAnsi="Arial" w:cs="Arial"/>
          <w:sz w:val="20"/>
          <w:szCs w:val="18"/>
        </w:rPr>
        <w:instrText>ADDIN CSL_CITATION {"citationItems":[{"id":"ITEM-1","itemData":{"DOI":"10.1007/s13197-018-3341-5","ISBN":"1319701833","ISSN":"09758402","abstract":"Beekeeping has been widely promoted in many countries as a major contributor to rural development. Honey is a sweet and viscous liquid which has sweetness due to the presence of monosaccharides. The major constituents of honey are sugars, water, proteins, enzymes, acids and minerals, while the major causes of quality deterioration include heating at high temperatures, high moisture content, adulteration, poor packaging and poor storage conditions. Heating not only eases the processing of bottling by reducing the viscosity of honey, but also reduces the water content in honey to prevent fermentation and delays the granulation by destroying large sugar nuclei. The paper discusses about the different honey moisture reduction systems designed by research workers as well as beekeepers at farm level and the different quality parameters affected by thermal treatment of honey.","author":[{"dropping-particle":"","family":"Singh","given":"Iqbal","non-dropping-particle":"","parse-names":false,"suffix":""},{"dropping-particle":"","family":"Singh","given":"Sukhmeet","non-dropping-particle":"","parse-names":false,"suffix":""}],"container-title":"Journal of Food Science and Technology","id":"ITEM-1","issue":"10","issued":{"date-parts":[["2018"]]},"page":"3861-3871","publisher":"Springer India","title":"Honey moisture reduction and its quality","type":"article-journal","volume":"55"},"uris":["http://www.mendeley.com/documents/?uuid=45b2f99e-6dea-42c3-a992-68423a5efe47"]}],"mendeley":{"formattedCitation":"(I. Singh &amp; Singh, 2018)","manualFormatting":"(Singh &amp; Singh, 2018)","plainTextFormattedCitation":"(I. Singh &amp; Singh, 2018)","previouslyFormattedCitation":"(I. Singh &amp; Singh, 2018)"},"properties":{"noteIndex":0},"schema":"https://github.com/citation-style-language/schema/raw/master/csl-citation.json"}</w:instrText>
      </w:r>
      <w:r w:rsidR="00BD0209" w:rsidRPr="00A75138">
        <w:rPr>
          <w:rFonts w:ascii="Arial" w:hAnsi="Arial" w:cs="Arial"/>
          <w:sz w:val="20"/>
          <w:szCs w:val="18"/>
        </w:rPr>
        <w:fldChar w:fldCharType="separate"/>
      </w:r>
      <w:r w:rsidR="00B23DA6" w:rsidRPr="00A75138">
        <w:rPr>
          <w:rFonts w:ascii="Arial" w:hAnsi="Arial" w:cs="Arial"/>
          <w:noProof/>
          <w:sz w:val="20"/>
          <w:szCs w:val="18"/>
        </w:rPr>
        <w:t>(</w:t>
      </w:r>
      <w:r w:rsidR="00F309C1" w:rsidRPr="00A75138">
        <w:rPr>
          <w:rFonts w:ascii="Arial" w:hAnsi="Arial" w:cs="Arial"/>
          <w:noProof/>
          <w:sz w:val="20"/>
          <w:szCs w:val="18"/>
        </w:rPr>
        <w:t>Singh &amp; Singh, 2018)</w:t>
      </w:r>
      <w:r w:rsidR="00BD0209" w:rsidRPr="00A75138">
        <w:rPr>
          <w:rFonts w:ascii="Arial" w:hAnsi="Arial" w:cs="Arial"/>
          <w:sz w:val="20"/>
          <w:szCs w:val="18"/>
        </w:rPr>
        <w:fldChar w:fldCharType="end"/>
      </w:r>
      <w:r w:rsidRPr="00A75138">
        <w:rPr>
          <w:rFonts w:ascii="Arial" w:hAnsi="Arial" w:cs="Arial"/>
          <w:sz w:val="20"/>
          <w:szCs w:val="18"/>
        </w:rPr>
        <w:t>, which ultimately limit its shelf life and market value. Consequently, processing is essential to stabilize the product by regulating moisture, removing impurities, and ensuring uniformity in texture and flavour, thereby extending its storage stability and maximizing its economic viability</w:t>
      </w:r>
      <w:r w:rsidR="00BD0209" w:rsidRPr="00A75138">
        <w:rPr>
          <w:rFonts w:ascii="Arial" w:hAnsi="Arial" w:cs="Arial"/>
          <w:sz w:val="20"/>
          <w:szCs w:val="18"/>
        </w:rPr>
        <w:fldChar w:fldCharType="begin" w:fldLock="1"/>
      </w:r>
      <w:r w:rsidR="00BD0209" w:rsidRPr="00A75138">
        <w:rPr>
          <w:rFonts w:ascii="Arial" w:hAnsi="Arial" w:cs="Arial"/>
          <w:sz w:val="20"/>
          <w:szCs w:val="18"/>
        </w:rPr>
        <w:instrText>ADDIN CSL_CITATION {"citationItems":[{"id":"ITEM-1","itemData":{"DOI":"10.1007/978-981-97-3565-5_19","author":[{"dropping-particle":"","family":"Rani","given":"Jyoti","non-dropping-particle":"","parse-names":false,"suffix":""},{"dropping-particle":"","family":"Kamboj","given":"Harkrishan","non-dropping-particle":"","parse-names":false,"suffix":""},{"dropping-particle":"","family":"Dhull","given":"Sanju Bala","non-dropping-particle":"","parse-names":false,"suffix":""},{"dropping-particle":"","family":"Rose","given":"Pawan Kumar","non-dropping-particle":"","parse-names":false,"suffix":""},{"dropping-particle":"","family":"Bou-Mitri","given":"Christelle","non-dropping-particle":"","parse-names":false,"suffix":""},{"dropping-particle":"","family":"Goksen","given":"Gulden","non-dropping-particle":"","parse-names":false,"suffix":""},{"dropping-particle":"","family":"Faliarizao","given":"Natoavina","non-dropping-particle":"","parse-names":false,"suffix":""}],"container-title":"Honey in Food Science and Physiology","id":"ITEM-1","issued":{"date-parts":[["2024"]]},"page":"439-469","publisher":"Springer Nature Singapore","publisher-place":"Singapore","title":"Effect of Different Processing Techniques and Storage Conditions on Honey Properties","type":"chapter"},"uris":["http://www.mendeley.com/documents/?uuid=213db262-aece-4be1-b1fc-6ca98818be36"]}],"mendeley":{"formattedCitation":"(Rani et al., 2024)","plainTextFormattedCitation":"(Rani et al., 2024)","previouslyFormattedCitation":"(Rani et al., 2024)"},"properties":{"noteIndex":0},"schema":"https://github.com/citation-style-language/schema/raw/master/csl-citation.json"}</w:instrText>
      </w:r>
      <w:r w:rsidR="00BD0209" w:rsidRPr="00A75138">
        <w:rPr>
          <w:rFonts w:ascii="Arial" w:hAnsi="Arial" w:cs="Arial"/>
          <w:sz w:val="20"/>
          <w:szCs w:val="18"/>
        </w:rPr>
        <w:fldChar w:fldCharType="separate"/>
      </w:r>
      <w:r w:rsidR="00BD0209" w:rsidRPr="00A75138">
        <w:rPr>
          <w:rFonts w:ascii="Arial" w:hAnsi="Arial" w:cs="Arial"/>
          <w:i/>
          <w:iCs/>
          <w:noProof/>
          <w:sz w:val="20"/>
          <w:szCs w:val="18"/>
        </w:rPr>
        <w:t>(</w:t>
      </w:r>
      <w:r w:rsidR="00BD0209" w:rsidRPr="00A75138">
        <w:rPr>
          <w:rFonts w:ascii="Arial" w:hAnsi="Arial" w:cs="Arial"/>
          <w:noProof/>
          <w:sz w:val="20"/>
          <w:szCs w:val="18"/>
        </w:rPr>
        <w:t>Rani</w:t>
      </w:r>
      <w:r w:rsidR="00BD0209" w:rsidRPr="00A75138">
        <w:rPr>
          <w:rFonts w:ascii="Arial" w:hAnsi="Arial" w:cs="Arial"/>
          <w:i/>
          <w:iCs/>
          <w:noProof/>
          <w:sz w:val="20"/>
          <w:szCs w:val="18"/>
        </w:rPr>
        <w:t xml:space="preserve"> et al.,</w:t>
      </w:r>
      <w:r w:rsidR="00BD0209" w:rsidRPr="00A75138">
        <w:rPr>
          <w:rFonts w:ascii="Arial" w:hAnsi="Arial" w:cs="Arial"/>
          <w:noProof/>
          <w:sz w:val="20"/>
          <w:szCs w:val="18"/>
        </w:rPr>
        <w:t xml:space="preserve"> 2024)</w:t>
      </w:r>
      <w:r w:rsidR="00BD0209" w:rsidRPr="00A75138">
        <w:rPr>
          <w:rFonts w:ascii="Arial" w:hAnsi="Arial" w:cs="Arial"/>
          <w:sz w:val="20"/>
          <w:szCs w:val="18"/>
        </w:rPr>
        <w:fldChar w:fldCharType="end"/>
      </w:r>
      <w:r w:rsidRPr="00A75138">
        <w:rPr>
          <w:rFonts w:ascii="Arial" w:hAnsi="Arial" w:cs="Arial"/>
          <w:sz w:val="20"/>
          <w:szCs w:val="18"/>
        </w:rPr>
        <w:t>.</w:t>
      </w:r>
    </w:p>
    <w:p w14:paraId="1C5A19F3" w14:textId="77777777" w:rsidR="00BD0209" w:rsidRPr="00A75138" w:rsidRDefault="00BD0209" w:rsidP="00C81016">
      <w:pPr>
        <w:spacing w:line="360" w:lineRule="auto"/>
        <w:jc w:val="both"/>
        <w:rPr>
          <w:rFonts w:ascii="Arial" w:hAnsi="Arial" w:cs="Arial"/>
          <w:b/>
          <w:bCs/>
          <w:sz w:val="20"/>
          <w:szCs w:val="18"/>
        </w:rPr>
      </w:pPr>
      <w:r w:rsidRPr="00A75138">
        <w:rPr>
          <w:rFonts w:ascii="Arial" w:hAnsi="Arial" w:cs="Arial"/>
          <w:b/>
          <w:bCs/>
          <w:sz w:val="20"/>
          <w:szCs w:val="18"/>
        </w:rPr>
        <w:t xml:space="preserve">Table 1. Different value added and by-products from honey </w:t>
      </w:r>
    </w:p>
    <w:tbl>
      <w:tblPr>
        <w:tblStyle w:val="TableGrid"/>
        <w:tblW w:w="0" w:type="auto"/>
        <w:tblLook w:val="04A0" w:firstRow="1" w:lastRow="0" w:firstColumn="1" w:lastColumn="0" w:noHBand="0" w:noVBand="1"/>
      </w:tblPr>
      <w:tblGrid>
        <w:gridCol w:w="2405"/>
        <w:gridCol w:w="6611"/>
      </w:tblGrid>
      <w:tr w:rsidR="00BF3C35" w:rsidRPr="00A75138" w14:paraId="55199B41" w14:textId="77777777" w:rsidTr="00BF3C35">
        <w:tc>
          <w:tcPr>
            <w:tcW w:w="2405" w:type="dxa"/>
            <w:vAlign w:val="center"/>
          </w:tcPr>
          <w:p w14:paraId="47A2359A" w14:textId="77777777" w:rsidR="00BF3C35" w:rsidRPr="00A75138" w:rsidRDefault="00BF3C35" w:rsidP="00C81016">
            <w:pPr>
              <w:spacing w:line="360" w:lineRule="auto"/>
              <w:jc w:val="both"/>
              <w:rPr>
                <w:rFonts w:ascii="Arial" w:eastAsia="Times New Roman" w:hAnsi="Arial" w:cs="Arial"/>
                <w:b/>
                <w:bCs/>
                <w:sz w:val="20"/>
                <w:lang w:eastAsia="en-IN"/>
              </w:rPr>
            </w:pPr>
            <w:r w:rsidRPr="00A75138">
              <w:rPr>
                <w:rFonts w:ascii="Arial" w:eastAsia="Times New Roman" w:hAnsi="Arial" w:cs="Arial"/>
                <w:b/>
                <w:bCs/>
                <w:sz w:val="20"/>
                <w:lang w:eastAsia="en-IN"/>
              </w:rPr>
              <w:t>Category</w:t>
            </w:r>
          </w:p>
        </w:tc>
        <w:tc>
          <w:tcPr>
            <w:tcW w:w="6611" w:type="dxa"/>
            <w:vAlign w:val="center"/>
          </w:tcPr>
          <w:p w14:paraId="34EF22DF" w14:textId="77777777" w:rsidR="00BF3C35" w:rsidRPr="00A75138" w:rsidRDefault="00BF3C35" w:rsidP="00C81016">
            <w:pPr>
              <w:spacing w:line="360" w:lineRule="auto"/>
              <w:jc w:val="both"/>
              <w:rPr>
                <w:rFonts w:ascii="Arial" w:eastAsia="Times New Roman" w:hAnsi="Arial" w:cs="Arial"/>
                <w:b/>
                <w:bCs/>
                <w:sz w:val="20"/>
                <w:lang w:eastAsia="en-IN"/>
              </w:rPr>
            </w:pPr>
            <w:r w:rsidRPr="00A75138">
              <w:rPr>
                <w:rFonts w:ascii="Arial" w:eastAsia="Times New Roman" w:hAnsi="Arial" w:cs="Arial"/>
                <w:b/>
                <w:bCs/>
                <w:sz w:val="20"/>
                <w:lang w:eastAsia="en-IN"/>
              </w:rPr>
              <w:t>Examples of Products</w:t>
            </w:r>
          </w:p>
        </w:tc>
      </w:tr>
      <w:tr w:rsidR="00BF3C35" w:rsidRPr="00A75138" w14:paraId="0B269C21" w14:textId="77777777" w:rsidTr="00BF3C35">
        <w:tc>
          <w:tcPr>
            <w:tcW w:w="2405" w:type="dxa"/>
            <w:vAlign w:val="center"/>
          </w:tcPr>
          <w:p w14:paraId="5265E913"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By-products</w:t>
            </w:r>
          </w:p>
        </w:tc>
        <w:tc>
          <w:tcPr>
            <w:tcW w:w="6611" w:type="dxa"/>
            <w:vAlign w:val="center"/>
          </w:tcPr>
          <w:p w14:paraId="2AAB5D4A"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Beeswax, Propolis, Royal Jelly, Bee Pollen, Bee Venom, Comb Honey</w:t>
            </w:r>
          </w:p>
        </w:tc>
      </w:tr>
      <w:tr w:rsidR="00BF3C35" w:rsidRPr="00A75138" w14:paraId="77C2A41E" w14:textId="77777777" w:rsidTr="00BF3C35">
        <w:tc>
          <w:tcPr>
            <w:tcW w:w="2405" w:type="dxa"/>
            <w:vAlign w:val="center"/>
          </w:tcPr>
          <w:p w14:paraId="634052F6"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Food Products</w:t>
            </w:r>
          </w:p>
        </w:tc>
        <w:tc>
          <w:tcPr>
            <w:tcW w:w="6611" w:type="dxa"/>
            <w:vAlign w:val="center"/>
          </w:tcPr>
          <w:p w14:paraId="35BB9151"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 xml:space="preserve">Honey spreads, baked goods, fruit preserves, </w:t>
            </w:r>
            <w:proofErr w:type="spellStart"/>
            <w:r w:rsidRPr="00A75138">
              <w:rPr>
                <w:rFonts w:ascii="Arial" w:eastAsia="Times New Roman" w:hAnsi="Arial" w:cs="Arial"/>
                <w:sz w:val="20"/>
                <w:lang w:eastAsia="en-IN"/>
              </w:rPr>
              <w:t>flavored</w:t>
            </w:r>
            <w:proofErr w:type="spellEnd"/>
            <w:r w:rsidRPr="00A75138">
              <w:rPr>
                <w:rFonts w:ascii="Arial" w:eastAsia="Times New Roman" w:hAnsi="Arial" w:cs="Arial"/>
                <w:sz w:val="20"/>
                <w:lang w:eastAsia="en-IN"/>
              </w:rPr>
              <w:t xml:space="preserve"> honey, honey powder</w:t>
            </w:r>
          </w:p>
        </w:tc>
      </w:tr>
      <w:tr w:rsidR="00BF3C35" w:rsidRPr="00A75138" w14:paraId="3999FE4E" w14:textId="77777777" w:rsidTr="00BF3C35">
        <w:tc>
          <w:tcPr>
            <w:tcW w:w="2405" w:type="dxa"/>
            <w:vAlign w:val="center"/>
          </w:tcPr>
          <w:p w14:paraId="011F0EFC"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Beverages</w:t>
            </w:r>
          </w:p>
        </w:tc>
        <w:tc>
          <w:tcPr>
            <w:tcW w:w="6611" w:type="dxa"/>
            <w:vAlign w:val="center"/>
          </w:tcPr>
          <w:p w14:paraId="1F8E853B"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Mead, honey wine, honey vinegar, honey-based juices, herbal teas</w:t>
            </w:r>
          </w:p>
        </w:tc>
      </w:tr>
      <w:tr w:rsidR="00BF3C35" w:rsidRPr="00A75138" w14:paraId="60154A5F" w14:textId="77777777" w:rsidTr="00BF3C35">
        <w:tc>
          <w:tcPr>
            <w:tcW w:w="2405" w:type="dxa"/>
            <w:vAlign w:val="center"/>
          </w:tcPr>
          <w:p w14:paraId="63BDBB75"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Nutraceuticals</w:t>
            </w:r>
          </w:p>
        </w:tc>
        <w:tc>
          <w:tcPr>
            <w:tcW w:w="6611" w:type="dxa"/>
            <w:vAlign w:val="center"/>
          </w:tcPr>
          <w:p w14:paraId="00CD53D2"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Royal jelly supplements, propolis extracts, bee pollen capsules</w:t>
            </w:r>
          </w:p>
        </w:tc>
      </w:tr>
      <w:tr w:rsidR="00BF3C35" w:rsidRPr="00A75138" w14:paraId="5721AEEE" w14:textId="77777777" w:rsidTr="00BF3C35">
        <w:tc>
          <w:tcPr>
            <w:tcW w:w="2405" w:type="dxa"/>
            <w:vAlign w:val="center"/>
          </w:tcPr>
          <w:p w14:paraId="2BD3095D"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Cosmetic/Pharma</w:t>
            </w:r>
          </w:p>
        </w:tc>
        <w:tc>
          <w:tcPr>
            <w:tcW w:w="6611" w:type="dxa"/>
            <w:vAlign w:val="center"/>
          </w:tcPr>
          <w:p w14:paraId="5A1AF479"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Honey soap, creams, lip balm, wound ointments</w:t>
            </w:r>
          </w:p>
        </w:tc>
      </w:tr>
      <w:tr w:rsidR="00BF3C35" w:rsidRPr="00A75138" w14:paraId="2E08038B" w14:textId="77777777" w:rsidTr="00BF3C35">
        <w:tc>
          <w:tcPr>
            <w:tcW w:w="2405" w:type="dxa"/>
            <w:vAlign w:val="center"/>
          </w:tcPr>
          <w:p w14:paraId="4240CCA8"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lastRenderedPageBreak/>
              <w:t>Industrial Uses</w:t>
            </w:r>
          </w:p>
        </w:tc>
        <w:tc>
          <w:tcPr>
            <w:tcW w:w="6611" w:type="dxa"/>
            <w:vAlign w:val="center"/>
          </w:tcPr>
          <w:p w14:paraId="4AF82DF6"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Beeswax candles, polishes, food coatings, lubricants</w:t>
            </w:r>
          </w:p>
        </w:tc>
      </w:tr>
    </w:tbl>
    <w:p w14:paraId="521503BD" w14:textId="4749D1BA" w:rsidR="006F2DEC" w:rsidRPr="00A75138" w:rsidRDefault="005C5536" w:rsidP="00FC520E">
      <w:pPr>
        <w:spacing w:after="0" w:line="360" w:lineRule="auto"/>
        <w:jc w:val="both"/>
        <w:rPr>
          <w:rFonts w:ascii="Arial" w:hAnsi="Arial" w:cs="Arial"/>
          <w:sz w:val="20"/>
          <w:szCs w:val="18"/>
        </w:rPr>
      </w:pPr>
      <w:r w:rsidRPr="00A75138">
        <w:rPr>
          <w:rFonts w:ascii="Arial" w:hAnsi="Arial" w:cs="Arial"/>
          <w:sz w:val="20"/>
          <w:szCs w:val="18"/>
        </w:rPr>
        <w:t>Honey processing technique used in small scale</w:t>
      </w:r>
      <w:r w:rsidR="006C50F0" w:rsidRPr="00A75138">
        <w:rPr>
          <w:rFonts w:ascii="Arial" w:hAnsi="Arial" w:cs="Arial"/>
          <w:sz w:val="20"/>
          <w:szCs w:val="18"/>
        </w:rPr>
        <w:t xml:space="preserve"> rural area involves several integrated operations such as extraction, purification, dehumidification, liquefaction, heating, pasteurization, and packaging</w:t>
      </w:r>
      <w:r w:rsidR="00BD0209" w:rsidRPr="00A75138">
        <w:rPr>
          <w:rFonts w:ascii="Arial" w:hAnsi="Arial" w:cs="Arial"/>
          <w:sz w:val="20"/>
          <w:szCs w:val="18"/>
        </w:rPr>
        <w:fldChar w:fldCharType="begin" w:fldLock="1"/>
      </w:r>
      <w:r w:rsidR="00BD0209" w:rsidRPr="00A75138">
        <w:rPr>
          <w:rFonts w:ascii="Arial" w:hAnsi="Arial" w:cs="Arial"/>
          <w:sz w:val="20"/>
          <w:szCs w:val="18"/>
        </w:rPr>
        <w:instrText>ADDIN CSL_CITATION {"citationItems":[{"id":"ITEM-1","itemData":{"DOI":"10.1080/10942910600981708","ISSN":"10942912","abstract":"Thermal processing of honey eliminates the microorganisms responsible for spoilage. Microwave heating, infrared heating, ultrasound processing, and membrane processing have been explored as alternatives to conventional heat processing. Microwave heating provides a rapid method for achieving the desired level of yeast reduction with reduced thermal damage. Infrared heating is not as rapid as microwave heating but desired results are achieved in a relatively shorter duration (3 to 4 minutes) compared to the conventional method. Membrane processing is an athermal process and very effective in the complete removal of yeast cells from honey. Microfiltration and ultrafiltration could be employed to produce enzyme-enriched honey besides clarified honey.","author":[{"dropping-particle":"","family":"Subramanian","given":"R.","non-dropping-particle":"","parse-names":false,"suffix":""},{"dropping-particle":"","family":"Hebbar","given":"H. Umesh","non-dropping-particle":"","parse-names":false,"suffix":""},{"dropping-particle":"","family":"Rastogi","given":"N. K.","non-dropping-particle":"","parse-names":false,"suffix":""}],"container-title":"International Journal of Food Properties","id":"ITEM-1","issue":"1","issued":{"date-parts":[["2007"]]},"page":"127-143","title":"Processing of honey: A review","type":"article-journal","volume":"10"},"uris":["http://www.mendeley.com/documents/?uuid=93de49dc-dfd0-4876-b38c-56dc570bdfab"]}],"mendeley":{"formattedCitation":"(Subramanian et al., 2007)","plainTextFormattedCitation":"(Subramanian et al., 2007)","previouslyFormattedCitation":"(Subramanian et al., 2007)"},"properties":{"noteIndex":0},"schema":"https://github.com/citation-style-language/schema/raw/master/csl-citation.json"}</w:instrText>
      </w:r>
      <w:r w:rsidR="00BD0209" w:rsidRPr="00A75138">
        <w:rPr>
          <w:rFonts w:ascii="Arial" w:hAnsi="Arial" w:cs="Arial"/>
          <w:sz w:val="20"/>
          <w:szCs w:val="18"/>
        </w:rPr>
        <w:fldChar w:fldCharType="separate"/>
      </w:r>
      <w:r w:rsidR="00BD0209" w:rsidRPr="00A75138">
        <w:rPr>
          <w:rFonts w:ascii="Arial" w:hAnsi="Arial" w:cs="Arial"/>
          <w:noProof/>
          <w:sz w:val="20"/>
          <w:szCs w:val="18"/>
        </w:rPr>
        <w:t xml:space="preserve">(Subramanian </w:t>
      </w:r>
      <w:r w:rsidR="00BD0209" w:rsidRPr="00A75138">
        <w:rPr>
          <w:rFonts w:ascii="Arial" w:hAnsi="Arial" w:cs="Arial"/>
          <w:i/>
          <w:iCs/>
          <w:noProof/>
          <w:sz w:val="20"/>
          <w:szCs w:val="18"/>
        </w:rPr>
        <w:t>et al.,</w:t>
      </w:r>
      <w:r w:rsidR="00BD0209" w:rsidRPr="00A75138">
        <w:rPr>
          <w:rFonts w:ascii="Arial" w:hAnsi="Arial" w:cs="Arial"/>
          <w:noProof/>
          <w:sz w:val="20"/>
          <w:szCs w:val="18"/>
        </w:rPr>
        <w:t xml:space="preserve"> 2007)</w:t>
      </w:r>
      <w:r w:rsidR="00BD0209" w:rsidRPr="00A75138">
        <w:rPr>
          <w:rFonts w:ascii="Arial" w:hAnsi="Arial" w:cs="Arial"/>
          <w:sz w:val="20"/>
          <w:szCs w:val="18"/>
        </w:rPr>
        <w:fldChar w:fldCharType="end"/>
      </w:r>
      <w:r w:rsidR="006C50F0" w:rsidRPr="00A75138">
        <w:rPr>
          <w:rFonts w:ascii="Arial" w:hAnsi="Arial" w:cs="Arial"/>
          <w:sz w:val="20"/>
          <w:szCs w:val="18"/>
        </w:rPr>
        <w:t xml:space="preserve">. In the conventional thermal process, honey is first extracted from combs using centrifugal force, usually in temperature-controlled rooms to facilitate flow. The extracted honey then undergoes purification through decanting and filtration to remove wax, air bubbles, and other impurities. In cases where moisture content exceeds 18.5%, dehumidification is carried </w:t>
      </w:r>
      <w:r w:rsidR="00B23DA6" w:rsidRPr="00A75138">
        <w:rPr>
          <w:rFonts w:ascii="Arial" w:hAnsi="Arial" w:cs="Arial"/>
          <w:sz w:val="20"/>
          <w:szCs w:val="18"/>
        </w:rPr>
        <w:t>out by circulating warm air (32-35°C) for 12-</w:t>
      </w:r>
      <w:r w:rsidR="006C50F0" w:rsidRPr="00A75138">
        <w:rPr>
          <w:rFonts w:ascii="Arial" w:hAnsi="Arial" w:cs="Arial"/>
          <w:sz w:val="20"/>
          <w:szCs w:val="18"/>
        </w:rPr>
        <w:t>36 hours to reduce water activity and prevent fermentation. Novel techniques used in honey processing include microwave heating, infrared heating, ultrasound treatment, and membrane processing, which help preserve the natural quality and functional properties of honey</w:t>
      </w:r>
      <w:r w:rsidR="00BD0209" w:rsidRPr="00A75138">
        <w:rPr>
          <w:rFonts w:ascii="Arial" w:hAnsi="Arial" w:cs="Arial"/>
          <w:sz w:val="20"/>
          <w:szCs w:val="18"/>
        </w:rPr>
        <w:t xml:space="preserve"> </w:t>
      </w:r>
      <w:r w:rsidR="00BD0209" w:rsidRPr="00A75138">
        <w:rPr>
          <w:rFonts w:ascii="Arial" w:hAnsi="Arial" w:cs="Arial"/>
          <w:sz w:val="20"/>
          <w:szCs w:val="18"/>
        </w:rPr>
        <w:fldChar w:fldCharType="begin" w:fldLock="1"/>
      </w:r>
      <w:r w:rsidR="00461C2B" w:rsidRPr="00A75138">
        <w:rPr>
          <w:rFonts w:ascii="Arial" w:hAnsi="Arial" w:cs="Arial"/>
          <w:sz w:val="20"/>
          <w:szCs w:val="18"/>
        </w:rPr>
        <w:instrText>ADDIN CSL_CITATION {"citationItems":[{"id":"ITEM-1","itemData":{"DOI":"10.1007/978-3-319-65751-6_2","ISBN":"9783319657516","abstract":"The industry of honeys is not a simple sequential chain of processing operations, although the normal consumer may consider it in this way. Each processing step is the answer to peculiar problems concerning the physicochemical and biological features of different...","author":[{"dropping-particle":"","family":"Baglio","given":"Ettore","non-dropping-particle":"","parse-names":false,"suffix":""}],"id":"ITEM-1","issued":{"date-parts":[["2018"]]},"page":"15-22","title":"Honey: Processing Techniques and Treatments","type":"article-journal"},"uris":["http://www.mendeley.com/documents/?uuid=d67e5051-4ab2-4fec-b632-331f7cce6ddc"]}],"mendeley":{"formattedCitation":"(Baglio, 2018)","plainTextFormattedCitation":"(Baglio, 2018)","previouslyFormattedCitation":"(Baglio, 2018)"},"properties":{"noteIndex":0},"schema":"https://github.com/citation-style-language/schema/raw/master/csl-citation.json"}</w:instrText>
      </w:r>
      <w:r w:rsidR="00BD0209" w:rsidRPr="00A75138">
        <w:rPr>
          <w:rFonts w:ascii="Arial" w:hAnsi="Arial" w:cs="Arial"/>
          <w:sz w:val="20"/>
          <w:szCs w:val="18"/>
        </w:rPr>
        <w:fldChar w:fldCharType="separate"/>
      </w:r>
      <w:r w:rsidR="00BD0209" w:rsidRPr="00A75138">
        <w:rPr>
          <w:rFonts w:ascii="Arial" w:hAnsi="Arial" w:cs="Arial"/>
          <w:noProof/>
          <w:sz w:val="20"/>
          <w:szCs w:val="18"/>
        </w:rPr>
        <w:t>(Baglio, 2018)</w:t>
      </w:r>
      <w:r w:rsidR="00BD0209" w:rsidRPr="00A75138">
        <w:rPr>
          <w:rFonts w:ascii="Arial" w:hAnsi="Arial" w:cs="Arial"/>
          <w:sz w:val="20"/>
          <w:szCs w:val="18"/>
        </w:rPr>
        <w:fldChar w:fldCharType="end"/>
      </w:r>
      <w:r w:rsidR="006C50F0" w:rsidRPr="00A75138">
        <w:rPr>
          <w:rFonts w:ascii="Arial" w:hAnsi="Arial" w:cs="Arial"/>
          <w:sz w:val="20"/>
          <w:szCs w:val="18"/>
        </w:rPr>
        <w:t>.</w:t>
      </w:r>
      <w:r w:rsidR="008572D8" w:rsidRPr="00A75138">
        <w:rPr>
          <w:rFonts w:ascii="Arial" w:hAnsi="Arial" w:cs="Arial"/>
          <w:sz w:val="20"/>
          <w:szCs w:val="18"/>
        </w:rPr>
        <w:t xml:space="preserve"> Honey processing and related entrepreneurial initiatives have notably enhanced the socio-economic status of rural communities by providing sustainable employment and income opportunities. In Punjab, the establishment of the </w:t>
      </w:r>
      <w:proofErr w:type="spellStart"/>
      <w:r w:rsidR="008572D8" w:rsidRPr="00A75138">
        <w:rPr>
          <w:rFonts w:ascii="Arial" w:hAnsi="Arial" w:cs="Arial"/>
          <w:sz w:val="20"/>
          <w:szCs w:val="18"/>
        </w:rPr>
        <w:t>Tungwali</w:t>
      </w:r>
      <w:proofErr w:type="spellEnd"/>
      <w:r w:rsidR="008572D8" w:rsidRPr="00A75138">
        <w:rPr>
          <w:rFonts w:ascii="Arial" w:hAnsi="Arial" w:cs="Arial"/>
          <w:sz w:val="20"/>
          <w:szCs w:val="18"/>
        </w:rPr>
        <w:t xml:space="preserve"> Beekeepers Cooperative Society</w:t>
      </w:r>
      <w:r w:rsidR="006F2DEC" w:rsidRPr="00A75138">
        <w:rPr>
          <w:rFonts w:ascii="Arial" w:hAnsi="Arial" w:cs="Arial"/>
          <w:sz w:val="20"/>
          <w:szCs w:val="18"/>
        </w:rPr>
        <w:t xml:space="preserve"> fig 2</w:t>
      </w:r>
      <w:r w:rsidR="008572D8" w:rsidRPr="00A75138">
        <w:rPr>
          <w:rFonts w:ascii="Arial" w:hAnsi="Arial" w:cs="Arial"/>
          <w:sz w:val="20"/>
          <w:szCs w:val="18"/>
        </w:rPr>
        <w:t>, a special purpose vehicle (SPV) partially funded through a central subsidy, began operations in September 2021 with a honey processing capacity exceeding four tonnes per day. The unit achieved a turnover of ₹1.50 crore, with a total project cost of ₹2.72 crore, comprising ₹68 lakh as private investment and the rema</w:t>
      </w:r>
      <w:r w:rsidR="00461C2B" w:rsidRPr="00A75138">
        <w:rPr>
          <w:rFonts w:ascii="Arial" w:hAnsi="Arial" w:cs="Arial"/>
          <w:sz w:val="20"/>
          <w:szCs w:val="18"/>
        </w:rPr>
        <w:t xml:space="preserve">inder through government </w:t>
      </w:r>
      <w:r w:rsidR="00712823" w:rsidRPr="00A75138">
        <w:rPr>
          <w:rFonts w:ascii="Arial" w:hAnsi="Arial" w:cs="Arial"/>
          <w:sz w:val="20"/>
          <w:szCs w:val="18"/>
        </w:rPr>
        <w:t xml:space="preserve">support </w:t>
      </w:r>
      <w:r w:rsidR="006F5219" w:rsidRPr="00A75138">
        <w:rPr>
          <w:rFonts w:ascii="Arial" w:hAnsi="Arial" w:cs="Arial"/>
          <w:sz w:val="20"/>
          <w:szCs w:val="18"/>
        </w:rPr>
        <w:fldChar w:fldCharType="begin" w:fldLock="1"/>
      </w:r>
      <w:r w:rsidR="006F5219" w:rsidRPr="00A75138">
        <w:rPr>
          <w:rFonts w:ascii="Arial" w:hAnsi="Arial" w:cs="Arial"/>
          <w:sz w:val="20"/>
          <w:szCs w:val="18"/>
        </w:rPr>
        <w:instrText>ADDIN CSL_CITATION {"citationItems":[{"id":"ITEM-1","itemData":{"ISBN":"1016617136413","author":[{"dropping-particle":"","family":"Joshi","given":"Vishal","non-dropping-particle":"","parse-names":false,"suffix":""}],"id":"ITEM-1","issued":{"date-parts":[["2022"]]},"page":"29-31","title":"Punjab ’ s maiden honey processing unit brings sweet rewards","type":"article-journal"},"uris":["http://www.mendeley.com/documents/?uuid=bed42f26-c53d-4859-b595-a8a76df6dde7"]}],"mendeley":{"formattedCitation":"(Joshi, 2022)","plainTextFormattedCitation":"(Joshi, 2022)","previouslyFormattedCitation":"(Joshi, 2022)"},"properties":{"noteIndex":0},"schema":"https://github.com/citation-style-language/schema/raw/master/csl-citation.json"}</w:instrText>
      </w:r>
      <w:r w:rsidR="006F5219" w:rsidRPr="00A75138">
        <w:rPr>
          <w:rFonts w:ascii="Arial" w:hAnsi="Arial" w:cs="Arial"/>
          <w:sz w:val="20"/>
          <w:szCs w:val="18"/>
        </w:rPr>
        <w:fldChar w:fldCharType="separate"/>
      </w:r>
      <w:r w:rsidR="006F5219" w:rsidRPr="00A75138">
        <w:rPr>
          <w:rFonts w:ascii="Arial" w:hAnsi="Arial" w:cs="Arial"/>
          <w:noProof/>
          <w:sz w:val="20"/>
          <w:szCs w:val="18"/>
        </w:rPr>
        <w:t>(Joshi, 2022)</w:t>
      </w:r>
      <w:r w:rsidR="006F5219" w:rsidRPr="00A75138">
        <w:rPr>
          <w:rFonts w:ascii="Arial" w:hAnsi="Arial" w:cs="Arial"/>
          <w:sz w:val="20"/>
          <w:szCs w:val="18"/>
        </w:rPr>
        <w:fldChar w:fldCharType="end"/>
      </w:r>
      <w:r w:rsidR="008572D8" w:rsidRPr="00A75138">
        <w:rPr>
          <w:rFonts w:ascii="Arial" w:hAnsi="Arial" w:cs="Arial"/>
          <w:sz w:val="20"/>
          <w:szCs w:val="18"/>
        </w:rPr>
        <w:t>. In North Chhattisgarh, women from the Raksha Self-Help Group, after receiving technical training in beekeeping, produced 90 kg of wild honey in two batches, generating ₹27,000 in revenue and fostering rural women’s empowerment</w:t>
      </w:r>
      <w:r w:rsidR="006F5219" w:rsidRPr="00A75138">
        <w:rPr>
          <w:rFonts w:ascii="Arial" w:hAnsi="Arial" w:cs="Arial"/>
          <w:sz w:val="20"/>
          <w:szCs w:val="18"/>
        </w:rPr>
        <w:t xml:space="preserve"> </w:t>
      </w:r>
      <w:r w:rsidR="008639B2">
        <w:rPr>
          <w:rFonts w:ascii="Arial" w:hAnsi="Arial" w:cs="Arial"/>
          <w:sz w:val="20"/>
          <w:szCs w:val="18"/>
        </w:rPr>
        <w:fldChar w:fldCharType="begin" w:fldLock="1"/>
      </w:r>
      <w:r w:rsidR="001D4067">
        <w:rPr>
          <w:rFonts w:ascii="Arial" w:hAnsi="Arial" w:cs="Arial"/>
          <w:sz w:val="20"/>
          <w:szCs w:val="18"/>
        </w:rPr>
        <w:instrText>ADDIN CSL_CITATION {"citationItems":[{"id":"ITEM-1","itemData":{"DOI":"10.34293/economics.v8i2.1632","ISSN":"2582-0192","abstract":"In this paper, we explain honey production and marketing of the Marthandam Beekeepers Co-Operative Society in Kanniyakumari District. Honey is a sweet, liquid produced by honey bees from nectars and other sweet substances of plants by the addition of their digestive enzymes and by ripening the resulting mixture. The variety of honey produced by honey bees is the best known, due to its worldwide commercial production and human consumption. Data for the present study has been collected from primary sources of information. Hence, the Martandam Bee-keepers Co-operative Society, which faces production and marketing problems, should be rejuvenated and refurbished.","author":[{"dropping-particle":"","family":"Beula","given":"K","non-dropping-particle":"","parse-names":false,"suffix":""},{"dropping-particle":"","family":"Anandhy","given":"A","non-dropping-particle":"","parse-names":false,"suffix":""}],"container-title":"Shanlax International Journal of Economics","id":"ITEM-1","issue":"2","issued":{"date-parts":[["2020","3","1"]]},"page":"33-40","title":"A Study on Honey Production and Marketing by the Marthandam Beekeepers’ Co-Operative Society in Kanniyakumari District","type":"article-journal","volume":"8"},"uris":["http://www.mendeley.com/documents/?uuid=d74407c2-5e80-4d52-8069-b161cc51a174"]}],"mendeley":{"formattedCitation":"(Beula &amp; Anandhy, 2020)","plainTextFormattedCitation":"(Beula &amp; Anandhy, 2020)","previouslyFormattedCitation":"(Beula &amp; Anandhy, 2020)"},"properties":{"noteIndex":0},"schema":"https://github.com/citation-style-language/schema/raw/master/csl-citation.json"}</w:instrText>
      </w:r>
      <w:r w:rsidR="008639B2">
        <w:rPr>
          <w:rFonts w:ascii="Arial" w:hAnsi="Arial" w:cs="Arial"/>
          <w:sz w:val="20"/>
          <w:szCs w:val="18"/>
        </w:rPr>
        <w:fldChar w:fldCharType="separate"/>
      </w:r>
      <w:r w:rsidR="008639B2" w:rsidRPr="008639B2">
        <w:rPr>
          <w:rFonts w:ascii="Arial" w:hAnsi="Arial" w:cs="Arial"/>
          <w:noProof/>
          <w:sz w:val="20"/>
          <w:szCs w:val="18"/>
        </w:rPr>
        <w:t>(Beula &amp; Anandhy, 2020)</w:t>
      </w:r>
      <w:r w:rsidR="008639B2">
        <w:rPr>
          <w:rFonts w:ascii="Arial" w:hAnsi="Arial" w:cs="Arial"/>
          <w:sz w:val="20"/>
          <w:szCs w:val="18"/>
        </w:rPr>
        <w:fldChar w:fldCharType="end"/>
      </w:r>
      <w:r w:rsidR="00461C2B" w:rsidRPr="00A75138">
        <w:rPr>
          <w:rFonts w:ascii="Arial" w:hAnsi="Arial" w:cs="Arial"/>
          <w:sz w:val="20"/>
          <w:szCs w:val="18"/>
        </w:rPr>
        <w:t xml:space="preserve">. </w:t>
      </w:r>
      <w:r w:rsidR="008572D8" w:rsidRPr="00A75138">
        <w:rPr>
          <w:rFonts w:ascii="Arial" w:hAnsi="Arial" w:cs="Arial"/>
          <w:sz w:val="20"/>
          <w:szCs w:val="18"/>
        </w:rPr>
        <w:t>Similarly, in West Bengal, individual entrepreneurs, such as Chaya Mondal, have demonstrated the viability of beekeeping-based enterprises through the sale of honey and high-value bee products like</w:t>
      </w:r>
      <w:r w:rsidR="008639B2">
        <w:rPr>
          <w:rFonts w:ascii="Arial" w:hAnsi="Arial" w:cs="Arial"/>
          <w:sz w:val="20"/>
          <w:szCs w:val="18"/>
        </w:rPr>
        <w:t xml:space="preserve"> </w:t>
      </w:r>
      <w:r w:rsidR="006F2DEC" w:rsidRPr="00A75138">
        <w:rPr>
          <w:rFonts w:ascii="Arial" w:hAnsi="Arial" w:cs="Arial"/>
          <w:sz w:val="20"/>
          <w:szCs w:val="18"/>
        </w:rPr>
        <w:t>bee</w:t>
      </w:r>
      <w:r w:rsidR="001D4067">
        <w:rPr>
          <w:rFonts w:ascii="Arial" w:hAnsi="Arial" w:cs="Arial"/>
          <w:sz w:val="20"/>
          <w:szCs w:val="18"/>
        </w:rPr>
        <w:t xml:space="preserve">swax and royal jelly </w:t>
      </w:r>
      <w:r w:rsidR="001D4067">
        <w:rPr>
          <w:rFonts w:ascii="Arial" w:hAnsi="Arial" w:cs="Arial"/>
          <w:sz w:val="20"/>
          <w:szCs w:val="18"/>
        </w:rPr>
        <w:fldChar w:fldCharType="begin" w:fldLock="1"/>
      </w:r>
      <w:r w:rsidR="001D4067">
        <w:rPr>
          <w:rFonts w:ascii="Arial" w:hAnsi="Arial" w:cs="Arial"/>
          <w:sz w:val="20"/>
          <w:szCs w:val="18"/>
        </w:rPr>
        <w:instrText>ADDIN CSL_CITATION {"citationItems":[{"id":"ITEM-1","itemData":{"author":[{"dropping-particle":"","family":"Roy","given":"Anisha","non-dropping-particle":"","parse-names":false,"suffix":""}],"id":"ITEM-1","issued":{"date-parts":[["2024"]]},"page":"1-5","title":"This Bengal woman shows there ’ s money in","type":"article-journal"},"uris":["http://www.mendeley.com/documents/?uuid=a69f96d0-d727-44cf-83c0-6152f44402d1"]}],"mendeley":{"formattedCitation":"(Roy, 2024)","plainTextFormattedCitation":"(Roy, 2024)","previouslyFormattedCitation":"(Roy, 2024)"},"properties":{"noteIndex":0},"schema":"https://github.com/citation-style-language/schema/raw/master/csl-citation.json"}</w:instrText>
      </w:r>
      <w:r w:rsidR="001D4067">
        <w:rPr>
          <w:rFonts w:ascii="Arial" w:hAnsi="Arial" w:cs="Arial"/>
          <w:sz w:val="20"/>
          <w:szCs w:val="18"/>
        </w:rPr>
        <w:fldChar w:fldCharType="separate"/>
      </w:r>
      <w:r w:rsidR="001D4067" w:rsidRPr="001D4067">
        <w:rPr>
          <w:rFonts w:ascii="Arial" w:hAnsi="Arial" w:cs="Arial"/>
          <w:noProof/>
          <w:sz w:val="20"/>
          <w:szCs w:val="18"/>
        </w:rPr>
        <w:t>(Roy, 2024)</w:t>
      </w:r>
      <w:r w:rsidR="001D4067">
        <w:rPr>
          <w:rFonts w:ascii="Arial" w:hAnsi="Arial" w:cs="Arial"/>
          <w:sz w:val="20"/>
          <w:szCs w:val="18"/>
        </w:rPr>
        <w:fldChar w:fldCharType="end"/>
      </w:r>
      <w:r w:rsidR="006F2DEC" w:rsidRPr="00A75138">
        <w:rPr>
          <w:rFonts w:ascii="Arial" w:hAnsi="Arial" w:cs="Arial"/>
          <w:sz w:val="20"/>
          <w:szCs w:val="18"/>
        </w:rPr>
        <w:t xml:space="preserve">. Cooperative models, including those in South 24 </w:t>
      </w:r>
      <w:r w:rsidR="003D1D41" w:rsidRPr="00A75138">
        <w:rPr>
          <w:rFonts w:ascii="Arial" w:hAnsi="Arial" w:cs="Arial"/>
          <w:sz w:val="20"/>
          <w:szCs w:val="18"/>
        </w:rPr>
        <w:t>Parganas, further exemplify the potential of honey processing as a sustainable source of livelihood in rural economies.</w:t>
      </w:r>
    </w:p>
    <w:p w14:paraId="20A9E1D8" w14:textId="77777777" w:rsidR="009901C3" w:rsidRPr="00A75138" w:rsidRDefault="009901C3" w:rsidP="003D1D41">
      <w:pPr>
        <w:spacing w:before="240" w:after="0" w:line="360" w:lineRule="auto"/>
        <w:jc w:val="both"/>
        <w:rPr>
          <w:rFonts w:ascii="Arial" w:hAnsi="Arial" w:cs="Arial"/>
          <w:sz w:val="20"/>
          <w:szCs w:val="18"/>
        </w:rPr>
      </w:pPr>
    </w:p>
    <w:p w14:paraId="55724089" w14:textId="77777777" w:rsidR="001D4067" w:rsidRDefault="001D4067" w:rsidP="003D1D41">
      <w:pPr>
        <w:spacing w:before="240" w:after="0" w:line="360" w:lineRule="auto"/>
        <w:jc w:val="both"/>
        <w:rPr>
          <w:rFonts w:ascii="Arial" w:hAnsi="Arial" w:cs="Arial"/>
          <w:sz w:val="20"/>
          <w:szCs w:val="18"/>
        </w:rPr>
      </w:pPr>
    </w:p>
    <w:p w14:paraId="06B6A01E" w14:textId="7F6D5C26" w:rsidR="009901C3" w:rsidRPr="00A75138" w:rsidRDefault="00181198" w:rsidP="003D1D41">
      <w:pPr>
        <w:spacing w:before="240" w:after="0" w:line="360" w:lineRule="auto"/>
        <w:jc w:val="both"/>
        <w:rPr>
          <w:rFonts w:ascii="Arial" w:hAnsi="Arial" w:cs="Arial"/>
          <w:sz w:val="20"/>
          <w:szCs w:val="18"/>
        </w:rPr>
      </w:pPr>
      <w:r>
        <w:rPr>
          <w:rFonts w:ascii="Arial" w:hAnsi="Arial" w:cs="Arial"/>
          <w:noProof/>
          <w:lang w:eastAsia="en-IN"/>
        </w:rPr>
        <w:lastRenderedPageBreak/>
        <mc:AlternateContent>
          <mc:Choice Requires="wps">
            <w:drawing>
              <wp:anchor distT="0" distB="0" distL="114300" distR="114300" simplePos="0" relativeHeight="251665408" behindDoc="0" locked="0" layoutInCell="1" allowOverlap="1" wp14:anchorId="217528CD" wp14:editId="00BD63FF">
                <wp:simplePos x="0" y="0"/>
                <wp:positionH relativeFrom="column">
                  <wp:posOffset>3615070</wp:posOffset>
                </wp:positionH>
                <wp:positionV relativeFrom="paragraph">
                  <wp:posOffset>951614</wp:posOffset>
                </wp:positionV>
                <wp:extent cx="287079" cy="127591"/>
                <wp:effectExtent l="0" t="0" r="17780" b="25400"/>
                <wp:wrapNone/>
                <wp:docPr id="1929702098" name="Oval 1"/>
                <wp:cNvGraphicFramePr/>
                <a:graphic xmlns:a="http://schemas.openxmlformats.org/drawingml/2006/main">
                  <a:graphicData uri="http://schemas.microsoft.com/office/word/2010/wordprocessingShape">
                    <wps:wsp>
                      <wps:cNvSpPr/>
                      <wps:spPr>
                        <a:xfrm>
                          <a:off x="0" y="0"/>
                          <a:ext cx="287079" cy="127591"/>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2B4A381" id="Oval 1" o:spid="_x0000_s1026" style="position:absolute;margin-left:284.65pt;margin-top:74.95pt;width:22.6pt;height:10.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949XQIAABUFAAAOAAAAZHJzL2Uyb0RvYy54bWysVFFP2zAQfp+0/2D5fSSpYIW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" fillcolor="#5b9bd5 [3204]" strokecolor="#091723 [484]" strokeweight="1pt">
                <v:stroke joinstyle="miter"/>
              </v:oval>
            </w:pict>
          </mc:Fallback>
        </mc:AlternateContent>
      </w:r>
      <w:r w:rsidR="001D4067" w:rsidRPr="00A75138">
        <w:rPr>
          <w:rFonts w:ascii="Arial" w:hAnsi="Arial" w:cs="Arial"/>
          <w:noProof/>
          <w:lang w:eastAsia="en-IN"/>
        </w:rPr>
        <w:drawing>
          <wp:anchor distT="0" distB="0" distL="114300" distR="114300" simplePos="0" relativeHeight="251659264" behindDoc="0" locked="0" layoutInCell="1" allowOverlap="1" wp14:anchorId="4922183A" wp14:editId="4AB1B97B">
            <wp:simplePos x="0" y="0"/>
            <wp:positionH relativeFrom="page">
              <wp:posOffset>2839720</wp:posOffset>
            </wp:positionH>
            <wp:positionV relativeFrom="paragraph">
              <wp:posOffset>371475</wp:posOffset>
            </wp:positionV>
            <wp:extent cx="4221480" cy="2941320"/>
            <wp:effectExtent l="0" t="0" r="7620" b="0"/>
            <wp:wrapThrough wrapText="bothSides">
              <wp:wrapPolygon edited="0">
                <wp:start x="0" y="0"/>
                <wp:lineTo x="0" y="21404"/>
                <wp:lineTo x="21542" y="21404"/>
                <wp:lineTo x="21542" y="0"/>
                <wp:lineTo x="0" y="0"/>
              </wp:wrapPolygon>
            </wp:wrapThrough>
            <wp:docPr id="4" name="Picture 4" descr="Punjab's maiden honey processing unit brings sweet rewards | Hindustan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njab's maiden honey processing unit brings sweet rewards | Hindustan Times"/>
                    <pic:cNvPicPr>
                      <a:picLocks noChangeAspect="1" noChangeArrowheads="1"/>
                    </pic:cNvPicPr>
                  </pic:nvPicPr>
                  <pic:blipFill rotWithShape="1">
                    <a:blip r:embed="rId10">
                      <a:extLst>
                        <a:ext uri="{28A0092B-C50C-407E-A947-70E740481C1C}">
                          <a14:useLocalDpi xmlns:a14="http://schemas.microsoft.com/office/drawing/2010/main" val="0"/>
                        </a:ext>
                      </a:extLst>
                    </a:blip>
                    <a:srcRect l="7703" r="7994"/>
                    <a:stretch/>
                  </pic:blipFill>
                  <pic:spPr bwMode="auto">
                    <a:xfrm>
                      <a:off x="0" y="0"/>
                      <a:ext cx="4221480" cy="2941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D4067" w:rsidRPr="00A75138">
        <w:rPr>
          <w:rFonts w:ascii="Arial" w:hAnsi="Arial" w:cs="Arial"/>
          <w:noProof/>
          <w:lang w:eastAsia="en-IN"/>
        </w:rPr>
        <w:drawing>
          <wp:anchor distT="0" distB="0" distL="114300" distR="114300" simplePos="0" relativeHeight="251658240" behindDoc="0" locked="0" layoutInCell="1" allowOverlap="1" wp14:anchorId="227D6785" wp14:editId="0041D872">
            <wp:simplePos x="0" y="0"/>
            <wp:positionH relativeFrom="margin">
              <wp:align>left</wp:align>
            </wp:positionH>
            <wp:positionV relativeFrom="paragraph">
              <wp:posOffset>384810</wp:posOffset>
            </wp:positionV>
            <wp:extent cx="1912620" cy="2941320"/>
            <wp:effectExtent l="0" t="0" r="0" b="0"/>
            <wp:wrapThrough wrapText="bothSides">
              <wp:wrapPolygon edited="0">
                <wp:start x="0" y="0"/>
                <wp:lineTo x="0" y="21404"/>
                <wp:lineTo x="21299" y="21404"/>
                <wp:lineTo x="21299" y="0"/>
                <wp:lineTo x="0" y="0"/>
              </wp:wrapPolygon>
            </wp:wrapThrough>
            <wp:docPr id="1" name="Picture 1" descr="Honey Processing Plant, For Industrial, Capacity: 50 kg / B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ney Processing Plant, For Industrial, Capacity: 50 kg / Bat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2620" cy="2941320"/>
                    </a:xfrm>
                    <a:prstGeom prst="rect">
                      <a:avLst/>
                    </a:prstGeom>
                    <a:noFill/>
                    <a:ln>
                      <a:noFill/>
                    </a:ln>
                  </pic:spPr>
                </pic:pic>
              </a:graphicData>
            </a:graphic>
            <wp14:sizeRelV relativeFrom="margin">
              <wp14:pctHeight>0</wp14:pctHeight>
            </wp14:sizeRelV>
          </wp:anchor>
        </w:drawing>
      </w:r>
    </w:p>
    <w:p w14:paraId="7DD5DEBD" w14:textId="37570D36" w:rsidR="006F2DEC" w:rsidRPr="00A75138" w:rsidRDefault="006F2DEC" w:rsidP="003D1D41">
      <w:pPr>
        <w:spacing w:before="240" w:after="0" w:line="360" w:lineRule="auto"/>
        <w:jc w:val="both"/>
        <w:rPr>
          <w:rFonts w:ascii="Arial" w:hAnsi="Arial" w:cs="Arial"/>
          <w:b/>
          <w:bCs/>
          <w:i/>
          <w:iCs/>
          <w:sz w:val="16"/>
          <w:szCs w:val="14"/>
        </w:rPr>
      </w:pPr>
      <w:r w:rsidRPr="00A75138">
        <w:rPr>
          <w:rFonts w:ascii="Arial" w:hAnsi="Arial" w:cs="Arial"/>
          <w:sz w:val="20"/>
          <w:szCs w:val="18"/>
        </w:rPr>
        <w:t>Fig 2. Honey processing Unit and honey processor of Punjab</w:t>
      </w:r>
      <w:r w:rsidRPr="00A75138">
        <w:rPr>
          <w:rFonts w:ascii="Arial" w:hAnsi="Arial" w:cs="Arial"/>
          <w:i/>
          <w:iCs/>
        </w:rPr>
        <w:t xml:space="preserve">. </w:t>
      </w:r>
      <w:r w:rsidRPr="00A75138">
        <w:rPr>
          <w:rFonts w:ascii="Arial" w:hAnsi="Arial" w:cs="Arial"/>
          <w:b/>
          <w:bCs/>
          <w:i/>
          <w:iCs/>
          <w:sz w:val="16"/>
          <w:szCs w:val="14"/>
        </w:rPr>
        <w:t>Image source:</w:t>
      </w:r>
      <w:r w:rsidRPr="00A75138">
        <w:rPr>
          <w:rFonts w:ascii="Arial" w:hAnsi="Arial" w:cs="Arial"/>
          <w:b/>
          <w:bCs/>
          <w:i/>
          <w:iCs/>
          <w:sz w:val="14"/>
          <w:szCs w:val="12"/>
        </w:rPr>
        <w:t xml:space="preserve"> </w:t>
      </w:r>
      <w:r w:rsidRPr="00A75138">
        <w:rPr>
          <w:rFonts w:ascii="Arial" w:hAnsi="Arial" w:cs="Arial"/>
          <w:b/>
          <w:bCs/>
          <w:i/>
          <w:iCs/>
          <w:sz w:val="16"/>
          <w:szCs w:val="14"/>
        </w:rPr>
        <w:t>Punjab State Cooperative Supply and Marketing Federation (</w:t>
      </w:r>
      <w:proofErr w:type="spellStart"/>
      <w:r w:rsidRPr="00A75138">
        <w:rPr>
          <w:rFonts w:ascii="Arial" w:hAnsi="Arial" w:cs="Arial"/>
          <w:b/>
          <w:bCs/>
          <w:i/>
          <w:iCs/>
          <w:sz w:val="16"/>
          <w:szCs w:val="14"/>
        </w:rPr>
        <w:t>Markfed</w:t>
      </w:r>
      <w:proofErr w:type="spellEnd"/>
      <w:r w:rsidRPr="00A75138">
        <w:rPr>
          <w:rFonts w:ascii="Arial" w:hAnsi="Arial" w:cs="Arial"/>
          <w:b/>
          <w:bCs/>
          <w:i/>
          <w:iCs/>
          <w:sz w:val="16"/>
          <w:szCs w:val="14"/>
        </w:rPr>
        <w:t>).</w:t>
      </w:r>
    </w:p>
    <w:p w14:paraId="27C0B4C0" w14:textId="624EA326" w:rsidR="00DD43F8" w:rsidRPr="00EB5B9D" w:rsidRDefault="00354432" w:rsidP="00C81016">
      <w:pPr>
        <w:pStyle w:val="ListParagraph"/>
        <w:numPr>
          <w:ilvl w:val="1"/>
          <w:numId w:val="6"/>
        </w:numPr>
        <w:spacing w:line="360" w:lineRule="auto"/>
        <w:jc w:val="both"/>
        <w:rPr>
          <w:rFonts w:ascii="Arial" w:hAnsi="Arial" w:cs="Arial"/>
          <w:b/>
          <w:bCs/>
          <w:szCs w:val="22"/>
        </w:rPr>
      </w:pPr>
      <w:r w:rsidRPr="00EB5B9D">
        <w:rPr>
          <w:rFonts w:ascii="Arial" w:hAnsi="Arial" w:cs="Arial"/>
          <w:b/>
          <w:bCs/>
          <w:szCs w:val="22"/>
        </w:rPr>
        <w:t>Dal processing using mini Dal mill and their impact on rural India</w:t>
      </w:r>
      <w:r w:rsidR="00DD43F8" w:rsidRPr="00EB5B9D">
        <w:rPr>
          <w:rFonts w:ascii="Arial" w:hAnsi="Arial" w:cs="Arial"/>
          <w:b/>
          <w:bCs/>
          <w:szCs w:val="22"/>
        </w:rPr>
        <w:t>.</w:t>
      </w:r>
    </w:p>
    <w:p w14:paraId="737331CA" w14:textId="0C628E0C" w:rsidR="00471A98" w:rsidRPr="00A75138" w:rsidRDefault="00DD43F8" w:rsidP="00471A98">
      <w:pPr>
        <w:pStyle w:val="ListParagraph"/>
        <w:spacing w:line="360" w:lineRule="auto"/>
        <w:ind w:left="0"/>
        <w:jc w:val="both"/>
        <w:rPr>
          <w:rFonts w:ascii="Arial" w:eastAsia="Times New Roman" w:hAnsi="Arial" w:cs="Arial"/>
          <w:sz w:val="20"/>
          <w:lang w:eastAsia="en-IN"/>
        </w:rPr>
      </w:pPr>
      <w:r w:rsidRPr="00A75138">
        <w:rPr>
          <w:rFonts w:ascii="Arial" w:eastAsia="Times New Roman" w:hAnsi="Arial" w:cs="Arial"/>
          <w:sz w:val="20"/>
          <w:lang w:eastAsia="en-IN"/>
        </w:rPr>
        <w:t xml:space="preserve">Pulse milling is a major food processing industry in India, second only to rice and wheat milling, converting an estimated 75% of the country's pulses into </w:t>
      </w:r>
      <w:r w:rsidRPr="00A75138">
        <w:rPr>
          <w:rFonts w:ascii="Arial" w:eastAsia="Times New Roman" w:hAnsi="Arial" w:cs="Arial"/>
          <w:i/>
          <w:iCs/>
          <w:sz w:val="20"/>
          <w:lang w:eastAsia="en-IN"/>
        </w:rPr>
        <w:t>dhal</w:t>
      </w:r>
      <w:r w:rsidRPr="00A75138">
        <w:rPr>
          <w:rFonts w:ascii="Arial" w:eastAsia="Times New Roman" w:hAnsi="Arial" w:cs="Arial"/>
          <w:sz w:val="20"/>
          <w:lang w:eastAsia="en-IN"/>
        </w:rPr>
        <w:t xml:space="preserve"> (split cotyledons)</w:t>
      </w:r>
      <w:r w:rsidR="00712823" w:rsidRPr="00A75138">
        <w:rPr>
          <w:rFonts w:ascii="Arial" w:eastAsia="Times New Roman" w:hAnsi="Arial" w:cs="Arial"/>
          <w:sz w:val="20"/>
          <w:lang w:eastAsia="en-IN"/>
        </w:rPr>
        <w:t xml:space="preserve"> </w:t>
      </w:r>
      <w:r w:rsidR="00FB2373" w:rsidRPr="00A75138">
        <w:rPr>
          <w:rFonts w:ascii="Arial" w:eastAsia="Times New Roman" w:hAnsi="Arial" w:cs="Arial"/>
          <w:sz w:val="20"/>
          <w:lang w:eastAsia="en-IN"/>
        </w:rPr>
        <w:fldChar w:fldCharType="begin" w:fldLock="1"/>
      </w:r>
      <w:r w:rsidR="00FB2373" w:rsidRPr="00A75138">
        <w:rPr>
          <w:rFonts w:ascii="Arial" w:eastAsia="Times New Roman" w:hAnsi="Arial" w:cs="Arial"/>
          <w:sz w:val="20"/>
          <w:lang w:eastAsia="en-IN"/>
        </w:rPr>
        <w:instrText>ADDIN CSL_CITATION {"citationItems":[{"id":"ITEM-1","itemData":{"DOI":"10.1016/B978-0-12-382018-1.00008-3","ISBN":"9780123820181","author":[{"dropping-particle":"","family":"Wood","given":"Jennifer A","non-dropping-particle":"","parse-names":false,"suffix":""},{"dropping-particle":"","family":"Development","given":"Regional","non-dropping-particle":"","parse-names":false,"suffix":""}],"id":"ITEM-1","issue":"December 2011","issued":{"date-parts":[["2017"]]},"title":"Provided for non-commercial research and educational use only . Not for reproduction , distribution or commercial use .","type":"book"},"uris":["http://www.mendeley.com/documents/?uuid=b1195e87-48e1-4743-b627-a915467aec97"]}],"mendeley":{"formattedCitation":"(Wood &amp; Development, 2017)","plainTextFormattedCitation":"(Wood &amp; Development, 2017)","previouslyFormattedCitation":"(Wood &amp; Development, 2017)"},"properties":{"noteIndex":0},"schema":"https://github.com/citation-style-language/schema/raw/master/csl-citation.json"}</w:instrText>
      </w:r>
      <w:r w:rsidR="00FB2373" w:rsidRPr="00A75138">
        <w:rPr>
          <w:rFonts w:ascii="Arial" w:eastAsia="Times New Roman" w:hAnsi="Arial" w:cs="Arial"/>
          <w:sz w:val="20"/>
          <w:lang w:eastAsia="en-IN"/>
        </w:rPr>
        <w:fldChar w:fldCharType="separate"/>
      </w:r>
      <w:r w:rsidR="00FB2373" w:rsidRPr="00A75138">
        <w:rPr>
          <w:rFonts w:ascii="Arial" w:eastAsia="Times New Roman" w:hAnsi="Arial" w:cs="Arial"/>
          <w:noProof/>
          <w:sz w:val="20"/>
          <w:lang w:eastAsia="en-IN"/>
        </w:rPr>
        <w:t>(Wood &amp; Development, 2017)</w:t>
      </w:r>
      <w:r w:rsidR="00FB2373" w:rsidRPr="00A75138">
        <w:rPr>
          <w:rFonts w:ascii="Arial" w:eastAsia="Times New Roman" w:hAnsi="Arial" w:cs="Arial"/>
          <w:sz w:val="20"/>
          <w:lang w:eastAsia="en-IN"/>
        </w:rPr>
        <w:fldChar w:fldCharType="end"/>
      </w:r>
      <w:r w:rsidRPr="00A75138">
        <w:rPr>
          <w:rFonts w:ascii="Arial" w:eastAsia="Times New Roman" w:hAnsi="Arial" w:cs="Arial"/>
          <w:sz w:val="20"/>
          <w:lang w:eastAsia="en-IN"/>
        </w:rPr>
        <w:t>. The primary objective of milling is to remove the hull as cleanly as possible, which is challenging due to the specific bonding (often involving gums and mucilage) between the husk and the cotyledons. To loosen this bondage, pulses undergo pre-milling hydrothermal treatments, such as soaking and sun drying (wet method) or mixing with oil and subsequent drying (dry method). While traditional practices often result in low yields (65-74%) and significant material loss, improved technologies can achieve yields of 80-84%</w:t>
      </w:r>
      <w:r w:rsidR="00712823" w:rsidRPr="00A75138">
        <w:rPr>
          <w:rFonts w:ascii="Arial" w:eastAsia="Times New Roman" w:hAnsi="Arial" w:cs="Arial"/>
          <w:sz w:val="20"/>
          <w:lang w:eastAsia="en-IN"/>
        </w:rPr>
        <w:t xml:space="preserve"> </w:t>
      </w:r>
      <w:r w:rsidR="00FB2373" w:rsidRPr="00A75138">
        <w:rPr>
          <w:rFonts w:ascii="Arial" w:eastAsia="Times New Roman" w:hAnsi="Arial" w:cs="Arial"/>
          <w:sz w:val="20"/>
          <w:lang w:eastAsia="en-IN"/>
        </w:rPr>
        <w:fldChar w:fldCharType="begin" w:fldLock="1"/>
      </w:r>
      <w:r w:rsidR="00FB2373" w:rsidRPr="00A75138">
        <w:rPr>
          <w:rFonts w:ascii="Arial" w:eastAsia="Times New Roman" w:hAnsi="Arial" w:cs="Arial"/>
          <w:sz w:val="20"/>
          <w:lang w:eastAsia="en-IN"/>
        </w:rPr>
        <w:instrText>ADDIN CSL_CITATION {"citationItems":[{"id":"ITEM-1","itemData":{"author":[{"dropping-particle":"","family":"Yaday","given":"B K","non-dropping-particle":"","parse-names":false,"suffix":""},{"dropping-particle":"","family":"Sharma","given":"P D","non-dropping-particle":"","parse-names":false,"suffix":""},{"dropping-particle":"","family":"Bihar","given":"R A U Pusa Samastipur","non-dropping-particle":"","parse-names":false,"suffix":""}],"id":"ITEM-1","issue":"May","issued":{"date-parts":[["2023"]]},"title":"PERFORMANCE EVALUATION OF MINI DAL MILL College of Agricultural Engineering","type":"article-journal"},"uris":["http://www.mendeley.com/documents/?uuid=b145bc1b-3afc-4c3a-880d-754200ca2bc5"]}],"mendeley":{"formattedCitation":"(Yaday et al., 2023)","plainTextFormattedCitation":"(Yaday et al., 2023)","previouslyFormattedCitation":"(Yaday et al., 2023)"},"properties":{"noteIndex":0},"schema":"https://github.com/citation-style-language/schema/raw/master/csl-citation.json"}</w:instrText>
      </w:r>
      <w:r w:rsidR="00FB2373" w:rsidRPr="00A75138">
        <w:rPr>
          <w:rFonts w:ascii="Arial" w:eastAsia="Times New Roman" w:hAnsi="Arial" w:cs="Arial"/>
          <w:sz w:val="20"/>
          <w:lang w:eastAsia="en-IN"/>
        </w:rPr>
        <w:fldChar w:fldCharType="separate"/>
      </w:r>
      <w:r w:rsidR="00FB2373" w:rsidRPr="00A75138">
        <w:rPr>
          <w:rFonts w:ascii="Arial" w:eastAsia="Times New Roman" w:hAnsi="Arial" w:cs="Arial"/>
          <w:noProof/>
          <w:sz w:val="20"/>
          <w:lang w:eastAsia="en-IN"/>
        </w:rPr>
        <w:t xml:space="preserve">(Yaday et </w:t>
      </w:r>
      <w:r w:rsidR="00FB2373" w:rsidRPr="00A75138">
        <w:rPr>
          <w:rFonts w:ascii="Arial" w:eastAsia="Times New Roman" w:hAnsi="Arial" w:cs="Arial"/>
          <w:i/>
          <w:iCs/>
          <w:noProof/>
          <w:sz w:val="20"/>
          <w:lang w:eastAsia="en-IN"/>
        </w:rPr>
        <w:t>al.,</w:t>
      </w:r>
      <w:r w:rsidR="00FB2373" w:rsidRPr="00A75138">
        <w:rPr>
          <w:rFonts w:ascii="Arial" w:eastAsia="Times New Roman" w:hAnsi="Arial" w:cs="Arial"/>
          <w:noProof/>
          <w:sz w:val="20"/>
          <w:lang w:eastAsia="en-IN"/>
        </w:rPr>
        <w:t xml:space="preserve"> 2023)</w:t>
      </w:r>
      <w:r w:rsidR="00FB2373" w:rsidRPr="00A75138">
        <w:rPr>
          <w:rFonts w:ascii="Arial" w:eastAsia="Times New Roman" w:hAnsi="Arial" w:cs="Arial"/>
          <w:sz w:val="20"/>
          <w:lang w:eastAsia="en-IN"/>
        </w:rPr>
        <w:fldChar w:fldCharType="end"/>
      </w:r>
      <w:r w:rsidRPr="00A75138">
        <w:rPr>
          <w:rFonts w:ascii="Arial" w:eastAsia="Times New Roman" w:hAnsi="Arial" w:cs="Arial"/>
          <w:sz w:val="20"/>
          <w:lang w:eastAsia="en-IN"/>
        </w:rPr>
        <w:t>. Pulse milling in rural regions poses significant challenges due to limited access to mechanized facilities, high dependency on centralized mills, and inefficient manual de</w:t>
      </w:r>
      <w:r w:rsidR="00E630DD" w:rsidRPr="00A75138">
        <w:rPr>
          <w:rFonts w:ascii="Arial" w:eastAsia="Times New Roman" w:hAnsi="Arial" w:cs="Arial"/>
          <w:sz w:val="20"/>
          <w:lang w:eastAsia="en-IN"/>
        </w:rPr>
        <w:t>-</w:t>
      </w:r>
      <w:r w:rsidRPr="00A75138">
        <w:rPr>
          <w:rFonts w:ascii="Arial" w:eastAsia="Times New Roman" w:hAnsi="Arial" w:cs="Arial"/>
          <w:sz w:val="20"/>
          <w:lang w:eastAsia="en-IN"/>
        </w:rPr>
        <w:t>husking practices that result in lower yield and quality degradation. The process also demands precise control of de</w:t>
      </w:r>
      <w:r w:rsidR="00E630DD" w:rsidRPr="00A75138">
        <w:rPr>
          <w:rFonts w:ascii="Arial" w:eastAsia="Times New Roman" w:hAnsi="Arial" w:cs="Arial"/>
          <w:sz w:val="20"/>
          <w:lang w:eastAsia="en-IN"/>
        </w:rPr>
        <w:t>-</w:t>
      </w:r>
      <w:r w:rsidRPr="00A75138">
        <w:rPr>
          <w:rFonts w:ascii="Arial" w:eastAsia="Times New Roman" w:hAnsi="Arial" w:cs="Arial"/>
          <w:sz w:val="20"/>
          <w:lang w:eastAsia="en-IN"/>
        </w:rPr>
        <w:t>husking forces to minimize cotyledon damage and reduce losses, which is difficult under traditional setups. The development of compact mini dal mills has effectively addressed these limitations by ensure uniform milling efficiency, higher recovery percentage, and improved product quality while making pulse processing feasible at the village level. Mini Dhal Mills are increasingly popular in India</w:t>
      </w:r>
      <w:r w:rsidR="00C60CF4">
        <w:rPr>
          <w:rFonts w:ascii="Arial" w:eastAsia="Times New Roman" w:hAnsi="Arial" w:cs="Arial"/>
          <w:sz w:val="20"/>
          <w:lang w:eastAsia="en-IN"/>
        </w:rPr>
        <w:t xml:space="preserve"> </w:t>
      </w:r>
      <w:r w:rsidR="00C60CF4" w:rsidRPr="00C60CF4">
        <w:rPr>
          <w:rFonts w:ascii="Arial" w:eastAsia="Times New Roman" w:hAnsi="Arial" w:cs="Arial"/>
          <w:b/>
          <w:bCs/>
          <w:sz w:val="20"/>
          <w:lang w:eastAsia="en-IN"/>
        </w:rPr>
        <w:t>(Table 2)</w:t>
      </w:r>
      <w:r w:rsidRPr="00A75138">
        <w:rPr>
          <w:rFonts w:ascii="Arial" w:eastAsia="Times New Roman" w:hAnsi="Arial" w:cs="Arial"/>
          <w:sz w:val="20"/>
          <w:lang w:eastAsia="en-IN"/>
        </w:rPr>
        <w:t xml:space="preserve"> and are considered an ideal replacement for traditional village </w:t>
      </w:r>
      <w:proofErr w:type="spellStart"/>
      <w:r w:rsidRPr="00A75138">
        <w:rPr>
          <w:rFonts w:ascii="Arial" w:eastAsia="Times New Roman" w:hAnsi="Arial" w:cs="Arial"/>
          <w:i/>
          <w:iCs/>
          <w:sz w:val="20"/>
          <w:lang w:eastAsia="en-IN"/>
        </w:rPr>
        <w:t>chakkies</w:t>
      </w:r>
      <w:proofErr w:type="spellEnd"/>
      <w:r w:rsidRPr="00A75138">
        <w:rPr>
          <w:rFonts w:ascii="Arial" w:eastAsia="Times New Roman" w:hAnsi="Arial" w:cs="Arial"/>
          <w:sz w:val="20"/>
          <w:lang w:eastAsia="en-IN"/>
        </w:rPr>
        <w:t>. These mechanized units significantly improve efficiency, offering recovery of head pulses in the range of 78–82% and de</w:t>
      </w:r>
      <w:r w:rsidR="00E630DD" w:rsidRPr="00A75138">
        <w:rPr>
          <w:rFonts w:ascii="Arial" w:eastAsia="Times New Roman" w:hAnsi="Arial" w:cs="Arial"/>
          <w:sz w:val="20"/>
          <w:lang w:eastAsia="en-IN"/>
        </w:rPr>
        <w:t>-</w:t>
      </w:r>
      <w:r w:rsidRPr="00A75138">
        <w:rPr>
          <w:rFonts w:ascii="Arial" w:eastAsia="Times New Roman" w:hAnsi="Arial" w:cs="Arial"/>
          <w:sz w:val="20"/>
          <w:lang w:eastAsia="en-IN"/>
        </w:rPr>
        <w:t>husking efficiencies between 98% and 100%. Improved small-scale mills also feature lower breakage (0.5–2.0%) and reduced energy consumption compared to traditional large-scale mills</w:t>
      </w:r>
      <w:r w:rsidR="00712823" w:rsidRPr="00A75138">
        <w:rPr>
          <w:rFonts w:ascii="Arial" w:eastAsia="Times New Roman" w:hAnsi="Arial" w:cs="Arial"/>
          <w:sz w:val="20"/>
          <w:lang w:eastAsia="en-IN"/>
        </w:rPr>
        <w:t xml:space="preserve"> </w:t>
      </w:r>
      <w:r w:rsidR="00FB2373" w:rsidRPr="00A75138">
        <w:rPr>
          <w:rFonts w:ascii="Arial" w:eastAsia="Times New Roman" w:hAnsi="Arial" w:cs="Arial"/>
          <w:sz w:val="20"/>
          <w:lang w:eastAsia="en-IN"/>
        </w:rPr>
        <w:fldChar w:fldCharType="begin" w:fldLock="1"/>
      </w:r>
      <w:r w:rsidR="00FB2373" w:rsidRPr="00A75138">
        <w:rPr>
          <w:rFonts w:ascii="Arial" w:eastAsia="Times New Roman" w:hAnsi="Arial" w:cs="Arial"/>
          <w:sz w:val="20"/>
          <w:lang w:eastAsia="en-IN"/>
        </w:rPr>
        <w:instrText>ADDIN CSL_CITATION {"citationItems":[{"id":"ITEM-1","itemData":{"author":[{"dropping-particle":"","family":"Visvanathan","given":"R","non-dropping-particle":"","parse-names":false,"suffix":""}],"id":"ITEM-1","issue":"August 2019","issued":{"date-parts":[["2016"]]},"title":"Development and Evaluation of Improved TNAU Mini Dhal Mill","type":"article-journal"},"uris":["http://www.mendeley.com/documents/?uuid=17703b7a-b41b-4e2a-8d59-6c40d1d350f2"]}],"mendeley":{"formattedCitation":"(Visvanathan, 2016)","plainTextFormattedCitation":"(Visvanathan, 2016)","previouslyFormattedCitation":"(Visvanathan, 2016)"},"properties":{"noteIndex":0},"schema":"https://github.com/citation-style-language/schema/raw/master/csl-citation.json"}</w:instrText>
      </w:r>
      <w:r w:rsidR="00FB2373" w:rsidRPr="00A75138">
        <w:rPr>
          <w:rFonts w:ascii="Arial" w:eastAsia="Times New Roman" w:hAnsi="Arial" w:cs="Arial"/>
          <w:sz w:val="20"/>
          <w:lang w:eastAsia="en-IN"/>
        </w:rPr>
        <w:fldChar w:fldCharType="separate"/>
      </w:r>
      <w:r w:rsidR="00FB2373" w:rsidRPr="00A75138">
        <w:rPr>
          <w:rFonts w:ascii="Arial" w:eastAsia="Times New Roman" w:hAnsi="Arial" w:cs="Arial"/>
          <w:noProof/>
          <w:sz w:val="20"/>
          <w:lang w:eastAsia="en-IN"/>
        </w:rPr>
        <w:t>(Visvanathan, 2016)</w:t>
      </w:r>
      <w:r w:rsidR="00FB2373" w:rsidRPr="00A75138">
        <w:rPr>
          <w:rFonts w:ascii="Arial" w:eastAsia="Times New Roman" w:hAnsi="Arial" w:cs="Arial"/>
          <w:sz w:val="20"/>
          <w:lang w:eastAsia="en-IN"/>
        </w:rPr>
        <w:fldChar w:fldCharType="end"/>
      </w:r>
      <w:r w:rsidR="00712823" w:rsidRPr="00A75138">
        <w:rPr>
          <w:rFonts w:ascii="Arial" w:eastAsia="Times New Roman" w:hAnsi="Arial" w:cs="Arial"/>
          <w:sz w:val="20"/>
          <w:lang w:eastAsia="en-IN"/>
        </w:rPr>
        <w:t xml:space="preserve"> </w:t>
      </w:r>
      <w:r w:rsidR="00FB2373" w:rsidRPr="00A75138">
        <w:rPr>
          <w:rFonts w:ascii="Arial" w:eastAsia="Times New Roman" w:hAnsi="Arial" w:cs="Arial"/>
          <w:sz w:val="20"/>
          <w:lang w:eastAsia="en-IN"/>
        </w:rPr>
        <w:fldChar w:fldCharType="begin" w:fldLock="1"/>
      </w:r>
      <w:r w:rsidR="00F309C1" w:rsidRPr="00A75138">
        <w:rPr>
          <w:rFonts w:ascii="Arial" w:eastAsia="Times New Roman" w:hAnsi="Arial" w:cs="Arial"/>
          <w:sz w:val="20"/>
          <w:lang w:eastAsia="en-IN"/>
        </w:rPr>
        <w:instrText>ADDIN CSL_CITATION {"citationItems":[{"id":"ITEM-1","itemData":{"author":[{"dropping-particle":"","family":"Dange","given":"Mohini M","non-dropping-particle":"","parse-names":false,"suffix":""},{"dropping-particle":"","family":"Bakane","given":"P H","non-dropping-particle":"","parse-names":false,"suffix":""}],"id":"ITEM-1","issue":"6","issued":{"date-parts":[["2024"]]},"page":"171-178","title":"Adaptability of PKV mini dal mill for processing pulses","type":"article-journal","volume":"8"},"uris":["http://www.mendeley.com/documents/?uuid=da90824e-752b-45c0-805d-be0c837eb6f9"]}],"mendeley":{"formattedCitation":"(Dange &amp; Bakane, 2024)","plainTextFormattedCitation":"(Dange &amp; Bakane, 2024)","previouslyFormattedCitation":"(Dange &amp; Bakane, 2024)"},"properties":{"noteIndex":0},"schema":"https://github.com/citation-style-language/schema/raw/master/csl-citation.json"}</w:instrText>
      </w:r>
      <w:r w:rsidR="00FB2373" w:rsidRPr="00A75138">
        <w:rPr>
          <w:rFonts w:ascii="Arial" w:eastAsia="Times New Roman" w:hAnsi="Arial" w:cs="Arial"/>
          <w:sz w:val="20"/>
          <w:lang w:eastAsia="en-IN"/>
        </w:rPr>
        <w:fldChar w:fldCharType="separate"/>
      </w:r>
      <w:r w:rsidR="00FB2373" w:rsidRPr="00A75138">
        <w:rPr>
          <w:rFonts w:ascii="Arial" w:eastAsia="Times New Roman" w:hAnsi="Arial" w:cs="Arial"/>
          <w:noProof/>
          <w:sz w:val="20"/>
          <w:lang w:eastAsia="en-IN"/>
        </w:rPr>
        <w:t>(Dange &amp; Bakane, 2024)</w:t>
      </w:r>
      <w:r w:rsidR="00FB2373" w:rsidRPr="00A75138">
        <w:rPr>
          <w:rFonts w:ascii="Arial" w:eastAsia="Times New Roman" w:hAnsi="Arial" w:cs="Arial"/>
          <w:sz w:val="20"/>
          <w:lang w:eastAsia="en-IN"/>
        </w:rPr>
        <w:fldChar w:fldCharType="end"/>
      </w:r>
      <w:r w:rsidRPr="00A75138">
        <w:rPr>
          <w:rFonts w:ascii="Arial" w:eastAsia="Times New Roman" w:hAnsi="Arial" w:cs="Arial"/>
          <w:sz w:val="20"/>
          <w:lang w:eastAsia="en-IN"/>
        </w:rPr>
        <w:t>.</w:t>
      </w:r>
    </w:p>
    <w:p w14:paraId="6C9ABA35" w14:textId="681B0DBA" w:rsidR="00DD43F8" w:rsidRPr="00A75138" w:rsidRDefault="007B60FB" w:rsidP="00471A98">
      <w:pPr>
        <w:pStyle w:val="ListParagraph"/>
        <w:spacing w:line="360" w:lineRule="auto"/>
        <w:ind w:left="0"/>
        <w:jc w:val="both"/>
        <w:rPr>
          <w:rFonts w:ascii="Arial" w:eastAsia="Times New Roman" w:hAnsi="Arial" w:cs="Arial"/>
          <w:b/>
          <w:bCs/>
          <w:sz w:val="20"/>
          <w:lang w:eastAsia="en-IN"/>
        </w:rPr>
      </w:pPr>
      <w:r w:rsidRPr="00A75138">
        <w:rPr>
          <w:rFonts w:ascii="Arial" w:eastAsia="Times New Roman" w:hAnsi="Arial" w:cs="Arial"/>
          <w:b/>
          <w:bCs/>
          <w:sz w:val="20"/>
          <w:lang w:eastAsia="en-IN"/>
        </w:rPr>
        <w:t>Table 2.</w:t>
      </w:r>
      <w:r w:rsidR="008E042C" w:rsidRPr="00A75138">
        <w:rPr>
          <w:rFonts w:ascii="Arial" w:eastAsia="Times New Roman" w:hAnsi="Arial" w:cs="Arial"/>
          <w:b/>
          <w:bCs/>
          <w:sz w:val="20"/>
          <w:lang w:eastAsia="en-IN"/>
        </w:rPr>
        <w:t xml:space="preserve"> </w:t>
      </w:r>
      <w:r w:rsidR="00DD43F8" w:rsidRPr="00A75138">
        <w:rPr>
          <w:rFonts w:ascii="Arial" w:eastAsia="Times New Roman" w:hAnsi="Arial" w:cs="Arial"/>
          <w:b/>
          <w:bCs/>
          <w:sz w:val="20"/>
          <w:lang w:eastAsia="en-IN"/>
        </w:rPr>
        <w:t>Mini Dal Mills Developed by Research Institutions</w:t>
      </w:r>
    </w:p>
    <w:tbl>
      <w:tblPr>
        <w:tblStyle w:val="TableGrid"/>
        <w:tblW w:w="0" w:type="auto"/>
        <w:tblLook w:val="04A0" w:firstRow="1" w:lastRow="0" w:firstColumn="1" w:lastColumn="0" w:noHBand="0" w:noVBand="1"/>
      </w:tblPr>
      <w:tblGrid>
        <w:gridCol w:w="566"/>
        <w:gridCol w:w="1717"/>
        <w:gridCol w:w="4841"/>
        <w:gridCol w:w="1892"/>
      </w:tblGrid>
      <w:tr w:rsidR="00213D4F" w:rsidRPr="00A75138" w14:paraId="16E73E12" w14:textId="77777777" w:rsidTr="001D4067">
        <w:tc>
          <w:tcPr>
            <w:tcW w:w="570" w:type="dxa"/>
            <w:vAlign w:val="center"/>
          </w:tcPr>
          <w:p w14:paraId="06E67D8A" w14:textId="77777777" w:rsidR="00213D4F" w:rsidRPr="00A75138" w:rsidRDefault="00213D4F" w:rsidP="00471A98">
            <w:pPr>
              <w:spacing w:line="276" w:lineRule="auto"/>
              <w:jc w:val="both"/>
              <w:rPr>
                <w:rFonts w:ascii="Arial" w:eastAsia="Times New Roman" w:hAnsi="Arial" w:cs="Arial"/>
                <w:b/>
                <w:bCs/>
                <w:sz w:val="20"/>
                <w:lang w:eastAsia="en-IN"/>
              </w:rPr>
            </w:pPr>
            <w:r w:rsidRPr="00A75138">
              <w:rPr>
                <w:rFonts w:ascii="Arial" w:eastAsia="Times New Roman" w:hAnsi="Arial" w:cs="Arial"/>
                <w:b/>
                <w:bCs/>
                <w:sz w:val="20"/>
                <w:lang w:eastAsia="en-IN"/>
              </w:rPr>
              <w:lastRenderedPageBreak/>
              <w:t>S. No.</w:t>
            </w:r>
          </w:p>
        </w:tc>
        <w:tc>
          <w:tcPr>
            <w:tcW w:w="1717" w:type="dxa"/>
            <w:vAlign w:val="center"/>
          </w:tcPr>
          <w:p w14:paraId="536ADB64"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Mini Dal Mill Name/Developer</w:t>
            </w:r>
          </w:p>
        </w:tc>
        <w:tc>
          <w:tcPr>
            <w:tcW w:w="5221" w:type="dxa"/>
            <w:vAlign w:val="center"/>
          </w:tcPr>
          <w:p w14:paraId="456F7760" w14:textId="77777777" w:rsidR="00213D4F" w:rsidRPr="00A75138" w:rsidRDefault="00213D4F" w:rsidP="00471A98">
            <w:pPr>
              <w:spacing w:line="276" w:lineRule="auto"/>
              <w:jc w:val="both"/>
              <w:rPr>
                <w:rFonts w:ascii="Arial" w:eastAsia="Times New Roman" w:hAnsi="Arial" w:cs="Arial"/>
                <w:b/>
                <w:bCs/>
                <w:sz w:val="20"/>
                <w:lang w:eastAsia="en-IN"/>
              </w:rPr>
            </w:pPr>
            <w:r w:rsidRPr="00A75138">
              <w:rPr>
                <w:rFonts w:ascii="Arial" w:eastAsia="Times New Roman" w:hAnsi="Arial" w:cs="Arial"/>
                <w:b/>
                <w:bCs/>
                <w:sz w:val="20"/>
                <w:lang w:eastAsia="en-IN"/>
              </w:rPr>
              <w:t>Capacity/Mechanism Detail</w:t>
            </w:r>
          </w:p>
        </w:tc>
        <w:tc>
          <w:tcPr>
            <w:tcW w:w="1508" w:type="dxa"/>
          </w:tcPr>
          <w:p w14:paraId="604374DD" w14:textId="77777777" w:rsidR="00213D4F" w:rsidRPr="00A75138" w:rsidRDefault="00213D4F" w:rsidP="00471A98">
            <w:pPr>
              <w:spacing w:line="276" w:lineRule="auto"/>
              <w:jc w:val="both"/>
              <w:rPr>
                <w:rFonts w:ascii="Arial" w:eastAsia="Times New Roman" w:hAnsi="Arial" w:cs="Arial"/>
                <w:b/>
                <w:bCs/>
                <w:sz w:val="20"/>
                <w:lang w:eastAsia="en-IN"/>
              </w:rPr>
            </w:pPr>
            <w:r w:rsidRPr="00A75138">
              <w:rPr>
                <w:rFonts w:ascii="Arial" w:eastAsia="Times New Roman" w:hAnsi="Arial" w:cs="Arial"/>
                <w:b/>
                <w:bCs/>
                <w:sz w:val="20"/>
                <w:lang w:eastAsia="en-IN"/>
              </w:rPr>
              <w:t xml:space="preserve">Reference </w:t>
            </w:r>
          </w:p>
        </w:tc>
      </w:tr>
      <w:tr w:rsidR="00213D4F" w:rsidRPr="00A75138" w14:paraId="24ACE340" w14:textId="77777777" w:rsidTr="001D4067">
        <w:tc>
          <w:tcPr>
            <w:tcW w:w="570" w:type="dxa"/>
            <w:vAlign w:val="center"/>
          </w:tcPr>
          <w:p w14:paraId="4044EEB6"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1.</w:t>
            </w:r>
          </w:p>
        </w:tc>
        <w:tc>
          <w:tcPr>
            <w:tcW w:w="1717" w:type="dxa"/>
            <w:vAlign w:val="center"/>
          </w:tcPr>
          <w:p w14:paraId="2F86A278"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ICRISAT mini dehulling mill</w:t>
            </w:r>
          </w:p>
        </w:tc>
        <w:tc>
          <w:tcPr>
            <w:tcW w:w="5221" w:type="dxa"/>
            <w:vAlign w:val="center"/>
          </w:tcPr>
          <w:p w14:paraId="5B13B414"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Portable, medium-volume (40kg per hour) dehulling mill. Milling section is like a horizontal burr mill (</w:t>
            </w:r>
            <w:proofErr w:type="spellStart"/>
            <w:r w:rsidRPr="00A75138">
              <w:rPr>
                <w:rFonts w:ascii="Arial" w:eastAsia="Times New Roman" w:hAnsi="Arial" w:cs="Arial"/>
                <w:i/>
                <w:iCs/>
                <w:sz w:val="20"/>
                <w:lang w:eastAsia="en-IN"/>
              </w:rPr>
              <w:t>chakki</w:t>
            </w:r>
            <w:proofErr w:type="spellEnd"/>
            <w:r w:rsidRPr="00A75138">
              <w:rPr>
                <w:rFonts w:ascii="Arial" w:eastAsia="Times New Roman" w:hAnsi="Arial" w:cs="Arial"/>
                <w:sz w:val="20"/>
                <w:lang w:eastAsia="en-IN"/>
              </w:rPr>
              <w:t>).</w:t>
            </w:r>
          </w:p>
        </w:tc>
        <w:tc>
          <w:tcPr>
            <w:tcW w:w="1508" w:type="dxa"/>
          </w:tcPr>
          <w:p w14:paraId="1DF03EFB" w14:textId="77777777" w:rsidR="00213D4F" w:rsidRPr="00A75138" w:rsidRDefault="00F309C1"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Pr="00A75138">
              <w:rPr>
                <w:rFonts w:ascii="Arial" w:eastAsia="Times New Roman" w:hAnsi="Arial" w:cs="Arial"/>
                <w:sz w:val="20"/>
                <w:lang w:eastAsia="en-IN"/>
              </w:rPr>
              <w:instrText>ADDIN CSL_CITATION {"citationItems":[{"id":"ITEM-1","itemData":{"author":[{"dropping-particle":"","family":"Singh","given":"Umaid","non-dropping-particle":"","parse-names":false,"suffix":""}],"id":"ITEM-1","issue":"2","issued":{"date-parts":[["1995"]]},"title":"Methods for Dehulling of Pulses : A Critical Appraisal","type":"article-journal","volume":"32"},"uris":["http://www.mendeley.com/documents/?uuid=dc286b37-fced-4393-aadb-ebedcf98c9c2"]}],"mendeley":{"formattedCitation":"(U. Singh, 1995)","plainTextFormattedCitation":"(U. Singh, 1995)","previouslyFormattedCitation":"(U. Singh, 1995)"},"properties":{"noteIndex":0},"schema":"https://github.com/citation-style-language/schema/raw/master/csl-citation.json"}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(U. Singh, 1995)</w:t>
            </w:r>
            <w:r w:rsidRPr="00A75138">
              <w:rPr>
                <w:rFonts w:ascii="Arial" w:eastAsia="Times New Roman" w:hAnsi="Arial" w:cs="Arial"/>
                <w:sz w:val="20"/>
                <w:lang w:eastAsia="en-IN"/>
              </w:rPr>
              <w:fldChar w:fldCharType="end"/>
            </w:r>
          </w:p>
        </w:tc>
      </w:tr>
      <w:tr w:rsidR="00213D4F" w:rsidRPr="00A75138" w14:paraId="11FCB3BF" w14:textId="77777777" w:rsidTr="001D4067">
        <w:tc>
          <w:tcPr>
            <w:tcW w:w="570" w:type="dxa"/>
            <w:vAlign w:val="center"/>
          </w:tcPr>
          <w:p w14:paraId="1796CD58"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2.</w:t>
            </w:r>
          </w:p>
        </w:tc>
        <w:tc>
          <w:tcPr>
            <w:tcW w:w="1717" w:type="dxa"/>
            <w:vAlign w:val="center"/>
          </w:tcPr>
          <w:p w14:paraId="0F505A33"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CFTRI mini dhal mill</w:t>
            </w:r>
          </w:p>
        </w:tc>
        <w:tc>
          <w:tcPr>
            <w:tcW w:w="5221" w:type="dxa"/>
            <w:vAlign w:val="center"/>
          </w:tcPr>
          <w:p w14:paraId="18A116F8"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 xml:space="preserve">Ideal unit for tiny and </w:t>
            </w:r>
            <w:proofErr w:type="gramStart"/>
            <w:r w:rsidRPr="00A75138">
              <w:rPr>
                <w:rFonts w:ascii="Arial" w:eastAsia="Times New Roman" w:hAnsi="Arial" w:cs="Arial"/>
                <w:sz w:val="20"/>
                <w:lang w:eastAsia="en-IN"/>
              </w:rPr>
              <w:t>small scale</w:t>
            </w:r>
            <w:proofErr w:type="gramEnd"/>
            <w:r w:rsidRPr="00A75138">
              <w:rPr>
                <w:rFonts w:ascii="Arial" w:eastAsia="Times New Roman" w:hAnsi="Arial" w:cs="Arial"/>
                <w:sz w:val="20"/>
                <w:lang w:eastAsia="en-IN"/>
              </w:rPr>
              <w:t xml:space="preserve"> sector. Run by a single-phase 1 hp motor, yields 77-80% dhal with 97-99% </w:t>
            </w:r>
            <w:proofErr w:type="spellStart"/>
            <w:r w:rsidRPr="00A75138">
              <w:rPr>
                <w:rFonts w:ascii="Arial" w:eastAsia="Times New Roman" w:hAnsi="Arial" w:cs="Arial"/>
                <w:sz w:val="20"/>
                <w:lang w:eastAsia="en-IN"/>
              </w:rPr>
              <w:t>dehusking</w:t>
            </w:r>
            <w:proofErr w:type="spellEnd"/>
            <w:r w:rsidRPr="00A75138">
              <w:rPr>
                <w:rFonts w:ascii="Arial" w:eastAsia="Times New Roman" w:hAnsi="Arial" w:cs="Arial"/>
                <w:sz w:val="20"/>
                <w:lang w:eastAsia="en-IN"/>
              </w:rPr>
              <w:t xml:space="preserve"> efficiency. Pulses </w:t>
            </w:r>
            <w:proofErr w:type="spellStart"/>
            <w:r w:rsidRPr="00A75138">
              <w:rPr>
                <w:rFonts w:ascii="Arial" w:eastAsia="Times New Roman" w:hAnsi="Arial" w:cs="Arial"/>
                <w:sz w:val="20"/>
                <w:lang w:eastAsia="en-IN"/>
              </w:rPr>
              <w:t>dehusking</w:t>
            </w:r>
            <w:proofErr w:type="spellEnd"/>
            <w:r w:rsidRPr="00A75138">
              <w:rPr>
                <w:rFonts w:ascii="Arial" w:eastAsia="Times New Roman" w:hAnsi="Arial" w:cs="Arial"/>
                <w:sz w:val="20"/>
                <w:lang w:eastAsia="en-IN"/>
              </w:rPr>
              <w:t xml:space="preserve"> unit consists of an emery coated cone.</w:t>
            </w:r>
          </w:p>
        </w:tc>
        <w:tc>
          <w:tcPr>
            <w:tcW w:w="1508" w:type="dxa"/>
          </w:tcPr>
          <w:p w14:paraId="76FAE3A9" w14:textId="77777777" w:rsidR="00213D4F" w:rsidRPr="00A75138" w:rsidRDefault="004B017C"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Pr="00A75138">
              <w:rPr>
                <w:rFonts w:ascii="Arial" w:eastAsia="Times New Roman" w:hAnsi="Arial" w:cs="Arial"/>
                <w:sz w:val="20"/>
                <w:lang w:eastAsia="en-IN"/>
              </w:rPr>
              <w:instrText>ADDIN CSL_CITATION {"citationItems":[{"id":"ITEM-1","itemData":{"author":[{"dropping-particle":"","family":"Singh","given":"Vijay K","non-dropping-particle":"","parse-names":false,"suffix":""}],"id":"ITEM-1","issue":"2","issued":{"date-parts":[["2017"]]},"page":"83-86","title":"Testing and evaluation of CFTRI Dal mill for pigeonpea ( UPAS 120 )","type":"article-journal","volume":"30"},"uris":["http://www.mendeley.com/documents/?uuid=2c6e738c-5e89-43df-92bb-53198b8c4d75"]}],"mendeley":{"formattedCitation":"(V. K. Singh, 2017)","plainTextFormattedCitation":"(V. K. Singh, 2017)","previouslyFormattedCitation":"(V. K. Singh, 2017)"},"properties":{"noteIndex":0},"schema":"https://github.com/citation-style-language/schema/raw/master/csl-citation.json"}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(V. K. Singh, 2017)</w:t>
            </w:r>
            <w:r w:rsidRPr="00A75138">
              <w:rPr>
                <w:rFonts w:ascii="Arial" w:eastAsia="Times New Roman" w:hAnsi="Arial" w:cs="Arial"/>
                <w:sz w:val="20"/>
                <w:lang w:eastAsia="en-IN"/>
              </w:rPr>
              <w:fldChar w:fldCharType="end"/>
            </w:r>
          </w:p>
        </w:tc>
      </w:tr>
      <w:tr w:rsidR="00213D4F" w:rsidRPr="00A75138" w14:paraId="0195D8ED" w14:textId="77777777" w:rsidTr="001D4067">
        <w:tc>
          <w:tcPr>
            <w:tcW w:w="570" w:type="dxa"/>
            <w:vAlign w:val="center"/>
          </w:tcPr>
          <w:p w14:paraId="268868DA"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3.</w:t>
            </w:r>
          </w:p>
        </w:tc>
        <w:tc>
          <w:tcPr>
            <w:tcW w:w="1717" w:type="dxa"/>
            <w:vAlign w:val="center"/>
          </w:tcPr>
          <w:p w14:paraId="5A2B2B17"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CIAE dhal mill</w:t>
            </w:r>
          </w:p>
        </w:tc>
        <w:tc>
          <w:tcPr>
            <w:tcW w:w="5221" w:type="dxa"/>
            <w:vAlign w:val="center"/>
          </w:tcPr>
          <w:p w14:paraId="4520FE87"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Medium capacity (100kg/h). Uses abrasive rollers rotating inside a perforated screen at 900 rpm.</w:t>
            </w:r>
          </w:p>
        </w:tc>
        <w:tc>
          <w:tcPr>
            <w:tcW w:w="1508" w:type="dxa"/>
          </w:tcPr>
          <w:p w14:paraId="1DD14D79" w14:textId="77777777" w:rsidR="00213D4F" w:rsidRPr="00A75138" w:rsidRDefault="004B017C"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00B23CDD" w:rsidRPr="00A75138">
              <w:rPr>
                <w:rFonts w:ascii="Arial" w:eastAsia="Times New Roman" w:hAnsi="Arial" w:cs="Arial"/>
                <w:sz w:val="20"/>
                <w:lang w:eastAsia="en-IN"/>
              </w:rPr>
              <w:instrText>ADDIN CSL_CITATION {"citationItems":[{"id":"ITEM-1","itemData":{"author":[{"dropping-particle":"","family":"Mangaraj, S., &amp; Singh","given":"K. P. (2011). Milling study of multiple pulses using CIAE dhal mill for optimal responses.","non-dropping-particle":"","parse-names":false,"suffix":""}],"id":"ITEM-1","issued":{"date-parts":[["0"]]},"title":"No Title","type":"article-journal"},"uris":["http://www.mendeley.com/documents/?uuid=559cac83-c5ad-4cf7-a259-e0d0857e652a"]}],"mendeley":{"formattedCitation":"(Mangaraj, S., &amp; Singh, n.d.)","manualFormatting":"(Mangaraj, S., &amp; Singh, k.p. 2011)","plainTextFormattedCitation":"(Mangaraj, S., &amp; Singh, n.d.)","previouslyFormattedCitation":"(Mangaraj, S., &amp; Singh, n.d.)"},"properties":{"noteIndex":0},"schema":"https://github.com/citation-style-language/schema/raw/master/csl-citation.json"}</w:instrText>
            </w:r>
            <w:r w:rsidRPr="00A75138">
              <w:rPr>
                <w:rFonts w:ascii="Arial" w:eastAsia="Times New Roman" w:hAnsi="Arial" w:cs="Arial"/>
                <w:sz w:val="20"/>
                <w:lang w:eastAsia="en-IN"/>
              </w:rPr>
              <w:fldChar w:fldCharType="separate"/>
            </w:r>
            <w:r w:rsidR="007D79D3" w:rsidRPr="00A75138">
              <w:rPr>
                <w:rFonts w:ascii="Arial" w:eastAsia="Times New Roman" w:hAnsi="Arial" w:cs="Arial"/>
                <w:noProof/>
                <w:sz w:val="20"/>
                <w:lang w:eastAsia="en-IN"/>
              </w:rPr>
              <w:t>(Mangaraj, S., &amp; Singh, k.p</w:t>
            </w:r>
            <w:r w:rsidRPr="00A75138">
              <w:rPr>
                <w:rFonts w:ascii="Arial" w:eastAsia="Times New Roman" w:hAnsi="Arial" w:cs="Arial"/>
                <w:noProof/>
                <w:sz w:val="20"/>
                <w:lang w:eastAsia="en-IN"/>
              </w:rPr>
              <w:t>.</w:t>
            </w:r>
            <w:r w:rsidR="007D79D3" w:rsidRPr="00A75138">
              <w:rPr>
                <w:rFonts w:ascii="Arial" w:eastAsia="Times New Roman" w:hAnsi="Arial" w:cs="Arial"/>
                <w:noProof/>
                <w:sz w:val="20"/>
                <w:lang w:eastAsia="en-IN"/>
              </w:rPr>
              <w:t xml:space="preserve"> 2011</w:t>
            </w:r>
            <w:r w:rsidRPr="00A75138">
              <w:rPr>
                <w:rFonts w:ascii="Arial" w:eastAsia="Times New Roman" w:hAnsi="Arial" w:cs="Arial"/>
                <w:noProof/>
                <w:sz w:val="20"/>
                <w:lang w:eastAsia="en-IN"/>
              </w:rPr>
              <w:t>)</w:t>
            </w:r>
            <w:r w:rsidRPr="00A75138">
              <w:rPr>
                <w:rFonts w:ascii="Arial" w:eastAsia="Times New Roman" w:hAnsi="Arial" w:cs="Arial"/>
                <w:sz w:val="20"/>
                <w:lang w:eastAsia="en-IN"/>
              </w:rPr>
              <w:fldChar w:fldCharType="end"/>
            </w:r>
          </w:p>
        </w:tc>
      </w:tr>
      <w:tr w:rsidR="00213D4F" w:rsidRPr="00A75138" w14:paraId="446354F1" w14:textId="77777777" w:rsidTr="001D4067">
        <w:tc>
          <w:tcPr>
            <w:tcW w:w="570" w:type="dxa"/>
            <w:vAlign w:val="center"/>
          </w:tcPr>
          <w:p w14:paraId="6CAFB7E3"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4.</w:t>
            </w:r>
          </w:p>
        </w:tc>
        <w:tc>
          <w:tcPr>
            <w:tcW w:w="1717" w:type="dxa"/>
            <w:vAlign w:val="center"/>
          </w:tcPr>
          <w:p w14:paraId="2C2E7DB9"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PKV mini dhal mill</w:t>
            </w:r>
          </w:p>
        </w:tc>
        <w:tc>
          <w:tcPr>
            <w:tcW w:w="5221" w:type="dxa"/>
            <w:vAlign w:val="center"/>
          </w:tcPr>
          <w:p w14:paraId="0E99E3C6"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Consists of four units: splitter, sieves, aspirator, and polisher. Run on a 2.0 hp single phase motor; uses two emery coated discs (one fixed, one rotating).</w:t>
            </w:r>
          </w:p>
        </w:tc>
        <w:tc>
          <w:tcPr>
            <w:tcW w:w="1508" w:type="dxa"/>
          </w:tcPr>
          <w:p w14:paraId="40C3D3EF" w14:textId="77777777" w:rsidR="00B23CDD" w:rsidRPr="00A75138" w:rsidRDefault="00B23CDD" w:rsidP="00471A98">
            <w:pPr>
              <w:spacing w:line="276" w:lineRule="auto"/>
              <w:jc w:val="both"/>
              <w:rPr>
                <w:rFonts w:ascii="Arial" w:eastAsia="Times New Roman" w:hAnsi="Arial" w:cs="Arial"/>
                <w:sz w:val="20"/>
                <w:lang w:eastAsia="en-IN"/>
              </w:rPr>
            </w:pPr>
          </w:p>
          <w:p w14:paraId="0D670624" w14:textId="691F5CA4" w:rsidR="00213D4F" w:rsidRPr="00A75138" w:rsidRDefault="00B23CDD" w:rsidP="00471A98">
            <w:pPr>
              <w:spacing w:line="276" w:lineRule="auto"/>
              <w:ind w:firstLine="720"/>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005016B9" w:rsidRPr="00A75138">
              <w:rPr>
                <w:rFonts w:ascii="Arial" w:eastAsia="Times New Roman" w:hAnsi="Arial" w:cs="Arial"/>
                <w:sz w:val="20"/>
                <w:lang w:eastAsia="en-IN"/>
              </w:rPr>
              <w:instrText>ADDIN CSL_CITATION {"citationItems":[{"id":"ITEM-1","itemData":{"ISBN":"9657627974","author":[{"dropping-particle":"","family":"Pimpalkar","given":"Rupali D","non-dropping-particle":"","parse-names":false,"suffix":""},{"dropping-particle":"","family":"Katole","given":"R T","non-dropping-particle":"","parse-names":false,"suffix":""},{"dropping-particle":"","family":"Bhople","given":"P P","non-dropping-particle":"","parse-names":false,"suffix":""},{"dropping-particle":"","family":"Koshti","given":"N R","non-dropping-particle":"","parse-names":false,"suffix":""}],"id":"ITEM-1","issue":"1","issued":{"date-parts":[["2021"]]},"page":"217-219","title":"A case study : Impact of PKV mini Dal Mill on its owners","type":"article-journal","volume":"10"},"uris":["http://www.mendeley.com/documents/?uuid=efdaa118-f9d0-48ec-973c-c3f194a88cd5"]}],"mendeley":{"formattedCitation":"(Pimpalkar et al., 2021)","plainTextFormattedCitation":"(Pimpalkar et al., 2021)","previouslyFormattedCitation":"(Pimpalkar et al., 2021)"},"properties":{"noteIndex":0},"schema":"https://github.com/citation-style-language/schema/raw/master/csl-citation.json"}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(Pimpalkar et al., 2021)</w:t>
            </w:r>
            <w:r w:rsidRPr="00A75138">
              <w:rPr>
                <w:rFonts w:ascii="Arial" w:eastAsia="Times New Roman" w:hAnsi="Arial" w:cs="Arial"/>
                <w:sz w:val="20"/>
                <w:lang w:eastAsia="en-IN"/>
              </w:rPr>
              <w:fldChar w:fldCharType="end"/>
            </w:r>
          </w:p>
        </w:tc>
      </w:tr>
      <w:tr w:rsidR="00213D4F" w:rsidRPr="00A75138" w14:paraId="644ABC80" w14:textId="77777777" w:rsidTr="001D4067">
        <w:tc>
          <w:tcPr>
            <w:tcW w:w="570" w:type="dxa"/>
            <w:vAlign w:val="center"/>
          </w:tcPr>
          <w:p w14:paraId="31BE6E6E"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5.</w:t>
            </w:r>
          </w:p>
        </w:tc>
        <w:tc>
          <w:tcPr>
            <w:tcW w:w="1717" w:type="dxa"/>
            <w:vAlign w:val="center"/>
          </w:tcPr>
          <w:p w14:paraId="719F335F"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IARI dhal mill</w:t>
            </w:r>
          </w:p>
        </w:tc>
        <w:tc>
          <w:tcPr>
            <w:tcW w:w="5221" w:type="dxa"/>
            <w:vAlign w:val="center"/>
          </w:tcPr>
          <w:p w14:paraId="0382B34F"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Has a cylinder concave set. Modified to suit hulling of pulses like gram, achieving 95% hulling efficiency and low broken percentage.</w:t>
            </w:r>
          </w:p>
        </w:tc>
        <w:tc>
          <w:tcPr>
            <w:tcW w:w="1508" w:type="dxa"/>
          </w:tcPr>
          <w:p w14:paraId="48259179" w14:textId="77777777" w:rsidR="00213D4F" w:rsidRPr="00A75138" w:rsidRDefault="005016B9"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Pr="00A75138">
              <w:rPr>
                <w:rFonts w:ascii="Arial" w:eastAsia="Times New Roman" w:hAnsi="Arial" w:cs="Arial"/>
                <w:sz w:val="20"/>
                <w:lang w:eastAsia="en-IN"/>
              </w:rPr>
              <w:instrText>ADDIN CSL_CITATION {"citationItems":[{"id":"ITEM-1","itemData":{"author":[{"dropping-particle":"","family":"Yaday","given":"B K","non-dropping-particle":"","parse-names":false,"suffix":""},{"dropping-particle":"","family":"Sharma","given":"P D","non-dropping-particle":"","parse-names":false,"suffix":""},{"dropping-particle":"","family":"Bihar","given":"R A U Pusa Samastipur","non-dropping-particle":"","parse-names":false,"suffix":""}],"id":"ITEM-1","issue":"May","issued":{"date-parts":[["2023"]]},"title":"PERFORMANCE EVALUATION OF MINI DAL MILL College of Agricultural Engineering","type":"article-journal"},"uris":["http://www.mendeley.com/documents/?uuid=b145bc1b-3afc-4c3a-880d-754200ca2bc5"]}],"mendeley":{"formattedCitation":"(Yaday et al., 2023)","plainTextFormattedCitation":"(Yaday et al., 2023)","previouslyFormattedCitation":"(Yaday et al., 2023)"},"properties":{"noteIndex":0},"schema":"https://github.com/citation-style-language/schema/raw/master/csl-citation.json"}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 xml:space="preserve">(Yaday </w:t>
            </w:r>
            <w:r w:rsidRPr="001D4067">
              <w:rPr>
                <w:rFonts w:ascii="Arial" w:eastAsia="Times New Roman" w:hAnsi="Arial" w:cs="Arial"/>
                <w:i/>
                <w:iCs/>
                <w:noProof/>
                <w:sz w:val="20"/>
                <w:lang w:eastAsia="en-IN"/>
              </w:rPr>
              <w:t>et al.,</w:t>
            </w:r>
            <w:r w:rsidRPr="00A75138">
              <w:rPr>
                <w:rFonts w:ascii="Arial" w:eastAsia="Times New Roman" w:hAnsi="Arial" w:cs="Arial"/>
                <w:noProof/>
                <w:sz w:val="20"/>
                <w:lang w:eastAsia="en-IN"/>
              </w:rPr>
              <w:t xml:space="preserve"> 2023)</w:t>
            </w:r>
            <w:r w:rsidRPr="00A75138">
              <w:rPr>
                <w:rFonts w:ascii="Arial" w:eastAsia="Times New Roman" w:hAnsi="Arial" w:cs="Arial"/>
                <w:sz w:val="20"/>
                <w:lang w:eastAsia="en-IN"/>
              </w:rPr>
              <w:fldChar w:fldCharType="end"/>
            </w:r>
          </w:p>
        </w:tc>
      </w:tr>
      <w:tr w:rsidR="00213D4F" w:rsidRPr="00A75138" w14:paraId="7226C641" w14:textId="77777777" w:rsidTr="001D4067">
        <w:tc>
          <w:tcPr>
            <w:tcW w:w="570" w:type="dxa"/>
            <w:vAlign w:val="center"/>
          </w:tcPr>
          <w:p w14:paraId="222E69C5"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6.</w:t>
            </w:r>
          </w:p>
        </w:tc>
        <w:tc>
          <w:tcPr>
            <w:tcW w:w="1717" w:type="dxa"/>
            <w:vAlign w:val="center"/>
          </w:tcPr>
          <w:p w14:paraId="699C7A4A"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TNAU dhal mill</w:t>
            </w:r>
          </w:p>
        </w:tc>
        <w:tc>
          <w:tcPr>
            <w:tcW w:w="5221" w:type="dxa"/>
            <w:vAlign w:val="center"/>
          </w:tcPr>
          <w:p w14:paraId="330C4CEA"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Developed for wet and dry milling of pulses. Uses a dhal mill-cum-dry grinding unit and a wet grinding unit, driven by a 0.50 hp electric motor.</w:t>
            </w:r>
          </w:p>
        </w:tc>
        <w:tc>
          <w:tcPr>
            <w:tcW w:w="1508" w:type="dxa"/>
          </w:tcPr>
          <w:p w14:paraId="79EF734A" w14:textId="77777777" w:rsidR="00213D4F" w:rsidRPr="00A75138" w:rsidRDefault="005016B9"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Pr="00A75138">
              <w:rPr>
                <w:rFonts w:ascii="Arial" w:eastAsia="Times New Roman" w:hAnsi="Arial" w:cs="Arial"/>
                <w:sz w:val="20"/>
                <w:lang w:eastAsia="en-IN"/>
              </w:rPr>
              <w:instrText>ADDIN CSL_CITATION {"citationItems":[{"id":"ITEM-1","itemData":{"author":[{"dropping-particle":"","family":"Visvanathan","given":"R","non-dropping-particle":"","parse-names":false,"suffix":""}],"id":"ITEM-1","issue":"August 2019","issued":{"date-parts":[["2016"]]},"title":"Development and Evaluation of Improved TNAU Mini Dhal Mill","type":"article-journal"},"uris":["http://www.mendeley.com/documents/?uuid=3a90e61b-48d2-4c30-9764-23e196fcd0b1"]}],"mendeley":{"formattedCitation":"(Visvanathan, 2016)","plainTextFormattedCitation":"(Visvanathan, 2016)","previouslyFormattedCitation":"(Visvanathan, 2016)"},"properties":{"noteIndex":0},"schema":"https://github.com/citation-style-language/schema/raw/master/csl-citation.json"}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(Visvanathan, 2016)</w:t>
            </w:r>
            <w:r w:rsidRPr="00A75138">
              <w:rPr>
                <w:rFonts w:ascii="Arial" w:eastAsia="Times New Roman" w:hAnsi="Arial" w:cs="Arial"/>
                <w:sz w:val="20"/>
                <w:lang w:eastAsia="en-IN"/>
              </w:rPr>
              <w:fldChar w:fldCharType="end"/>
            </w:r>
          </w:p>
        </w:tc>
      </w:tr>
      <w:tr w:rsidR="00213D4F" w:rsidRPr="00A75138" w14:paraId="3A49C2B2" w14:textId="77777777" w:rsidTr="001D4067">
        <w:tc>
          <w:tcPr>
            <w:tcW w:w="570" w:type="dxa"/>
            <w:vAlign w:val="center"/>
          </w:tcPr>
          <w:p w14:paraId="5490ACDD"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7.</w:t>
            </w:r>
          </w:p>
        </w:tc>
        <w:tc>
          <w:tcPr>
            <w:tcW w:w="1717" w:type="dxa"/>
            <w:vAlign w:val="center"/>
          </w:tcPr>
          <w:p w14:paraId="4D4480DD" w14:textId="77777777" w:rsidR="00213D4F" w:rsidRPr="00A75138" w:rsidRDefault="00213D4F" w:rsidP="00471A98">
            <w:pPr>
              <w:spacing w:line="276" w:lineRule="auto"/>
              <w:jc w:val="both"/>
              <w:rPr>
                <w:rFonts w:ascii="Arial" w:eastAsia="Times New Roman" w:hAnsi="Arial" w:cs="Arial"/>
                <w:sz w:val="20"/>
                <w:lang w:eastAsia="en-IN"/>
              </w:rPr>
            </w:pPr>
            <w:proofErr w:type="spellStart"/>
            <w:r w:rsidRPr="00A75138">
              <w:rPr>
                <w:rFonts w:ascii="Arial" w:eastAsia="Times New Roman" w:hAnsi="Arial" w:cs="Arial"/>
                <w:sz w:val="20"/>
                <w:lang w:eastAsia="en-IN"/>
              </w:rPr>
              <w:t>Pantnagar</w:t>
            </w:r>
            <w:proofErr w:type="spellEnd"/>
            <w:r w:rsidRPr="00A75138">
              <w:rPr>
                <w:rFonts w:ascii="Arial" w:eastAsia="Times New Roman" w:hAnsi="Arial" w:cs="Arial"/>
                <w:sz w:val="20"/>
                <w:lang w:eastAsia="en-IN"/>
              </w:rPr>
              <w:t xml:space="preserve"> dhal mill</w:t>
            </w:r>
          </w:p>
        </w:tc>
        <w:tc>
          <w:tcPr>
            <w:tcW w:w="5221" w:type="dxa"/>
            <w:vAlign w:val="center"/>
          </w:tcPr>
          <w:p w14:paraId="58106B4F"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Designed based on chemical pre-treatments (e.g., sodium bicarbonate). Uses a cylinder concave mechanism.</w:t>
            </w:r>
          </w:p>
        </w:tc>
        <w:tc>
          <w:tcPr>
            <w:tcW w:w="1508" w:type="dxa"/>
          </w:tcPr>
          <w:p w14:paraId="08F1AB6A" w14:textId="77777777" w:rsidR="00213D4F" w:rsidRPr="00A75138" w:rsidRDefault="005016B9"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007E3E60" w:rsidRPr="00A75138">
              <w:rPr>
                <w:rFonts w:ascii="Arial" w:eastAsia="Times New Roman" w:hAnsi="Arial" w:cs="Arial"/>
                <w:sz w:val="20"/>
                <w:lang w:eastAsia="en-IN"/>
              </w:rPr>
              <w:instrText>ADDIN CSL_CITATION {"citationItems":[{"id":"ITEM-1","itemData":{"DOI":"10.1016/j.afres.2022.100171","ISSN":"2772-5022","author":[{"dropping-particle":"","family":"Gurusamy","given":"Sindumathi","non-dropping-particle":"","parse-names":false,"suffix":""},{"dropping-particle":"","family":"Vidhya","given":"C S","non-dropping-particle":"","parse-names":false,"suffix":""},{"dropping-particle":"","family":"Yuvraj","given":"Bhosale","non-dropping-particle":"","parse-names":false,"suffix":""},{"dropping-particle":"","family":"Shanmugam","given":"Akalya","non-dropping-particle":"","parse-names":false,"suffix":""}],"container-title":"Applied Food Research","id":"ITEM-1","issue":"2","issued":{"date-parts":[["2022"]]},"page":"100171","publisher":"Elsevier B.V.","title":"Pulses for health and their varied ways of processing and consumption in India - A review","type":"article-journal","volume":"2"},"uris":["http://www.mendeley.com/documents/?uuid=6027385a-6448-4aef-ac23-ce5f28e59d17"]}],"mendeley":{"formattedCitation":"(Gurusamy et al., 2022)","plainTextFormattedCitation":"(Gurusamy et al., 2022)","previouslyFormattedCitation":"(Gurusamy et al., 2022)"},"properties":{"noteIndex":0},"schema":"https://github.com/citation-style-language/schema/raw/master/csl-citation.json"}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 xml:space="preserve">(Gurusamy </w:t>
            </w:r>
            <w:r w:rsidRPr="001D4067">
              <w:rPr>
                <w:rFonts w:ascii="Arial" w:eastAsia="Times New Roman" w:hAnsi="Arial" w:cs="Arial"/>
                <w:i/>
                <w:iCs/>
                <w:noProof/>
                <w:sz w:val="20"/>
                <w:lang w:eastAsia="en-IN"/>
              </w:rPr>
              <w:t xml:space="preserve">et al., </w:t>
            </w:r>
            <w:r w:rsidRPr="00A75138">
              <w:rPr>
                <w:rFonts w:ascii="Arial" w:eastAsia="Times New Roman" w:hAnsi="Arial" w:cs="Arial"/>
                <w:noProof/>
                <w:sz w:val="20"/>
                <w:lang w:eastAsia="en-IN"/>
              </w:rPr>
              <w:t>2022)</w:t>
            </w:r>
            <w:r w:rsidRPr="00A75138">
              <w:rPr>
                <w:rFonts w:ascii="Arial" w:eastAsia="Times New Roman" w:hAnsi="Arial" w:cs="Arial"/>
                <w:sz w:val="20"/>
                <w:lang w:eastAsia="en-IN"/>
              </w:rPr>
              <w:fldChar w:fldCharType="end"/>
            </w:r>
          </w:p>
        </w:tc>
      </w:tr>
      <w:tr w:rsidR="00213D4F" w:rsidRPr="00A75138" w14:paraId="34E3662E" w14:textId="77777777" w:rsidTr="001D4067">
        <w:tc>
          <w:tcPr>
            <w:tcW w:w="570" w:type="dxa"/>
            <w:vAlign w:val="center"/>
          </w:tcPr>
          <w:p w14:paraId="3ABF018D"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8.</w:t>
            </w:r>
          </w:p>
        </w:tc>
        <w:tc>
          <w:tcPr>
            <w:tcW w:w="1717" w:type="dxa"/>
            <w:vAlign w:val="center"/>
          </w:tcPr>
          <w:p w14:paraId="4CAB64B9"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Emery Coated Inverted Cone Mill (CFTRI)</w:t>
            </w:r>
          </w:p>
        </w:tc>
        <w:tc>
          <w:tcPr>
            <w:tcW w:w="5221" w:type="dxa"/>
            <w:vAlign w:val="center"/>
          </w:tcPr>
          <w:p w14:paraId="6643F9A0"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A hand-operated pulse-</w:t>
            </w:r>
            <w:proofErr w:type="spellStart"/>
            <w:r w:rsidRPr="00A75138">
              <w:rPr>
                <w:rFonts w:ascii="Arial" w:eastAsia="Times New Roman" w:hAnsi="Arial" w:cs="Arial"/>
                <w:sz w:val="20"/>
                <w:lang w:eastAsia="en-IN"/>
              </w:rPr>
              <w:t>dehusking</w:t>
            </w:r>
            <w:proofErr w:type="spellEnd"/>
            <w:r w:rsidRPr="00A75138">
              <w:rPr>
                <w:rFonts w:ascii="Arial" w:eastAsia="Times New Roman" w:hAnsi="Arial" w:cs="Arial"/>
                <w:sz w:val="20"/>
                <w:lang w:eastAsia="en-IN"/>
              </w:rPr>
              <w:t xml:space="preserve"> machine for small-scale users. Rotates an emery coated inverted metal cone inside a conical wire mesh screen.</w:t>
            </w:r>
          </w:p>
        </w:tc>
        <w:tc>
          <w:tcPr>
            <w:tcW w:w="1508" w:type="dxa"/>
          </w:tcPr>
          <w:p w14:paraId="58CC68F5" w14:textId="5EB1EC43" w:rsidR="00213D4F" w:rsidRPr="00A75138" w:rsidRDefault="007E3E60" w:rsidP="001D4067">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001D4067">
              <w:rPr>
                <w:rFonts w:ascii="Arial" w:eastAsia="Times New Roman" w:hAnsi="Arial" w:cs="Arial"/>
                <w:sz w:val="20"/>
                <w:lang w:eastAsia="en-IN"/>
              </w:rPr>
              <w:instrText>ADDIN CSL_CITATION {"citationItems":[{"id":"ITEM-1","itemData":{"author":[{"dropping-particle":"","family":"Singh","given":"Vijay K","non-dropping-particle":"","parse-names":false,"suffix":""}],"id":"ITEM-1","issue":"2","issued":{"date-parts":[["2017"]]},"page":"83-86","title":"Testing and evaluation of CFTRI Dal mill for pigeonpea ( UPAS 120 )","type":"article-journal","volume":"30"},"uris":["http://www.mendeley.com/documents/?uuid=35d1f517-ead3-46b9-9ea3-ad66afbd4e34"]}],"mendeley":{"formattedCitation":"(V. K. Singh, 2017)","manualFormatting":"(Singh, 2017)","plainTextFormattedCitation":"(V. K. Singh, 2017)","previouslyFormattedCitation":"(V. K. Singh, 2017)"},"properties":{"noteIndex":0},"schema":"https://github.com/citation-style-language/schema/raw/master/csl-citation.json"}</w:instrText>
            </w:r>
            <w:r w:rsidRPr="00A75138">
              <w:rPr>
                <w:rFonts w:ascii="Arial" w:eastAsia="Times New Roman" w:hAnsi="Arial" w:cs="Arial"/>
                <w:sz w:val="20"/>
                <w:lang w:eastAsia="en-IN"/>
              </w:rPr>
              <w:fldChar w:fldCharType="separate"/>
            </w:r>
            <w:r w:rsidR="001D4067">
              <w:rPr>
                <w:rFonts w:ascii="Arial" w:eastAsia="Times New Roman" w:hAnsi="Arial" w:cs="Arial"/>
                <w:noProof/>
                <w:sz w:val="20"/>
                <w:lang w:eastAsia="en-IN"/>
              </w:rPr>
              <w:t>(</w:t>
            </w:r>
            <w:r w:rsidRPr="00A75138">
              <w:rPr>
                <w:rFonts w:ascii="Arial" w:eastAsia="Times New Roman" w:hAnsi="Arial" w:cs="Arial"/>
                <w:noProof/>
                <w:sz w:val="20"/>
                <w:lang w:eastAsia="en-IN"/>
              </w:rPr>
              <w:t>Singh, 2017)</w:t>
            </w:r>
            <w:r w:rsidRPr="00A75138">
              <w:rPr>
                <w:rFonts w:ascii="Arial" w:eastAsia="Times New Roman" w:hAnsi="Arial" w:cs="Arial"/>
                <w:sz w:val="20"/>
                <w:lang w:eastAsia="en-IN"/>
              </w:rPr>
              <w:fldChar w:fldCharType="end"/>
            </w:r>
          </w:p>
        </w:tc>
      </w:tr>
    </w:tbl>
    <w:p w14:paraId="0241AEAD" w14:textId="77777777" w:rsidR="001D4067" w:rsidRDefault="001D4067" w:rsidP="00C81016">
      <w:pPr>
        <w:spacing w:line="360" w:lineRule="auto"/>
        <w:jc w:val="both"/>
        <w:rPr>
          <w:rFonts w:ascii="Arial" w:hAnsi="Arial" w:cs="Arial"/>
          <w:sz w:val="20"/>
        </w:rPr>
      </w:pPr>
    </w:p>
    <w:p w14:paraId="211E7BEA" w14:textId="763C7788" w:rsidR="00B1705B" w:rsidRPr="00A75138" w:rsidRDefault="007E3E60" w:rsidP="00C81016">
      <w:pPr>
        <w:spacing w:line="360" w:lineRule="auto"/>
        <w:jc w:val="both"/>
        <w:rPr>
          <w:rFonts w:ascii="Arial" w:hAnsi="Arial" w:cs="Arial"/>
          <w:sz w:val="20"/>
        </w:rPr>
      </w:pPr>
      <w:r w:rsidRPr="00A75138">
        <w:rPr>
          <w:rFonts w:ascii="Arial" w:hAnsi="Arial" w:cs="Arial"/>
          <w:sz w:val="20"/>
        </w:rPr>
        <w:t xml:space="preserve">The success of the mini dal mill enterprise is exemplified by the case of Smt. Jayashree </w:t>
      </w:r>
      <w:proofErr w:type="spellStart"/>
      <w:r w:rsidRPr="00A75138">
        <w:rPr>
          <w:rFonts w:ascii="Arial" w:hAnsi="Arial" w:cs="Arial"/>
          <w:sz w:val="20"/>
        </w:rPr>
        <w:t>Kolate</w:t>
      </w:r>
      <w:proofErr w:type="spellEnd"/>
      <w:r w:rsidRPr="00A75138">
        <w:rPr>
          <w:rFonts w:ascii="Arial" w:hAnsi="Arial" w:cs="Arial"/>
          <w:sz w:val="20"/>
        </w:rPr>
        <w:t xml:space="preserve"> Patil from </w:t>
      </w:r>
      <w:proofErr w:type="spellStart"/>
      <w:r w:rsidRPr="00A75138">
        <w:rPr>
          <w:rFonts w:ascii="Arial" w:hAnsi="Arial" w:cs="Arial"/>
          <w:sz w:val="20"/>
        </w:rPr>
        <w:t>Katgaon</w:t>
      </w:r>
      <w:proofErr w:type="spellEnd"/>
      <w:r w:rsidRPr="00A75138">
        <w:rPr>
          <w:rFonts w:ascii="Arial" w:hAnsi="Arial" w:cs="Arial"/>
          <w:sz w:val="20"/>
        </w:rPr>
        <w:t xml:space="preserve"> village, Latur district, Maharashtra. By establishing a small-scale pulse processing unit, she effectively utilized locally available pulses for value addition and income generation. The mini dal mill generated a net annual i</w:t>
      </w:r>
      <w:r w:rsidR="00C60CF4">
        <w:rPr>
          <w:rFonts w:ascii="Arial" w:hAnsi="Arial" w:cs="Arial"/>
          <w:sz w:val="20"/>
        </w:rPr>
        <w:t>ncome of Rs. 3.</w:t>
      </w:r>
      <w:r w:rsidRPr="00A75138">
        <w:rPr>
          <w:rFonts w:ascii="Arial" w:hAnsi="Arial" w:cs="Arial"/>
          <w:sz w:val="20"/>
        </w:rPr>
        <w:t>24 lakh. Consequently, her overall socioeconomic status improved, with total annual earnings from farming and allied activities, including pulse processing, reaching Rs. 7–8 lakh. Additionally, she developed her own marketing strategies and branded her processed pulse products under the name “Single Horse,” demonstrating successful rural entrepreneurship and women-led agribusiness development</w:t>
      </w:r>
      <w:r w:rsidR="001D4067">
        <w:rPr>
          <w:rFonts w:ascii="Arial" w:hAnsi="Arial" w:cs="Arial"/>
          <w:sz w:val="20"/>
        </w:rPr>
        <w:t xml:space="preserve"> </w:t>
      </w:r>
      <w:r w:rsidR="001D4067">
        <w:rPr>
          <w:rFonts w:ascii="Arial" w:hAnsi="Arial" w:cs="Arial"/>
          <w:sz w:val="20"/>
        </w:rPr>
        <w:fldChar w:fldCharType="begin" w:fldLock="1"/>
      </w:r>
      <w:r w:rsidR="001D4067">
        <w:rPr>
          <w:rFonts w:ascii="Arial" w:hAnsi="Arial" w:cs="Arial"/>
          <w:sz w:val="20"/>
        </w:rPr>
        <w:instrText>ADDIN CSL_CITATION {"citationItems":[{"id":"ITEM-1","itemData":{"author":[{"dropping-particle":"","family":"Singh","given":"Kanchan","non-dropping-particle":"","parse-names":false,"suffix":""}],"id":"ITEM-1","issue":"April 2015","issued":{"date-parts":[["2022"]]},"page":"3-5","title":"Pulse Processing : Jayshree has solved the biggest problem of the farmers of Latur district of Maharasthra , often known as ‘ Bowl of Pulses ’ Fixed Benefit of ₹ 50000 *","type":"article-journal"},"uris":["http://www.mendeley.com/documents/?uuid=6251d3f4-1dda-493f-8461-45c33fd8b771"]}],"mendeley":{"formattedCitation":"(K. Singh, 2022)","manualFormatting":"(Singh, 2022)","plainTextFormattedCitation":"(K. Singh, 2022)"},"properties":{"noteIndex":0},"schema":"https://github.com/citation-style-language/schema/raw/master/csl-citation.json"}</w:instrText>
      </w:r>
      <w:r w:rsidR="001D4067">
        <w:rPr>
          <w:rFonts w:ascii="Arial" w:hAnsi="Arial" w:cs="Arial"/>
          <w:sz w:val="20"/>
        </w:rPr>
        <w:fldChar w:fldCharType="separate"/>
      </w:r>
      <w:r w:rsidR="001D4067">
        <w:rPr>
          <w:rFonts w:ascii="Arial" w:hAnsi="Arial" w:cs="Arial"/>
          <w:noProof/>
          <w:sz w:val="20"/>
        </w:rPr>
        <w:t>(</w:t>
      </w:r>
      <w:r w:rsidR="001D4067" w:rsidRPr="001D4067">
        <w:rPr>
          <w:rFonts w:ascii="Arial" w:hAnsi="Arial" w:cs="Arial"/>
          <w:noProof/>
          <w:sz w:val="20"/>
        </w:rPr>
        <w:t>Singh, 2022)</w:t>
      </w:r>
      <w:r w:rsidR="001D4067">
        <w:rPr>
          <w:rFonts w:ascii="Arial" w:hAnsi="Arial" w:cs="Arial"/>
          <w:sz w:val="20"/>
        </w:rPr>
        <w:fldChar w:fldCharType="end"/>
      </w:r>
      <w:r w:rsidRPr="00A75138">
        <w:rPr>
          <w:rFonts w:ascii="Arial" w:hAnsi="Arial" w:cs="Arial"/>
          <w:sz w:val="20"/>
        </w:rPr>
        <w:t>.</w:t>
      </w:r>
    </w:p>
    <w:p w14:paraId="29847EB9" w14:textId="77777777" w:rsidR="00B1705B" w:rsidRPr="00A75138" w:rsidRDefault="00B1705B" w:rsidP="00C81016">
      <w:pPr>
        <w:spacing w:line="360" w:lineRule="auto"/>
        <w:jc w:val="both"/>
        <w:rPr>
          <w:rFonts w:ascii="Arial" w:hAnsi="Arial" w:cs="Arial"/>
          <w:sz w:val="20"/>
        </w:rPr>
      </w:pPr>
    </w:p>
    <w:p w14:paraId="5AFE5A52" w14:textId="16F4C57F" w:rsidR="00B1705B" w:rsidRPr="00A75138" w:rsidRDefault="00DE2CEA" w:rsidP="00C81016">
      <w:pPr>
        <w:spacing w:line="360" w:lineRule="auto"/>
        <w:jc w:val="both"/>
        <w:rPr>
          <w:rFonts w:ascii="Arial" w:hAnsi="Arial" w:cs="Arial"/>
          <w:sz w:val="24"/>
          <w:szCs w:val="22"/>
        </w:rPr>
      </w:pPr>
      <w:r w:rsidRPr="00A75138">
        <w:rPr>
          <w:rFonts w:ascii="Arial" w:hAnsi="Arial" w:cs="Arial"/>
          <w:noProof/>
          <w:lang w:eastAsia="en-IN"/>
        </w:rPr>
        <w:lastRenderedPageBreak/>
        <w:drawing>
          <wp:anchor distT="0" distB="0" distL="114300" distR="114300" simplePos="0" relativeHeight="251661312" behindDoc="0" locked="0" layoutInCell="1" allowOverlap="1" wp14:anchorId="362C9E5D" wp14:editId="2B5119F0">
            <wp:simplePos x="0" y="0"/>
            <wp:positionH relativeFrom="margin">
              <wp:posOffset>-38100</wp:posOffset>
            </wp:positionH>
            <wp:positionV relativeFrom="paragraph">
              <wp:posOffset>0</wp:posOffset>
            </wp:positionV>
            <wp:extent cx="3108960" cy="2827020"/>
            <wp:effectExtent l="0" t="0" r="0" b="0"/>
            <wp:wrapThrough wrapText="bothSides">
              <wp:wrapPolygon edited="0">
                <wp:start x="0" y="0"/>
                <wp:lineTo x="0" y="21396"/>
                <wp:lineTo x="21441" y="21396"/>
                <wp:lineTo x="21441" y="0"/>
                <wp:lineTo x="0" y="0"/>
              </wp:wrapPolygon>
            </wp:wrapThrough>
            <wp:docPr id="6" name="Picture 6" descr="PKV Dal Mill Machines - PKV Mini Dal Mill Plant Manufactur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KV Dal Mill Machines - PKV Mini Dal Mill Plant Manufacture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8960" cy="2827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DBD0D5" w14:textId="6EC4A492" w:rsidR="00187F1C" w:rsidRPr="00A75138" w:rsidRDefault="00181198" w:rsidP="00C81016">
      <w:pPr>
        <w:spacing w:line="360" w:lineRule="auto"/>
        <w:jc w:val="both"/>
        <w:rPr>
          <w:rFonts w:ascii="Arial" w:hAnsi="Arial" w:cs="Arial"/>
          <w:sz w:val="24"/>
          <w:szCs w:val="22"/>
        </w:rPr>
      </w:pPr>
      <w:r>
        <w:rPr>
          <w:rFonts w:ascii="Arial" w:hAnsi="Arial" w:cs="Arial"/>
          <w:noProof/>
          <w:lang w:eastAsia="en-IN"/>
        </w:rPr>
        <mc:AlternateContent>
          <mc:Choice Requires="wps">
            <w:drawing>
              <wp:anchor distT="0" distB="0" distL="114300" distR="114300" simplePos="0" relativeHeight="251674624" behindDoc="0" locked="0" layoutInCell="1" allowOverlap="1" wp14:anchorId="0E6622E1" wp14:editId="5733E320">
                <wp:simplePos x="0" y="0"/>
                <wp:positionH relativeFrom="column">
                  <wp:posOffset>4266668</wp:posOffset>
                </wp:positionH>
                <wp:positionV relativeFrom="paragraph">
                  <wp:posOffset>946652</wp:posOffset>
                </wp:positionV>
                <wp:extent cx="95693" cy="148856"/>
                <wp:effectExtent l="0" t="0" r="19050" b="22860"/>
                <wp:wrapNone/>
                <wp:docPr id="1760655712" name="Oval 2"/>
                <wp:cNvGraphicFramePr/>
                <a:graphic xmlns:a="http://schemas.openxmlformats.org/drawingml/2006/main">
                  <a:graphicData uri="http://schemas.microsoft.com/office/word/2010/wordprocessingShape">
                    <wps:wsp>
                      <wps:cNvSpPr/>
                      <wps:spPr>
                        <a:xfrm>
                          <a:off x="0" y="0"/>
                          <a:ext cx="95693" cy="14885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4FC5F09" id="Oval 2" o:spid="_x0000_s1026" style="position:absolute;margin-left:335.95pt;margin-top:74.55pt;width:7.55pt;height:11.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" fillcolor="#5b9bd5 [3204]" strokecolor="#091723 [484]" strokeweight="1pt">
                <v:stroke joinstyle="miter"/>
              </v:oval>
            </w:pict>
          </mc:Fallback>
        </mc:AlternateContent>
      </w:r>
      <w:r>
        <w:rPr>
          <w:rFonts w:ascii="Arial" w:hAnsi="Arial" w:cs="Arial"/>
          <w:noProof/>
          <w:lang w:eastAsia="en-IN"/>
        </w:rPr>
        <mc:AlternateContent>
          <mc:Choice Requires="wps">
            <w:drawing>
              <wp:anchor distT="0" distB="0" distL="114300" distR="114300" simplePos="0" relativeHeight="251676672" behindDoc="0" locked="0" layoutInCell="1" allowOverlap="1" wp14:anchorId="6C840778" wp14:editId="30CD901D">
                <wp:simplePos x="0" y="0"/>
                <wp:positionH relativeFrom="column">
                  <wp:posOffset>3416433</wp:posOffset>
                </wp:positionH>
                <wp:positionV relativeFrom="paragraph">
                  <wp:posOffset>1021449</wp:posOffset>
                </wp:positionV>
                <wp:extent cx="95693" cy="148856"/>
                <wp:effectExtent l="0" t="0" r="19050" b="22860"/>
                <wp:wrapNone/>
                <wp:docPr id="1936217679" name="Oval 2"/>
                <wp:cNvGraphicFramePr/>
                <a:graphic xmlns:a="http://schemas.openxmlformats.org/drawingml/2006/main">
                  <a:graphicData uri="http://schemas.microsoft.com/office/word/2010/wordprocessingShape">
                    <wps:wsp>
                      <wps:cNvSpPr/>
                      <wps:spPr>
                        <a:xfrm>
                          <a:off x="0" y="0"/>
                          <a:ext cx="95693" cy="14885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878BC1D" id="Oval 2" o:spid="_x0000_s1026" style="position:absolute;margin-left:269pt;margin-top:80.45pt;width:7.55pt;height:11.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" fillcolor="#5b9bd5 [3204]" strokecolor="#091723 [484]" strokeweight="1pt">
                <v:stroke joinstyle="miter"/>
              </v:oval>
            </w:pict>
          </mc:Fallback>
        </mc:AlternateContent>
      </w:r>
      <w:r>
        <w:rPr>
          <w:rFonts w:ascii="Arial" w:hAnsi="Arial" w:cs="Arial"/>
          <w:noProof/>
          <w:lang w:eastAsia="en-IN"/>
        </w:rPr>
        <mc:AlternateContent>
          <mc:Choice Requires="wps">
            <w:drawing>
              <wp:anchor distT="0" distB="0" distL="114300" distR="114300" simplePos="0" relativeHeight="251678720" behindDoc="0" locked="0" layoutInCell="1" allowOverlap="1" wp14:anchorId="48BBA23F" wp14:editId="0A698E4E">
                <wp:simplePos x="0" y="0"/>
                <wp:positionH relativeFrom="column">
                  <wp:posOffset>3958428</wp:posOffset>
                </wp:positionH>
                <wp:positionV relativeFrom="paragraph">
                  <wp:posOffset>925224</wp:posOffset>
                </wp:positionV>
                <wp:extent cx="95693" cy="148856"/>
                <wp:effectExtent l="0" t="0" r="19050" b="22860"/>
                <wp:wrapNone/>
                <wp:docPr id="2120650583" name="Oval 2"/>
                <wp:cNvGraphicFramePr/>
                <a:graphic xmlns:a="http://schemas.openxmlformats.org/drawingml/2006/main">
                  <a:graphicData uri="http://schemas.microsoft.com/office/word/2010/wordprocessingShape">
                    <wps:wsp>
                      <wps:cNvSpPr/>
                      <wps:spPr>
                        <a:xfrm>
                          <a:off x="0" y="0"/>
                          <a:ext cx="95693" cy="14885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006AB99" id="Oval 2" o:spid="_x0000_s1026" style="position:absolute;margin-left:311.7pt;margin-top:72.85pt;width:7.55pt;height:11.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" fillcolor="#5b9bd5 [3204]" strokecolor="#091723 [484]" strokeweight="1pt">
                <v:stroke joinstyle="miter"/>
              </v:oval>
            </w:pict>
          </mc:Fallback>
        </mc:AlternateContent>
      </w:r>
      <w:r>
        <w:rPr>
          <w:rFonts w:ascii="Arial" w:hAnsi="Arial" w:cs="Arial"/>
          <w:noProof/>
          <w:lang w:eastAsia="en-IN"/>
        </w:rPr>
        <mc:AlternateContent>
          <mc:Choice Requires="wps">
            <w:drawing>
              <wp:anchor distT="0" distB="0" distL="114300" distR="114300" simplePos="0" relativeHeight="251668480" behindDoc="0" locked="0" layoutInCell="1" allowOverlap="1" wp14:anchorId="00095937" wp14:editId="7210A74F">
                <wp:simplePos x="0" y="0"/>
                <wp:positionH relativeFrom="column">
                  <wp:posOffset>4415539</wp:posOffset>
                </wp:positionH>
                <wp:positionV relativeFrom="paragraph">
                  <wp:posOffset>1020681</wp:posOffset>
                </wp:positionV>
                <wp:extent cx="95693" cy="148856"/>
                <wp:effectExtent l="0" t="0" r="19050" b="22860"/>
                <wp:wrapNone/>
                <wp:docPr id="136323489" name="Oval 2"/>
                <wp:cNvGraphicFramePr/>
                <a:graphic xmlns:a="http://schemas.openxmlformats.org/drawingml/2006/main">
                  <a:graphicData uri="http://schemas.microsoft.com/office/word/2010/wordprocessingShape">
                    <wps:wsp>
                      <wps:cNvSpPr/>
                      <wps:spPr>
                        <a:xfrm>
                          <a:off x="0" y="0"/>
                          <a:ext cx="95693" cy="14885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5C8BBD1" id="Oval 2" o:spid="_x0000_s1026" style="position:absolute;margin-left:347.7pt;margin-top:80.35pt;width:7.55pt;height:11.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" fillcolor="#5b9bd5 [3204]" strokecolor="#091723 [484]" strokeweight="1pt">
                <v:stroke joinstyle="miter"/>
              </v:oval>
            </w:pict>
          </mc:Fallback>
        </mc:AlternateContent>
      </w:r>
      <w:r>
        <w:rPr>
          <w:rFonts w:ascii="Arial" w:hAnsi="Arial" w:cs="Arial"/>
          <w:noProof/>
          <w:lang w:eastAsia="en-IN"/>
        </w:rPr>
        <mc:AlternateContent>
          <mc:Choice Requires="wps">
            <w:drawing>
              <wp:anchor distT="0" distB="0" distL="114300" distR="114300" simplePos="0" relativeHeight="251670528" behindDoc="0" locked="0" layoutInCell="1" allowOverlap="1" wp14:anchorId="360B483B" wp14:editId="342074AB">
                <wp:simplePos x="0" y="0"/>
                <wp:positionH relativeFrom="column">
                  <wp:posOffset>4766782</wp:posOffset>
                </wp:positionH>
                <wp:positionV relativeFrom="paragraph">
                  <wp:posOffset>967888</wp:posOffset>
                </wp:positionV>
                <wp:extent cx="95693" cy="148856"/>
                <wp:effectExtent l="0" t="0" r="19050" b="22860"/>
                <wp:wrapNone/>
                <wp:docPr id="586506153" name="Oval 2"/>
                <wp:cNvGraphicFramePr/>
                <a:graphic xmlns:a="http://schemas.openxmlformats.org/drawingml/2006/main">
                  <a:graphicData uri="http://schemas.microsoft.com/office/word/2010/wordprocessingShape">
                    <wps:wsp>
                      <wps:cNvSpPr/>
                      <wps:spPr>
                        <a:xfrm>
                          <a:off x="0" y="0"/>
                          <a:ext cx="95693" cy="14885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2C1B6F6" id="Oval 2" o:spid="_x0000_s1026" style="position:absolute;margin-left:375.35pt;margin-top:76.2pt;width:7.55pt;height:11.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" fillcolor="#5b9bd5 [3204]" strokecolor="#091723 [484]" strokeweight="1pt">
                <v:stroke joinstyle="miter"/>
              </v:oval>
            </w:pict>
          </mc:Fallback>
        </mc:AlternateContent>
      </w:r>
      <w:r>
        <w:rPr>
          <w:rFonts w:ascii="Arial" w:hAnsi="Arial" w:cs="Arial"/>
          <w:noProof/>
          <w:lang w:eastAsia="en-IN"/>
        </w:rPr>
        <mc:AlternateContent>
          <mc:Choice Requires="wps">
            <w:drawing>
              <wp:anchor distT="0" distB="0" distL="114300" distR="114300" simplePos="0" relativeHeight="251672576" behindDoc="0" locked="0" layoutInCell="1" allowOverlap="1" wp14:anchorId="3326A243" wp14:editId="58932410">
                <wp:simplePos x="0" y="0"/>
                <wp:positionH relativeFrom="column">
                  <wp:posOffset>5021698</wp:posOffset>
                </wp:positionH>
                <wp:positionV relativeFrom="paragraph">
                  <wp:posOffset>988887</wp:posOffset>
                </wp:positionV>
                <wp:extent cx="95693" cy="148856"/>
                <wp:effectExtent l="0" t="0" r="19050" b="22860"/>
                <wp:wrapNone/>
                <wp:docPr id="824116999" name="Oval 2"/>
                <wp:cNvGraphicFramePr/>
                <a:graphic xmlns:a="http://schemas.openxmlformats.org/drawingml/2006/main">
                  <a:graphicData uri="http://schemas.microsoft.com/office/word/2010/wordprocessingShape">
                    <wps:wsp>
                      <wps:cNvSpPr/>
                      <wps:spPr>
                        <a:xfrm>
                          <a:off x="0" y="0"/>
                          <a:ext cx="95693" cy="14885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0E63C8D" id="Oval 2" o:spid="_x0000_s1026" style="position:absolute;margin-left:395.4pt;margin-top:77.85pt;width:7.55pt;height:11.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" fillcolor="#5b9bd5 [3204]" strokecolor="#091723 [484]" strokeweight="1pt">
                <v:stroke joinstyle="miter"/>
              </v:oval>
            </w:pict>
          </mc:Fallback>
        </mc:AlternateContent>
      </w:r>
      <w:r>
        <w:rPr>
          <w:rFonts w:ascii="Arial" w:hAnsi="Arial" w:cs="Arial"/>
          <w:noProof/>
          <w:lang w:eastAsia="en-IN"/>
        </w:rPr>
        <mc:AlternateContent>
          <mc:Choice Requires="wps">
            <w:drawing>
              <wp:anchor distT="0" distB="0" distL="114300" distR="114300" simplePos="0" relativeHeight="251666432" behindDoc="0" locked="0" layoutInCell="1" allowOverlap="1" wp14:anchorId="5E1F7363" wp14:editId="36375F7D">
                <wp:simplePos x="0" y="0"/>
                <wp:positionH relativeFrom="column">
                  <wp:posOffset>3997842</wp:posOffset>
                </wp:positionH>
                <wp:positionV relativeFrom="paragraph">
                  <wp:posOffset>1092170</wp:posOffset>
                </wp:positionV>
                <wp:extent cx="95693" cy="148856"/>
                <wp:effectExtent l="0" t="0" r="19050" b="22860"/>
                <wp:wrapNone/>
                <wp:docPr id="2109964807" name="Oval 2"/>
                <wp:cNvGraphicFramePr/>
                <a:graphic xmlns:a="http://schemas.openxmlformats.org/drawingml/2006/main">
                  <a:graphicData uri="http://schemas.microsoft.com/office/word/2010/wordprocessingShape">
                    <wps:wsp>
                      <wps:cNvSpPr/>
                      <wps:spPr>
                        <a:xfrm>
                          <a:off x="0" y="0"/>
                          <a:ext cx="95693" cy="14885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4FC4AB9" id="Oval 2" o:spid="_x0000_s1026" style="position:absolute;margin-left:314.8pt;margin-top:86pt;width:7.55pt;height:11.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" fillcolor="#5b9bd5 [3204]" strokecolor="#091723 [484]" strokeweight="1pt">
                <v:stroke joinstyle="miter"/>
              </v:oval>
            </w:pict>
          </mc:Fallback>
        </mc:AlternateContent>
      </w:r>
      <w:r w:rsidR="00C60CF4" w:rsidRPr="00A75138">
        <w:rPr>
          <w:rFonts w:ascii="Arial" w:hAnsi="Arial" w:cs="Arial"/>
          <w:noProof/>
          <w:lang w:eastAsia="en-IN"/>
        </w:rPr>
        <w:drawing>
          <wp:anchor distT="0" distB="0" distL="114300" distR="114300" simplePos="0" relativeHeight="251660288" behindDoc="0" locked="0" layoutInCell="1" allowOverlap="1" wp14:anchorId="4A7DE5B8" wp14:editId="2C9D5D47">
            <wp:simplePos x="0" y="0"/>
            <wp:positionH relativeFrom="column">
              <wp:posOffset>3276600</wp:posOffset>
            </wp:positionH>
            <wp:positionV relativeFrom="paragraph">
              <wp:posOffset>466090</wp:posOffset>
            </wp:positionV>
            <wp:extent cx="2857500" cy="1600200"/>
            <wp:effectExtent l="0" t="0" r="0" b="0"/>
            <wp:wrapThrough wrapText="bothSides">
              <wp:wrapPolygon edited="0">
                <wp:start x="0" y="0"/>
                <wp:lineTo x="0" y="21343"/>
                <wp:lineTo x="21456" y="21343"/>
                <wp:lineTo x="21456" y="0"/>
                <wp:lineTo x="0" y="0"/>
              </wp:wrapPolygon>
            </wp:wrapThrough>
            <wp:docPr id="12" name="Picture 12" descr="वाटाड्या संशोधन व प्रशिक्षण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वाटाड्या संशोधन व प्रशिक्षण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p>
    <w:p w14:paraId="3ABAE00C" w14:textId="7F4130F6" w:rsidR="008E042C" w:rsidRPr="00A75138" w:rsidRDefault="008E042C" w:rsidP="00C81016">
      <w:pPr>
        <w:spacing w:line="360" w:lineRule="auto"/>
        <w:jc w:val="both"/>
        <w:rPr>
          <w:rFonts w:ascii="Arial" w:hAnsi="Arial" w:cs="Arial"/>
          <w:sz w:val="24"/>
          <w:szCs w:val="22"/>
        </w:rPr>
      </w:pPr>
    </w:p>
    <w:p w14:paraId="58A88859" w14:textId="02CDC43E" w:rsidR="00AC2486" w:rsidRPr="00A75138" w:rsidRDefault="00781304" w:rsidP="00FC520E">
      <w:pPr>
        <w:spacing w:line="360" w:lineRule="auto"/>
        <w:jc w:val="center"/>
        <w:rPr>
          <w:rFonts w:ascii="Arial" w:hAnsi="Arial" w:cs="Arial"/>
          <w:i/>
          <w:iCs/>
          <w:sz w:val="20"/>
        </w:rPr>
      </w:pPr>
      <w:r w:rsidRPr="00A75138">
        <w:rPr>
          <w:rFonts w:ascii="Arial" w:hAnsi="Arial" w:cs="Arial"/>
          <w:sz w:val="20"/>
        </w:rPr>
        <w:t xml:space="preserve">Fig 3. </w:t>
      </w:r>
      <w:r w:rsidR="001133FD" w:rsidRPr="00A75138">
        <w:rPr>
          <w:rFonts w:ascii="Arial" w:hAnsi="Arial" w:cs="Arial"/>
          <w:sz w:val="20"/>
        </w:rPr>
        <w:t>PKV dal mill</w:t>
      </w:r>
      <w:r w:rsidRPr="00A75138">
        <w:rPr>
          <w:rFonts w:ascii="Arial" w:hAnsi="Arial" w:cs="Arial"/>
          <w:sz w:val="20"/>
        </w:rPr>
        <w:t>; Dal processing using mini Dal mill</w:t>
      </w:r>
      <w:r w:rsidR="0092525D" w:rsidRPr="00A75138">
        <w:rPr>
          <w:rFonts w:ascii="Arial" w:hAnsi="Arial" w:cs="Arial"/>
          <w:i/>
          <w:iCs/>
          <w:sz w:val="20"/>
        </w:rPr>
        <w:t xml:space="preserve">. </w:t>
      </w:r>
      <w:r w:rsidR="0092525D" w:rsidRPr="00A75138">
        <w:rPr>
          <w:rFonts w:ascii="Arial" w:hAnsi="Arial" w:cs="Arial"/>
          <w:b/>
          <w:bCs/>
          <w:i/>
          <w:iCs/>
          <w:sz w:val="20"/>
        </w:rPr>
        <w:t>Image source: Krishi Vigyan Kendra, Dhule (Maharashtra)</w:t>
      </w:r>
    </w:p>
    <w:p w14:paraId="187EB5D2" w14:textId="18679414" w:rsidR="008E042C" w:rsidRPr="00A75138" w:rsidRDefault="008E042C" w:rsidP="00C81016">
      <w:pPr>
        <w:spacing w:line="360" w:lineRule="auto"/>
        <w:jc w:val="both"/>
        <w:rPr>
          <w:rFonts w:ascii="Arial" w:hAnsi="Arial" w:cs="Arial"/>
          <w:b/>
          <w:bCs/>
          <w:sz w:val="20"/>
        </w:rPr>
      </w:pPr>
      <w:r w:rsidRPr="00EB5B9D">
        <w:rPr>
          <w:rFonts w:ascii="Arial" w:hAnsi="Arial" w:cs="Arial"/>
          <w:b/>
          <w:bCs/>
          <w:szCs w:val="22"/>
        </w:rPr>
        <w:t>2.4. Solar tunnel dryer and its impact on shelf-life extension of agriculture prod</w:t>
      </w:r>
      <w:r w:rsidR="001133FD" w:rsidRPr="00EB5B9D">
        <w:rPr>
          <w:rFonts w:ascii="Arial" w:hAnsi="Arial" w:cs="Arial"/>
          <w:b/>
          <w:bCs/>
          <w:szCs w:val="22"/>
        </w:rPr>
        <w:t>ucts in rural</w:t>
      </w:r>
      <w:r w:rsidRPr="00EB5B9D">
        <w:rPr>
          <w:rFonts w:ascii="Arial" w:hAnsi="Arial" w:cs="Arial"/>
          <w:b/>
          <w:bCs/>
          <w:szCs w:val="22"/>
        </w:rPr>
        <w:t xml:space="preserve"> </w:t>
      </w:r>
      <w:r w:rsidR="001133FD" w:rsidRPr="00EB5B9D">
        <w:rPr>
          <w:rFonts w:ascii="Arial" w:hAnsi="Arial" w:cs="Arial"/>
          <w:b/>
          <w:bCs/>
          <w:szCs w:val="22"/>
        </w:rPr>
        <w:t>India</w:t>
      </w:r>
      <w:r w:rsidR="001133FD" w:rsidRPr="00A75138">
        <w:rPr>
          <w:rFonts w:ascii="Arial" w:hAnsi="Arial" w:cs="Arial"/>
          <w:b/>
          <w:bCs/>
          <w:sz w:val="20"/>
        </w:rPr>
        <w:t>.</w:t>
      </w:r>
    </w:p>
    <w:p w14:paraId="062620EC" w14:textId="225134BE" w:rsidR="00B56E11" w:rsidRPr="00A75138" w:rsidRDefault="001133FD" w:rsidP="00C81016">
      <w:pPr>
        <w:spacing w:line="360" w:lineRule="auto"/>
        <w:jc w:val="both"/>
        <w:rPr>
          <w:rFonts w:ascii="Arial" w:hAnsi="Arial" w:cs="Arial"/>
          <w:b/>
          <w:bCs/>
          <w:sz w:val="20"/>
        </w:rPr>
      </w:pPr>
      <w:r w:rsidRPr="00A75138">
        <w:rPr>
          <w:rFonts w:ascii="Arial" w:hAnsi="Arial" w:cs="Arial"/>
          <w:sz w:val="20"/>
        </w:rPr>
        <w:t>A solar dryer is a thermal drying system that harnesses solar energy to generate controlled hot air for efficient and hygienic moisture removal from food and agricultural products</w:t>
      </w:r>
      <w:r w:rsidR="00C60CF4">
        <w:rPr>
          <w:rFonts w:ascii="Arial" w:hAnsi="Arial" w:cs="Arial"/>
          <w:sz w:val="20"/>
        </w:rPr>
        <w:t xml:space="preserve"> </w:t>
      </w:r>
      <w:r w:rsidR="00B56E11" w:rsidRPr="00A75138">
        <w:rPr>
          <w:rFonts w:ascii="Arial" w:hAnsi="Arial" w:cs="Arial"/>
          <w:sz w:val="20"/>
        </w:rPr>
        <w:fldChar w:fldCharType="begin" w:fldLock="1"/>
      </w:r>
      <w:r w:rsidR="004802C7" w:rsidRPr="00A75138">
        <w:rPr>
          <w:rFonts w:ascii="Arial" w:hAnsi="Arial" w:cs="Arial"/>
          <w:sz w:val="20"/>
        </w:rPr>
        <w:instrText>ADDIN CSL_CITATION {"citationItems":[{"id":"ITEM-1","itemData":{"author":[{"dropping-particle":"","family":"Fernandes","given":"Lisete","non-dropping-particle":"","parse-names":false,"suffix":""}],"id":"ITEM-1","issued":{"date-parts":[["2024"]]},"page":"15-42","title":"A Review on Solar Drying Devices : Heat Transfer , Air Movement and Type of Chambers","type":"article-journal"},"uris":["http://www.mendeley.com/documents/?uuid=2c79fe9a-9422-4b82-b7dd-19506866f8ee"]}],"mendeley":{"formattedCitation":"(Fernandes, 2024)","plainTextFormattedCitation":"(Fernandes, 2024)","previouslyFormattedCitation":"(Fernandes, 2024)"},"properties":{"noteIndex":0},"schema":"https://github.com/citation-style-language/schema/raw/master/csl-citation.json"}</w:instrText>
      </w:r>
      <w:r w:rsidR="00B56E11" w:rsidRPr="00A75138">
        <w:rPr>
          <w:rFonts w:ascii="Arial" w:hAnsi="Arial" w:cs="Arial"/>
          <w:sz w:val="20"/>
        </w:rPr>
        <w:fldChar w:fldCharType="separate"/>
      </w:r>
      <w:r w:rsidR="00B56E11" w:rsidRPr="00A75138">
        <w:rPr>
          <w:rFonts w:ascii="Arial" w:hAnsi="Arial" w:cs="Arial"/>
          <w:noProof/>
          <w:sz w:val="20"/>
        </w:rPr>
        <w:t>(Fernandes, 2024)</w:t>
      </w:r>
      <w:r w:rsidR="00B56E11" w:rsidRPr="00A75138">
        <w:rPr>
          <w:rFonts w:ascii="Arial" w:hAnsi="Arial" w:cs="Arial"/>
          <w:sz w:val="20"/>
        </w:rPr>
        <w:fldChar w:fldCharType="end"/>
      </w:r>
      <w:r w:rsidRPr="00A75138">
        <w:rPr>
          <w:rFonts w:ascii="Arial" w:hAnsi="Arial" w:cs="Arial"/>
          <w:sz w:val="20"/>
        </w:rPr>
        <w:t>. It operates by converting incident solar radiation into thermal energy that heats the inlet air and enhances its moisture-carrying capacity. In the air-heating section, solar energy is absorbed by a collector surface, elevating the air temperature and reducing its relative humidity</w:t>
      </w:r>
      <w:r w:rsidR="00712823" w:rsidRPr="00A75138">
        <w:rPr>
          <w:rFonts w:ascii="Arial" w:hAnsi="Arial" w:cs="Arial"/>
          <w:sz w:val="20"/>
        </w:rPr>
        <w:t xml:space="preserve"> </w:t>
      </w:r>
      <w:r w:rsidR="004802C7" w:rsidRPr="00A75138">
        <w:rPr>
          <w:rFonts w:ascii="Arial" w:hAnsi="Arial" w:cs="Arial"/>
          <w:sz w:val="20"/>
        </w:rPr>
        <w:fldChar w:fldCharType="begin" w:fldLock="1"/>
      </w:r>
      <w:r w:rsidR="004802C7" w:rsidRPr="00A75138">
        <w:rPr>
          <w:rFonts w:ascii="Arial" w:hAnsi="Arial" w:cs="Arial"/>
          <w:sz w:val="20"/>
        </w:rPr>
        <w:instrText>ADDIN CSL_CITATION {"citationItems":[{"id":"ITEM-1","itemData":{"author":[{"dropping-particle":"","family":"Kumar","given":"Sudhir","non-dropping-particle":"","parse-names":false,"suffix":""},{"dropping-particle":"V","family":"Tyagi","given":"V","non-dropping-particle":"","parse-names":false,"suffix":""},{"dropping-particle":"","family":"Chopra","given":"K","non-dropping-particle":"","parse-names":false,"suffix":""},{"dropping-particle":"","family":"Kalidasan","given":"B","non-dropping-particle":"","parse-names":false,"suffix":""},{"dropping-particle":"","family":"Pandey","given":"A K","non-dropping-particle":"","parse-names":false,"suffix":""}],"id":"ITEM-1","issue":"July 2022","issued":{"date-parts":[["2023"]]},"page":"106521","title":"Energy , exergy , economic and environmental analyses of solar air heating systems with and without thermal energy storage for sustainable development : A systematic review","type":"article-journal","volume":"59"},"uris":["http://www.mendeley.com/documents/?uuid=c29251b1-bda7-41e8-a786-5b74bed36326"]}],"mendeley":{"formattedCitation":"(Kumar et al., 2023)","plainTextFormattedCitation":"(Kumar et al., 2023)","previouslyFormattedCitation":"(Kumar et al., 2023)"},"properties":{"noteIndex":0},"schema":"https://github.com/citation-style-language/schema/raw/master/csl-citation.json"}</w:instrText>
      </w:r>
      <w:r w:rsidR="004802C7" w:rsidRPr="00A75138">
        <w:rPr>
          <w:rFonts w:ascii="Arial" w:hAnsi="Arial" w:cs="Arial"/>
          <w:sz w:val="20"/>
        </w:rPr>
        <w:fldChar w:fldCharType="separate"/>
      </w:r>
      <w:r w:rsidR="004802C7" w:rsidRPr="00A75138">
        <w:rPr>
          <w:rFonts w:ascii="Arial" w:hAnsi="Arial" w:cs="Arial"/>
          <w:noProof/>
          <w:sz w:val="20"/>
        </w:rPr>
        <w:t xml:space="preserve">(Kumar </w:t>
      </w:r>
      <w:r w:rsidR="004802C7" w:rsidRPr="00A75138">
        <w:rPr>
          <w:rFonts w:ascii="Arial" w:hAnsi="Arial" w:cs="Arial"/>
          <w:i/>
          <w:iCs/>
          <w:noProof/>
          <w:sz w:val="20"/>
        </w:rPr>
        <w:t>et al.,</w:t>
      </w:r>
      <w:r w:rsidR="004802C7" w:rsidRPr="00A75138">
        <w:rPr>
          <w:rFonts w:ascii="Arial" w:hAnsi="Arial" w:cs="Arial"/>
          <w:noProof/>
          <w:sz w:val="20"/>
        </w:rPr>
        <w:t xml:space="preserve"> 2023)</w:t>
      </w:r>
      <w:r w:rsidR="004802C7" w:rsidRPr="00A75138">
        <w:rPr>
          <w:rFonts w:ascii="Arial" w:hAnsi="Arial" w:cs="Arial"/>
          <w:sz w:val="20"/>
        </w:rPr>
        <w:fldChar w:fldCharType="end"/>
      </w:r>
      <w:r w:rsidRPr="00A75138">
        <w:rPr>
          <w:rFonts w:ascii="Arial" w:hAnsi="Arial" w:cs="Arial"/>
          <w:sz w:val="20"/>
        </w:rPr>
        <w:t>. The resulting hot, low-RH air is directed through the drying chamber, where it transfers heat to the product, accelerates surface and internal moisture evaporation, and becomes progressively moisture-laden. Efficient drying requires continuous removal of this humid air. In passive systems, buoyancy-driven flow (stack effect) enables natural convection, while forced-convection systems employ blowers to maintain controlled airflow rates. Indirect solar dryer configurations prevent direct solar exposure, thereby minimizing photo-degradation, colour loss, and microbial or environmental contamination</w:t>
      </w:r>
      <w:r w:rsidR="00712823" w:rsidRPr="00A75138">
        <w:rPr>
          <w:rFonts w:ascii="Arial" w:hAnsi="Arial" w:cs="Arial"/>
          <w:sz w:val="20"/>
        </w:rPr>
        <w:t xml:space="preserve"> </w:t>
      </w:r>
      <w:r w:rsidR="004802C7" w:rsidRPr="00A75138">
        <w:rPr>
          <w:rFonts w:ascii="Arial" w:hAnsi="Arial" w:cs="Arial"/>
          <w:sz w:val="20"/>
        </w:rPr>
        <w:fldChar w:fldCharType="begin" w:fldLock="1"/>
      </w:r>
      <w:r w:rsidR="00C60CF4">
        <w:rPr>
          <w:rFonts w:ascii="Arial" w:hAnsi="Arial" w:cs="Arial"/>
          <w:sz w:val="20"/>
        </w:rPr>
        <w:instrText>ADDIN CSL_CITATION {"citationItems":[{"id":"ITEM-1","itemData":{"DOI":"10.1016/j.apenergy.2019.114005","ISSN":"03062619","abstract":"Inadequate preservation techniques and poor storage provisions lead to deterioration in the quality of agricultural products. Advanced processing techniques have been used to reduce postharvest losses of agricultural goods. Drying is a processing technique used for food product preservation. Drying by solar energy is an ancient food preservation technique. Solar dryers of various sizes, capacities and designs are available for drying applications in agricultural industries. Indirect type solar dryer (ITSD) is one of the prominent dryers used to dry food products and this type of dryer with its unique features, types, and different technique incorporated to improve its performance has not been investigated so far in any detail. The purpose of this work is to review the features and benefits of ITSD. A commonly used classification of different types of solar dryers is also presented. Heat transfer enhancement on ITSD and the influence of pre-treatment before drying are also effectively reviewed. Payback period and cost analysis of ITSD are discussed. Important findings on ITSD have been reviewed, discussed and tabulated. The most dominant parameters affecting the drying rate are air temperature and velocity, followed by solar radiation, type of product, initial moisture content and total mass of the product. Passive solar dyers were easy to fabricate compared to active dryers. The drying rate of pre-treated foods was high and the quality of the product remained intact after drying.","author":[{"dropping-particle":"","family":"Lingayat","given":"Abhay Bhanudas","non-dropping-particle":"","parse-names":false,"suffix":""},{"dropping-particle":"","family":"Chandramohan","given":"V. P.","non-dropping-particle":"","parse-names":false,"suffix":""},{"dropping-particle":"","family":"Raju","given":"V. R.K.","non-dropping-particle":"","parse-names":false,"suffix":""},{"dropping-particle":"","family":"Meda","given":"Venkatesh","non-dropping-particle":"","parse-names":false,"suffix":""}],"container-title":"Applied Energy","id":"ITEM-1","issue":"October 2019","issued":{"date-parts":[["2020"]]},"page":"114005","publisher":"Elsevier","title":"A review on indirect type solar dryers for agricultural crops – Dryer setup, its performance, energy storage and important highlights","type":"article-journal","volume":"258"},"uris":["http://www.mendeley.com/documents/?uuid=0168e907-b91d-4335-bb38-d15460e230c4"]}],"mendeley":{"formattedCitation":"(Lingayat et al., 2020)","manualFormatting":"(Lingayat et al., 2020","plainTextFormattedCitation":"(Lingayat et al., 2020)","previouslyFormattedCitation":"(Lingayat et al., 2020)"},"properties":{"noteIndex":0},"schema":"https://github.com/citation-style-language/schema/raw/master/csl-citation.json"}</w:instrText>
      </w:r>
      <w:r w:rsidR="004802C7" w:rsidRPr="00A75138">
        <w:rPr>
          <w:rFonts w:ascii="Arial" w:hAnsi="Arial" w:cs="Arial"/>
          <w:sz w:val="20"/>
        </w:rPr>
        <w:fldChar w:fldCharType="separate"/>
      </w:r>
      <w:r w:rsidR="004802C7" w:rsidRPr="00A75138">
        <w:rPr>
          <w:rFonts w:ascii="Arial" w:hAnsi="Arial" w:cs="Arial"/>
          <w:noProof/>
          <w:sz w:val="20"/>
        </w:rPr>
        <w:t xml:space="preserve">(Lingayat </w:t>
      </w:r>
      <w:r w:rsidR="004802C7" w:rsidRPr="00A75138">
        <w:rPr>
          <w:rFonts w:ascii="Arial" w:hAnsi="Arial" w:cs="Arial"/>
          <w:i/>
          <w:iCs/>
          <w:noProof/>
          <w:sz w:val="20"/>
        </w:rPr>
        <w:t xml:space="preserve">et al., </w:t>
      </w:r>
      <w:r w:rsidR="004802C7" w:rsidRPr="00A75138">
        <w:rPr>
          <w:rFonts w:ascii="Arial" w:hAnsi="Arial" w:cs="Arial"/>
          <w:noProof/>
          <w:sz w:val="20"/>
        </w:rPr>
        <w:t>2020</w:t>
      </w:r>
      <w:r w:rsidR="004802C7" w:rsidRPr="00A75138">
        <w:rPr>
          <w:rFonts w:ascii="Arial" w:hAnsi="Arial" w:cs="Arial"/>
          <w:sz w:val="20"/>
        </w:rPr>
        <w:fldChar w:fldCharType="end"/>
      </w:r>
      <w:r w:rsidR="00C60CF4">
        <w:rPr>
          <w:rFonts w:ascii="Arial" w:hAnsi="Arial" w:cs="Arial"/>
          <w:sz w:val="20"/>
        </w:rPr>
        <w:t>;</w:t>
      </w:r>
      <w:r w:rsidR="004802C7" w:rsidRPr="00A75138">
        <w:rPr>
          <w:rFonts w:ascii="Arial" w:hAnsi="Arial" w:cs="Arial"/>
          <w:sz w:val="20"/>
        </w:rPr>
        <w:t xml:space="preserve"> </w:t>
      </w:r>
      <w:r w:rsidR="004802C7" w:rsidRPr="00A75138">
        <w:rPr>
          <w:rFonts w:ascii="Arial" w:hAnsi="Arial" w:cs="Arial"/>
          <w:sz w:val="20"/>
        </w:rPr>
        <w:fldChar w:fldCharType="begin" w:fldLock="1"/>
      </w:r>
      <w:r w:rsidR="0081370D" w:rsidRPr="00A75138">
        <w:rPr>
          <w:rFonts w:ascii="Arial" w:hAnsi="Arial" w:cs="Arial"/>
          <w:sz w:val="20"/>
        </w:rPr>
        <w:instrText>ADDIN CSL_CITATION {"citationItems":[{"id":"ITEM-1","itemData":{"DOI":"10.1016/j.gerr.2025.100118","ISSN":"29497205","abstract":"As the world transitions towards green energy sources solar drying has become a vital technology for sustainable agricultural production, offering a cleaner, more efficient alternative to traditional drying methods. Solar drying has been demonstrated to be a sustainable and eco-friendly drying process for drying and preserving agricultural products, offering advantages over traditional methods that include faster drying rates, improved product quality, and reduced energy costs. This review examines the mechanisms and methods applicable to solar drying, including indirect and direct solar drying, hybrid systems combining solar drying with other heating sources, and thermal storage materials to address challenges such as intermittent solar radiation. The designs of solar drying systems include various solar collector configurations, drying chamber geometries, and air conveyance mechanisms crucial for efficient drying. This review therefore explores different design approaches and their effects on drying performance, highlighting the importance of understanding the complex interactions between system components. Additionally, the approach for Energy and exergy analysis of solar drying systems was explored, providing insights into energy utilization and efficiency. Finally, this review elucidates the complex transport phenomena governing solar drying, including moisture diffusion, heat and mass transfer, and airflow patterns. It identifies knowledge gaps in existing models and future research directions in transport modelling phenomena to advance sustainable, efficient, and scalable solar drying techniques.","author":[{"dropping-particle":"","family":"Nnamchi","given":"Onyinyechi","non-dropping-particle":"","parse-names":false,"suffix":""},{"dropping-particle":"","family":"Tom","given":"Cyprian","non-dropping-particle":"","parse-names":false,"suffix":""},{"dropping-particle":"","family":"Akpan","given":"Godwin","non-dropping-particle":"","parse-names":false,"suffix":""},{"dropping-particle":"","family":"Umunna","given":"Murphy","non-dropping-particle":"","parse-names":false,"suffix":""},{"dropping-particle":"","family":"Ubong","given":"David","non-dropping-particle":"","parse-names":false,"suffix":""},{"dropping-particle":"","family":"Ibeh","given":"Mathew","non-dropping-particle":"","parse-names":false,"suffix":""},{"dropping-particle":"","family":"Linus–Chibuezeh","given":"Adindu","non-dropping-particle":"","parse-names":false,"suffix":""},{"dropping-particle":"","family":"Akuwueke","given":"Leonard","non-dropping-particle":"","parse-names":false,"suffix":""},{"dropping-particle":"","family":"Nnamchi","given":"Stephen","non-dropping-particle":"","parse-names":false,"suffix":""},{"dropping-particle":"","family":"Ben","given":"Augustine","non-dropping-particle":"","parse-names":false,"suffix":""},{"dropping-particle":"","family":"Ndukwu","given":"Macmanus","non-dropping-particle":"","parse-names":false,"suffix":""}],"container-title":"Green Energy and Resources","id":"ITEM-1","issue":"2","issued":{"date-parts":[["2025"]]},"page":"100118","publisher":"The Author(s)","title":"Solar dryers: A review of mechanism, methods and critical analysis of transport models applicable in solar drying of product","type":"article-journal","volume":"3"},"uris":["http://www.mendeley.com/documents/?uuid=8131497a-a55e-4504-8914-74b2b384f554"]}],"mendeley":{"formattedCitation":"(Nnamchi et al., 2025)","plainTextFormattedCitation":"(Nnamchi et al., 2025)","previouslyFormattedCitation":"(Nnamchi et al., 2025)"},"properties":{"noteIndex":0},"schema":"https://github.com/citation-style-language/schema/raw/master/csl-citation.json"}</w:instrText>
      </w:r>
      <w:r w:rsidR="004802C7" w:rsidRPr="00A75138">
        <w:rPr>
          <w:rFonts w:ascii="Arial" w:hAnsi="Arial" w:cs="Arial"/>
          <w:sz w:val="20"/>
        </w:rPr>
        <w:fldChar w:fldCharType="separate"/>
      </w:r>
      <w:r w:rsidR="004802C7" w:rsidRPr="00A75138">
        <w:rPr>
          <w:rFonts w:ascii="Arial" w:hAnsi="Arial" w:cs="Arial"/>
          <w:noProof/>
          <w:sz w:val="20"/>
        </w:rPr>
        <w:t xml:space="preserve">Nnamchi </w:t>
      </w:r>
      <w:r w:rsidR="004802C7" w:rsidRPr="00A75138">
        <w:rPr>
          <w:rFonts w:ascii="Arial" w:hAnsi="Arial" w:cs="Arial"/>
          <w:i/>
          <w:iCs/>
          <w:noProof/>
          <w:sz w:val="20"/>
        </w:rPr>
        <w:t>et al.,</w:t>
      </w:r>
      <w:r w:rsidR="004802C7" w:rsidRPr="00A75138">
        <w:rPr>
          <w:rFonts w:ascii="Arial" w:hAnsi="Arial" w:cs="Arial"/>
          <w:noProof/>
          <w:sz w:val="20"/>
        </w:rPr>
        <w:t xml:space="preserve"> 2025)</w:t>
      </w:r>
      <w:r w:rsidR="004802C7" w:rsidRPr="00A75138">
        <w:rPr>
          <w:rFonts w:ascii="Arial" w:hAnsi="Arial" w:cs="Arial"/>
          <w:sz w:val="20"/>
        </w:rPr>
        <w:fldChar w:fldCharType="end"/>
      </w:r>
      <w:r w:rsidRPr="00A75138">
        <w:rPr>
          <w:rFonts w:ascii="Arial" w:hAnsi="Arial" w:cs="Arial"/>
          <w:b/>
          <w:bCs/>
          <w:sz w:val="20"/>
        </w:rPr>
        <w:t>.</w:t>
      </w:r>
      <w:r w:rsidR="00C60CF4">
        <w:rPr>
          <w:rFonts w:ascii="Arial" w:hAnsi="Arial" w:cs="Arial"/>
          <w:b/>
          <w:bCs/>
          <w:sz w:val="20"/>
        </w:rPr>
        <w:t xml:space="preserve"> Table 3 </w:t>
      </w:r>
      <w:r w:rsidR="00C60CF4" w:rsidRPr="00C60CF4">
        <w:rPr>
          <w:rFonts w:ascii="Arial" w:hAnsi="Arial" w:cs="Arial"/>
          <w:sz w:val="20"/>
        </w:rPr>
        <w:t>enlists the different types of solar dryers with their applications</w:t>
      </w:r>
      <w:r w:rsidR="00C60CF4">
        <w:rPr>
          <w:rFonts w:ascii="Arial" w:hAnsi="Arial" w:cs="Arial"/>
          <w:b/>
          <w:bCs/>
          <w:sz w:val="20"/>
        </w:rPr>
        <w:t xml:space="preserve"> </w:t>
      </w:r>
    </w:p>
    <w:p w14:paraId="78D6A852" w14:textId="49D11F71" w:rsidR="00B56E11" w:rsidRPr="00A75138" w:rsidRDefault="007B60FB" w:rsidP="00C81016">
      <w:pPr>
        <w:spacing w:line="360" w:lineRule="auto"/>
        <w:jc w:val="both"/>
        <w:rPr>
          <w:rFonts w:ascii="Arial" w:hAnsi="Arial" w:cs="Arial"/>
          <w:b/>
          <w:bCs/>
          <w:sz w:val="20"/>
        </w:rPr>
      </w:pPr>
      <w:r w:rsidRPr="00A75138">
        <w:rPr>
          <w:rFonts w:ascii="Arial" w:hAnsi="Arial" w:cs="Arial"/>
          <w:b/>
          <w:bCs/>
          <w:sz w:val="20"/>
        </w:rPr>
        <w:t xml:space="preserve">Table 3. </w:t>
      </w:r>
      <w:r w:rsidR="00B56E11" w:rsidRPr="00A75138">
        <w:rPr>
          <w:rFonts w:ascii="Arial" w:hAnsi="Arial" w:cs="Arial"/>
          <w:b/>
          <w:bCs/>
          <w:sz w:val="20"/>
        </w:rPr>
        <w:t>Types of Solar Dryers and Their Applications</w:t>
      </w:r>
    </w:p>
    <w:tbl>
      <w:tblPr>
        <w:tblStyle w:val="TableGrid"/>
        <w:tblW w:w="0" w:type="auto"/>
        <w:tblLook w:val="04A0" w:firstRow="1" w:lastRow="0" w:firstColumn="1" w:lastColumn="0" w:noHBand="0" w:noVBand="1"/>
      </w:tblPr>
      <w:tblGrid>
        <w:gridCol w:w="1046"/>
        <w:gridCol w:w="2919"/>
        <w:gridCol w:w="1981"/>
        <w:gridCol w:w="3070"/>
      </w:tblGrid>
      <w:tr w:rsidR="00B56E11" w:rsidRPr="00A75138" w14:paraId="07CCADC2" w14:textId="77777777" w:rsidTr="00C60CF4">
        <w:tc>
          <w:tcPr>
            <w:tcW w:w="0" w:type="auto"/>
            <w:vAlign w:val="center"/>
          </w:tcPr>
          <w:p w14:paraId="51DACACC" w14:textId="0B2D2345" w:rsidR="00B56E11" w:rsidRPr="00A75138" w:rsidRDefault="00B56E11" w:rsidP="00967F9F">
            <w:pPr>
              <w:jc w:val="both"/>
              <w:rPr>
                <w:rFonts w:ascii="Arial" w:hAnsi="Arial" w:cs="Arial"/>
                <w:b/>
                <w:bCs/>
                <w:sz w:val="20"/>
              </w:rPr>
            </w:pPr>
            <w:r w:rsidRPr="00A75138">
              <w:rPr>
                <w:rStyle w:val="Strong"/>
                <w:rFonts w:ascii="Arial" w:hAnsi="Arial" w:cs="Arial"/>
                <w:sz w:val="20"/>
              </w:rPr>
              <w:t>Type of Solar Dryer</w:t>
            </w:r>
          </w:p>
        </w:tc>
        <w:tc>
          <w:tcPr>
            <w:tcW w:w="0" w:type="auto"/>
            <w:vAlign w:val="center"/>
          </w:tcPr>
          <w:p w14:paraId="51A2CF85" w14:textId="5DAECFC7" w:rsidR="00B56E11" w:rsidRPr="00A75138" w:rsidRDefault="00B56E11" w:rsidP="00967F9F">
            <w:pPr>
              <w:jc w:val="both"/>
              <w:rPr>
                <w:rFonts w:ascii="Arial" w:hAnsi="Arial" w:cs="Arial"/>
                <w:b/>
                <w:bCs/>
                <w:sz w:val="20"/>
              </w:rPr>
            </w:pPr>
            <w:r w:rsidRPr="00A75138">
              <w:rPr>
                <w:rStyle w:val="Strong"/>
                <w:rFonts w:ascii="Arial" w:hAnsi="Arial" w:cs="Arial"/>
                <w:sz w:val="20"/>
              </w:rPr>
              <w:t>Principle (Mode of Heat Transfer)</w:t>
            </w:r>
          </w:p>
        </w:tc>
        <w:tc>
          <w:tcPr>
            <w:tcW w:w="0" w:type="auto"/>
            <w:vAlign w:val="center"/>
          </w:tcPr>
          <w:p w14:paraId="6E00123B" w14:textId="1665EA99" w:rsidR="00B56E11" w:rsidRPr="00A75138" w:rsidRDefault="00B56E11" w:rsidP="00967F9F">
            <w:pPr>
              <w:jc w:val="both"/>
              <w:rPr>
                <w:rFonts w:ascii="Arial" w:hAnsi="Arial" w:cs="Arial"/>
                <w:b/>
                <w:bCs/>
                <w:sz w:val="20"/>
              </w:rPr>
            </w:pPr>
            <w:r w:rsidRPr="00A75138">
              <w:rPr>
                <w:rStyle w:val="Strong"/>
                <w:rFonts w:ascii="Arial" w:hAnsi="Arial" w:cs="Arial"/>
                <w:sz w:val="20"/>
              </w:rPr>
              <w:t>Example Uses / Crops</w:t>
            </w:r>
          </w:p>
        </w:tc>
        <w:tc>
          <w:tcPr>
            <w:tcW w:w="0" w:type="auto"/>
            <w:vAlign w:val="center"/>
          </w:tcPr>
          <w:p w14:paraId="13C85760" w14:textId="5EE5B93C" w:rsidR="00B56E11" w:rsidRPr="00A75138" w:rsidRDefault="00B56E11" w:rsidP="00967F9F">
            <w:pPr>
              <w:jc w:val="both"/>
              <w:rPr>
                <w:rFonts w:ascii="Arial" w:hAnsi="Arial" w:cs="Arial"/>
                <w:b/>
                <w:bCs/>
                <w:sz w:val="20"/>
              </w:rPr>
            </w:pPr>
            <w:r w:rsidRPr="00A75138">
              <w:rPr>
                <w:rStyle w:val="Strong"/>
                <w:rFonts w:ascii="Arial" w:hAnsi="Arial" w:cs="Arial"/>
                <w:sz w:val="20"/>
              </w:rPr>
              <w:t>Key Characteristics</w:t>
            </w:r>
          </w:p>
        </w:tc>
      </w:tr>
      <w:tr w:rsidR="00B56E11" w:rsidRPr="00A75138" w14:paraId="3A19B1D1" w14:textId="77777777" w:rsidTr="00C60CF4">
        <w:tc>
          <w:tcPr>
            <w:tcW w:w="0" w:type="auto"/>
            <w:vAlign w:val="center"/>
          </w:tcPr>
          <w:p w14:paraId="5232A193" w14:textId="2E0021D8" w:rsidR="00B56E11" w:rsidRPr="00A75138" w:rsidRDefault="00B56E11" w:rsidP="00967F9F">
            <w:pPr>
              <w:jc w:val="both"/>
              <w:rPr>
                <w:rFonts w:ascii="Arial" w:hAnsi="Arial" w:cs="Arial"/>
                <w:b/>
                <w:bCs/>
                <w:sz w:val="20"/>
              </w:rPr>
            </w:pPr>
            <w:r w:rsidRPr="00A75138">
              <w:rPr>
                <w:rStyle w:val="Strong"/>
                <w:rFonts w:ascii="Arial" w:hAnsi="Arial" w:cs="Arial"/>
                <w:b w:val="0"/>
                <w:bCs w:val="0"/>
                <w:sz w:val="20"/>
              </w:rPr>
              <w:t>Open Sun Drying (OSD)</w:t>
            </w:r>
          </w:p>
        </w:tc>
        <w:tc>
          <w:tcPr>
            <w:tcW w:w="0" w:type="auto"/>
            <w:vAlign w:val="center"/>
          </w:tcPr>
          <w:p w14:paraId="7B6D63C8" w14:textId="561F1649" w:rsidR="00B56E11" w:rsidRPr="00A75138" w:rsidRDefault="00B56E11" w:rsidP="00967F9F">
            <w:pPr>
              <w:jc w:val="both"/>
              <w:rPr>
                <w:rFonts w:ascii="Arial" w:hAnsi="Arial" w:cs="Arial"/>
                <w:b/>
                <w:bCs/>
                <w:sz w:val="20"/>
              </w:rPr>
            </w:pPr>
            <w:r w:rsidRPr="00A75138">
              <w:rPr>
                <w:rFonts w:ascii="Arial" w:hAnsi="Arial" w:cs="Arial"/>
                <w:sz w:val="20"/>
              </w:rPr>
              <w:t>Direct solar radiation heats the product; drying occurs via natural convection driven by wind and ambient conditions.</w:t>
            </w:r>
          </w:p>
        </w:tc>
        <w:tc>
          <w:tcPr>
            <w:tcW w:w="0" w:type="auto"/>
            <w:vAlign w:val="center"/>
          </w:tcPr>
          <w:p w14:paraId="2E99F8A0" w14:textId="01A6DEEB" w:rsidR="00B56E11" w:rsidRPr="00A75138" w:rsidRDefault="00B56E11" w:rsidP="00967F9F">
            <w:pPr>
              <w:jc w:val="both"/>
              <w:rPr>
                <w:rFonts w:ascii="Arial" w:hAnsi="Arial" w:cs="Arial"/>
                <w:b/>
                <w:bCs/>
                <w:sz w:val="20"/>
              </w:rPr>
            </w:pPr>
            <w:r w:rsidRPr="00A75138">
              <w:rPr>
                <w:rFonts w:ascii="Arial" w:hAnsi="Arial" w:cs="Arial"/>
                <w:sz w:val="20"/>
              </w:rPr>
              <w:t>Tomato slices, red pepper, grapes, mint, ginger, paddy rice.</w:t>
            </w:r>
          </w:p>
        </w:tc>
        <w:tc>
          <w:tcPr>
            <w:tcW w:w="0" w:type="auto"/>
            <w:vAlign w:val="center"/>
          </w:tcPr>
          <w:p w14:paraId="63E3ED76" w14:textId="79C27C2A" w:rsidR="00B56E11" w:rsidRPr="00A75138" w:rsidRDefault="00B56E11" w:rsidP="00967F9F">
            <w:pPr>
              <w:jc w:val="both"/>
              <w:rPr>
                <w:rFonts w:ascii="Arial" w:hAnsi="Arial" w:cs="Arial"/>
                <w:b/>
                <w:bCs/>
                <w:sz w:val="20"/>
              </w:rPr>
            </w:pPr>
            <w:r w:rsidRPr="00A75138">
              <w:rPr>
                <w:rStyle w:val="Strong"/>
                <w:rFonts w:ascii="Arial" w:hAnsi="Arial" w:cs="Arial"/>
                <w:sz w:val="20"/>
              </w:rPr>
              <w:t>Pros:</w:t>
            </w:r>
            <w:r w:rsidRPr="00A75138">
              <w:rPr>
                <w:rFonts w:ascii="Arial" w:hAnsi="Arial" w:cs="Arial"/>
                <w:sz w:val="20"/>
              </w:rPr>
              <w:t xml:space="preserve"> Lowest cost; no energy input. </w:t>
            </w:r>
            <w:r w:rsidRPr="00A75138">
              <w:rPr>
                <w:rStyle w:val="Strong"/>
                <w:rFonts w:ascii="Arial" w:hAnsi="Arial" w:cs="Arial"/>
                <w:sz w:val="20"/>
              </w:rPr>
              <w:t>Cons:</w:t>
            </w:r>
            <w:r w:rsidRPr="00A75138">
              <w:rPr>
                <w:rFonts w:ascii="Arial" w:hAnsi="Arial" w:cs="Arial"/>
                <w:sz w:val="20"/>
              </w:rPr>
              <w:t xml:space="preserve"> Exposure to animals, dust, insects; contamination risk; uncontrolled drying; UV-induced discoloration.</w:t>
            </w:r>
          </w:p>
        </w:tc>
      </w:tr>
      <w:tr w:rsidR="00B56E11" w:rsidRPr="00A75138" w14:paraId="25BFC675" w14:textId="77777777" w:rsidTr="00C60CF4">
        <w:tc>
          <w:tcPr>
            <w:tcW w:w="0" w:type="auto"/>
            <w:vAlign w:val="center"/>
          </w:tcPr>
          <w:p w14:paraId="06C772A0" w14:textId="35224A33" w:rsidR="00B56E11" w:rsidRPr="00A75138" w:rsidRDefault="00B56E11" w:rsidP="00967F9F">
            <w:pPr>
              <w:jc w:val="both"/>
              <w:rPr>
                <w:rFonts w:ascii="Arial" w:hAnsi="Arial" w:cs="Arial"/>
                <w:b/>
                <w:bCs/>
                <w:sz w:val="20"/>
              </w:rPr>
            </w:pPr>
            <w:r w:rsidRPr="00A75138">
              <w:rPr>
                <w:rStyle w:val="Strong"/>
                <w:rFonts w:ascii="Arial" w:hAnsi="Arial" w:cs="Arial"/>
                <w:b w:val="0"/>
                <w:bCs w:val="0"/>
                <w:sz w:val="20"/>
              </w:rPr>
              <w:t xml:space="preserve">Direct Solar </w:t>
            </w:r>
            <w:r w:rsidRPr="00A75138">
              <w:rPr>
                <w:rStyle w:val="Strong"/>
                <w:rFonts w:ascii="Arial" w:hAnsi="Arial" w:cs="Arial"/>
                <w:b w:val="0"/>
                <w:bCs w:val="0"/>
                <w:sz w:val="20"/>
              </w:rPr>
              <w:lastRenderedPageBreak/>
              <w:t>Dryer (DSD)</w:t>
            </w:r>
          </w:p>
        </w:tc>
        <w:tc>
          <w:tcPr>
            <w:tcW w:w="0" w:type="auto"/>
            <w:vAlign w:val="center"/>
          </w:tcPr>
          <w:p w14:paraId="2C85137B" w14:textId="7F855DF7" w:rsidR="00B56E11" w:rsidRPr="00A75138" w:rsidRDefault="00B56E11" w:rsidP="00967F9F">
            <w:pPr>
              <w:jc w:val="both"/>
              <w:rPr>
                <w:rFonts w:ascii="Arial" w:hAnsi="Arial" w:cs="Arial"/>
                <w:b/>
                <w:bCs/>
                <w:sz w:val="20"/>
              </w:rPr>
            </w:pPr>
            <w:r w:rsidRPr="00A75138">
              <w:rPr>
                <w:rFonts w:ascii="Arial" w:hAnsi="Arial" w:cs="Arial"/>
                <w:sz w:val="20"/>
              </w:rPr>
              <w:lastRenderedPageBreak/>
              <w:t xml:space="preserve">Solar radiation passes through a transparent cover and directly heats the product </w:t>
            </w:r>
            <w:r w:rsidRPr="00A75138">
              <w:rPr>
                <w:rFonts w:ascii="Arial" w:hAnsi="Arial" w:cs="Arial"/>
                <w:sz w:val="20"/>
              </w:rPr>
              <w:lastRenderedPageBreak/>
              <w:t>inside an enclosed chamber; moisture is removed by natural/forced airflow.</w:t>
            </w:r>
          </w:p>
        </w:tc>
        <w:tc>
          <w:tcPr>
            <w:tcW w:w="0" w:type="auto"/>
            <w:vAlign w:val="center"/>
          </w:tcPr>
          <w:p w14:paraId="084927BC" w14:textId="3A72CBF6" w:rsidR="00B56E11" w:rsidRPr="00A75138" w:rsidRDefault="00B56E11" w:rsidP="00967F9F">
            <w:pPr>
              <w:jc w:val="both"/>
              <w:rPr>
                <w:rFonts w:ascii="Arial" w:hAnsi="Arial" w:cs="Arial"/>
                <w:b/>
                <w:bCs/>
                <w:sz w:val="20"/>
              </w:rPr>
            </w:pPr>
            <w:r w:rsidRPr="00A75138">
              <w:rPr>
                <w:rFonts w:ascii="Arial" w:hAnsi="Arial" w:cs="Arial"/>
                <w:sz w:val="20"/>
              </w:rPr>
              <w:lastRenderedPageBreak/>
              <w:t xml:space="preserve">Grapes, mango, turmeric, anchovy, </w:t>
            </w:r>
            <w:r w:rsidRPr="00A75138">
              <w:rPr>
                <w:rFonts w:ascii="Arial" w:hAnsi="Arial" w:cs="Arial"/>
                <w:sz w:val="20"/>
              </w:rPr>
              <w:lastRenderedPageBreak/>
              <w:t>tomatoes, red banana.</w:t>
            </w:r>
          </w:p>
        </w:tc>
        <w:tc>
          <w:tcPr>
            <w:tcW w:w="0" w:type="auto"/>
            <w:vAlign w:val="center"/>
          </w:tcPr>
          <w:p w14:paraId="798606CC" w14:textId="61076053" w:rsidR="00B56E11" w:rsidRPr="00A75138" w:rsidRDefault="00B56E11" w:rsidP="00967F9F">
            <w:pPr>
              <w:jc w:val="both"/>
              <w:rPr>
                <w:rFonts w:ascii="Arial" w:hAnsi="Arial" w:cs="Arial"/>
                <w:b/>
                <w:bCs/>
                <w:sz w:val="20"/>
              </w:rPr>
            </w:pPr>
            <w:r w:rsidRPr="00A75138">
              <w:rPr>
                <w:rStyle w:val="Strong"/>
                <w:rFonts w:ascii="Arial" w:hAnsi="Arial" w:cs="Arial"/>
                <w:sz w:val="20"/>
              </w:rPr>
              <w:lastRenderedPageBreak/>
              <w:t>Pros:</w:t>
            </w:r>
            <w:r w:rsidRPr="00A75138">
              <w:rPr>
                <w:rFonts w:ascii="Arial" w:hAnsi="Arial" w:cs="Arial"/>
                <w:sz w:val="20"/>
              </w:rPr>
              <w:t xml:space="preserve"> Product protection; low-cost and energy-independent. </w:t>
            </w:r>
            <w:r w:rsidRPr="00A75138">
              <w:rPr>
                <w:rStyle w:val="Strong"/>
                <w:rFonts w:ascii="Arial" w:hAnsi="Arial" w:cs="Arial"/>
                <w:sz w:val="20"/>
              </w:rPr>
              <w:t>Cons:</w:t>
            </w:r>
            <w:r w:rsidRPr="00A75138">
              <w:rPr>
                <w:rFonts w:ascii="Arial" w:hAnsi="Arial" w:cs="Arial"/>
                <w:sz w:val="20"/>
              </w:rPr>
              <w:t xml:space="preserve"> Limited capacity; UV </w:t>
            </w:r>
            <w:r w:rsidRPr="00A75138">
              <w:rPr>
                <w:rFonts w:ascii="Arial" w:hAnsi="Arial" w:cs="Arial"/>
                <w:sz w:val="20"/>
              </w:rPr>
              <w:lastRenderedPageBreak/>
              <w:t>discoloration; condensation on cover reduces efficiency.</w:t>
            </w:r>
          </w:p>
        </w:tc>
      </w:tr>
      <w:tr w:rsidR="00B56E11" w:rsidRPr="00A75138" w14:paraId="5EDE04C3" w14:textId="77777777" w:rsidTr="00C60CF4">
        <w:tc>
          <w:tcPr>
            <w:tcW w:w="0" w:type="auto"/>
            <w:vAlign w:val="center"/>
          </w:tcPr>
          <w:p w14:paraId="492D4434" w14:textId="730746B0" w:rsidR="00B56E11" w:rsidRPr="00A75138" w:rsidRDefault="00B56E11" w:rsidP="00967F9F">
            <w:pPr>
              <w:jc w:val="both"/>
              <w:rPr>
                <w:rFonts w:ascii="Arial" w:hAnsi="Arial" w:cs="Arial"/>
                <w:b/>
                <w:bCs/>
                <w:sz w:val="20"/>
              </w:rPr>
            </w:pPr>
            <w:r w:rsidRPr="00A75138">
              <w:rPr>
                <w:rStyle w:val="Strong"/>
                <w:rFonts w:ascii="Arial" w:hAnsi="Arial" w:cs="Arial"/>
                <w:b w:val="0"/>
                <w:bCs w:val="0"/>
                <w:sz w:val="20"/>
              </w:rPr>
              <w:lastRenderedPageBreak/>
              <w:t>Indirect Solar Dryer (ISD)</w:t>
            </w:r>
          </w:p>
        </w:tc>
        <w:tc>
          <w:tcPr>
            <w:tcW w:w="0" w:type="auto"/>
            <w:vAlign w:val="center"/>
          </w:tcPr>
          <w:p w14:paraId="689E6697" w14:textId="792FB569" w:rsidR="00B56E11" w:rsidRPr="00A75138" w:rsidRDefault="00B56E11" w:rsidP="00967F9F">
            <w:pPr>
              <w:jc w:val="both"/>
              <w:rPr>
                <w:rFonts w:ascii="Arial" w:hAnsi="Arial" w:cs="Arial"/>
                <w:b/>
                <w:bCs/>
                <w:sz w:val="20"/>
              </w:rPr>
            </w:pPr>
            <w:r w:rsidRPr="00A75138">
              <w:rPr>
                <w:rFonts w:ascii="Arial" w:hAnsi="Arial" w:cs="Arial"/>
                <w:sz w:val="20"/>
              </w:rPr>
              <w:t>Air is heated in a separate solar collector and directed into an opaque drying chamber; drying occurs through convective heat transfer and moisture exchange.</w:t>
            </w:r>
          </w:p>
        </w:tc>
        <w:tc>
          <w:tcPr>
            <w:tcW w:w="0" w:type="auto"/>
            <w:vAlign w:val="center"/>
          </w:tcPr>
          <w:p w14:paraId="1FD297AF" w14:textId="364F7781" w:rsidR="00B56E11" w:rsidRPr="00A75138" w:rsidRDefault="00B56E11" w:rsidP="00967F9F">
            <w:pPr>
              <w:jc w:val="both"/>
              <w:rPr>
                <w:rFonts w:ascii="Arial" w:hAnsi="Arial" w:cs="Arial"/>
                <w:b/>
                <w:bCs/>
                <w:sz w:val="20"/>
              </w:rPr>
            </w:pPr>
            <w:r w:rsidRPr="00A75138">
              <w:rPr>
                <w:rFonts w:ascii="Arial" w:hAnsi="Arial" w:cs="Arial"/>
                <w:sz w:val="20"/>
              </w:rPr>
              <w:t>Leafy herbs, mango, apple, tomato, carrot, onion, bitter gourd, figs.</w:t>
            </w:r>
          </w:p>
        </w:tc>
        <w:tc>
          <w:tcPr>
            <w:tcW w:w="0" w:type="auto"/>
            <w:vAlign w:val="center"/>
          </w:tcPr>
          <w:p w14:paraId="6D11CC78" w14:textId="21A85B2B" w:rsidR="00B56E11" w:rsidRPr="00A75138" w:rsidRDefault="00B56E11" w:rsidP="00967F9F">
            <w:pPr>
              <w:jc w:val="both"/>
              <w:rPr>
                <w:rFonts w:ascii="Arial" w:hAnsi="Arial" w:cs="Arial"/>
                <w:b/>
                <w:bCs/>
                <w:sz w:val="20"/>
              </w:rPr>
            </w:pPr>
            <w:r w:rsidRPr="00A75138">
              <w:rPr>
                <w:rStyle w:val="Strong"/>
                <w:rFonts w:ascii="Arial" w:hAnsi="Arial" w:cs="Arial"/>
                <w:sz w:val="20"/>
              </w:rPr>
              <w:t>Pros:</w:t>
            </w:r>
            <w:r w:rsidRPr="00A75138">
              <w:rPr>
                <w:rFonts w:ascii="Arial" w:hAnsi="Arial" w:cs="Arial"/>
                <w:sz w:val="20"/>
              </w:rPr>
              <w:t xml:space="preserve"> Better quality retention; prevents direct UV exposure; flexible design. </w:t>
            </w:r>
            <w:r w:rsidRPr="00A75138">
              <w:rPr>
                <w:rStyle w:val="Strong"/>
                <w:rFonts w:ascii="Arial" w:hAnsi="Arial" w:cs="Arial"/>
                <w:sz w:val="20"/>
              </w:rPr>
              <w:t>Cons:</w:t>
            </w:r>
            <w:r w:rsidRPr="00A75138">
              <w:rPr>
                <w:rFonts w:ascii="Arial" w:hAnsi="Arial" w:cs="Arial"/>
                <w:sz w:val="20"/>
              </w:rPr>
              <w:t xml:space="preserve"> Higher initial cost; slower drying in passive mode; requires higher temperatures.</w:t>
            </w:r>
          </w:p>
        </w:tc>
      </w:tr>
      <w:tr w:rsidR="00B56E11" w:rsidRPr="00A75138" w14:paraId="744441FF" w14:textId="77777777" w:rsidTr="00C60CF4">
        <w:tc>
          <w:tcPr>
            <w:tcW w:w="0" w:type="auto"/>
            <w:vAlign w:val="center"/>
          </w:tcPr>
          <w:p w14:paraId="06699FB5" w14:textId="52BE4927" w:rsidR="00B56E11" w:rsidRPr="00A75138" w:rsidRDefault="00B56E11" w:rsidP="00967F9F">
            <w:pPr>
              <w:jc w:val="both"/>
              <w:rPr>
                <w:rFonts w:ascii="Arial" w:hAnsi="Arial" w:cs="Arial"/>
                <w:b/>
                <w:bCs/>
                <w:sz w:val="20"/>
              </w:rPr>
            </w:pPr>
            <w:r w:rsidRPr="00A75138">
              <w:rPr>
                <w:rStyle w:val="Strong"/>
                <w:rFonts w:ascii="Arial" w:hAnsi="Arial" w:cs="Arial"/>
                <w:b w:val="0"/>
                <w:bCs w:val="0"/>
                <w:sz w:val="20"/>
              </w:rPr>
              <w:t>Hybrid Solar Dryer (HSD)</w:t>
            </w:r>
          </w:p>
        </w:tc>
        <w:tc>
          <w:tcPr>
            <w:tcW w:w="0" w:type="auto"/>
            <w:vAlign w:val="center"/>
          </w:tcPr>
          <w:p w14:paraId="1D20A7B1" w14:textId="69093069" w:rsidR="00B56E11" w:rsidRPr="00A75138" w:rsidRDefault="00B56E11" w:rsidP="00967F9F">
            <w:pPr>
              <w:jc w:val="both"/>
              <w:rPr>
                <w:rFonts w:ascii="Arial" w:hAnsi="Arial" w:cs="Arial"/>
                <w:b/>
                <w:bCs/>
                <w:sz w:val="20"/>
              </w:rPr>
            </w:pPr>
            <w:r w:rsidRPr="00A75138">
              <w:rPr>
                <w:rFonts w:ascii="Arial" w:hAnsi="Arial" w:cs="Arial"/>
                <w:sz w:val="20"/>
              </w:rPr>
              <w:t>Integrates solar (direct/indirect) heating with auxiliary sources (electric, biomass, gas, or PV-powered fans) to maintain continuous forced convection.</w:t>
            </w:r>
          </w:p>
        </w:tc>
        <w:tc>
          <w:tcPr>
            <w:tcW w:w="0" w:type="auto"/>
            <w:vAlign w:val="center"/>
          </w:tcPr>
          <w:p w14:paraId="08CDE8FA" w14:textId="209324C8" w:rsidR="00B56E11" w:rsidRPr="00A75138" w:rsidRDefault="00B56E11" w:rsidP="00967F9F">
            <w:pPr>
              <w:jc w:val="both"/>
              <w:rPr>
                <w:rFonts w:ascii="Arial" w:hAnsi="Arial" w:cs="Arial"/>
                <w:b/>
                <w:bCs/>
                <w:sz w:val="20"/>
              </w:rPr>
            </w:pPr>
            <w:r w:rsidRPr="00A75138">
              <w:rPr>
                <w:rFonts w:ascii="Arial" w:hAnsi="Arial" w:cs="Arial"/>
                <w:sz w:val="20"/>
              </w:rPr>
              <w:t>Tomato, mushrooms, pineapple, chili, dry fish, sugar-palm vermicelli, mint, carrot.</w:t>
            </w:r>
          </w:p>
        </w:tc>
        <w:tc>
          <w:tcPr>
            <w:tcW w:w="0" w:type="auto"/>
            <w:vAlign w:val="center"/>
          </w:tcPr>
          <w:p w14:paraId="5E6F70B9" w14:textId="47F6D111" w:rsidR="00B56E11" w:rsidRPr="00A75138" w:rsidRDefault="00B56E11" w:rsidP="00967F9F">
            <w:pPr>
              <w:jc w:val="both"/>
              <w:rPr>
                <w:rFonts w:ascii="Arial" w:hAnsi="Arial" w:cs="Arial"/>
                <w:b/>
                <w:bCs/>
                <w:sz w:val="20"/>
              </w:rPr>
            </w:pPr>
            <w:r w:rsidRPr="00A75138">
              <w:rPr>
                <w:rStyle w:val="Strong"/>
                <w:rFonts w:ascii="Arial" w:hAnsi="Arial" w:cs="Arial"/>
                <w:sz w:val="20"/>
              </w:rPr>
              <w:t>Pros:</w:t>
            </w:r>
            <w:r w:rsidRPr="00A75138">
              <w:rPr>
                <w:rFonts w:ascii="Arial" w:hAnsi="Arial" w:cs="Arial"/>
                <w:sz w:val="20"/>
              </w:rPr>
              <w:t xml:space="preserve"> All-weather operation; shorter drying time; high efficiency. </w:t>
            </w:r>
            <w:r w:rsidRPr="00A75138">
              <w:rPr>
                <w:rStyle w:val="Strong"/>
                <w:rFonts w:ascii="Arial" w:hAnsi="Arial" w:cs="Arial"/>
                <w:sz w:val="20"/>
              </w:rPr>
              <w:t>Cons:</w:t>
            </w:r>
            <w:r w:rsidRPr="00A75138">
              <w:rPr>
                <w:rFonts w:ascii="Arial" w:hAnsi="Arial" w:cs="Arial"/>
                <w:sz w:val="20"/>
              </w:rPr>
              <w:t xml:space="preserve"> Additional running cost; larger environmental footprint if non-solar backup is used.</w:t>
            </w:r>
          </w:p>
        </w:tc>
      </w:tr>
    </w:tbl>
    <w:p w14:paraId="0CE6FE08" w14:textId="77777777" w:rsidR="001133FD" w:rsidRPr="00A75138" w:rsidRDefault="001133FD" w:rsidP="00C81016">
      <w:pPr>
        <w:spacing w:line="360" w:lineRule="auto"/>
        <w:jc w:val="both"/>
        <w:rPr>
          <w:rFonts w:ascii="Arial" w:hAnsi="Arial" w:cs="Arial"/>
          <w:b/>
          <w:bCs/>
          <w:sz w:val="20"/>
        </w:rPr>
      </w:pPr>
    </w:p>
    <w:p w14:paraId="66F37A70" w14:textId="77777777" w:rsidR="00967F9F" w:rsidRPr="00A75138" w:rsidRDefault="00CE04DE" w:rsidP="00C81016">
      <w:pPr>
        <w:spacing w:line="360" w:lineRule="auto"/>
        <w:jc w:val="both"/>
        <w:rPr>
          <w:rFonts w:ascii="Arial" w:hAnsi="Arial" w:cs="Arial"/>
          <w:sz w:val="20"/>
        </w:rPr>
      </w:pPr>
      <w:r w:rsidRPr="00A75138">
        <w:rPr>
          <w:rFonts w:ascii="Arial" w:hAnsi="Arial" w:cs="Arial"/>
          <w:sz w:val="20"/>
        </w:rPr>
        <w:t xml:space="preserve">Solar drying technologies, particularly Local Tunnel Solar Dryers (LTSD), have demonstrated significant potential for strengthening rural agro-enterprises in India. Shri Madan Lal Deora of Pali, Rajasthan, employed a Local Tunnel Solar Dryer to reduce </w:t>
      </w:r>
      <w:proofErr w:type="spellStart"/>
      <w:r w:rsidRPr="00A75138">
        <w:rPr>
          <w:rFonts w:ascii="Arial" w:hAnsi="Arial" w:cs="Arial"/>
          <w:sz w:val="20"/>
        </w:rPr>
        <w:t>Aonla</w:t>
      </w:r>
      <w:proofErr w:type="spellEnd"/>
      <w:r w:rsidRPr="00A75138">
        <w:rPr>
          <w:rFonts w:ascii="Arial" w:hAnsi="Arial" w:cs="Arial"/>
          <w:sz w:val="20"/>
        </w:rPr>
        <w:t xml:space="preserve"> (Indian gooseberry) pulp moisture from 80.95 percent to 9.0 percent within two days, generating a net income of Rs 1,200 per batch from an initial investment of Rs 25,000 (Singh </w:t>
      </w:r>
      <w:r w:rsidRPr="00A75138">
        <w:rPr>
          <w:rFonts w:ascii="Arial" w:hAnsi="Arial" w:cs="Arial"/>
          <w:i/>
          <w:iCs/>
          <w:sz w:val="20"/>
        </w:rPr>
        <w:t>et al.,</w:t>
      </w:r>
      <w:r w:rsidRPr="00A75138">
        <w:rPr>
          <w:rFonts w:ascii="Arial" w:hAnsi="Arial" w:cs="Arial"/>
          <w:sz w:val="20"/>
        </w:rPr>
        <w:t xml:space="preserve"> 2010). In Dibrugarh, Assam, Mrs. Madhurima Gogoi utilized a Solar Dryer Machine provided by the Assam State Rural Livelihoods Mission (ASRLM) in 2019 to address raw material perishability, operating the system with negligible running costs and minimal maintenance while improving profitability in micro-scale food processing. Similarly, Sushma Rani of Udhampur, supported by the National Rural Livelihoods Mission (NRLM) and the Jammu &amp; Kashmir Rural Livelihoods Mission (JKRLM), adopted solar drying and pickle-processing units to produce solar-dried fruits and vegetables with a shelf life exceeding one year, enabling her transition from unemployment to sustainable entrepreneurship (NRLM, 2022). Collectively, these case studies highlight that solar drying represents a low-cost, energy-efficient, and high-impact technology that enhances product shelf life, reduces postharvest losses, and supports resilient rural income generation.</w:t>
      </w:r>
    </w:p>
    <w:p w14:paraId="6DA10B4A" w14:textId="71FBE0FF" w:rsidR="00B1705B" w:rsidRPr="00A75138" w:rsidRDefault="00204139" w:rsidP="00C81016">
      <w:pPr>
        <w:spacing w:line="360" w:lineRule="auto"/>
        <w:jc w:val="both"/>
        <w:rPr>
          <w:rFonts w:ascii="Arial" w:hAnsi="Arial" w:cs="Arial"/>
          <w:sz w:val="24"/>
          <w:szCs w:val="22"/>
        </w:rPr>
      </w:pPr>
      <w:r w:rsidRPr="00A75138">
        <w:rPr>
          <w:rFonts w:ascii="Arial" w:hAnsi="Arial" w:cs="Arial"/>
          <w:noProof/>
          <w:lang w:eastAsia="en-IN"/>
        </w:rPr>
        <w:lastRenderedPageBreak/>
        <w:drawing>
          <wp:inline distT="0" distB="0" distL="0" distR="0" wp14:anchorId="33E84CA6" wp14:editId="29843D47">
            <wp:extent cx="5731510" cy="3223974"/>
            <wp:effectExtent l="0" t="0" r="2540" b="0"/>
            <wp:docPr id="7" name="Picture 7" descr="https://youragristory.in/wp-content/uploads/2025/08/rudra-01-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youragristory.in/wp-content/uploads/2025/08/rudra-01-1024x57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1898BB92" w14:textId="683902F7" w:rsidR="00781304" w:rsidRPr="00A75138" w:rsidRDefault="0092525D" w:rsidP="0092525D">
      <w:pPr>
        <w:spacing w:line="360" w:lineRule="auto"/>
        <w:jc w:val="both"/>
        <w:rPr>
          <w:rFonts w:ascii="Arial" w:hAnsi="Arial" w:cs="Arial"/>
          <w:b/>
          <w:bCs/>
          <w:i/>
          <w:iCs/>
          <w:color w:val="0D0D0D" w:themeColor="text1" w:themeTint="F2"/>
          <w:sz w:val="20"/>
        </w:rPr>
      </w:pPr>
      <w:r w:rsidRPr="00A75138">
        <w:rPr>
          <w:rFonts w:ascii="Arial" w:hAnsi="Arial" w:cs="Arial"/>
          <w:sz w:val="20"/>
        </w:rPr>
        <w:t xml:space="preserve">Fig 4. Solar drier used for drying of agricultural products in rural area. </w:t>
      </w:r>
      <w:r w:rsidRPr="00A75138">
        <w:rPr>
          <w:rFonts w:ascii="Arial" w:hAnsi="Arial" w:cs="Arial"/>
          <w:b/>
          <w:bCs/>
          <w:i/>
          <w:iCs/>
          <w:color w:val="0D0D0D" w:themeColor="text1" w:themeTint="F2"/>
          <w:sz w:val="20"/>
        </w:rPr>
        <w:t>Image Source: Rudra Solar Website</w:t>
      </w:r>
    </w:p>
    <w:p w14:paraId="563AF544" w14:textId="34A27074" w:rsidR="0087286A" w:rsidRPr="00EB5B9D" w:rsidRDefault="00A770EF" w:rsidP="00C81016">
      <w:pPr>
        <w:spacing w:line="360" w:lineRule="auto"/>
        <w:jc w:val="both"/>
        <w:rPr>
          <w:rFonts w:ascii="Arial" w:hAnsi="Arial" w:cs="Arial"/>
          <w:b/>
          <w:bCs/>
          <w:szCs w:val="22"/>
        </w:rPr>
      </w:pPr>
      <w:r w:rsidRPr="00EB5B9D">
        <w:rPr>
          <w:rFonts w:ascii="Arial" w:hAnsi="Arial" w:cs="Arial"/>
          <w:b/>
          <w:bCs/>
          <w:szCs w:val="22"/>
        </w:rPr>
        <w:t>2.5</w:t>
      </w:r>
      <w:r w:rsidR="00DE2CEA" w:rsidRPr="00EB5B9D">
        <w:rPr>
          <w:rFonts w:ascii="Arial" w:hAnsi="Arial" w:cs="Arial"/>
          <w:b/>
          <w:bCs/>
          <w:szCs w:val="22"/>
        </w:rPr>
        <w:t>. Mini</w:t>
      </w:r>
      <w:r w:rsidRPr="00EB5B9D">
        <w:rPr>
          <w:rFonts w:ascii="Arial" w:hAnsi="Arial" w:cs="Arial"/>
          <w:b/>
          <w:bCs/>
          <w:szCs w:val="22"/>
        </w:rPr>
        <w:t xml:space="preserve"> oil expellers and cold-press technology</w:t>
      </w:r>
      <w:r w:rsidR="00016CC0" w:rsidRPr="00EB5B9D">
        <w:rPr>
          <w:rFonts w:ascii="Arial" w:hAnsi="Arial" w:cs="Arial"/>
          <w:b/>
          <w:bCs/>
          <w:szCs w:val="22"/>
        </w:rPr>
        <w:t xml:space="preserve"> and its impact on rural India </w:t>
      </w:r>
    </w:p>
    <w:p w14:paraId="69A4ACDB" w14:textId="5B8E6160" w:rsidR="009901C3" w:rsidRPr="00EB5B9D" w:rsidRDefault="00016CC0" w:rsidP="00C81016">
      <w:pPr>
        <w:spacing w:line="360" w:lineRule="auto"/>
        <w:jc w:val="both"/>
        <w:rPr>
          <w:rFonts w:ascii="Arial" w:hAnsi="Arial" w:cs="Arial"/>
          <w:b/>
          <w:bCs/>
          <w:sz w:val="20"/>
        </w:rPr>
      </w:pPr>
      <w:r w:rsidRPr="00A75138">
        <w:rPr>
          <w:rFonts w:ascii="Arial" w:hAnsi="Arial" w:cs="Arial"/>
          <w:sz w:val="20"/>
        </w:rPr>
        <w:t>A mini oil expeller is a compact machine used to extract oil from various seeds, nuts, and kernels, typically for domestic use, by feeding the material into a hopper where a rotating screw or auger progressively compresses it within a cylindrical barrel. This intense pressure and resulting friction force the oil to separate and seep out through fine slots, leaving behind a dry oil cake; while this process n</w:t>
      </w:r>
      <w:r w:rsidR="0081370D" w:rsidRPr="00A75138">
        <w:rPr>
          <w:rFonts w:ascii="Arial" w:hAnsi="Arial" w:cs="Arial"/>
          <w:sz w:val="20"/>
        </w:rPr>
        <w:t xml:space="preserve">aturally generates heat </w:t>
      </w:r>
      <w:r w:rsidR="0081370D" w:rsidRPr="00A75138">
        <w:rPr>
          <w:rFonts w:ascii="Arial" w:hAnsi="Arial" w:cs="Arial"/>
          <w:sz w:val="20"/>
        </w:rPr>
        <w:fldChar w:fldCharType="begin" w:fldLock="1"/>
      </w:r>
      <w:r w:rsidR="0081370D" w:rsidRPr="00A75138">
        <w:rPr>
          <w:rFonts w:ascii="Arial" w:hAnsi="Arial" w:cs="Arial"/>
          <w:sz w:val="20"/>
        </w:rPr>
        <w:instrText>ADDIN CSL_CITATION {"citationItems":[{"id":"ITEM-1","itemData":{"abstract":"The presented research concentrated on the designed and failure finding in existing types oil expeller shat used for oil extraction in the agricultural products. The different researches were studied for study failure occurred in the screw shaft. The presented review in this article can be useful for developing the new design of the oil expeller shaft. The proposed research not only finding the failures in the screw shaft but it can be useful developing the oil expeller through traditional techniques and computational techniques.","author":[{"dropping-particle":"","family":"Patil","given":"Amol A","non-dropping-particle":"","parse-names":false,"suffix":""},{"dropping-particle":"","family":"Gaikwad","given":"Swapnil D","non-dropping-particle":"","parse-names":false,"suffix":""},{"dropping-particle":"","family":"Kulkarni","given":"R S","non-dropping-particle":"","parse-names":false,"suffix":""}],"container-title":"International Research Journal of Engineering and Technology(IRJET)","id":"ITEM-1","issue":"3","issued":{"date-parts":[["2017"]]},"page":"1654-1657","title":"A Review on the Oil Expeller Screw Shaft","type":"article-journal","volume":"4"},"uris":["http://www.mendeley.com/documents/?uuid=0b1ff6c2-2b61-4ce1-b32b-026160cd7611"]}],"mendeley":{"formattedCitation":"(Patil et al., 2017)","plainTextFormattedCitation":"(Patil et al., 2017)","previouslyFormattedCitation":"(Patil et al., 2017)"},"properties":{"noteIndex":0},"schema":"https://github.com/citation-style-language/schema/raw/master/csl-citation.json"}</w:instrText>
      </w:r>
      <w:r w:rsidR="0081370D" w:rsidRPr="00A75138">
        <w:rPr>
          <w:rFonts w:ascii="Arial" w:hAnsi="Arial" w:cs="Arial"/>
          <w:sz w:val="20"/>
        </w:rPr>
        <w:fldChar w:fldCharType="separate"/>
      </w:r>
      <w:r w:rsidR="0081370D" w:rsidRPr="00A75138">
        <w:rPr>
          <w:rFonts w:ascii="Arial" w:hAnsi="Arial" w:cs="Arial"/>
          <w:noProof/>
          <w:sz w:val="20"/>
        </w:rPr>
        <w:t>(Patil et al., 2017)</w:t>
      </w:r>
      <w:r w:rsidR="0081370D" w:rsidRPr="00A75138">
        <w:rPr>
          <w:rFonts w:ascii="Arial" w:hAnsi="Arial" w:cs="Arial"/>
          <w:sz w:val="20"/>
        </w:rPr>
        <w:fldChar w:fldCharType="end"/>
      </w:r>
      <w:r w:rsidRPr="00A75138">
        <w:rPr>
          <w:rFonts w:ascii="Arial" w:hAnsi="Arial" w:cs="Arial"/>
          <w:sz w:val="20"/>
        </w:rPr>
        <w:t>, a cold press is a variant specifically engineered to maintain processing temperatures below 50</w:t>
      </w:r>
      <w:r w:rsidRPr="00A75138">
        <w:rPr>
          <w:rFonts w:ascii="Arial" w:hAnsi="Arial" w:cs="Arial"/>
          <w:sz w:val="20"/>
          <w:vertAlign w:val="superscript"/>
        </w:rPr>
        <w:t xml:space="preserve">o </w:t>
      </w:r>
      <w:r w:rsidRPr="00A75138">
        <w:rPr>
          <w:rFonts w:ascii="Arial" w:hAnsi="Arial" w:cs="Arial"/>
          <w:sz w:val="20"/>
        </w:rPr>
        <w:t>C to maximize nutrient and flavour retention</w:t>
      </w:r>
      <w:r w:rsidR="0081370D" w:rsidRPr="00A75138">
        <w:rPr>
          <w:rFonts w:ascii="Arial" w:hAnsi="Arial" w:cs="Arial"/>
          <w:sz w:val="20"/>
        </w:rPr>
        <w:t xml:space="preserve"> </w:t>
      </w:r>
      <w:r w:rsidR="0081370D" w:rsidRPr="00A75138">
        <w:rPr>
          <w:rFonts w:ascii="Arial" w:hAnsi="Arial" w:cs="Arial"/>
          <w:sz w:val="20"/>
        </w:rPr>
        <w:fldChar w:fldCharType="begin" w:fldLock="1"/>
      </w:r>
      <w:r w:rsidR="0076286D" w:rsidRPr="00A75138">
        <w:rPr>
          <w:rFonts w:ascii="Arial" w:hAnsi="Arial" w:cs="Arial"/>
          <w:sz w:val="20"/>
        </w:rPr>
        <w:instrText>ADDIN CSL_CITATION {"citationItems":[{"id":"ITEM-1","itemData":{"DOI":"10.1016/j.foohum.2025.100698","ISSN":"29498244","author":[{"dropping-particle":"","family":"Rathod","given":"Mahesh Laxman","non-dropping-particle":"","parse-names":false,"suffix":""},{"dropping-particle":"","family":"Angadi","given":"Basavaraj M.","non-dropping-particle":"","parse-names":false,"suffix":""},{"dropping-particle":"","family":"Bhavi","given":"Iresh G.","non-dropping-particle":"","parse-names":false,"suffix":""}],"container-title":"Food and Humanity","id":"ITEM-1","issued":{"date-parts":[["2025","12"]]},"page":"100698","title":"A review on optimization of process parameters of cold pressed oil extraction for high output and for enhanced quality and retained nutrients","type":"article-journal","volume":"5"},"uris":["http://www.mendeley.com/documents/?uuid=cabf2019-b499-4c45-80b8-041b5a8d339b"]}],"mendeley":{"formattedCitation":"(Rathod et al., 2025)","plainTextFormattedCitation":"(Rathod et al., 2025)","previouslyFormattedCitation":"(Rathod et al., 2025)"},"properties":{"noteIndex":0},"schema":"https://github.com/citation-style-language/schema/raw/master/csl-citation.json"}</w:instrText>
      </w:r>
      <w:r w:rsidR="0081370D" w:rsidRPr="00A75138">
        <w:rPr>
          <w:rFonts w:ascii="Arial" w:hAnsi="Arial" w:cs="Arial"/>
          <w:sz w:val="20"/>
        </w:rPr>
        <w:fldChar w:fldCharType="separate"/>
      </w:r>
      <w:r w:rsidR="0081370D" w:rsidRPr="00A75138">
        <w:rPr>
          <w:rFonts w:ascii="Arial" w:hAnsi="Arial" w:cs="Arial"/>
          <w:noProof/>
          <w:sz w:val="20"/>
        </w:rPr>
        <w:t xml:space="preserve">(Rathod </w:t>
      </w:r>
      <w:r w:rsidR="0081370D" w:rsidRPr="00A75138">
        <w:rPr>
          <w:rFonts w:ascii="Arial" w:hAnsi="Arial" w:cs="Arial"/>
          <w:i/>
          <w:iCs/>
          <w:noProof/>
          <w:sz w:val="20"/>
        </w:rPr>
        <w:t xml:space="preserve">et al., </w:t>
      </w:r>
      <w:r w:rsidR="0081370D" w:rsidRPr="00A75138">
        <w:rPr>
          <w:rFonts w:ascii="Arial" w:hAnsi="Arial" w:cs="Arial"/>
          <w:noProof/>
          <w:sz w:val="20"/>
        </w:rPr>
        <w:t>2025)</w:t>
      </w:r>
      <w:r w:rsidR="0081370D" w:rsidRPr="00A75138">
        <w:rPr>
          <w:rFonts w:ascii="Arial" w:hAnsi="Arial" w:cs="Arial"/>
          <w:sz w:val="20"/>
        </w:rPr>
        <w:fldChar w:fldCharType="end"/>
      </w:r>
      <w:r w:rsidRPr="00A75138">
        <w:rPr>
          <w:rFonts w:ascii="Arial" w:hAnsi="Arial" w:cs="Arial"/>
          <w:sz w:val="20"/>
        </w:rPr>
        <w:t>. The primary advantage of using a mini oil expeller or cold press is the ability to produce fresh, unrefined, and additive-free oil directly from the source material</w:t>
      </w:r>
      <w:r w:rsidR="00FF4C5B" w:rsidRPr="00A75138">
        <w:rPr>
          <w:rFonts w:ascii="Arial" w:hAnsi="Arial" w:cs="Arial"/>
          <w:sz w:val="20"/>
        </w:rPr>
        <w:t xml:space="preserve"> </w:t>
      </w:r>
      <w:r w:rsidR="0076286D" w:rsidRPr="00A75138">
        <w:rPr>
          <w:rFonts w:ascii="Arial" w:hAnsi="Arial" w:cs="Arial"/>
          <w:sz w:val="20"/>
        </w:rPr>
        <w:fldChar w:fldCharType="begin" w:fldLock="1"/>
      </w:r>
      <w:r w:rsidR="008C709B">
        <w:rPr>
          <w:rFonts w:ascii="Arial" w:hAnsi="Arial" w:cs="Arial"/>
          <w:sz w:val="20"/>
        </w:rPr>
        <w:instrText>ADDIN CSL_CITATION {"citationItems":[{"id":"ITEM-1","itemData":{"abstract":"Cold press oil extraction method is more energy-efficient and environment friendly than other oil extraction methods. When edible oil is extracted and processed using the cold pressing technique, bioactive components are preserved by eliminating thermal, chemical and refining processes. This method is safe and non-hazardous. It is developed especially in the oil production from oilseeds and is utilised to extract oil from a variety of matrices. By using the cold press method during production at low temperatures, high-quality oils can be produced. In other words, neither heat nor chemical extraction are used in the cold-press extraction. Cold press extraction technology applied to extract the oils from soy, sunflower, rapeseed, corn, grape seed, hemp, flaxseed, rice bran, olive and pumpkin seeds. Furthermore, the natural and harmless nature of these oils makes them appealing to customers because they aid in the prevention of many diseases and augment human health. Compared to refined oils, these oils have Superior antioxidant and nutrient profiles.","author":[{"dropping-particle":"","family":"Wandhekar, Sangram S.; Pawar, V.S.; Shinde, S.T.; Gangakhedkar","given":"P.S.","non-dropping-particle":"","parse-names":false,"suffix":""}],"container-title":"Indian Food Industry Mag","id":"ITEM-1","issue":"5","issued":{"date-parts":[["2022"]]},"page":"63-39","title":"Extraction of oil from oilseeds by cold pressing: A review","type":"article-journal","volume":"4"},"uris":["http://www.mendeley.com/documents/?uuid=d61a6fa7-c750-4635-93d5-04a3e301c3f6"]}],"mendeley":{"formattedCitation":"(Wandhekar, Sangram S.; Pawar, V.S.; Shinde, S.T.; Gangakhedkar, 2022)","manualFormatting":"(Wandhekar, et al., 2022)","plainTextFormattedCitation":"(Wandhekar, Sangram S.; Pawar, V.S.; Shinde, S.T.; Gangakhedkar, 2022)","previouslyFormattedCitation":"(Wandhekar, Sangram S.; Pawar, V.S.; Shinde, S.T.; Gangakhedkar, 2022)"},"properties":{"noteIndex":0},"schema":"https://github.com/citation-style-language/schema/raw/master/csl-citation.json"}</w:instrText>
      </w:r>
      <w:r w:rsidR="0076286D" w:rsidRPr="00A75138">
        <w:rPr>
          <w:rFonts w:ascii="Arial" w:hAnsi="Arial" w:cs="Arial"/>
          <w:sz w:val="20"/>
        </w:rPr>
        <w:fldChar w:fldCharType="separate"/>
      </w:r>
      <w:r w:rsidR="0076286D" w:rsidRPr="00A75138">
        <w:rPr>
          <w:rFonts w:ascii="Arial" w:hAnsi="Arial" w:cs="Arial"/>
          <w:noProof/>
          <w:sz w:val="20"/>
        </w:rPr>
        <w:t xml:space="preserve">(Wandhekar, </w:t>
      </w:r>
      <w:r w:rsidR="0076286D" w:rsidRPr="00A75138">
        <w:rPr>
          <w:rFonts w:ascii="Arial" w:hAnsi="Arial" w:cs="Arial"/>
          <w:i/>
          <w:iCs/>
          <w:noProof/>
          <w:sz w:val="20"/>
        </w:rPr>
        <w:t>et al.,</w:t>
      </w:r>
      <w:r w:rsidR="0076286D" w:rsidRPr="00A75138">
        <w:rPr>
          <w:rFonts w:ascii="Arial" w:hAnsi="Arial" w:cs="Arial"/>
          <w:noProof/>
          <w:sz w:val="20"/>
        </w:rPr>
        <w:t xml:space="preserve"> 2022)</w:t>
      </w:r>
      <w:r w:rsidR="0076286D" w:rsidRPr="00A75138">
        <w:rPr>
          <w:rFonts w:ascii="Arial" w:hAnsi="Arial" w:cs="Arial"/>
          <w:sz w:val="20"/>
        </w:rPr>
        <w:fldChar w:fldCharType="end"/>
      </w:r>
      <w:r w:rsidRPr="00A75138">
        <w:rPr>
          <w:rFonts w:ascii="Arial" w:hAnsi="Arial" w:cs="Arial"/>
          <w:sz w:val="20"/>
        </w:rPr>
        <w:t>.</w:t>
      </w:r>
      <w:r w:rsidR="00B62390">
        <w:rPr>
          <w:rFonts w:ascii="Arial" w:hAnsi="Arial" w:cs="Arial"/>
          <w:sz w:val="20"/>
        </w:rPr>
        <w:t xml:space="preserve"> Different types of oil expeller </w:t>
      </w:r>
      <w:r w:rsidR="00EB5B9D">
        <w:rPr>
          <w:rFonts w:ascii="Arial" w:hAnsi="Arial" w:cs="Arial"/>
          <w:sz w:val="20"/>
        </w:rPr>
        <w:t xml:space="preserve">are discussed in </w:t>
      </w:r>
      <w:r w:rsidR="00EB5B9D" w:rsidRPr="00EB5B9D">
        <w:rPr>
          <w:rFonts w:ascii="Arial" w:hAnsi="Arial" w:cs="Arial"/>
          <w:b/>
          <w:bCs/>
          <w:sz w:val="20"/>
        </w:rPr>
        <w:t>(Table 4)</w:t>
      </w:r>
      <w:r w:rsidR="00EB5B9D">
        <w:rPr>
          <w:rFonts w:ascii="Arial" w:hAnsi="Arial" w:cs="Arial"/>
          <w:b/>
          <w:bCs/>
          <w:sz w:val="20"/>
        </w:rPr>
        <w:t>.</w:t>
      </w:r>
    </w:p>
    <w:p w14:paraId="590A4F6A" w14:textId="254881B4" w:rsidR="007B60FB" w:rsidRPr="00A75138" w:rsidRDefault="007B60FB" w:rsidP="00C81016">
      <w:pPr>
        <w:spacing w:line="360" w:lineRule="auto"/>
        <w:jc w:val="both"/>
        <w:rPr>
          <w:rFonts w:ascii="Arial" w:hAnsi="Arial" w:cs="Arial"/>
          <w:b/>
          <w:bCs/>
          <w:sz w:val="20"/>
        </w:rPr>
      </w:pPr>
      <w:r w:rsidRPr="00A75138">
        <w:rPr>
          <w:rFonts w:ascii="Arial" w:hAnsi="Arial" w:cs="Arial"/>
          <w:b/>
          <w:bCs/>
          <w:sz w:val="20"/>
        </w:rPr>
        <w:t>Table 4. Different types of oil expellers and their capacity</w:t>
      </w:r>
    </w:p>
    <w:tbl>
      <w:tblPr>
        <w:tblStyle w:val="TableGrid"/>
        <w:tblW w:w="0" w:type="auto"/>
        <w:tblLook w:val="04A0" w:firstRow="1" w:lastRow="0" w:firstColumn="1" w:lastColumn="0" w:noHBand="0" w:noVBand="1"/>
      </w:tblPr>
      <w:tblGrid>
        <w:gridCol w:w="3347"/>
        <w:gridCol w:w="2893"/>
        <w:gridCol w:w="2776"/>
      </w:tblGrid>
      <w:tr w:rsidR="006E27A3" w:rsidRPr="00A75138" w14:paraId="751DCE98" w14:textId="77777777" w:rsidTr="00B62390">
        <w:tc>
          <w:tcPr>
            <w:tcW w:w="0" w:type="auto"/>
            <w:vAlign w:val="center"/>
          </w:tcPr>
          <w:p w14:paraId="3B3DECF0" w14:textId="3A9F4424" w:rsidR="006E27A3" w:rsidRPr="00A75138" w:rsidRDefault="006E27A3" w:rsidP="006B3153">
            <w:pPr>
              <w:spacing w:line="360" w:lineRule="auto"/>
              <w:jc w:val="both"/>
              <w:rPr>
                <w:rFonts w:ascii="Arial" w:hAnsi="Arial" w:cs="Arial"/>
                <w:b/>
                <w:bCs/>
                <w:sz w:val="20"/>
              </w:rPr>
            </w:pPr>
            <w:r w:rsidRPr="00A75138">
              <w:rPr>
                <w:rStyle w:val="Strong"/>
                <w:rFonts w:ascii="Arial" w:hAnsi="Arial" w:cs="Arial"/>
                <w:sz w:val="20"/>
              </w:rPr>
              <w:t xml:space="preserve"> Developer</w:t>
            </w:r>
          </w:p>
        </w:tc>
        <w:tc>
          <w:tcPr>
            <w:tcW w:w="0" w:type="auto"/>
            <w:vAlign w:val="center"/>
          </w:tcPr>
          <w:p w14:paraId="51B77905" w14:textId="07ED95D5" w:rsidR="006E27A3" w:rsidRPr="00A75138" w:rsidRDefault="006E27A3" w:rsidP="006B3153">
            <w:pPr>
              <w:spacing w:line="360" w:lineRule="auto"/>
              <w:jc w:val="both"/>
              <w:rPr>
                <w:rFonts w:ascii="Arial" w:hAnsi="Arial" w:cs="Arial"/>
                <w:b/>
                <w:bCs/>
                <w:sz w:val="20"/>
              </w:rPr>
            </w:pPr>
            <w:r w:rsidRPr="00A75138">
              <w:rPr>
                <w:rStyle w:val="Strong"/>
                <w:rFonts w:ascii="Arial" w:hAnsi="Arial" w:cs="Arial"/>
                <w:sz w:val="20"/>
              </w:rPr>
              <w:t xml:space="preserve"> Developed Technology</w:t>
            </w:r>
          </w:p>
        </w:tc>
        <w:tc>
          <w:tcPr>
            <w:tcW w:w="0" w:type="auto"/>
            <w:vAlign w:val="center"/>
          </w:tcPr>
          <w:p w14:paraId="06AA99C0" w14:textId="31B73381" w:rsidR="006E27A3" w:rsidRPr="00A75138" w:rsidRDefault="006E27A3" w:rsidP="006B3153">
            <w:pPr>
              <w:spacing w:line="360" w:lineRule="auto"/>
              <w:jc w:val="both"/>
              <w:rPr>
                <w:rFonts w:ascii="Arial" w:hAnsi="Arial" w:cs="Arial"/>
                <w:b/>
                <w:bCs/>
                <w:sz w:val="20"/>
              </w:rPr>
            </w:pPr>
            <w:r w:rsidRPr="00A75138">
              <w:rPr>
                <w:rStyle w:val="Strong"/>
                <w:rFonts w:ascii="Arial" w:hAnsi="Arial" w:cs="Arial"/>
                <w:sz w:val="20"/>
              </w:rPr>
              <w:t xml:space="preserve">Capacity </w:t>
            </w:r>
          </w:p>
        </w:tc>
      </w:tr>
      <w:tr w:rsidR="006E27A3" w:rsidRPr="00A75138" w14:paraId="2F40014C" w14:textId="77777777" w:rsidTr="00B62390">
        <w:tc>
          <w:tcPr>
            <w:tcW w:w="0" w:type="auto"/>
            <w:vAlign w:val="center"/>
          </w:tcPr>
          <w:p w14:paraId="6A55E9F0" w14:textId="0EB1D5EC" w:rsidR="006E27A3" w:rsidRPr="00A75138" w:rsidRDefault="006E27A3" w:rsidP="006B3153">
            <w:pPr>
              <w:spacing w:line="360" w:lineRule="auto"/>
              <w:jc w:val="both"/>
              <w:rPr>
                <w:rFonts w:ascii="Arial" w:hAnsi="Arial" w:cs="Arial"/>
                <w:b/>
                <w:bCs/>
                <w:sz w:val="20"/>
              </w:rPr>
            </w:pPr>
            <w:r w:rsidRPr="00A75138">
              <w:rPr>
                <w:rStyle w:val="Strong"/>
                <w:rFonts w:ascii="Arial" w:hAnsi="Arial" w:cs="Arial"/>
                <w:b w:val="0"/>
                <w:bCs w:val="0"/>
                <w:sz w:val="20"/>
              </w:rPr>
              <w:t>ICAR–CIPHET (Central Institute of Post-Harvest Engineering and Technology)</w:t>
            </w:r>
          </w:p>
        </w:tc>
        <w:tc>
          <w:tcPr>
            <w:tcW w:w="0" w:type="auto"/>
            <w:vAlign w:val="center"/>
          </w:tcPr>
          <w:p w14:paraId="7CFC9378" w14:textId="576866F9" w:rsidR="006E27A3" w:rsidRPr="00A75138" w:rsidRDefault="006E27A3" w:rsidP="006B3153">
            <w:pPr>
              <w:spacing w:line="360" w:lineRule="auto"/>
              <w:jc w:val="both"/>
              <w:rPr>
                <w:rFonts w:ascii="Arial" w:hAnsi="Arial" w:cs="Arial"/>
                <w:b/>
                <w:bCs/>
                <w:sz w:val="20"/>
              </w:rPr>
            </w:pPr>
            <w:r w:rsidRPr="00A75138">
              <w:rPr>
                <w:rFonts w:ascii="Arial" w:hAnsi="Arial" w:cs="Arial"/>
                <w:sz w:val="20"/>
              </w:rPr>
              <w:t>Mini oil expeller technology for decentralized processing</w:t>
            </w:r>
          </w:p>
        </w:tc>
        <w:tc>
          <w:tcPr>
            <w:tcW w:w="0" w:type="auto"/>
            <w:vAlign w:val="center"/>
          </w:tcPr>
          <w:p w14:paraId="00B26965" w14:textId="5B433DB1" w:rsidR="006E27A3" w:rsidRPr="00A75138" w:rsidRDefault="006E27A3" w:rsidP="006B3153">
            <w:pPr>
              <w:spacing w:line="360" w:lineRule="auto"/>
              <w:jc w:val="both"/>
              <w:rPr>
                <w:rFonts w:ascii="Arial" w:hAnsi="Arial" w:cs="Arial"/>
                <w:b/>
                <w:bCs/>
                <w:sz w:val="20"/>
              </w:rPr>
            </w:pPr>
            <w:r w:rsidRPr="00A75138">
              <w:rPr>
                <w:rFonts w:ascii="Arial" w:hAnsi="Arial" w:cs="Arial"/>
                <w:sz w:val="20"/>
              </w:rPr>
              <w:t>Small to medium scale, suitable for village-level Agro Processing Centres (APCs)</w:t>
            </w:r>
          </w:p>
        </w:tc>
      </w:tr>
      <w:tr w:rsidR="006E27A3" w:rsidRPr="00A75138" w14:paraId="45A824FC" w14:textId="77777777" w:rsidTr="00B62390">
        <w:tc>
          <w:tcPr>
            <w:tcW w:w="0" w:type="auto"/>
            <w:vAlign w:val="center"/>
          </w:tcPr>
          <w:p w14:paraId="457E90C8" w14:textId="1EADA4AD" w:rsidR="006E27A3" w:rsidRPr="00A75138" w:rsidRDefault="006E27A3" w:rsidP="006B3153">
            <w:pPr>
              <w:spacing w:line="360" w:lineRule="auto"/>
              <w:jc w:val="both"/>
              <w:rPr>
                <w:rFonts w:ascii="Arial" w:hAnsi="Arial" w:cs="Arial"/>
                <w:b/>
                <w:bCs/>
                <w:sz w:val="20"/>
              </w:rPr>
            </w:pPr>
            <w:r w:rsidRPr="00A75138">
              <w:rPr>
                <w:rStyle w:val="Strong"/>
                <w:rFonts w:ascii="Arial" w:hAnsi="Arial" w:cs="Arial"/>
                <w:b w:val="0"/>
                <w:bCs w:val="0"/>
                <w:sz w:val="20"/>
              </w:rPr>
              <w:t>CSIR–CMERI</w:t>
            </w:r>
          </w:p>
        </w:tc>
        <w:tc>
          <w:tcPr>
            <w:tcW w:w="0" w:type="auto"/>
            <w:vAlign w:val="center"/>
          </w:tcPr>
          <w:p w14:paraId="23853022" w14:textId="069343B0" w:rsidR="006E27A3" w:rsidRPr="00A75138" w:rsidRDefault="006E27A3" w:rsidP="006B3153">
            <w:pPr>
              <w:spacing w:line="360" w:lineRule="auto"/>
              <w:jc w:val="both"/>
              <w:rPr>
                <w:rFonts w:ascii="Arial" w:hAnsi="Arial" w:cs="Arial"/>
                <w:b/>
                <w:bCs/>
                <w:sz w:val="20"/>
              </w:rPr>
            </w:pPr>
            <w:r w:rsidRPr="00A75138">
              <w:rPr>
                <w:rFonts w:ascii="Arial" w:hAnsi="Arial" w:cs="Arial"/>
                <w:sz w:val="20"/>
              </w:rPr>
              <w:t>Modern multi-capacity oil expeller series</w:t>
            </w:r>
          </w:p>
        </w:tc>
        <w:tc>
          <w:tcPr>
            <w:tcW w:w="0" w:type="auto"/>
            <w:vAlign w:val="center"/>
          </w:tcPr>
          <w:p w14:paraId="47945C45" w14:textId="5A986B50" w:rsidR="006E27A3" w:rsidRPr="00A75138" w:rsidRDefault="006E27A3" w:rsidP="006B3153">
            <w:pPr>
              <w:spacing w:line="360" w:lineRule="auto"/>
              <w:jc w:val="both"/>
              <w:rPr>
                <w:rFonts w:ascii="Arial" w:hAnsi="Arial" w:cs="Arial"/>
                <w:b/>
                <w:bCs/>
                <w:sz w:val="20"/>
              </w:rPr>
            </w:pPr>
            <w:r w:rsidRPr="00A75138">
              <w:rPr>
                <w:rFonts w:ascii="Arial" w:hAnsi="Arial" w:cs="Arial"/>
                <w:sz w:val="20"/>
              </w:rPr>
              <w:t>1 TPD, 6 TPD, 10 TPD</w:t>
            </w:r>
          </w:p>
        </w:tc>
      </w:tr>
      <w:tr w:rsidR="006E27A3" w:rsidRPr="00A75138" w14:paraId="4B12FDA6" w14:textId="77777777" w:rsidTr="00B62390">
        <w:tc>
          <w:tcPr>
            <w:tcW w:w="0" w:type="auto"/>
            <w:vAlign w:val="center"/>
          </w:tcPr>
          <w:p w14:paraId="5E9FAE89" w14:textId="207352CA" w:rsidR="006E27A3" w:rsidRPr="00A75138" w:rsidRDefault="006E27A3" w:rsidP="006B3153">
            <w:pPr>
              <w:spacing w:line="360" w:lineRule="auto"/>
              <w:jc w:val="both"/>
              <w:rPr>
                <w:rFonts w:ascii="Arial" w:hAnsi="Arial" w:cs="Arial"/>
                <w:b/>
                <w:bCs/>
                <w:sz w:val="20"/>
              </w:rPr>
            </w:pPr>
            <w:r w:rsidRPr="00A75138">
              <w:rPr>
                <w:rStyle w:val="Strong"/>
                <w:rFonts w:ascii="Arial" w:hAnsi="Arial" w:cs="Arial"/>
                <w:b w:val="0"/>
                <w:bCs w:val="0"/>
                <w:sz w:val="20"/>
              </w:rPr>
              <w:t xml:space="preserve">IIFPT / NIFTEM (Indian Institute of Food Processing Technology / </w:t>
            </w:r>
            <w:r w:rsidRPr="00A75138">
              <w:rPr>
                <w:rStyle w:val="Strong"/>
                <w:rFonts w:ascii="Arial" w:hAnsi="Arial" w:cs="Arial"/>
                <w:b w:val="0"/>
                <w:bCs w:val="0"/>
                <w:sz w:val="20"/>
              </w:rPr>
              <w:lastRenderedPageBreak/>
              <w:t>National Institute of Food Technology)</w:t>
            </w:r>
          </w:p>
        </w:tc>
        <w:tc>
          <w:tcPr>
            <w:tcW w:w="0" w:type="auto"/>
            <w:vAlign w:val="center"/>
          </w:tcPr>
          <w:p w14:paraId="2EF7B98D" w14:textId="033BE21C" w:rsidR="006E27A3" w:rsidRPr="00A75138" w:rsidRDefault="006E27A3" w:rsidP="006B3153">
            <w:pPr>
              <w:spacing w:line="360" w:lineRule="auto"/>
              <w:jc w:val="both"/>
              <w:rPr>
                <w:rFonts w:ascii="Arial" w:hAnsi="Arial" w:cs="Arial"/>
                <w:b/>
                <w:bCs/>
                <w:sz w:val="20"/>
              </w:rPr>
            </w:pPr>
            <w:r w:rsidRPr="00A75138">
              <w:rPr>
                <w:rFonts w:ascii="Arial" w:hAnsi="Arial" w:cs="Arial"/>
                <w:sz w:val="20"/>
              </w:rPr>
              <w:lastRenderedPageBreak/>
              <w:t>Model Detailed Project Reports (DPRs) for small-</w:t>
            </w:r>
            <w:r w:rsidRPr="00A75138">
              <w:rPr>
                <w:rFonts w:ascii="Arial" w:hAnsi="Arial" w:cs="Arial"/>
                <w:sz w:val="20"/>
              </w:rPr>
              <w:lastRenderedPageBreak/>
              <w:t>scale oil processing enterprises</w:t>
            </w:r>
          </w:p>
        </w:tc>
        <w:tc>
          <w:tcPr>
            <w:tcW w:w="0" w:type="auto"/>
            <w:vAlign w:val="center"/>
          </w:tcPr>
          <w:p w14:paraId="709632C2" w14:textId="2B5DEDAB" w:rsidR="006E27A3" w:rsidRPr="00A75138" w:rsidRDefault="006E27A3" w:rsidP="006B3153">
            <w:pPr>
              <w:spacing w:line="360" w:lineRule="auto"/>
              <w:jc w:val="both"/>
              <w:rPr>
                <w:rFonts w:ascii="Arial" w:hAnsi="Arial" w:cs="Arial"/>
                <w:b/>
                <w:bCs/>
                <w:sz w:val="20"/>
              </w:rPr>
            </w:pPr>
            <w:r w:rsidRPr="00A75138">
              <w:rPr>
                <w:rFonts w:ascii="Arial" w:hAnsi="Arial" w:cs="Arial"/>
                <w:sz w:val="20"/>
              </w:rPr>
              <w:lastRenderedPageBreak/>
              <w:t>Example scale: ~180,000 bottles per annum (small commercial units)</w:t>
            </w:r>
          </w:p>
        </w:tc>
      </w:tr>
    </w:tbl>
    <w:p w14:paraId="55128FBB" w14:textId="1AEBDF6F" w:rsidR="00A770EF" w:rsidRPr="00A75138" w:rsidRDefault="002E23F4" w:rsidP="00C81016">
      <w:pPr>
        <w:spacing w:line="360" w:lineRule="auto"/>
        <w:jc w:val="both"/>
        <w:rPr>
          <w:rFonts w:ascii="Arial" w:hAnsi="Arial" w:cs="Arial"/>
          <w:b/>
          <w:bCs/>
          <w:sz w:val="24"/>
          <w:szCs w:val="22"/>
        </w:rPr>
      </w:pPr>
      <w:r w:rsidRPr="00A75138">
        <w:rPr>
          <w:rFonts w:ascii="Arial" w:hAnsi="Arial" w:cs="Arial"/>
          <w:b/>
          <w:bCs/>
          <w:noProof/>
          <w:sz w:val="24"/>
          <w:szCs w:val="22"/>
          <w:lang w:eastAsia="en-IN"/>
        </w:rPr>
        <w:drawing>
          <wp:anchor distT="0" distB="0" distL="114300" distR="114300" simplePos="0" relativeHeight="251662336" behindDoc="0" locked="0" layoutInCell="1" allowOverlap="1" wp14:anchorId="71455E6F" wp14:editId="3A519E19">
            <wp:simplePos x="0" y="0"/>
            <wp:positionH relativeFrom="margin">
              <wp:posOffset>646430</wp:posOffset>
            </wp:positionH>
            <wp:positionV relativeFrom="paragraph">
              <wp:posOffset>170180</wp:posOffset>
            </wp:positionV>
            <wp:extent cx="3980845" cy="3966210"/>
            <wp:effectExtent l="0" t="0" r="635" b="0"/>
            <wp:wrapThrough wrapText="bothSides">
              <wp:wrapPolygon edited="0">
                <wp:start x="0" y="0"/>
                <wp:lineTo x="0" y="21476"/>
                <wp:lineTo x="21500" y="21476"/>
                <wp:lineTo x="215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PD.jpg"/>
                    <pic:cNvPicPr/>
                  </pic:nvPicPr>
                  <pic:blipFill>
                    <a:blip r:embed="rId15">
                      <a:extLst>
                        <a:ext uri="{28A0092B-C50C-407E-A947-70E740481C1C}">
                          <a14:useLocalDpi xmlns:a14="http://schemas.microsoft.com/office/drawing/2010/main" val="0"/>
                        </a:ext>
                      </a:extLst>
                    </a:blip>
                    <a:stretch>
                      <a:fillRect/>
                    </a:stretch>
                  </pic:blipFill>
                  <pic:spPr>
                    <a:xfrm>
                      <a:off x="0" y="0"/>
                      <a:ext cx="3980845" cy="3966210"/>
                    </a:xfrm>
                    <a:prstGeom prst="rect">
                      <a:avLst/>
                    </a:prstGeom>
                  </pic:spPr>
                </pic:pic>
              </a:graphicData>
            </a:graphic>
          </wp:anchor>
        </w:drawing>
      </w:r>
    </w:p>
    <w:p w14:paraId="395CD1F3" w14:textId="026C1DF5" w:rsidR="00A770EF" w:rsidRPr="00A75138" w:rsidRDefault="00A770EF" w:rsidP="00C81016">
      <w:pPr>
        <w:spacing w:line="360" w:lineRule="auto"/>
        <w:jc w:val="both"/>
        <w:rPr>
          <w:rFonts w:ascii="Arial" w:hAnsi="Arial" w:cs="Arial"/>
          <w:b/>
          <w:bCs/>
          <w:sz w:val="24"/>
          <w:szCs w:val="22"/>
        </w:rPr>
      </w:pPr>
    </w:p>
    <w:p w14:paraId="48D4F93F" w14:textId="2D6ABED4" w:rsidR="00A770EF" w:rsidRPr="00A75138" w:rsidRDefault="00A770EF" w:rsidP="00C81016">
      <w:pPr>
        <w:spacing w:line="360" w:lineRule="auto"/>
        <w:jc w:val="both"/>
        <w:rPr>
          <w:rFonts w:ascii="Arial" w:hAnsi="Arial" w:cs="Arial"/>
          <w:b/>
          <w:bCs/>
          <w:sz w:val="24"/>
          <w:szCs w:val="22"/>
        </w:rPr>
      </w:pPr>
    </w:p>
    <w:p w14:paraId="732795CB" w14:textId="50AA7139" w:rsidR="00A770EF" w:rsidRPr="00A75138" w:rsidRDefault="00A770EF" w:rsidP="00C81016">
      <w:pPr>
        <w:spacing w:line="360" w:lineRule="auto"/>
        <w:jc w:val="both"/>
        <w:rPr>
          <w:rFonts w:ascii="Arial" w:hAnsi="Arial" w:cs="Arial"/>
          <w:b/>
          <w:bCs/>
          <w:sz w:val="24"/>
          <w:szCs w:val="22"/>
        </w:rPr>
      </w:pPr>
    </w:p>
    <w:p w14:paraId="35C687E0" w14:textId="1C5772FF" w:rsidR="00A770EF" w:rsidRPr="00A75138" w:rsidRDefault="00A770EF" w:rsidP="00C81016">
      <w:pPr>
        <w:spacing w:line="360" w:lineRule="auto"/>
        <w:jc w:val="both"/>
        <w:rPr>
          <w:rFonts w:ascii="Arial" w:hAnsi="Arial" w:cs="Arial"/>
          <w:b/>
          <w:bCs/>
          <w:sz w:val="24"/>
          <w:szCs w:val="22"/>
        </w:rPr>
      </w:pPr>
    </w:p>
    <w:p w14:paraId="61E35336" w14:textId="68FC2FC2" w:rsidR="00A770EF" w:rsidRPr="00A75138" w:rsidRDefault="00A770EF" w:rsidP="00C81016">
      <w:pPr>
        <w:spacing w:line="360" w:lineRule="auto"/>
        <w:jc w:val="both"/>
        <w:rPr>
          <w:rFonts w:ascii="Arial" w:hAnsi="Arial" w:cs="Arial"/>
          <w:b/>
          <w:bCs/>
          <w:sz w:val="24"/>
          <w:szCs w:val="22"/>
        </w:rPr>
      </w:pPr>
    </w:p>
    <w:p w14:paraId="2DC109F5" w14:textId="61A7C5BB" w:rsidR="00A770EF" w:rsidRPr="00A75138" w:rsidRDefault="00A770EF" w:rsidP="00C81016">
      <w:pPr>
        <w:spacing w:line="360" w:lineRule="auto"/>
        <w:jc w:val="both"/>
        <w:rPr>
          <w:rFonts w:ascii="Arial" w:hAnsi="Arial" w:cs="Arial"/>
          <w:b/>
          <w:bCs/>
          <w:sz w:val="24"/>
          <w:szCs w:val="22"/>
        </w:rPr>
      </w:pPr>
    </w:p>
    <w:p w14:paraId="7C598CF1" w14:textId="1280FCFA" w:rsidR="00A770EF" w:rsidRPr="00A75138" w:rsidRDefault="00A770EF" w:rsidP="00C81016">
      <w:pPr>
        <w:spacing w:line="360" w:lineRule="auto"/>
        <w:jc w:val="both"/>
        <w:rPr>
          <w:rFonts w:ascii="Arial" w:hAnsi="Arial" w:cs="Arial"/>
          <w:b/>
          <w:bCs/>
          <w:sz w:val="24"/>
          <w:szCs w:val="22"/>
        </w:rPr>
      </w:pPr>
    </w:p>
    <w:p w14:paraId="7975CD5F" w14:textId="77777777" w:rsidR="00A770EF" w:rsidRPr="00A75138" w:rsidRDefault="00A770EF" w:rsidP="00C81016">
      <w:pPr>
        <w:spacing w:line="360" w:lineRule="auto"/>
        <w:jc w:val="both"/>
        <w:rPr>
          <w:rFonts w:ascii="Arial" w:hAnsi="Arial" w:cs="Arial"/>
          <w:b/>
          <w:bCs/>
          <w:sz w:val="24"/>
          <w:szCs w:val="22"/>
        </w:rPr>
      </w:pPr>
    </w:p>
    <w:p w14:paraId="35C93E0C" w14:textId="77777777" w:rsidR="002E23F4" w:rsidRPr="00A75138" w:rsidRDefault="002E23F4" w:rsidP="00C81016">
      <w:pPr>
        <w:spacing w:line="360" w:lineRule="auto"/>
        <w:jc w:val="both"/>
        <w:rPr>
          <w:rFonts w:ascii="Arial" w:hAnsi="Arial" w:cs="Arial"/>
          <w:b/>
          <w:bCs/>
          <w:sz w:val="24"/>
          <w:szCs w:val="22"/>
        </w:rPr>
      </w:pPr>
    </w:p>
    <w:p w14:paraId="2A48A3EB" w14:textId="77777777" w:rsidR="002E23F4" w:rsidRPr="00A75138" w:rsidRDefault="002E23F4" w:rsidP="00C81016">
      <w:pPr>
        <w:spacing w:line="360" w:lineRule="auto"/>
        <w:jc w:val="both"/>
        <w:rPr>
          <w:rFonts w:ascii="Arial" w:hAnsi="Arial" w:cs="Arial"/>
          <w:b/>
          <w:bCs/>
          <w:sz w:val="24"/>
          <w:szCs w:val="22"/>
        </w:rPr>
      </w:pPr>
    </w:p>
    <w:p w14:paraId="3F10D8D0" w14:textId="13135B01" w:rsidR="001F002C" w:rsidRPr="00A75138" w:rsidRDefault="001F002C" w:rsidP="00C81016">
      <w:pPr>
        <w:spacing w:line="360" w:lineRule="auto"/>
        <w:jc w:val="both"/>
        <w:rPr>
          <w:rStyle w:val="Strong"/>
          <w:rFonts w:ascii="Arial" w:hAnsi="Arial" w:cs="Arial"/>
          <w:color w:val="0A0A0A"/>
          <w:shd w:val="clear" w:color="auto" w:fill="FFFFFF"/>
        </w:rPr>
      </w:pPr>
    </w:p>
    <w:p w14:paraId="04D560BB" w14:textId="70DDA442" w:rsidR="00781304" w:rsidRPr="00A75138" w:rsidRDefault="001F002C" w:rsidP="00C81016">
      <w:pPr>
        <w:spacing w:line="360" w:lineRule="auto"/>
        <w:jc w:val="both"/>
        <w:rPr>
          <w:rFonts w:ascii="Arial" w:hAnsi="Arial" w:cs="Arial"/>
          <w:b/>
          <w:bCs/>
        </w:rPr>
      </w:pPr>
      <w:r w:rsidRPr="00A75138">
        <w:rPr>
          <w:rStyle w:val="Strong"/>
          <w:rFonts w:ascii="Arial" w:hAnsi="Arial" w:cs="Arial"/>
          <w:b w:val="0"/>
          <w:bCs w:val="0"/>
          <w:color w:val="0A0A0A"/>
          <w:sz w:val="20"/>
          <w:szCs w:val="18"/>
          <w:shd w:val="clear" w:color="auto" w:fill="FFFFFF"/>
        </w:rPr>
        <w:t>Fig 5. Mini oil expeller developed by Central Mechanical Engineering Research Institute</w:t>
      </w:r>
    </w:p>
    <w:p w14:paraId="5EE981F7" w14:textId="11FA9625" w:rsidR="003D1D41" w:rsidRPr="00A75138" w:rsidRDefault="00B775BC" w:rsidP="003D1D41">
      <w:pPr>
        <w:spacing w:line="360" w:lineRule="auto"/>
        <w:jc w:val="both"/>
        <w:rPr>
          <w:rFonts w:ascii="Arial" w:hAnsi="Arial" w:cs="Arial"/>
          <w:sz w:val="24"/>
          <w:szCs w:val="22"/>
        </w:rPr>
      </w:pPr>
      <w:r w:rsidRPr="00EB5B9D">
        <w:rPr>
          <w:rFonts w:ascii="Arial" w:hAnsi="Arial" w:cs="Arial"/>
          <w:sz w:val="20"/>
        </w:rPr>
        <w:t>Project Parivartan’s mustard-expeller initiative in Hussaini village, Mathura, and the emergence of small-scale cold-pressed oil units in Tamil Nadu together illustrate the transformative potential of decentralized oil-processing systems in rural India. In Uttar Pradesh, the Shri Ji SHG established a mustard-expeller enterprise with an investment exceeding Rupee 7 lakh, enabling previously homebound women to earn Rupee 5,000 -13,000 per month and market 250 quintals of mustard oil under their own brand,</w:t>
      </w:r>
      <w:r w:rsidRPr="00A75138">
        <w:rPr>
          <w:rFonts w:ascii="Arial" w:hAnsi="Arial" w:cs="Arial"/>
          <w:sz w:val="24"/>
          <w:szCs w:val="22"/>
        </w:rPr>
        <w:t xml:space="preserve"> </w:t>
      </w:r>
      <w:r w:rsidRPr="00EB5B9D">
        <w:rPr>
          <w:rFonts w:ascii="Arial" w:hAnsi="Arial" w:cs="Arial"/>
          <w:sz w:val="20"/>
        </w:rPr>
        <w:t>thereby enhancing both economic agency and social standing (</w:t>
      </w:r>
      <w:proofErr w:type="spellStart"/>
      <w:r w:rsidRPr="00EB5B9D">
        <w:rPr>
          <w:rFonts w:ascii="Arial" w:hAnsi="Arial" w:cs="Arial"/>
          <w:sz w:val="20"/>
        </w:rPr>
        <w:t>Brara</w:t>
      </w:r>
      <w:proofErr w:type="spellEnd"/>
      <w:r w:rsidRPr="00EB5B9D">
        <w:rPr>
          <w:rFonts w:ascii="Arial" w:hAnsi="Arial" w:cs="Arial"/>
          <w:sz w:val="20"/>
        </w:rPr>
        <w:t>, 2025). Likewise, Tamil Nadu’s</w:t>
      </w:r>
      <w:r w:rsidRPr="00A75138">
        <w:rPr>
          <w:rFonts w:ascii="Arial" w:hAnsi="Arial" w:cs="Arial"/>
          <w:sz w:val="24"/>
          <w:szCs w:val="22"/>
        </w:rPr>
        <w:t xml:space="preserve"> </w:t>
      </w:r>
    </w:p>
    <w:p w14:paraId="7FA486F1" w14:textId="61016E90" w:rsidR="00106118" w:rsidRDefault="00106118" w:rsidP="00C81016">
      <w:pPr>
        <w:spacing w:line="360" w:lineRule="auto"/>
        <w:jc w:val="both"/>
        <w:rPr>
          <w:rFonts w:ascii="Arial" w:hAnsi="Arial" w:cs="Arial"/>
          <w:sz w:val="20"/>
          <w:szCs w:val="18"/>
        </w:rPr>
      </w:pPr>
    </w:p>
    <w:p w14:paraId="569E31A3" w14:textId="77777777" w:rsidR="00106118" w:rsidRDefault="00106118" w:rsidP="00C81016">
      <w:pPr>
        <w:spacing w:line="360" w:lineRule="auto"/>
        <w:jc w:val="both"/>
        <w:rPr>
          <w:rFonts w:ascii="Arial" w:hAnsi="Arial" w:cs="Arial"/>
          <w:sz w:val="20"/>
          <w:szCs w:val="18"/>
        </w:rPr>
      </w:pPr>
    </w:p>
    <w:p w14:paraId="4161B5B7" w14:textId="77777777" w:rsidR="00106118" w:rsidRDefault="00106118" w:rsidP="00C81016">
      <w:pPr>
        <w:spacing w:line="360" w:lineRule="auto"/>
        <w:jc w:val="both"/>
        <w:rPr>
          <w:rFonts w:ascii="Arial" w:hAnsi="Arial" w:cs="Arial"/>
          <w:sz w:val="20"/>
          <w:szCs w:val="18"/>
        </w:rPr>
      </w:pPr>
    </w:p>
    <w:p w14:paraId="33245026" w14:textId="0A54B509" w:rsidR="00106118" w:rsidRDefault="00106118" w:rsidP="00C81016">
      <w:pPr>
        <w:spacing w:line="360" w:lineRule="auto"/>
        <w:jc w:val="both"/>
        <w:rPr>
          <w:rFonts w:ascii="Arial" w:hAnsi="Arial" w:cs="Arial"/>
          <w:sz w:val="20"/>
          <w:szCs w:val="18"/>
        </w:rPr>
      </w:pPr>
    </w:p>
    <w:p w14:paraId="5EB35CAE" w14:textId="5935C2DA" w:rsidR="00106118" w:rsidRDefault="00C964E6" w:rsidP="00C81016">
      <w:pPr>
        <w:spacing w:line="360" w:lineRule="auto"/>
        <w:jc w:val="both"/>
        <w:rPr>
          <w:rFonts w:ascii="Arial" w:hAnsi="Arial" w:cs="Arial"/>
          <w:sz w:val="20"/>
          <w:szCs w:val="18"/>
        </w:rPr>
      </w:pPr>
      <w:r>
        <w:rPr>
          <w:rFonts w:ascii="Arial" w:hAnsi="Arial" w:cs="Arial"/>
          <w:b/>
          <w:bCs/>
          <w:noProof/>
          <w:sz w:val="24"/>
          <w:szCs w:val="22"/>
        </w:rPr>
        <w:lastRenderedPageBreak/>
        <mc:AlternateContent>
          <mc:Choice Requires="wps">
            <w:drawing>
              <wp:anchor distT="0" distB="0" distL="114300" distR="114300" simplePos="0" relativeHeight="251682816" behindDoc="0" locked="0" layoutInCell="1" allowOverlap="1" wp14:anchorId="7E811822" wp14:editId="7920F48C">
                <wp:simplePos x="0" y="0"/>
                <wp:positionH relativeFrom="column">
                  <wp:posOffset>5229225</wp:posOffset>
                </wp:positionH>
                <wp:positionV relativeFrom="paragraph">
                  <wp:posOffset>161925</wp:posOffset>
                </wp:positionV>
                <wp:extent cx="202019" cy="233917"/>
                <wp:effectExtent l="0" t="0" r="26670" b="13970"/>
                <wp:wrapNone/>
                <wp:docPr id="810885879" name="Oval 3"/>
                <wp:cNvGraphicFramePr/>
                <a:graphic xmlns:a="http://schemas.openxmlformats.org/drawingml/2006/main">
                  <a:graphicData uri="http://schemas.microsoft.com/office/word/2010/wordprocessingShape">
                    <wps:wsp>
                      <wps:cNvSpPr/>
                      <wps:spPr>
                        <a:xfrm>
                          <a:off x="0" y="0"/>
                          <a:ext cx="202019" cy="233917"/>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7514EC8" id="Oval 3" o:spid="_x0000_s1026" style="position:absolute;margin-left:411.75pt;margin-top:12.75pt;width:15.9pt;height:18.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" fillcolor="#5b9bd5 [3204]" strokecolor="#091723 [484]" strokeweight="1pt">
                <v:stroke joinstyle="miter"/>
              </v:oval>
            </w:pict>
          </mc:Fallback>
        </mc:AlternateContent>
      </w:r>
      <w:r>
        <w:rPr>
          <w:rFonts w:ascii="Arial" w:hAnsi="Arial" w:cs="Arial"/>
          <w:noProof/>
          <w:sz w:val="20"/>
        </w:rPr>
        <mc:AlternateContent>
          <mc:Choice Requires="wps">
            <w:drawing>
              <wp:anchor distT="0" distB="0" distL="114300" distR="114300" simplePos="0" relativeHeight="251680768" behindDoc="0" locked="0" layoutInCell="1" allowOverlap="1" wp14:anchorId="521E4B11" wp14:editId="40222BDA">
                <wp:simplePos x="0" y="0"/>
                <wp:positionH relativeFrom="column">
                  <wp:posOffset>1438275</wp:posOffset>
                </wp:positionH>
                <wp:positionV relativeFrom="paragraph">
                  <wp:posOffset>427990</wp:posOffset>
                </wp:positionV>
                <wp:extent cx="95693" cy="148856"/>
                <wp:effectExtent l="0" t="0" r="19050" b="22860"/>
                <wp:wrapNone/>
                <wp:docPr id="725861158" name="Oval 4"/>
                <wp:cNvGraphicFramePr/>
                <a:graphic xmlns:a="http://schemas.openxmlformats.org/drawingml/2006/main">
                  <a:graphicData uri="http://schemas.microsoft.com/office/word/2010/wordprocessingShape">
                    <wps:wsp>
                      <wps:cNvSpPr/>
                      <wps:spPr>
                        <a:xfrm>
                          <a:off x="0" y="0"/>
                          <a:ext cx="95693" cy="14885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36B89FE" id="Oval 4" o:spid="_x0000_s1026" style="position:absolute;margin-left:113.25pt;margin-top:33.7pt;width:7.55pt;height:11.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" fillcolor="#5b9bd5 [3204]" strokecolor="#091723 [484]" strokeweight="1pt">
                <v:stroke joinstyle="miter"/>
              </v:oval>
            </w:pict>
          </mc:Fallback>
        </mc:AlternateContent>
      </w:r>
      <w:r w:rsidR="00106118" w:rsidRPr="00EB5B9D">
        <w:rPr>
          <w:rFonts w:ascii="Arial" w:hAnsi="Arial" w:cs="Arial"/>
          <w:noProof/>
          <w:sz w:val="20"/>
          <w:lang w:eastAsia="en-IN"/>
        </w:rPr>
        <w:drawing>
          <wp:anchor distT="0" distB="0" distL="114300" distR="114300" simplePos="0" relativeHeight="251664384" behindDoc="1" locked="0" layoutInCell="1" allowOverlap="1" wp14:anchorId="59DA992C" wp14:editId="3A8CEAC7">
            <wp:simplePos x="0" y="0"/>
            <wp:positionH relativeFrom="column">
              <wp:posOffset>3105150</wp:posOffset>
            </wp:positionH>
            <wp:positionV relativeFrom="page">
              <wp:posOffset>590550</wp:posOffset>
            </wp:positionV>
            <wp:extent cx="2571750" cy="2276475"/>
            <wp:effectExtent l="0" t="0" r="0" b="9525"/>
            <wp:wrapThrough wrapText="bothSides">
              <wp:wrapPolygon edited="0">
                <wp:start x="0" y="0"/>
                <wp:lineTo x="0" y="21510"/>
                <wp:lineTo x="21440" y="21510"/>
                <wp:lineTo x="21440" y="0"/>
                <wp:lineTo x="0" y="0"/>
              </wp:wrapPolygon>
            </wp:wrapThrough>
            <wp:docPr id="9" name="Picture 9" descr="https://vikalpsangam.org/wp-content/uploads/migrate/Vikalp%20Sangam%20Case%20Studies/figur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kalpsangam.org/wp-content/uploads/migrate/Vikalp%20Sangam%20Case%20Studies/figure_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0"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118" w:rsidRPr="00EB5B9D">
        <w:rPr>
          <w:rFonts w:ascii="Arial" w:hAnsi="Arial" w:cs="Arial"/>
          <w:noProof/>
          <w:sz w:val="20"/>
          <w:lang w:eastAsia="en-IN"/>
        </w:rPr>
        <w:drawing>
          <wp:anchor distT="0" distB="0" distL="114300" distR="114300" simplePos="0" relativeHeight="251663360" behindDoc="0" locked="0" layoutInCell="1" allowOverlap="1" wp14:anchorId="0CA92950" wp14:editId="70DC1297">
            <wp:simplePos x="0" y="0"/>
            <wp:positionH relativeFrom="column">
              <wp:posOffset>-152400</wp:posOffset>
            </wp:positionH>
            <wp:positionV relativeFrom="paragraph">
              <wp:posOffset>0</wp:posOffset>
            </wp:positionV>
            <wp:extent cx="2895600" cy="1916430"/>
            <wp:effectExtent l="0" t="0" r="0" b="7620"/>
            <wp:wrapThrough wrapText="bothSides">
              <wp:wrapPolygon edited="0">
                <wp:start x="0" y="0"/>
                <wp:lineTo x="0" y="21471"/>
                <wp:lineTo x="21458" y="21471"/>
                <wp:lineTo x="21458" y="0"/>
                <wp:lineTo x="0" y="0"/>
              </wp:wrapPolygon>
            </wp:wrapThrough>
            <wp:docPr id="8" name="Picture 8" descr="https://pressinstitute.in/wp-content/uploads/2025/06/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essinstitute.in/wp-content/uploads/2025/06/C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5600" cy="1916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0AEFFF" w14:textId="0F736E48" w:rsidR="003D1D41" w:rsidRPr="00A75138" w:rsidRDefault="00106118" w:rsidP="00C81016">
      <w:pPr>
        <w:spacing w:line="360" w:lineRule="auto"/>
        <w:jc w:val="both"/>
        <w:rPr>
          <w:rFonts w:ascii="Arial" w:hAnsi="Arial" w:cs="Arial"/>
          <w:sz w:val="24"/>
          <w:szCs w:val="22"/>
        </w:rPr>
      </w:pPr>
      <w:r>
        <w:rPr>
          <w:rFonts w:ascii="Arial" w:hAnsi="Arial" w:cs="Arial"/>
          <w:sz w:val="20"/>
          <w:szCs w:val="18"/>
        </w:rPr>
        <w:t>F</w:t>
      </w:r>
      <w:r w:rsidR="003D1D41" w:rsidRPr="00A75138">
        <w:rPr>
          <w:rFonts w:ascii="Arial" w:hAnsi="Arial" w:cs="Arial"/>
          <w:sz w:val="20"/>
          <w:szCs w:val="18"/>
        </w:rPr>
        <w:t xml:space="preserve">ig 6. Mechanical oil expeller unit; Packaging and storage of extracted oil, </w:t>
      </w:r>
      <w:r w:rsidR="003D1D41" w:rsidRPr="00A75138">
        <w:rPr>
          <w:rFonts w:ascii="Arial" w:hAnsi="Arial" w:cs="Arial"/>
          <w:b/>
          <w:bCs/>
          <w:i/>
          <w:iCs/>
          <w:sz w:val="16"/>
          <w:szCs w:val="14"/>
        </w:rPr>
        <w:t>image source:</w:t>
      </w:r>
      <w:r w:rsidR="003D1D41" w:rsidRPr="00A75138">
        <w:rPr>
          <w:rFonts w:ascii="Arial" w:hAnsi="Arial" w:cs="Arial"/>
          <w:i/>
          <w:iCs/>
          <w:sz w:val="14"/>
          <w:szCs w:val="12"/>
        </w:rPr>
        <w:t xml:space="preserve"> </w:t>
      </w:r>
      <w:r w:rsidR="003D1D41" w:rsidRPr="00A75138">
        <w:rPr>
          <w:rFonts w:ascii="Arial" w:hAnsi="Arial" w:cs="Arial"/>
          <w:b/>
          <w:bCs/>
          <w:i/>
          <w:iCs/>
          <w:sz w:val="16"/>
          <w:szCs w:val="14"/>
        </w:rPr>
        <w:t xml:space="preserve">(Karthikeyan, 2020) </w:t>
      </w:r>
    </w:p>
    <w:p w14:paraId="5E6CDFFE" w14:textId="6551BF44" w:rsidR="002E23F4" w:rsidRPr="00A75138" w:rsidRDefault="00B775BC" w:rsidP="00C81016">
      <w:pPr>
        <w:spacing w:line="360" w:lineRule="auto"/>
        <w:jc w:val="both"/>
        <w:rPr>
          <w:rFonts w:ascii="Arial" w:hAnsi="Arial" w:cs="Arial"/>
          <w:sz w:val="20"/>
        </w:rPr>
      </w:pPr>
      <w:proofErr w:type="spellStart"/>
      <w:r w:rsidRPr="00A75138">
        <w:rPr>
          <w:rFonts w:ascii="Arial" w:hAnsi="Arial" w:cs="Arial"/>
          <w:sz w:val="20"/>
        </w:rPr>
        <w:t>marachekkuennai</w:t>
      </w:r>
      <w:proofErr w:type="spellEnd"/>
      <w:r w:rsidRPr="00A75138">
        <w:rPr>
          <w:rFonts w:ascii="Arial" w:hAnsi="Arial" w:cs="Arial"/>
          <w:sz w:val="20"/>
        </w:rPr>
        <w:t xml:space="preserve"> units such as the </w:t>
      </w:r>
      <w:proofErr w:type="spellStart"/>
      <w:r w:rsidRPr="00A75138">
        <w:rPr>
          <w:rFonts w:ascii="Arial" w:hAnsi="Arial" w:cs="Arial"/>
          <w:sz w:val="20"/>
        </w:rPr>
        <w:t>Sathiyam</w:t>
      </w:r>
      <w:proofErr w:type="spellEnd"/>
      <w:r w:rsidRPr="00A75138">
        <w:rPr>
          <w:rFonts w:ascii="Arial" w:hAnsi="Arial" w:cs="Arial"/>
          <w:sz w:val="20"/>
        </w:rPr>
        <w:t xml:space="preserve"> </w:t>
      </w:r>
      <w:proofErr w:type="spellStart"/>
      <w:r w:rsidRPr="00A75138">
        <w:rPr>
          <w:rFonts w:ascii="Arial" w:hAnsi="Arial" w:cs="Arial"/>
          <w:sz w:val="20"/>
        </w:rPr>
        <w:t>Marachekku</w:t>
      </w:r>
      <w:proofErr w:type="spellEnd"/>
      <w:r w:rsidRPr="00A75138">
        <w:rPr>
          <w:rFonts w:ascii="Arial" w:hAnsi="Arial" w:cs="Arial"/>
          <w:sz w:val="20"/>
        </w:rPr>
        <w:t xml:space="preserve"> </w:t>
      </w:r>
      <w:proofErr w:type="spellStart"/>
      <w:r w:rsidRPr="00A75138">
        <w:rPr>
          <w:rFonts w:ascii="Arial" w:hAnsi="Arial" w:cs="Arial"/>
          <w:sz w:val="20"/>
        </w:rPr>
        <w:t>Ennai</w:t>
      </w:r>
      <w:proofErr w:type="spellEnd"/>
      <w:r w:rsidRPr="00A75138">
        <w:rPr>
          <w:rFonts w:ascii="Arial" w:hAnsi="Arial" w:cs="Arial"/>
          <w:sz w:val="20"/>
        </w:rPr>
        <w:t xml:space="preserve"> enterprise demonstrate strong consumer demand and viability, producing several thousand </w:t>
      </w:r>
      <w:proofErr w:type="spellStart"/>
      <w:r w:rsidRPr="00A75138">
        <w:rPr>
          <w:rFonts w:ascii="Arial" w:hAnsi="Arial" w:cs="Arial"/>
          <w:sz w:val="20"/>
        </w:rPr>
        <w:t>liters</w:t>
      </w:r>
      <w:proofErr w:type="spellEnd"/>
      <w:r w:rsidRPr="00A75138">
        <w:rPr>
          <w:rFonts w:ascii="Arial" w:hAnsi="Arial" w:cs="Arial"/>
          <w:sz w:val="20"/>
        </w:rPr>
        <w:t xml:space="preserve"> of cold-pressed oils monthly and contributing to localized value chains, employment generation, and healthier food systems (Karthikeyan, 2020). Together, these models underscore the broader socioeconomic benefits of localized, community-driven agro-processing initiatives.</w:t>
      </w:r>
    </w:p>
    <w:p w14:paraId="3C77A9DF" w14:textId="53223957" w:rsidR="008D13EB" w:rsidRPr="00A75138" w:rsidRDefault="008D13EB" w:rsidP="008D13EB">
      <w:pPr>
        <w:pStyle w:val="ListParagraph"/>
        <w:numPr>
          <w:ilvl w:val="0"/>
          <w:numId w:val="6"/>
        </w:numPr>
        <w:spacing w:line="360" w:lineRule="auto"/>
        <w:jc w:val="both"/>
        <w:rPr>
          <w:rFonts w:ascii="Arial" w:hAnsi="Arial" w:cs="Arial"/>
          <w:b/>
          <w:bCs/>
          <w:szCs w:val="22"/>
        </w:rPr>
      </w:pPr>
      <w:r w:rsidRPr="00A75138">
        <w:rPr>
          <w:rFonts w:ascii="Arial" w:hAnsi="Arial" w:cs="Arial"/>
          <w:b/>
          <w:bCs/>
          <w:szCs w:val="22"/>
        </w:rPr>
        <w:t xml:space="preserve">Discussion and Synthesis: </w:t>
      </w:r>
      <w:proofErr w:type="spellStart"/>
      <w:r w:rsidRPr="00A75138">
        <w:rPr>
          <w:rFonts w:ascii="Arial" w:hAnsi="Arial" w:cs="Arial"/>
          <w:b/>
          <w:bCs/>
          <w:szCs w:val="22"/>
        </w:rPr>
        <w:t>Catalyzing</w:t>
      </w:r>
      <w:proofErr w:type="spellEnd"/>
      <w:r w:rsidRPr="00A75138">
        <w:rPr>
          <w:rFonts w:ascii="Arial" w:hAnsi="Arial" w:cs="Arial"/>
          <w:b/>
          <w:bCs/>
          <w:szCs w:val="22"/>
        </w:rPr>
        <w:t xml:space="preserve"> Rural Transformation</w:t>
      </w:r>
    </w:p>
    <w:p w14:paraId="747514A6" w14:textId="7FE8E639" w:rsidR="002E23F4" w:rsidRPr="00A75138" w:rsidRDefault="008D13EB" w:rsidP="008D13EB">
      <w:pPr>
        <w:spacing w:line="360" w:lineRule="auto"/>
        <w:jc w:val="both"/>
        <w:rPr>
          <w:rFonts w:ascii="Arial" w:hAnsi="Arial" w:cs="Arial"/>
          <w:sz w:val="20"/>
        </w:rPr>
      </w:pPr>
      <w:r w:rsidRPr="00A75138">
        <w:rPr>
          <w:rFonts w:ascii="Arial" w:hAnsi="Arial" w:cs="Arial"/>
          <w:sz w:val="20"/>
        </w:rPr>
        <w:t>The collective evidence drawn from decentralized processing interventions, including ginger processing in Assam, pulse milling in Maharashtra, and mustard oil expelling in Uttar Pradesh demonstrates that the diffusion of energy-efficient, small-scale food processing technologies serves as a significant catalyst for socioeconomic transformation in rural India. These technologies directly address entrenched structural constraints such as high post-harvest losses, dependence on intermediaries, and limited participation of producers in higher-value segments of the agri-food chain. Consequently, they enable a transition from low-margin subsistence activities to diversified income-generating enterprises.</w:t>
      </w:r>
    </w:p>
    <w:p w14:paraId="11D452F2" w14:textId="7FC1C933" w:rsidR="008D13EB" w:rsidRPr="00EB5B9D" w:rsidRDefault="008D13EB" w:rsidP="008D13EB">
      <w:pPr>
        <w:spacing w:line="360" w:lineRule="auto"/>
        <w:jc w:val="both"/>
        <w:rPr>
          <w:rFonts w:ascii="Arial" w:hAnsi="Arial" w:cs="Arial"/>
          <w:b/>
          <w:bCs/>
          <w:szCs w:val="22"/>
        </w:rPr>
      </w:pPr>
      <w:r w:rsidRPr="00EB5B9D">
        <w:rPr>
          <w:rFonts w:ascii="Arial" w:hAnsi="Arial" w:cs="Arial"/>
          <w:b/>
          <w:bCs/>
          <w:szCs w:val="22"/>
        </w:rPr>
        <w:t>3.1 Synthesis of Socioeconomic Impacts</w:t>
      </w:r>
    </w:p>
    <w:p w14:paraId="400AF146" w14:textId="099F4B6A" w:rsidR="00747B77" w:rsidRPr="00EB5B9D" w:rsidRDefault="009901C3" w:rsidP="00747B77">
      <w:pPr>
        <w:spacing w:line="360" w:lineRule="auto"/>
        <w:jc w:val="both"/>
        <w:rPr>
          <w:rFonts w:ascii="Arial" w:hAnsi="Arial" w:cs="Arial"/>
          <w:b/>
          <w:bCs/>
          <w:sz w:val="20"/>
          <w:u w:val="single"/>
        </w:rPr>
      </w:pPr>
      <w:r w:rsidRPr="00EB5B9D">
        <w:rPr>
          <w:rFonts w:ascii="Arial" w:hAnsi="Arial" w:cs="Arial"/>
          <w:b/>
          <w:bCs/>
          <w:sz w:val="20"/>
          <w:u w:val="single"/>
        </w:rPr>
        <w:t xml:space="preserve">3.1.1. </w:t>
      </w:r>
      <w:r w:rsidR="00747B77" w:rsidRPr="00EB5B9D">
        <w:rPr>
          <w:rFonts w:ascii="Arial" w:hAnsi="Arial" w:cs="Arial"/>
          <w:b/>
          <w:bCs/>
          <w:sz w:val="20"/>
          <w:u w:val="single"/>
        </w:rPr>
        <w:t>Income Generation and Market Integration</w:t>
      </w:r>
    </w:p>
    <w:p w14:paraId="5EE54E3C" w14:textId="48087B93" w:rsidR="002E23F4" w:rsidRPr="00A75138" w:rsidRDefault="00747B77" w:rsidP="00747B77">
      <w:pPr>
        <w:spacing w:line="360" w:lineRule="auto"/>
        <w:jc w:val="both"/>
        <w:rPr>
          <w:rFonts w:ascii="Arial" w:hAnsi="Arial" w:cs="Arial"/>
          <w:sz w:val="20"/>
        </w:rPr>
      </w:pPr>
      <w:r w:rsidRPr="00A75138">
        <w:rPr>
          <w:rFonts w:ascii="Arial" w:hAnsi="Arial" w:cs="Arial"/>
          <w:sz w:val="20"/>
        </w:rPr>
        <w:t xml:space="preserve">Decentralized processing has markedly improved income stability and enhanced access to high-value markets. For instance, </w:t>
      </w:r>
      <w:proofErr w:type="spellStart"/>
      <w:r w:rsidRPr="00A75138">
        <w:rPr>
          <w:rFonts w:ascii="Arial" w:hAnsi="Arial" w:cs="Arial"/>
          <w:sz w:val="20"/>
        </w:rPr>
        <w:t>Jirsong</w:t>
      </w:r>
      <w:proofErr w:type="spellEnd"/>
      <w:r w:rsidRPr="00A75138">
        <w:rPr>
          <w:rFonts w:ascii="Arial" w:hAnsi="Arial" w:cs="Arial"/>
          <w:sz w:val="20"/>
        </w:rPr>
        <w:t xml:space="preserve"> </w:t>
      </w:r>
      <w:proofErr w:type="spellStart"/>
      <w:r w:rsidRPr="00A75138">
        <w:rPr>
          <w:rFonts w:ascii="Arial" w:hAnsi="Arial" w:cs="Arial"/>
          <w:sz w:val="20"/>
        </w:rPr>
        <w:t>Agro</w:t>
      </w:r>
      <w:proofErr w:type="spellEnd"/>
      <w:r w:rsidRPr="00A75138">
        <w:rPr>
          <w:rFonts w:ascii="Arial" w:hAnsi="Arial" w:cs="Arial"/>
          <w:sz w:val="20"/>
        </w:rPr>
        <w:t xml:space="preserve">, an FPC in </w:t>
      </w:r>
      <w:proofErr w:type="spellStart"/>
      <w:r w:rsidRPr="00A75138">
        <w:rPr>
          <w:rFonts w:ascii="Arial" w:hAnsi="Arial" w:cs="Arial"/>
          <w:sz w:val="20"/>
        </w:rPr>
        <w:t>Karbi</w:t>
      </w:r>
      <w:proofErr w:type="spellEnd"/>
      <w:r w:rsidRPr="00A75138">
        <w:rPr>
          <w:rFonts w:ascii="Arial" w:hAnsi="Arial" w:cs="Arial"/>
          <w:sz w:val="20"/>
        </w:rPr>
        <w:t xml:space="preserve"> </w:t>
      </w:r>
      <w:proofErr w:type="spellStart"/>
      <w:r w:rsidRPr="00A75138">
        <w:rPr>
          <w:rFonts w:ascii="Arial" w:hAnsi="Arial" w:cs="Arial"/>
          <w:sz w:val="20"/>
        </w:rPr>
        <w:t>Anglong</w:t>
      </w:r>
      <w:proofErr w:type="spellEnd"/>
      <w:r w:rsidRPr="00A75138">
        <w:rPr>
          <w:rFonts w:ascii="Arial" w:hAnsi="Arial" w:cs="Arial"/>
          <w:sz w:val="20"/>
        </w:rPr>
        <w:t xml:space="preserve">, achieved sales of ₹54 lakh within a three-month operational window, while the </w:t>
      </w:r>
      <w:proofErr w:type="spellStart"/>
      <w:r w:rsidRPr="00A75138">
        <w:rPr>
          <w:rFonts w:ascii="Arial" w:hAnsi="Arial" w:cs="Arial"/>
          <w:sz w:val="20"/>
        </w:rPr>
        <w:t>Tungwali</w:t>
      </w:r>
      <w:proofErr w:type="spellEnd"/>
      <w:r w:rsidRPr="00A75138">
        <w:rPr>
          <w:rFonts w:ascii="Arial" w:hAnsi="Arial" w:cs="Arial"/>
          <w:sz w:val="20"/>
        </w:rPr>
        <w:t xml:space="preserve"> Beekeepers Cooperative reported an annual turnover of ₹1.50 crore. The value addition has facilitated entry into export markets, as demonstrated by the shipment of processed ginger from </w:t>
      </w:r>
      <w:proofErr w:type="spellStart"/>
      <w:r w:rsidRPr="00A75138">
        <w:rPr>
          <w:rFonts w:ascii="Arial" w:hAnsi="Arial" w:cs="Arial"/>
          <w:sz w:val="20"/>
        </w:rPr>
        <w:t>Golaghat</w:t>
      </w:r>
      <w:proofErr w:type="spellEnd"/>
      <w:r w:rsidRPr="00A75138">
        <w:rPr>
          <w:rFonts w:ascii="Arial" w:hAnsi="Arial" w:cs="Arial"/>
          <w:sz w:val="20"/>
        </w:rPr>
        <w:t xml:space="preserve"> to Dubai. These outcomes are supported by the deployment of appropriate technological enablers, including integrated ginger processing lines, improved pulse milling systems (e.g., Mini Dal Mill), and certified honey-processing units.</w:t>
      </w:r>
    </w:p>
    <w:p w14:paraId="25D7CDD9" w14:textId="51228A69" w:rsidR="00747B77" w:rsidRPr="00EB5B9D" w:rsidRDefault="00DE2CEA" w:rsidP="00747B77">
      <w:pPr>
        <w:spacing w:line="360" w:lineRule="auto"/>
        <w:jc w:val="both"/>
        <w:rPr>
          <w:rFonts w:ascii="Arial" w:hAnsi="Arial" w:cs="Arial"/>
          <w:b/>
          <w:bCs/>
          <w:sz w:val="20"/>
          <w:u w:val="single"/>
        </w:rPr>
      </w:pPr>
      <w:r w:rsidRPr="00EB5B9D">
        <w:rPr>
          <w:rFonts w:ascii="Arial" w:hAnsi="Arial" w:cs="Arial"/>
          <w:b/>
          <w:bCs/>
          <w:sz w:val="20"/>
          <w:u w:val="single"/>
        </w:rPr>
        <w:t xml:space="preserve">3.1.2. </w:t>
      </w:r>
      <w:r w:rsidR="00747B77" w:rsidRPr="00EB5B9D">
        <w:rPr>
          <w:rFonts w:ascii="Arial" w:hAnsi="Arial" w:cs="Arial"/>
          <w:b/>
          <w:bCs/>
          <w:sz w:val="20"/>
          <w:u w:val="single"/>
        </w:rPr>
        <w:t>Reduction of Post-Harvest Losses and Shelf-Life Enhancement</w:t>
      </w:r>
    </w:p>
    <w:p w14:paraId="31AF5B0C" w14:textId="02D9FA23" w:rsidR="00747B77" w:rsidRPr="00A75138" w:rsidRDefault="00747B77" w:rsidP="00747B77">
      <w:pPr>
        <w:spacing w:line="360" w:lineRule="auto"/>
        <w:jc w:val="both"/>
        <w:rPr>
          <w:rFonts w:ascii="Arial" w:hAnsi="Arial" w:cs="Arial"/>
          <w:sz w:val="20"/>
        </w:rPr>
      </w:pPr>
      <w:r w:rsidRPr="00A75138">
        <w:rPr>
          <w:rFonts w:ascii="Arial" w:hAnsi="Arial" w:cs="Arial"/>
          <w:sz w:val="20"/>
        </w:rPr>
        <w:t xml:space="preserve">The introduction of energy-efficient processing and preservation technologies has substantially reduced physical and economic losses. Solar-assisted drying systems for </w:t>
      </w:r>
      <w:proofErr w:type="spellStart"/>
      <w:r w:rsidRPr="00A75138">
        <w:rPr>
          <w:rFonts w:ascii="Arial" w:hAnsi="Arial" w:cs="Arial"/>
          <w:sz w:val="20"/>
        </w:rPr>
        <w:t>aonla</w:t>
      </w:r>
      <w:proofErr w:type="spellEnd"/>
      <w:r w:rsidRPr="00A75138">
        <w:rPr>
          <w:rFonts w:ascii="Arial" w:hAnsi="Arial" w:cs="Arial"/>
          <w:sz w:val="20"/>
        </w:rPr>
        <w:t xml:space="preserve"> in Rajasthan achieve rapid </w:t>
      </w:r>
      <w:r w:rsidRPr="00A75138">
        <w:rPr>
          <w:rFonts w:ascii="Arial" w:hAnsi="Arial" w:cs="Arial"/>
          <w:sz w:val="20"/>
        </w:rPr>
        <w:lastRenderedPageBreak/>
        <w:t>moisture reduction within two days, yielding products with a shelf life exceeding one year. Such interventions directly mitigate the nation’s estimated annual post-harvest loss of ₹90,000 crore (US$ 10.79 billi</w:t>
      </w:r>
      <w:r w:rsidR="00EB5B9D">
        <w:rPr>
          <w:rFonts w:ascii="Arial" w:hAnsi="Arial" w:cs="Arial"/>
          <w:sz w:val="20"/>
        </w:rPr>
        <w:t xml:space="preserve">on). Complementary technologies </w:t>
      </w:r>
      <w:r w:rsidRPr="00A75138">
        <w:rPr>
          <w:rFonts w:ascii="Arial" w:hAnsi="Arial" w:cs="Arial"/>
          <w:sz w:val="20"/>
        </w:rPr>
        <w:t>solar tunnel dryers, community-level cold rooms, and cold-chain infrastructure established und</w:t>
      </w:r>
      <w:r w:rsidR="00EB5B9D">
        <w:rPr>
          <w:rFonts w:ascii="Arial" w:hAnsi="Arial" w:cs="Arial"/>
          <w:sz w:val="20"/>
        </w:rPr>
        <w:t xml:space="preserve">er the PMKSY </w:t>
      </w:r>
      <w:r w:rsidRPr="00A75138">
        <w:rPr>
          <w:rFonts w:ascii="Arial" w:hAnsi="Arial" w:cs="Arial"/>
          <w:sz w:val="20"/>
        </w:rPr>
        <w:t>have demonstrated waste reductions of up to 85% in perishable commodities such as milk.</w:t>
      </w:r>
    </w:p>
    <w:p w14:paraId="7744B596" w14:textId="66A1184F" w:rsidR="00747B77" w:rsidRPr="00EB5B9D" w:rsidRDefault="00DE2CEA" w:rsidP="00747B77">
      <w:pPr>
        <w:spacing w:line="360" w:lineRule="auto"/>
        <w:jc w:val="both"/>
        <w:rPr>
          <w:rFonts w:ascii="Arial" w:hAnsi="Arial" w:cs="Arial"/>
          <w:b/>
          <w:bCs/>
          <w:sz w:val="20"/>
          <w:u w:val="single"/>
        </w:rPr>
      </w:pPr>
      <w:r w:rsidRPr="00EB5B9D">
        <w:rPr>
          <w:rFonts w:ascii="Arial" w:hAnsi="Arial" w:cs="Arial"/>
          <w:b/>
          <w:bCs/>
          <w:sz w:val="20"/>
          <w:u w:val="single"/>
        </w:rPr>
        <w:t xml:space="preserve">3.1.3. </w:t>
      </w:r>
      <w:r w:rsidR="00747B77" w:rsidRPr="00EB5B9D">
        <w:rPr>
          <w:rFonts w:ascii="Arial" w:hAnsi="Arial" w:cs="Arial"/>
          <w:b/>
          <w:bCs/>
          <w:sz w:val="20"/>
          <w:u w:val="single"/>
        </w:rPr>
        <w:t>Women’s Empowerment and Entrepreneurial Development</w:t>
      </w:r>
    </w:p>
    <w:p w14:paraId="08799172" w14:textId="2419C30A" w:rsidR="00747B77" w:rsidRPr="00A75138" w:rsidRDefault="00747B77" w:rsidP="00747B77">
      <w:pPr>
        <w:spacing w:line="360" w:lineRule="auto"/>
        <w:jc w:val="both"/>
        <w:rPr>
          <w:rFonts w:ascii="Arial" w:hAnsi="Arial" w:cs="Arial"/>
          <w:sz w:val="20"/>
        </w:rPr>
      </w:pPr>
      <w:r w:rsidRPr="00A75138">
        <w:rPr>
          <w:rFonts w:ascii="Arial" w:hAnsi="Arial" w:cs="Arial"/>
          <w:sz w:val="20"/>
        </w:rPr>
        <w:t xml:space="preserve">Local processing units have proven instrumental in strengthening women’s economic participation and leadership. The Shri Ji SHG in Mathura, operating a mustard expeller, enabled members to earn ₹5,000–13,000 per month and significantly increased their social visibility within traditionally male-dominated community spaces. Similarly, the adoption of the Mini Dal Mill by Smt. Jayashree </w:t>
      </w:r>
      <w:proofErr w:type="spellStart"/>
      <w:r w:rsidRPr="00A75138">
        <w:rPr>
          <w:rFonts w:ascii="Arial" w:hAnsi="Arial" w:cs="Arial"/>
          <w:sz w:val="20"/>
        </w:rPr>
        <w:t>Kolate</w:t>
      </w:r>
      <w:proofErr w:type="spellEnd"/>
      <w:r w:rsidRPr="00A75138">
        <w:rPr>
          <w:rFonts w:ascii="Arial" w:hAnsi="Arial" w:cs="Arial"/>
          <w:sz w:val="20"/>
        </w:rPr>
        <w:t xml:space="preserve"> Patil generated a net annual income of ₹3.24 lakh and facilitated product branding and market positioning. These advancements are supported by compact, mechanized, user-friendly equipment suitable for micro-entrepreneurs and women-led enterprises.</w:t>
      </w:r>
    </w:p>
    <w:p w14:paraId="0B5C150E" w14:textId="7A7D6AB1" w:rsidR="00747B77" w:rsidRPr="00A75138" w:rsidRDefault="00747B77" w:rsidP="00747B77">
      <w:pPr>
        <w:spacing w:line="360" w:lineRule="auto"/>
        <w:jc w:val="both"/>
        <w:rPr>
          <w:rFonts w:ascii="Arial" w:hAnsi="Arial" w:cs="Arial"/>
          <w:b/>
          <w:bCs/>
        </w:rPr>
      </w:pPr>
      <w:r w:rsidRPr="00A75138">
        <w:rPr>
          <w:rFonts w:ascii="Arial" w:hAnsi="Arial" w:cs="Arial"/>
          <w:b/>
          <w:bCs/>
        </w:rPr>
        <w:t>3.2 Addressing Technological and Institutional Bottlenecks</w:t>
      </w:r>
    </w:p>
    <w:p w14:paraId="542FB5C7" w14:textId="6D754BE0" w:rsidR="00747B77" w:rsidRPr="00EB5B9D" w:rsidRDefault="00DE2CEA" w:rsidP="00747B77">
      <w:pPr>
        <w:spacing w:line="360" w:lineRule="auto"/>
        <w:jc w:val="both"/>
        <w:rPr>
          <w:rFonts w:ascii="Arial" w:hAnsi="Arial" w:cs="Arial"/>
          <w:b/>
          <w:bCs/>
          <w:sz w:val="20"/>
          <w:szCs w:val="18"/>
          <w:u w:val="single"/>
        </w:rPr>
      </w:pPr>
      <w:r w:rsidRPr="00EB5B9D">
        <w:rPr>
          <w:rFonts w:ascii="Arial" w:hAnsi="Arial" w:cs="Arial"/>
          <w:b/>
          <w:bCs/>
          <w:sz w:val="20"/>
          <w:szCs w:val="18"/>
          <w:u w:val="single"/>
        </w:rPr>
        <w:t xml:space="preserve">3.2.1. </w:t>
      </w:r>
      <w:r w:rsidR="00747B77" w:rsidRPr="00EB5B9D">
        <w:rPr>
          <w:rFonts w:ascii="Arial" w:hAnsi="Arial" w:cs="Arial"/>
          <w:b/>
          <w:bCs/>
          <w:sz w:val="20"/>
          <w:szCs w:val="18"/>
          <w:u w:val="single"/>
        </w:rPr>
        <w:t>Technology Acceptance, Efficiency, and Maintenance</w:t>
      </w:r>
    </w:p>
    <w:p w14:paraId="5E199359" w14:textId="3ADA384C" w:rsidR="00C20A92" w:rsidRPr="00A75138" w:rsidRDefault="00747B77" w:rsidP="00747B77">
      <w:pPr>
        <w:spacing w:line="360" w:lineRule="auto"/>
        <w:jc w:val="both"/>
        <w:rPr>
          <w:rFonts w:ascii="Arial" w:hAnsi="Arial" w:cs="Arial"/>
          <w:sz w:val="20"/>
          <w:szCs w:val="18"/>
        </w:rPr>
      </w:pPr>
      <w:r w:rsidRPr="00A75138">
        <w:rPr>
          <w:rFonts w:ascii="Arial" w:hAnsi="Arial" w:cs="Arial"/>
          <w:sz w:val="20"/>
          <w:szCs w:val="18"/>
        </w:rPr>
        <w:t>Adoption is strongly influenced by demonstrable efficiency gains. For example, the mini dal mill achieves recovery rates of 80-84%, significantly higher than the 65-74% typical of traditional milling. However, long-term efficacy requires consistent access to technical training, operation protocols, and maintenance services areas where institutional support remains uneven. National R&amp;D institutions such as ICAR, CSIR, and IITs play a central role in designing affordable, energy-efficient technologies, yet localized service and repair ecosystems require strengthening to ensure operational continuity.</w:t>
      </w:r>
    </w:p>
    <w:p w14:paraId="16B6EA19" w14:textId="4E8AB8E9" w:rsidR="00747B77" w:rsidRPr="00EB5B9D" w:rsidRDefault="00DE2CEA" w:rsidP="00747B77">
      <w:pPr>
        <w:spacing w:line="360" w:lineRule="auto"/>
        <w:jc w:val="both"/>
        <w:rPr>
          <w:rFonts w:ascii="Arial" w:hAnsi="Arial" w:cs="Arial"/>
          <w:b/>
          <w:bCs/>
          <w:sz w:val="20"/>
          <w:szCs w:val="18"/>
          <w:u w:val="single"/>
        </w:rPr>
      </w:pPr>
      <w:r w:rsidRPr="00EB5B9D">
        <w:rPr>
          <w:rFonts w:ascii="Arial" w:hAnsi="Arial" w:cs="Arial"/>
          <w:b/>
          <w:bCs/>
          <w:sz w:val="20"/>
          <w:szCs w:val="18"/>
          <w:u w:val="single"/>
        </w:rPr>
        <w:t xml:space="preserve">3.2.2. </w:t>
      </w:r>
      <w:r w:rsidR="00747B77" w:rsidRPr="00EB5B9D">
        <w:rPr>
          <w:rFonts w:ascii="Arial" w:hAnsi="Arial" w:cs="Arial"/>
          <w:b/>
          <w:bCs/>
          <w:sz w:val="20"/>
          <w:szCs w:val="18"/>
          <w:u w:val="single"/>
        </w:rPr>
        <w:t>Energy Reliability and Functional Continuity</w:t>
      </w:r>
    </w:p>
    <w:p w14:paraId="57F15D6A" w14:textId="126D9ED2" w:rsidR="00747B77" w:rsidRPr="00A75138" w:rsidRDefault="00747B77" w:rsidP="00747B77">
      <w:pPr>
        <w:spacing w:line="360" w:lineRule="auto"/>
        <w:jc w:val="both"/>
        <w:rPr>
          <w:rFonts w:ascii="Arial" w:hAnsi="Arial" w:cs="Arial"/>
        </w:rPr>
      </w:pPr>
      <w:r w:rsidRPr="00EB5B9D">
        <w:rPr>
          <w:rFonts w:ascii="Arial" w:hAnsi="Arial" w:cs="Arial"/>
          <w:sz w:val="20"/>
          <w:szCs w:val="18"/>
        </w:rPr>
        <w:t>Processing systems such as honey pasteurizers, steam distillation units for ginger oil, and mechanized mills require uninterrupted energy supply, posing challenges in regions with unstable electrification. Consequently, solar-powered, hybrid, or manually operated systems remain essential in remote areas, both to ensure functional reliability and to minimize operating costs</w:t>
      </w:r>
      <w:r w:rsidRPr="00A75138">
        <w:rPr>
          <w:rFonts w:ascii="Arial" w:hAnsi="Arial" w:cs="Arial"/>
        </w:rPr>
        <w:t>.</w:t>
      </w:r>
    </w:p>
    <w:p w14:paraId="58A65B21" w14:textId="05894C8A" w:rsidR="00747B77" w:rsidRPr="00EB5B9D" w:rsidRDefault="00DE2CEA" w:rsidP="00747B77">
      <w:pPr>
        <w:spacing w:line="360" w:lineRule="auto"/>
        <w:jc w:val="both"/>
        <w:rPr>
          <w:rFonts w:ascii="Arial" w:hAnsi="Arial" w:cs="Arial"/>
          <w:b/>
          <w:bCs/>
          <w:sz w:val="20"/>
          <w:u w:val="single"/>
        </w:rPr>
      </w:pPr>
      <w:r w:rsidRPr="00EB5B9D">
        <w:rPr>
          <w:rFonts w:ascii="Arial" w:hAnsi="Arial" w:cs="Arial"/>
          <w:b/>
          <w:bCs/>
          <w:sz w:val="20"/>
          <w:u w:val="single"/>
        </w:rPr>
        <w:t xml:space="preserve">3.2.3. </w:t>
      </w:r>
      <w:r w:rsidR="00747B77" w:rsidRPr="00EB5B9D">
        <w:rPr>
          <w:rFonts w:ascii="Arial" w:hAnsi="Arial" w:cs="Arial"/>
          <w:b/>
          <w:bCs/>
          <w:sz w:val="20"/>
          <w:u w:val="single"/>
        </w:rPr>
        <w:t>Quality Assurance and Standardization</w:t>
      </w:r>
    </w:p>
    <w:p w14:paraId="59289778" w14:textId="0421CB81" w:rsidR="002E23F4" w:rsidRPr="00A75138" w:rsidRDefault="00747B77" w:rsidP="00747B77">
      <w:pPr>
        <w:spacing w:line="360" w:lineRule="auto"/>
        <w:jc w:val="both"/>
        <w:rPr>
          <w:rFonts w:ascii="Arial" w:hAnsi="Arial" w:cs="Arial"/>
          <w:sz w:val="20"/>
        </w:rPr>
      </w:pPr>
      <w:r w:rsidRPr="00A75138">
        <w:rPr>
          <w:rFonts w:ascii="Arial" w:hAnsi="Arial" w:cs="Arial"/>
          <w:sz w:val="20"/>
        </w:rPr>
        <w:t>As rural micro-enterprises increasingly t</w:t>
      </w:r>
      <w:r w:rsidR="0092311F" w:rsidRPr="00A75138">
        <w:rPr>
          <w:rFonts w:ascii="Arial" w:hAnsi="Arial" w:cs="Arial"/>
          <w:sz w:val="20"/>
        </w:rPr>
        <w:t xml:space="preserve">arget formal and export markets </w:t>
      </w:r>
      <w:r w:rsidRPr="00A75138">
        <w:rPr>
          <w:rFonts w:ascii="Arial" w:hAnsi="Arial" w:cs="Arial"/>
          <w:sz w:val="20"/>
        </w:rPr>
        <w:t>for example, the commercialization of GI-tagged ginger compliance with food safety and quality standards becomes imperative. National initiatives aimed at establishing 100 NABL-accredited laboratories under the Ministry of Food Processing Industries (</w:t>
      </w:r>
      <w:proofErr w:type="spellStart"/>
      <w:r w:rsidRPr="00A75138">
        <w:rPr>
          <w:rFonts w:ascii="Arial" w:hAnsi="Arial" w:cs="Arial"/>
          <w:sz w:val="20"/>
        </w:rPr>
        <w:t>MoFPI</w:t>
      </w:r>
      <w:proofErr w:type="spellEnd"/>
      <w:r w:rsidRPr="00A75138">
        <w:rPr>
          <w:rFonts w:ascii="Arial" w:hAnsi="Arial" w:cs="Arial"/>
          <w:sz w:val="20"/>
        </w:rPr>
        <w:t>) are critical for enabling rural entrepreneurs to validate product quality and enhance brand credibility, as observed in enterprises such as the “Single Horse” brand.</w:t>
      </w:r>
    </w:p>
    <w:p w14:paraId="2DA75711" w14:textId="1C6533D1" w:rsidR="0092311F" w:rsidRPr="00A75138" w:rsidRDefault="0092311F" w:rsidP="0092311F">
      <w:pPr>
        <w:spacing w:line="360" w:lineRule="auto"/>
        <w:jc w:val="both"/>
        <w:rPr>
          <w:rFonts w:ascii="Arial" w:hAnsi="Arial" w:cs="Arial"/>
          <w:b/>
          <w:bCs/>
        </w:rPr>
      </w:pPr>
      <w:r w:rsidRPr="00A75138">
        <w:rPr>
          <w:rFonts w:ascii="Arial" w:hAnsi="Arial" w:cs="Arial"/>
          <w:b/>
          <w:bCs/>
        </w:rPr>
        <w:t>3.3 Policy Recommendations and Future Directions</w:t>
      </w:r>
    </w:p>
    <w:p w14:paraId="03739EA2" w14:textId="48F03208" w:rsidR="0092311F" w:rsidRPr="00A75138" w:rsidRDefault="0092311F" w:rsidP="0092311F">
      <w:pPr>
        <w:spacing w:line="360" w:lineRule="auto"/>
        <w:jc w:val="both"/>
        <w:rPr>
          <w:rFonts w:ascii="Arial" w:hAnsi="Arial" w:cs="Arial"/>
          <w:sz w:val="20"/>
          <w:szCs w:val="18"/>
        </w:rPr>
      </w:pPr>
      <w:r w:rsidRPr="00A75138">
        <w:rPr>
          <w:rFonts w:ascii="Arial" w:hAnsi="Arial" w:cs="Arial"/>
          <w:sz w:val="20"/>
          <w:szCs w:val="18"/>
        </w:rPr>
        <w:lastRenderedPageBreak/>
        <w:t>To accelerate sectoral growth, future policy interventions must systematically integrate technological innovation with institutional support mechanisms.</w:t>
      </w:r>
    </w:p>
    <w:p w14:paraId="6639DD65" w14:textId="52D27BA0" w:rsidR="0092311F" w:rsidRPr="00EB5B9D" w:rsidRDefault="00DE2CEA" w:rsidP="0092311F">
      <w:pPr>
        <w:spacing w:line="360" w:lineRule="auto"/>
        <w:jc w:val="both"/>
        <w:rPr>
          <w:rFonts w:ascii="Arial" w:hAnsi="Arial" w:cs="Arial"/>
          <w:b/>
          <w:bCs/>
          <w:sz w:val="20"/>
          <w:u w:val="single"/>
        </w:rPr>
      </w:pPr>
      <w:r w:rsidRPr="00EB5B9D">
        <w:rPr>
          <w:rFonts w:ascii="Arial" w:hAnsi="Arial" w:cs="Arial"/>
          <w:b/>
          <w:bCs/>
          <w:sz w:val="20"/>
          <w:u w:val="single"/>
        </w:rPr>
        <w:t xml:space="preserve">3.3.1. </w:t>
      </w:r>
      <w:r w:rsidR="0092311F" w:rsidRPr="00EB5B9D">
        <w:rPr>
          <w:rFonts w:ascii="Arial" w:hAnsi="Arial" w:cs="Arial"/>
          <w:b/>
          <w:bCs/>
          <w:sz w:val="20"/>
          <w:u w:val="single"/>
        </w:rPr>
        <w:t>Promotion of Hybrid and Modular Processing Systems</w:t>
      </w:r>
    </w:p>
    <w:p w14:paraId="7DC65BFC" w14:textId="7DAE43BF" w:rsidR="0092311F" w:rsidRPr="00A75138" w:rsidRDefault="0092311F" w:rsidP="0092311F">
      <w:pPr>
        <w:spacing w:line="360" w:lineRule="auto"/>
        <w:jc w:val="both"/>
        <w:rPr>
          <w:rFonts w:ascii="Arial" w:hAnsi="Arial" w:cs="Arial"/>
          <w:sz w:val="20"/>
        </w:rPr>
      </w:pPr>
      <w:r w:rsidRPr="00A75138">
        <w:rPr>
          <w:rFonts w:ascii="Arial" w:hAnsi="Arial" w:cs="Arial"/>
          <w:sz w:val="20"/>
        </w:rPr>
        <w:t>Investment should prioritize hybrid solar dryers that combine solar energy with biomass or electric backup, thereby ensuring year-round operation and reducing downtime associated with weather-dependent systems. Such systems can mitigate supply-chain disruptions in regions with unreliable grid power.</w:t>
      </w:r>
    </w:p>
    <w:p w14:paraId="1AACF631" w14:textId="74EE3D75" w:rsidR="0092311F" w:rsidRPr="00EB5B9D" w:rsidRDefault="00DE2CEA" w:rsidP="0092311F">
      <w:pPr>
        <w:spacing w:line="360" w:lineRule="auto"/>
        <w:jc w:val="both"/>
        <w:rPr>
          <w:rFonts w:ascii="Arial" w:hAnsi="Arial" w:cs="Arial"/>
          <w:b/>
          <w:bCs/>
          <w:sz w:val="20"/>
          <w:u w:val="single"/>
        </w:rPr>
      </w:pPr>
      <w:r w:rsidRPr="00EB5B9D">
        <w:rPr>
          <w:rFonts w:ascii="Arial" w:hAnsi="Arial" w:cs="Arial"/>
          <w:b/>
          <w:bCs/>
          <w:sz w:val="20"/>
          <w:u w:val="single"/>
        </w:rPr>
        <w:t xml:space="preserve">3.3.2. </w:t>
      </w:r>
      <w:r w:rsidR="0092311F" w:rsidRPr="00EB5B9D">
        <w:rPr>
          <w:rFonts w:ascii="Arial" w:hAnsi="Arial" w:cs="Arial"/>
          <w:b/>
          <w:bCs/>
          <w:sz w:val="20"/>
          <w:u w:val="single"/>
        </w:rPr>
        <w:t>Cluster-Based Financing and Infrastructure Development</w:t>
      </w:r>
    </w:p>
    <w:p w14:paraId="6F89ACA8" w14:textId="0562BEA7" w:rsidR="00C20A92" w:rsidRPr="00A75138" w:rsidRDefault="0092311F" w:rsidP="0092311F">
      <w:pPr>
        <w:spacing w:line="360" w:lineRule="auto"/>
        <w:jc w:val="both"/>
        <w:rPr>
          <w:rFonts w:ascii="Arial" w:hAnsi="Arial" w:cs="Arial"/>
          <w:sz w:val="20"/>
        </w:rPr>
      </w:pPr>
      <w:r w:rsidRPr="00A75138">
        <w:rPr>
          <w:rFonts w:ascii="Arial" w:hAnsi="Arial" w:cs="Arial"/>
          <w:sz w:val="20"/>
        </w:rPr>
        <w:t>Financial mechanisms must increasi</w:t>
      </w:r>
      <w:r w:rsidR="00DC02AF" w:rsidRPr="00A75138">
        <w:rPr>
          <w:rFonts w:ascii="Arial" w:hAnsi="Arial" w:cs="Arial"/>
          <w:sz w:val="20"/>
        </w:rPr>
        <w:t xml:space="preserve">ngly target collective entities such as FPOs and SHGs </w:t>
      </w:r>
      <w:r w:rsidRPr="00A75138">
        <w:rPr>
          <w:rFonts w:ascii="Arial" w:hAnsi="Arial" w:cs="Arial"/>
          <w:sz w:val="20"/>
        </w:rPr>
        <w:t>to facilitate acquisition of complete processing lines (e.g., the full ginger processing suite) rather than isolated equipment. Leveraging the PM Formalisation of Micro Food Processing Enterprises (PMFME) scheme can enable the establishment of multi-commodity rural processing hubs that improve economies of scale and resource optimization.</w:t>
      </w:r>
    </w:p>
    <w:p w14:paraId="1FA4F6F7" w14:textId="1D3A92C3" w:rsidR="0092311F" w:rsidRPr="00EB5B9D" w:rsidRDefault="00DE2CEA" w:rsidP="0092311F">
      <w:pPr>
        <w:spacing w:line="360" w:lineRule="auto"/>
        <w:jc w:val="both"/>
        <w:rPr>
          <w:rFonts w:ascii="Arial" w:hAnsi="Arial" w:cs="Arial"/>
          <w:b/>
          <w:bCs/>
          <w:sz w:val="20"/>
          <w:u w:val="single"/>
        </w:rPr>
      </w:pPr>
      <w:r w:rsidRPr="00EB5B9D">
        <w:rPr>
          <w:rFonts w:ascii="Arial" w:hAnsi="Arial" w:cs="Arial"/>
          <w:b/>
          <w:bCs/>
          <w:sz w:val="20"/>
          <w:u w:val="single"/>
        </w:rPr>
        <w:t xml:space="preserve">3.3.3. </w:t>
      </w:r>
      <w:r w:rsidR="0092311F" w:rsidRPr="00EB5B9D">
        <w:rPr>
          <w:rFonts w:ascii="Arial" w:hAnsi="Arial" w:cs="Arial"/>
          <w:b/>
          <w:bCs/>
          <w:sz w:val="20"/>
          <w:u w:val="single"/>
        </w:rPr>
        <w:t>Digital Integration for Quality, Traceability, and Efficiency</w:t>
      </w:r>
    </w:p>
    <w:p w14:paraId="1F88B5BC" w14:textId="16A33115" w:rsidR="0092311F" w:rsidRPr="00A75138" w:rsidRDefault="0092311F" w:rsidP="0092311F">
      <w:pPr>
        <w:spacing w:line="360" w:lineRule="auto"/>
        <w:jc w:val="both"/>
        <w:rPr>
          <w:rFonts w:ascii="Arial" w:hAnsi="Arial" w:cs="Arial"/>
          <w:sz w:val="20"/>
        </w:rPr>
      </w:pPr>
      <w:r w:rsidRPr="00A75138">
        <w:rPr>
          <w:rFonts w:ascii="Arial" w:hAnsi="Arial" w:cs="Arial"/>
          <w:sz w:val="20"/>
        </w:rPr>
        <w:t>Subsidizing the adoption of IoT-enabled storage sensors, mobile-based quality testing tools, and digital monitoring systems can significantly enhance traceability, quality assurance, and supply-chain transparency. Such interventions will strengthen consumer confidence in products emerging from rural micro and small enterprises.</w:t>
      </w:r>
    </w:p>
    <w:p w14:paraId="2D7B9F24" w14:textId="51B8155A" w:rsidR="002E23F4" w:rsidRPr="00A75138" w:rsidRDefault="00363556" w:rsidP="00C81016">
      <w:pPr>
        <w:spacing w:line="360" w:lineRule="auto"/>
        <w:jc w:val="both"/>
        <w:rPr>
          <w:rFonts w:ascii="Arial" w:hAnsi="Arial" w:cs="Arial"/>
          <w:b/>
          <w:bCs/>
        </w:rPr>
      </w:pPr>
      <w:r w:rsidRPr="00A75138">
        <w:rPr>
          <w:rFonts w:ascii="Arial" w:hAnsi="Arial" w:cs="Arial"/>
          <w:b/>
          <w:bCs/>
        </w:rPr>
        <w:t xml:space="preserve">Conclusion </w:t>
      </w:r>
    </w:p>
    <w:p w14:paraId="37D42C47" w14:textId="71FAFB7C" w:rsidR="0011198D" w:rsidRDefault="00363556" w:rsidP="00C81016">
      <w:pPr>
        <w:spacing w:line="360" w:lineRule="auto"/>
        <w:jc w:val="both"/>
        <w:rPr>
          <w:rFonts w:ascii="Arial" w:hAnsi="Arial" w:cs="Arial"/>
          <w:sz w:val="20"/>
          <w:szCs w:val="18"/>
        </w:rPr>
      </w:pPr>
      <w:r w:rsidRPr="00A75138">
        <w:rPr>
          <w:rFonts w:ascii="Arial" w:hAnsi="Arial" w:cs="Arial"/>
          <w:sz w:val="20"/>
          <w:szCs w:val="18"/>
        </w:rPr>
        <w:t xml:space="preserve">This review establishes that the strategic introduction of decentralized, energy-efficient food processing technologies constitutes a pivotal intervention for accelerating socioeconomic development in rural India. Equipment such as solar tunnel dryers, mini dal mills, mini oil expellers, and integrated ginger processing lines enables primary producers to engage in value addition at the community level, thereby shifting their participation from low-margin subsistence roles to commercially competitive agro-enterprises. The evidence consistently demonstrates that these technologies substantially reduce post-harvest losses—reaching reductions of 70–85% in sectors supported by cold-chain systems—while simultaneously enhancing product quality, safety, and shelf life. Moreover, decentralized processing infrastructure </w:t>
      </w:r>
      <w:proofErr w:type="spellStart"/>
      <w:r w:rsidRPr="00A75138">
        <w:rPr>
          <w:rFonts w:ascii="Arial" w:hAnsi="Arial" w:cs="Arial"/>
          <w:sz w:val="20"/>
          <w:szCs w:val="18"/>
        </w:rPr>
        <w:t>catalyzes</w:t>
      </w:r>
      <w:proofErr w:type="spellEnd"/>
      <w:r w:rsidRPr="00A75138">
        <w:rPr>
          <w:rFonts w:ascii="Arial" w:hAnsi="Arial" w:cs="Arial"/>
          <w:sz w:val="20"/>
          <w:szCs w:val="18"/>
        </w:rPr>
        <w:t xml:space="preserve"> rural entrepreneurship and strengthens local economies, with notable impacts on women’s empowerment through Self-Help Groups (SHGs) and other community-based enterprises. These outcomes affirm the transformative potential of small-scale, energy-efficient food processing technologies and highlight their importance as an integral component of rural development strategies and future policy interventions.</w:t>
      </w:r>
    </w:p>
    <w:p w14:paraId="448EB99C" w14:textId="64DDE871" w:rsidR="00EB5B9D" w:rsidRPr="00EB5B9D" w:rsidRDefault="00EB5B9D" w:rsidP="00C81016">
      <w:pPr>
        <w:spacing w:line="360" w:lineRule="auto"/>
        <w:jc w:val="both"/>
        <w:rPr>
          <w:rFonts w:ascii="Arial" w:hAnsi="Arial" w:cs="Arial"/>
          <w:b/>
          <w:bCs/>
        </w:rPr>
      </w:pPr>
      <w:r w:rsidRPr="00EB5B9D">
        <w:rPr>
          <w:rFonts w:ascii="Arial" w:hAnsi="Arial" w:cs="Arial"/>
          <w:b/>
          <w:bCs/>
        </w:rPr>
        <w:t xml:space="preserve">Conflict of interest </w:t>
      </w:r>
    </w:p>
    <w:p w14:paraId="2238EC30" w14:textId="229EB695" w:rsidR="00EB5B9D" w:rsidRPr="00BD2B68" w:rsidRDefault="00EB5B9D" w:rsidP="00C81016">
      <w:pPr>
        <w:spacing w:line="360" w:lineRule="auto"/>
        <w:jc w:val="both"/>
        <w:rPr>
          <w:rFonts w:ascii="Arial" w:hAnsi="Arial" w:cs="Arial"/>
          <w:sz w:val="20"/>
        </w:rPr>
      </w:pPr>
      <w:r w:rsidRPr="00BD2B68">
        <w:rPr>
          <w:rFonts w:ascii="Arial" w:hAnsi="Arial" w:cs="Arial"/>
          <w:sz w:val="20"/>
        </w:rPr>
        <w:lastRenderedPageBreak/>
        <w:t>The authors confirm that there are no known conflicts of interest associated with this publication among authors. There has been no significant financial support for this work that could have influenced its outcome.</w:t>
      </w:r>
    </w:p>
    <w:p w14:paraId="7E5EC78F" w14:textId="151AB110" w:rsidR="007A1CFB" w:rsidRPr="00A75138" w:rsidRDefault="007A1CFB" w:rsidP="00C81016">
      <w:pPr>
        <w:spacing w:line="360" w:lineRule="auto"/>
        <w:jc w:val="both"/>
        <w:rPr>
          <w:rFonts w:ascii="Arial" w:hAnsi="Arial" w:cs="Arial"/>
          <w:sz w:val="24"/>
          <w:szCs w:val="22"/>
        </w:rPr>
      </w:pPr>
    </w:p>
    <w:p w14:paraId="1719516E" w14:textId="4FE0EFBB" w:rsidR="005D3EF2" w:rsidRPr="00A75138" w:rsidRDefault="005D3EF2" w:rsidP="00C81016">
      <w:pPr>
        <w:spacing w:line="360" w:lineRule="auto"/>
        <w:jc w:val="both"/>
        <w:rPr>
          <w:rFonts w:ascii="Arial" w:hAnsi="Arial" w:cs="Arial"/>
          <w:b/>
          <w:bCs/>
          <w:i/>
          <w:iCs/>
          <w:sz w:val="24"/>
          <w:szCs w:val="22"/>
        </w:rPr>
      </w:pPr>
    </w:p>
    <w:p w14:paraId="5B26022B" w14:textId="5C2E08C1" w:rsidR="0011198D" w:rsidRPr="00A75138" w:rsidRDefault="0011198D" w:rsidP="00C81016">
      <w:pPr>
        <w:spacing w:line="360" w:lineRule="auto"/>
        <w:jc w:val="both"/>
        <w:rPr>
          <w:rFonts w:ascii="Arial" w:hAnsi="Arial" w:cs="Arial"/>
          <w:b/>
          <w:bCs/>
          <w:i/>
          <w:iCs/>
          <w:sz w:val="24"/>
          <w:szCs w:val="22"/>
        </w:rPr>
      </w:pPr>
    </w:p>
    <w:p w14:paraId="3AAFDF2A" w14:textId="17018363" w:rsidR="0011198D" w:rsidRPr="00A75138" w:rsidRDefault="0011198D" w:rsidP="00C81016">
      <w:pPr>
        <w:spacing w:line="360" w:lineRule="auto"/>
        <w:jc w:val="both"/>
        <w:rPr>
          <w:rFonts w:ascii="Arial" w:hAnsi="Arial" w:cs="Arial"/>
          <w:sz w:val="24"/>
          <w:szCs w:val="22"/>
        </w:rPr>
      </w:pPr>
    </w:p>
    <w:p w14:paraId="5650053E" w14:textId="77777777" w:rsidR="00212A5F" w:rsidRPr="00A75138" w:rsidRDefault="00212A5F" w:rsidP="00C81016">
      <w:pPr>
        <w:spacing w:line="360" w:lineRule="auto"/>
        <w:jc w:val="both"/>
        <w:rPr>
          <w:rFonts w:ascii="Arial" w:hAnsi="Arial" w:cs="Arial"/>
          <w:b/>
          <w:bCs/>
          <w:i/>
          <w:iCs/>
          <w:sz w:val="24"/>
          <w:szCs w:val="22"/>
        </w:rPr>
      </w:pPr>
    </w:p>
    <w:p w14:paraId="56E5EDB8" w14:textId="77777777" w:rsidR="00B1705B" w:rsidRPr="00A75138" w:rsidRDefault="00B1705B" w:rsidP="00C81016">
      <w:pPr>
        <w:spacing w:line="360" w:lineRule="auto"/>
        <w:jc w:val="both"/>
        <w:rPr>
          <w:rFonts w:ascii="Arial" w:hAnsi="Arial" w:cs="Arial"/>
          <w:b/>
          <w:bCs/>
          <w:i/>
          <w:iCs/>
          <w:sz w:val="20"/>
        </w:rPr>
      </w:pPr>
      <w:r w:rsidRPr="00A75138">
        <w:rPr>
          <w:rFonts w:ascii="Arial" w:hAnsi="Arial" w:cs="Arial"/>
          <w:b/>
          <w:bCs/>
          <w:i/>
          <w:iCs/>
          <w:sz w:val="20"/>
        </w:rPr>
        <w:t xml:space="preserve">References </w:t>
      </w:r>
    </w:p>
    <w:p w14:paraId="40FE3A2B" w14:textId="5CA05B38" w:rsidR="001D4067" w:rsidRPr="001D4067" w:rsidRDefault="00B1705B" w:rsidP="001D4067">
      <w:pPr>
        <w:widowControl w:val="0"/>
        <w:autoSpaceDE w:val="0"/>
        <w:autoSpaceDN w:val="0"/>
        <w:adjustRightInd w:val="0"/>
        <w:spacing w:line="360" w:lineRule="auto"/>
        <w:ind w:left="480" w:hanging="480"/>
        <w:rPr>
          <w:rFonts w:ascii="Arial" w:hAnsi="Arial" w:cs="Arial"/>
          <w:noProof/>
          <w:sz w:val="20"/>
          <w:szCs w:val="24"/>
        </w:rPr>
      </w:pPr>
      <w:r w:rsidRPr="00A75138">
        <w:rPr>
          <w:rFonts w:ascii="Arial" w:hAnsi="Arial" w:cs="Arial"/>
          <w:sz w:val="20"/>
        </w:rPr>
        <w:fldChar w:fldCharType="begin" w:fldLock="1"/>
      </w:r>
      <w:r w:rsidRPr="00A75138">
        <w:rPr>
          <w:rFonts w:ascii="Arial" w:hAnsi="Arial" w:cs="Arial"/>
          <w:sz w:val="20"/>
        </w:rPr>
        <w:instrText xml:space="preserve">ADDIN Mendeley Bibliography CSL_BIBLIOGRAPHY </w:instrText>
      </w:r>
      <w:r w:rsidRPr="00A75138">
        <w:rPr>
          <w:rFonts w:ascii="Arial" w:hAnsi="Arial" w:cs="Arial"/>
          <w:sz w:val="20"/>
        </w:rPr>
        <w:fldChar w:fldCharType="separate"/>
      </w:r>
      <w:r w:rsidR="001D4067" w:rsidRPr="001D4067">
        <w:rPr>
          <w:rFonts w:ascii="Arial" w:hAnsi="Arial" w:cs="Arial"/>
          <w:noProof/>
          <w:sz w:val="20"/>
          <w:szCs w:val="24"/>
        </w:rPr>
        <w:t xml:space="preserve">Adukia, R. S. (2012). Food Processing Industry in India. </w:t>
      </w:r>
      <w:r w:rsidR="001D4067" w:rsidRPr="001D4067">
        <w:rPr>
          <w:rFonts w:ascii="Arial" w:hAnsi="Arial" w:cs="Arial"/>
          <w:i/>
          <w:iCs/>
          <w:noProof/>
          <w:sz w:val="20"/>
          <w:szCs w:val="24"/>
        </w:rPr>
        <w:t>Icrier.Org</w:t>
      </w:r>
      <w:r w:rsidR="001D4067" w:rsidRPr="001D4067">
        <w:rPr>
          <w:rFonts w:ascii="Arial" w:hAnsi="Arial" w:cs="Arial"/>
          <w:noProof/>
          <w:sz w:val="20"/>
          <w:szCs w:val="24"/>
        </w:rPr>
        <w:t xml:space="preserve">, </w:t>
      </w:r>
      <w:r w:rsidR="001D4067" w:rsidRPr="001D4067">
        <w:rPr>
          <w:rFonts w:ascii="Arial" w:hAnsi="Arial" w:cs="Arial"/>
          <w:i/>
          <w:iCs/>
          <w:noProof/>
          <w:sz w:val="20"/>
          <w:szCs w:val="24"/>
        </w:rPr>
        <w:t>7</w:t>
      </w:r>
      <w:r w:rsidR="001D4067" w:rsidRPr="001D4067">
        <w:rPr>
          <w:rFonts w:ascii="Arial" w:hAnsi="Arial" w:cs="Arial"/>
          <w:noProof/>
          <w:sz w:val="20"/>
          <w:szCs w:val="24"/>
        </w:rPr>
        <w:t>(2), 1–98. https://icrier.org/pdf/food_processing_in_India.pdf</w:t>
      </w:r>
    </w:p>
    <w:p w14:paraId="740A694C"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Ayustaningwarno, F., Anjani, G., Ayu, A. M., &amp; Fogliano, V. (2024). A critical review of Ginger’s (Zingiber officinale) antioxidant, anti-inflammatory, and immunomodulatory activities. </w:t>
      </w:r>
      <w:r w:rsidRPr="001D4067">
        <w:rPr>
          <w:rFonts w:ascii="Arial" w:hAnsi="Arial" w:cs="Arial"/>
          <w:i/>
          <w:iCs/>
          <w:noProof/>
          <w:sz w:val="20"/>
          <w:szCs w:val="24"/>
        </w:rPr>
        <w:t>Frontiers in Nutrition</w:t>
      </w:r>
      <w:r w:rsidRPr="001D4067">
        <w:rPr>
          <w:rFonts w:ascii="Arial" w:hAnsi="Arial" w:cs="Arial"/>
          <w:noProof/>
          <w:sz w:val="20"/>
          <w:szCs w:val="24"/>
        </w:rPr>
        <w:t xml:space="preserve">, </w:t>
      </w:r>
      <w:r w:rsidRPr="001D4067">
        <w:rPr>
          <w:rFonts w:ascii="Arial" w:hAnsi="Arial" w:cs="Arial"/>
          <w:i/>
          <w:iCs/>
          <w:noProof/>
          <w:sz w:val="20"/>
          <w:szCs w:val="24"/>
        </w:rPr>
        <w:t>11</w:t>
      </w:r>
      <w:r w:rsidRPr="001D4067">
        <w:rPr>
          <w:rFonts w:ascii="Arial" w:hAnsi="Arial" w:cs="Arial"/>
          <w:noProof/>
          <w:sz w:val="20"/>
          <w:szCs w:val="24"/>
        </w:rPr>
        <w:t>(June), 1–16. https://doi.org/10.3389/fnut.2024.1364836</w:t>
      </w:r>
    </w:p>
    <w:p w14:paraId="4E76751B"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B. Bag, B. (2018). Ginger Processing in India (Zingiber officinale): A Review. </w:t>
      </w:r>
      <w:r w:rsidRPr="001D4067">
        <w:rPr>
          <w:rFonts w:ascii="Arial" w:hAnsi="Arial" w:cs="Arial"/>
          <w:i/>
          <w:iCs/>
          <w:noProof/>
          <w:sz w:val="20"/>
          <w:szCs w:val="24"/>
        </w:rPr>
        <w:t>International Journal of Current Microbiology and Applied Sciences</w:t>
      </w:r>
      <w:r w:rsidRPr="001D4067">
        <w:rPr>
          <w:rFonts w:ascii="Arial" w:hAnsi="Arial" w:cs="Arial"/>
          <w:noProof/>
          <w:sz w:val="20"/>
          <w:szCs w:val="24"/>
        </w:rPr>
        <w:t xml:space="preserve">, </w:t>
      </w:r>
      <w:r w:rsidRPr="001D4067">
        <w:rPr>
          <w:rFonts w:ascii="Arial" w:hAnsi="Arial" w:cs="Arial"/>
          <w:i/>
          <w:iCs/>
          <w:noProof/>
          <w:sz w:val="20"/>
          <w:szCs w:val="24"/>
        </w:rPr>
        <w:t>7</w:t>
      </w:r>
      <w:r w:rsidRPr="001D4067">
        <w:rPr>
          <w:rFonts w:ascii="Arial" w:hAnsi="Arial" w:cs="Arial"/>
          <w:noProof/>
          <w:sz w:val="20"/>
          <w:szCs w:val="24"/>
        </w:rPr>
        <w:t>(04), 1639–1651. https://doi.org/10.20546/ijcmas.2018.704.185</w:t>
      </w:r>
    </w:p>
    <w:p w14:paraId="31776740"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Baglio, E. (2018). </w:t>
      </w:r>
      <w:r w:rsidRPr="001D4067">
        <w:rPr>
          <w:rFonts w:ascii="Arial" w:hAnsi="Arial" w:cs="Arial"/>
          <w:i/>
          <w:iCs/>
          <w:noProof/>
          <w:sz w:val="20"/>
          <w:szCs w:val="24"/>
        </w:rPr>
        <w:t>Honey: Processing Techniques and Treatments</w:t>
      </w:r>
      <w:r w:rsidRPr="001D4067">
        <w:rPr>
          <w:rFonts w:ascii="Arial" w:hAnsi="Arial" w:cs="Arial"/>
          <w:noProof/>
          <w:sz w:val="20"/>
          <w:szCs w:val="24"/>
        </w:rPr>
        <w:t>. 15–22. https://doi.org/10.1007/978-3-319-65751-6_2</w:t>
      </w:r>
    </w:p>
    <w:p w14:paraId="4CC0BEF1"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Beula, K., &amp; Anandhy, A. (2020). A Study on Honey Production and Marketing by the Marthandam Beekeepers’ Co-Operative Society in Kanniyakumari District. </w:t>
      </w:r>
      <w:r w:rsidRPr="001D4067">
        <w:rPr>
          <w:rFonts w:ascii="Arial" w:hAnsi="Arial" w:cs="Arial"/>
          <w:i/>
          <w:iCs/>
          <w:noProof/>
          <w:sz w:val="20"/>
          <w:szCs w:val="24"/>
        </w:rPr>
        <w:t>Shanlax International Journal of Economics</w:t>
      </w:r>
      <w:r w:rsidRPr="001D4067">
        <w:rPr>
          <w:rFonts w:ascii="Arial" w:hAnsi="Arial" w:cs="Arial"/>
          <w:noProof/>
          <w:sz w:val="20"/>
          <w:szCs w:val="24"/>
        </w:rPr>
        <w:t xml:space="preserve">, </w:t>
      </w:r>
      <w:r w:rsidRPr="001D4067">
        <w:rPr>
          <w:rFonts w:ascii="Arial" w:hAnsi="Arial" w:cs="Arial"/>
          <w:i/>
          <w:iCs/>
          <w:noProof/>
          <w:sz w:val="20"/>
          <w:szCs w:val="24"/>
        </w:rPr>
        <w:t>8</w:t>
      </w:r>
      <w:r w:rsidRPr="001D4067">
        <w:rPr>
          <w:rFonts w:ascii="Arial" w:hAnsi="Arial" w:cs="Arial"/>
          <w:noProof/>
          <w:sz w:val="20"/>
          <w:szCs w:val="24"/>
        </w:rPr>
        <w:t>(2), 33–40. https://doi.org/10.34293/economics.v8i2.1632</w:t>
      </w:r>
    </w:p>
    <w:p w14:paraId="196A0256"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Chand, R., Srivastava, S. K., &amp; Singh, J. (2017). Changing Structure of Rural Economy of India- Implications for Employment and Growth. </w:t>
      </w:r>
      <w:r w:rsidRPr="001D4067">
        <w:rPr>
          <w:rFonts w:ascii="Arial" w:hAnsi="Arial" w:cs="Arial"/>
          <w:i/>
          <w:iCs/>
          <w:noProof/>
          <w:sz w:val="20"/>
          <w:szCs w:val="24"/>
        </w:rPr>
        <w:t>National Institution for Transforming India ,NITI Aayog</w:t>
      </w:r>
      <w:r w:rsidRPr="001D4067">
        <w:rPr>
          <w:rFonts w:ascii="Arial" w:hAnsi="Arial" w:cs="Arial"/>
          <w:noProof/>
          <w:sz w:val="20"/>
          <w:szCs w:val="24"/>
        </w:rPr>
        <w:t>, 1–26. https://niti.gov.in/writereaddata/files/document_publication/Rural_Economy_DP_final.pdf</w:t>
      </w:r>
    </w:p>
    <w:p w14:paraId="12E86E78"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Dange, M. M., &amp; Bakane, P. H. (2024). </w:t>
      </w:r>
      <w:r w:rsidRPr="001D4067">
        <w:rPr>
          <w:rFonts w:ascii="Arial" w:hAnsi="Arial" w:cs="Arial"/>
          <w:i/>
          <w:iCs/>
          <w:noProof/>
          <w:sz w:val="20"/>
          <w:szCs w:val="24"/>
        </w:rPr>
        <w:t>Adaptability of PKV mini dal mill for processing pulses</w:t>
      </w:r>
      <w:r w:rsidRPr="001D4067">
        <w:rPr>
          <w:rFonts w:ascii="Arial" w:hAnsi="Arial" w:cs="Arial"/>
          <w:noProof/>
          <w:sz w:val="20"/>
          <w:szCs w:val="24"/>
        </w:rPr>
        <w:t xml:space="preserve">. </w:t>
      </w:r>
      <w:r w:rsidRPr="001D4067">
        <w:rPr>
          <w:rFonts w:ascii="Arial" w:hAnsi="Arial" w:cs="Arial"/>
          <w:i/>
          <w:iCs/>
          <w:noProof/>
          <w:sz w:val="20"/>
          <w:szCs w:val="24"/>
        </w:rPr>
        <w:t>8</w:t>
      </w:r>
      <w:r w:rsidRPr="001D4067">
        <w:rPr>
          <w:rFonts w:ascii="Arial" w:hAnsi="Arial" w:cs="Arial"/>
          <w:noProof/>
          <w:sz w:val="20"/>
          <w:szCs w:val="24"/>
        </w:rPr>
        <w:t>(6), 171–178.</w:t>
      </w:r>
    </w:p>
    <w:p w14:paraId="79E2A12C"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E, J., R, V., &amp; T, J. Z. (2014). Quality of dry ginger (Zingiber officinale) by different drying methods. </w:t>
      </w:r>
      <w:r w:rsidRPr="001D4067">
        <w:rPr>
          <w:rFonts w:ascii="Arial" w:hAnsi="Arial" w:cs="Arial"/>
          <w:i/>
          <w:iCs/>
          <w:noProof/>
          <w:sz w:val="20"/>
          <w:szCs w:val="24"/>
        </w:rPr>
        <w:t>Journal of Food Science and Technology</w:t>
      </w:r>
      <w:r w:rsidRPr="001D4067">
        <w:rPr>
          <w:rFonts w:ascii="Arial" w:hAnsi="Arial" w:cs="Arial"/>
          <w:noProof/>
          <w:sz w:val="20"/>
          <w:szCs w:val="24"/>
        </w:rPr>
        <w:t xml:space="preserve">, </w:t>
      </w:r>
      <w:r w:rsidRPr="001D4067">
        <w:rPr>
          <w:rFonts w:ascii="Arial" w:hAnsi="Arial" w:cs="Arial"/>
          <w:i/>
          <w:iCs/>
          <w:noProof/>
          <w:sz w:val="20"/>
          <w:szCs w:val="24"/>
        </w:rPr>
        <w:t>51</w:t>
      </w:r>
      <w:r w:rsidRPr="001D4067">
        <w:rPr>
          <w:rFonts w:ascii="Arial" w:hAnsi="Arial" w:cs="Arial"/>
          <w:noProof/>
          <w:sz w:val="20"/>
          <w:szCs w:val="24"/>
        </w:rPr>
        <w:t>(11), 3190–3198. https://doi.org/10.1007/s13197-012-0823-8</w:t>
      </w:r>
    </w:p>
    <w:p w14:paraId="064DFBF1"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Fernandes, L. (2024). </w:t>
      </w:r>
      <w:r w:rsidRPr="001D4067">
        <w:rPr>
          <w:rFonts w:ascii="Arial" w:hAnsi="Arial" w:cs="Arial"/>
          <w:i/>
          <w:iCs/>
          <w:noProof/>
          <w:sz w:val="20"/>
          <w:szCs w:val="24"/>
        </w:rPr>
        <w:t>A Review on Solar Drying Devices : Heat Transfer , Air Movement and Type of Chambers</w:t>
      </w:r>
      <w:r w:rsidRPr="001D4067">
        <w:rPr>
          <w:rFonts w:ascii="Arial" w:hAnsi="Arial" w:cs="Arial"/>
          <w:noProof/>
          <w:sz w:val="20"/>
          <w:szCs w:val="24"/>
        </w:rPr>
        <w:t>. 15–42.</w:t>
      </w:r>
    </w:p>
    <w:p w14:paraId="78C6EFD7"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lastRenderedPageBreak/>
        <w:t xml:space="preserve">Ghosh, N. (2014). An assessment of the extent of food processing in various food sub-sectors. </w:t>
      </w:r>
      <w:r w:rsidRPr="001D4067">
        <w:rPr>
          <w:rFonts w:ascii="Arial" w:hAnsi="Arial" w:cs="Arial"/>
          <w:i/>
          <w:iCs/>
          <w:noProof/>
          <w:sz w:val="20"/>
          <w:szCs w:val="24"/>
        </w:rPr>
        <w:t>… Submitted to the Ministry of Agriculture and Farmers …</w:t>
      </w:r>
      <w:r w:rsidRPr="001D4067">
        <w:rPr>
          <w:rFonts w:ascii="Arial" w:hAnsi="Arial" w:cs="Arial"/>
          <w:noProof/>
          <w:sz w:val="20"/>
          <w:szCs w:val="24"/>
        </w:rPr>
        <w:t>. http://www.mofpi.nic.in/sites/default/files/ieg_report_2014-11-n-1.pdf</w:t>
      </w:r>
    </w:p>
    <w:p w14:paraId="02EBFA27"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Gurusamy, S., Vidhya, C. S., Yuvraj, B., &amp; Shanmugam, A. (2022). Pulses for health and their varied ways of processing and consumption in India - A review. </w:t>
      </w:r>
      <w:r w:rsidRPr="001D4067">
        <w:rPr>
          <w:rFonts w:ascii="Arial" w:hAnsi="Arial" w:cs="Arial"/>
          <w:i/>
          <w:iCs/>
          <w:noProof/>
          <w:sz w:val="20"/>
          <w:szCs w:val="24"/>
        </w:rPr>
        <w:t>Applied Food Research</w:t>
      </w:r>
      <w:r w:rsidRPr="001D4067">
        <w:rPr>
          <w:rFonts w:ascii="Arial" w:hAnsi="Arial" w:cs="Arial"/>
          <w:noProof/>
          <w:sz w:val="20"/>
          <w:szCs w:val="24"/>
        </w:rPr>
        <w:t xml:space="preserve">, </w:t>
      </w:r>
      <w:r w:rsidRPr="001D4067">
        <w:rPr>
          <w:rFonts w:ascii="Arial" w:hAnsi="Arial" w:cs="Arial"/>
          <w:i/>
          <w:iCs/>
          <w:noProof/>
          <w:sz w:val="20"/>
          <w:szCs w:val="24"/>
        </w:rPr>
        <w:t>2</w:t>
      </w:r>
      <w:r w:rsidRPr="001D4067">
        <w:rPr>
          <w:rFonts w:ascii="Arial" w:hAnsi="Arial" w:cs="Arial"/>
          <w:noProof/>
          <w:sz w:val="20"/>
          <w:szCs w:val="24"/>
        </w:rPr>
        <w:t>(2), 100171. https://doi.org/10.1016/j.afres.2022.100171</w:t>
      </w:r>
    </w:p>
    <w:p w14:paraId="31E86523"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Joshi, V. (2022). </w:t>
      </w:r>
      <w:r w:rsidRPr="001D4067">
        <w:rPr>
          <w:rFonts w:ascii="Arial" w:hAnsi="Arial" w:cs="Arial"/>
          <w:i/>
          <w:iCs/>
          <w:noProof/>
          <w:sz w:val="20"/>
          <w:szCs w:val="24"/>
        </w:rPr>
        <w:t>Punjab ’ s maiden honey processing unit brings sweet rewards</w:t>
      </w:r>
      <w:r w:rsidRPr="001D4067">
        <w:rPr>
          <w:rFonts w:ascii="Arial" w:hAnsi="Arial" w:cs="Arial"/>
          <w:noProof/>
          <w:sz w:val="20"/>
          <w:szCs w:val="24"/>
        </w:rPr>
        <w:t>. 29–31.</w:t>
      </w:r>
    </w:p>
    <w:p w14:paraId="3B7CC7AF"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Kumar, S., Tyagi, V. V, Chopra, K., Kalidasan, B., &amp; Pandey, A. K. (2023). </w:t>
      </w:r>
      <w:r w:rsidRPr="001D4067">
        <w:rPr>
          <w:rFonts w:ascii="Arial" w:hAnsi="Arial" w:cs="Arial"/>
          <w:i/>
          <w:iCs/>
          <w:noProof/>
          <w:sz w:val="20"/>
          <w:szCs w:val="24"/>
        </w:rPr>
        <w:t>Energy , exergy , economic and environmental analyses of solar air heating systems with and without thermal energy storage for sustainable development : A systematic review</w:t>
      </w:r>
      <w:r w:rsidRPr="001D4067">
        <w:rPr>
          <w:rFonts w:ascii="Arial" w:hAnsi="Arial" w:cs="Arial"/>
          <w:noProof/>
          <w:sz w:val="20"/>
          <w:szCs w:val="24"/>
        </w:rPr>
        <w:t xml:space="preserve">. </w:t>
      </w:r>
      <w:r w:rsidRPr="001D4067">
        <w:rPr>
          <w:rFonts w:ascii="Arial" w:hAnsi="Arial" w:cs="Arial"/>
          <w:i/>
          <w:iCs/>
          <w:noProof/>
          <w:sz w:val="20"/>
          <w:szCs w:val="24"/>
        </w:rPr>
        <w:t>59</w:t>
      </w:r>
      <w:r w:rsidRPr="001D4067">
        <w:rPr>
          <w:rFonts w:ascii="Arial" w:hAnsi="Arial" w:cs="Arial"/>
          <w:noProof/>
          <w:sz w:val="20"/>
          <w:szCs w:val="24"/>
        </w:rPr>
        <w:t>(July 2022), 106521.</w:t>
      </w:r>
    </w:p>
    <w:p w14:paraId="3D05587F"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Lahari, K., Naga, M., Sai, R., &amp; Sai, G. (2021). Editor IJIEMR www.ijiemr.com To Secure Your Paper As Per UGC Guidelines We Are Providing A Electronic Bar Code. </w:t>
      </w:r>
      <w:r w:rsidRPr="001D4067">
        <w:rPr>
          <w:rFonts w:ascii="Arial" w:hAnsi="Arial" w:cs="Arial"/>
          <w:i/>
          <w:iCs/>
          <w:noProof/>
          <w:sz w:val="20"/>
          <w:szCs w:val="24"/>
        </w:rPr>
        <w:t>International Journal of Enginnering and Management Research</w:t>
      </w:r>
      <w:r w:rsidRPr="001D4067">
        <w:rPr>
          <w:rFonts w:ascii="Arial" w:hAnsi="Arial" w:cs="Arial"/>
          <w:noProof/>
          <w:sz w:val="20"/>
          <w:szCs w:val="24"/>
        </w:rPr>
        <w:t xml:space="preserve">, </w:t>
      </w:r>
      <w:r w:rsidRPr="001D4067">
        <w:rPr>
          <w:rFonts w:ascii="Arial" w:hAnsi="Arial" w:cs="Arial"/>
          <w:i/>
          <w:iCs/>
          <w:noProof/>
          <w:sz w:val="20"/>
          <w:szCs w:val="24"/>
        </w:rPr>
        <w:t>10</w:t>
      </w:r>
      <w:r w:rsidRPr="001D4067">
        <w:rPr>
          <w:rFonts w:ascii="Arial" w:hAnsi="Arial" w:cs="Arial"/>
          <w:noProof/>
          <w:sz w:val="20"/>
          <w:szCs w:val="24"/>
        </w:rPr>
        <w:t>(08), 145–150. https://doi.org/10.48047/IJIEMR/V10/I04/95</w:t>
      </w:r>
    </w:p>
    <w:p w14:paraId="1120C466"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Lingayat, A. B., Chandramohan, V. P., Raju, V. R. K., &amp; Meda, V. (2020). A review on indirect type solar dryers for agricultural crops – Dryer setup, its performance, energy storage and important highlights. </w:t>
      </w:r>
      <w:r w:rsidRPr="001D4067">
        <w:rPr>
          <w:rFonts w:ascii="Arial" w:hAnsi="Arial" w:cs="Arial"/>
          <w:i/>
          <w:iCs/>
          <w:noProof/>
          <w:sz w:val="20"/>
          <w:szCs w:val="24"/>
        </w:rPr>
        <w:t>Applied Energy</w:t>
      </w:r>
      <w:r w:rsidRPr="001D4067">
        <w:rPr>
          <w:rFonts w:ascii="Arial" w:hAnsi="Arial" w:cs="Arial"/>
          <w:noProof/>
          <w:sz w:val="20"/>
          <w:szCs w:val="24"/>
        </w:rPr>
        <w:t xml:space="preserve">, </w:t>
      </w:r>
      <w:r w:rsidRPr="001D4067">
        <w:rPr>
          <w:rFonts w:ascii="Arial" w:hAnsi="Arial" w:cs="Arial"/>
          <w:i/>
          <w:iCs/>
          <w:noProof/>
          <w:sz w:val="20"/>
          <w:szCs w:val="24"/>
        </w:rPr>
        <w:t>258</w:t>
      </w:r>
      <w:r w:rsidRPr="001D4067">
        <w:rPr>
          <w:rFonts w:ascii="Arial" w:hAnsi="Arial" w:cs="Arial"/>
          <w:noProof/>
          <w:sz w:val="20"/>
          <w:szCs w:val="24"/>
        </w:rPr>
        <w:t>(October 2019), 114005. https://doi.org/10.1016/j.apenergy.2019.114005</w:t>
      </w:r>
    </w:p>
    <w:p w14:paraId="311B42BD"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Mangaraj, S., &amp; Singh, K. P. (2011). M. study of multiple pulses using C. dhal mill for optimal responses. (n.d.). </w:t>
      </w:r>
      <w:r w:rsidRPr="001D4067">
        <w:rPr>
          <w:rFonts w:ascii="Arial" w:hAnsi="Arial" w:cs="Arial"/>
          <w:i/>
          <w:iCs/>
          <w:noProof/>
          <w:sz w:val="20"/>
          <w:szCs w:val="24"/>
        </w:rPr>
        <w:t>No Title</w:t>
      </w:r>
      <w:r w:rsidRPr="001D4067">
        <w:rPr>
          <w:rFonts w:ascii="Arial" w:hAnsi="Arial" w:cs="Arial"/>
          <w:noProof/>
          <w:sz w:val="20"/>
          <w:szCs w:val="24"/>
        </w:rPr>
        <w:t>.</w:t>
      </w:r>
    </w:p>
    <w:p w14:paraId="7DDC23A6"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Manjunath, S., &amp; Kannan, E. (2015). </w:t>
      </w:r>
      <w:r w:rsidRPr="001D4067">
        <w:rPr>
          <w:rFonts w:ascii="Arial" w:hAnsi="Arial" w:cs="Arial"/>
          <w:i/>
          <w:iCs/>
          <w:noProof/>
          <w:sz w:val="20"/>
          <w:szCs w:val="24"/>
        </w:rPr>
        <w:t>Effect of Rural Infrastructure on Agricultural Development : District Level Analysis in Karnataka Effect of Rural Infrastructure on Agricultural Development : District Level Analysis in Karnataka Soumya Manjunath Elumalai Kannan</w:t>
      </w:r>
      <w:r w:rsidRPr="001D4067">
        <w:rPr>
          <w:rFonts w:ascii="Arial" w:hAnsi="Arial" w:cs="Arial"/>
          <w:noProof/>
          <w:sz w:val="20"/>
          <w:szCs w:val="24"/>
        </w:rPr>
        <w:t xml:space="preserve">. </w:t>
      </w:r>
      <w:r w:rsidRPr="001D4067">
        <w:rPr>
          <w:rFonts w:ascii="Arial" w:hAnsi="Arial" w:cs="Arial"/>
          <w:i/>
          <w:iCs/>
          <w:noProof/>
          <w:sz w:val="20"/>
          <w:szCs w:val="24"/>
        </w:rPr>
        <w:t>1</w:t>
      </w:r>
      <w:r w:rsidRPr="001D4067">
        <w:rPr>
          <w:rFonts w:ascii="Arial" w:hAnsi="Arial" w:cs="Arial"/>
          <w:noProof/>
          <w:sz w:val="20"/>
          <w:szCs w:val="24"/>
        </w:rPr>
        <w:t>, 1–16.</w:t>
      </w:r>
    </w:p>
    <w:p w14:paraId="01509317"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Nnamchi, O., Tom, C., Akpan, G., Umunna, M., Ubong, D., Ibeh, M., Linus–Chibuezeh, A., Akuwueke, L., Nnamchi, S., Ben, A., &amp; Ndukwu, M. (2025). Solar dryers: A review of mechanism, methods and critical analysis of transport models applicable in solar drying of product. </w:t>
      </w:r>
      <w:r w:rsidRPr="001D4067">
        <w:rPr>
          <w:rFonts w:ascii="Arial" w:hAnsi="Arial" w:cs="Arial"/>
          <w:i/>
          <w:iCs/>
          <w:noProof/>
          <w:sz w:val="20"/>
          <w:szCs w:val="24"/>
        </w:rPr>
        <w:t>Green Energy and Resources</w:t>
      </w:r>
      <w:r w:rsidRPr="001D4067">
        <w:rPr>
          <w:rFonts w:ascii="Arial" w:hAnsi="Arial" w:cs="Arial"/>
          <w:noProof/>
          <w:sz w:val="20"/>
          <w:szCs w:val="24"/>
        </w:rPr>
        <w:t xml:space="preserve">, </w:t>
      </w:r>
      <w:r w:rsidRPr="001D4067">
        <w:rPr>
          <w:rFonts w:ascii="Arial" w:hAnsi="Arial" w:cs="Arial"/>
          <w:i/>
          <w:iCs/>
          <w:noProof/>
          <w:sz w:val="20"/>
          <w:szCs w:val="24"/>
        </w:rPr>
        <w:t>3</w:t>
      </w:r>
      <w:r w:rsidRPr="001D4067">
        <w:rPr>
          <w:rFonts w:ascii="Arial" w:hAnsi="Arial" w:cs="Arial"/>
          <w:noProof/>
          <w:sz w:val="20"/>
          <w:szCs w:val="24"/>
        </w:rPr>
        <w:t>(2), 100118. https://doi.org/10.1016/j.gerr.2025.100118</w:t>
      </w:r>
    </w:p>
    <w:p w14:paraId="0B278F88"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Osae, R., Apaliya, M. T., Kwaw, E., Chisepo, M. T. R., Yarley, O. P. N., Antiri, E. A., &amp; Alolga, R. N. (2021). Drying techniques affect the quality and essential oil composition of Ghanaian ginger (Zingiber officinale Roscoe). </w:t>
      </w:r>
      <w:r w:rsidRPr="001D4067">
        <w:rPr>
          <w:rFonts w:ascii="Arial" w:hAnsi="Arial" w:cs="Arial"/>
          <w:i/>
          <w:iCs/>
          <w:noProof/>
          <w:sz w:val="20"/>
          <w:szCs w:val="24"/>
        </w:rPr>
        <w:t>Industrial Crops and Products</w:t>
      </w:r>
      <w:r w:rsidRPr="001D4067">
        <w:rPr>
          <w:rFonts w:ascii="Arial" w:hAnsi="Arial" w:cs="Arial"/>
          <w:noProof/>
          <w:sz w:val="20"/>
          <w:szCs w:val="24"/>
        </w:rPr>
        <w:t xml:space="preserve">, </w:t>
      </w:r>
      <w:r w:rsidRPr="001D4067">
        <w:rPr>
          <w:rFonts w:ascii="Arial" w:hAnsi="Arial" w:cs="Arial"/>
          <w:i/>
          <w:iCs/>
          <w:noProof/>
          <w:sz w:val="20"/>
          <w:szCs w:val="24"/>
        </w:rPr>
        <w:t>172</w:t>
      </w:r>
      <w:r w:rsidRPr="001D4067">
        <w:rPr>
          <w:rFonts w:ascii="Arial" w:hAnsi="Arial" w:cs="Arial"/>
          <w:noProof/>
          <w:sz w:val="20"/>
          <w:szCs w:val="24"/>
        </w:rPr>
        <w:t>, 114048. https://doi.org/10.1016/j.indcrop.2021.114048</w:t>
      </w:r>
    </w:p>
    <w:p w14:paraId="07BA1466"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Patients, S., in Solid Cancer, P. C., Hassan, B. A. R., Yusoff, Z. B. M., Othman, M. A. H., Bin, S., information is available at the end of the Chapter, A., &amp; Http://dx.doi.org/10.5772/55358. (2012). We are IntechOpen , the world ’ s leading publisher of Open Access books Built by scientists , for scientists TOP 1 %. </w:t>
      </w:r>
      <w:r w:rsidRPr="001D4067">
        <w:rPr>
          <w:rFonts w:ascii="Arial" w:hAnsi="Arial" w:cs="Arial"/>
          <w:i/>
          <w:iCs/>
          <w:noProof/>
          <w:sz w:val="20"/>
          <w:szCs w:val="24"/>
        </w:rPr>
        <w:t>Intech</w:t>
      </w:r>
      <w:r w:rsidRPr="001D4067">
        <w:rPr>
          <w:rFonts w:ascii="Arial" w:hAnsi="Arial" w:cs="Arial"/>
          <w:noProof/>
          <w:sz w:val="20"/>
          <w:szCs w:val="24"/>
        </w:rPr>
        <w:t>, 13. http://dx.doi.org/10.1039/C7RA00172J%0Ahttps://www.intechopen.com/books/advanced-</w:t>
      </w:r>
      <w:r w:rsidRPr="001D4067">
        <w:rPr>
          <w:rFonts w:ascii="Arial" w:hAnsi="Arial" w:cs="Arial"/>
          <w:noProof/>
          <w:sz w:val="20"/>
          <w:szCs w:val="24"/>
        </w:rPr>
        <w:lastRenderedPageBreak/>
        <w:t>biometric-technologies/liveness-detection-in-biometrics%0Ahttp://dx.doi.org/10.1016/j.colsurfa.2011.12.014</w:t>
      </w:r>
    </w:p>
    <w:p w14:paraId="08AD50AE"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Patil, A. A., Gaikwad, S. D., &amp; Kulkarni, R. S. (2017). A Review on the Oil Expeller Screw Shaft. </w:t>
      </w:r>
      <w:r w:rsidRPr="001D4067">
        <w:rPr>
          <w:rFonts w:ascii="Arial" w:hAnsi="Arial" w:cs="Arial"/>
          <w:i/>
          <w:iCs/>
          <w:noProof/>
          <w:sz w:val="20"/>
          <w:szCs w:val="24"/>
        </w:rPr>
        <w:t>International Research Journal of Engineering and Technology(IRJET)</w:t>
      </w:r>
      <w:r w:rsidRPr="001D4067">
        <w:rPr>
          <w:rFonts w:ascii="Arial" w:hAnsi="Arial" w:cs="Arial"/>
          <w:noProof/>
          <w:sz w:val="20"/>
          <w:szCs w:val="24"/>
        </w:rPr>
        <w:t xml:space="preserve">, </w:t>
      </w:r>
      <w:r w:rsidRPr="001D4067">
        <w:rPr>
          <w:rFonts w:ascii="Arial" w:hAnsi="Arial" w:cs="Arial"/>
          <w:i/>
          <w:iCs/>
          <w:noProof/>
          <w:sz w:val="20"/>
          <w:szCs w:val="24"/>
        </w:rPr>
        <w:t>4</w:t>
      </w:r>
      <w:r w:rsidRPr="001D4067">
        <w:rPr>
          <w:rFonts w:ascii="Arial" w:hAnsi="Arial" w:cs="Arial"/>
          <w:noProof/>
          <w:sz w:val="20"/>
          <w:szCs w:val="24"/>
        </w:rPr>
        <w:t>(3), 1654–1657. https://irjet.net/archives/V4/i3/IRJET-V4I3370.pdf</w:t>
      </w:r>
    </w:p>
    <w:p w14:paraId="7BFCE734"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Pimpalkar, R. D., Katole, R. T., Bhople, P. P., &amp; Koshti, N. R. (2021). </w:t>
      </w:r>
      <w:r w:rsidRPr="001D4067">
        <w:rPr>
          <w:rFonts w:ascii="Arial" w:hAnsi="Arial" w:cs="Arial"/>
          <w:i/>
          <w:iCs/>
          <w:noProof/>
          <w:sz w:val="20"/>
          <w:szCs w:val="24"/>
        </w:rPr>
        <w:t>A case study : Impact of PKV mini Dal Mill on its owners</w:t>
      </w:r>
      <w:r w:rsidRPr="001D4067">
        <w:rPr>
          <w:rFonts w:ascii="Arial" w:hAnsi="Arial" w:cs="Arial"/>
          <w:noProof/>
          <w:sz w:val="20"/>
          <w:szCs w:val="24"/>
        </w:rPr>
        <w:t xml:space="preserve">. </w:t>
      </w:r>
      <w:r w:rsidRPr="001D4067">
        <w:rPr>
          <w:rFonts w:ascii="Arial" w:hAnsi="Arial" w:cs="Arial"/>
          <w:i/>
          <w:iCs/>
          <w:noProof/>
          <w:sz w:val="20"/>
          <w:szCs w:val="24"/>
        </w:rPr>
        <w:t>10</w:t>
      </w:r>
      <w:r w:rsidRPr="001D4067">
        <w:rPr>
          <w:rFonts w:ascii="Arial" w:hAnsi="Arial" w:cs="Arial"/>
          <w:noProof/>
          <w:sz w:val="20"/>
          <w:szCs w:val="24"/>
        </w:rPr>
        <w:t>(1), 217–219.</w:t>
      </w:r>
    </w:p>
    <w:p w14:paraId="303EC318"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Rais, M. (2013). </w:t>
      </w:r>
      <w:r w:rsidRPr="001D4067">
        <w:rPr>
          <w:rFonts w:ascii="Arial" w:hAnsi="Arial" w:cs="Arial"/>
          <w:i/>
          <w:iCs/>
          <w:noProof/>
          <w:sz w:val="20"/>
          <w:szCs w:val="24"/>
        </w:rPr>
        <w:t>FOOD PROCESSING INDUSTRY IN INDIA : S &amp; T CAPABILITY , SKILLS AND</w:t>
      </w:r>
      <w:r w:rsidRPr="001D4067">
        <w:rPr>
          <w:rFonts w:ascii="Arial" w:hAnsi="Arial" w:cs="Arial"/>
          <w:noProof/>
          <w:sz w:val="20"/>
          <w:szCs w:val="24"/>
        </w:rPr>
        <w:t xml:space="preserve">. </w:t>
      </w:r>
      <w:r w:rsidRPr="001D4067">
        <w:rPr>
          <w:rFonts w:ascii="Arial" w:hAnsi="Arial" w:cs="Arial"/>
          <w:i/>
          <w:iCs/>
          <w:noProof/>
          <w:sz w:val="20"/>
          <w:szCs w:val="24"/>
        </w:rPr>
        <w:t>32</w:t>
      </w:r>
      <w:r w:rsidRPr="001D4067">
        <w:rPr>
          <w:rFonts w:ascii="Arial" w:hAnsi="Arial" w:cs="Arial"/>
          <w:noProof/>
          <w:sz w:val="20"/>
          <w:szCs w:val="24"/>
        </w:rPr>
        <w:t>(4), 451–478.</w:t>
      </w:r>
    </w:p>
    <w:p w14:paraId="72CF4210"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Rani, J., Kamboj, H., Dhull, S. B., Rose, P. K., Bou-Mitri, C., Goksen, G., &amp; Faliarizao, N. (2024). Effect of Different Processing Techniques and Storage Conditions on Honey Properties. In </w:t>
      </w:r>
      <w:r w:rsidRPr="001D4067">
        <w:rPr>
          <w:rFonts w:ascii="Arial" w:hAnsi="Arial" w:cs="Arial"/>
          <w:i/>
          <w:iCs/>
          <w:noProof/>
          <w:sz w:val="20"/>
          <w:szCs w:val="24"/>
        </w:rPr>
        <w:t>Honey in Food Science and Physiology</w:t>
      </w:r>
      <w:r w:rsidRPr="001D4067">
        <w:rPr>
          <w:rFonts w:ascii="Arial" w:hAnsi="Arial" w:cs="Arial"/>
          <w:noProof/>
          <w:sz w:val="20"/>
          <w:szCs w:val="24"/>
        </w:rPr>
        <w:t xml:space="preserve"> (pp. 439–469). Springer Nature Singapore. https://doi.org/10.1007/978-981-97-3565-5_19</w:t>
      </w:r>
    </w:p>
    <w:p w14:paraId="1426518F"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Rathod, M. L., Angadi, B. M., &amp; Bhavi, I. G. (2025). A review on optimization of process parameters of cold pressed oil extraction for high output and for enhanced quality and retained nutrients. </w:t>
      </w:r>
      <w:r w:rsidRPr="001D4067">
        <w:rPr>
          <w:rFonts w:ascii="Arial" w:hAnsi="Arial" w:cs="Arial"/>
          <w:i/>
          <w:iCs/>
          <w:noProof/>
          <w:sz w:val="20"/>
          <w:szCs w:val="24"/>
        </w:rPr>
        <w:t>Food and Humanity</w:t>
      </w:r>
      <w:r w:rsidRPr="001D4067">
        <w:rPr>
          <w:rFonts w:ascii="Arial" w:hAnsi="Arial" w:cs="Arial"/>
          <w:noProof/>
          <w:sz w:val="20"/>
          <w:szCs w:val="24"/>
        </w:rPr>
        <w:t xml:space="preserve">, </w:t>
      </w:r>
      <w:r w:rsidRPr="001D4067">
        <w:rPr>
          <w:rFonts w:ascii="Arial" w:hAnsi="Arial" w:cs="Arial"/>
          <w:i/>
          <w:iCs/>
          <w:noProof/>
          <w:sz w:val="20"/>
          <w:szCs w:val="24"/>
        </w:rPr>
        <w:t>5</w:t>
      </w:r>
      <w:r w:rsidRPr="001D4067">
        <w:rPr>
          <w:rFonts w:ascii="Arial" w:hAnsi="Arial" w:cs="Arial"/>
          <w:noProof/>
          <w:sz w:val="20"/>
          <w:szCs w:val="24"/>
        </w:rPr>
        <w:t>, 100698. https://doi.org/10.1016/j.foohum.2025.100698</w:t>
      </w:r>
    </w:p>
    <w:p w14:paraId="1D13843D"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Roy, A. (2024). </w:t>
      </w:r>
      <w:r w:rsidRPr="001D4067">
        <w:rPr>
          <w:rFonts w:ascii="Arial" w:hAnsi="Arial" w:cs="Arial"/>
          <w:i/>
          <w:iCs/>
          <w:noProof/>
          <w:sz w:val="20"/>
          <w:szCs w:val="24"/>
        </w:rPr>
        <w:t>This Bengal woman shows there ’ s money in</w:t>
      </w:r>
      <w:r w:rsidRPr="001D4067">
        <w:rPr>
          <w:rFonts w:ascii="Arial" w:hAnsi="Arial" w:cs="Arial"/>
          <w:noProof/>
          <w:sz w:val="20"/>
          <w:szCs w:val="24"/>
        </w:rPr>
        <w:t>. 1–5.</w:t>
      </w:r>
    </w:p>
    <w:p w14:paraId="10C4CEDC"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Sarkar, A., &amp; Fu, B. X. (2022). Impact of Quality Improvement and Milling Innovations on Durum Wheat and End Products. </w:t>
      </w:r>
      <w:r w:rsidRPr="001D4067">
        <w:rPr>
          <w:rFonts w:ascii="Arial" w:hAnsi="Arial" w:cs="Arial"/>
          <w:i/>
          <w:iCs/>
          <w:noProof/>
          <w:sz w:val="20"/>
          <w:szCs w:val="24"/>
        </w:rPr>
        <w:t>Foods</w:t>
      </w:r>
      <w:r w:rsidRPr="001D4067">
        <w:rPr>
          <w:rFonts w:ascii="Arial" w:hAnsi="Arial" w:cs="Arial"/>
          <w:noProof/>
          <w:sz w:val="20"/>
          <w:szCs w:val="24"/>
        </w:rPr>
        <w:t xml:space="preserve">, </w:t>
      </w:r>
      <w:r w:rsidRPr="001D4067">
        <w:rPr>
          <w:rFonts w:ascii="Arial" w:hAnsi="Arial" w:cs="Arial"/>
          <w:i/>
          <w:iCs/>
          <w:noProof/>
          <w:sz w:val="20"/>
          <w:szCs w:val="24"/>
        </w:rPr>
        <w:t>11</w:t>
      </w:r>
      <w:r w:rsidRPr="001D4067">
        <w:rPr>
          <w:rFonts w:ascii="Arial" w:hAnsi="Arial" w:cs="Arial"/>
          <w:noProof/>
          <w:sz w:val="20"/>
          <w:szCs w:val="24"/>
        </w:rPr>
        <w:t>(12), 1796. https://doi.org/10.3390/foods11121796</w:t>
      </w:r>
    </w:p>
    <w:p w14:paraId="69409853" w14:textId="5D9D6C4C" w:rsid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Sharshir, S. W., Joseph, A., Peng, G., Kandeal, A. W., Abdullah, A. S., Abdelaziz, G. B., Edreis, E. M. A., &amp; Yuan, Z. (2023). Recent efforts in developing agricultural product drying processes using solar energy. </w:t>
      </w:r>
      <w:r w:rsidRPr="001D4067">
        <w:rPr>
          <w:rFonts w:ascii="Arial" w:hAnsi="Arial" w:cs="Arial"/>
          <w:i/>
          <w:iCs/>
          <w:noProof/>
          <w:sz w:val="20"/>
          <w:szCs w:val="24"/>
        </w:rPr>
        <w:t>Solar Energy</w:t>
      </w:r>
      <w:r w:rsidRPr="001D4067">
        <w:rPr>
          <w:rFonts w:ascii="Arial" w:hAnsi="Arial" w:cs="Arial"/>
          <w:noProof/>
          <w:sz w:val="20"/>
          <w:szCs w:val="24"/>
        </w:rPr>
        <w:t xml:space="preserve">, </w:t>
      </w:r>
      <w:r w:rsidRPr="001D4067">
        <w:rPr>
          <w:rFonts w:ascii="Arial" w:hAnsi="Arial" w:cs="Arial"/>
          <w:i/>
          <w:iCs/>
          <w:noProof/>
          <w:sz w:val="20"/>
          <w:szCs w:val="24"/>
        </w:rPr>
        <w:t>257</w:t>
      </w:r>
      <w:r w:rsidRPr="001D4067">
        <w:rPr>
          <w:rFonts w:ascii="Arial" w:hAnsi="Arial" w:cs="Arial"/>
          <w:noProof/>
          <w:sz w:val="20"/>
          <w:szCs w:val="24"/>
        </w:rPr>
        <w:t>, 137–154. https://doi.org/10.1016/j.solener.2023.04.022</w:t>
      </w:r>
    </w:p>
    <w:p w14:paraId="7B508FC6" w14:textId="2C16E466" w:rsidR="00C60CF4" w:rsidRPr="001D4067" w:rsidRDefault="00C60CF4" w:rsidP="001D4067">
      <w:pPr>
        <w:widowControl w:val="0"/>
        <w:autoSpaceDE w:val="0"/>
        <w:autoSpaceDN w:val="0"/>
        <w:adjustRightInd w:val="0"/>
        <w:spacing w:line="360" w:lineRule="auto"/>
        <w:ind w:left="480" w:hanging="480"/>
        <w:rPr>
          <w:rFonts w:ascii="Arial" w:hAnsi="Arial" w:cs="Arial"/>
          <w:noProof/>
          <w:sz w:val="20"/>
          <w:szCs w:val="24"/>
        </w:rPr>
      </w:pPr>
      <w:r w:rsidRPr="00C60CF4">
        <w:rPr>
          <w:rFonts w:ascii="Arial" w:hAnsi="Arial" w:cs="Arial"/>
          <w:noProof/>
          <w:sz w:val="20"/>
          <w:szCs w:val="24"/>
        </w:rPr>
        <w:t>Singh, D.K., Meena, M., Chaudhary, M., Dayal, H., &amp; Dudi, A. (2010). Success story of Local Tunnel Solar Drier for small scale Entrepreneurship in Rural India.</w:t>
      </w:r>
    </w:p>
    <w:p w14:paraId="6E209026"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Singh, I., &amp; Singh, S. (2018). Honey moisture reduction and its quality. </w:t>
      </w:r>
      <w:r w:rsidRPr="001D4067">
        <w:rPr>
          <w:rFonts w:ascii="Arial" w:hAnsi="Arial" w:cs="Arial"/>
          <w:i/>
          <w:iCs/>
          <w:noProof/>
          <w:sz w:val="20"/>
          <w:szCs w:val="24"/>
        </w:rPr>
        <w:t>Journal of Food Science and Technology</w:t>
      </w:r>
      <w:r w:rsidRPr="001D4067">
        <w:rPr>
          <w:rFonts w:ascii="Arial" w:hAnsi="Arial" w:cs="Arial"/>
          <w:noProof/>
          <w:sz w:val="20"/>
          <w:szCs w:val="24"/>
        </w:rPr>
        <w:t xml:space="preserve">, </w:t>
      </w:r>
      <w:r w:rsidRPr="001D4067">
        <w:rPr>
          <w:rFonts w:ascii="Arial" w:hAnsi="Arial" w:cs="Arial"/>
          <w:i/>
          <w:iCs/>
          <w:noProof/>
          <w:sz w:val="20"/>
          <w:szCs w:val="24"/>
        </w:rPr>
        <w:t>55</w:t>
      </w:r>
      <w:r w:rsidRPr="001D4067">
        <w:rPr>
          <w:rFonts w:ascii="Arial" w:hAnsi="Arial" w:cs="Arial"/>
          <w:noProof/>
          <w:sz w:val="20"/>
          <w:szCs w:val="24"/>
        </w:rPr>
        <w:t>(10), 3861–3871. https://doi.org/10.1007/s13197-018-3341-5</w:t>
      </w:r>
    </w:p>
    <w:p w14:paraId="72470680"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Singh, K. (2022). </w:t>
      </w:r>
      <w:r w:rsidRPr="001D4067">
        <w:rPr>
          <w:rFonts w:ascii="Arial" w:hAnsi="Arial" w:cs="Arial"/>
          <w:i/>
          <w:iCs/>
          <w:noProof/>
          <w:sz w:val="20"/>
          <w:szCs w:val="24"/>
        </w:rPr>
        <w:t>Pulse Processing : Jayshree has solved the biggest problem of the farmers of Latur district of Maharasthra , often known as ‘ Bowl of Pulses ’ Fixed Benefit of ₹ 50000 *</w:t>
      </w:r>
      <w:r w:rsidRPr="001D4067">
        <w:rPr>
          <w:rFonts w:ascii="Arial" w:hAnsi="Arial" w:cs="Arial"/>
          <w:noProof/>
          <w:sz w:val="20"/>
          <w:szCs w:val="24"/>
        </w:rPr>
        <w:t xml:space="preserve">. </w:t>
      </w:r>
      <w:r w:rsidRPr="001D4067">
        <w:rPr>
          <w:rFonts w:ascii="Arial" w:hAnsi="Arial" w:cs="Arial"/>
          <w:i/>
          <w:iCs/>
          <w:noProof/>
          <w:sz w:val="20"/>
          <w:szCs w:val="24"/>
        </w:rPr>
        <w:t>April 2015</w:t>
      </w:r>
      <w:r w:rsidRPr="001D4067">
        <w:rPr>
          <w:rFonts w:ascii="Arial" w:hAnsi="Arial" w:cs="Arial"/>
          <w:noProof/>
          <w:sz w:val="20"/>
          <w:szCs w:val="24"/>
        </w:rPr>
        <w:t>, 3–5. https://eng.kisanofindia.com/agriculture-success-stories/pulse-processing-jayshree-problem-farmers-of-latur-maharasthra</w:t>
      </w:r>
    </w:p>
    <w:p w14:paraId="29D150B7"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Singh, U. (1995). </w:t>
      </w:r>
      <w:r w:rsidRPr="001D4067">
        <w:rPr>
          <w:rFonts w:ascii="Arial" w:hAnsi="Arial" w:cs="Arial"/>
          <w:i/>
          <w:iCs/>
          <w:noProof/>
          <w:sz w:val="20"/>
          <w:szCs w:val="24"/>
        </w:rPr>
        <w:t>Methods for Dehulling of Pulses : A Critical Appraisal</w:t>
      </w:r>
      <w:r w:rsidRPr="001D4067">
        <w:rPr>
          <w:rFonts w:ascii="Arial" w:hAnsi="Arial" w:cs="Arial"/>
          <w:noProof/>
          <w:sz w:val="20"/>
          <w:szCs w:val="24"/>
        </w:rPr>
        <w:t xml:space="preserve">. </w:t>
      </w:r>
      <w:r w:rsidRPr="001D4067">
        <w:rPr>
          <w:rFonts w:ascii="Arial" w:hAnsi="Arial" w:cs="Arial"/>
          <w:i/>
          <w:iCs/>
          <w:noProof/>
          <w:sz w:val="20"/>
          <w:szCs w:val="24"/>
        </w:rPr>
        <w:t>32</w:t>
      </w:r>
      <w:r w:rsidRPr="001D4067">
        <w:rPr>
          <w:rFonts w:ascii="Arial" w:hAnsi="Arial" w:cs="Arial"/>
          <w:noProof/>
          <w:sz w:val="20"/>
          <w:szCs w:val="24"/>
        </w:rPr>
        <w:t>(2).</w:t>
      </w:r>
    </w:p>
    <w:p w14:paraId="5E124BD4"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Singh, V. K. (2017). </w:t>
      </w:r>
      <w:r w:rsidRPr="001D4067">
        <w:rPr>
          <w:rFonts w:ascii="Arial" w:hAnsi="Arial" w:cs="Arial"/>
          <w:i/>
          <w:iCs/>
          <w:noProof/>
          <w:sz w:val="20"/>
          <w:szCs w:val="24"/>
        </w:rPr>
        <w:t>Testing and evaluation of CFTRI Dal mill for pigeonpea ( UPAS 120 )</w:t>
      </w:r>
      <w:r w:rsidRPr="001D4067">
        <w:rPr>
          <w:rFonts w:ascii="Arial" w:hAnsi="Arial" w:cs="Arial"/>
          <w:noProof/>
          <w:sz w:val="20"/>
          <w:szCs w:val="24"/>
        </w:rPr>
        <w:t xml:space="preserve">. </w:t>
      </w:r>
      <w:r w:rsidRPr="001D4067">
        <w:rPr>
          <w:rFonts w:ascii="Arial" w:hAnsi="Arial" w:cs="Arial"/>
          <w:i/>
          <w:iCs/>
          <w:noProof/>
          <w:sz w:val="20"/>
          <w:szCs w:val="24"/>
        </w:rPr>
        <w:t>30</w:t>
      </w:r>
      <w:r w:rsidRPr="001D4067">
        <w:rPr>
          <w:rFonts w:ascii="Arial" w:hAnsi="Arial" w:cs="Arial"/>
          <w:noProof/>
          <w:sz w:val="20"/>
          <w:szCs w:val="24"/>
        </w:rPr>
        <w:t>(2), 83–86.</w:t>
      </w:r>
    </w:p>
    <w:p w14:paraId="7EF3EB90"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Srinivasan, K. (2017). Ginger rhizomes (Zingiber officinale): A spice with multiple health beneficial </w:t>
      </w:r>
      <w:r w:rsidRPr="001D4067">
        <w:rPr>
          <w:rFonts w:ascii="Arial" w:hAnsi="Arial" w:cs="Arial"/>
          <w:noProof/>
          <w:sz w:val="20"/>
          <w:szCs w:val="24"/>
        </w:rPr>
        <w:lastRenderedPageBreak/>
        <w:t xml:space="preserve">potentials. </w:t>
      </w:r>
      <w:r w:rsidRPr="001D4067">
        <w:rPr>
          <w:rFonts w:ascii="Arial" w:hAnsi="Arial" w:cs="Arial"/>
          <w:i/>
          <w:iCs/>
          <w:noProof/>
          <w:sz w:val="20"/>
          <w:szCs w:val="24"/>
        </w:rPr>
        <w:t>PharmaNutrition</w:t>
      </w:r>
      <w:r w:rsidRPr="001D4067">
        <w:rPr>
          <w:rFonts w:ascii="Arial" w:hAnsi="Arial" w:cs="Arial"/>
          <w:noProof/>
          <w:sz w:val="20"/>
          <w:szCs w:val="24"/>
        </w:rPr>
        <w:t xml:space="preserve">, </w:t>
      </w:r>
      <w:r w:rsidRPr="001D4067">
        <w:rPr>
          <w:rFonts w:ascii="Arial" w:hAnsi="Arial" w:cs="Arial"/>
          <w:i/>
          <w:iCs/>
          <w:noProof/>
          <w:sz w:val="20"/>
          <w:szCs w:val="24"/>
        </w:rPr>
        <w:t>5</w:t>
      </w:r>
      <w:r w:rsidRPr="001D4067">
        <w:rPr>
          <w:rFonts w:ascii="Arial" w:hAnsi="Arial" w:cs="Arial"/>
          <w:noProof/>
          <w:sz w:val="20"/>
          <w:szCs w:val="24"/>
        </w:rPr>
        <w:t>(1), 18–28. https://doi.org/10.1016/j.phanu.2017.01.001</w:t>
      </w:r>
    </w:p>
    <w:p w14:paraId="6EA0F490"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Subramanian, R., Hebbar, H. U., &amp; Rastogi, N. K. (2007). Processing of honey: A review. </w:t>
      </w:r>
      <w:r w:rsidRPr="001D4067">
        <w:rPr>
          <w:rFonts w:ascii="Arial" w:hAnsi="Arial" w:cs="Arial"/>
          <w:i/>
          <w:iCs/>
          <w:noProof/>
          <w:sz w:val="20"/>
          <w:szCs w:val="24"/>
        </w:rPr>
        <w:t>International Journal of Food Properties</w:t>
      </w:r>
      <w:r w:rsidRPr="001D4067">
        <w:rPr>
          <w:rFonts w:ascii="Arial" w:hAnsi="Arial" w:cs="Arial"/>
          <w:noProof/>
          <w:sz w:val="20"/>
          <w:szCs w:val="24"/>
        </w:rPr>
        <w:t xml:space="preserve">, </w:t>
      </w:r>
      <w:r w:rsidRPr="001D4067">
        <w:rPr>
          <w:rFonts w:ascii="Arial" w:hAnsi="Arial" w:cs="Arial"/>
          <w:i/>
          <w:iCs/>
          <w:noProof/>
          <w:sz w:val="20"/>
          <w:szCs w:val="24"/>
        </w:rPr>
        <w:t>10</w:t>
      </w:r>
      <w:r w:rsidRPr="001D4067">
        <w:rPr>
          <w:rFonts w:ascii="Arial" w:hAnsi="Arial" w:cs="Arial"/>
          <w:noProof/>
          <w:sz w:val="20"/>
          <w:szCs w:val="24"/>
        </w:rPr>
        <w:t>(1), 127–143. https://doi.org/10.1080/10942910600981708</w:t>
      </w:r>
    </w:p>
    <w:p w14:paraId="2FD31EE4"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Suryavanshi, M. (2023). </w:t>
      </w:r>
      <w:r w:rsidRPr="001D4067">
        <w:rPr>
          <w:rFonts w:ascii="Arial" w:hAnsi="Arial" w:cs="Arial"/>
          <w:i/>
          <w:iCs/>
          <w:noProof/>
          <w:sz w:val="20"/>
          <w:szCs w:val="24"/>
        </w:rPr>
        <w:t>Food Processing Industries In India: A Study For Increasing Rural Income</w:t>
      </w:r>
      <w:r w:rsidRPr="001D4067">
        <w:rPr>
          <w:rFonts w:ascii="Arial" w:hAnsi="Arial" w:cs="Arial"/>
          <w:noProof/>
          <w:sz w:val="20"/>
          <w:szCs w:val="24"/>
        </w:rPr>
        <w:t xml:space="preserve">. </w:t>
      </w:r>
      <w:r w:rsidRPr="001D4067">
        <w:rPr>
          <w:rFonts w:ascii="Arial" w:hAnsi="Arial" w:cs="Arial"/>
          <w:i/>
          <w:iCs/>
          <w:noProof/>
          <w:sz w:val="20"/>
          <w:szCs w:val="24"/>
        </w:rPr>
        <w:t>11</w:t>
      </w:r>
      <w:r w:rsidRPr="001D4067">
        <w:rPr>
          <w:rFonts w:ascii="Arial" w:hAnsi="Arial" w:cs="Arial"/>
          <w:noProof/>
          <w:sz w:val="20"/>
          <w:szCs w:val="24"/>
        </w:rPr>
        <w:t>(4), 76–85.</w:t>
      </w:r>
    </w:p>
    <w:p w14:paraId="5154DDEE"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Visvanathan, R. (2016). </w:t>
      </w:r>
      <w:r w:rsidRPr="001D4067">
        <w:rPr>
          <w:rFonts w:ascii="Arial" w:hAnsi="Arial" w:cs="Arial"/>
          <w:i/>
          <w:iCs/>
          <w:noProof/>
          <w:sz w:val="20"/>
          <w:szCs w:val="24"/>
        </w:rPr>
        <w:t>Development and Evaluation of Improved TNAU Mini Dhal Mill</w:t>
      </w:r>
      <w:r w:rsidRPr="001D4067">
        <w:rPr>
          <w:rFonts w:ascii="Arial" w:hAnsi="Arial" w:cs="Arial"/>
          <w:noProof/>
          <w:sz w:val="20"/>
          <w:szCs w:val="24"/>
        </w:rPr>
        <w:t xml:space="preserve">. </w:t>
      </w:r>
      <w:r w:rsidRPr="001D4067">
        <w:rPr>
          <w:rFonts w:ascii="Arial" w:hAnsi="Arial" w:cs="Arial"/>
          <w:i/>
          <w:iCs/>
          <w:noProof/>
          <w:sz w:val="20"/>
          <w:szCs w:val="24"/>
        </w:rPr>
        <w:t>August 2019</w:t>
      </w:r>
      <w:r w:rsidRPr="001D4067">
        <w:rPr>
          <w:rFonts w:ascii="Arial" w:hAnsi="Arial" w:cs="Arial"/>
          <w:noProof/>
          <w:sz w:val="20"/>
          <w:szCs w:val="24"/>
        </w:rPr>
        <w:t>.</w:t>
      </w:r>
    </w:p>
    <w:p w14:paraId="3FD2C9C7"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Wandhekar, Sangram S.; Pawar, V.S.; Shinde, S.T.; Gangakhedkar, P. S. (2022). Extraction of oil from oilseeds by cold pressing: A review. </w:t>
      </w:r>
      <w:r w:rsidRPr="001D4067">
        <w:rPr>
          <w:rFonts w:ascii="Arial" w:hAnsi="Arial" w:cs="Arial"/>
          <w:i/>
          <w:iCs/>
          <w:noProof/>
          <w:sz w:val="20"/>
          <w:szCs w:val="24"/>
        </w:rPr>
        <w:t>Indian Food Industry Mag</w:t>
      </w:r>
      <w:r w:rsidRPr="001D4067">
        <w:rPr>
          <w:rFonts w:ascii="Arial" w:hAnsi="Arial" w:cs="Arial"/>
          <w:noProof/>
          <w:sz w:val="20"/>
          <w:szCs w:val="24"/>
        </w:rPr>
        <w:t xml:space="preserve">, </w:t>
      </w:r>
      <w:r w:rsidRPr="001D4067">
        <w:rPr>
          <w:rFonts w:ascii="Arial" w:hAnsi="Arial" w:cs="Arial"/>
          <w:i/>
          <w:iCs/>
          <w:noProof/>
          <w:sz w:val="20"/>
          <w:szCs w:val="24"/>
        </w:rPr>
        <w:t>4</w:t>
      </w:r>
      <w:r w:rsidRPr="001D4067">
        <w:rPr>
          <w:rFonts w:ascii="Arial" w:hAnsi="Arial" w:cs="Arial"/>
          <w:noProof/>
          <w:sz w:val="20"/>
          <w:szCs w:val="24"/>
        </w:rPr>
        <w:t>(5), 63–39. https://www.researchgate.net/profile/Sugreev-Shinde/publication/371608331_Extraction_of_oil_from_oilseeds_by_cold_pressing_A_review/links/648c2c528de7ed28ba2ffca6/Extraction-of-oil-from-oilseeds-by-cold-pressing-A-review.pdf</w:t>
      </w:r>
    </w:p>
    <w:p w14:paraId="1493BABA"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szCs w:val="24"/>
        </w:rPr>
      </w:pPr>
      <w:r w:rsidRPr="001D4067">
        <w:rPr>
          <w:rFonts w:ascii="Arial" w:hAnsi="Arial" w:cs="Arial"/>
          <w:noProof/>
          <w:sz w:val="20"/>
          <w:szCs w:val="24"/>
        </w:rPr>
        <w:t xml:space="preserve">Wood, J. A., &amp; Development, R. (2017). </w:t>
      </w:r>
      <w:r w:rsidRPr="001D4067">
        <w:rPr>
          <w:rFonts w:ascii="Arial" w:hAnsi="Arial" w:cs="Arial"/>
          <w:i/>
          <w:iCs/>
          <w:noProof/>
          <w:sz w:val="20"/>
          <w:szCs w:val="24"/>
        </w:rPr>
        <w:t>Provided for non-commercial research and educational use only . Not for reproduction , distribution or commercial use .</w:t>
      </w:r>
      <w:r w:rsidRPr="001D4067">
        <w:rPr>
          <w:rFonts w:ascii="Arial" w:hAnsi="Arial" w:cs="Arial"/>
          <w:noProof/>
          <w:sz w:val="20"/>
          <w:szCs w:val="24"/>
        </w:rPr>
        <w:t xml:space="preserve"> (Issue December 2011). https://doi.org/10.1016/B978-0-12-382018-1.00008-3</w:t>
      </w:r>
    </w:p>
    <w:p w14:paraId="026F2679" w14:textId="77777777" w:rsidR="001D4067" w:rsidRPr="001D4067" w:rsidRDefault="001D4067" w:rsidP="001D4067">
      <w:pPr>
        <w:widowControl w:val="0"/>
        <w:autoSpaceDE w:val="0"/>
        <w:autoSpaceDN w:val="0"/>
        <w:adjustRightInd w:val="0"/>
        <w:spacing w:line="360" w:lineRule="auto"/>
        <w:ind w:left="480" w:hanging="480"/>
        <w:rPr>
          <w:rFonts w:ascii="Arial" w:hAnsi="Arial" w:cs="Arial"/>
          <w:noProof/>
          <w:sz w:val="20"/>
        </w:rPr>
      </w:pPr>
      <w:r w:rsidRPr="001D4067">
        <w:rPr>
          <w:rFonts w:ascii="Arial" w:hAnsi="Arial" w:cs="Arial"/>
          <w:noProof/>
          <w:sz w:val="20"/>
          <w:szCs w:val="24"/>
        </w:rPr>
        <w:t xml:space="preserve">Yaday, B. K., Sharma, P. D., &amp; Bihar, R. A. U. P. S. (2023). </w:t>
      </w:r>
      <w:r w:rsidRPr="001D4067">
        <w:rPr>
          <w:rFonts w:ascii="Arial" w:hAnsi="Arial" w:cs="Arial"/>
          <w:i/>
          <w:iCs/>
          <w:noProof/>
          <w:sz w:val="20"/>
          <w:szCs w:val="24"/>
        </w:rPr>
        <w:t>PERFORMANCE EVALUATION OF MINI DAL MILL College of Agricultural Engineering</w:t>
      </w:r>
      <w:r w:rsidRPr="001D4067">
        <w:rPr>
          <w:rFonts w:ascii="Arial" w:hAnsi="Arial" w:cs="Arial"/>
          <w:noProof/>
          <w:sz w:val="20"/>
          <w:szCs w:val="24"/>
        </w:rPr>
        <w:t xml:space="preserve">. </w:t>
      </w:r>
      <w:r w:rsidRPr="001D4067">
        <w:rPr>
          <w:rFonts w:ascii="Arial" w:hAnsi="Arial" w:cs="Arial"/>
          <w:i/>
          <w:iCs/>
          <w:noProof/>
          <w:sz w:val="20"/>
          <w:szCs w:val="24"/>
        </w:rPr>
        <w:t>May</w:t>
      </w:r>
      <w:r w:rsidRPr="001D4067">
        <w:rPr>
          <w:rFonts w:ascii="Arial" w:hAnsi="Arial" w:cs="Arial"/>
          <w:noProof/>
          <w:sz w:val="20"/>
          <w:szCs w:val="24"/>
        </w:rPr>
        <w:t>.</w:t>
      </w:r>
    </w:p>
    <w:p w14:paraId="307825B3" w14:textId="77777777" w:rsidR="00B1705B" w:rsidRPr="00DE2CEA" w:rsidRDefault="00B1705B" w:rsidP="00C64EAF">
      <w:pPr>
        <w:spacing w:line="360" w:lineRule="auto"/>
        <w:jc w:val="both"/>
        <w:rPr>
          <w:rFonts w:ascii="Times New Roman" w:hAnsi="Times New Roman" w:cs="Times New Roman"/>
          <w:sz w:val="20"/>
        </w:rPr>
      </w:pPr>
      <w:r w:rsidRPr="00A75138">
        <w:rPr>
          <w:rFonts w:ascii="Arial" w:hAnsi="Arial" w:cs="Arial"/>
          <w:sz w:val="20"/>
        </w:rPr>
        <w:fldChar w:fldCharType="end"/>
      </w:r>
    </w:p>
    <w:p w14:paraId="0C4B188D" w14:textId="77777777" w:rsidR="00466CB0" w:rsidRPr="00466CB0" w:rsidRDefault="00466CB0" w:rsidP="00C81016">
      <w:pPr>
        <w:spacing w:line="360" w:lineRule="auto"/>
        <w:jc w:val="both"/>
        <w:rPr>
          <w:rFonts w:ascii="Times New Roman" w:hAnsi="Times New Roman" w:cs="Times New Roman"/>
          <w:sz w:val="24"/>
          <w:szCs w:val="22"/>
        </w:rPr>
      </w:pPr>
    </w:p>
    <w:p w14:paraId="37F98881" w14:textId="77777777" w:rsidR="00466CB0" w:rsidRPr="00466CB0" w:rsidRDefault="00466CB0" w:rsidP="00C81016">
      <w:pPr>
        <w:spacing w:line="360" w:lineRule="auto"/>
        <w:jc w:val="both"/>
        <w:rPr>
          <w:rFonts w:ascii="Times New Roman" w:hAnsi="Times New Roman" w:cs="Times New Roman"/>
          <w:sz w:val="24"/>
          <w:szCs w:val="22"/>
        </w:rPr>
      </w:pPr>
    </w:p>
    <w:p w14:paraId="7AF687F0" w14:textId="77777777" w:rsidR="00466CB0" w:rsidRPr="00466CB0" w:rsidRDefault="00466CB0" w:rsidP="00C81016">
      <w:pPr>
        <w:spacing w:line="360" w:lineRule="auto"/>
        <w:jc w:val="both"/>
        <w:rPr>
          <w:rFonts w:ascii="Times New Roman" w:hAnsi="Times New Roman" w:cs="Times New Roman"/>
          <w:sz w:val="24"/>
          <w:szCs w:val="22"/>
        </w:rPr>
      </w:pPr>
    </w:p>
    <w:p w14:paraId="5ECA028A" w14:textId="77777777" w:rsidR="00466CB0" w:rsidRPr="00466CB0" w:rsidRDefault="00466CB0" w:rsidP="00C81016">
      <w:pPr>
        <w:spacing w:line="360" w:lineRule="auto"/>
        <w:jc w:val="both"/>
        <w:rPr>
          <w:rFonts w:ascii="Times New Roman" w:hAnsi="Times New Roman" w:cs="Times New Roman"/>
          <w:sz w:val="24"/>
          <w:szCs w:val="22"/>
        </w:rPr>
      </w:pPr>
    </w:p>
    <w:p w14:paraId="39447D5B" w14:textId="36AF2EE5" w:rsidR="00F34261" w:rsidRDefault="00F34261" w:rsidP="00C81016">
      <w:pPr>
        <w:spacing w:line="360" w:lineRule="auto"/>
        <w:jc w:val="both"/>
        <w:rPr>
          <w:rFonts w:ascii="Times New Roman" w:hAnsi="Times New Roman" w:cs="Times New Roman"/>
          <w:sz w:val="24"/>
          <w:szCs w:val="22"/>
        </w:rPr>
      </w:pPr>
    </w:p>
    <w:p w14:paraId="79A6DFAE" w14:textId="77777777" w:rsidR="007B60FE" w:rsidRPr="0037065B" w:rsidRDefault="007B60FE" w:rsidP="00C81016">
      <w:pPr>
        <w:spacing w:line="360" w:lineRule="auto"/>
        <w:jc w:val="both"/>
        <w:rPr>
          <w:rFonts w:ascii="Times New Roman" w:hAnsi="Times New Roman" w:cs="Times New Roman"/>
          <w:sz w:val="24"/>
          <w:szCs w:val="22"/>
        </w:rPr>
      </w:pPr>
    </w:p>
    <w:sectPr w:rsidR="007B60FE" w:rsidRPr="0037065B" w:rsidSect="006A7A8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59BD5" w14:textId="77777777" w:rsidR="000F095D" w:rsidRDefault="000F095D" w:rsidP="003E07F3">
      <w:pPr>
        <w:spacing w:after="0" w:line="240" w:lineRule="auto"/>
      </w:pPr>
      <w:r>
        <w:separator/>
      </w:r>
    </w:p>
  </w:endnote>
  <w:endnote w:type="continuationSeparator" w:id="0">
    <w:p w14:paraId="42EA2F6C" w14:textId="77777777" w:rsidR="000F095D" w:rsidRDefault="000F095D" w:rsidP="003E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 Vietnam Pro">
    <w:altName w:val="Be Vietnam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66216" w14:textId="77777777" w:rsidR="006A7A80" w:rsidRDefault="006A7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BECD" w14:textId="77777777" w:rsidR="008639B2" w:rsidRDefault="0086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02FC1" w14:textId="77777777" w:rsidR="006A7A80" w:rsidRDefault="006A7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97D95" w14:textId="77777777" w:rsidR="000F095D" w:rsidRDefault="000F095D" w:rsidP="003E07F3">
      <w:pPr>
        <w:spacing w:after="0" w:line="240" w:lineRule="auto"/>
      </w:pPr>
      <w:r>
        <w:separator/>
      </w:r>
    </w:p>
  </w:footnote>
  <w:footnote w:type="continuationSeparator" w:id="0">
    <w:p w14:paraId="2AF1313B" w14:textId="77777777" w:rsidR="000F095D" w:rsidRDefault="000F095D" w:rsidP="003E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3FE2" w14:textId="41A34DEA" w:rsidR="006A7A80" w:rsidRDefault="006A7A80">
    <w:pPr>
      <w:pStyle w:val="Header"/>
    </w:pPr>
    <w:r>
      <w:rPr>
        <w:noProof/>
      </w:rPr>
      <w:pict w14:anchorId="4F852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06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55976" w14:textId="7EB6EC3F" w:rsidR="006A7A80" w:rsidRDefault="006A7A80">
    <w:pPr>
      <w:pStyle w:val="Header"/>
    </w:pPr>
    <w:r>
      <w:rPr>
        <w:noProof/>
      </w:rPr>
      <w:pict w14:anchorId="6F788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06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2D90" w14:textId="55B188B5" w:rsidR="006A7A80" w:rsidRDefault="006A7A80">
    <w:pPr>
      <w:pStyle w:val="Header"/>
    </w:pPr>
    <w:r>
      <w:rPr>
        <w:noProof/>
      </w:rPr>
      <w:pict w14:anchorId="76DB4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06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579D0"/>
    <w:multiLevelType w:val="hybridMultilevel"/>
    <w:tmpl w:val="AD3C4F0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435CED"/>
    <w:multiLevelType w:val="multilevel"/>
    <w:tmpl w:val="74D0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FD4D60"/>
    <w:multiLevelType w:val="multilevel"/>
    <w:tmpl w:val="DF2C3FFC"/>
    <w:lvl w:ilvl="0">
      <w:start w:val="1"/>
      <w:numFmt w:val="decimal"/>
      <w:pStyle w:val="Heading1"/>
      <w:suff w:val="space"/>
      <w:lvlText w:val="CHAPTER %1"/>
      <w:lvlJc w:val="left"/>
      <w:pPr>
        <w:ind w:left="0" w:firstLine="0"/>
      </w:pPr>
      <w:rPr>
        <w:rFonts w:ascii="Times New Roman" w:hAnsi="Times New Roman" w:hint="default"/>
        <w:b/>
        <w:i w:val="0"/>
        <w:color w:val="000000" w:themeColor="text1"/>
        <w:sz w:val="32"/>
      </w:rPr>
    </w:lvl>
    <w:lvl w:ilvl="1">
      <w:start w:val="1"/>
      <w:numFmt w:val="decimal"/>
      <w:pStyle w:val="Heading2"/>
      <w:suff w:val="space"/>
      <w:lvlText w:val="%1.%2"/>
      <w:lvlJc w:val="left"/>
      <w:pPr>
        <w:ind w:left="0" w:firstLine="0"/>
      </w:pPr>
      <w:rPr>
        <w:rFonts w:ascii="Times New Roman" w:hAnsi="Times New Roman" w:hint="default"/>
        <w:b/>
        <w:i w:val="0"/>
        <w:color w:val="auto"/>
        <w:sz w:val="24"/>
      </w:rPr>
    </w:lvl>
    <w:lvl w:ilvl="2">
      <w:start w:val="1"/>
      <w:numFmt w:val="decimal"/>
      <w:pStyle w:val="Heading3"/>
      <w:suff w:val="space"/>
      <w:lvlText w:val="%1.%2.%3"/>
      <w:lvlJc w:val="left"/>
      <w:pPr>
        <w:ind w:left="0" w:firstLine="0"/>
      </w:pPr>
      <w:rPr>
        <w:rFonts w:ascii="Times" w:hAnsi="Times" w:hint="default"/>
        <w:b/>
        <w:i w:val="0"/>
        <w:color w:val="auto"/>
        <w:sz w:val="24"/>
      </w:rPr>
    </w:lvl>
    <w:lvl w:ilvl="3">
      <w:start w:val="1"/>
      <w:numFmt w:val="decimal"/>
      <w:pStyle w:val="Heading4"/>
      <w:suff w:val="space"/>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7F8B5480"/>
    <w:multiLevelType w:val="multilevel"/>
    <w:tmpl w:val="BE24099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36"/>
    <w:rsid w:val="000037FC"/>
    <w:rsid w:val="00016CC0"/>
    <w:rsid w:val="00030D27"/>
    <w:rsid w:val="000A40DC"/>
    <w:rsid w:val="000D1E40"/>
    <w:rsid w:val="000E17D7"/>
    <w:rsid w:val="000F095D"/>
    <w:rsid w:val="000F6D31"/>
    <w:rsid w:val="00106118"/>
    <w:rsid w:val="0011005F"/>
    <w:rsid w:val="0011198D"/>
    <w:rsid w:val="001133FD"/>
    <w:rsid w:val="00120886"/>
    <w:rsid w:val="00151A76"/>
    <w:rsid w:val="00181198"/>
    <w:rsid w:val="00187F1C"/>
    <w:rsid w:val="001C62DD"/>
    <w:rsid w:val="001D4067"/>
    <w:rsid w:val="001F002C"/>
    <w:rsid w:val="00204139"/>
    <w:rsid w:val="00212A5F"/>
    <w:rsid w:val="00213D4F"/>
    <w:rsid w:val="00225853"/>
    <w:rsid w:val="002420A3"/>
    <w:rsid w:val="00245FE3"/>
    <w:rsid w:val="00251FA4"/>
    <w:rsid w:val="00270B8B"/>
    <w:rsid w:val="00280D36"/>
    <w:rsid w:val="002831D3"/>
    <w:rsid w:val="002926B9"/>
    <w:rsid w:val="00292EFE"/>
    <w:rsid w:val="002A4B44"/>
    <w:rsid w:val="002C39D0"/>
    <w:rsid w:val="002E23F4"/>
    <w:rsid w:val="002F205E"/>
    <w:rsid w:val="002F4238"/>
    <w:rsid w:val="00354432"/>
    <w:rsid w:val="00363556"/>
    <w:rsid w:val="0037065B"/>
    <w:rsid w:val="00384052"/>
    <w:rsid w:val="003B7CFB"/>
    <w:rsid w:val="003C1C4B"/>
    <w:rsid w:val="003D1D41"/>
    <w:rsid w:val="003E07F3"/>
    <w:rsid w:val="0040710F"/>
    <w:rsid w:val="004120A1"/>
    <w:rsid w:val="00421B69"/>
    <w:rsid w:val="004274B2"/>
    <w:rsid w:val="00435036"/>
    <w:rsid w:val="00461C2B"/>
    <w:rsid w:val="00466CB0"/>
    <w:rsid w:val="00471A98"/>
    <w:rsid w:val="004802C7"/>
    <w:rsid w:val="004B017C"/>
    <w:rsid w:val="004C463A"/>
    <w:rsid w:val="004E249A"/>
    <w:rsid w:val="004E6268"/>
    <w:rsid w:val="005016B9"/>
    <w:rsid w:val="005031E6"/>
    <w:rsid w:val="005235CD"/>
    <w:rsid w:val="00533132"/>
    <w:rsid w:val="0059153B"/>
    <w:rsid w:val="005C5536"/>
    <w:rsid w:val="005D3EF2"/>
    <w:rsid w:val="005D4CC5"/>
    <w:rsid w:val="006049B2"/>
    <w:rsid w:val="00645B5F"/>
    <w:rsid w:val="0067389C"/>
    <w:rsid w:val="0069302C"/>
    <w:rsid w:val="006A0007"/>
    <w:rsid w:val="006A7A80"/>
    <w:rsid w:val="006B041A"/>
    <w:rsid w:val="006B3153"/>
    <w:rsid w:val="006C50F0"/>
    <w:rsid w:val="006E27A3"/>
    <w:rsid w:val="006F2DEC"/>
    <w:rsid w:val="006F5219"/>
    <w:rsid w:val="0070322B"/>
    <w:rsid w:val="00712823"/>
    <w:rsid w:val="007201F1"/>
    <w:rsid w:val="007422B3"/>
    <w:rsid w:val="00747B77"/>
    <w:rsid w:val="00757277"/>
    <w:rsid w:val="0076286D"/>
    <w:rsid w:val="00781304"/>
    <w:rsid w:val="007A1CFB"/>
    <w:rsid w:val="007B46BE"/>
    <w:rsid w:val="007B60FB"/>
    <w:rsid w:val="007B60FE"/>
    <w:rsid w:val="007C652D"/>
    <w:rsid w:val="007D5BBC"/>
    <w:rsid w:val="007D79D3"/>
    <w:rsid w:val="007E3E60"/>
    <w:rsid w:val="007E4236"/>
    <w:rsid w:val="007F0EA0"/>
    <w:rsid w:val="007F1555"/>
    <w:rsid w:val="007F3C88"/>
    <w:rsid w:val="007F5624"/>
    <w:rsid w:val="00805F87"/>
    <w:rsid w:val="0081370D"/>
    <w:rsid w:val="00815BF9"/>
    <w:rsid w:val="00823C94"/>
    <w:rsid w:val="00833DC4"/>
    <w:rsid w:val="00833E95"/>
    <w:rsid w:val="008572D8"/>
    <w:rsid w:val="008639B2"/>
    <w:rsid w:val="0087286A"/>
    <w:rsid w:val="00892A48"/>
    <w:rsid w:val="008B2E41"/>
    <w:rsid w:val="008C4FA9"/>
    <w:rsid w:val="008C709B"/>
    <w:rsid w:val="008D13EB"/>
    <w:rsid w:val="008D429C"/>
    <w:rsid w:val="008E042C"/>
    <w:rsid w:val="008E59B5"/>
    <w:rsid w:val="008E6907"/>
    <w:rsid w:val="00907E79"/>
    <w:rsid w:val="009102DD"/>
    <w:rsid w:val="0092311F"/>
    <w:rsid w:val="0092525D"/>
    <w:rsid w:val="00967F9F"/>
    <w:rsid w:val="00971D0D"/>
    <w:rsid w:val="00974CFC"/>
    <w:rsid w:val="009901C3"/>
    <w:rsid w:val="009D2672"/>
    <w:rsid w:val="009E40D6"/>
    <w:rsid w:val="00A11CEE"/>
    <w:rsid w:val="00A1238C"/>
    <w:rsid w:val="00A1406C"/>
    <w:rsid w:val="00A23D20"/>
    <w:rsid w:val="00A34730"/>
    <w:rsid w:val="00A75138"/>
    <w:rsid w:val="00A770EF"/>
    <w:rsid w:val="00A840F8"/>
    <w:rsid w:val="00AB36C1"/>
    <w:rsid w:val="00AC2486"/>
    <w:rsid w:val="00AE0BDB"/>
    <w:rsid w:val="00B1705B"/>
    <w:rsid w:val="00B23CDD"/>
    <w:rsid w:val="00B23DA6"/>
    <w:rsid w:val="00B31F88"/>
    <w:rsid w:val="00B3202F"/>
    <w:rsid w:val="00B50C84"/>
    <w:rsid w:val="00B522F7"/>
    <w:rsid w:val="00B56E11"/>
    <w:rsid w:val="00B62390"/>
    <w:rsid w:val="00B637C3"/>
    <w:rsid w:val="00B70B40"/>
    <w:rsid w:val="00B775BC"/>
    <w:rsid w:val="00BD0209"/>
    <w:rsid w:val="00BD2B68"/>
    <w:rsid w:val="00BF3C35"/>
    <w:rsid w:val="00C054E5"/>
    <w:rsid w:val="00C20A92"/>
    <w:rsid w:val="00C33984"/>
    <w:rsid w:val="00C60CF4"/>
    <w:rsid w:val="00C64EAF"/>
    <w:rsid w:val="00C81016"/>
    <w:rsid w:val="00C85F3E"/>
    <w:rsid w:val="00C964E6"/>
    <w:rsid w:val="00CD7565"/>
    <w:rsid w:val="00CE04DE"/>
    <w:rsid w:val="00CE7530"/>
    <w:rsid w:val="00CF1ADD"/>
    <w:rsid w:val="00D17DB8"/>
    <w:rsid w:val="00D26FFD"/>
    <w:rsid w:val="00D34585"/>
    <w:rsid w:val="00D728B4"/>
    <w:rsid w:val="00DC02AF"/>
    <w:rsid w:val="00DD43F8"/>
    <w:rsid w:val="00DE2CEA"/>
    <w:rsid w:val="00DE4282"/>
    <w:rsid w:val="00DF07C0"/>
    <w:rsid w:val="00DF3879"/>
    <w:rsid w:val="00E069CD"/>
    <w:rsid w:val="00E26A6F"/>
    <w:rsid w:val="00E51251"/>
    <w:rsid w:val="00E535A0"/>
    <w:rsid w:val="00E55A8F"/>
    <w:rsid w:val="00E630DD"/>
    <w:rsid w:val="00E8631E"/>
    <w:rsid w:val="00EB5B9D"/>
    <w:rsid w:val="00F10F8E"/>
    <w:rsid w:val="00F309C1"/>
    <w:rsid w:val="00F34261"/>
    <w:rsid w:val="00F34E41"/>
    <w:rsid w:val="00F85B98"/>
    <w:rsid w:val="00FB2373"/>
    <w:rsid w:val="00FB2715"/>
    <w:rsid w:val="00FC520E"/>
    <w:rsid w:val="00FF4C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EC5AB6"/>
  <w15:chartTrackingRefBased/>
  <w15:docId w15:val="{63744B07-A6DB-4EC9-8FDC-F78C4DDC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236"/>
  </w:style>
  <w:style w:type="paragraph" w:styleId="Heading1">
    <w:name w:val="heading 1"/>
    <w:basedOn w:val="Normal"/>
    <w:next w:val="Normal"/>
    <w:link w:val="Heading1Char"/>
    <w:uiPriority w:val="9"/>
    <w:qFormat/>
    <w:rsid w:val="0011005F"/>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
    <w:qFormat/>
    <w:rsid w:val="0011005F"/>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qFormat/>
    <w:rsid w:val="0011005F"/>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qFormat/>
    <w:rsid w:val="0011005F"/>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11005F"/>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05F"/>
    <w:rPr>
      <w:rFonts w:asciiTheme="majorHAnsi" w:eastAsiaTheme="majorEastAsia" w:hAnsiTheme="majorHAnsi" w:cstheme="majorBidi"/>
      <w:color w:val="2E74B5" w:themeColor="accent1" w:themeShade="BF"/>
      <w:sz w:val="32"/>
      <w:szCs w:val="29"/>
    </w:rPr>
  </w:style>
  <w:style w:type="character" w:customStyle="1" w:styleId="Heading2Char">
    <w:name w:val="Heading 2 Char"/>
    <w:basedOn w:val="DefaultParagraphFont"/>
    <w:link w:val="Heading2"/>
    <w:uiPriority w:val="9"/>
    <w:rsid w:val="0011005F"/>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rsid w:val="0011005F"/>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rsid w:val="0011005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1005F"/>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A840F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907E79"/>
    <w:rPr>
      <w:color w:val="0563C1" w:themeColor="hyperlink"/>
      <w:u w:val="single"/>
    </w:rPr>
  </w:style>
  <w:style w:type="paragraph" w:styleId="ListParagraph">
    <w:name w:val="List Paragraph"/>
    <w:basedOn w:val="Normal"/>
    <w:uiPriority w:val="34"/>
    <w:qFormat/>
    <w:rsid w:val="00270B8B"/>
    <w:pPr>
      <w:ind w:left="720"/>
      <w:contextualSpacing/>
    </w:pPr>
  </w:style>
  <w:style w:type="character" w:styleId="Strong">
    <w:name w:val="Strong"/>
    <w:basedOn w:val="DefaultParagraphFont"/>
    <w:uiPriority w:val="22"/>
    <w:qFormat/>
    <w:rsid w:val="00BF3C35"/>
    <w:rPr>
      <w:b/>
      <w:bCs/>
    </w:rPr>
  </w:style>
  <w:style w:type="table" w:styleId="TableGrid">
    <w:name w:val="Table Grid"/>
    <w:basedOn w:val="TableNormal"/>
    <w:uiPriority w:val="39"/>
    <w:rsid w:val="00BF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D43F8"/>
    <w:rPr>
      <w:i/>
      <w:iCs/>
    </w:rPr>
  </w:style>
  <w:style w:type="paragraph" w:customStyle="1" w:styleId="Default">
    <w:name w:val="Default"/>
    <w:rsid w:val="0092525D"/>
    <w:pPr>
      <w:autoSpaceDE w:val="0"/>
      <w:autoSpaceDN w:val="0"/>
      <w:adjustRightInd w:val="0"/>
      <w:spacing w:after="0" w:line="240" w:lineRule="auto"/>
    </w:pPr>
    <w:rPr>
      <w:rFonts w:ascii="Be Vietnam Pro" w:hAnsi="Be Vietnam Pro" w:cs="Be Vietnam Pro"/>
      <w:color w:val="000000"/>
      <w:sz w:val="24"/>
      <w:szCs w:val="24"/>
    </w:rPr>
  </w:style>
  <w:style w:type="character" w:customStyle="1" w:styleId="citation-89">
    <w:name w:val="citation-89"/>
    <w:basedOn w:val="DefaultParagraphFont"/>
    <w:rsid w:val="009D2672"/>
  </w:style>
  <w:style w:type="character" w:customStyle="1" w:styleId="citation-88">
    <w:name w:val="citation-88"/>
    <w:basedOn w:val="DefaultParagraphFont"/>
    <w:rsid w:val="009D2672"/>
  </w:style>
  <w:style w:type="character" w:customStyle="1" w:styleId="citation-87">
    <w:name w:val="citation-87"/>
    <w:basedOn w:val="DefaultParagraphFont"/>
    <w:rsid w:val="009D2672"/>
  </w:style>
  <w:style w:type="character" w:customStyle="1" w:styleId="citation-86">
    <w:name w:val="citation-86"/>
    <w:basedOn w:val="DefaultParagraphFont"/>
    <w:rsid w:val="009D2672"/>
  </w:style>
  <w:style w:type="character" w:customStyle="1" w:styleId="citation-85">
    <w:name w:val="citation-85"/>
    <w:basedOn w:val="DefaultParagraphFont"/>
    <w:rsid w:val="009D2672"/>
  </w:style>
  <w:style w:type="character" w:customStyle="1" w:styleId="citation-84">
    <w:name w:val="citation-84"/>
    <w:basedOn w:val="DefaultParagraphFont"/>
    <w:rsid w:val="009D2672"/>
  </w:style>
  <w:style w:type="character" w:customStyle="1" w:styleId="citation-83">
    <w:name w:val="citation-83"/>
    <w:basedOn w:val="DefaultParagraphFont"/>
    <w:rsid w:val="009D2672"/>
  </w:style>
  <w:style w:type="character" w:customStyle="1" w:styleId="citation-82">
    <w:name w:val="citation-82"/>
    <w:basedOn w:val="DefaultParagraphFont"/>
    <w:rsid w:val="009D2672"/>
  </w:style>
  <w:style w:type="character" w:customStyle="1" w:styleId="citation-81">
    <w:name w:val="citation-81"/>
    <w:basedOn w:val="DefaultParagraphFont"/>
    <w:rsid w:val="009D2672"/>
  </w:style>
  <w:style w:type="character" w:styleId="LineNumber">
    <w:name w:val="line number"/>
    <w:basedOn w:val="DefaultParagraphFont"/>
    <w:uiPriority w:val="99"/>
    <w:semiHidden/>
    <w:unhideWhenUsed/>
    <w:rsid w:val="00DE2CEA"/>
  </w:style>
  <w:style w:type="paragraph" w:styleId="Header">
    <w:name w:val="header"/>
    <w:basedOn w:val="Normal"/>
    <w:link w:val="HeaderChar"/>
    <w:uiPriority w:val="99"/>
    <w:unhideWhenUsed/>
    <w:rsid w:val="003E0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7F3"/>
  </w:style>
  <w:style w:type="paragraph" w:styleId="Footer">
    <w:name w:val="footer"/>
    <w:basedOn w:val="Normal"/>
    <w:link w:val="FooterChar"/>
    <w:uiPriority w:val="99"/>
    <w:unhideWhenUsed/>
    <w:rsid w:val="003E0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6259">
      <w:bodyDiv w:val="1"/>
      <w:marLeft w:val="0"/>
      <w:marRight w:val="0"/>
      <w:marTop w:val="0"/>
      <w:marBottom w:val="0"/>
      <w:divBdr>
        <w:top w:val="none" w:sz="0" w:space="0" w:color="auto"/>
        <w:left w:val="none" w:sz="0" w:space="0" w:color="auto"/>
        <w:bottom w:val="none" w:sz="0" w:space="0" w:color="auto"/>
        <w:right w:val="none" w:sz="0" w:space="0" w:color="auto"/>
      </w:divBdr>
    </w:div>
    <w:div w:id="19665507">
      <w:bodyDiv w:val="1"/>
      <w:marLeft w:val="0"/>
      <w:marRight w:val="0"/>
      <w:marTop w:val="0"/>
      <w:marBottom w:val="0"/>
      <w:divBdr>
        <w:top w:val="none" w:sz="0" w:space="0" w:color="auto"/>
        <w:left w:val="none" w:sz="0" w:space="0" w:color="auto"/>
        <w:bottom w:val="none" w:sz="0" w:space="0" w:color="auto"/>
        <w:right w:val="none" w:sz="0" w:space="0" w:color="auto"/>
      </w:divBdr>
    </w:div>
    <w:div w:id="22677340">
      <w:bodyDiv w:val="1"/>
      <w:marLeft w:val="0"/>
      <w:marRight w:val="0"/>
      <w:marTop w:val="0"/>
      <w:marBottom w:val="0"/>
      <w:divBdr>
        <w:top w:val="none" w:sz="0" w:space="0" w:color="auto"/>
        <w:left w:val="none" w:sz="0" w:space="0" w:color="auto"/>
        <w:bottom w:val="none" w:sz="0" w:space="0" w:color="auto"/>
        <w:right w:val="none" w:sz="0" w:space="0" w:color="auto"/>
      </w:divBdr>
    </w:div>
    <w:div w:id="49034549">
      <w:bodyDiv w:val="1"/>
      <w:marLeft w:val="0"/>
      <w:marRight w:val="0"/>
      <w:marTop w:val="0"/>
      <w:marBottom w:val="0"/>
      <w:divBdr>
        <w:top w:val="none" w:sz="0" w:space="0" w:color="auto"/>
        <w:left w:val="none" w:sz="0" w:space="0" w:color="auto"/>
        <w:bottom w:val="none" w:sz="0" w:space="0" w:color="auto"/>
        <w:right w:val="none" w:sz="0" w:space="0" w:color="auto"/>
      </w:divBdr>
    </w:div>
    <w:div w:id="74716566">
      <w:bodyDiv w:val="1"/>
      <w:marLeft w:val="0"/>
      <w:marRight w:val="0"/>
      <w:marTop w:val="0"/>
      <w:marBottom w:val="0"/>
      <w:divBdr>
        <w:top w:val="none" w:sz="0" w:space="0" w:color="auto"/>
        <w:left w:val="none" w:sz="0" w:space="0" w:color="auto"/>
        <w:bottom w:val="none" w:sz="0" w:space="0" w:color="auto"/>
        <w:right w:val="none" w:sz="0" w:space="0" w:color="auto"/>
      </w:divBdr>
    </w:div>
    <w:div w:id="137576385">
      <w:bodyDiv w:val="1"/>
      <w:marLeft w:val="0"/>
      <w:marRight w:val="0"/>
      <w:marTop w:val="0"/>
      <w:marBottom w:val="0"/>
      <w:divBdr>
        <w:top w:val="none" w:sz="0" w:space="0" w:color="auto"/>
        <w:left w:val="none" w:sz="0" w:space="0" w:color="auto"/>
        <w:bottom w:val="none" w:sz="0" w:space="0" w:color="auto"/>
        <w:right w:val="none" w:sz="0" w:space="0" w:color="auto"/>
      </w:divBdr>
      <w:divsChild>
        <w:div w:id="1831170880">
          <w:marLeft w:val="0"/>
          <w:marRight w:val="0"/>
          <w:marTop w:val="0"/>
          <w:marBottom w:val="0"/>
          <w:divBdr>
            <w:top w:val="none" w:sz="0" w:space="0" w:color="auto"/>
            <w:left w:val="none" w:sz="0" w:space="0" w:color="auto"/>
            <w:bottom w:val="none" w:sz="0" w:space="0" w:color="auto"/>
            <w:right w:val="none" w:sz="0" w:space="0" w:color="auto"/>
          </w:divBdr>
          <w:divsChild>
            <w:div w:id="2093156439">
              <w:marLeft w:val="0"/>
              <w:marRight w:val="0"/>
              <w:marTop w:val="0"/>
              <w:marBottom w:val="0"/>
              <w:divBdr>
                <w:top w:val="none" w:sz="0" w:space="0" w:color="auto"/>
                <w:left w:val="none" w:sz="0" w:space="0" w:color="auto"/>
                <w:bottom w:val="none" w:sz="0" w:space="0" w:color="auto"/>
                <w:right w:val="none" w:sz="0" w:space="0" w:color="auto"/>
              </w:divBdr>
              <w:divsChild>
                <w:div w:id="439448954">
                  <w:marLeft w:val="0"/>
                  <w:marRight w:val="0"/>
                  <w:marTop w:val="0"/>
                  <w:marBottom w:val="0"/>
                  <w:divBdr>
                    <w:top w:val="none" w:sz="0" w:space="0" w:color="auto"/>
                    <w:left w:val="none" w:sz="0" w:space="0" w:color="auto"/>
                    <w:bottom w:val="none" w:sz="0" w:space="0" w:color="auto"/>
                    <w:right w:val="none" w:sz="0" w:space="0" w:color="auto"/>
                  </w:divBdr>
                  <w:divsChild>
                    <w:div w:id="113721619">
                      <w:marLeft w:val="0"/>
                      <w:marRight w:val="0"/>
                      <w:marTop w:val="0"/>
                      <w:marBottom w:val="0"/>
                      <w:divBdr>
                        <w:top w:val="none" w:sz="0" w:space="0" w:color="auto"/>
                        <w:left w:val="none" w:sz="0" w:space="0" w:color="auto"/>
                        <w:bottom w:val="none" w:sz="0" w:space="0" w:color="auto"/>
                        <w:right w:val="none" w:sz="0" w:space="0" w:color="auto"/>
                      </w:divBdr>
                      <w:divsChild>
                        <w:div w:id="1835492256">
                          <w:marLeft w:val="0"/>
                          <w:marRight w:val="0"/>
                          <w:marTop w:val="0"/>
                          <w:marBottom w:val="0"/>
                          <w:divBdr>
                            <w:top w:val="none" w:sz="0" w:space="0" w:color="auto"/>
                            <w:left w:val="none" w:sz="0" w:space="0" w:color="auto"/>
                            <w:bottom w:val="none" w:sz="0" w:space="0" w:color="auto"/>
                            <w:right w:val="none" w:sz="0" w:space="0" w:color="auto"/>
                          </w:divBdr>
                          <w:divsChild>
                            <w:div w:id="1861236622">
                              <w:marLeft w:val="0"/>
                              <w:marRight w:val="0"/>
                              <w:marTop w:val="0"/>
                              <w:marBottom w:val="0"/>
                              <w:divBdr>
                                <w:top w:val="none" w:sz="0" w:space="0" w:color="auto"/>
                                <w:left w:val="none" w:sz="0" w:space="0" w:color="auto"/>
                                <w:bottom w:val="none" w:sz="0" w:space="0" w:color="auto"/>
                                <w:right w:val="none" w:sz="0" w:space="0" w:color="auto"/>
                              </w:divBdr>
                              <w:divsChild>
                                <w:div w:id="1028995065">
                                  <w:marLeft w:val="0"/>
                                  <w:marRight w:val="0"/>
                                  <w:marTop w:val="0"/>
                                  <w:marBottom w:val="0"/>
                                  <w:divBdr>
                                    <w:top w:val="none" w:sz="0" w:space="0" w:color="auto"/>
                                    <w:left w:val="none" w:sz="0" w:space="0" w:color="auto"/>
                                    <w:bottom w:val="none" w:sz="0" w:space="0" w:color="auto"/>
                                    <w:right w:val="none" w:sz="0" w:space="0" w:color="auto"/>
                                  </w:divBdr>
                                  <w:divsChild>
                                    <w:div w:id="11987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105346">
      <w:bodyDiv w:val="1"/>
      <w:marLeft w:val="0"/>
      <w:marRight w:val="0"/>
      <w:marTop w:val="0"/>
      <w:marBottom w:val="0"/>
      <w:divBdr>
        <w:top w:val="none" w:sz="0" w:space="0" w:color="auto"/>
        <w:left w:val="none" w:sz="0" w:space="0" w:color="auto"/>
        <w:bottom w:val="none" w:sz="0" w:space="0" w:color="auto"/>
        <w:right w:val="none" w:sz="0" w:space="0" w:color="auto"/>
      </w:divBdr>
    </w:div>
    <w:div w:id="284195777">
      <w:bodyDiv w:val="1"/>
      <w:marLeft w:val="0"/>
      <w:marRight w:val="0"/>
      <w:marTop w:val="0"/>
      <w:marBottom w:val="0"/>
      <w:divBdr>
        <w:top w:val="none" w:sz="0" w:space="0" w:color="auto"/>
        <w:left w:val="none" w:sz="0" w:space="0" w:color="auto"/>
        <w:bottom w:val="none" w:sz="0" w:space="0" w:color="auto"/>
        <w:right w:val="none" w:sz="0" w:space="0" w:color="auto"/>
      </w:divBdr>
    </w:div>
    <w:div w:id="337463207">
      <w:bodyDiv w:val="1"/>
      <w:marLeft w:val="0"/>
      <w:marRight w:val="0"/>
      <w:marTop w:val="0"/>
      <w:marBottom w:val="0"/>
      <w:divBdr>
        <w:top w:val="none" w:sz="0" w:space="0" w:color="auto"/>
        <w:left w:val="none" w:sz="0" w:space="0" w:color="auto"/>
        <w:bottom w:val="none" w:sz="0" w:space="0" w:color="auto"/>
        <w:right w:val="none" w:sz="0" w:space="0" w:color="auto"/>
      </w:divBdr>
    </w:div>
    <w:div w:id="593325424">
      <w:bodyDiv w:val="1"/>
      <w:marLeft w:val="0"/>
      <w:marRight w:val="0"/>
      <w:marTop w:val="0"/>
      <w:marBottom w:val="0"/>
      <w:divBdr>
        <w:top w:val="none" w:sz="0" w:space="0" w:color="auto"/>
        <w:left w:val="none" w:sz="0" w:space="0" w:color="auto"/>
        <w:bottom w:val="none" w:sz="0" w:space="0" w:color="auto"/>
        <w:right w:val="none" w:sz="0" w:space="0" w:color="auto"/>
      </w:divBdr>
    </w:div>
    <w:div w:id="606546967">
      <w:bodyDiv w:val="1"/>
      <w:marLeft w:val="0"/>
      <w:marRight w:val="0"/>
      <w:marTop w:val="0"/>
      <w:marBottom w:val="0"/>
      <w:divBdr>
        <w:top w:val="none" w:sz="0" w:space="0" w:color="auto"/>
        <w:left w:val="none" w:sz="0" w:space="0" w:color="auto"/>
        <w:bottom w:val="none" w:sz="0" w:space="0" w:color="auto"/>
        <w:right w:val="none" w:sz="0" w:space="0" w:color="auto"/>
      </w:divBdr>
    </w:div>
    <w:div w:id="631598000">
      <w:bodyDiv w:val="1"/>
      <w:marLeft w:val="0"/>
      <w:marRight w:val="0"/>
      <w:marTop w:val="0"/>
      <w:marBottom w:val="0"/>
      <w:divBdr>
        <w:top w:val="none" w:sz="0" w:space="0" w:color="auto"/>
        <w:left w:val="none" w:sz="0" w:space="0" w:color="auto"/>
        <w:bottom w:val="none" w:sz="0" w:space="0" w:color="auto"/>
        <w:right w:val="none" w:sz="0" w:space="0" w:color="auto"/>
      </w:divBdr>
    </w:div>
    <w:div w:id="642926069">
      <w:bodyDiv w:val="1"/>
      <w:marLeft w:val="0"/>
      <w:marRight w:val="0"/>
      <w:marTop w:val="0"/>
      <w:marBottom w:val="0"/>
      <w:divBdr>
        <w:top w:val="none" w:sz="0" w:space="0" w:color="auto"/>
        <w:left w:val="none" w:sz="0" w:space="0" w:color="auto"/>
        <w:bottom w:val="none" w:sz="0" w:space="0" w:color="auto"/>
        <w:right w:val="none" w:sz="0" w:space="0" w:color="auto"/>
      </w:divBdr>
    </w:div>
    <w:div w:id="651720828">
      <w:bodyDiv w:val="1"/>
      <w:marLeft w:val="0"/>
      <w:marRight w:val="0"/>
      <w:marTop w:val="0"/>
      <w:marBottom w:val="0"/>
      <w:divBdr>
        <w:top w:val="none" w:sz="0" w:space="0" w:color="auto"/>
        <w:left w:val="none" w:sz="0" w:space="0" w:color="auto"/>
        <w:bottom w:val="none" w:sz="0" w:space="0" w:color="auto"/>
        <w:right w:val="none" w:sz="0" w:space="0" w:color="auto"/>
      </w:divBdr>
    </w:div>
    <w:div w:id="691802094">
      <w:bodyDiv w:val="1"/>
      <w:marLeft w:val="0"/>
      <w:marRight w:val="0"/>
      <w:marTop w:val="0"/>
      <w:marBottom w:val="0"/>
      <w:divBdr>
        <w:top w:val="none" w:sz="0" w:space="0" w:color="auto"/>
        <w:left w:val="none" w:sz="0" w:space="0" w:color="auto"/>
        <w:bottom w:val="none" w:sz="0" w:space="0" w:color="auto"/>
        <w:right w:val="none" w:sz="0" w:space="0" w:color="auto"/>
      </w:divBdr>
    </w:div>
    <w:div w:id="697580213">
      <w:bodyDiv w:val="1"/>
      <w:marLeft w:val="0"/>
      <w:marRight w:val="0"/>
      <w:marTop w:val="0"/>
      <w:marBottom w:val="0"/>
      <w:divBdr>
        <w:top w:val="none" w:sz="0" w:space="0" w:color="auto"/>
        <w:left w:val="none" w:sz="0" w:space="0" w:color="auto"/>
        <w:bottom w:val="none" w:sz="0" w:space="0" w:color="auto"/>
        <w:right w:val="none" w:sz="0" w:space="0" w:color="auto"/>
      </w:divBdr>
    </w:div>
    <w:div w:id="702942710">
      <w:bodyDiv w:val="1"/>
      <w:marLeft w:val="0"/>
      <w:marRight w:val="0"/>
      <w:marTop w:val="0"/>
      <w:marBottom w:val="0"/>
      <w:divBdr>
        <w:top w:val="none" w:sz="0" w:space="0" w:color="auto"/>
        <w:left w:val="none" w:sz="0" w:space="0" w:color="auto"/>
        <w:bottom w:val="none" w:sz="0" w:space="0" w:color="auto"/>
        <w:right w:val="none" w:sz="0" w:space="0" w:color="auto"/>
      </w:divBdr>
    </w:div>
    <w:div w:id="730810664">
      <w:bodyDiv w:val="1"/>
      <w:marLeft w:val="0"/>
      <w:marRight w:val="0"/>
      <w:marTop w:val="0"/>
      <w:marBottom w:val="0"/>
      <w:divBdr>
        <w:top w:val="none" w:sz="0" w:space="0" w:color="auto"/>
        <w:left w:val="none" w:sz="0" w:space="0" w:color="auto"/>
        <w:bottom w:val="none" w:sz="0" w:space="0" w:color="auto"/>
        <w:right w:val="none" w:sz="0" w:space="0" w:color="auto"/>
      </w:divBdr>
    </w:div>
    <w:div w:id="874150898">
      <w:bodyDiv w:val="1"/>
      <w:marLeft w:val="0"/>
      <w:marRight w:val="0"/>
      <w:marTop w:val="0"/>
      <w:marBottom w:val="0"/>
      <w:divBdr>
        <w:top w:val="none" w:sz="0" w:space="0" w:color="auto"/>
        <w:left w:val="none" w:sz="0" w:space="0" w:color="auto"/>
        <w:bottom w:val="none" w:sz="0" w:space="0" w:color="auto"/>
        <w:right w:val="none" w:sz="0" w:space="0" w:color="auto"/>
      </w:divBdr>
    </w:div>
    <w:div w:id="1095397763">
      <w:bodyDiv w:val="1"/>
      <w:marLeft w:val="0"/>
      <w:marRight w:val="0"/>
      <w:marTop w:val="0"/>
      <w:marBottom w:val="0"/>
      <w:divBdr>
        <w:top w:val="none" w:sz="0" w:space="0" w:color="auto"/>
        <w:left w:val="none" w:sz="0" w:space="0" w:color="auto"/>
        <w:bottom w:val="none" w:sz="0" w:space="0" w:color="auto"/>
        <w:right w:val="none" w:sz="0" w:space="0" w:color="auto"/>
      </w:divBdr>
    </w:div>
    <w:div w:id="1177386488">
      <w:bodyDiv w:val="1"/>
      <w:marLeft w:val="0"/>
      <w:marRight w:val="0"/>
      <w:marTop w:val="0"/>
      <w:marBottom w:val="0"/>
      <w:divBdr>
        <w:top w:val="none" w:sz="0" w:space="0" w:color="auto"/>
        <w:left w:val="none" w:sz="0" w:space="0" w:color="auto"/>
        <w:bottom w:val="none" w:sz="0" w:space="0" w:color="auto"/>
        <w:right w:val="none" w:sz="0" w:space="0" w:color="auto"/>
      </w:divBdr>
    </w:div>
    <w:div w:id="1276251300">
      <w:bodyDiv w:val="1"/>
      <w:marLeft w:val="0"/>
      <w:marRight w:val="0"/>
      <w:marTop w:val="0"/>
      <w:marBottom w:val="0"/>
      <w:divBdr>
        <w:top w:val="none" w:sz="0" w:space="0" w:color="auto"/>
        <w:left w:val="none" w:sz="0" w:space="0" w:color="auto"/>
        <w:bottom w:val="none" w:sz="0" w:space="0" w:color="auto"/>
        <w:right w:val="none" w:sz="0" w:space="0" w:color="auto"/>
      </w:divBdr>
    </w:div>
    <w:div w:id="1325354799">
      <w:bodyDiv w:val="1"/>
      <w:marLeft w:val="0"/>
      <w:marRight w:val="0"/>
      <w:marTop w:val="0"/>
      <w:marBottom w:val="0"/>
      <w:divBdr>
        <w:top w:val="none" w:sz="0" w:space="0" w:color="auto"/>
        <w:left w:val="none" w:sz="0" w:space="0" w:color="auto"/>
        <w:bottom w:val="none" w:sz="0" w:space="0" w:color="auto"/>
        <w:right w:val="none" w:sz="0" w:space="0" w:color="auto"/>
      </w:divBdr>
    </w:div>
    <w:div w:id="1354576355">
      <w:bodyDiv w:val="1"/>
      <w:marLeft w:val="0"/>
      <w:marRight w:val="0"/>
      <w:marTop w:val="0"/>
      <w:marBottom w:val="0"/>
      <w:divBdr>
        <w:top w:val="none" w:sz="0" w:space="0" w:color="auto"/>
        <w:left w:val="none" w:sz="0" w:space="0" w:color="auto"/>
        <w:bottom w:val="none" w:sz="0" w:space="0" w:color="auto"/>
        <w:right w:val="none" w:sz="0" w:space="0" w:color="auto"/>
      </w:divBdr>
    </w:div>
    <w:div w:id="1496722548">
      <w:bodyDiv w:val="1"/>
      <w:marLeft w:val="0"/>
      <w:marRight w:val="0"/>
      <w:marTop w:val="0"/>
      <w:marBottom w:val="0"/>
      <w:divBdr>
        <w:top w:val="none" w:sz="0" w:space="0" w:color="auto"/>
        <w:left w:val="none" w:sz="0" w:space="0" w:color="auto"/>
        <w:bottom w:val="none" w:sz="0" w:space="0" w:color="auto"/>
        <w:right w:val="none" w:sz="0" w:space="0" w:color="auto"/>
      </w:divBdr>
    </w:div>
    <w:div w:id="1538546610">
      <w:bodyDiv w:val="1"/>
      <w:marLeft w:val="0"/>
      <w:marRight w:val="0"/>
      <w:marTop w:val="0"/>
      <w:marBottom w:val="0"/>
      <w:divBdr>
        <w:top w:val="none" w:sz="0" w:space="0" w:color="auto"/>
        <w:left w:val="none" w:sz="0" w:space="0" w:color="auto"/>
        <w:bottom w:val="none" w:sz="0" w:space="0" w:color="auto"/>
        <w:right w:val="none" w:sz="0" w:space="0" w:color="auto"/>
      </w:divBdr>
    </w:div>
    <w:div w:id="1544050390">
      <w:bodyDiv w:val="1"/>
      <w:marLeft w:val="0"/>
      <w:marRight w:val="0"/>
      <w:marTop w:val="0"/>
      <w:marBottom w:val="0"/>
      <w:divBdr>
        <w:top w:val="none" w:sz="0" w:space="0" w:color="auto"/>
        <w:left w:val="none" w:sz="0" w:space="0" w:color="auto"/>
        <w:bottom w:val="none" w:sz="0" w:space="0" w:color="auto"/>
        <w:right w:val="none" w:sz="0" w:space="0" w:color="auto"/>
      </w:divBdr>
    </w:div>
    <w:div w:id="1585723184">
      <w:bodyDiv w:val="1"/>
      <w:marLeft w:val="0"/>
      <w:marRight w:val="0"/>
      <w:marTop w:val="0"/>
      <w:marBottom w:val="0"/>
      <w:divBdr>
        <w:top w:val="none" w:sz="0" w:space="0" w:color="auto"/>
        <w:left w:val="none" w:sz="0" w:space="0" w:color="auto"/>
        <w:bottom w:val="none" w:sz="0" w:space="0" w:color="auto"/>
        <w:right w:val="none" w:sz="0" w:space="0" w:color="auto"/>
      </w:divBdr>
    </w:div>
    <w:div w:id="1735857446">
      <w:bodyDiv w:val="1"/>
      <w:marLeft w:val="0"/>
      <w:marRight w:val="0"/>
      <w:marTop w:val="0"/>
      <w:marBottom w:val="0"/>
      <w:divBdr>
        <w:top w:val="none" w:sz="0" w:space="0" w:color="auto"/>
        <w:left w:val="none" w:sz="0" w:space="0" w:color="auto"/>
        <w:bottom w:val="none" w:sz="0" w:space="0" w:color="auto"/>
        <w:right w:val="none" w:sz="0" w:space="0" w:color="auto"/>
      </w:divBdr>
    </w:div>
    <w:div w:id="1757510086">
      <w:bodyDiv w:val="1"/>
      <w:marLeft w:val="0"/>
      <w:marRight w:val="0"/>
      <w:marTop w:val="0"/>
      <w:marBottom w:val="0"/>
      <w:divBdr>
        <w:top w:val="none" w:sz="0" w:space="0" w:color="auto"/>
        <w:left w:val="none" w:sz="0" w:space="0" w:color="auto"/>
        <w:bottom w:val="none" w:sz="0" w:space="0" w:color="auto"/>
        <w:right w:val="none" w:sz="0" w:space="0" w:color="auto"/>
      </w:divBdr>
    </w:div>
    <w:div w:id="1799493332">
      <w:bodyDiv w:val="1"/>
      <w:marLeft w:val="0"/>
      <w:marRight w:val="0"/>
      <w:marTop w:val="0"/>
      <w:marBottom w:val="0"/>
      <w:divBdr>
        <w:top w:val="none" w:sz="0" w:space="0" w:color="auto"/>
        <w:left w:val="none" w:sz="0" w:space="0" w:color="auto"/>
        <w:bottom w:val="none" w:sz="0" w:space="0" w:color="auto"/>
        <w:right w:val="none" w:sz="0" w:space="0" w:color="auto"/>
      </w:divBdr>
    </w:div>
    <w:div w:id="1820993116">
      <w:bodyDiv w:val="1"/>
      <w:marLeft w:val="0"/>
      <w:marRight w:val="0"/>
      <w:marTop w:val="0"/>
      <w:marBottom w:val="0"/>
      <w:divBdr>
        <w:top w:val="none" w:sz="0" w:space="0" w:color="auto"/>
        <w:left w:val="none" w:sz="0" w:space="0" w:color="auto"/>
        <w:bottom w:val="none" w:sz="0" w:space="0" w:color="auto"/>
        <w:right w:val="none" w:sz="0" w:space="0" w:color="auto"/>
      </w:divBdr>
    </w:div>
    <w:div w:id="1852792343">
      <w:bodyDiv w:val="1"/>
      <w:marLeft w:val="0"/>
      <w:marRight w:val="0"/>
      <w:marTop w:val="0"/>
      <w:marBottom w:val="0"/>
      <w:divBdr>
        <w:top w:val="none" w:sz="0" w:space="0" w:color="auto"/>
        <w:left w:val="none" w:sz="0" w:space="0" w:color="auto"/>
        <w:bottom w:val="none" w:sz="0" w:space="0" w:color="auto"/>
        <w:right w:val="none" w:sz="0" w:space="0" w:color="auto"/>
      </w:divBdr>
    </w:div>
    <w:div w:id="1976333605">
      <w:bodyDiv w:val="1"/>
      <w:marLeft w:val="0"/>
      <w:marRight w:val="0"/>
      <w:marTop w:val="0"/>
      <w:marBottom w:val="0"/>
      <w:divBdr>
        <w:top w:val="none" w:sz="0" w:space="0" w:color="auto"/>
        <w:left w:val="none" w:sz="0" w:space="0" w:color="auto"/>
        <w:bottom w:val="none" w:sz="0" w:space="0" w:color="auto"/>
        <w:right w:val="none" w:sz="0" w:space="0" w:color="auto"/>
      </w:divBdr>
    </w:div>
    <w:div w:id="2031834473">
      <w:bodyDiv w:val="1"/>
      <w:marLeft w:val="0"/>
      <w:marRight w:val="0"/>
      <w:marTop w:val="0"/>
      <w:marBottom w:val="0"/>
      <w:divBdr>
        <w:top w:val="none" w:sz="0" w:space="0" w:color="auto"/>
        <w:left w:val="none" w:sz="0" w:space="0" w:color="auto"/>
        <w:bottom w:val="none" w:sz="0" w:space="0" w:color="auto"/>
        <w:right w:val="none" w:sz="0" w:space="0" w:color="auto"/>
      </w:divBdr>
    </w:div>
    <w:div w:id="2086149496">
      <w:bodyDiv w:val="1"/>
      <w:marLeft w:val="0"/>
      <w:marRight w:val="0"/>
      <w:marTop w:val="0"/>
      <w:marBottom w:val="0"/>
      <w:divBdr>
        <w:top w:val="none" w:sz="0" w:space="0" w:color="auto"/>
        <w:left w:val="none" w:sz="0" w:space="0" w:color="auto"/>
        <w:bottom w:val="none" w:sz="0" w:space="0" w:color="auto"/>
        <w:right w:val="none" w:sz="0" w:space="0" w:color="auto"/>
      </w:divBdr>
    </w:div>
    <w:div w:id="20936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F506547-56DC-4675-96D1-2D82773F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19</Pages>
  <Words>16697</Words>
  <Characters>95179</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chaman singh</dc:creator>
  <cp:keywords/>
  <dc:description/>
  <cp:lastModifiedBy>SDI 1084</cp:lastModifiedBy>
  <cp:revision>39</cp:revision>
  <dcterms:created xsi:type="dcterms:W3CDTF">2025-12-19T04:06:00Z</dcterms:created>
  <dcterms:modified xsi:type="dcterms:W3CDTF">2026-04-14T12:07:00Z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http://www.zotero.org/styles/journal-of-food-measurement-and-characterization</vt:lpwstr>
  </property>
  <property fmtid="{D5CDD505-2E9C-101B-9397-08002B2CF9AE}" pid="17" name="Mendeley Recent Style Name 7_1">
    <vt:lpwstr>Journal of Food Measurement and Characterization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223facf0-97d7-3387-99a4-cb266933f248</vt:lpwstr>
  </property>
  <property fmtid="{D5CDD505-2E9C-101B-9397-08002B2CF9AE}" pid="24" name="Mendeley Citation Style_1">
    <vt:lpwstr>http://www.zotero.org/styles/apa</vt:lpwstr>
  </property>
</Properties>
</file>