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8761" w14:textId="18F11F8A" w:rsidR="00C35615" w:rsidRPr="00DC60AE" w:rsidRDefault="00C35615" w:rsidP="00DC60AE">
      <w:pPr>
        <w:pStyle w:val="SSEAUTHORS"/>
        <w:rPr>
          <w:rFonts w:asciiTheme="minorHAnsi" w:eastAsia="Times New Roman" w:hAnsiTheme="minorHAnsi" w:cstheme="minorHAnsi"/>
          <w:bCs/>
          <w:kern w:val="28"/>
          <w:sz w:val="32"/>
          <w:szCs w:val="32"/>
        </w:rPr>
      </w:pPr>
      <w:r w:rsidRPr="00DC60AE">
        <w:rPr>
          <w:rFonts w:asciiTheme="minorHAnsi" w:eastAsia="Times New Roman" w:hAnsiTheme="minorHAnsi" w:cstheme="minorHAnsi"/>
          <w:bCs/>
          <w:kern w:val="28"/>
          <w:sz w:val="32"/>
          <w:szCs w:val="32"/>
        </w:rPr>
        <w:t>A Study on Food Loss and Waste (FLW) and Its Environmental Impact at the Rural Market in Faridpur District, Bangladesh</w:t>
      </w:r>
    </w:p>
    <w:p w14:paraId="440F8762" w14:textId="77777777" w:rsidR="00C35615" w:rsidRPr="00DC60AE" w:rsidRDefault="00C35615" w:rsidP="00DC60AE">
      <w:pPr>
        <w:pStyle w:val="SSEAUTHORS"/>
        <w:rPr>
          <w:rFonts w:asciiTheme="minorHAnsi" w:eastAsia="Times New Roman" w:hAnsiTheme="minorHAnsi" w:cstheme="minorHAnsi"/>
          <w:bCs/>
          <w:kern w:val="28"/>
          <w:szCs w:val="22"/>
        </w:rPr>
      </w:pPr>
    </w:p>
    <w:p w14:paraId="440F8766" w14:textId="27906FB4" w:rsidR="0097781C" w:rsidRDefault="0097781C" w:rsidP="00DC60AE">
      <w:pPr>
        <w:pStyle w:val="SSEEMAILS"/>
        <w:rPr>
          <w:rFonts w:asciiTheme="minorHAnsi" w:eastAsiaTheme="minorHAnsi" w:hAnsiTheme="minorHAnsi" w:cstheme="minorHAnsi"/>
          <w:bCs/>
          <w:iCs/>
          <w:color w:val="auto"/>
          <w:szCs w:val="22"/>
        </w:rPr>
      </w:pPr>
    </w:p>
    <w:p w14:paraId="6B1A2148" w14:textId="77777777" w:rsidR="00B23669" w:rsidRPr="00DC60AE" w:rsidRDefault="00B23669" w:rsidP="00DC60AE">
      <w:pPr>
        <w:pStyle w:val="SSEEMAILS"/>
        <w:rPr>
          <w:rFonts w:asciiTheme="minorHAnsi" w:eastAsiaTheme="minorHAnsi" w:hAnsiTheme="minorHAnsi" w:cstheme="minorHAnsi"/>
          <w:bCs/>
          <w:iCs/>
          <w:color w:val="auto"/>
          <w:szCs w:val="22"/>
        </w:rPr>
      </w:pPr>
    </w:p>
    <w:p w14:paraId="440F8769" w14:textId="77777777" w:rsidR="00E4308C" w:rsidRPr="00DC60AE" w:rsidRDefault="00E4308C" w:rsidP="00DC60AE">
      <w:pPr>
        <w:pStyle w:val="SSEABSTRACTACKREFERENCES"/>
        <w:spacing w:before="0" w:after="0" w:line="240" w:lineRule="auto"/>
        <w:rPr>
          <w:rFonts w:asciiTheme="minorHAnsi" w:hAnsiTheme="minorHAnsi" w:cstheme="minorHAnsi"/>
        </w:rPr>
      </w:pPr>
    </w:p>
    <w:p w14:paraId="440F876A" w14:textId="77777777" w:rsidR="00E03DE5" w:rsidRPr="00DC60AE" w:rsidRDefault="00E03DE5" w:rsidP="00DC60AE">
      <w:pPr>
        <w:pStyle w:val="SSEABSTRACTACKREFERENCES"/>
        <w:spacing w:before="0" w:after="0" w:line="240" w:lineRule="auto"/>
        <w:ind w:firstLine="0"/>
        <w:jc w:val="left"/>
        <w:rPr>
          <w:rFonts w:asciiTheme="minorHAnsi" w:hAnsiTheme="minorHAnsi" w:cstheme="minorHAnsi"/>
        </w:rPr>
      </w:pPr>
      <w:r w:rsidRPr="00DC60AE">
        <w:rPr>
          <w:rFonts w:asciiTheme="minorHAnsi" w:hAnsiTheme="minorHAnsi" w:cstheme="minorHAnsi"/>
        </w:rPr>
        <w:t xml:space="preserve">ABSTRACT  </w:t>
      </w:r>
    </w:p>
    <w:p w14:paraId="34C50F0E" w14:textId="4B10761F" w:rsidR="00793078" w:rsidRPr="00DC60AE" w:rsidRDefault="00793078" w:rsidP="00DC60AE">
      <w:pPr>
        <w:spacing w:after="0" w:line="240" w:lineRule="auto"/>
        <w:rPr>
          <w:rFonts w:asciiTheme="minorHAnsi" w:eastAsia="Times New Roman" w:hAnsiTheme="minorHAnsi" w:cstheme="minorHAnsi"/>
          <w:szCs w:val="22"/>
        </w:rPr>
      </w:pPr>
      <w:r w:rsidRPr="00DC60AE">
        <w:rPr>
          <w:rFonts w:asciiTheme="minorHAnsi" w:eastAsia="Times New Roman" w:hAnsiTheme="minorHAnsi" w:cstheme="minorHAnsi"/>
          <w:szCs w:val="22"/>
        </w:rPr>
        <w:t>Food loss and waste (FLW) have emerged as a significant challenge to food security, environmental sustainability, and efficient retail operations in rural market centers. This study aimed to identify the key factors contributing to FLW in retail shops, assess its environmental consequences, and evaluate its operational impacts on retail businesses.</w:t>
      </w:r>
      <w:r w:rsidR="00931202" w:rsidRPr="00DC60AE">
        <w:rPr>
          <w:rFonts w:asciiTheme="minorHAnsi" w:eastAsia="Times New Roman" w:hAnsiTheme="minorHAnsi" w:cstheme="minorHAnsi"/>
          <w:szCs w:val="22"/>
        </w:rPr>
        <w:t xml:space="preserve"> </w:t>
      </w:r>
      <w:r w:rsidRPr="00DC60AE">
        <w:rPr>
          <w:rFonts w:asciiTheme="minorHAnsi" w:hAnsiTheme="minorHAnsi" w:cstheme="minorHAnsi"/>
          <w:szCs w:val="22"/>
        </w:rPr>
        <w:t xml:space="preserve">This study employed a mixed-methods approach, combining quantitative surveys, focus group discussions, and a literature review to triangulate findings and strengthen the results. </w:t>
      </w:r>
      <w:r w:rsidRPr="00DC60AE">
        <w:rPr>
          <w:rFonts w:asciiTheme="minorHAnsi" w:eastAsia="Times New Roman" w:hAnsiTheme="minorHAnsi" w:cstheme="minorHAnsi"/>
          <w:szCs w:val="22"/>
        </w:rPr>
        <w:t>The study was conducted in the Faridpur district of Bangladesh, focusing on FLW dynamics at the retail level, particularly in vegetable and fruit markets.</w:t>
      </w:r>
      <w:r w:rsidR="00931202" w:rsidRPr="00DC60AE">
        <w:rPr>
          <w:rFonts w:asciiTheme="minorHAnsi" w:eastAsia="Times New Roman" w:hAnsiTheme="minorHAnsi" w:cstheme="minorHAnsi"/>
          <w:szCs w:val="22"/>
        </w:rPr>
        <w:t xml:space="preserve"> </w:t>
      </w:r>
      <w:r w:rsidR="00DA1760" w:rsidRPr="00DC60AE">
        <w:t>The findings indicate that food loss and waste (FLW) in retail shops is mainly driven by improper handling, limited knowledge, and low awareness among retailers. About 84.40% of vegetable retailers and 78.57% of fruit retailers reported losses due to poor handling and management. Climatic factors, such as high temperature, rainfall, humidity, and hot weather, were cited by 48.62% of vegetable and 37.61% of fruit retailers as key causes of deterioration. Environmental pollution was also significant, with 67.89% of vegetable and 32.14% of fruit retailers reporting foul odors from decomposed waste. Over 85% noted worsening market sanitation and environmental degradation.</w:t>
      </w:r>
      <w:r w:rsidR="00931202" w:rsidRPr="00DC60AE">
        <w:rPr>
          <w:rFonts w:asciiTheme="minorHAnsi" w:eastAsia="Times New Roman" w:hAnsiTheme="minorHAnsi" w:cstheme="minorHAnsi"/>
          <w:szCs w:val="22"/>
        </w:rPr>
        <w:t xml:space="preserve"> </w:t>
      </w:r>
      <w:r w:rsidRPr="00DC60AE">
        <w:rPr>
          <w:rFonts w:asciiTheme="minorHAnsi" w:eastAsia="Times New Roman" w:hAnsiTheme="minorHAnsi" w:cstheme="minorHAnsi"/>
          <w:szCs w:val="22"/>
        </w:rPr>
        <w:t>The study also identified inadequate storage facilities, poor transportation systems, pest infestation, and seasonal variations as major structural causes of FLW. Retailers generally demonstrated limited awareness regarding food waste management. The study concludes that strengthening supply chain management, improving storage and transportation infrastructure, and enhancing retailer awareness and training are essential to reduce FLW and support food and nutrition security in Bangladesh.</w:t>
      </w:r>
    </w:p>
    <w:p w14:paraId="257D060B" w14:textId="77777777" w:rsidR="00793078" w:rsidRPr="00DC60AE" w:rsidRDefault="00793078" w:rsidP="00DC60AE">
      <w:pPr>
        <w:spacing w:after="0" w:line="240" w:lineRule="auto"/>
        <w:rPr>
          <w:rFonts w:asciiTheme="minorHAnsi" w:hAnsiTheme="minorHAnsi" w:cstheme="minorHAnsi"/>
          <w:b/>
          <w:bCs/>
          <w:szCs w:val="22"/>
        </w:rPr>
      </w:pPr>
    </w:p>
    <w:p w14:paraId="440F8770" w14:textId="2828B8B1" w:rsidR="009773EA" w:rsidRPr="00DC60AE" w:rsidRDefault="00E03DE5" w:rsidP="00DC60AE">
      <w:pPr>
        <w:spacing w:after="0" w:line="240" w:lineRule="auto"/>
        <w:rPr>
          <w:rFonts w:asciiTheme="minorHAnsi" w:hAnsiTheme="minorHAnsi" w:cstheme="minorHAnsi"/>
          <w:szCs w:val="22"/>
        </w:rPr>
      </w:pPr>
      <w:r w:rsidRPr="00DC60AE">
        <w:rPr>
          <w:rFonts w:asciiTheme="minorHAnsi" w:hAnsiTheme="minorHAnsi" w:cstheme="minorHAnsi"/>
          <w:b/>
          <w:bCs/>
          <w:szCs w:val="22"/>
        </w:rPr>
        <w:t>Keywords:</w:t>
      </w:r>
      <w:r w:rsidRPr="00DC60AE">
        <w:rPr>
          <w:rFonts w:asciiTheme="minorHAnsi" w:hAnsiTheme="minorHAnsi" w:cstheme="minorHAnsi"/>
          <w:szCs w:val="22"/>
        </w:rPr>
        <w:t xml:space="preserve"> </w:t>
      </w:r>
      <w:r w:rsidR="0097781C" w:rsidRPr="00DC60AE">
        <w:rPr>
          <w:rFonts w:asciiTheme="minorHAnsi" w:hAnsiTheme="minorHAnsi" w:cstheme="minorHAnsi"/>
          <w:szCs w:val="22"/>
        </w:rPr>
        <w:t xml:space="preserve">Food loss and waste, </w:t>
      </w:r>
      <w:r w:rsidR="00A6378A" w:rsidRPr="00DC60AE">
        <w:rPr>
          <w:rFonts w:asciiTheme="minorHAnsi" w:hAnsiTheme="minorHAnsi" w:cstheme="minorHAnsi"/>
          <w:szCs w:val="22"/>
        </w:rPr>
        <w:t xml:space="preserve">Food Systems, </w:t>
      </w:r>
      <w:r w:rsidR="0097781C" w:rsidRPr="00DC60AE">
        <w:rPr>
          <w:rFonts w:asciiTheme="minorHAnsi" w:hAnsiTheme="minorHAnsi" w:cstheme="minorHAnsi"/>
          <w:szCs w:val="22"/>
        </w:rPr>
        <w:t xml:space="preserve">Environmental Impact, </w:t>
      </w:r>
      <w:r w:rsidR="00E4308C" w:rsidRPr="00DC60AE">
        <w:rPr>
          <w:rFonts w:asciiTheme="minorHAnsi" w:hAnsiTheme="minorHAnsi" w:cstheme="minorHAnsi"/>
          <w:szCs w:val="22"/>
        </w:rPr>
        <w:t xml:space="preserve">Rural Market, Retail </w:t>
      </w:r>
      <w:r w:rsidR="0065075F" w:rsidRPr="00DC60AE">
        <w:rPr>
          <w:rFonts w:asciiTheme="minorHAnsi" w:hAnsiTheme="minorHAnsi" w:cstheme="minorHAnsi"/>
          <w:szCs w:val="22"/>
        </w:rPr>
        <w:t>owners</w:t>
      </w:r>
      <w:bookmarkStart w:id="0" w:name="_Toc375251595"/>
    </w:p>
    <w:p w14:paraId="4107D611" w14:textId="77777777" w:rsidR="00166DF6" w:rsidRPr="00DC60AE" w:rsidRDefault="00166DF6" w:rsidP="00DC60AE">
      <w:pPr>
        <w:spacing w:after="0" w:line="240" w:lineRule="auto"/>
        <w:rPr>
          <w:rFonts w:asciiTheme="minorHAnsi" w:hAnsiTheme="minorHAnsi" w:cstheme="minorHAnsi"/>
          <w:szCs w:val="22"/>
        </w:rPr>
      </w:pPr>
    </w:p>
    <w:bookmarkEnd w:id="0"/>
    <w:p w14:paraId="440F8771" w14:textId="77777777" w:rsidR="00615F8F" w:rsidRPr="00DC60AE" w:rsidRDefault="00615F8F" w:rsidP="00DC60AE">
      <w:pPr>
        <w:pStyle w:val="ListParagraph"/>
        <w:numPr>
          <w:ilvl w:val="0"/>
          <w:numId w:val="14"/>
        </w:numPr>
        <w:spacing w:after="0" w:line="240" w:lineRule="auto"/>
        <w:rPr>
          <w:rFonts w:asciiTheme="minorHAnsi" w:hAnsiTheme="minorHAnsi" w:cstheme="minorHAnsi"/>
          <w:b/>
          <w:szCs w:val="22"/>
        </w:rPr>
      </w:pPr>
      <w:r w:rsidRPr="00DC60AE">
        <w:rPr>
          <w:rFonts w:asciiTheme="minorHAnsi" w:hAnsiTheme="minorHAnsi" w:cstheme="minorHAnsi"/>
          <w:b/>
          <w:szCs w:val="22"/>
        </w:rPr>
        <w:t>INTRODUCTION</w:t>
      </w:r>
    </w:p>
    <w:p w14:paraId="0F3F9B80" w14:textId="77777777" w:rsidR="006A5382" w:rsidRPr="00DC60AE" w:rsidRDefault="006A5382" w:rsidP="00DC60AE">
      <w:pPr>
        <w:pStyle w:val="ListParagraph"/>
        <w:spacing w:after="0" w:line="240" w:lineRule="auto"/>
        <w:ind w:left="0"/>
        <w:rPr>
          <w:rFonts w:asciiTheme="minorHAnsi" w:hAnsiTheme="minorHAnsi" w:cstheme="minorHAnsi"/>
          <w:szCs w:val="22"/>
        </w:rPr>
      </w:pPr>
      <w:r w:rsidRPr="00DC60AE">
        <w:rPr>
          <w:rFonts w:asciiTheme="minorHAnsi" w:eastAsia="Times New Roman" w:hAnsiTheme="minorHAnsi" w:cstheme="minorHAnsi"/>
          <w:szCs w:val="22"/>
        </w:rPr>
        <w:t xml:space="preserve">Food loss and waste (FLW) has become a major global challenge to food security, environmental sustainability, and economic efficiency. It is estimated that nearly one-third of all food produced for human consumption is lost and wasted along the food supply chain, from production and post-harvest handling to retail and consumption (Balan et al., 2023; Von et al., 2023). </w:t>
      </w:r>
      <w:r w:rsidRPr="00DC60AE">
        <w:rPr>
          <w:rFonts w:asciiTheme="minorHAnsi" w:hAnsiTheme="minorHAnsi" w:cstheme="minorHAnsi"/>
          <w:szCs w:val="22"/>
        </w:rPr>
        <w:t>Food loss and waste (FLW) generally reduce the nutritional value, quality, and quantity of food available for human consumption (</w:t>
      </w:r>
      <w:proofErr w:type="spellStart"/>
      <w:r w:rsidRPr="00DC60AE">
        <w:rPr>
          <w:rFonts w:asciiTheme="minorHAnsi" w:hAnsiTheme="minorHAnsi" w:cstheme="minorHAnsi"/>
          <w:szCs w:val="22"/>
        </w:rPr>
        <w:t>Ananno</w:t>
      </w:r>
      <w:proofErr w:type="spellEnd"/>
      <w:r w:rsidRPr="00DC60AE">
        <w:rPr>
          <w:rFonts w:asciiTheme="minorHAnsi" w:hAnsiTheme="minorHAnsi" w:cstheme="minorHAnsi"/>
          <w:szCs w:val="22"/>
        </w:rPr>
        <w:t xml:space="preserve"> et al., 2021). Globally, approximately 30% of consumable food is lost along the supply chain due to multiple factors (</w:t>
      </w:r>
      <w:r w:rsidRPr="00DC60AE">
        <w:rPr>
          <w:rFonts w:asciiTheme="minorHAnsi" w:hAnsiTheme="minorHAnsi" w:cstheme="minorHAnsi"/>
          <w:szCs w:val="22"/>
          <w:shd w:val="clear" w:color="auto" w:fill="FFFFFF"/>
        </w:rPr>
        <w:t>Marimuthu et al., 2024)</w:t>
      </w:r>
      <w:r w:rsidRPr="00DC60AE">
        <w:rPr>
          <w:rFonts w:asciiTheme="minorHAnsi" w:hAnsiTheme="minorHAnsi" w:cstheme="minorHAnsi"/>
          <w:szCs w:val="22"/>
        </w:rPr>
        <w:t>. Food waste occurs at various stages of the food supply chain, including production, processing, distribution, retailing, consumption, and disposal (</w:t>
      </w:r>
      <w:proofErr w:type="spellStart"/>
      <w:r w:rsidRPr="00DC60AE">
        <w:rPr>
          <w:rFonts w:asciiTheme="minorHAnsi" w:hAnsiTheme="minorHAnsi" w:cstheme="minorHAnsi"/>
          <w:szCs w:val="22"/>
        </w:rPr>
        <w:t>Adelodun</w:t>
      </w:r>
      <w:proofErr w:type="spellEnd"/>
      <w:r w:rsidRPr="00DC60AE">
        <w:rPr>
          <w:rFonts w:asciiTheme="minorHAnsi" w:hAnsiTheme="minorHAnsi" w:cstheme="minorHAnsi"/>
          <w:szCs w:val="22"/>
        </w:rPr>
        <w:t xml:space="preserve"> et al., 2025; Ahmed et al., 2025; Ali et al., 2021). This process ultimately reduces the sustainability of natural ecosystems. FLW not only limits the amount of food available for human consumption but also increases the environmental burden on ecosystems (</w:t>
      </w:r>
      <w:proofErr w:type="spellStart"/>
      <w:r w:rsidRPr="00DC60AE">
        <w:rPr>
          <w:rFonts w:asciiTheme="minorHAnsi" w:hAnsiTheme="minorHAnsi" w:cstheme="minorHAnsi"/>
          <w:szCs w:val="22"/>
          <w:shd w:val="clear" w:color="auto" w:fill="FFFFFF"/>
        </w:rPr>
        <w:t>Gatto</w:t>
      </w:r>
      <w:proofErr w:type="spellEnd"/>
      <w:r w:rsidRPr="00DC60AE">
        <w:rPr>
          <w:rFonts w:asciiTheme="minorHAnsi" w:hAnsiTheme="minorHAnsi" w:cstheme="minorHAnsi"/>
          <w:szCs w:val="22"/>
          <w:shd w:val="clear" w:color="auto" w:fill="FFFFFF"/>
        </w:rPr>
        <w:t xml:space="preserve"> and </w:t>
      </w:r>
      <w:proofErr w:type="spellStart"/>
      <w:r w:rsidRPr="00DC60AE">
        <w:rPr>
          <w:rFonts w:asciiTheme="minorHAnsi" w:hAnsiTheme="minorHAnsi" w:cstheme="minorHAnsi"/>
          <w:szCs w:val="22"/>
          <w:shd w:val="clear" w:color="auto" w:fill="FFFFFF"/>
        </w:rPr>
        <w:t>Chepeliev</w:t>
      </w:r>
      <w:proofErr w:type="spellEnd"/>
      <w:r w:rsidRPr="00DC60AE">
        <w:rPr>
          <w:rFonts w:asciiTheme="minorHAnsi" w:hAnsiTheme="minorHAnsi" w:cstheme="minorHAnsi"/>
          <w:szCs w:val="22"/>
          <w:shd w:val="clear" w:color="auto" w:fill="FFFFFF"/>
        </w:rPr>
        <w:t>, 2024)</w:t>
      </w:r>
      <w:r w:rsidRPr="00DC60AE">
        <w:rPr>
          <w:rFonts w:asciiTheme="minorHAnsi" w:hAnsiTheme="minorHAnsi" w:cstheme="minorHAnsi"/>
          <w:szCs w:val="22"/>
        </w:rPr>
        <w:t xml:space="preserve">. Reducing FLW can improve agricultural productivity and mitigate GHG emissions associated with feeding the global population. Notably, food loss and waste are responsible for 4.4 gigatons of GHG emissions annually, making FLW the third-largest source of global emissions (Agarwal et al., 2024; </w:t>
      </w:r>
      <w:proofErr w:type="spellStart"/>
      <w:r w:rsidRPr="00DC60AE">
        <w:rPr>
          <w:rFonts w:asciiTheme="minorHAnsi" w:hAnsiTheme="minorHAnsi" w:cstheme="minorHAnsi"/>
          <w:szCs w:val="22"/>
        </w:rPr>
        <w:t>Golford</w:t>
      </w:r>
      <w:proofErr w:type="spellEnd"/>
      <w:r w:rsidRPr="00DC60AE">
        <w:rPr>
          <w:rFonts w:asciiTheme="minorHAnsi" w:hAnsiTheme="minorHAnsi" w:cstheme="minorHAnsi"/>
          <w:szCs w:val="22"/>
        </w:rPr>
        <w:t xml:space="preserve"> et al., 2020).</w:t>
      </w:r>
    </w:p>
    <w:p w14:paraId="163D2DE8" w14:textId="77777777" w:rsidR="006A5382" w:rsidRPr="00DC60AE" w:rsidRDefault="006A5382" w:rsidP="00DC60AE">
      <w:pPr>
        <w:pStyle w:val="ListParagraph"/>
        <w:spacing w:after="0" w:line="240" w:lineRule="auto"/>
        <w:ind w:left="0"/>
        <w:rPr>
          <w:rFonts w:asciiTheme="minorHAnsi" w:hAnsiTheme="minorHAnsi" w:cstheme="minorHAnsi"/>
          <w:szCs w:val="22"/>
        </w:rPr>
      </w:pPr>
    </w:p>
    <w:p w14:paraId="4416DDCB" w14:textId="3544F19D" w:rsidR="006A5382" w:rsidRPr="00DC60AE" w:rsidRDefault="006A5382" w:rsidP="00DC60AE">
      <w:pPr>
        <w:pStyle w:val="ListParagraph"/>
        <w:spacing w:after="0" w:line="240" w:lineRule="auto"/>
        <w:ind w:left="0"/>
        <w:rPr>
          <w:rFonts w:asciiTheme="minorHAnsi" w:hAnsiTheme="minorHAnsi" w:cstheme="minorHAnsi"/>
          <w:szCs w:val="22"/>
        </w:rPr>
      </w:pPr>
      <w:r w:rsidRPr="00DC60AE">
        <w:rPr>
          <w:rFonts w:asciiTheme="minorHAnsi" w:eastAsia="Times New Roman" w:hAnsiTheme="minorHAnsi" w:cstheme="minorHAnsi"/>
          <w:szCs w:val="22"/>
        </w:rPr>
        <w:t xml:space="preserve">FLW constitutes a significant misuse of natural resources, including land, water, energy, and labor, and substantially contributes to greenhouse gas (GHG) emissions (Guo et al., 2020). Food loss and waste account for 8% of global GHG emissions and waste land and water, underscoring the need for systemic solutions at the retail and consumer levels to reduce environmental burdens (Kohli et al., 2024; </w:t>
      </w:r>
      <w:r w:rsidRPr="00DC60AE">
        <w:rPr>
          <w:rFonts w:asciiTheme="minorHAnsi" w:hAnsiTheme="minorHAnsi" w:cstheme="minorHAnsi"/>
          <w:szCs w:val="22"/>
          <w:shd w:val="clear" w:color="auto" w:fill="FFFFFF"/>
        </w:rPr>
        <w:t>Carvalho et al., 2025</w:t>
      </w:r>
      <w:r w:rsidRPr="00DC60AE">
        <w:rPr>
          <w:rFonts w:asciiTheme="minorHAnsi" w:eastAsia="Times New Roman" w:hAnsiTheme="minorHAnsi" w:cstheme="minorHAnsi"/>
          <w:szCs w:val="22"/>
        </w:rPr>
        <w:t xml:space="preserve">). Recent global assessments indicate that food loss and waste collectively account </w:t>
      </w:r>
      <w:r w:rsidRPr="00DC60AE">
        <w:rPr>
          <w:rFonts w:asciiTheme="minorHAnsi" w:eastAsia="Times New Roman" w:hAnsiTheme="minorHAnsi" w:cstheme="minorHAnsi"/>
          <w:szCs w:val="22"/>
        </w:rPr>
        <w:lastRenderedPageBreak/>
        <w:t>for approximately 8–10% of total global GHG emissions, making FLW a critical yet often overlooked driver of climate change (UNEP, 2024; Aslam et al., 2024). Food loss and food waste occur at different stages of the food supply chain and are driven by distinct processes (</w:t>
      </w:r>
      <w:r w:rsidRPr="00DC60AE">
        <w:rPr>
          <w:rFonts w:asciiTheme="minorHAnsi" w:hAnsiTheme="minorHAnsi" w:cstheme="minorHAnsi"/>
          <w:szCs w:val="22"/>
          <w:shd w:val="clear" w:color="auto" w:fill="FFFFFF"/>
        </w:rPr>
        <w:t xml:space="preserve">Guarnieri et al., 2021; </w:t>
      </w:r>
      <w:r w:rsidRPr="00DC60AE">
        <w:rPr>
          <w:rFonts w:asciiTheme="minorHAnsi" w:eastAsia="Times New Roman" w:hAnsiTheme="minorHAnsi" w:cstheme="minorHAnsi"/>
          <w:szCs w:val="22"/>
        </w:rPr>
        <w:t xml:space="preserve">Heydari, 2024). Food loss generally refers to the reduction in the quantity or quality of food resulting from inefficiencies in production, post-harvest handling, storage, processing, and distribution. These losses are often linked to inadequate infrastructure, poor storage facilities, limited access to technology, and weak market systems, particularly in developing countries (Kunwar et al., 2024; Ahmed et al., 2025). Food loss encompasses the deterioration, spoilage, or reduction in quality of food before it reaches consumers. Such losses typically occur during the storage, processing, packaging, handling, and distribution stages of food retailing in local markets (Khanam et al., 2021). Vegetables and fruits spoil at the retail level, often due to poor handling practices, overstocking, and limited awareness of food-waste reduction strategies (Jahan, 2023; Rahman &amp; </w:t>
      </w:r>
      <w:proofErr w:type="spellStart"/>
      <w:r w:rsidRPr="00DC60AE">
        <w:rPr>
          <w:rFonts w:asciiTheme="minorHAnsi" w:eastAsia="Times New Roman" w:hAnsiTheme="minorHAnsi" w:cstheme="minorHAnsi"/>
          <w:szCs w:val="22"/>
        </w:rPr>
        <w:t>Saha</w:t>
      </w:r>
      <w:proofErr w:type="spellEnd"/>
      <w:r w:rsidRPr="00DC60AE">
        <w:rPr>
          <w:rFonts w:asciiTheme="minorHAnsi" w:eastAsia="Times New Roman" w:hAnsiTheme="minorHAnsi" w:cstheme="minorHAnsi"/>
          <w:szCs w:val="22"/>
        </w:rPr>
        <w:t xml:space="preserve">, 2023; </w:t>
      </w:r>
      <w:proofErr w:type="spellStart"/>
      <w:r w:rsidRPr="00DC60AE">
        <w:rPr>
          <w:rFonts w:asciiTheme="minorHAnsi" w:eastAsia="Times New Roman" w:hAnsiTheme="minorHAnsi" w:cstheme="minorHAnsi"/>
          <w:szCs w:val="22"/>
        </w:rPr>
        <w:t>Boliko</w:t>
      </w:r>
      <w:proofErr w:type="spellEnd"/>
      <w:r w:rsidRPr="00DC60AE">
        <w:rPr>
          <w:rFonts w:asciiTheme="minorHAnsi" w:eastAsia="Times New Roman" w:hAnsiTheme="minorHAnsi" w:cstheme="minorHAnsi"/>
          <w:szCs w:val="22"/>
        </w:rPr>
        <w:t>, 2019). While food loss predominates the supply chain in low and middle-income countries, food waste at the retail stage is increasingly recognized as a growing concern in both urban and rural markets.</w:t>
      </w:r>
    </w:p>
    <w:p w14:paraId="05FD6F9D" w14:textId="77777777" w:rsidR="006A5382" w:rsidRPr="00DC60AE" w:rsidRDefault="006A5382" w:rsidP="00DC60AE">
      <w:pPr>
        <w:spacing w:after="0" w:line="240" w:lineRule="auto"/>
        <w:rPr>
          <w:rFonts w:asciiTheme="minorHAnsi" w:eastAsia="Times New Roman" w:hAnsiTheme="minorHAnsi" w:cstheme="minorHAnsi"/>
        </w:rPr>
      </w:pPr>
    </w:p>
    <w:p w14:paraId="66AF86C4" w14:textId="77777777" w:rsidR="006A5382" w:rsidRPr="00DC60AE" w:rsidRDefault="006A5382" w:rsidP="00DC60AE">
      <w:pPr>
        <w:pStyle w:val="ListParagraph"/>
        <w:spacing w:after="0" w:line="240" w:lineRule="auto"/>
        <w:ind w:left="360"/>
        <w:rPr>
          <w:rFonts w:asciiTheme="minorHAnsi" w:hAnsiTheme="minorHAnsi" w:cstheme="minorHAnsi"/>
          <w:szCs w:val="22"/>
        </w:rPr>
      </w:pPr>
      <w:r w:rsidRPr="00DC60AE">
        <w:rPr>
          <w:rFonts w:asciiTheme="minorHAnsi" w:hAnsiTheme="minorHAnsi" w:cstheme="minorHAnsi"/>
          <w:noProof/>
          <w:szCs w:val="22"/>
        </w:rPr>
        <w:drawing>
          <wp:inline distT="0" distB="0" distL="0" distR="0" wp14:anchorId="70202591" wp14:editId="1C4E24FD">
            <wp:extent cx="5434681" cy="1188720"/>
            <wp:effectExtent l="0" t="0" r="0" b="0"/>
            <wp:docPr id="8" name="Picture 8" descr="C:\Users\BABUL\OneDrive\Desktop\Final_Thesis Presentation_Ashraful Islam_291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Final_Thesis Presentation_Ashraful Islam_2912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4681" cy="1188720"/>
                    </a:xfrm>
                    <a:prstGeom prst="rect">
                      <a:avLst/>
                    </a:prstGeom>
                    <a:noFill/>
                    <a:ln>
                      <a:noFill/>
                    </a:ln>
                  </pic:spPr>
                </pic:pic>
              </a:graphicData>
            </a:graphic>
          </wp:inline>
        </w:drawing>
      </w:r>
    </w:p>
    <w:p w14:paraId="76D1F7E6" w14:textId="3C1CE4DE" w:rsidR="006A5382" w:rsidRPr="000D0560" w:rsidRDefault="006A5382" w:rsidP="00DC60AE">
      <w:pPr>
        <w:pStyle w:val="Caption"/>
        <w:spacing w:after="0"/>
        <w:ind w:left="360"/>
        <w:jc w:val="center"/>
        <w:rPr>
          <w:rFonts w:asciiTheme="minorHAnsi" w:hAnsiTheme="minorHAnsi" w:cstheme="minorHAnsi"/>
          <w:i w:val="0"/>
          <w:color w:val="auto"/>
          <w:sz w:val="22"/>
          <w:szCs w:val="22"/>
        </w:rPr>
      </w:pPr>
      <w:r w:rsidRPr="000D0560">
        <w:rPr>
          <w:rFonts w:asciiTheme="minorHAnsi" w:hAnsiTheme="minorHAnsi" w:cstheme="minorHAnsi"/>
          <w:i w:val="0"/>
          <w:color w:val="auto"/>
          <w:sz w:val="22"/>
          <w:szCs w:val="22"/>
        </w:rPr>
        <w:t xml:space="preserve">Figure </w:t>
      </w:r>
      <w:r w:rsidRPr="000D0560">
        <w:rPr>
          <w:rFonts w:asciiTheme="minorHAnsi" w:hAnsiTheme="minorHAnsi" w:cstheme="minorHAnsi"/>
          <w:i w:val="0"/>
          <w:color w:val="auto"/>
          <w:sz w:val="22"/>
          <w:szCs w:val="22"/>
        </w:rPr>
        <w:fldChar w:fldCharType="begin"/>
      </w:r>
      <w:r w:rsidRPr="000D0560">
        <w:rPr>
          <w:rFonts w:asciiTheme="minorHAnsi" w:hAnsiTheme="minorHAnsi" w:cstheme="minorHAnsi"/>
          <w:i w:val="0"/>
          <w:color w:val="auto"/>
          <w:sz w:val="22"/>
          <w:szCs w:val="22"/>
        </w:rPr>
        <w:instrText xml:space="preserve"> SEQ Figure \* ARABIC </w:instrText>
      </w:r>
      <w:r w:rsidRPr="000D0560">
        <w:rPr>
          <w:rFonts w:asciiTheme="minorHAnsi" w:hAnsiTheme="minorHAnsi" w:cstheme="minorHAnsi"/>
          <w:i w:val="0"/>
          <w:color w:val="auto"/>
          <w:sz w:val="22"/>
          <w:szCs w:val="22"/>
        </w:rPr>
        <w:fldChar w:fldCharType="separate"/>
      </w:r>
      <w:r w:rsidR="00D311CC" w:rsidRPr="000D0560">
        <w:rPr>
          <w:rFonts w:asciiTheme="minorHAnsi" w:hAnsiTheme="minorHAnsi" w:cstheme="minorHAnsi"/>
          <w:i w:val="0"/>
          <w:noProof/>
          <w:color w:val="auto"/>
          <w:sz w:val="22"/>
          <w:szCs w:val="22"/>
        </w:rPr>
        <w:t>1</w:t>
      </w:r>
      <w:r w:rsidRPr="000D0560">
        <w:rPr>
          <w:rFonts w:asciiTheme="minorHAnsi" w:hAnsiTheme="minorHAnsi" w:cstheme="minorHAnsi"/>
          <w:i w:val="0"/>
          <w:color w:val="auto"/>
          <w:sz w:val="22"/>
          <w:szCs w:val="22"/>
        </w:rPr>
        <w:fldChar w:fldCharType="end"/>
      </w:r>
      <w:r w:rsidRPr="000D0560">
        <w:rPr>
          <w:rFonts w:asciiTheme="minorHAnsi" w:hAnsiTheme="minorHAnsi" w:cstheme="minorHAnsi"/>
          <w:i w:val="0"/>
          <w:color w:val="auto"/>
          <w:sz w:val="22"/>
          <w:szCs w:val="22"/>
        </w:rPr>
        <w:t>: Diagram of the Food Supply Chain</w:t>
      </w:r>
    </w:p>
    <w:p w14:paraId="3C479DA5" w14:textId="77777777" w:rsidR="006A5382" w:rsidRPr="00DC60AE" w:rsidRDefault="006A5382" w:rsidP="00DC60AE">
      <w:pPr>
        <w:spacing w:after="0" w:line="240" w:lineRule="auto"/>
        <w:rPr>
          <w:rFonts w:asciiTheme="minorHAnsi" w:eastAsia="Times New Roman" w:hAnsiTheme="minorHAnsi" w:cstheme="minorHAnsi"/>
          <w:szCs w:val="22"/>
        </w:rPr>
      </w:pPr>
    </w:p>
    <w:p w14:paraId="2277A82C" w14:textId="77777777" w:rsidR="006A5382" w:rsidRPr="00DC60AE" w:rsidRDefault="006A5382" w:rsidP="00DC60AE">
      <w:pPr>
        <w:spacing w:after="0" w:line="240" w:lineRule="auto"/>
        <w:rPr>
          <w:rFonts w:asciiTheme="minorHAnsi" w:hAnsiTheme="minorHAnsi" w:cstheme="minorHAnsi"/>
          <w:szCs w:val="22"/>
          <w:shd w:val="clear" w:color="auto" w:fill="FFFFFF"/>
        </w:rPr>
      </w:pPr>
      <w:r w:rsidRPr="00DC60AE">
        <w:rPr>
          <w:rFonts w:asciiTheme="minorHAnsi" w:eastAsia="Times New Roman" w:hAnsiTheme="minorHAnsi" w:cstheme="minorHAnsi"/>
          <w:szCs w:val="22"/>
        </w:rPr>
        <w:t xml:space="preserve">Sarker et al. (2022) examined sustainable food-waste recycling for the circular economy in developing countries, identifying FLW as a significant issue due to its high socioeconomic costs and links to waste management and climate change challenges (Roy et al., 2022; </w:t>
      </w:r>
      <w:r w:rsidRPr="00DC60AE">
        <w:rPr>
          <w:rFonts w:asciiTheme="minorHAnsi" w:hAnsiTheme="minorHAnsi" w:cstheme="minorHAnsi"/>
          <w:szCs w:val="22"/>
          <w:shd w:val="clear" w:color="auto" w:fill="FFFFFF"/>
        </w:rPr>
        <w:t xml:space="preserve">Ahmed and </w:t>
      </w:r>
      <w:proofErr w:type="spellStart"/>
      <w:r w:rsidRPr="00DC60AE">
        <w:rPr>
          <w:rFonts w:asciiTheme="minorHAnsi" w:hAnsiTheme="minorHAnsi" w:cstheme="minorHAnsi"/>
          <w:szCs w:val="22"/>
          <w:shd w:val="clear" w:color="auto" w:fill="FFFFFF"/>
        </w:rPr>
        <w:t>Kamruzzaman</w:t>
      </w:r>
      <w:proofErr w:type="spellEnd"/>
      <w:r w:rsidRPr="00DC60AE">
        <w:rPr>
          <w:rFonts w:asciiTheme="minorHAnsi" w:hAnsiTheme="minorHAnsi" w:cstheme="minorHAnsi"/>
          <w:szCs w:val="22"/>
          <w:shd w:val="clear" w:color="auto" w:fill="FFFFFF"/>
        </w:rPr>
        <w:t>, 2025</w:t>
      </w:r>
      <w:r w:rsidRPr="00DC60AE">
        <w:rPr>
          <w:rFonts w:asciiTheme="minorHAnsi" w:eastAsia="Times New Roman" w:hAnsiTheme="minorHAnsi" w:cstheme="minorHAnsi"/>
          <w:szCs w:val="22"/>
        </w:rPr>
        <w:t xml:space="preserve">). Food loss and waste refer to the loss of biomass during the handling of food from farm to table. The annual per capita food waste at the consumer level was estimated to be 95–115 kg in developed countries and 6–11 kg in developing countries (Rahman et al., 2024). The increasing global demand for nutritious and essential food commodities has contributed to greater dietary diversity. However, inadequate post-harvest handling, storage, transportation, marketing, retailing, processing, distribution, and consumption practices have led to increased food waste across the food supply chain (Abbas et al., 2024; Basak, 2022). Food loss and waste are influenced by food quality, nutritional value, and fitness for consumption. FLW typically occurs at the retail and household consumption levels within the food value chain (Choudhury et al., 2024) estimated that approximately one-third of food produced globally is lost or wasted each year. </w:t>
      </w:r>
      <w:r w:rsidRPr="00DC60AE">
        <w:rPr>
          <w:rFonts w:asciiTheme="minorHAnsi" w:hAnsiTheme="minorHAnsi" w:cstheme="minorHAnsi"/>
          <w:szCs w:val="22"/>
          <w:shd w:val="clear" w:color="auto" w:fill="FFFFFF"/>
        </w:rPr>
        <w:t>The study investigated the extent of heavy metal contamination in widely consumed grapes, apples, oranges, bananas, and pomegranates from supermarkets in Dhaka, Bangladesh, using atomic absorption spectroscopy to assess the health risks to humans (Afrin et al., 2024).</w:t>
      </w:r>
    </w:p>
    <w:p w14:paraId="637B62AB" w14:textId="77777777" w:rsidR="006A5382" w:rsidRPr="00DC60AE" w:rsidRDefault="006A5382" w:rsidP="00DC60AE">
      <w:pPr>
        <w:spacing w:after="0" w:line="240" w:lineRule="auto"/>
        <w:rPr>
          <w:rFonts w:asciiTheme="minorHAnsi" w:eastAsia="Times New Roman" w:hAnsiTheme="minorHAnsi" w:cstheme="minorHAnsi"/>
          <w:szCs w:val="22"/>
        </w:rPr>
      </w:pPr>
    </w:p>
    <w:p w14:paraId="0F852D4A" w14:textId="77777777" w:rsidR="006A5382" w:rsidRPr="00DC60AE" w:rsidRDefault="006A5382" w:rsidP="00DC60AE">
      <w:pPr>
        <w:spacing w:after="0" w:line="240" w:lineRule="auto"/>
        <w:rPr>
          <w:rFonts w:asciiTheme="minorHAnsi" w:eastAsia="Times New Roman" w:hAnsiTheme="minorHAnsi" w:cstheme="minorHAnsi"/>
          <w:szCs w:val="22"/>
        </w:rPr>
      </w:pPr>
      <w:r w:rsidRPr="00DC60AE">
        <w:rPr>
          <w:rFonts w:asciiTheme="minorHAnsi" w:eastAsia="Times New Roman" w:hAnsiTheme="minorHAnsi" w:cstheme="minorHAnsi"/>
          <w:szCs w:val="22"/>
        </w:rPr>
        <w:t>The environmental impacts of vegetable and fruit waste in the market are critical to maintaining market conditions (Shakil et al., 2024). This includes inadequate transportation, handling, and storage facilities, an inappropriate damping strategy, and retailers' lack of awareness, which contribute to market environmental degradation and air and water pollution. Moreover, when food waste is disposed of in open dumps, it decomposes anaerobically, releasing methane, a greenhouse gas with a global warming potential far greater than that of carbon dioxide (Xue et al., 2024). These global challenges are particularly relevant for Bangladesh. The empirical studies estimate that between 20% and 30% of vegetables are lost or wasted along the supply chain, with substantial losses occurring during storage, transportation, and retail (Chowdhury et al., 2021; FAO, 2020). Fruits and vegetables are especially vulnerable due to their high perishability, inadequate cold storage facilities, poor packaging, and exposure to high temperatures and humidity (</w:t>
      </w:r>
      <w:proofErr w:type="spellStart"/>
      <w:r w:rsidRPr="00DC60AE">
        <w:rPr>
          <w:rFonts w:asciiTheme="minorHAnsi" w:eastAsia="Times New Roman" w:hAnsiTheme="minorHAnsi" w:cstheme="minorHAnsi"/>
          <w:szCs w:val="22"/>
        </w:rPr>
        <w:t>Makule</w:t>
      </w:r>
      <w:proofErr w:type="spellEnd"/>
      <w:r w:rsidRPr="00DC60AE">
        <w:rPr>
          <w:rFonts w:asciiTheme="minorHAnsi" w:eastAsia="Times New Roman" w:hAnsiTheme="minorHAnsi" w:cstheme="minorHAnsi"/>
          <w:szCs w:val="22"/>
        </w:rPr>
        <w:t xml:space="preserve"> et al., 2022). Rural markets play </w:t>
      </w:r>
      <w:r w:rsidRPr="00DC60AE">
        <w:rPr>
          <w:rFonts w:asciiTheme="minorHAnsi" w:eastAsia="Times New Roman" w:hAnsiTheme="minorHAnsi" w:cstheme="minorHAnsi"/>
          <w:szCs w:val="22"/>
        </w:rPr>
        <w:lastRenderedPageBreak/>
        <w:t>a critical role in Bangladesh’s food system, serving as key nodes linking farmers, traders, retailers, and consumers (Joshi et al., 2025; Waris, 2022). In districts such as Faridpur, rural markets are central to the distribution of fresh produce and provide livelihoods for many small-scale retail owners. The condition of market infrastructure, including storage facilities, drainage systems, and waste-disposal mechanisms, strongly influences food-handling practices and the extent of FLW (</w:t>
      </w:r>
      <w:proofErr w:type="spellStart"/>
      <w:r w:rsidRPr="00DC60AE">
        <w:rPr>
          <w:rFonts w:asciiTheme="minorHAnsi" w:hAnsiTheme="minorHAnsi" w:cstheme="minorHAnsi"/>
          <w:szCs w:val="22"/>
          <w:shd w:val="clear" w:color="auto" w:fill="FFFFFF"/>
        </w:rPr>
        <w:t>Kushitor</w:t>
      </w:r>
      <w:proofErr w:type="spellEnd"/>
      <w:r w:rsidRPr="00DC60AE">
        <w:rPr>
          <w:rFonts w:asciiTheme="minorHAnsi" w:hAnsiTheme="minorHAnsi" w:cstheme="minorHAnsi"/>
          <w:szCs w:val="22"/>
          <w:shd w:val="clear" w:color="auto" w:fill="FFFFFF"/>
        </w:rPr>
        <w:t xml:space="preserve"> et al., 2022; Hasan et al., 2025; Chakma et al., 2026)</w:t>
      </w:r>
      <w:r w:rsidRPr="00DC60AE">
        <w:rPr>
          <w:rFonts w:asciiTheme="minorHAnsi" w:eastAsia="Times New Roman" w:hAnsiTheme="minorHAnsi" w:cstheme="minorHAnsi"/>
          <w:szCs w:val="22"/>
        </w:rPr>
        <w:t>. Despite the importance of rural retail markets, experiential research on FLW in Bangladesh has largely focused on the production and post-harvest stages, with relatively little attention to the retail level, particularly in rural settings (Akter et al., 2022). Another gap in the literature concerns retail owners' perceptions of the environmental impacts of food loss and waste (</w:t>
      </w:r>
      <w:proofErr w:type="spellStart"/>
      <w:r w:rsidRPr="00DC60AE">
        <w:rPr>
          <w:rFonts w:asciiTheme="minorHAnsi" w:eastAsia="Times New Roman" w:hAnsiTheme="minorHAnsi" w:cstheme="minorHAnsi"/>
          <w:szCs w:val="22"/>
        </w:rPr>
        <w:t>Aschemann</w:t>
      </w:r>
      <w:proofErr w:type="spellEnd"/>
      <w:r w:rsidRPr="00DC60AE">
        <w:rPr>
          <w:rFonts w:asciiTheme="minorHAnsi" w:eastAsia="Times New Roman" w:hAnsiTheme="minorHAnsi" w:cstheme="minorHAnsi"/>
          <w:szCs w:val="22"/>
        </w:rPr>
        <w:t xml:space="preserve"> et al., 2023; Haque et al., 2025). Retailers’ decisions related to purchasing quantities, storage, pricing, handling, and disposal practices can significantly influence the amount of food lost or wasted in markets (Alam et al., 2025; </w:t>
      </w:r>
      <w:proofErr w:type="spellStart"/>
      <w:r w:rsidRPr="00DC60AE">
        <w:rPr>
          <w:rFonts w:asciiTheme="minorHAnsi" w:hAnsiTheme="minorHAnsi" w:cstheme="minorHAnsi"/>
          <w:szCs w:val="22"/>
          <w:shd w:val="clear" w:color="auto" w:fill="FFFFFF"/>
        </w:rPr>
        <w:t>Shee</w:t>
      </w:r>
      <w:proofErr w:type="spellEnd"/>
      <w:r w:rsidRPr="00DC60AE">
        <w:rPr>
          <w:rFonts w:asciiTheme="minorHAnsi" w:hAnsiTheme="minorHAnsi" w:cstheme="minorHAnsi"/>
          <w:szCs w:val="22"/>
          <w:shd w:val="clear" w:color="auto" w:fill="FFFFFF"/>
        </w:rPr>
        <w:t xml:space="preserve"> et al., 2023</w:t>
      </w:r>
      <w:r w:rsidRPr="00DC60AE">
        <w:rPr>
          <w:rFonts w:asciiTheme="minorHAnsi" w:eastAsia="Times New Roman" w:hAnsiTheme="minorHAnsi" w:cstheme="minorHAnsi"/>
          <w:szCs w:val="22"/>
        </w:rPr>
        <w:t xml:space="preserve">). </w:t>
      </w:r>
    </w:p>
    <w:p w14:paraId="03272A55" w14:textId="77777777" w:rsidR="006A5382" w:rsidRPr="00DC60AE" w:rsidRDefault="006A5382" w:rsidP="00DC60AE">
      <w:pPr>
        <w:spacing w:after="0" w:line="240" w:lineRule="auto"/>
        <w:rPr>
          <w:rFonts w:asciiTheme="minorHAnsi" w:eastAsia="Times New Roman" w:hAnsiTheme="minorHAnsi" w:cstheme="minorHAnsi"/>
          <w:szCs w:val="22"/>
        </w:rPr>
      </w:pPr>
    </w:p>
    <w:p w14:paraId="108FA612" w14:textId="77777777" w:rsidR="006A5382" w:rsidRPr="00DC60AE" w:rsidRDefault="006A5382"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Food handlers also play an important role in maintaining food safety and preventing foodborne illnesses. In Bangladesh, conventional food safety research has mainly focused on the microbiological and chemical quality of food, whereas the role of food handlers has received comparatively limited attention (Al Banna et al., 2021). Food handlers working in restaurants, street food stalls, retail markets, food industries, and households vary widely in their socio-demographic characteristics, including gender, age, education, and income (Rahman et al., 2025; </w:t>
      </w:r>
      <w:proofErr w:type="spellStart"/>
      <w:r w:rsidRPr="00DC60AE">
        <w:rPr>
          <w:rFonts w:asciiTheme="minorHAnsi" w:hAnsiTheme="minorHAnsi" w:cstheme="minorHAnsi"/>
          <w:szCs w:val="22"/>
        </w:rPr>
        <w:t>Siddiky</w:t>
      </w:r>
      <w:proofErr w:type="spellEnd"/>
      <w:r w:rsidRPr="00DC60AE">
        <w:rPr>
          <w:rFonts w:asciiTheme="minorHAnsi" w:hAnsiTheme="minorHAnsi" w:cstheme="minorHAnsi"/>
          <w:szCs w:val="22"/>
        </w:rPr>
        <w:t xml:space="preserve"> et al., 2024). Studies indicate that the minimum level of food safety knowledge among food handlers is about 62.5%, while food safety practices remain poor in approximately 72.73% of cases (Rifat et al., 2022). Education, training, experience, and attitudes toward food handling are key factors influencing food safety knowledge and practices. Overall, food safety knowledge and practices among food handlers in Bangladesh remain unsatisfactory (Islam et al., 2023).</w:t>
      </w:r>
    </w:p>
    <w:p w14:paraId="71E2B3F1" w14:textId="77777777" w:rsidR="006A5382" w:rsidRPr="00DC60AE" w:rsidRDefault="006A5382" w:rsidP="00DC60AE">
      <w:pPr>
        <w:spacing w:after="0" w:line="240" w:lineRule="auto"/>
        <w:rPr>
          <w:rFonts w:asciiTheme="minorHAnsi" w:hAnsiTheme="minorHAnsi" w:cstheme="minorHAnsi"/>
          <w:szCs w:val="22"/>
        </w:rPr>
      </w:pPr>
    </w:p>
    <w:p w14:paraId="211E0642" w14:textId="77777777" w:rsidR="006A5382" w:rsidRPr="00DC60AE" w:rsidRDefault="006A5382" w:rsidP="00DC60AE">
      <w:pPr>
        <w:spacing w:after="0" w:line="240" w:lineRule="auto"/>
        <w:rPr>
          <w:rFonts w:asciiTheme="minorHAnsi" w:hAnsiTheme="minorHAnsi" w:cstheme="minorHAnsi"/>
          <w:szCs w:val="22"/>
        </w:rPr>
      </w:pPr>
      <w:r w:rsidRPr="00DC60AE">
        <w:rPr>
          <w:rFonts w:asciiTheme="minorHAnsi" w:eastAsia="Times New Roman" w:hAnsiTheme="minorHAnsi" w:cstheme="minorHAnsi"/>
          <w:szCs w:val="22"/>
        </w:rPr>
        <w:t xml:space="preserve">In rural Bangladesh, food loss and waste are influenced by a complex interaction of economic constraints, infrastructural limitations, social norms, and institutional arrangements. Factors such as price volatility, lack of cold storage facilities, inadequate waste management services, and consumer demand for visually fresh produce often force retailers to discard unsold or damaged food. Limited awareness of the environmental impacts of food waste (Naser, 2020) and the absence of incentives for waste reduction further discourage the adoption of improved waste management practices such as composting (Hossain et al., 2023). </w:t>
      </w:r>
      <w:r w:rsidRPr="00DC60AE">
        <w:rPr>
          <w:rFonts w:asciiTheme="minorHAnsi" w:hAnsiTheme="minorHAnsi" w:cstheme="minorHAnsi"/>
          <w:szCs w:val="22"/>
        </w:rPr>
        <w:t>Despite increasing global attention to food loss and waste, empirical evidence on FLW at the retail level in rural Bangladesh remains limited. This study aims to address this gap by examining food loss and waste in retail shops in the Faridpur district. Specifically, it investigates the causes of FLW, its immediate impacts on the surrounding environment in rural market centers, and its consequences for retail shop operations.</w:t>
      </w:r>
    </w:p>
    <w:p w14:paraId="17E2E66C" w14:textId="77777777" w:rsidR="006A5382" w:rsidRPr="00DC60AE" w:rsidRDefault="006A5382" w:rsidP="00DC60AE">
      <w:pPr>
        <w:spacing w:after="0" w:line="240" w:lineRule="auto"/>
        <w:rPr>
          <w:rFonts w:asciiTheme="minorHAnsi" w:eastAsia="Times New Roman" w:hAnsiTheme="minorHAnsi" w:cstheme="minorHAnsi"/>
          <w:szCs w:val="22"/>
        </w:rPr>
      </w:pPr>
    </w:p>
    <w:p w14:paraId="440F8778" w14:textId="77777777" w:rsidR="00615F8F" w:rsidRPr="00DC60AE" w:rsidRDefault="00615F8F" w:rsidP="00DC60AE">
      <w:pPr>
        <w:pStyle w:val="ListParagraph"/>
        <w:numPr>
          <w:ilvl w:val="0"/>
          <w:numId w:val="14"/>
        </w:numPr>
        <w:spacing w:after="0" w:line="240" w:lineRule="auto"/>
        <w:rPr>
          <w:rFonts w:asciiTheme="minorHAnsi" w:hAnsiTheme="minorHAnsi" w:cstheme="minorHAnsi"/>
          <w:b/>
          <w:szCs w:val="22"/>
        </w:rPr>
      </w:pPr>
      <w:r w:rsidRPr="00DC60AE">
        <w:rPr>
          <w:rFonts w:asciiTheme="minorHAnsi" w:hAnsiTheme="minorHAnsi" w:cstheme="minorHAnsi"/>
          <w:b/>
          <w:szCs w:val="22"/>
        </w:rPr>
        <w:t xml:space="preserve">MATERIALS AND METHODS </w:t>
      </w:r>
    </w:p>
    <w:p w14:paraId="440F8779" w14:textId="77777777" w:rsidR="007F3E2A" w:rsidRPr="00DC60AE" w:rsidRDefault="007F3E2A" w:rsidP="00DC60AE">
      <w:pPr>
        <w:pStyle w:val="Heading3"/>
        <w:numPr>
          <w:ilvl w:val="0"/>
          <w:numId w:val="0"/>
        </w:numPr>
        <w:spacing w:before="0" w:after="0" w:line="240" w:lineRule="auto"/>
        <w:ind w:left="720" w:hanging="720"/>
        <w:rPr>
          <w:rFonts w:asciiTheme="minorHAnsi" w:eastAsia="Times New Roman" w:hAnsiTheme="minorHAnsi" w:cstheme="minorHAnsi"/>
          <w:szCs w:val="22"/>
        </w:rPr>
      </w:pPr>
      <w:r w:rsidRPr="00DC60AE">
        <w:rPr>
          <w:rFonts w:asciiTheme="minorHAnsi" w:hAnsiTheme="minorHAnsi" w:cstheme="minorHAnsi"/>
          <w:szCs w:val="22"/>
        </w:rPr>
        <w:t>2.1 Methodology</w:t>
      </w:r>
    </w:p>
    <w:p w14:paraId="440F877A" w14:textId="68B1AA62" w:rsidR="00B20B23" w:rsidRPr="00DC60AE" w:rsidRDefault="00B20B23"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The study employed a mixed-methods approach to collect reliable information on food loss and waste (FLW) from retail shops in rural market centers. Primary data were collected using structured questionnaires, focus group discussions (FGDs), and direct observations to capture the causes and environmental impacts of food loss and waste (FLW) in retail shops. </w:t>
      </w:r>
      <w:r w:rsidR="00C56E6B" w:rsidRPr="00DC60AE">
        <w:rPr>
          <w:rFonts w:asciiTheme="minorHAnsi" w:hAnsiTheme="minorHAnsi" w:cstheme="minorHAnsi"/>
          <w:szCs w:val="22"/>
        </w:rPr>
        <w:t>D</w:t>
      </w:r>
      <w:r w:rsidRPr="00DC60AE">
        <w:rPr>
          <w:rFonts w:asciiTheme="minorHAnsi" w:hAnsiTheme="minorHAnsi" w:cstheme="minorHAnsi"/>
          <w:szCs w:val="22"/>
        </w:rPr>
        <w:t xml:space="preserve">escriptive narrative analyses were conducted to triangulate survey results and provide in-depth insights. Additionally, a literature review highlighted gaps in accurate quantitative data on FLW in rural markets, including the perishability of fruits and vegetables and factors contributing to FLW, </w:t>
      </w:r>
      <w:r w:rsidRPr="00DC60AE">
        <w:rPr>
          <w:rFonts w:asciiTheme="minorHAnsi" w:eastAsia="Times New Roman" w:hAnsiTheme="minorHAnsi" w:cstheme="minorHAnsi"/>
          <w:szCs w:val="22"/>
        </w:rPr>
        <w:t>and its environmental impacts</w:t>
      </w:r>
      <w:r w:rsidRPr="00DC60AE">
        <w:rPr>
          <w:rFonts w:asciiTheme="minorHAnsi" w:hAnsiTheme="minorHAnsi" w:cstheme="minorHAnsi"/>
          <w:szCs w:val="22"/>
        </w:rPr>
        <w:t xml:space="preserve">. Secondary data from government reports and research publications complemented primary findings to validate the results. Quantitative survey respondents were selected through simple random sampling from </w:t>
      </w:r>
      <w:r w:rsidR="00BA5842" w:rsidRPr="00DC60AE">
        <w:rPr>
          <w:rFonts w:asciiTheme="minorHAnsi" w:hAnsiTheme="minorHAnsi" w:cstheme="minorHAnsi"/>
          <w:szCs w:val="22"/>
        </w:rPr>
        <w:t>20</w:t>
      </w:r>
      <w:r w:rsidRPr="00DC60AE">
        <w:rPr>
          <w:rFonts w:asciiTheme="minorHAnsi" w:hAnsiTheme="minorHAnsi" w:cstheme="minorHAnsi"/>
          <w:szCs w:val="22"/>
        </w:rPr>
        <w:t xml:space="preserve"> rural markets across four upazilas (Faridpur Sadar, Char Bhadrason, Sadarpur, and Boalmari) in Faridpur district, Bangladesh.</w:t>
      </w:r>
    </w:p>
    <w:p w14:paraId="440F877B" w14:textId="77777777" w:rsidR="00B20B23" w:rsidRPr="00DC60AE" w:rsidRDefault="00B20B23" w:rsidP="00DC60AE">
      <w:pPr>
        <w:pStyle w:val="Heading3"/>
        <w:numPr>
          <w:ilvl w:val="0"/>
          <w:numId w:val="0"/>
        </w:numPr>
        <w:spacing w:before="0" w:after="0" w:line="240" w:lineRule="auto"/>
        <w:ind w:left="720" w:hanging="720"/>
        <w:rPr>
          <w:rFonts w:asciiTheme="minorHAnsi" w:hAnsiTheme="minorHAnsi" w:cstheme="minorHAnsi"/>
          <w:szCs w:val="22"/>
        </w:rPr>
      </w:pPr>
    </w:p>
    <w:p w14:paraId="440F877C" w14:textId="77777777" w:rsidR="007F3E2A" w:rsidRPr="00DC60AE" w:rsidRDefault="00B20B23" w:rsidP="00DC60AE">
      <w:pPr>
        <w:pStyle w:val="Heading3"/>
        <w:numPr>
          <w:ilvl w:val="0"/>
          <w:numId w:val="0"/>
        </w:numPr>
        <w:spacing w:before="0" w:after="0" w:line="240" w:lineRule="auto"/>
        <w:ind w:left="720" w:hanging="720"/>
        <w:rPr>
          <w:rFonts w:asciiTheme="minorHAnsi" w:hAnsiTheme="minorHAnsi" w:cstheme="minorHAnsi"/>
          <w:szCs w:val="22"/>
        </w:rPr>
      </w:pPr>
      <w:r w:rsidRPr="00DC60AE">
        <w:rPr>
          <w:rFonts w:asciiTheme="minorHAnsi" w:hAnsiTheme="minorHAnsi" w:cstheme="minorHAnsi"/>
          <w:szCs w:val="22"/>
        </w:rPr>
        <w:t>2.2</w:t>
      </w:r>
      <w:r w:rsidR="007F3E2A" w:rsidRPr="00DC60AE">
        <w:rPr>
          <w:rFonts w:asciiTheme="minorHAnsi" w:hAnsiTheme="minorHAnsi" w:cstheme="minorHAnsi"/>
          <w:szCs w:val="22"/>
        </w:rPr>
        <w:t xml:space="preserve"> Sampling</w:t>
      </w:r>
    </w:p>
    <w:p w14:paraId="440F877D" w14:textId="37E7C8A7" w:rsidR="008604C3" w:rsidRPr="00DC60AE" w:rsidRDefault="008604C3" w:rsidP="00DC60AE">
      <w:pPr>
        <w:pStyle w:val="Heading3"/>
        <w:numPr>
          <w:ilvl w:val="0"/>
          <w:numId w:val="0"/>
        </w:numPr>
        <w:spacing w:before="0" w:after="0" w:line="240" w:lineRule="auto"/>
        <w:rPr>
          <w:rFonts w:asciiTheme="minorHAnsi" w:hAnsiTheme="minorHAnsi" w:cstheme="minorHAnsi"/>
          <w:b w:val="0"/>
          <w:szCs w:val="22"/>
        </w:rPr>
      </w:pPr>
      <w:r w:rsidRPr="00DC60AE">
        <w:rPr>
          <w:rFonts w:asciiTheme="minorHAnsi" w:hAnsiTheme="minorHAnsi" w:cstheme="minorHAnsi"/>
          <w:b w:val="0"/>
          <w:szCs w:val="22"/>
        </w:rPr>
        <w:t xml:space="preserve">This study </w:t>
      </w:r>
      <w:r w:rsidR="00CC2392" w:rsidRPr="00DC60AE">
        <w:rPr>
          <w:rFonts w:asciiTheme="minorHAnsi" w:hAnsiTheme="minorHAnsi" w:cstheme="minorHAnsi"/>
          <w:b w:val="0"/>
          <w:szCs w:val="22"/>
        </w:rPr>
        <w:t>uses</w:t>
      </w:r>
      <w:r w:rsidRPr="00DC60AE">
        <w:rPr>
          <w:rFonts w:asciiTheme="minorHAnsi" w:hAnsiTheme="minorHAnsi" w:cstheme="minorHAnsi"/>
          <w:b w:val="0"/>
          <w:szCs w:val="22"/>
        </w:rPr>
        <w:t xml:space="preserve"> both probability and non-probability sampling techniques. A stratified sampling method was first applied to identify high-FLW areas within the study locations. Within these selected market centers, respondents were randomly chosen to ensure representativeness of the population. A total of </w:t>
      </w:r>
      <w:r w:rsidR="004805F8" w:rsidRPr="00DC60AE">
        <w:rPr>
          <w:rFonts w:asciiTheme="minorHAnsi" w:hAnsiTheme="minorHAnsi" w:cstheme="minorHAnsi"/>
          <w:b w:val="0"/>
          <w:szCs w:val="22"/>
        </w:rPr>
        <w:t>196</w:t>
      </w:r>
      <w:r w:rsidRPr="00DC60AE">
        <w:rPr>
          <w:rFonts w:asciiTheme="minorHAnsi" w:hAnsiTheme="minorHAnsi" w:cstheme="minorHAnsi"/>
          <w:b w:val="0"/>
          <w:szCs w:val="22"/>
        </w:rPr>
        <w:t xml:space="preserve"> respondents were surveyed, comprising </w:t>
      </w:r>
      <w:r w:rsidR="004805F8" w:rsidRPr="00DC60AE">
        <w:rPr>
          <w:rFonts w:asciiTheme="minorHAnsi" w:hAnsiTheme="minorHAnsi" w:cstheme="minorHAnsi"/>
          <w:b w:val="0"/>
          <w:szCs w:val="22"/>
        </w:rPr>
        <w:t>120</w:t>
      </w:r>
      <w:r w:rsidRPr="00DC60AE">
        <w:rPr>
          <w:rFonts w:asciiTheme="minorHAnsi" w:hAnsiTheme="minorHAnsi" w:cstheme="minorHAnsi"/>
          <w:b w:val="0"/>
          <w:szCs w:val="22"/>
        </w:rPr>
        <w:t xml:space="preserve"> vegetable retailers and </w:t>
      </w:r>
      <w:r w:rsidR="004805F8" w:rsidRPr="00DC60AE">
        <w:rPr>
          <w:rFonts w:asciiTheme="minorHAnsi" w:hAnsiTheme="minorHAnsi" w:cstheme="minorHAnsi"/>
          <w:b w:val="0"/>
          <w:szCs w:val="22"/>
        </w:rPr>
        <w:t>76</w:t>
      </w:r>
      <w:r w:rsidRPr="00DC60AE">
        <w:rPr>
          <w:rFonts w:asciiTheme="minorHAnsi" w:hAnsiTheme="minorHAnsi" w:cstheme="minorHAnsi"/>
          <w:b w:val="0"/>
          <w:szCs w:val="22"/>
        </w:rPr>
        <w:t xml:space="preserve"> fruit retailers, with sampling based on market size and the number of sellers. Additionally, </w:t>
      </w:r>
      <w:r w:rsidR="00CC2392" w:rsidRPr="00DC60AE">
        <w:rPr>
          <w:rFonts w:asciiTheme="minorHAnsi" w:hAnsiTheme="minorHAnsi" w:cstheme="minorHAnsi"/>
          <w:b w:val="0"/>
          <w:szCs w:val="22"/>
        </w:rPr>
        <w:t>six</w:t>
      </w:r>
      <w:r w:rsidRPr="00DC60AE">
        <w:rPr>
          <w:rFonts w:asciiTheme="minorHAnsi" w:hAnsiTheme="minorHAnsi" w:cstheme="minorHAnsi"/>
          <w:b w:val="0"/>
          <w:szCs w:val="22"/>
        </w:rPr>
        <w:t xml:space="preserve"> focus group discussions (FGDs) were conducted in six selected market centers to gather qualitative insights on the causes and environmental consequences of FLW. Vegetable and fruit retailers participated in FGDs, providing information on waste generation, management practices, and impacts on the surrounding environment. Direct observations were also conducted using a checklist to document waste handling, separation procedures, and any technologies employed by retailers to minimize FLW.</w:t>
      </w:r>
    </w:p>
    <w:p w14:paraId="440F877E" w14:textId="77777777" w:rsidR="00BF6ED8" w:rsidRPr="00DC60AE" w:rsidRDefault="00BF6ED8" w:rsidP="00DC60AE">
      <w:pPr>
        <w:spacing w:after="0" w:line="240" w:lineRule="auto"/>
        <w:rPr>
          <w:rFonts w:asciiTheme="minorHAnsi" w:hAnsiTheme="minorHAnsi" w:cstheme="minorHAnsi"/>
          <w:szCs w:val="22"/>
        </w:rPr>
      </w:pPr>
    </w:p>
    <w:p w14:paraId="440F877F" w14:textId="77777777" w:rsidR="008604C3" w:rsidRPr="00DC60AE" w:rsidRDefault="00BF6ED8" w:rsidP="00DC60AE">
      <w:pPr>
        <w:spacing w:after="0" w:line="240" w:lineRule="auto"/>
        <w:rPr>
          <w:rFonts w:asciiTheme="minorHAnsi" w:hAnsiTheme="minorHAnsi" w:cstheme="minorHAnsi"/>
          <w:b/>
          <w:szCs w:val="22"/>
        </w:rPr>
      </w:pPr>
      <w:r w:rsidRPr="00DC60AE">
        <w:rPr>
          <w:rFonts w:asciiTheme="minorHAnsi" w:hAnsiTheme="minorHAnsi" w:cstheme="minorHAnsi"/>
          <w:b/>
          <w:szCs w:val="22"/>
        </w:rPr>
        <w:t>2.3 Data collection</w:t>
      </w:r>
    </w:p>
    <w:p w14:paraId="440F8780" w14:textId="7798EE53" w:rsidR="00BF6ED8" w:rsidRPr="00DC60AE" w:rsidRDefault="00BF6ED8" w:rsidP="00DC60AE">
      <w:pPr>
        <w:pStyle w:val="ListParagraph"/>
        <w:spacing w:after="0" w:line="240" w:lineRule="auto"/>
        <w:ind w:left="0"/>
        <w:rPr>
          <w:rFonts w:asciiTheme="minorHAnsi" w:hAnsiTheme="minorHAnsi" w:cstheme="minorHAnsi"/>
          <w:szCs w:val="22"/>
        </w:rPr>
      </w:pPr>
      <w:r w:rsidRPr="00DC60AE">
        <w:rPr>
          <w:rFonts w:asciiTheme="minorHAnsi" w:hAnsiTheme="minorHAnsi" w:cstheme="minorHAnsi"/>
          <w:szCs w:val="22"/>
        </w:rPr>
        <w:t xml:space="preserve">Primary data were collected using a structured questionnaire following standard data collection procedures, which allowed for the collection of comprehensive and comparable information on food loss and waste. Data were gathered from vegetable and fruit retailers in rural market centers. The study included different varieties of fruits and vegetables with varying perishability and storage suitability. Accordingly, the seasonality of vegetables and fruits was prioritized </w:t>
      </w:r>
      <w:r w:rsidR="007E4DFE" w:rsidRPr="00DC60AE">
        <w:rPr>
          <w:rFonts w:asciiTheme="minorHAnsi" w:hAnsiTheme="minorHAnsi" w:cstheme="minorHAnsi"/>
          <w:szCs w:val="22"/>
        </w:rPr>
        <w:t>to assess the causes of food loss and waste accurately</w:t>
      </w:r>
      <w:r w:rsidRPr="00DC60AE">
        <w:rPr>
          <w:rFonts w:asciiTheme="minorHAnsi" w:hAnsiTheme="minorHAnsi" w:cstheme="minorHAnsi"/>
          <w:szCs w:val="22"/>
        </w:rPr>
        <w:t>.</w:t>
      </w:r>
      <w:r w:rsidR="00D66CC2" w:rsidRPr="00DC60AE">
        <w:rPr>
          <w:rFonts w:asciiTheme="minorHAnsi" w:hAnsiTheme="minorHAnsi" w:cstheme="minorHAnsi"/>
          <w:szCs w:val="22"/>
        </w:rPr>
        <w:t xml:space="preserve"> </w:t>
      </w:r>
    </w:p>
    <w:p w14:paraId="440F8781" w14:textId="77777777" w:rsidR="005B1B88" w:rsidRPr="00DC60AE" w:rsidRDefault="005B1B88" w:rsidP="00DC60AE">
      <w:pPr>
        <w:pStyle w:val="Heading3"/>
        <w:numPr>
          <w:ilvl w:val="0"/>
          <w:numId w:val="0"/>
        </w:numPr>
        <w:spacing w:before="0" w:after="0" w:line="240" w:lineRule="auto"/>
        <w:ind w:left="720" w:hanging="720"/>
        <w:rPr>
          <w:rFonts w:asciiTheme="minorHAnsi" w:hAnsiTheme="minorHAnsi" w:cstheme="minorHAnsi"/>
          <w:szCs w:val="22"/>
        </w:rPr>
      </w:pPr>
    </w:p>
    <w:p w14:paraId="440F8782" w14:textId="77777777" w:rsidR="007F3E2A" w:rsidRPr="00DC60AE" w:rsidRDefault="00BF6ED8" w:rsidP="00DC60AE">
      <w:pPr>
        <w:pStyle w:val="Heading3"/>
        <w:numPr>
          <w:ilvl w:val="0"/>
          <w:numId w:val="0"/>
        </w:numPr>
        <w:spacing w:before="0" w:after="0" w:line="240" w:lineRule="auto"/>
        <w:ind w:left="720" w:hanging="720"/>
        <w:rPr>
          <w:rFonts w:asciiTheme="minorHAnsi" w:hAnsiTheme="minorHAnsi" w:cstheme="minorHAnsi"/>
          <w:szCs w:val="22"/>
        </w:rPr>
      </w:pPr>
      <w:r w:rsidRPr="00DC60AE">
        <w:rPr>
          <w:rFonts w:asciiTheme="minorHAnsi" w:hAnsiTheme="minorHAnsi" w:cstheme="minorHAnsi"/>
          <w:szCs w:val="22"/>
        </w:rPr>
        <w:t>2.4</w:t>
      </w:r>
      <w:r w:rsidR="007F3E2A" w:rsidRPr="00DC60AE">
        <w:rPr>
          <w:rFonts w:asciiTheme="minorHAnsi" w:hAnsiTheme="minorHAnsi" w:cstheme="minorHAnsi"/>
          <w:szCs w:val="22"/>
        </w:rPr>
        <w:t xml:space="preserve"> Data Analysis</w:t>
      </w:r>
    </w:p>
    <w:p w14:paraId="440F8783" w14:textId="77777777" w:rsidR="007F3E2A" w:rsidRPr="00DC60AE" w:rsidRDefault="00BF6ED8" w:rsidP="00DC60AE">
      <w:pPr>
        <w:spacing w:after="0" w:line="240" w:lineRule="auto"/>
        <w:rPr>
          <w:rFonts w:asciiTheme="minorHAnsi" w:hAnsiTheme="minorHAnsi" w:cstheme="minorHAnsi"/>
          <w:b/>
          <w:szCs w:val="22"/>
        </w:rPr>
      </w:pPr>
      <w:r w:rsidRPr="00DC60AE">
        <w:rPr>
          <w:rFonts w:asciiTheme="minorHAnsi" w:eastAsia="Times New Roman" w:hAnsiTheme="minorHAnsi" w:cstheme="minorHAnsi"/>
          <w:szCs w:val="22"/>
        </w:rPr>
        <w:t>Questionnaire data were coded and analyzed using SPSS to generate descriptive statistics, while Microsoft Excel was used for tabulation, frequency distributions, and visual presentation through tables, charts, and graphs. Qualitative data from FGDs and observations were thematically analyzed to complement and interpret the quantitative findings.</w:t>
      </w:r>
    </w:p>
    <w:p w14:paraId="3CD7E10F" w14:textId="77777777" w:rsidR="007E4DFE" w:rsidRPr="00DC60AE" w:rsidRDefault="007E4DFE" w:rsidP="00DC60AE">
      <w:pPr>
        <w:spacing w:after="0" w:line="240" w:lineRule="auto"/>
        <w:rPr>
          <w:rFonts w:asciiTheme="minorHAnsi" w:eastAsia="Times New Roman" w:hAnsiTheme="minorHAnsi" w:cstheme="minorHAnsi"/>
          <w:b/>
          <w:bCs/>
        </w:rPr>
      </w:pPr>
    </w:p>
    <w:p w14:paraId="28636237" w14:textId="2FC4AAA3" w:rsidR="007E4DFE" w:rsidRPr="00DC60AE" w:rsidRDefault="007E4DFE" w:rsidP="00DC60AE">
      <w:pPr>
        <w:spacing w:after="0" w:line="240" w:lineRule="auto"/>
        <w:rPr>
          <w:rFonts w:asciiTheme="minorHAnsi" w:eastAsia="Times New Roman" w:hAnsiTheme="minorHAnsi" w:cstheme="minorHAnsi"/>
          <w:b/>
          <w:bCs/>
        </w:rPr>
      </w:pPr>
      <w:r w:rsidRPr="00DC60AE">
        <w:rPr>
          <w:rFonts w:asciiTheme="minorHAnsi" w:eastAsia="Times New Roman" w:hAnsiTheme="minorHAnsi" w:cstheme="minorHAnsi"/>
          <w:b/>
          <w:bCs/>
        </w:rPr>
        <w:t>2.5 Ethical consideration</w:t>
      </w:r>
    </w:p>
    <w:p w14:paraId="07BB98F2" w14:textId="110D182E" w:rsidR="007E4DFE" w:rsidRPr="00DC60AE" w:rsidRDefault="007E4DFE" w:rsidP="00DC60AE">
      <w:pPr>
        <w:spacing w:after="0" w:line="240" w:lineRule="auto"/>
        <w:rPr>
          <w:rFonts w:asciiTheme="minorHAnsi" w:eastAsia="Times New Roman" w:hAnsiTheme="minorHAnsi" w:cstheme="minorHAnsi"/>
          <w:bCs/>
        </w:rPr>
      </w:pPr>
      <w:r w:rsidRPr="00DC60AE">
        <w:rPr>
          <w:rFonts w:asciiTheme="minorHAnsi" w:eastAsia="Times New Roman" w:hAnsiTheme="minorHAnsi" w:cstheme="minorHAnsi"/>
          <w:bCs/>
        </w:rPr>
        <w:t xml:space="preserve">The study </w:t>
      </w:r>
      <w:r w:rsidR="00CC2392" w:rsidRPr="00DC60AE">
        <w:rPr>
          <w:rFonts w:asciiTheme="minorHAnsi" w:eastAsia="Times New Roman" w:hAnsiTheme="minorHAnsi" w:cstheme="minorHAnsi"/>
          <w:bCs/>
        </w:rPr>
        <w:t>obtained</w:t>
      </w:r>
      <w:r w:rsidRPr="00DC60AE">
        <w:rPr>
          <w:rFonts w:asciiTheme="minorHAnsi" w:eastAsia="Times New Roman" w:hAnsiTheme="minorHAnsi" w:cstheme="minorHAnsi"/>
          <w:bCs/>
        </w:rPr>
        <w:t xml:space="preserve"> informed consent from all participants and </w:t>
      </w:r>
      <w:r w:rsidR="00CC2392" w:rsidRPr="00DC60AE">
        <w:rPr>
          <w:rFonts w:asciiTheme="minorHAnsi" w:eastAsia="Times New Roman" w:hAnsiTheme="minorHAnsi" w:cstheme="minorHAnsi"/>
          <w:bCs/>
        </w:rPr>
        <w:t>ensured</w:t>
      </w:r>
      <w:r w:rsidRPr="00DC60AE">
        <w:rPr>
          <w:rFonts w:asciiTheme="minorHAnsi" w:eastAsia="Times New Roman" w:hAnsiTheme="minorHAnsi" w:cstheme="minorHAnsi"/>
          <w:bCs/>
        </w:rPr>
        <w:t xml:space="preserve"> their privacy and confidentiality. Participation was voluntary, and respondents could withdraw at any stage. Data collection was conducted respectfully, with attention to local cultural norms.</w:t>
      </w:r>
    </w:p>
    <w:p w14:paraId="3E6546E5" w14:textId="77777777" w:rsidR="00931202" w:rsidRPr="00DC60AE" w:rsidRDefault="00931202" w:rsidP="00DC60AE">
      <w:pPr>
        <w:spacing w:after="0" w:line="240" w:lineRule="auto"/>
        <w:rPr>
          <w:rFonts w:asciiTheme="minorHAnsi" w:eastAsia="Times New Roman" w:hAnsiTheme="minorHAnsi" w:cstheme="minorHAnsi"/>
          <w:bCs/>
        </w:rPr>
      </w:pPr>
    </w:p>
    <w:p w14:paraId="440F8793" w14:textId="77777777" w:rsidR="00375C98" w:rsidRPr="00DC60AE" w:rsidRDefault="00375C98" w:rsidP="00DC60AE">
      <w:pPr>
        <w:pStyle w:val="ListParagraph"/>
        <w:numPr>
          <w:ilvl w:val="0"/>
          <w:numId w:val="14"/>
        </w:numPr>
        <w:spacing w:after="0" w:line="240" w:lineRule="auto"/>
        <w:rPr>
          <w:rFonts w:asciiTheme="minorHAnsi" w:hAnsiTheme="minorHAnsi" w:cstheme="minorHAnsi"/>
          <w:b/>
          <w:szCs w:val="22"/>
        </w:rPr>
      </w:pPr>
      <w:r w:rsidRPr="00DC60AE">
        <w:rPr>
          <w:rFonts w:asciiTheme="minorHAnsi" w:hAnsiTheme="minorHAnsi" w:cstheme="minorHAnsi"/>
          <w:b/>
          <w:szCs w:val="22"/>
        </w:rPr>
        <w:t>RESULTS AND DISCUSSION</w:t>
      </w:r>
    </w:p>
    <w:p w14:paraId="440F8794" w14:textId="77777777" w:rsidR="00CE1DA3" w:rsidRPr="00DC60AE" w:rsidRDefault="00CE1DA3" w:rsidP="00DC60AE">
      <w:pPr>
        <w:spacing w:after="0" w:line="240" w:lineRule="auto"/>
        <w:rPr>
          <w:rFonts w:asciiTheme="minorHAnsi" w:hAnsiTheme="minorHAnsi" w:cstheme="minorHAnsi"/>
          <w:b/>
          <w:bCs/>
          <w:szCs w:val="22"/>
        </w:rPr>
      </w:pPr>
    </w:p>
    <w:p w14:paraId="440F8795" w14:textId="29A977AD" w:rsidR="00375C98" w:rsidRPr="00DC60AE" w:rsidRDefault="00BF6ED8" w:rsidP="00DC60AE">
      <w:pPr>
        <w:spacing w:after="0" w:line="240" w:lineRule="auto"/>
        <w:rPr>
          <w:rFonts w:asciiTheme="minorHAnsi" w:hAnsiTheme="minorHAnsi" w:cstheme="minorHAnsi"/>
          <w:b/>
          <w:bCs/>
          <w:sz w:val="20"/>
          <w:szCs w:val="20"/>
        </w:rPr>
      </w:pPr>
      <w:r w:rsidRPr="00DC60AE">
        <w:rPr>
          <w:rFonts w:asciiTheme="minorHAnsi" w:hAnsiTheme="minorHAnsi" w:cstheme="minorHAnsi"/>
          <w:b/>
          <w:bCs/>
          <w:sz w:val="20"/>
          <w:szCs w:val="20"/>
        </w:rPr>
        <w:t xml:space="preserve">3.1 </w:t>
      </w:r>
      <w:r w:rsidR="00375C98" w:rsidRPr="00DC60AE">
        <w:rPr>
          <w:rFonts w:asciiTheme="minorHAnsi" w:hAnsiTheme="minorHAnsi" w:cstheme="minorHAnsi"/>
          <w:b/>
          <w:bCs/>
          <w:sz w:val="20"/>
          <w:szCs w:val="20"/>
        </w:rPr>
        <w:t xml:space="preserve">RESPONSES DISTINGUISHED FROM RETAIL OWNERS </w:t>
      </w:r>
      <w:r w:rsidR="00771076" w:rsidRPr="00DC60AE">
        <w:rPr>
          <w:rFonts w:asciiTheme="minorHAnsi" w:hAnsiTheme="minorHAnsi" w:cstheme="minorHAnsi"/>
          <w:b/>
          <w:bCs/>
          <w:sz w:val="20"/>
          <w:szCs w:val="20"/>
        </w:rPr>
        <w:t>ON VEGETABLE</w:t>
      </w:r>
      <w:r w:rsidR="00375C98" w:rsidRPr="00DC60AE">
        <w:rPr>
          <w:rFonts w:asciiTheme="minorHAnsi" w:hAnsiTheme="minorHAnsi" w:cstheme="minorHAnsi"/>
          <w:b/>
          <w:bCs/>
          <w:sz w:val="20"/>
          <w:szCs w:val="20"/>
        </w:rPr>
        <w:t xml:space="preserve"> PERISHABILITY </w:t>
      </w:r>
    </w:p>
    <w:p w14:paraId="4079AD2F" w14:textId="7CE78533" w:rsidR="00E534C4" w:rsidRPr="00DC60AE" w:rsidRDefault="00C76993" w:rsidP="00DC60AE">
      <w:pPr>
        <w:pStyle w:val="ListParagraph"/>
        <w:tabs>
          <w:tab w:val="left" w:pos="270"/>
        </w:tabs>
        <w:spacing w:after="0" w:line="240" w:lineRule="auto"/>
        <w:ind w:left="0"/>
        <w:rPr>
          <w:rFonts w:asciiTheme="minorHAnsi" w:hAnsiTheme="minorHAnsi" w:cstheme="minorHAnsi"/>
          <w:szCs w:val="22"/>
        </w:rPr>
      </w:pPr>
      <w:r w:rsidRPr="00DC60AE">
        <w:rPr>
          <w:rFonts w:asciiTheme="minorHAnsi" w:hAnsiTheme="minorHAnsi" w:cstheme="minorHAnsi"/>
          <w:szCs w:val="22"/>
          <w:shd w:val="clear" w:color="auto" w:fill="FFFFFF"/>
        </w:rPr>
        <w:t xml:space="preserve">The study found that </w:t>
      </w:r>
      <w:r w:rsidRPr="00DC60AE">
        <w:rPr>
          <w:rFonts w:asciiTheme="minorHAnsi" w:hAnsiTheme="minorHAnsi" w:cstheme="minorHAnsi"/>
          <w:szCs w:val="22"/>
        </w:rPr>
        <w:t>66.06% of respondents reported that Cabbage (</w:t>
      </w:r>
      <w:r w:rsidRPr="00DC60AE">
        <w:rPr>
          <w:rFonts w:asciiTheme="minorHAnsi" w:hAnsiTheme="minorHAnsi" w:cstheme="minorHAnsi"/>
          <w:i/>
          <w:iCs/>
          <w:szCs w:val="22"/>
        </w:rPr>
        <w:t>Brassica oleracea</w:t>
      </w:r>
      <w:r w:rsidRPr="00DC60AE">
        <w:rPr>
          <w:rFonts w:asciiTheme="minorHAnsi" w:hAnsiTheme="minorHAnsi" w:cstheme="minorHAnsi"/>
          <w:szCs w:val="22"/>
        </w:rPr>
        <w:t xml:space="preserve">) perishability is higher than </w:t>
      </w:r>
      <w:r w:rsidR="00CC2392" w:rsidRPr="00DC60AE">
        <w:rPr>
          <w:rFonts w:asciiTheme="minorHAnsi" w:hAnsiTheme="minorHAnsi" w:cstheme="minorHAnsi"/>
          <w:szCs w:val="22"/>
        </w:rPr>
        <w:t xml:space="preserve">that of </w:t>
      </w:r>
      <w:r w:rsidRPr="00DC60AE">
        <w:rPr>
          <w:rFonts w:asciiTheme="minorHAnsi" w:hAnsiTheme="minorHAnsi" w:cstheme="minorHAnsi"/>
          <w:szCs w:val="22"/>
        </w:rPr>
        <w:t>other varieties</w:t>
      </w:r>
      <w:r w:rsidR="00CC2392" w:rsidRPr="00DC60AE">
        <w:rPr>
          <w:rFonts w:asciiTheme="minorHAnsi" w:hAnsiTheme="minorHAnsi" w:cstheme="minorHAnsi"/>
          <w:szCs w:val="22"/>
        </w:rPr>
        <w:t xml:space="preserve">. </w:t>
      </w:r>
      <w:r w:rsidRPr="00DC60AE">
        <w:rPr>
          <w:rFonts w:asciiTheme="minorHAnsi" w:hAnsiTheme="minorHAnsi" w:cstheme="minorHAnsi"/>
          <w:szCs w:val="22"/>
        </w:rPr>
        <w:t>Additionally, 63.30%, 62.39%, 50.46%, 47.71%, 44.95%, 44.04%, and 42.20% of respondents reported that the vegetable perishability is higher than the other vegetables of Cauliflower (Brassica oleracea), Ribbed gourd (</w:t>
      </w:r>
      <w:r w:rsidRPr="00DC60AE">
        <w:rPr>
          <w:rFonts w:asciiTheme="minorHAnsi" w:hAnsiTheme="minorHAnsi" w:cstheme="minorHAnsi"/>
          <w:i/>
          <w:iCs/>
          <w:szCs w:val="22"/>
        </w:rPr>
        <w:t xml:space="preserve">Luffa </w:t>
      </w:r>
      <w:proofErr w:type="spellStart"/>
      <w:r w:rsidRPr="00DC60AE">
        <w:rPr>
          <w:rFonts w:asciiTheme="minorHAnsi" w:hAnsiTheme="minorHAnsi" w:cstheme="minorHAnsi"/>
          <w:i/>
          <w:iCs/>
          <w:szCs w:val="22"/>
        </w:rPr>
        <w:t>acutagula</w:t>
      </w:r>
      <w:proofErr w:type="spellEnd"/>
      <w:r w:rsidRPr="00DC60AE">
        <w:rPr>
          <w:rFonts w:asciiTheme="minorHAnsi" w:hAnsiTheme="minorHAnsi" w:cstheme="minorHAnsi"/>
          <w:szCs w:val="22"/>
        </w:rPr>
        <w:t>), Leafy Vegetable (</w:t>
      </w:r>
      <w:r w:rsidRPr="00DC60AE">
        <w:rPr>
          <w:rFonts w:asciiTheme="minorHAnsi" w:hAnsiTheme="minorHAnsi" w:cstheme="minorHAnsi"/>
          <w:i/>
          <w:iCs/>
          <w:szCs w:val="22"/>
        </w:rPr>
        <w:t>Amaranthus gangeticus</w:t>
      </w:r>
      <w:r w:rsidRPr="00DC60AE">
        <w:rPr>
          <w:rFonts w:asciiTheme="minorHAnsi" w:hAnsiTheme="minorHAnsi" w:cstheme="minorHAnsi"/>
          <w:szCs w:val="22"/>
        </w:rPr>
        <w:t>), Potato (</w:t>
      </w:r>
      <w:r w:rsidRPr="00DC60AE">
        <w:rPr>
          <w:rFonts w:asciiTheme="minorHAnsi" w:hAnsiTheme="minorHAnsi" w:cstheme="minorHAnsi"/>
          <w:i/>
          <w:iCs/>
          <w:szCs w:val="22"/>
        </w:rPr>
        <w:t>Solanum tuberosum</w:t>
      </w:r>
      <w:r w:rsidRPr="00DC60AE">
        <w:rPr>
          <w:rFonts w:asciiTheme="minorHAnsi" w:hAnsiTheme="minorHAnsi" w:cstheme="minorHAnsi"/>
          <w:szCs w:val="22"/>
        </w:rPr>
        <w:t>), Radish (</w:t>
      </w:r>
      <w:r w:rsidRPr="00DC60AE">
        <w:rPr>
          <w:rFonts w:asciiTheme="minorHAnsi" w:hAnsiTheme="minorHAnsi" w:cstheme="minorHAnsi"/>
          <w:i/>
          <w:iCs/>
          <w:szCs w:val="22"/>
        </w:rPr>
        <w:t>Raphanus sativus</w:t>
      </w:r>
      <w:r w:rsidRPr="00DC60AE">
        <w:rPr>
          <w:rFonts w:asciiTheme="minorHAnsi" w:hAnsiTheme="minorHAnsi" w:cstheme="minorHAnsi"/>
          <w:szCs w:val="22"/>
        </w:rPr>
        <w:t>), Cucumber (</w:t>
      </w:r>
      <w:r w:rsidRPr="00DC60AE">
        <w:rPr>
          <w:rFonts w:asciiTheme="minorHAnsi" w:hAnsiTheme="minorHAnsi" w:cstheme="minorHAnsi"/>
          <w:i/>
          <w:iCs/>
          <w:szCs w:val="22"/>
        </w:rPr>
        <w:t>Cucumis sativus</w:t>
      </w:r>
      <w:r w:rsidRPr="00DC60AE">
        <w:rPr>
          <w:rFonts w:asciiTheme="minorHAnsi" w:hAnsiTheme="minorHAnsi" w:cstheme="minorHAnsi"/>
          <w:szCs w:val="22"/>
        </w:rPr>
        <w:t>), and Bitter gourd (</w:t>
      </w:r>
      <w:r w:rsidRPr="00DC60AE">
        <w:rPr>
          <w:rFonts w:asciiTheme="minorHAnsi" w:hAnsiTheme="minorHAnsi" w:cstheme="minorHAnsi"/>
          <w:i/>
          <w:iCs/>
          <w:szCs w:val="22"/>
        </w:rPr>
        <w:t>Momordica charantia</w:t>
      </w:r>
      <w:r w:rsidRPr="00DC60AE">
        <w:rPr>
          <w:rFonts w:asciiTheme="minorHAnsi" w:hAnsiTheme="minorHAnsi" w:cstheme="minorHAnsi"/>
          <w:szCs w:val="22"/>
        </w:rPr>
        <w:t>), respectively. On the other hand, 47.71% of respondents reported that the low perishability of carrots (</w:t>
      </w:r>
      <w:proofErr w:type="spellStart"/>
      <w:r w:rsidRPr="00DC60AE">
        <w:rPr>
          <w:rFonts w:asciiTheme="minorHAnsi" w:hAnsiTheme="minorHAnsi" w:cstheme="minorHAnsi"/>
          <w:i/>
          <w:iCs/>
          <w:szCs w:val="22"/>
        </w:rPr>
        <w:t>Daucas</w:t>
      </w:r>
      <w:proofErr w:type="spellEnd"/>
      <w:r w:rsidRPr="00DC60AE">
        <w:rPr>
          <w:rFonts w:asciiTheme="minorHAnsi" w:hAnsiTheme="minorHAnsi" w:cstheme="minorHAnsi"/>
          <w:i/>
          <w:iCs/>
          <w:szCs w:val="22"/>
        </w:rPr>
        <w:t xml:space="preserve"> </w:t>
      </w:r>
      <w:proofErr w:type="spellStart"/>
      <w:r w:rsidRPr="00DC60AE">
        <w:rPr>
          <w:rFonts w:asciiTheme="minorHAnsi" w:hAnsiTheme="minorHAnsi" w:cstheme="minorHAnsi"/>
          <w:i/>
          <w:iCs/>
          <w:szCs w:val="22"/>
        </w:rPr>
        <w:t>carota</w:t>
      </w:r>
      <w:proofErr w:type="spellEnd"/>
      <w:r w:rsidRPr="00DC60AE">
        <w:rPr>
          <w:rFonts w:asciiTheme="minorHAnsi" w:hAnsiTheme="minorHAnsi" w:cstheme="minorHAnsi"/>
          <w:szCs w:val="22"/>
        </w:rPr>
        <w:t xml:space="preserve">) </w:t>
      </w:r>
      <w:r w:rsidR="008B2DD8" w:rsidRPr="00DC60AE">
        <w:rPr>
          <w:rFonts w:asciiTheme="minorHAnsi" w:hAnsiTheme="minorHAnsi" w:cstheme="minorHAnsi"/>
          <w:szCs w:val="22"/>
        </w:rPr>
        <w:t xml:space="preserve">is lower </w:t>
      </w:r>
      <w:r w:rsidRPr="00DC60AE">
        <w:rPr>
          <w:rFonts w:asciiTheme="minorHAnsi" w:hAnsiTheme="minorHAnsi" w:cstheme="minorHAnsi"/>
          <w:szCs w:val="22"/>
        </w:rPr>
        <w:t xml:space="preserve">than </w:t>
      </w:r>
      <w:r w:rsidR="003949EC" w:rsidRPr="00DC60AE">
        <w:rPr>
          <w:rFonts w:asciiTheme="minorHAnsi" w:hAnsiTheme="minorHAnsi" w:cstheme="minorHAnsi"/>
          <w:szCs w:val="22"/>
        </w:rPr>
        <w:t xml:space="preserve">that of </w:t>
      </w:r>
      <w:r w:rsidRPr="00DC60AE">
        <w:rPr>
          <w:rFonts w:asciiTheme="minorHAnsi" w:hAnsiTheme="minorHAnsi" w:cstheme="minorHAnsi"/>
          <w:szCs w:val="22"/>
        </w:rPr>
        <w:t xml:space="preserve">other vegetables. </w:t>
      </w:r>
      <w:r w:rsidR="00E534C4" w:rsidRPr="00DC60AE">
        <w:rPr>
          <w:rFonts w:asciiTheme="minorHAnsi" w:hAnsiTheme="minorHAnsi" w:cstheme="minorHAnsi"/>
          <w:szCs w:val="22"/>
        </w:rPr>
        <w:t>On the other hand, the study found that 64.29% of respondents reported that the banana (</w:t>
      </w:r>
      <w:r w:rsidR="00E534C4" w:rsidRPr="00DC60AE">
        <w:rPr>
          <w:rFonts w:asciiTheme="minorHAnsi" w:hAnsiTheme="minorHAnsi" w:cstheme="minorHAnsi"/>
          <w:i/>
          <w:iCs/>
          <w:szCs w:val="22"/>
        </w:rPr>
        <w:t xml:space="preserve">Musa </w:t>
      </w:r>
      <w:proofErr w:type="spellStart"/>
      <w:r w:rsidR="00E534C4" w:rsidRPr="00DC60AE">
        <w:rPr>
          <w:rFonts w:asciiTheme="minorHAnsi" w:hAnsiTheme="minorHAnsi" w:cstheme="minorHAnsi"/>
          <w:i/>
          <w:iCs/>
          <w:szCs w:val="22"/>
        </w:rPr>
        <w:t>sapientum</w:t>
      </w:r>
      <w:proofErr w:type="spellEnd"/>
      <w:r w:rsidR="00E534C4" w:rsidRPr="00DC60AE">
        <w:rPr>
          <w:rFonts w:asciiTheme="minorHAnsi" w:hAnsiTheme="minorHAnsi" w:cstheme="minorHAnsi"/>
          <w:szCs w:val="22"/>
        </w:rPr>
        <w:t>) perishability is higher than that of other varieties of fruits, and 7.14% of respondents reported that Dates (</w:t>
      </w:r>
      <w:r w:rsidR="00E534C4" w:rsidRPr="00DC60AE">
        <w:rPr>
          <w:rFonts w:asciiTheme="minorHAnsi" w:hAnsiTheme="minorHAnsi" w:cstheme="minorHAnsi"/>
          <w:i/>
          <w:iCs/>
          <w:szCs w:val="22"/>
        </w:rPr>
        <w:t>Phoenix dactylifera</w:t>
      </w:r>
      <w:r w:rsidR="00E534C4" w:rsidRPr="00DC60AE">
        <w:rPr>
          <w:rFonts w:asciiTheme="minorHAnsi" w:hAnsiTheme="minorHAnsi" w:cstheme="minorHAnsi"/>
          <w:szCs w:val="22"/>
        </w:rPr>
        <w:t>) had lower perishability than that of other varieties of fruits. Additionally, 33.93%, 28.57%, and 25.00% of respondents reported that the fruit’s perishability is higher than that of the other fruits of Papaya (</w:t>
      </w:r>
      <w:r w:rsidR="00E534C4" w:rsidRPr="00DC60AE">
        <w:rPr>
          <w:rFonts w:asciiTheme="minorHAnsi" w:hAnsiTheme="minorHAnsi" w:cstheme="minorHAnsi"/>
          <w:i/>
          <w:iCs/>
          <w:szCs w:val="22"/>
        </w:rPr>
        <w:t>Carica papaya</w:t>
      </w:r>
      <w:r w:rsidR="00E534C4" w:rsidRPr="00DC60AE">
        <w:rPr>
          <w:rFonts w:asciiTheme="minorHAnsi" w:hAnsiTheme="minorHAnsi" w:cstheme="minorHAnsi"/>
          <w:szCs w:val="22"/>
        </w:rPr>
        <w:t>), Dragan (</w:t>
      </w:r>
      <w:proofErr w:type="spellStart"/>
      <w:r w:rsidR="00E534C4" w:rsidRPr="00DC60AE">
        <w:rPr>
          <w:rFonts w:asciiTheme="minorHAnsi" w:hAnsiTheme="minorHAnsi" w:cstheme="minorHAnsi"/>
          <w:i/>
          <w:iCs/>
          <w:szCs w:val="22"/>
        </w:rPr>
        <w:t>Selenicereus</w:t>
      </w:r>
      <w:proofErr w:type="spellEnd"/>
      <w:r w:rsidR="00E534C4" w:rsidRPr="00DC60AE">
        <w:rPr>
          <w:rFonts w:asciiTheme="minorHAnsi" w:hAnsiTheme="minorHAnsi" w:cstheme="minorHAnsi"/>
          <w:i/>
          <w:iCs/>
          <w:szCs w:val="22"/>
        </w:rPr>
        <w:t xml:space="preserve"> </w:t>
      </w:r>
      <w:proofErr w:type="spellStart"/>
      <w:r w:rsidR="00E534C4" w:rsidRPr="00DC60AE">
        <w:rPr>
          <w:rFonts w:asciiTheme="minorHAnsi" w:hAnsiTheme="minorHAnsi" w:cstheme="minorHAnsi"/>
          <w:i/>
          <w:iCs/>
          <w:szCs w:val="22"/>
        </w:rPr>
        <w:t>undatus</w:t>
      </w:r>
      <w:proofErr w:type="spellEnd"/>
      <w:r w:rsidR="00E534C4" w:rsidRPr="00DC60AE">
        <w:rPr>
          <w:rFonts w:asciiTheme="minorHAnsi" w:hAnsiTheme="minorHAnsi" w:cstheme="minorHAnsi"/>
          <w:szCs w:val="22"/>
        </w:rPr>
        <w:t>), and Grapes (</w:t>
      </w:r>
      <w:r w:rsidR="00E534C4" w:rsidRPr="00DC60AE">
        <w:rPr>
          <w:rFonts w:asciiTheme="minorHAnsi" w:hAnsiTheme="minorHAnsi" w:cstheme="minorHAnsi"/>
          <w:i/>
          <w:iCs/>
          <w:szCs w:val="22"/>
        </w:rPr>
        <w:t>Citrus grandis</w:t>
      </w:r>
      <w:r w:rsidR="00E534C4" w:rsidRPr="00DC60AE">
        <w:rPr>
          <w:rFonts w:asciiTheme="minorHAnsi" w:hAnsiTheme="minorHAnsi" w:cstheme="minorHAnsi"/>
          <w:szCs w:val="22"/>
        </w:rPr>
        <w:t>), respectively. On the other hand, 69.64% of respondents reported that the low perishability of Guava (</w:t>
      </w:r>
      <w:r w:rsidR="00E534C4" w:rsidRPr="00DC60AE">
        <w:rPr>
          <w:rFonts w:asciiTheme="minorHAnsi" w:hAnsiTheme="minorHAnsi" w:cstheme="minorHAnsi"/>
          <w:i/>
          <w:iCs/>
          <w:szCs w:val="22"/>
        </w:rPr>
        <w:t>Psidium guajava</w:t>
      </w:r>
      <w:r w:rsidR="00E534C4" w:rsidRPr="00DC60AE">
        <w:rPr>
          <w:rFonts w:asciiTheme="minorHAnsi" w:hAnsiTheme="minorHAnsi" w:cstheme="minorHAnsi"/>
          <w:szCs w:val="22"/>
        </w:rPr>
        <w:t xml:space="preserve">) </w:t>
      </w:r>
      <w:r w:rsidR="004F30A9">
        <w:rPr>
          <w:rFonts w:asciiTheme="minorHAnsi" w:hAnsiTheme="minorHAnsi" w:cstheme="minorHAnsi"/>
          <w:szCs w:val="22"/>
        </w:rPr>
        <w:t xml:space="preserve">is lower </w:t>
      </w:r>
      <w:r w:rsidR="00E534C4" w:rsidRPr="00DC60AE">
        <w:rPr>
          <w:rFonts w:asciiTheme="minorHAnsi" w:hAnsiTheme="minorHAnsi" w:cstheme="minorHAnsi"/>
          <w:szCs w:val="22"/>
        </w:rPr>
        <w:t xml:space="preserve">than that of other fruits. </w:t>
      </w:r>
    </w:p>
    <w:p w14:paraId="3115F1A8" w14:textId="55F634D1" w:rsidR="00C76993" w:rsidRPr="00DC60AE" w:rsidRDefault="00C76993" w:rsidP="00DC60AE">
      <w:pPr>
        <w:tabs>
          <w:tab w:val="left" w:pos="270"/>
        </w:tabs>
        <w:spacing w:after="0" w:line="240" w:lineRule="auto"/>
        <w:rPr>
          <w:rFonts w:asciiTheme="minorHAnsi" w:hAnsiTheme="minorHAnsi" w:cstheme="minorHAnsi"/>
          <w:szCs w:val="22"/>
        </w:rPr>
      </w:pPr>
    </w:p>
    <w:p w14:paraId="2BBC11D9" w14:textId="367A0E0F" w:rsidR="00E534C4" w:rsidRPr="00DC60AE" w:rsidRDefault="00E534C4" w:rsidP="00DC60AE">
      <w:pPr>
        <w:pStyle w:val="Caption"/>
        <w:keepNext/>
        <w:spacing w:after="0"/>
        <w:rPr>
          <w:rFonts w:asciiTheme="minorHAnsi" w:hAnsiTheme="minorHAnsi" w:cstheme="minorHAnsi"/>
          <w:i w:val="0"/>
          <w:color w:val="auto"/>
          <w:sz w:val="22"/>
          <w:szCs w:val="22"/>
        </w:rPr>
      </w:pPr>
      <w:r w:rsidRPr="00DC60AE">
        <w:rPr>
          <w:rFonts w:asciiTheme="minorHAnsi" w:hAnsiTheme="minorHAnsi" w:cstheme="minorHAnsi"/>
          <w:i w:val="0"/>
          <w:color w:val="auto"/>
          <w:sz w:val="22"/>
          <w:szCs w:val="22"/>
        </w:rPr>
        <w:lastRenderedPageBreak/>
        <w:t xml:space="preserve">Table </w:t>
      </w:r>
      <w:r w:rsidRPr="00DC60AE">
        <w:rPr>
          <w:rFonts w:asciiTheme="minorHAnsi" w:hAnsiTheme="minorHAnsi" w:cstheme="minorHAnsi"/>
          <w:i w:val="0"/>
          <w:color w:val="auto"/>
          <w:sz w:val="22"/>
          <w:szCs w:val="22"/>
        </w:rPr>
        <w:fldChar w:fldCharType="begin"/>
      </w:r>
      <w:r w:rsidRPr="00DC60AE">
        <w:rPr>
          <w:rFonts w:asciiTheme="minorHAnsi" w:hAnsiTheme="minorHAnsi" w:cstheme="minorHAnsi"/>
          <w:i w:val="0"/>
          <w:color w:val="auto"/>
          <w:sz w:val="22"/>
          <w:szCs w:val="22"/>
        </w:rPr>
        <w:instrText xml:space="preserve"> SEQ Table \* ARABIC </w:instrText>
      </w:r>
      <w:r w:rsidRPr="00DC60AE">
        <w:rPr>
          <w:rFonts w:asciiTheme="minorHAnsi" w:hAnsiTheme="minorHAnsi" w:cstheme="minorHAnsi"/>
          <w:i w:val="0"/>
          <w:color w:val="auto"/>
          <w:sz w:val="22"/>
          <w:szCs w:val="22"/>
        </w:rPr>
        <w:fldChar w:fldCharType="separate"/>
      </w:r>
      <w:r w:rsidRPr="00DC60AE">
        <w:rPr>
          <w:rFonts w:asciiTheme="minorHAnsi" w:hAnsiTheme="minorHAnsi" w:cstheme="minorHAnsi"/>
          <w:i w:val="0"/>
          <w:noProof/>
          <w:color w:val="auto"/>
          <w:sz w:val="22"/>
          <w:szCs w:val="22"/>
        </w:rPr>
        <w:t>1</w:t>
      </w:r>
      <w:r w:rsidRPr="00DC60AE">
        <w:rPr>
          <w:rFonts w:asciiTheme="minorHAnsi" w:hAnsiTheme="minorHAnsi" w:cstheme="minorHAnsi"/>
          <w:i w:val="0"/>
          <w:color w:val="auto"/>
          <w:sz w:val="22"/>
          <w:szCs w:val="22"/>
        </w:rPr>
        <w:fldChar w:fldCharType="end"/>
      </w:r>
      <w:r w:rsidRPr="00DC60AE">
        <w:rPr>
          <w:rFonts w:asciiTheme="minorHAnsi" w:hAnsiTheme="minorHAnsi" w:cstheme="minorHAnsi"/>
          <w:i w:val="0"/>
          <w:color w:val="auto"/>
          <w:sz w:val="22"/>
          <w:szCs w:val="22"/>
        </w:rPr>
        <w:t>: Perishability of different vegetable and fruit items to measure at the retail level</w:t>
      </w:r>
    </w:p>
    <w:tbl>
      <w:tblPr>
        <w:tblW w:w="8900" w:type="dxa"/>
        <w:tblLook w:val="04A0" w:firstRow="1" w:lastRow="0" w:firstColumn="1" w:lastColumn="0" w:noHBand="0" w:noVBand="1"/>
      </w:tblPr>
      <w:tblGrid>
        <w:gridCol w:w="3690"/>
        <w:gridCol w:w="845"/>
        <w:gridCol w:w="960"/>
        <w:gridCol w:w="815"/>
        <w:gridCol w:w="815"/>
        <w:gridCol w:w="960"/>
        <w:gridCol w:w="815"/>
      </w:tblGrid>
      <w:tr w:rsidR="00DC60AE" w:rsidRPr="00DC60AE" w14:paraId="013D9886" w14:textId="77777777" w:rsidTr="00931202">
        <w:trPr>
          <w:trHeight w:val="300"/>
        </w:trPr>
        <w:tc>
          <w:tcPr>
            <w:tcW w:w="3690" w:type="dxa"/>
            <w:vMerge w:val="restart"/>
            <w:tcBorders>
              <w:top w:val="single" w:sz="4" w:space="0" w:color="auto"/>
              <w:left w:val="nil"/>
              <w:bottom w:val="single" w:sz="4" w:space="0" w:color="auto"/>
              <w:right w:val="nil"/>
            </w:tcBorders>
            <w:vAlign w:val="center"/>
            <w:hideMark/>
          </w:tcPr>
          <w:p w14:paraId="1C5D8211"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Name of Vegetable and Fruits</w:t>
            </w:r>
          </w:p>
        </w:tc>
        <w:tc>
          <w:tcPr>
            <w:tcW w:w="5210" w:type="dxa"/>
            <w:gridSpan w:val="6"/>
            <w:tcBorders>
              <w:top w:val="single" w:sz="4" w:space="0" w:color="auto"/>
              <w:left w:val="nil"/>
              <w:bottom w:val="single" w:sz="4" w:space="0" w:color="auto"/>
              <w:right w:val="nil"/>
            </w:tcBorders>
            <w:noWrap/>
            <w:vAlign w:val="center"/>
            <w:hideMark/>
          </w:tcPr>
          <w:p w14:paraId="4A5385B7"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Perishability</w:t>
            </w:r>
          </w:p>
        </w:tc>
      </w:tr>
      <w:tr w:rsidR="00DC60AE" w:rsidRPr="00DC60AE" w14:paraId="1A8588B3" w14:textId="77777777" w:rsidTr="00931202">
        <w:trPr>
          <w:trHeight w:val="300"/>
        </w:trPr>
        <w:tc>
          <w:tcPr>
            <w:tcW w:w="3690" w:type="dxa"/>
            <w:vMerge/>
            <w:tcBorders>
              <w:top w:val="single" w:sz="4" w:space="0" w:color="auto"/>
              <w:left w:val="nil"/>
              <w:bottom w:val="single" w:sz="8" w:space="0" w:color="000000"/>
              <w:right w:val="nil"/>
            </w:tcBorders>
            <w:vAlign w:val="center"/>
            <w:hideMark/>
          </w:tcPr>
          <w:p w14:paraId="3310F465" w14:textId="77777777" w:rsidR="00E534C4" w:rsidRPr="00DC60AE" w:rsidRDefault="00E534C4" w:rsidP="00DC60AE">
            <w:pPr>
              <w:spacing w:after="0" w:line="240" w:lineRule="auto"/>
              <w:jc w:val="left"/>
              <w:rPr>
                <w:rFonts w:asciiTheme="minorHAnsi" w:eastAsia="Times New Roman" w:hAnsiTheme="minorHAnsi" w:cstheme="minorHAnsi"/>
                <w:sz w:val="20"/>
                <w:szCs w:val="20"/>
              </w:rPr>
            </w:pPr>
          </w:p>
        </w:tc>
        <w:tc>
          <w:tcPr>
            <w:tcW w:w="2620" w:type="dxa"/>
            <w:gridSpan w:val="3"/>
            <w:tcBorders>
              <w:top w:val="single" w:sz="4" w:space="0" w:color="auto"/>
              <w:left w:val="nil"/>
              <w:bottom w:val="single" w:sz="4" w:space="0" w:color="auto"/>
              <w:right w:val="nil"/>
            </w:tcBorders>
            <w:noWrap/>
            <w:vAlign w:val="center"/>
            <w:hideMark/>
          </w:tcPr>
          <w:p w14:paraId="2C7C848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Vegetable</w:t>
            </w:r>
          </w:p>
        </w:tc>
        <w:tc>
          <w:tcPr>
            <w:tcW w:w="2590" w:type="dxa"/>
            <w:gridSpan w:val="3"/>
            <w:tcBorders>
              <w:top w:val="single" w:sz="4" w:space="0" w:color="auto"/>
              <w:left w:val="nil"/>
              <w:bottom w:val="single" w:sz="4" w:space="0" w:color="auto"/>
              <w:right w:val="nil"/>
            </w:tcBorders>
            <w:noWrap/>
            <w:vAlign w:val="center"/>
            <w:hideMark/>
          </w:tcPr>
          <w:p w14:paraId="3FF44EF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Fruits</w:t>
            </w:r>
          </w:p>
        </w:tc>
      </w:tr>
      <w:tr w:rsidR="00DC60AE" w:rsidRPr="00DC60AE" w14:paraId="51B123C2" w14:textId="77777777" w:rsidTr="00931202">
        <w:trPr>
          <w:trHeight w:val="300"/>
        </w:trPr>
        <w:tc>
          <w:tcPr>
            <w:tcW w:w="3690" w:type="dxa"/>
            <w:vMerge/>
            <w:tcBorders>
              <w:top w:val="single" w:sz="8" w:space="0" w:color="auto"/>
              <w:left w:val="nil"/>
              <w:bottom w:val="single" w:sz="4" w:space="0" w:color="auto"/>
              <w:right w:val="nil"/>
            </w:tcBorders>
            <w:vAlign w:val="center"/>
            <w:hideMark/>
          </w:tcPr>
          <w:p w14:paraId="0FD9F0AE" w14:textId="77777777" w:rsidR="00E534C4" w:rsidRPr="00DC60AE" w:rsidRDefault="00E534C4" w:rsidP="00DC60AE">
            <w:pPr>
              <w:spacing w:after="0" w:line="240" w:lineRule="auto"/>
              <w:jc w:val="left"/>
              <w:rPr>
                <w:rFonts w:asciiTheme="minorHAnsi" w:eastAsia="Times New Roman" w:hAnsiTheme="minorHAnsi" w:cstheme="minorHAnsi"/>
                <w:sz w:val="20"/>
                <w:szCs w:val="20"/>
              </w:rPr>
            </w:pPr>
          </w:p>
        </w:tc>
        <w:tc>
          <w:tcPr>
            <w:tcW w:w="845" w:type="dxa"/>
            <w:tcBorders>
              <w:top w:val="single" w:sz="4" w:space="0" w:color="auto"/>
              <w:left w:val="nil"/>
              <w:bottom w:val="single" w:sz="4" w:space="0" w:color="auto"/>
              <w:right w:val="nil"/>
            </w:tcBorders>
            <w:vAlign w:val="center"/>
            <w:hideMark/>
          </w:tcPr>
          <w:p w14:paraId="36F2F8C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High</w:t>
            </w:r>
          </w:p>
        </w:tc>
        <w:tc>
          <w:tcPr>
            <w:tcW w:w="960" w:type="dxa"/>
            <w:tcBorders>
              <w:top w:val="single" w:sz="4" w:space="0" w:color="auto"/>
              <w:left w:val="nil"/>
              <w:bottom w:val="single" w:sz="4" w:space="0" w:color="auto"/>
              <w:right w:val="nil"/>
            </w:tcBorders>
            <w:vAlign w:val="center"/>
            <w:hideMark/>
          </w:tcPr>
          <w:p w14:paraId="223F0BFE"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Medium</w:t>
            </w:r>
          </w:p>
        </w:tc>
        <w:tc>
          <w:tcPr>
            <w:tcW w:w="815" w:type="dxa"/>
            <w:tcBorders>
              <w:top w:val="single" w:sz="4" w:space="0" w:color="auto"/>
              <w:left w:val="nil"/>
              <w:bottom w:val="single" w:sz="4" w:space="0" w:color="auto"/>
              <w:right w:val="nil"/>
            </w:tcBorders>
            <w:vAlign w:val="center"/>
            <w:hideMark/>
          </w:tcPr>
          <w:p w14:paraId="67BBC1FF"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Low</w:t>
            </w:r>
          </w:p>
        </w:tc>
        <w:tc>
          <w:tcPr>
            <w:tcW w:w="815" w:type="dxa"/>
            <w:tcBorders>
              <w:top w:val="single" w:sz="4" w:space="0" w:color="auto"/>
              <w:left w:val="nil"/>
              <w:bottom w:val="single" w:sz="4" w:space="0" w:color="auto"/>
              <w:right w:val="nil"/>
            </w:tcBorders>
            <w:vAlign w:val="center"/>
            <w:hideMark/>
          </w:tcPr>
          <w:p w14:paraId="290E52B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High</w:t>
            </w:r>
          </w:p>
        </w:tc>
        <w:tc>
          <w:tcPr>
            <w:tcW w:w="960" w:type="dxa"/>
            <w:tcBorders>
              <w:top w:val="single" w:sz="4" w:space="0" w:color="auto"/>
              <w:left w:val="nil"/>
              <w:bottom w:val="single" w:sz="4" w:space="0" w:color="auto"/>
              <w:right w:val="nil"/>
            </w:tcBorders>
            <w:vAlign w:val="center"/>
            <w:hideMark/>
          </w:tcPr>
          <w:p w14:paraId="258812B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Medium</w:t>
            </w:r>
          </w:p>
        </w:tc>
        <w:tc>
          <w:tcPr>
            <w:tcW w:w="815" w:type="dxa"/>
            <w:tcBorders>
              <w:top w:val="single" w:sz="4" w:space="0" w:color="auto"/>
              <w:left w:val="nil"/>
              <w:bottom w:val="single" w:sz="4" w:space="0" w:color="auto"/>
              <w:right w:val="nil"/>
            </w:tcBorders>
            <w:vAlign w:val="center"/>
            <w:hideMark/>
          </w:tcPr>
          <w:p w14:paraId="7042E75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Low</w:t>
            </w:r>
          </w:p>
        </w:tc>
      </w:tr>
      <w:tr w:rsidR="00DC60AE" w:rsidRPr="00DC60AE" w14:paraId="6FB33FFE" w14:textId="77777777" w:rsidTr="00931202">
        <w:trPr>
          <w:trHeight w:val="290"/>
        </w:trPr>
        <w:tc>
          <w:tcPr>
            <w:tcW w:w="3690" w:type="dxa"/>
            <w:tcBorders>
              <w:top w:val="single" w:sz="4" w:space="0" w:color="auto"/>
              <w:left w:val="nil"/>
              <w:bottom w:val="nil"/>
              <w:right w:val="nil"/>
            </w:tcBorders>
            <w:vAlign w:val="center"/>
            <w:hideMark/>
          </w:tcPr>
          <w:p w14:paraId="13B5A3C5"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Eggplant (</w:t>
            </w:r>
            <w:r w:rsidRPr="00DC60AE">
              <w:rPr>
                <w:rFonts w:asciiTheme="minorHAnsi" w:eastAsia="Times New Roman" w:hAnsiTheme="minorHAnsi" w:cstheme="minorHAnsi"/>
                <w:i/>
                <w:iCs/>
                <w:sz w:val="20"/>
                <w:szCs w:val="20"/>
              </w:rPr>
              <w:t>Solanum melongena</w:t>
            </w:r>
            <w:r w:rsidRPr="00DC60AE">
              <w:rPr>
                <w:rFonts w:asciiTheme="minorHAnsi" w:eastAsia="Times New Roman" w:hAnsiTheme="minorHAnsi" w:cstheme="minorHAnsi"/>
                <w:sz w:val="20"/>
                <w:szCs w:val="20"/>
              </w:rPr>
              <w:t>)</w:t>
            </w:r>
          </w:p>
        </w:tc>
        <w:tc>
          <w:tcPr>
            <w:tcW w:w="845" w:type="dxa"/>
            <w:tcBorders>
              <w:top w:val="single" w:sz="4" w:space="0" w:color="auto"/>
              <w:left w:val="nil"/>
              <w:bottom w:val="nil"/>
              <w:right w:val="nil"/>
            </w:tcBorders>
            <w:noWrap/>
            <w:vAlign w:val="center"/>
            <w:hideMark/>
          </w:tcPr>
          <w:p w14:paraId="3A586B5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20.18%</w:t>
            </w:r>
          </w:p>
        </w:tc>
        <w:tc>
          <w:tcPr>
            <w:tcW w:w="960" w:type="dxa"/>
            <w:tcBorders>
              <w:top w:val="single" w:sz="4" w:space="0" w:color="auto"/>
              <w:left w:val="nil"/>
              <w:bottom w:val="nil"/>
              <w:right w:val="nil"/>
            </w:tcBorders>
            <w:noWrap/>
            <w:vAlign w:val="center"/>
            <w:hideMark/>
          </w:tcPr>
          <w:p w14:paraId="6D1A0FD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33.94%</w:t>
            </w:r>
          </w:p>
        </w:tc>
        <w:tc>
          <w:tcPr>
            <w:tcW w:w="815" w:type="dxa"/>
            <w:tcBorders>
              <w:top w:val="single" w:sz="4" w:space="0" w:color="auto"/>
              <w:left w:val="nil"/>
              <w:bottom w:val="nil"/>
              <w:right w:val="nil"/>
            </w:tcBorders>
            <w:noWrap/>
            <w:vAlign w:val="center"/>
            <w:hideMark/>
          </w:tcPr>
          <w:p w14:paraId="1BDD9567"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45.87%</w:t>
            </w:r>
          </w:p>
        </w:tc>
        <w:tc>
          <w:tcPr>
            <w:tcW w:w="815" w:type="dxa"/>
            <w:tcBorders>
              <w:top w:val="single" w:sz="4" w:space="0" w:color="auto"/>
              <w:left w:val="nil"/>
              <w:bottom w:val="nil"/>
              <w:right w:val="nil"/>
            </w:tcBorders>
            <w:noWrap/>
            <w:vAlign w:val="center"/>
            <w:hideMark/>
          </w:tcPr>
          <w:p w14:paraId="1EB94731"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14.29%</w:t>
            </w:r>
          </w:p>
        </w:tc>
        <w:tc>
          <w:tcPr>
            <w:tcW w:w="960" w:type="dxa"/>
            <w:tcBorders>
              <w:top w:val="single" w:sz="4" w:space="0" w:color="auto"/>
              <w:left w:val="nil"/>
              <w:bottom w:val="nil"/>
              <w:right w:val="nil"/>
            </w:tcBorders>
            <w:noWrap/>
            <w:vAlign w:val="center"/>
            <w:hideMark/>
          </w:tcPr>
          <w:p w14:paraId="44ECF42C"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39.29%</w:t>
            </w:r>
          </w:p>
        </w:tc>
        <w:tc>
          <w:tcPr>
            <w:tcW w:w="815" w:type="dxa"/>
            <w:tcBorders>
              <w:top w:val="single" w:sz="4" w:space="0" w:color="auto"/>
              <w:left w:val="nil"/>
              <w:bottom w:val="nil"/>
              <w:right w:val="nil"/>
            </w:tcBorders>
            <w:noWrap/>
            <w:vAlign w:val="center"/>
            <w:hideMark/>
          </w:tcPr>
          <w:p w14:paraId="51601FD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46.43%</w:t>
            </w:r>
          </w:p>
        </w:tc>
      </w:tr>
      <w:tr w:rsidR="00DC60AE" w:rsidRPr="00DC60AE" w14:paraId="00710C91" w14:textId="77777777" w:rsidTr="00E534C4">
        <w:trPr>
          <w:trHeight w:val="290"/>
        </w:trPr>
        <w:tc>
          <w:tcPr>
            <w:tcW w:w="3690" w:type="dxa"/>
            <w:tcBorders>
              <w:top w:val="nil"/>
              <w:left w:val="nil"/>
              <w:bottom w:val="nil"/>
              <w:right w:val="nil"/>
            </w:tcBorders>
            <w:vAlign w:val="center"/>
            <w:hideMark/>
          </w:tcPr>
          <w:p w14:paraId="4AAAE3E4"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Ribbed gourd (</w:t>
            </w:r>
            <w:r w:rsidRPr="00DC60AE">
              <w:rPr>
                <w:rFonts w:asciiTheme="minorHAnsi" w:eastAsia="Times New Roman" w:hAnsiTheme="minorHAnsi" w:cstheme="minorHAnsi"/>
                <w:i/>
                <w:iCs/>
                <w:sz w:val="20"/>
                <w:szCs w:val="20"/>
              </w:rPr>
              <w:t xml:space="preserve">Luffa </w:t>
            </w:r>
            <w:proofErr w:type="spellStart"/>
            <w:r w:rsidRPr="00DC60AE">
              <w:rPr>
                <w:rFonts w:asciiTheme="minorHAnsi" w:eastAsia="Times New Roman" w:hAnsiTheme="minorHAnsi" w:cstheme="minorHAnsi"/>
                <w:i/>
                <w:iCs/>
                <w:sz w:val="20"/>
                <w:szCs w:val="20"/>
              </w:rPr>
              <w:t>acutagula</w:t>
            </w:r>
            <w:proofErr w:type="spellEnd"/>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18F57BF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62.39%</w:t>
            </w:r>
          </w:p>
        </w:tc>
        <w:tc>
          <w:tcPr>
            <w:tcW w:w="960" w:type="dxa"/>
            <w:tcBorders>
              <w:top w:val="nil"/>
              <w:left w:val="nil"/>
              <w:bottom w:val="nil"/>
              <w:right w:val="nil"/>
            </w:tcBorders>
            <w:noWrap/>
            <w:vAlign w:val="center"/>
            <w:hideMark/>
          </w:tcPr>
          <w:p w14:paraId="1CA1A047"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20.18%</w:t>
            </w:r>
          </w:p>
        </w:tc>
        <w:tc>
          <w:tcPr>
            <w:tcW w:w="815" w:type="dxa"/>
            <w:tcBorders>
              <w:top w:val="nil"/>
              <w:left w:val="nil"/>
              <w:bottom w:val="nil"/>
              <w:right w:val="nil"/>
            </w:tcBorders>
            <w:noWrap/>
            <w:vAlign w:val="center"/>
            <w:hideMark/>
          </w:tcPr>
          <w:p w14:paraId="7F8E8CB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1AB87EC1"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8.93%</w:t>
            </w:r>
          </w:p>
        </w:tc>
        <w:tc>
          <w:tcPr>
            <w:tcW w:w="960" w:type="dxa"/>
            <w:tcBorders>
              <w:top w:val="nil"/>
              <w:left w:val="nil"/>
              <w:bottom w:val="nil"/>
              <w:right w:val="nil"/>
            </w:tcBorders>
            <w:noWrap/>
            <w:vAlign w:val="center"/>
            <w:hideMark/>
          </w:tcPr>
          <w:p w14:paraId="32E36FC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17.86%</w:t>
            </w:r>
          </w:p>
        </w:tc>
        <w:tc>
          <w:tcPr>
            <w:tcW w:w="815" w:type="dxa"/>
            <w:tcBorders>
              <w:top w:val="nil"/>
              <w:left w:val="nil"/>
              <w:bottom w:val="nil"/>
              <w:right w:val="nil"/>
            </w:tcBorders>
            <w:noWrap/>
            <w:vAlign w:val="center"/>
            <w:hideMark/>
          </w:tcPr>
          <w:p w14:paraId="5A4411F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73.21%</w:t>
            </w:r>
          </w:p>
        </w:tc>
      </w:tr>
      <w:tr w:rsidR="00DC60AE" w:rsidRPr="00DC60AE" w14:paraId="11464610" w14:textId="77777777" w:rsidTr="00E534C4">
        <w:trPr>
          <w:trHeight w:val="290"/>
        </w:trPr>
        <w:tc>
          <w:tcPr>
            <w:tcW w:w="3690" w:type="dxa"/>
            <w:tcBorders>
              <w:top w:val="nil"/>
              <w:left w:val="nil"/>
              <w:bottom w:val="nil"/>
              <w:right w:val="nil"/>
            </w:tcBorders>
            <w:vAlign w:val="center"/>
            <w:hideMark/>
          </w:tcPr>
          <w:p w14:paraId="0BFBCB21" w14:textId="77777777" w:rsidR="00E534C4" w:rsidRPr="00DC60AE" w:rsidRDefault="00E534C4" w:rsidP="00DC60AE">
            <w:pPr>
              <w:spacing w:after="0" w:line="240" w:lineRule="auto"/>
              <w:rPr>
                <w:rFonts w:asciiTheme="minorHAnsi" w:eastAsia="Times New Roman" w:hAnsiTheme="minorHAnsi" w:cstheme="minorHAnsi"/>
                <w:sz w:val="20"/>
                <w:szCs w:val="20"/>
              </w:rPr>
            </w:pPr>
            <w:proofErr w:type="spellStart"/>
            <w:r w:rsidRPr="00DC60AE">
              <w:rPr>
                <w:rFonts w:asciiTheme="minorHAnsi" w:eastAsia="Times New Roman" w:hAnsiTheme="minorHAnsi" w:cstheme="minorHAnsi"/>
                <w:sz w:val="20"/>
                <w:szCs w:val="20"/>
              </w:rPr>
              <w:t>Patato</w:t>
            </w:r>
            <w:proofErr w:type="spellEnd"/>
            <w:r w:rsidRPr="00DC60AE">
              <w:rPr>
                <w:rFonts w:asciiTheme="minorHAnsi" w:eastAsia="Times New Roman" w:hAnsiTheme="minorHAnsi" w:cstheme="minorHAnsi"/>
                <w:sz w:val="20"/>
                <w:szCs w:val="20"/>
              </w:rPr>
              <w:t xml:space="preserve"> (</w:t>
            </w:r>
            <w:r w:rsidRPr="00DC60AE">
              <w:rPr>
                <w:rFonts w:asciiTheme="minorHAnsi" w:eastAsia="Times New Roman" w:hAnsiTheme="minorHAnsi" w:cstheme="minorHAnsi"/>
                <w:i/>
                <w:iCs/>
                <w:sz w:val="20"/>
                <w:szCs w:val="20"/>
              </w:rPr>
              <w:t>Solanum tuberosum</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55AC6A2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47.71%</w:t>
            </w:r>
          </w:p>
        </w:tc>
        <w:tc>
          <w:tcPr>
            <w:tcW w:w="960" w:type="dxa"/>
            <w:tcBorders>
              <w:top w:val="nil"/>
              <w:left w:val="nil"/>
              <w:bottom w:val="nil"/>
              <w:right w:val="nil"/>
            </w:tcBorders>
            <w:noWrap/>
            <w:vAlign w:val="center"/>
            <w:hideMark/>
          </w:tcPr>
          <w:p w14:paraId="52717C9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36.70%</w:t>
            </w:r>
          </w:p>
        </w:tc>
        <w:tc>
          <w:tcPr>
            <w:tcW w:w="815" w:type="dxa"/>
            <w:tcBorders>
              <w:top w:val="nil"/>
              <w:left w:val="nil"/>
              <w:bottom w:val="nil"/>
              <w:right w:val="nil"/>
            </w:tcBorders>
            <w:noWrap/>
            <w:vAlign w:val="center"/>
            <w:hideMark/>
          </w:tcPr>
          <w:p w14:paraId="66C4F51B"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15.60%</w:t>
            </w:r>
          </w:p>
        </w:tc>
        <w:tc>
          <w:tcPr>
            <w:tcW w:w="815" w:type="dxa"/>
            <w:tcBorders>
              <w:top w:val="nil"/>
              <w:left w:val="nil"/>
              <w:bottom w:val="nil"/>
              <w:right w:val="nil"/>
            </w:tcBorders>
            <w:noWrap/>
            <w:vAlign w:val="center"/>
            <w:hideMark/>
          </w:tcPr>
          <w:p w14:paraId="2CFC079E"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7.14%</w:t>
            </w:r>
          </w:p>
        </w:tc>
        <w:tc>
          <w:tcPr>
            <w:tcW w:w="960" w:type="dxa"/>
            <w:tcBorders>
              <w:top w:val="nil"/>
              <w:left w:val="nil"/>
              <w:bottom w:val="nil"/>
              <w:right w:val="nil"/>
            </w:tcBorders>
            <w:noWrap/>
            <w:vAlign w:val="center"/>
            <w:hideMark/>
          </w:tcPr>
          <w:p w14:paraId="5BBD071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17.86%</w:t>
            </w:r>
          </w:p>
        </w:tc>
        <w:tc>
          <w:tcPr>
            <w:tcW w:w="815" w:type="dxa"/>
            <w:tcBorders>
              <w:top w:val="nil"/>
              <w:left w:val="nil"/>
              <w:bottom w:val="nil"/>
              <w:right w:val="nil"/>
            </w:tcBorders>
            <w:noWrap/>
            <w:vAlign w:val="center"/>
            <w:hideMark/>
          </w:tcPr>
          <w:p w14:paraId="7DC5331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75.00%</w:t>
            </w:r>
          </w:p>
        </w:tc>
      </w:tr>
      <w:tr w:rsidR="00DC60AE" w:rsidRPr="00DC60AE" w14:paraId="13DA9EAF" w14:textId="77777777" w:rsidTr="00E534C4">
        <w:trPr>
          <w:trHeight w:val="290"/>
        </w:trPr>
        <w:tc>
          <w:tcPr>
            <w:tcW w:w="3690" w:type="dxa"/>
            <w:tcBorders>
              <w:top w:val="nil"/>
              <w:left w:val="nil"/>
              <w:bottom w:val="nil"/>
              <w:right w:val="nil"/>
            </w:tcBorders>
            <w:vAlign w:val="center"/>
            <w:hideMark/>
          </w:tcPr>
          <w:p w14:paraId="4FFA9094"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Cucumber (</w:t>
            </w:r>
            <w:r w:rsidRPr="00DC60AE">
              <w:rPr>
                <w:rFonts w:asciiTheme="minorHAnsi" w:eastAsia="Times New Roman" w:hAnsiTheme="minorHAnsi" w:cstheme="minorHAnsi"/>
                <w:i/>
                <w:iCs/>
                <w:sz w:val="20"/>
                <w:szCs w:val="20"/>
              </w:rPr>
              <w:t>Cucumis sativus</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5A896384"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44.04%</w:t>
            </w:r>
          </w:p>
        </w:tc>
        <w:tc>
          <w:tcPr>
            <w:tcW w:w="960" w:type="dxa"/>
            <w:tcBorders>
              <w:top w:val="nil"/>
              <w:left w:val="nil"/>
              <w:bottom w:val="nil"/>
              <w:right w:val="nil"/>
            </w:tcBorders>
            <w:noWrap/>
            <w:vAlign w:val="center"/>
            <w:hideMark/>
          </w:tcPr>
          <w:p w14:paraId="63BBB26A"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38.53%</w:t>
            </w:r>
          </w:p>
        </w:tc>
        <w:tc>
          <w:tcPr>
            <w:tcW w:w="815" w:type="dxa"/>
            <w:tcBorders>
              <w:top w:val="nil"/>
              <w:left w:val="nil"/>
              <w:bottom w:val="nil"/>
              <w:right w:val="nil"/>
            </w:tcBorders>
            <w:noWrap/>
            <w:vAlign w:val="center"/>
            <w:hideMark/>
          </w:tcPr>
          <w:p w14:paraId="32B88931"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6C73D9D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25.00%</w:t>
            </w:r>
          </w:p>
        </w:tc>
        <w:tc>
          <w:tcPr>
            <w:tcW w:w="960" w:type="dxa"/>
            <w:tcBorders>
              <w:top w:val="nil"/>
              <w:left w:val="nil"/>
              <w:bottom w:val="nil"/>
              <w:right w:val="nil"/>
            </w:tcBorders>
            <w:noWrap/>
            <w:vAlign w:val="center"/>
            <w:hideMark/>
          </w:tcPr>
          <w:p w14:paraId="3379F4EA"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39.29%</w:t>
            </w:r>
          </w:p>
        </w:tc>
        <w:tc>
          <w:tcPr>
            <w:tcW w:w="815" w:type="dxa"/>
            <w:tcBorders>
              <w:top w:val="nil"/>
              <w:left w:val="nil"/>
              <w:bottom w:val="nil"/>
              <w:right w:val="nil"/>
            </w:tcBorders>
            <w:noWrap/>
            <w:vAlign w:val="center"/>
            <w:hideMark/>
          </w:tcPr>
          <w:p w14:paraId="68B571C6"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35.71%</w:t>
            </w:r>
          </w:p>
        </w:tc>
      </w:tr>
      <w:tr w:rsidR="00DC60AE" w:rsidRPr="00DC60AE" w14:paraId="59870FA3" w14:textId="77777777" w:rsidTr="00E534C4">
        <w:trPr>
          <w:trHeight w:val="290"/>
        </w:trPr>
        <w:tc>
          <w:tcPr>
            <w:tcW w:w="3690" w:type="dxa"/>
            <w:tcBorders>
              <w:top w:val="nil"/>
              <w:left w:val="nil"/>
              <w:bottom w:val="nil"/>
              <w:right w:val="nil"/>
            </w:tcBorders>
            <w:vAlign w:val="center"/>
            <w:hideMark/>
          </w:tcPr>
          <w:p w14:paraId="45066CAD"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Cauliflower (</w:t>
            </w:r>
            <w:r w:rsidRPr="00DC60AE">
              <w:rPr>
                <w:rFonts w:asciiTheme="minorHAnsi" w:eastAsia="Times New Roman" w:hAnsiTheme="minorHAnsi" w:cstheme="minorHAnsi"/>
                <w:i/>
                <w:iCs/>
                <w:sz w:val="20"/>
                <w:szCs w:val="20"/>
              </w:rPr>
              <w:t>Brassica oleracea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2283FF2B"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63.30%</w:t>
            </w:r>
          </w:p>
        </w:tc>
        <w:tc>
          <w:tcPr>
            <w:tcW w:w="960" w:type="dxa"/>
            <w:tcBorders>
              <w:top w:val="nil"/>
              <w:left w:val="nil"/>
              <w:bottom w:val="nil"/>
              <w:right w:val="nil"/>
            </w:tcBorders>
            <w:noWrap/>
            <w:vAlign w:val="center"/>
            <w:hideMark/>
          </w:tcPr>
          <w:p w14:paraId="3CE0D1B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17D92834"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18.35%</w:t>
            </w:r>
          </w:p>
        </w:tc>
        <w:tc>
          <w:tcPr>
            <w:tcW w:w="815" w:type="dxa"/>
            <w:tcBorders>
              <w:top w:val="nil"/>
              <w:left w:val="nil"/>
              <w:bottom w:val="nil"/>
              <w:right w:val="nil"/>
            </w:tcBorders>
            <w:noWrap/>
            <w:vAlign w:val="center"/>
            <w:hideMark/>
          </w:tcPr>
          <w:p w14:paraId="00E80F8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12.50%</w:t>
            </w:r>
          </w:p>
        </w:tc>
        <w:tc>
          <w:tcPr>
            <w:tcW w:w="960" w:type="dxa"/>
            <w:tcBorders>
              <w:top w:val="nil"/>
              <w:left w:val="nil"/>
              <w:bottom w:val="nil"/>
              <w:right w:val="nil"/>
            </w:tcBorders>
            <w:noWrap/>
            <w:vAlign w:val="center"/>
            <w:hideMark/>
          </w:tcPr>
          <w:p w14:paraId="61A7C60A"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17.86%</w:t>
            </w:r>
          </w:p>
        </w:tc>
        <w:tc>
          <w:tcPr>
            <w:tcW w:w="815" w:type="dxa"/>
            <w:tcBorders>
              <w:top w:val="nil"/>
              <w:left w:val="nil"/>
              <w:bottom w:val="nil"/>
              <w:right w:val="nil"/>
            </w:tcBorders>
            <w:noWrap/>
            <w:vAlign w:val="center"/>
            <w:hideMark/>
          </w:tcPr>
          <w:p w14:paraId="7C656956"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69.64%</w:t>
            </w:r>
          </w:p>
        </w:tc>
      </w:tr>
      <w:tr w:rsidR="00DC60AE" w:rsidRPr="00DC60AE" w14:paraId="5A1195EE" w14:textId="77777777" w:rsidTr="00E534C4">
        <w:trPr>
          <w:trHeight w:val="290"/>
        </w:trPr>
        <w:tc>
          <w:tcPr>
            <w:tcW w:w="3690" w:type="dxa"/>
            <w:tcBorders>
              <w:top w:val="nil"/>
              <w:left w:val="nil"/>
              <w:bottom w:val="nil"/>
              <w:right w:val="nil"/>
            </w:tcBorders>
            <w:vAlign w:val="center"/>
            <w:hideMark/>
          </w:tcPr>
          <w:p w14:paraId="2D6FC2BF"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Cabbage (</w:t>
            </w:r>
            <w:r w:rsidRPr="00DC60AE">
              <w:rPr>
                <w:rFonts w:asciiTheme="minorHAnsi" w:eastAsia="Times New Roman" w:hAnsiTheme="minorHAnsi" w:cstheme="minorHAnsi"/>
                <w:i/>
                <w:iCs/>
                <w:sz w:val="20"/>
                <w:szCs w:val="20"/>
              </w:rPr>
              <w:t>Brassica oleracea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338EEDC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66.06%</w:t>
            </w:r>
          </w:p>
        </w:tc>
        <w:tc>
          <w:tcPr>
            <w:tcW w:w="960" w:type="dxa"/>
            <w:tcBorders>
              <w:top w:val="nil"/>
              <w:left w:val="nil"/>
              <w:bottom w:val="nil"/>
              <w:right w:val="nil"/>
            </w:tcBorders>
            <w:noWrap/>
            <w:vAlign w:val="center"/>
            <w:hideMark/>
          </w:tcPr>
          <w:p w14:paraId="0D43F33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815" w:type="dxa"/>
            <w:tcBorders>
              <w:top w:val="nil"/>
              <w:left w:val="nil"/>
              <w:bottom w:val="nil"/>
              <w:right w:val="nil"/>
            </w:tcBorders>
            <w:noWrap/>
            <w:vAlign w:val="center"/>
            <w:hideMark/>
          </w:tcPr>
          <w:p w14:paraId="02D52566"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14.68%</w:t>
            </w:r>
          </w:p>
        </w:tc>
        <w:tc>
          <w:tcPr>
            <w:tcW w:w="815" w:type="dxa"/>
            <w:tcBorders>
              <w:top w:val="nil"/>
              <w:left w:val="nil"/>
              <w:bottom w:val="nil"/>
              <w:right w:val="nil"/>
            </w:tcBorders>
            <w:noWrap/>
            <w:vAlign w:val="center"/>
            <w:hideMark/>
          </w:tcPr>
          <w:p w14:paraId="46086CEE"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64.29%</w:t>
            </w:r>
          </w:p>
        </w:tc>
        <w:tc>
          <w:tcPr>
            <w:tcW w:w="960" w:type="dxa"/>
            <w:tcBorders>
              <w:top w:val="nil"/>
              <w:left w:val="nil"/>
              <w:bottom w:val="nil"/>
              <w:right w:val="nil"/>
            </w:tcBorders>
            <w:noWrap/>
            <w:vAlign w:val="center"/>
            <w:hideMark/>
          </w:tcPr>
          <w:p w14:paraId="4C47CD1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21.43%</w:t>
            </w:r>
          </w:p>
        </w:tc>
        <w:tc>
          <w:tcPr>
            <w:tcW w:w="815" w:type="dxa"/>
            <w:tcBorders>
              <w:top w:val="nil"/>
              <w:left w:val="nil"/>
              <w:bottom w:val="nil"/>
              <w:right w:val="nil"/>
            </w:tcBorders>
            <w:noWrap/>
            <w:vAlign w:val="center"/>
            <w:hideMark/>
          </w:tcPr>
          <w:p w14:paraId="7994BC8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14.29%</w:t>
            </w:r>
          </w:p>
        </w:tc>
      </w:tr>
      <w:tr w:rsidR="00DC60AE" w:rsidRPr="00DC60AE" w14:paraId="06111E29" w14:textId="77777777" w:rsidTr="00E534C4">
        <w:trPr>
          <w:trHeight w:val="290"/>
        </w:trPr>
        <w:tc>
          <w:tcPr>
            <w:tcW w:w="3690" w:type="dxa"/>
            <w:tcBorders>
              <w:top w:val="nil"/>
              <w:left w:val="nil"/>
              <w:bottom w:val="nil"/>
              <w:right w:val="nil"/>
            </w:tcBorders>
            <w:vAlign w:val="center"/>
            <w:hideMark/>
          </w:tcPr>
          <w:p w14:paraId="6FB1B448"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Country Bean (</w:t>
            </w:r>
            <w:r w:rsidRPr="00DC60AE">
              <w:rPr>
                <w:rFonts w:asciiTheme="minorHAnsi" w:eastAsia="Times New Roman" w:hAnsiTheme="minorHAnsi" w:cstheme="minorHAnsi"/>
                <w:i/>
                <w:iCs/>
                <w:sz w:val="20"/>
                <w:szCs w:val="20"/>
              </w:rPr>
              <w:t>Lablab purpureus</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0F5E32C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960" w:type="dxa"/>
            <w:tcBorders>
              <w:top w:val="nil"/>
              <w:left w:val="nil"/>
              <w:bottom w:val="nil"/>
              <w:right w:val="nil"/>
            </w:tcBorders>
            <w:noWrap/>
            <w:vAlign w:val="center"/>
            <w:hideMark/>
          </w:tcPr>
          <w:p w14:paraId="2BCEE99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33.94%</w:t>
            </w:r>
          </w:p>
        </w:tc>
        <w:tc>
          <w:tcPr>
            <w:tcW w:w="815" w:type="dxa"/>
            <w:tcBorders>
              <w:top w:val="nil"/>
              <w:left w:val="nil"/>
              <w:bottom w:val="nil"/>
              <w:right w:val="nil"/>
            </w:tcBorders>
            <w:noWrap/>
            <w:vAlign w:val="center"/>
            <w:hideMark/>
          </w:tcPr>
          <w:p w14:paraId="3BE50666"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46.79%</w:t>
            </w:r>
          </w:p>
        </w:tc>
        <w:tc>
          <w:tcPr>
            <w:tcW w:w="815" w:type="dxa"/>
            <w:tcBorders>
              <w:top w:val="nil"/>
              <w:left w:val="nil"/>
              <w:bottom w:val="nil"/>
              <w:right w:val="nil"/>
            </w:tcBorders>
            <w:noWrap/>
            <w:vAlign w:val="center"/>
            <w:hideMark/>
          </w:tcPr>
          <w:p w14:paraId="5C335324"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12.50%</w:t>
            </w:r>
          </w:p>
        </w:tc>
        <w:tc>
          <w:tcPr>
            <w:tcW w:w="960" w:type="dxa"/>
            <w:tcBorders>
              <w:top w:val="nil"/>
              <w:left w:val="nil"/>
              <w:bottom w:val="nil"/>
              <w:right w:val="nil"/>
            </w:tcBorders>
            <w:noWrap/>
            <w:vAlign w:val="center"/>
            <w:hideMark/>
          </w:tcPr>
          <w:p w14:paraId="38096EFC"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21.43%</w:t>
            </w:r>
          </w:p>
        </w:tc>
        <w:tc>
          <w:tcPr>
            <w:tcW w:w="815" w:type="dxa"/>
            <w:tcBorders>
              <w:top w:val="nil"/>
              <w:left w:val="nil"/>
              <w:bottom w:val="nil"/>
              <w:right w:val="nil"/>
            </w:tcBorders>
            <w:noWrap/>
            <w:vAlign w:val="center"/>
            <w:hideMark/>
          </w:tcPr>
          <w:p w14:paraId="5CF38A65"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66.07%</w:t>
            </w:r>
          </w:p>
        </w:tc>
      </w:tr>
      <w:tr w:rsidR="00DC60AE" w:rsidRPr="00DC60AE" w14:paraId="4C093AF8" w14:textId="77777777" w:rsidTr="00E534C4">
        <w:trPr>
          <w:trHeight w:val="290"/>
        </w:trPr>
        <w:tc>
          <w:tcPr>
            <w:tcW w:w="3690" w:type="dxa"/>
            <w:tcBorders>
              <w:top w:val="nil"/>
              <w:left w:val="nil"/>
              <w:bottom w:val="nil"/>
              <w:right w:val="nil"/>
            </w:tcBorders>
            <w:vAlign w:val="center"/>
            <w:hideMark/>
          </w:tcPr>
          <w:p w14:paraId="59BEB9B9"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Sweet gourd (</w:t>
            </w:r>
            <w:r w:rsidRPr="00DC60AE">
              <w:rPr>
                <w:rFonts w:asciiTheme="minorHAnsi" w:eastAsia="Times New Roman" w:hAnsiTheme="minorHAnsi" w:cstheme="minorHAnsi"/>
                <w:i/>
                <w:iCs/>
                <w:sz w:val="20"/>
                <w:szCs w:val="20"/>
              </w:rPr>
              <w:t>Cucurbita maxima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04E7DC35"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960" w:type="dxa"/>
            <w:tcBorders>
              <w:top w:val="nil"/>
              <w:left w:val="nil"/>
              <w:bottom w:val="nil"/>
              <w:right w:val="nil"/>
            </w:tcBorders>
            <w:noWrap/>
            <w:vAlign w:val="center"/>
            <w:hideMark/>
          </w:tcPr>
          <w:p w14:paraId="4DF7833E"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45.87%</w:t>
            </w:r>
          </w:p>
        </w:tc>
        <w:tc>
          <w:tcPr>
            <w:tcW w:w="815" w:type="dxa"/>
            <w:tcBorders>
              <w:top w:val="nil"/>
              <w:left w:val="nil"/>
              <w:bottom w:val="nil"/>
              <w:right w:val="nil"/>
            </w:tcBorders>
            <w:noWrap/>
            <w:vAlign w:val="center"/>
            <w:hideMark/>
          </w:tcPr>
          <w:p w14:paraId="2B72BEE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34.86%</w:t>
            </w:r>
          </w:p>
        </w:tc>
        <w:tc>
          <w:tcPr>
            <w:tcW w:w="815" w:type="dxa"/>
            <w:tcBorders>
              <w:top w:val="nil"/>
              <w:left w:val="nil"/>
              <w:bottom w:val="nil"/>
              <w:right w:val="nil"/>
            </w:tcBorders>
            <w:noWrap/>
            <w:vAlign w:val="center"/>
            <w:hideMark/>
          </w:tcPr>
          <w:p w14:paraId="6C11CA6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33.93%</w:t>
            </w:r>
          </w:p>
        </w:tc>
        <w:tc>
          <w:tcPr>
            <w:tcW w:w="960" w:type="dxa"/>
            <w:tcBorders>
              <w:top w:val="nil"/>
              <w:left w:val="nil"/>
              <w:bottom w:val="nil"/>
              <w:right w:val="nil"/>
            </w:tcBorders>
            <w:noWrap/>
            <w:vAlign w:val="center"/>
            <w:hideMark/>
          </w:tcPr>
          <w:p w14:paraId="018DC2C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39.29%</w:t>
            </w:r>
          </w:p>
        </w:tc>
        <w:tc>
          <w:tcPr>
            <w:tcW w:w="815" w:type="dxa"/>
            <w:tcBorders>
              <w:top w:val="nil"/>
              <w:left w:val="nil"/>
              <w:bottom w:val="nil"/>
              <w:right w:val="nil"/>
            </w:tcBorders>
            <w:noWrap/>
            <w:vAlign w:val="center"/>
            <w:hideMark/>
          </w:tcPr>
          <w:p w14:paraId="367545F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26.79%</w:t>
            </w:r>
          </w:p>
        </w:tc>
      </w:tr>
      <w:tr w:rsidR="00DC60AE" w:rsidRPr="00DC60AE" w14:paraId="7EE1AE15" w14:textId="77777777" w:rsidTr="00E534C4">
        <w:trPr>
          <w:trHeight w:val="290"/>
        </w:trPr>
        <w:tc>
          <w:tcPr>
            <w:tcW w:w="3690" w:type="dxa"/>
            <w:tcBorders>
              <w:top w:val="nil"/>
              <w:left w:val="nil"/>
              <w:bottom w:val="nil"/>
              <w:right w:val="nil"/>
            </w:tcBorders>
            <w:vAlign w:val="center"/>
            <w:hideMark/>
          </w:tcPr>
          <w:p w14:paraId="19280A2C"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Radish (</w:t>
            </w:r>
            <w:r w:rsidRPr="00DC60AE">
              <w:rPr>
                <w:rFonts w:asciiTheme="minorHAnsi" w:eastAsia="Times New Roman" w:hAnsiTheme="minorHAnsi" w:cstheme="minorHAnsi"/>
                <w:i/>
                <w:iCs/>
                <w:sz w:val="20"/>
                <w:szCs w:val="20"/>
              </w:rPr>
              <w:t>Raphanus sativus</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301AF7C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44.95%</w:t>
            </w:r>
          </w:p>
        </w:tc>
        <w:tc>
          <w:tcPr>
            <w:tcW w:w="960" w:type="dxa"/>
            <w:tcBorders>
              <w:top w:val="nil"/>
              <w:left w:val="nil"/>
              <w:bottom w:val="nil"/>
              <w:right w:val="nil"/>
            </w:tcBorders>
            <w:noWrap/>
            <w:vAlign w:val="center"/>
            <w:hideMark/>
          </w:tcPr>
          <w:p w14:paraId="15A147B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37.61%</w:t>
            </w:r>
          </w:p>
        </w:tc>
        <w:tc>
          <w:tcPr>
            <w:tcW w:w="815" w:type="dxa"/>
            <w:tcBorders>
              <w:top w:val="nil"/>
              <w:left w:val="nil"/>
              <w:bottom w:val="nil"/>
              <w:right w:val="nil"/>
            </w:tcBorders>
            <w:noWrap/>
            <w:vAlign w:val="center"/>
            <w:hideMark/>
          </w:tcPr>
          <w:p w14:paraId="6748316F"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579D4AE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14.29%</w:t>
            </w:r>
          </w:p>
        </w:tc>
        <w:tc>
          <w:tcPr>
            <w:tcW w:w="960" w:type="dxa"/>
            <w:tcBorders>
              <w:top w:val="nil"/>
              <w:left w:val="nil"/>
              <w:bottom w:val="nil"/>
              <w:right w:val="nil"/>
            </w:tcBorders>
            <w:noWrap/>
            <w:vAlign w:val="center"/>
            <w:hideMark/>
          </w:tcPr>
          <w:p w14:paraId="484EBEF4"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44.64%</w:t>
            </w:r>
          </w:p>
        </w:tc>
        <w:tc>
          <w:tcPr>
            <w:tcW w:w="815" w:type="dxa"/>
            <w:tcBorders>
              <w:top w:val="nil"/>
              <w:left w:val="nil"/>
              <w:bottom w:val="nil"/>
              <w:right w:val="nil"/>
            </w:tcBorders>
            <w:noWrap/>
            <w:vAlign w:val="center"/>
            <w:hideMark/>
          </w:tcPr>
          <w:p w14:paraId="10008457"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41.07%</w:t>
            </w:r>
          </w:p>
        </w:tc>
      </w:tr>
      <w:tr w:rsidR="00DC60AE" w:rsidRPr="00DC60AE" w14:paraId="6A5A52F8" w14:textId="77777777" w:rsidTr="00E534C4">
        <w:trPr>
          <w:trHeight w:val="290"/>
        </w:trPr>
        <w:tc>
          <w:tcPr>
            <w:tcW w:w="3690" w:type="dxa"/>
            <w:tcBorders>
              <w:top w:val="nil"/>
              <w:left w:val="nil"/>
              <w:bottom w:val="nil"/>
              <w:right w:val="nil"/>
            </w:tcBorders>
            <w:vAlign w:val="center"/>
            <w:hideMark/>
          </w:tcPr>
          <w:p w14:paraId="32E0497A"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Pointed gourd (</w:t>
            </w:r>
            <w:r w:rsidRPr="00DC60AE">
              <w:rPr>
                <w:rFonts w:asciiTheme="minorHAnsi" w:eastAsia="Times New Roman" w:hAnsiTheme="minorHAnsi" w:cstheme="minorHAnsi"/>
                <w:i/>
                <w:iCs/>
                <w:sz w:val="20"/>
                <w:szCs w:val="20"/>
              </w:rPr>
              <w:t>Trichosanthes dioica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616F8BE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960" w:type="dxa"/>
            <w:tcBorders>
              <w:top w:val="nil"/>
              <w:left w:val="nil"/>
              <w:bottom w:val="nil"/>
              <w:right w:val="nil"/>
            </w:tcBorders>
            <w:noWrap/>
            <w:vAlign w:val="center"/>
            <w:hideMark/>
          </w:tcPr>
          <w:p w14:paraId="0F5650A5"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44.04%</w:t>
            </w:r>
          </w:p>
        </w:tc>
        <w:tc>
          <w:tcPr>
            <w:tcW w:w="815" w:type="dxa"/>
            <w:tcBorders>
              <w:top w:val="nil"/>
              <w:left w:val="nil"/>
              <w:bottom w:val="nil"/>
              <w:right w:val="nil"/>
            </w:tcBorders>
            <w:noWrap/>
            <w:vAlign w:val="center"/>
            <w:hideMark/>
          </w:tcPr>
          <w:p w14:paraId="7D6080DC"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36.70%</w:t>
            </w:r>
          </w:p>
        </w:tc>
        <w:tc>
          <w:tcPr>
            <w:tcW w:w="815" w:type="dxa"/>
            <w:tcBorders>
              <w:top w:val="nil"/>
              <w:left w:val="nil"/>
              <w:bottom w:val="nil"/>
              <w:right w:val="nil"/>
            </w:tcBorders>
            <w:noWrap/>
            <w:vAlign w:val="center"/>
            <w:hideMark/>
          </w:tcPr>
          <w:p w14:paraId="7A3C7D97"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19.64%</w:t>
            </w:r>
          </w:p>
        </w:tc>
        <w:tc>
          <w:tcPr>
            <w:tcW w:w="960" w:type="dxa"/>
            <w:tcBorders>
              <w:top w:val="nil"/>
              <w:left w:val="nil"/>
              <w:bottom w:val="nil"/>
              <w:right w:val="nil"/>
            </w:tcBorders>
            <w:noWrap/>
            <w:vAlign w:val="center"/>
            <w:hideMark/>
          </w:tcPr>
          <w:p w14:paraId="7DAB0BDA"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32.14%</w:t>
            </w:r>
          </w:p>
        </w:tc>
        <w:tc>
          <w:tcPr>
            <w:tcW w:w="815" w:type="dxa"/>
            <w:tcBorders>
              <w:top w:val="nil"/>
              <w:left w:val="nil"/>
              <w:bottom w:val="nil"/>
              <w:right w:val="nil"/>
            </w:tcBorders>
            <w:noWrap/>
            <w:vAlign w:val="center"/>
            <w:hideMark/>
          </w:tcPr>
          <w:p w14:paraId="25F2B01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48.21%</w:t>
            </w:r>
          </w:p>
        </w:tc>
      </w:tr>
      <w:tr w:rsidR="00DC60AE" w:rsidRPr="00DC60AE" w14:paraId="39D48631" w14:textId="77777777" w:rsidTr="00E534C4">
        <w:trPr>
          <w:trHeight w:val="290"/>
        </w:trPr>
        <w:tc>
          <w:tcPr>
            <w:tcW w:w="3690" w:type="dxa"/>
            <w:tcBorders>
              <w:top w:val="nil"/>
              <w:left w:val="nil"/>
              <w:bottom w:val="nil"/>
              <w:right w:val="nil"/>
            </w:tcBorders>
            <w:vAlign w:val="center"/>
            <w:hideMark/>
          </w:tcPr>
          <w:p w14:paraId="262DF486"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Bitter gourd (</w:t>
            </w:r>
            <w:r w:rsidRPr="00DC60AE">
              <w:rPr>
                <w:rFonts w:asciiTheme="minorHAnsi" w:eastAsia="Times New Roman" w:hAnsiTheme="minorHAnsi" w:cstheme="minorHAnsi"/>
                <w:i/>
                <w:iCs/>
                <w:sz w:val="20"/>
                <w:szCs w:val="20"/>
              </w:rPr>
              <w:t xml:space="preserve">Momordica </w:t>
            </w:r>
            <w:proofErr w:type="spellStart"/>
            <w:r w:rsidRPr="00DC60AE">
              <w:rPr>
                <w:rFonts w:asciiTheme="minorHAnsi" w:eastAsia="Times New Roman" w:hAnsiTheme="minorHAnsi" w:cstheme="minorHAnsi"/>
                <w:i/>
                <w:iCs/>
                <w:sz w:val="20"/>
                <w:szCs w:val="20"/>
              </w:rPr>
              <w:t>charantia</w:t>
            </w:r>
            <w:proofErr w:type="spellEnd"/>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4C0A78E5"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42.20%</w:t>
            </w:r>
          </w:p>
        </w:tc>
        <w:tc>
          <w:tcPr>
            <w:tcW w:w="960" w:type="dxa"/>
            <w:tcBorders>
              <w:top w:val="nil"/>
              <w:left w:val="nil"/>
              <w:bottom w:val="nil"/>
              <w:right w:val="nil"/>
            </w:tcBorders>
            <w:noWrap/>
            <w:vAlign w:val="center"/>
            <w:hideMark/>
          </w:tcPr>
          <w:p w14:paraId="48CCB63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39.45%</w:t>
            </w:r>
          </w:p>
        </w:tc>
        <w:tc>
          <w:tcPr>
            <w:tcW w:w="815" w:type="dxa"/>
            <w:tcBorders>
              <w:top w:val="nil"/>
              <w:left w:val="nil"/>
              <w:bottom w:val="nil"/>
              <w:right w:val="nil"/>
            </w:tcBorders>
            <w:noWrap/>
            <w:vAlign w:val="center"/>
            <w:hideMark/>
          </w:tcPr>
          <w:p w14:paraId="707751B1"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18.35%</w:t>
            </w:r>
          </w:p>
        </w:tc>
        <w:tc>
          <w:tcPr>
            <w:tcW w:w="815" w:type="dxa"/>
            <w:tcBorders>
              <w:top w:val="nil"/>
              <w:left w:val="nil"/>
              <w:bottom w:val="nil"/>
              <w:right w:val="nil"/>
            </w:tcBorders>
            <w:noWrap/>
            <w:vAlign w:val="center"/>
            <w:hideMark/>
          </w:tcPr>
          <w:p w14:paraId="2C85DADA"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28.57%</w:t>
            </w:r>
          </w:p>
        </w:tc>
        <w:tc>
          <w:tcPr>
            <w:tcW w:w="960" w:type="dxa"/>
            <w:tcBorders>
              <w:top w:val="nil"/>
              <w:left w:val="nil"/>
              <w:bottom w:val="nil"/>
              <w:right w:val="nil"/>
            </w:tcBorders>
            <w:noWrap/>
            <w:vAlign w:val="center"/>
            <w:hideMark/>
          </w:tcPr>
          <w:p w14:paraId="2629B83C"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41.07%</w:t>
            </w:r>
          </w:p>
        </w:tc>
        <w:tc>
          <w:tcPr>
            <w:tcW w:w="815" w:type="dxa"/>
            <w:tcBorders>
              <w:top w:val="nil"/>
              <w:left w:val="nil"/>
              <w:bottom w:val="nil"/>
              <w:right w:val="nil"/>
            </w:tcBorders>
            <w:noWrap/>
            <w:vAlign w:val="center"/>
            <w:hideMark/>
          </w:tcPr>
          <w:p w14:paraId="298DA3E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30.36%</w:t>
            </w:r>
          </w:p>
        </w:tc>
      </w:tr>
      <w:tr w:rsidR="00DC60AE" w:rsidRPr="00DC60AE" w14:paraId="2C0A8417" w14:textId="77777777" w:rsidTr="00E534C4">
        <w:trPr>
          <w:trHeight w:val="290"/>
        </w:trPr>
        <w:tc>
          <w:tcPr>
            <w:tcW w:w="3690" w:type="dxa"/>
            <w:tcBorders>
              <w:top w:val="nil"/>
              <w:left w:val="nil"/>
              <w:bottom w:val="nil"/>
              <w:right w:val="nil"/>
            </w:tcBorders>
            <w:vAlign w:val="center"/>
            <w:hideMark/>
          </w:tcPr>
          <w:p w14:paraId="292CDA06"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Carrot (</w:t>
            </w:r>
            <w:proofErr w:type="spellStart"/>
            <w:r w:rsidRPr="00DC60AE">
              <w:rPr>
                <w:rFonts w:asciiTheme="minorHAnsi" w:eastAsia="Times New Roman" w:hAnsiTheme="minorHAnsi" w:cstheme="minorHAnsi"/>
                <w:i/>
                <w:iCs/>
                <w:sz w:val="20"/>
                <w:szCs w:val="20"/>
              </w:rPr>
              <w:t>Daucas</w:t>
            </w:r>
            <w:proofErr w:type="spellEnd"/>
            <w:r w:rsidRPr="00DC60AE">
              <w:rPr>
                <w:rFonts w:asciiTheme="minorHAnsi" w:eastAsia="Times New Roman" w:hAnsiTheme="minorHAnsi" w:cstheme="minorHAnsi"/>
                <w:i/>
                <w:iCs/>
                <w:sz w:val="20"/>
                <w:szCs w:val="20"/>
              </w:rPr>
              <w:t xml:space="preserve"> </w:t>
            </w:r>
            <w:proofErr w:type="spellStart"/>
            <w:r w:rsidRPr="00DC60AE">
              <w:rPr>
                <w:rFonts w:asciiTheme="minorHAnsi" w:eastAsia="Times New Roman" w:hAnsiTheme="minorHAnsi" w:cstheme="minorHAnsi"/>
                <w:i/>
                <w:iCs/>
                <w:sz w:val="20"/>
                <w:szCs w:val="20"/>
              </w:rPr>
              <w:t>carota</w:t>
            </w:r>
            <w:proofErr w:type="spellEnd"/>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38B4D1F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960" w:type="dxa"/>
            <w:tcBorders>
              <w:top w:val="nil"/>
              <w:left w:val="nil"/>
              <w:bottom w:val="nil"/>
              <w:right w:val="nil"/>
            </w:tcBorders>
            <w:noWrap/>
            <w:vAlign w:val="center"/>
            <w:hideMark/>
          </w:tcPr>
          <w:p w14:paraId="0BE732D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34.86%</w:t>
            </w:r>
          </w:p>
        </w:tc>
        <w:tc>
          <w:tcPr>
            <w:tcW w:w="815" w:type="dxa"/>
            <w:tcBorders>
              <w:top w:val="nil"/>
              <w:left w:val="nil"/>
              <w:bottom w:val="nil"/>
              <w:right w:val="nil"/>
            </w:tcBorders>
            <w:noWrap/>
            <w:vAlign w:val="center"/>
            <w:hideMark/>
          </w:tcPr>
          <w:p w14:paraId="3F963A9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47.71%</w:t>
            </w:r>
          </w:p>
        </w:tc>
        <w:tc>
          <w:tcPr>
            <w:tcW w:w="815" w:type="dxa"/>
            <w:tcBorders>
              <w:top w:val="nil"/>
              <w:left w:val="nil"/>
              <w:bottom w:val="nil"/>
              <w:right w:val="nil"/>
            </w:tcBorders>
            <w:noWrap/>
            <w:vAlign w:val="center"/>
            <w:hideMark/>
          </w:tcPr>
          <w:p w14:paraId="0152C6EB"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16.07%</w:t>
            </w:r>
          </w:p>
        </w:tc>
        <w:tc>
          <w:tcPr>
            <w:tcW w:w="960" w:type="dxa"/>
            <w:tcBorders>
              <w:top w:val="nil"/>
              <w:left w:val="nil"/>
              <w:bottom w:val="nil"/>
              <w:right w:val="nil"/>
            </w:tcBorders>
            <w:noWrap/>
            <w:vAlign w:val="center"/>
            <w:hideMark/>
          </w:tcPr>
          <w:p w14:paraId="5FA5D5D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41.07%</w:t>
            </w:r>
          </w:p>
        </w:tc>
        <w:tc>
          <w:tcPr>
            <w:tcW w:w="815" w:type="dxa"/>
            <w:tcBorders>
              <w:top w:val="nil"/>
              <w:left w:val="nil"/>
              <w:bottom w:val="nil"/>
              <w:right w:val="nil"/>
            </w:tcBorders>
            <w:noWrap/>
            <w:vAlign w:val="center"/>
            <w:hideMark/>
          </w:tcPr>
          <w:p w14:paraId="7809D3A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42.86%</w:t>
            </w:r>
          </w:p>
        </w:tc>
      </w:tr>
      <w:tr w:rsidR="00E534C4" w:rsidRPr="00DC60AE" w14:paraId="69F5FF82" w14:textId="77777777" w:rsidTr="00931202">
        <w:trPr>
          <w:trHeight w:val="300"/>
        </w:trPr>
        <w:tc>
          <w:tcPr>
            <w:tcW w:w="3690" w:type="dxa"/>
            <w:tcBorders>
              <w:top w:val="nil"/>
              <w:left w:val="nil"/>
              <w:bottom w:val="single" w:sz="4" w:space="0" w:color="auto"/>
              <w:right w:val="nil"/>
            </w:tcBorders>
            <w:vAlign w:val="center"/>
            <w:hideMark/>
          </w:tcPr>
          <w:p w14:paraId="2A7A4418"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Leafy Vegetable (</w:t>
            </w:r>
            <w:r w:rsidRPr="00DC60AE">
              <w:rPr>
                <w:rFonts w:asciiTheme="minorHAnsi" w:eastAsia="Times New Roman" w:hAnsiTheme="minorHAnsi" w:cstheme="minorHAnsi"/>
                <w:i/>
                <w:iCs/>
                <w:sz w:val="20"/>
                <w:szCs w:val="20"/>
              </w:rPr>
              <w:t>Amaranthus gangeticus</w:t>
            </w:r>
            <w:r w:rsidRPr="00DC60AE">
              <w:rPr>
                <w:rFonts w:asciiTheme="minorHAnsi" w:eastAsia="Times New Roman" w:hAnsiTheme="minorHAnsi" w:cstheme="minorHAnsi"/>
                <w:sz w:val="20"/>
                <w:szCs w:val="20"/>
              </w:rPr>
              <w:t>)</w:t>
            </w:r>
          </w:p>
        </w:tc>
        <w:tc>
          <w:tcPr>
            <w:tcW w:w="845" w:type="dxa"/>
            <w:tcBorders>
              <w:top w:val="nil"/>
              <w:left w:val="nil"/>
              <w:bottom w:val="single" w:sz="4" w:space="0" w:color="auto"/>
              <w:right w:val="nil"/>
            </w:tcBorders>
            <w:noWrap/>
            <w:vAlign w:val="center"/>
            <w:hideMark/>
          </w:tcPr>
          <w:p w14:paraId="2F93091D"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50.46%</w:t>
            </w:r>
          </w:p>
        </w:tc>
        <w:tc>
          <w:tcPr>
            <w:tcW w:w="960" w:type="dxa"/>
            <w:tcBorders>
              <w:top w:val="nil"/>
              <w:left w:val="nil"/>
              <w:bottom w:val="single" w:sz="4" w:space="0" w:color="auto"/>
              <w:right w:val="nil"/>
            </w:tcBorders>
            <w:noWrap/>
            <w:vAlign w:val="center"/>
            <w:hideMark/>
          </w:tcPr>
          <w:p w14:paraId="36D1607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32.11%</w:t>
            </w:r>
          </w:p>
        </w:tc>
        <w:tc>
          <w:tcPr>
            <w:tcW w:w="815" w:type="dxa"/>
            <w:tcBorders>
              <w:top w:val="nil"/>
              <w:left w:val="nil"/>
              <w:bottom w:val="single" w:sz="4" w:space="0" w:color="auto"/>
              <w:right w:val="nil"/>
            </w:tcBorders>
            <w:noWrap/>
            <w:vAlign w:val="center"/>
            <w:hideMark/>
          </w:tcPr>
          <w:p w14:paraId="196DD720"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single" w:sz="4" w:space="0" w:color="auto"/>
              <w:right w:val="nil"/>
            </w:tcBorders>
            <w:noWrap/>
            <w:vAlign w:val="center"/>
            <w:hideMark/>
          </w:tcPr>
          <w:p w14:paraId="25E294B5"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11.93%</w:t>
            </w:r>
          </w:p>
        </w:tc>
        <w:tc>
          <w:tcPr>
            <w:tcW w:w="960" w:type="dxa"/>
            <w:tcBorders>
              <w:top w:val="nil"/>
              <w:left w:val="nil"/>
              <w:bottom w:val="single" w:sz="4" w:space="0" w:color="auto"/>
              <w:right w:val="nil"/>
            </w:tcBorders>
            <w:noWrap/>
            <w:vAlign w:val="center"/>
            <w:hideMark/>
          </w:tcPr>
          <w:p w14:paraId="006FB26F"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22.02%</w:t>
            </w:r>
          </w:p>
        </w:tc>
        <w:tc>
          <w:tcPr>
            <w:tcW w:w="815" w:type="dxa"/>
            <w:tcBorders>
              <w:top w:val="nil"/>
              <w:left w:val="nil"/>
              <w:bottom w:val="single" w:sz="4" w:space="0" w:color="auto"/>
              <w:right w:val="nil"/>
            </w:tcBorders>
            <w:noWrap/>
            <w:vAlign w:val="center"/>
            <w:hideMark/>
          </w:tcPr>
          <w:p w14:paraId="581CF52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66.06%</w:t>
            </w:r>
          </w:p>
        </w:tc>
      </w:tr>
    </w:tbl>
    <w:p w14:paraId="4CFCD053" w14:textId="77777777" w:rsidR="00E534C4" w:rsidRPr="00DC60AE" w:rsidRDefault="00E534C4" w:rsidP="00DC60AE">
      <w:pPr>
        <w:tabs>
          <w:tab w:val="left" w:pos="270"/>
        </w:tabs>
        <w:spacing w:after="0" w:line="240" w:lineRule="auto"/>
        <w:rPr>
          <w:rFonts w:asciiTheme="minorHAnsi" w:hAnsiTheme="minorHAnsi" w:cstheme="minorHAnsi"/>
          <w:szCs w:val="22"/>
        </w:rPr>
      </w:pPr>
    </w:p>
    <w:p w14:paraId="75B0AFF4" w14:textId="145B9C4D" w:rsidR="00CC2392" w:rsidRPr="00DC60AE" w:rsidRDefault="00E534C4" w:rsidP="00DC60AE">
      <w:pPr>
        <w:tabs>
          <w:tab w:val="left" w:pos="270"/>
        </w:tabs>
        <w:spacing w:after="0" w:line="240" w:lineRule="auto"/>
        <w:rPr>
          <w:rFonts w:asciiTheme="minorHAnsi" w:hAnsiTheme="minorHAnsi" w:cstheme="minorHAnsi"/>
          <w:szCs w:val="22"/>
          <w:shd w:val="clear" w:color="auto" w:fill="FFFFFF"/>
        </w:rPr>
      </w:pPr>
      <w:r w:rsidRPr="00DC60AE">
        <w:rPr>
          <w:rFonts w:asciiTheme="minorHAnsi" w:hAnsiTheme="minorHAnsi" w:cstheme="minorHAnsi"/>
          <w:szCs w:val="22"/>
          <w:shd w:val="clear" w:color="auto" w:fill="FFFFFF"/>
        </w:rPr>
        <w:t xml:space="preserve">The findings highlight that the </w:t>
      </w:r>
      <w:r w:rsidRPr="00DC60AE">
        <w:rPr>
          <w:rFonts w:asciiTheme="minorHAnsi" w:hAnsiTheme="minorHAnsi" w:cstheme="minorHAnsi"/>
        </w:rPr>
        <w:t>perishability of vegetables and fruits is a key determinant of post-harvest losses and food waste within supply chains. Marketing functions, including transportation, storage, handling, washing, and selling, influence loss levels based on perishability. Highly perishable produce is particularly vulnerable. Therefore, prioritizing improved retail handling, efficient storage, and targeted marketing strategies is essential to minimize losses and maintain product quality for consumers.</w:t>
      </w:r>
    </w:p>
    <w:p w14:paraId="3ECDB37D" w14:textId="77777777" w:rsidR="00C41109" w:rsidRPr="00DC60AE" w:rsidRDefault="00C41109" w:rsidP="00DC60AE">
      <w:pPr>
        <w:pStyle w:val="ListParagraph"/>
        <w:tabs>
          <w:tab w:val="left" w:pos="270"/>
        </w:tabs>
        <w:spacing w:after="0" w:line="240" w:lineRule="auto"/>
        <w:ind w:left="0"/>
        <w:rPr>
          <w:rFonts w:asciiTheme="minorHAnsi" w:hAnsiTheme="minorHAnsi" w:cstheme="minorHAnsi"/>
          <w:szCs w:val="22"/>
          <w:shd w:val="clear" w:color="auto" w:fill="FFFFFF"/>
        </w:rPr>
      </w:pPr>
    </w:p>
    <w:p w14:paraId="440F8831" w14:textId="77777777"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FOOD LOSS AND WASTE SCENARIO IN THE SUPPLY CHAIN</w:t>
      </w:r>
    </w:p>
    <w:p w14:paraId="1178818D" w14:textId="17DFEA1E" w:rsidR="001F183E" w:rsidRPr="00DC60AE" w:rsidRDefault="0057786D"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t xml:space="preserve">The study found </w:t>
      </w:r>
      <w:r w:rsidR="006752EC" w:rsidRPr="00DC60AE">
        <w:rPr>
          <w:rFonts w:asciiTheme="minorHAnsi" w:hAnsiTheme="minorHAnsi" w:cstheme="minorHAnsi"/>
          <w:szCs w:val="22"/>
        </w:rPr>
        <w:t xml:space="preserve">that </w:t>
      </w:r>
      <w:r w:rsidRPr="00DC60AE">
        <w:rPr>
          <w:rFonts w:asciiTheme="minorHAnsi" w:hAnsiTheme="minorHAnsi" w:cstheme="minorHAnsi"/>
          <w:szCs w:val="22"/>
        </w:rPr>
        <w:t xml:space="preserve">during the production stage, 13.60% of food is lost, and 11.60% is wasted. FLW at this stage often arises from limited access to harvesting equipment, pesticides, fertilizers, farmer training, and extension services. Inappropriate harvesting methods and poor organization also contribute to delayed harvesting, resulting in increased losses. During the harvesting period, 15.30% of food was lost and 12.30% wasted due to inadequate handling practices within the supply chain. At the storage stage, 14.70% of food was lost and 10.70% wasted as a result of poor storage techniques and inadequate facilities. The study further found that in rural retail shops, 7.60% of food was lost and 5.60% wasted, primarily due to improper handling, poor marketing practices, and short-term storage limitations. </w:t>
      </w:r>
      <w:r w:rsidR="00C41109" w:rsidRPr="00DC60AE">
        <w:rPr>
          <w:rFonts w:asciiTheme="minorHAnsi" w:hAnsiTheme="minorHAnsi" w:cstheme="minorHAnsi"/>
          <w:szCs w:val="22"/>
        </w:rPr>
        <w:t xml:space="preserve">Recent studies have found that approximately 15.96% of total food production is wasted annually, with 45% of this wasted food representing a substantial loss of natural resources such as water and energy </w:t>
      </w:r>
      <w:r w:rsidR="001F183E" w:rsidRPr="00DC60AE">
        <w:rPr>
          <w:rFonts w:asciiTheme="minorHAnsi" w:hAnsiTheme="minorHAnsi" w:cstheme="minorHAnsi"/>
        </w:rPr>
        <w:t>(</w:t>
      </w:r>
      <w:proofErr w:type="spellStart"/>
      <w:r w:rsidR="001F183E" w:rsidRPr="00DC60AE">
        <w:rPr>
          <w:rFonts w:asciiTheme="minorHAnsi" w:hAnsiTheme="minorHAnsi" w:cstheme="minorHAnsi"/>
        </w:rPr>
        <w:t>Ananno</w:t>
      </w:r>
      <w:proofErr w:type="spellEnd"/>
      <w:r w:rsidR="001F183E" w:rsidRPr="00DC60AE">
        <w:rPr>
          <w:rFonts w:asciiTheme="minorHAnsi" w:hAnsiTheme="minorHAnsi" w:cstheme="minorHAnsi"/>
        </w:rPr>
        <w:t xml:space="preserve"> et al., 2021). Given that food contributes 16.7–20% of the global economy, reducing food waste can generate considerable economic and environmental benefits (Huang et al., 2020). In Bangladesh, per capita food waste is estimated at 65 kg annually (Sarker et al., 2022), highlighting the need for improved waste management strategies. Additionally, FLW distribution shows higher prevalence in developed countries (56%) compared to developing countries (44%) (Marimuthu et al., 2024).</w:t>
      </w:r>
      <w:r w:rsidR="003949EC" w:rsidRPr="00DC60AE">
        <w:rPr>
          <w:rFonts w:asciiTheme="minorHAnsi" w:hAnsiTheme="minorHAnsi" w:cstheme="minorHAnsi"/>
        </w:rPr>
        <w:t xml:space="preserve"> The findings indicate that food waste remains a significant global challenge affecting economic and environmental sustainability. </w:t>
      </w:r>
    </w:p>
    <w:p w14:paraId="23E38494" w14:textId="77777777" w:rsidR="001F183E" w:rsidRPr="00DC60AE" w:rsidRDefault="001F183E" w:rsidP="00DC60AE">
      <w:pPr>
        <w:tabs>
          <w:tab w:val="left" w:pos="360"/>
        </w:tabs>
        <w:spacing w:after="0" w:line="240" w:lineRule="auto"/>
        <w:rPr>
          <w:rFonts w:asciiTheme="minorHAnsi" w:hAnsiTheme="minorHAnsi" w:cstheme="minorHAnsi"/>
          <w:szCs w:val="22"/>
        </w:rPr>
      </w:pPr>
    </w:p>
    <w:p w14:paraId="440F8833" w14:textId="0EB97E1A" w:rsidR="00375C98" w:rsidRPr="00DC60AE" w:rsidRDefault="00F549FF" w:rsidP="00DC60AE">
      <w:pPr>
        <w:pStyle w:val="ListParagraph"/>
        <w:tabs>
          <w:tab w:val="left" w:pos="360"/>
        </w:tabs>
        <w:spacing w:after="0" w:line="240" w:lineRule="auto"/>
        <w:ind w:left="360"/>
        <w:rPr>
          <w:rFonts w:asciiTheme="minorHAnsi" w:hAnsiTheme="minorHAnsi" w:cstheme="minorHAnsi"/>
          <w:szCs w:val="22"/>
        </w:rPr>
      </w:pPr>
      <w:r w:rsidRPr="00DC60AE">
        <w:rPr>
          <w:rFonts w:asciiTheme="minorHAnsi" w:hAnsiTheme="minorHAnsi" w:cstheme="minorHAnsi"/>
          <w:noProof/>
          <w:szCs w:val="22"/>
        </w:rPr>
        <w:lastRenderedPageBreak/>
        <mc:AlternateContent>
          <mc:Choice Requires="wpg">
            <w:drawing>
              <wp:anchor distT="0" distB="0" distL="114300" distR="114300" simplePos="0" relativeHeight="251652096" behindDoc="0" locked="0" layoutInCell="1" allowOverlap="1" wp14:anchorId="440F88D4" wp14:editId="4199E4EB">
                <wp:simplePos x="0" y="0"/>
                <wp:positionH relativeFrom="column">
                  <wp:posOffset>140335</wp:posOffset>
                </wp:positionH>
                <wp:positionV relativeFrom="paragraph">
                  <wp:posOffset>76200</wp:posOffset>
                </wp:positionV>
                <wp:extent cx="5235575" cy="3124835"/>
                <wp:effectExtent l="0" t="0" r="3175" b="0"/>
                <wp:wrapSquare wrapText="bothSides"/>
                <wp:docPr id="3" name="Group 3"/>
                <wp:cNvGraphicFramePr/>
                <a:graphic xmlns:a="http://schemas.openxmlformats.org/drawingml/2006/main">
                  <a:graphicData uri="http://schemas.microsoft.com/office/word/2010/wordprocessingGroup">
                    <wpg:wgp>
                      <wpg:cNvGrpSpPr/>
                      <wpg:grpSpPr>
                        <a:xfrm>
                          <a:off x="0" y="0"/>
                          <a:ext cx="5235575" cy="3124835"/>
                          <a:chOff x="-11866" y="-126883"/>
                          <a:chExt cx="5149016" cy="3903228"/>
                        </a:xfrm>
                      </wpg:grpSpPr>
                      <wpg:graphicFrame>
                        <wpg:cNvPr id="14" name="Chart 14">
                          <a:extLst>
                            <a:ext uri="{FF2B5EF4-FFF2-40B4-BE49-F238E27FC236}">
                              <a16:creationId xmlns:a16="http://schemas.microsoft.com/office/drawing/2014/main" id="{F75E2DE2-E68B-7C72-A4E1-7E6165D17469}"/>
                            </a:ext>
                          </a:extLst>
                        </wpg:cNvPr>
                        <wpg:cNvFrPr/>
                        <wpg:xfrm>
                          <a:off x="-11866" y="-126883"/>
                          <a:ext cx="5137150" cy="3454400"/>
                        </wpg:xfrm>
                        <a:graphic>
                          <a:graphicData uri="http://schemas.openxmlformats.org/drawingml/2006/chart">
                            <c:chart xmlns:c="http://schemas.openxmlformats.org/drawingml/2006/chart" xmlns:r="http://schemas.openxmlformats.org/officeDocument/2006/relationships" r:id="rId9"/>
                          </a:graphicData>
                        </a:graphic>
                      </wpg:graphicFrame>
                      <wps:wsp>
                        <wps:cNvPr id="2" name="Text Box 2"/>
                        <wps:cNvSpPr txBox="1"/>
                        <wps:spPr>
                          <a:xfrm>
                            <a:off x="0" y="3509645"/>
                            <a:ext cx="5137150" cy="266700"/>
                          </a:xfrm>
                          <a:prstGeom prst="rect">
                            <a:avLst/>
                          </a:prstGeom>
                          <a:solidFill>
                            <a:prstClr val="white"/>
                          </a:solidFill>
                          <a:ln>
                            <a:noFill/>
                          </a:ln>
                          <a:effectLst/>
                        </wps:spPr>
                        <wps:txbx>
                          <w:txbxContent>
                            <w:p w14:paraId="440F88E6" w14:textId="494E3460" w:rsidR="004F30A9" w:rsidRPr="00F549FF" w:rsidRDefault="004F30A9" w:rsidP="00197204">
                              <w:pPr>
                                <w:pStyle w:val="Caption"/>
                                <w:jc w:val="center"/>
                                <w:rPr>
                                  <w:rFonts w:cstheme="minorHAnsi"/>
                                  <w:noProof/>
                                  <w:color w:val="auto"/>
                                </w:rPr>
                              </w:pPr>
                              <w:r w:rsidRPr="00F549FF">
                                <w:rPr>
                                  <w:color w:val="auto"/>
                                </w:rPr>
                                <w:t xml:space="preserve">Figure </w:t>
                              </w:r>
                              <w:r w:rsidRPr="00F549FF">
                                <w:rPr>
                                  <w:color w:val="auto"/>
                                </w:rPr>
                                <w:fldChar w:fldCharType="begin"/>
                              </w:r>
                              <w:r w:rsidRPr="00F549FF">
                                <w:rPr>
                                  <w:color w:val="auto"/>
                                </w:rPr>
                                <w:instrText xml:space="preserve"> SEQ Figure \* ARABIC </w:instrText>
                              </w:r>
                              <w:r w:rsidRPr="00F549FF">
                                <w:rPr>
                                  <w:color w:val="auto"/>
                                </w:rPr>
                                <w:fldChar w:fldCharType="separate"/>
                              </w:r>
                              <w:r w:rsidRPr="00F549FF">
                                <w:rPr>
                                  <w:noProof/>
                                  <w:color w:val="auto"/>
                                </w:rPr>
                                <w:t>2</w:t>
                              </w:r>
                              <w:r w:rsidRPr="00F549FF">
                                <w:rPr>
                                  <w:color w:val="auto"/>
                                </w:rPr>
                                <w:fldChar w:fldCharType="end"/>
                              </w:r>
                              <w:r w:rsidRPr="00F549FF">
                                <w:rPr>
                                  <w:color w:val="auto"/>
                                </w:rPr>
                                <w:t>: Food Loss and waste scenario in the food supply chain.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0F88D4" id="Group 3" o:spid="_x0000_s1026" style="position:absolute;left:0;text-align:left;margin-left:11.05pt;margin-top:6pt;width:412.25pt;height:246.05pt;z-index:251652096;mso-width-relative:margin;mso-height-relative:margin" coordorigin="-118,-1268" coordsize="51490,390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s1027" type="#_x0000_t75" style="position:absolute;left:-178;top:-1344;width:51498;height:34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">
                  <v:imagedata r:id="rId10" o:title=""/>
                  <o:lock v:ext="edit" aspectratio="f"/>
                </v:shape>
                <v:shapetype id="_x0000_t202" coordsize="21600,21600" o:spt="202" path="m,l,21600r21600,l21600,xe">
                  <v:stroke joinstyle="miter"/>
                  <v:path gradientshapeok="t" o:connecttype="rect"/>
                </v:shapetype>
                <v:shape id="Text Box 2" o:spid="_x0000_s1028" type="#_x0000_t202" style="position:absolute;top:35096;width:513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440F88E6" w14:textId="494E3460" w:rsidR="004F30A9" w:rsidRPr="00F549FF" w:rsidRDefault="004F30A9" w:rsidP="00197204">
                        <w:pPr>
                          <w:pStyle w:val="Caption"/>
                          <w:jc w:val="center"/>
                          <w:rPr>
                            <w:rFonts w:cstheme="minorHAnsi"/>
                            <w:noProof/>
                            <w:color w:val="auto"/>
                          </w:rPr>
                        </w:pPr>
                        <w:r w:rsidRPr="00F549FF">
                          <w:rPr>
                            <w:color w:val="auto"/>
                          </w:rPr>
                          <w:t xml:space="preserve">Figure </w:t>
                        </w:r>
                        <w:r w:rsidRPr="00F549FF">
                          <w:rPr>
                            <w:color w:val="auto"/>
                          </w:rPr>
                          <w:fldChar w:fldCharType="begin"/>
                        </w:r>
                        <w:r w:rsidRPr="00F549FF">
                          <w:rPr>
                            <w:color w:val="auto"/>
                          </w:rPr>
                          <w:instrText xml:space="preserve"> SEQ Figure \* ARABIC </w:instrText>
                        </w:r>
                        <w:r w:rsidRPr="00F549FF">
                          <w:rPr>
                            <w:color w:val="auto"/>
                          </w:rPr>
                          <w:fldChar w:fldCharType="separate"/>
                        </w:r>
                        <w:r w:rsidRPr="00F549FF">
                          <w:rPr>
                            <w:noProof/>
                            <w:color w:val="auto"/>
                          </w:rPr>
                          <w:t>2</w:t>
                        </w:r>
                        <w:r w:rsidRPr="00F549FF">
                          <w:rPr>
                            <w:color w:val="auto"/>
                          </w:rPr>
                          <w:fldChar w:fldCharType="end"/>
                        </w:r>
                        <w:r w:rsidRPr="00F549FF">
                          <w:rPr>
                            <w:color w:val="auto"/>
                          </w:rPr>
                          <w:t>: Food Loss and waste scenario in the food supply chain.</w:t>
                        </w:r>
                      </w:p>
                    </w:txbxContent>
                  </v:textbox>
                </v:shape>
                <w10:wrap type="square"/>
              </v:group>
            </w:pict>
          </mc:Fallback>
        </mc:AlternateContent>
      </w:r>
    </w:p>
    <w:p w14:paraId="440F8834" w14:textId="7120B480" w:rsidR="00375C98" w:rsidRPr="00DC60AE" w:rsidRDefault="00375C98" w:rsidP="00DC60AE">
      <w:pPr>
        <w:pStyle w:val="ListParagraph"/>
        <w:tabs>
          <w:tab w:val="left" w:pos="0"/>
        </w:tabs>
        <w:spacing w:after="0" w:line="240" w:lineRule="auto"/>
        <w:ind w:left="0"/>
        <w:jc w:val="left"/>
        <w:rPr>
          <w:rFonts w:asciiTheme="minorHAnsi" w:hAnsiTheme="minorHAnsi" w:cstheme="minorHAnsi"/>
          <w:szCs w:val="22"/>
        </w:rPr>
      </w:pPr>
    </w:p>
    <w:p w14:paraId="440F8848" w14:textId="77777777"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POSSIBLE FACTORS CAUSING FOOD LOSS AT THE RETAIL SHOP</w:t>
      </w:r>
    </w:p>
    <w:p w14:paraId="19AA5ACE" w14:textId="72140359" w:rsidR="00C41109" w:rsidRPr="00DC60AE" w:rsidRDefault="00256AA3"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t>The study found that 81.65% of vegetable retailers and 71.43% of fruit retailers reported losses during the storage stage of the food supply chain. Similarly, 92.66% of vegetable retailers and 75.00% of fruit retailers experienced losses due to poor transportation. Lack of proper handling was also a major factor, as 84.40% of vegetable and 78.57% of fruit retailers noted that improper handling during retailing contributed to losses. Despite these factors, 37.61% of vegetable and 51.79% of fruit retailers attributed losses to their limited knowledge of food loss and waste management. Environmental conditions such as temperature, humidity, rainfall, and extreme weather were reported by 48.62% of vegetable and 37.61% of fruit retailers as causes of loss. Additionally, 3.67% of vegetable retailers and 3.57% of fruit retailers indicated that losses occurred during processing, while poor packaging contributed to losses for 11.93% of vegetables and 8.93% of fruits.</w:t>
      </w:r>
    </w:p>
    <w:p w14:paraId="04D153C3" w14:textId="43AC348C" w:rsidR="00256AA3" w:rsidRPr="00DC60AE" w:rsidRDefault="007D7274"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noProof/>
          <w:szCs w:val="22"/>
        </w:rPr>
        <w:drawing>
          <wp:anchor distT="0" distB="0" distL="114300" distR="114300" simplePos="0" relativeHeight="251683840" behindDoc="0" locked="0" layoutInCell="1" allowOverlap="1" wp14:anchorId="669FFEBD" wp14:editId="34E9EAEB">
            <wp:simplePos x="0" y="0"/>
            <wp:positionH relativeFrom="column">
              <wp:posOffset>228600</wp:posOffset>
            </wp:positionH>
            <wp:positionV relativeFrom="paragraph">
              <wp:posOffset>174625</wp:posOffset>
            </wp:positionV>
            <wp:extent cx="5245100" cy="3086735"/>
            <wp:effectExtent l="0" t="0" r="12700" b="18415"/>
            <wp:wrapSquare wrapText="bothSides"/>
            <wp:docPr id="25" name="Chart 25">
              <a:extLst xmlns:a="http://schemas.openxmlformats.org/drawingml/2006/main">
                <a:ext uri="{FF2B5EF4-FFF2-40B4-BE49-F238E27FC236}">
                  <a16:creationId xmlns:a16="http://schemas.microsoft.com/office/drawing/2014/main" id="{D4E8BBC2-C859-499C-EE3B-2D52A0D20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DC60AE">
        <w:rPr>
          <w:rFonts w:asciiTheme="minorHAnsi" w:hAnsiTheme="minorHAnsi" w:cstheme="minorHAnsi"/>
          <w:noProof/>
          <w:szCs w:val="22"/>
        </w:rPr>
        <mc:AlternateContent>
          <mc:Choice Requires="wps">
            <w:drawing>
              <wp:anchor distT="0" distB="0" distL="114300" distR="114300" simplePos="0" relativeHeight="251684864" behindDoc="0" locked="0" layoutInCell="1" allowOverlap="1" wp14:anchorId="4068B780" wp14:editId="111767CD">
                <wp:simplePos x="0" y="0"/>
                <wp:positionH relativeFrom="column">
                  <wp:posOffset>230588</wp:posOffset>
                </wp:positionH>
                <wp:positionV relativeFrom="paragraph">
                  <wp:posOffset>3312925</wp:posOffset>
                </wp:positionV>
                <wp:extent cx="5144135" cy="254422"/>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4135" cy="254422"/>
                        </a:xfrm>
                        <a:prstGeom prst="rect">
                          <a:avLst/>
                        </a:prstGeom>
                        <a:solidFill>
                          <a:prstClr val="white"/>
                        </a:solidFill>
                        <a:ln>
                          <a:noFill/>
                        </a:ln>
                        <a:effectLst/>
                      </wps:spPr>
                      <wps:txbx>
                        <w:txbxContent>
                          <w:p w14:paraId="440F88E7" w14:textId="7C73585A" w:rsidR="004F30A9" w:rsidRPr="000D0560" w:rsidRDefault="004F30A9" w:rsidP="000D0560">
                            <w:pPr>
                              <w:pStyle w:val="Caption"/>
                              <w:jc w:val="center"/>
                              <w:rPr>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3</w:t>
                            </w:r>
                            <w:r w:rsidRPr="000D0560">
                              <w:rPr>
                                <w:i w:val="0"/>
                                <w:color w:val="auto"/>
                                <w:sz w:val="20"/>
                                <w:szCs w:val="20"/>
                              </w:rPr>
                              <w:fldChar w:fldCharType="end"/>
                            </w:r>
                            <w:r w:rsidRPr="000D0560">
                              <w:rPr>
                                <w:i w:val="0"/>
                                <w:color w:val="auto"/>
                                <w:sz w:val="20"/>
                                <w:szCs w:val="20"/>
                              </w:rPr>
                              <w:t>: Retail owners (respondents) for possible factors causing food loss in the retail shops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068B780" id="Text Box 4" o:spid="_x0000_s1029" type="#_x0000_t202" style="position:absolute;left:0;text-align:left;margin-left:18.15pt;margin-top:260.85pt;width:405.05pt;height:20.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" stroked="f">
                <v:textbox inset="0,0,0,0">
                  <w:txbxContent>
                    <w:p w14:paraId="440F88E7" w14:textId="7C73585A" w:rsidR="004F30A9" w:rsidRPr="000D0560" w:rsidRDefault="004F30A9" w:rsidP="000D0560">
                      <w:pPr>
                        <w:pStyle w:val="Caption"/>
                        <w:jc w:val="center"/>
                        <w:rPr>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3</w:t>
                      </w:r>
                      <w:r w:rsidRPr="000D0560">
                        <w:rPr>
                          <w:i w:val="0"/>
                          <w:color w:val="auto"/>
                          <w:sz w:val="20"/>
                          <w:szCs w:val="20"/>
                        </w:rPr>
                        <w:fldChar w:fldCharType="end"/>
                      </w:r>
                      <w:r w:rsidRPr="000D0560">
                        <w:rPr>
                          <w:i w:val="0"/>
                          <w:color w:val="auto"/>
                          <w:sz w:val="20"/>
                          <w:szCs w:val="20"/>
                        </w:rPr>
                        <w:t>: Retail owners (respondents) for possible factors causing food loss in the retail shops</w:t>
                      </w:r>
                    </w:p>
                  </w:txbxContent>
                </v:textbox>
                <w10:wrap type="square"/>
              </v:shape>
            </w:pict>
          </mc:Fallback>
        </mc:AlternateContent>
      </w:r>
    </w:p>
    <w:p w14:paraId="440F884C" w14:textId="3E71AFD2" w:rsidR="00375C98" w:rsidRPr="00DC60AE" w:rsidRDefault="00375C98" w:rsidP="00DC60AE">
      <w:pPr>
        <w:pStyle w:val="ListParagraph"/>
        <w:tabs>
          <w:tab w:val="left" w:pos="360"/>
        </w:tabs>
        <w:spacing w:after="0" w:line="240" w:lineRule="auto"/>
        <w:ind w:left="360"/>
        <w:rPr>
          <w:rFonts w:asciiTheme="minorHAnsi" w:hAnsiTheme="minorHAnsi" w:cstheme="minorHAnsi"/>
          <w:szCs w:val="22"/>
        </w:rPr>
      </w:pPr>
    </w:p>
    <w:p w14:paraId="199EFBA9" w14:textId="6AA38ABD" w:rsidR="00256AA3" w:rsidRPr="00DC60AE" w:rsidRDefault="00256AA3" w:rsidP="00DC60AE">
      <w:pPr>
        <w:tabs>
          <w:tab w:val="left" w:pos="360"/>
        </w:tabs>
        <w:spacing w:after="0" w:line="240" w:lineRule="auto"/>
        <w:rPr>
          <w:rFonts w:asciiTheme="minorHAnsi" w:hAnsiTheme="minorHAnsi" w:cstheme="minorHAnsi"/>
        </w:rPr>
      </w:pPr>
      <w:r w:rsidRPr="00DC60AE">
        <w:rPr>
          <w:rFonts w:asciiTheme="minorHAnsi" w:hAnsiTheme="minorHAnsi" w:cstheme="minorHAnsi"/>
          <w:szCs w:val="22"/>
        </w:rPr>
        <w:lastRenderedPageBreak/>
        <w:t xml:space="preserve">These findings underscore the need for improved storage, transportation, handling practices, and retailer awareness to reduce losses. </w:t>
      </w:r>
      <w:r w:rsidRPr="00DC60AE">
        <w:rPr>
          <w:rFonts w:asciiTheme="minorHAnsi" w:hAnsiTheme="minorHAnsi" w:cstheme="minorHAnsi"/>
        </w:rPr>
        <w:t>Improper handling and processing were the main causes of fruit and vegetable losses, accounting for over half of total losses (</w:t>
      </w:r>
      <w:proofErr w:type="spellStart"/>
      <w:r w:rsidRPr="00DC60AE">
        <w:rPr>
          <w:rFonts w:asciiTheme="minorHAnsi" w:hAnsiTheme="minorHAnsi" w:cstheme="minorHAnsi"/>
        </w:rPr>
        <w:t>Lingkon</w:t>
      </w:r>
      <w:proofErr w:type="spellEnd"/>
      <w:r w:rsidRPr="00DC60AE">
        <w:rPr>
          <w:rFonts w:asciiTheme="minorHAnsi" w:hAnsiTheme="minorHAnsi" w:cstheme="minorHAnsi"/>
        </w:rPr>
        <w:t xml:space="preserve"> et al., 2025; </w:t>
      </w:r>
      <w:proofErr w:type="spellStart"/>
      <w:r w:rsidRPr="00DC60AE">
        <w:rPr>
          <w:rFonts w:asciiTheme="minorHAnsi" w:hAnsiTheme="minorHAnsi" w:cstheme="minorHAnsi"/>
        </w:rPr>
        <w:t>Ambuko</w:t>
      </w:r>
      <w:proofErr w:type="spellEnd"/>
      <w:r w:rsidRPr="00DC60AE">
        <w:rPr>
          <w:rFonts w:asciiTheme="minorHAnsi" w:hAnsiTheme="minorHAnsi" w:cstheme="minorHAnsi"/>
        </w:rPr>
        <w:t xml:space="preserve"> et al., 2025).  Retailers showed moderate awareness of FLW, with most respondents aware of food loss and food waste. Major factors influencing FLW included poor packaging, transportation problems, infrastructure limitations, and improper handling. The findings highlight that storage, transportation, handling practices, retailer awareness, environmental conditions, processing, and packaging deficiencies are major contributors to fruit and vegetable food loss and waste.</w:t>
      </w:r>
    </w:p>
    <w:p w14:paraId="24317D41" w14:textId="77777777" w:rsidR="00256AA3" w:rsidRPr="00DC60AE" w:rsidRDefault="00256AA3" w:rsidP="00DC60AE">
      <w:pPr>
        <w:tabs>
          <w:tab w:val="left" w:pos="360"/>
        </w:tabs>
        <w:spacing w:after="0" w:line="240" w:lineRule="auto"/>
        <w:rPr>
          <w:rFonts w:asciiTheme="minorHAnsi" w:hAnsiTheme="minorHAnsi" w:cstheme="minorHAnsi"/>
          <w:szCs w:val="22"/>
        </w:rPr>
      </w:pPr>
    </w:p>
    <w:p w14:paraId="440F884D" w14:textId="304F0884"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POSSIBLE FACTORS CAUSING FOOD WASTE IN THE RETAIL SHOP</w:t>
      </w:r>
    </w:p>
    <w:p w14:paraId="7756C71E" w14:textId="3E0BEE14" w:rsidR="00B77A87" w:rsidRPr="00DC60AE" w:rsidRDefault="00F549FF"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noProof/>
          <w:szCs w:val="22"/>
        </w:rPr>
        <w:drawing>
          <wp:anchor distT="0" distB="0" distL="114300" distR="114300" simplePos="0" relativeHeight="251686912" behindDoc="0" locked="0" layoutInCell="1" allowOverlap="1" wp14:anchorId="676BCF3C" wp14:editId="69BCE881">
            <wp:simplePos x="0" y="0"/>
            <wp:positionH relativeFrom="column">
              <wp:posOffset>222250</wp:posOffset>
            </wp:positionH>
            <wp:positionV relativeFrom="paragraph">
              <wp:posOffset>732790</wp:posOffset>
            </wp:positionV>
            <wp:extent cx="5295900" cy="2317750"/>
            <wp:effectExtent l="0" t="0" r="0" b="6350"/>
            <wp:wrapSquare wrapText="bothSides"/>
            <wp:docPr id="26" name="Chart 26">
              <a:extLst xmlns:a="http://schemas.openxmlformats.org/drawingml/2006/main">
                <a:ext uri="{FF2B5EF4-FFF2-40B4-BE49-F238E27FC236}">
                  <a16:creationId xmlns:a16="http://schemas.microsoft.com/office/drawing/2014/main" id="{A19FED9D-3E2E-BE92-93F5-C478E28CE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311CC" w:rsidRPr="00DC60AE">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72E45063" wp14:editId="2CA1F8C2">
                <wp:simplePos x="0" y="0"/>
                <wp:positionH relativeFrom="column">
                  <wp:posOffset>533400</wp:posOffset>
                </wp:positionH>
                <wp:positionV relativeFrom="paragraph">
                  <wp:posOffset>3150870</wp:posOffset>
                </wp:positionV>
                <wp:extent cx="490347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903470" cy="635"/>
                        </a:xfrm>
                        <a:prstGeom prst="rect">
                          <a:avLst/>
                        </a:prstGeom>
                        <a:solidFill>
                          <a:prstClr val="white"/>
                        </a:solidFill>
                        <a:ln>
                          <a:noFill/>
                        </a:ln>
                      </wps:spPr>
                      <wps:txbx>
                        <w:txbxContent>
                          <w:p w14:paraId="10360044" w14:textId="643BF4D4" w:rsidR="004F30A9" w:rsidRPr="00D311CC" w:rsidRDefault="004F30A9" w:rsidP="000D0560">
                            <w:pPr>
                              <w:pStyle w:val="Caption"/>
                              <w:jc w:val="center"/>
                              <w:rPr>
                                <w:rFonts w:cstheme="minorHAnsi"/>
                                <w:i w:val="0"/>
                                <w:noProof/>
                                <w:color w:val="auto"/>
                                <w:sz w:val="22"/>
                                <w:szCs w:val="22"/>
                              </w:rPr>
                            </w:pPr>
                            <w:r w:rsidRPr="00D311CC">
                              <w:rPr>
                                <w:i w:val="0"/>
                                <w:color w:val="auto"/>
                                <w:sz w:val="22"/>
                                <w:szCs w:val="22"/>
                              </w:rPr>
                              <w:t xml:space="preserve">Figure </w:t>
                            </w:r>
                            <w:r w:rsidRPr="00D311CC">
                              <w:rPr>
                                <w:i w:val="0"/>
                                <w:color w:val="auto"/>
                                <w:sz w:val="22"/>
                                <w:szCs w:val="22"/>
                              </w:rPr>
                              <w:fldChar w:fldCharType="begin"/>
                            </w:r>
                            <w:r w:rsidRPr="00D311CC">
                              <w:rPr>
                                <w:i w:val="0"/>
                                <w:color w:val="auto"/>
                                <w:sz w:val="22"/>
                                <w:szCs w:val="22"/>
                              </w:rPr>
                              <w:instrText xml:space="preserve"> SEQ Figure \* ARABIC </w:instrText>
                            </w:r>
                            <w:r w:rsidRPr="00D311CC">
                              <w:rPr>
                                <w:i w:val="0"/>
                                <w:color w:val="auto"/>
                                <w:sz w:val="22"/>
                                <w:szCs w:val="22"/>
                              </w:rPr>
                              <w:fldChar w:fldCharType="separate"/>
                            </w:r>
                            <w:r w:rsidRPr="00D311CC">
                              <w:rPr>
                                <w:i w:val="0"/>
                                <w:noProof/>
                                <w:color w:val="auto"/>
                                <w:sz w:val="22"/>
                                <w:szCs w:val="22"/>
                              </w:rPr>
                              <w:t>4</w:t>
                            </w:r>
                            <w:r w:rsidRPr="00D311CC">
                              <w:rPr>
                                <w:i w:val="0"/>
                                <w:color w:val="auto"/>
                                <w:sz w:val="22"/>
                                <w:szCs w:val="22"/>
                              </w:rPr>
                              <w:fldChar w:fldCharType="end"/>
                            </w:r>
                            <w:r w:rsidRPr="00D311CC">
                              <w:rPr>
                                <w:i w:val="0"/>
                                <w:color w:val="auto"/>
                                <w:sz w:val="22"/>
                                <w:szCs w:val="22"/>
                              </w:rPr>
                              <w:t>:</w:t>
                            </w:r>
                            <w:r w:rsidR="000D0560">
                              <w:rPr>
                                <w:i w:val="0"/>
                                <w:color w:val="auto"/>
                                <w:sz w:val="22"/>
                                <w:szCs w:val="22"/>
                              </w:rPr>
                              <w:t xml:space="preserve"> </w:t>
                            </w:r>
                            <w:r w:rsidRPr="00D311CC">
                              <w:rPr>
                                <w:i w:val="0"/>
                                <w:color w:val="auto"/>
                                <w:sz w:val="22"/>
                                <w:szCs w:val="22"/>
                              </w:rPr>
                              <w:t xml:space="preserve">Possible factors causing food waste in </w:t>
                            </w:r>
                            <w:r w:rsidR="000D0560">
                              <w:rPr>
                                <w:i w:val="0"/>
                                <w:color w:val="auto"/>
                                <w:sz w:val="22"/>
                                <w:szCs w:val="22"/>
                              </w:rPr>
                              <w:t xml:space="preserve">the </w:t>
                            </w:r>
                            <w:r w:rsidRPr="00D311CC">
                              <w:rPr>
                                <w:i w:val="0"/>
                                <w:color w:val="auto"/>
                                <w:sz w:val="22"/>
                                <w:szCs w:val="22"/>
                              </w:rPr>
                              <w:t>retail shop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E45063" id="Text Box 5" o:spid="_x0000_s1030" type="#_x0000_t202" style="position:absolute;left:0;text-align:left;margin-left:42pt;margin-top:248.1pt;width:386.1pt;height:.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" stroked="f">
                <v:textbox style="mso-fit-shape-to-text:t" inset="0,0,0,0">
                  <w:txbxContent>
                    <w:p w14:paraId="10360044" w14:textId="643BF4D4" w:rsidR="004F30A9" w:rsidRPr="00D311CC" w:rsidRDefault="004F30A9" w:rsidP="000D0560">
                      <w:pPr>
                        <w:pStyle w:val="Caption"/>
                        <w:jc w:val="center"/>
                        <w:rPr>
                          <w:rFonts w:cstheme="minorHAnsi"/>
                          <w:i w:val="0"/>
                          <w:noProof/>
                          <w:color w:val="auto"/>
                          <w:sz w:val="22"/>
                          <w:szCs w:val="22"/>
                        </w:rPr>
                      </w:pPr>
                      <w:r w:rsidRPr="00D311CC">
                        <w:rPr>
                          <w:i w:val="0"/>
                          <w:color w:val="auto"/>
                          <w:sz w:val="22"/>
                          <w:szCs w:val="22"/>
                        </w:rPr>
                        <w:t xml:space="preserve">Figure </w:t>
                      </w:r>
                      <w:r w:rsidRPr="00D311CC">
                        <w:rPr>
                          <w:i w:val="0"/>
                          <w:color w:val="auto"/>
                          <w:sz w:val="22"/>
                          <w:szCs w:val="22"/>
                        </w:rPr>
                        <w:fldChar w:fldCharType="begin"/>
                      </w:r>
                      <w:r w:rsidRPr="00D311CC">
                        <w:rPr>
                          <w:i w:val="0"/>
                          <w:color w:val="auto"/>
                          <w:sz w:val="22"/>
                          <w:szCs w:val="22"/>
                        </w:rPr>
                        <w:instrText xml:space="preserve"> SEQ Figure \* ARABIC </w:instrText>
                      </w:r>
                      <w:r w:rsidRPr="00D311CC">
                        <w:rPr>
                          <w:i w:val="0"/>
                          <w:color w:val="auto"/>
                          <w:sz w:val="22"/>
                          <w:szCs w:val="22"/>
                        </w:rPr>
                        <w:fldChar w:fldCharType="separate"/>
                      </w:r>
                      <w:r w:rsidRPr="00D311CC">
                        <w:rPr>
                          <w:i w:val="0"/>
                          <w:noProof/>
                          <w:color w:val="auto"/>
                          <w:sz w:val="22"/>
                          <w:szCs w:val="22"/>
                        </w:rPr>
                        <w:t>4</w:t>
                      </w:r>
                      <w:r w:rsidRPr="00D311CC">
                        <w:rPr>
                          <w:i w:val="0"/>
                          <w:color w:val="auto"/>
                          <w:sz w:val="22"/>
                          <w:szCs w:val="22"/>
                        </w:rPr>
                        <w:fldChar w:fldCharType="end"/>
                      </w:r>
                      <w:r w:rsidRPr="00D311CC">
                        <w:rPr>
                          <w:i w:val="0"/>
                          <w:color w:val="auto"/>
                          <w:sz w:val="22"/>
                          <w:szCs w:val="22"/>
                        </w:rPr>
                        <w:t>:</w:t>
                      </w:r>
                      <w:r w:rsidR="000D0560">
                        <w:rPr>
                          <w:i w:val="0"/>
                          <w:color w:val="auto"/>
                          <w:sz w:val="22"/>
                          <w:szCs w:val="22"/>
                        </w:rPr>
                        <w:t xml:space="preserve"> </w:t>
                      </w:r>
                      <w:r w:rsidRPr="00D311CC">
                        <w:rPr>
                          <w:i w:val="0"/>
                          <w:color w:val="auto"/>
                          <w:sz w:val="22"/>
                          <w:szCs w:val="22"/>
                        </w:rPr>
                        <w:t xml:space="preserve">Possible factors causing food waste in </w:t>
                      </w:r>
                      <w:r w:rsidR="000D0560">
                        <w:rPr>
                          <w:i w:val="0"/>
                          <w:color w:val="auto"/>
                          <w:sz w:val="22"/>
                          <w:szCs w:val="22"/>
                        </w:rPr>
                        <w:t xml:space="preserve">the </w:t>
                      </w:r>
                      <w:r w:rsidRPr="00D311CC">
                        <w:rPr>
                          <w:i w:val="0"/>
                          <w:color w:val="auto"/>
                          <w:sz w:val="22"/>
                          <w:szCs w:val="22"/>
                        </w:rPr>
                        <w:t>retail shop</w:t>
                      </w:r>
                    </w:p>
                  </w:txbxContent>
                </v:textbox>
                <w10:wrap type="square"/>
              </v:shape>
            </w:pict>
          </mc:Fallback>
        </mc:AlternateContent>
      </w:r>
      <w:r w:rsidR="0057786D" w:rsidRPr="00DC60AE">
        <w:rPr>
          <w:rFonts w:asciiTheme="minorHAnsi" w:hAnsiTheme="minorHAnsi" w:cstheme="minorHAnsi"/>
          <w:szCs w:val="22"/>
        </w:rPr>
        <w:t>The study found that 60.06% of vegetable retailers and 64.29% of fruit retailers identified poor transportation as a major cause of waste in the food supply chain. Similarly, 68.81% of vegetable retailers and 60.71% of fruit retailers reported that the absence of waste containers at retail shops contributed to increased waste. Inadequate storage was another important factor, with 47.79% of vegetable retailers and 78.57% of fruit retailers indicating that surplus produce was wasted due to poor storage practices. Biological factors were also highlighted, as 77.98% of vegetable retailers and 98.21% of fruit retailers reported losses from disease contamination and insect attacks. Retailer awareness played a significant role, with 68.81% of vegetable retailers and 51.79% of fruit retailers attributing waste to insufficient knowledge and awareness of proper food management practices. About 44.04% of vegetable retailers and 42.86% of fruit retailers cited unexpected weather events</w:t>
      </w:r>
      <w:r w:rsidR="002448B0" w:rsidRPr="00DC60AE">
        <w:rPr>
          <w:rFonts w:asciiTheme="minorHAnsi" w:hAnsiTheme="minorHAnsi" w:cstheme="minorHAnsi"/>
          <w:szCs w:val="22"/>
        </w:rPr>
        <w:t xml:space="preserve">, </w:t>
      </w:r>
      <w:r w:rsidR="0057786D" w:rsidRPr="00DC60AE">
        <w:rPr>
          <w:rFonts w:asciiTheme="minorHAnsi" w:hAnsiTheme="minorHAnsi" w:cstheme="minorHAnsi"/>
          <w:szCs w:val="22"/>
        </w:rPr>
        <w:t>including temperature fluctuations, heavy rainf</w:t>
      </w:r>
      <w:r w:rsidR="00DD700E" w:rsidRPr="00DC60AE">
        <w:rPr>
          <w:rFonts w:asciiTheme="minorHAnsi" w:hAnsiTheme="minorHAnsi" w:cstheme="minorHAnsi"/>
          <w:szCs w:val="22"/>
        </w:rPr>
        <w:t>all, humidity, and extreme heat</w:t>
      </w:r>
      <w:r w:rsidR="002448B0" w:rsidRPr="00DC60AE">
        <w:rPr>
          <w:rFonts w:asciiTheme="minorHAnsi" w:hAnsiTheme="minorHAnsi" w:cstheme="minorHAnsi"/>
          <w:szCs w:val="22"/>
        </w:rPr>
        <w:t>,</w:t>
      </w:r>
      <w:r w:rsidR="00DD700E" w:rsidRPr="00DC60AE">
        <w:rPr>
          <w:rFonts w:asciiTheme="minorHAnsi" w:hAnsiTheme="minorHAnsi" w:cstheme="minorHAnsi"/>
          <w:szCs w:val="22"/>
        </w:rPr>
        <w:t xml:space="preserve"> </w:t>
      </w:r>
      <w:r w:rsidR="0057786D" w:rsidRPr="00DC60AE">
        <w:rPr>
          <w:rFonts w:asciiTheme="minorHAnsi" w:hAnsiTheme="minorHAnsi" w:cstheme="minorHAnsi"/>
          <w:szCs w:val="22"/>
        </w:rPr>
        <w:t xml:space="preserve">as contributing factors. Furthermore, 16.51% of vegetable retailers and 54.13% of fruit retailers identified poor handling practices, while 55.36% of vegetable retailers and 46.43% of fruit retailers </w:t>
      </w:r>
      <w:r w:rsidR="00D311CC" w:rsidRPr="00DC60AE">
        <w:rPr>
          <w:rFonts w:asciiTheme="minorHAnsi" w:hAnsiTheme="minorHAnsi" w:cstheme="minorHAnsi"/>
          <w:szCs w:val="22"/>
        </w:rPr>
        <w:t>cited unhygienic practices as causes of retail-level waste</w:t>
      </w:r>
      <w:r w:rsidR="0057786D" w:rsidRPr="00DC60AE">
        <w:rPr>
          <w:rFonts w:asciiTheme="minorHAnsi" w:hAnsiTheme="minorHAnsi" w:cstheme="minorHAnsi"/>
          <w:szCs w:val="22"/>
        </w:rPr>
        <w:t xml:space="preserve">. Finally, 52.29% of vegetable retailers and 17.86% of fruit retailers admitted to using chemicals during </w:t>
      </w:r>
      <w:r w:rsidR="00D311CC" w:rsidRPr="00DC60AE">
        <w:rPr>
          <w:rFonts w:asciiTheme="minorHAnsi" w:hAnsiTheme="minorHAnsi" w:cstheme="minorHAnsi"/>
          <w:szCs w:val="22"/>
        </w:rPr>
        <w:t>retail operations, posing</w:t>
      </w:r>
      <w:r w:rsidR="0057786D" w:rsidRPr="00DC60AE">
        <w:rPr>
          <w:rFonts w:asciiTheme="minorHAnsi" w:hAnsiTheme="minorHAnsi" w:cstheme="minorHAnsi"/>
          <w:szCs w:val="22"/>
        </w:rPr>
        <w:t xml:space="preserve"> significant health concerns for consumers. </w:t>
      </w:r>
    </w:p>
    <w:p w14:paraId="440F8850" w14:textId="405F3B2C" w:rsidR="00375C98" w:rsidRPr="00DC60AE" w:rsidRDefault="00375C98" w:rsidP="00DC60AE">
      <w:pPr>
        <w:pStyle w:val="ListParagraph"/>
        <w:tabs>
          <w:tab w:val="left" w:pos="360"/>
        </w:tabs>
        <w:spacing w:after="0" w:line="240" w:lineRule="auto"/>
        <w:ind w:left="360"/>
        <w:rPr>
          <w:rFonts w:asciiTheme="minorHAnsi" w:hAnsiTheme="minorHAnsi" w:cstheme="minorHAnsi"/>
          <w:szCs w:val="22"/>
        </w:rPr>
      </w:pPr>
    </w:p>
    <w:p w14:paraId="17402688" w14:textId="646DB8FB" w:rsidR="003D2421" w:rsidRPr="00DC60AE" w:rsidRDefault="003D2421"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t>These findings highlight the complex drivers of food waste at the retail level, emphasizing the need for improved transportation, storage facilities, handling practices, and awareness programs for safe food management (Begum et al., 2025). Previous research shows that retail food wastage occurs across the entire supply chain, leading to financial losses and depletion of natural resources. Fruits and vegetables are the main contributors to retail waste, accounting for a substantial share of total produce loss (Haider and Choubey, 2025). Overall, food waste occurs at multiple stages of the supply chain, including harvesting, processing, distribution, retailing, and consumption.</w:t>
      </w:r>
    </w:p>
    <w:p w14:paraId="605E68A5" w14:textId="77777777" w:rsidR="00FE1761" w:rsidRPr="00DC60AE" w:rsidRDefault="00FE1761" w:rsidP="00DC60AE">
      <w:pPr>
        <w:tabs>
          <w:tab w:val="left" w:pos="360"/>
        </w:tabs>
        <w:spacing w:after="0" w:line="240" w:lineRule="auto"/>
        <w:rPr>
          <w:rFonts w:asciiTheme="minorHAnsi" w:hAnsiTheme="minorHAnsi" w:cstheme="minorHAnsi"/>
          <w:szCs w:val="22"/>
        </w:rPr>
      </w:pPr>
    </w:p>
    <w:p w14:paraId="440F8853" w14:textId="77777777"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lastRenderedPageBreak/>
        <w:t>RETAILER STRATEGIES TO REDUCE FOOD LOSS AND WASTE</w:t>
      </w:r>
    </w:p>
    <w:p w14:paraId="0A0FB9DB" w14:textId="576E3BFE" w:rsidR="00931202" w:rsidRPr="00DC60AE" w:rsidRDefault="00F549FF" w:rsidP="00DC60AE">
      <w:pPr>
        <w:spacing w:after="0" w:line="240" w:lineRule="auto"/>
        <w:outlineLvl w:val="1"/>
        <w:rPr>
          <w:rFonts w:asciiTheme="minorHAnsi" w:hAnsiTheme="minorHAnsi" w:cstheme="minorHAnsi"/>
          <w:szCs w:val="22"/>
          <w:shd w:val="clear" w:color="auto" w:fill="FFFFFF"/>
        </w:rPr>
      </w:pPr>
      <w:r w:rsidRPr="00DC60AE">
        <w:rPr>
          <w:rFonts w:asciiTheme="minorHAnsi" w:hAnsiTheme="minorHAnsi" w:cstheme="minorHAnsi"/>
          <w:noProof/>
          <w:szCs w:val="22"/>
          <w:shd w:val="clear" w:color="auto" w:fill="FFFFFF"/>
        </w:rPr>
        <mc:AlternateContent>
          <mc:Choice Requires="wps">
            <w:drawing>
              <wp:anchor distT="0" distB="0" distL="114300" distR="114300" simplePos="0" relativeHeight="251692032" behindDoc="0" locked="0" layoutInCell="1" allowOverlap="1" wp14:anchorId="7073E4F4" wp14:editId="4CFA2205">
                <wp:simplePos x="0" y="0"/>
                <wp:positionH relativeFrom="column">
                  <wp:posOffset>95250</wp:posOffset>
                </wp:positionH>
                <wp:positionV relativeFrom="paragraph">
                  <wp:posOffset>4888230</wp:posOffset>
                </wp:positionV>
                <wp:extent cx="5441950" cy="266700"/>
                <wp:effectExtent l="0" t="0" r="6350" b="7620"/>
                <wp:wrapSquare wrapText="bothSides"/>
                <wp:docPr id="24" name="Text Box 24"/>
                <wp:cNvGraphicFramePr/>
                <a:graphic xmlns:a="http://schemas.openxmlformats.org/drawingml/2006/main">
                  <a:graphicData uri="http://schemas.microsoft.com/office/word/2010/wordprocessingShape">
                    <wps:wsp>
                      <wps:cNvSpPr txBox="1"/>
                      <wps:spPr>
                        <a:xfrm>
                          <a:off x="0" y="0"/>
                          <a:ext cx="5441950" cy="266700"/>
                        </a:xfrm>
                        <a:prstGeom prst="rect">
                          <a:avLst/>
                        </a:prstGeom>
                        <a:solidFill>
                          <a:prstClr val="white"/>
                        </a:solidFill>
                        <a:ln>
                          <a:noFill/>
                        </a:ln>
                        <a:effectLst/>
                      </wps:spPr>
                      <wps:txbx>
                        <w:txbxContent>
                          <w:p w14:paraId="742077FD" w14:textId="52B5FABB" w:rsidR="004F30A9" w:rsidRPr="00931202" w:rsidRDefault="004F30A9" w:rsidP="00931202">
                            <w:pPr>
                              <w:jc w:val="center"/>
                              <w:rPr>
                                <w:rFonts w:cstheme="minorHAnsi"/>
                                <w:b/>
                                <w:bCs/>
                                <w:noProof/>
                                <w:sz w:val="20"/>
                                <w:szCs w:val="20"/>
                              </w:rPr>
                            </w:pPr>
                            <w:r w:rsidRPr="00931202">
                              <w:rPr>
                                <w:sz w:val="20"/>
                                <w:szCs w:val="20"/>
                              </w:rPr>
                              <w:t xml:space="preserve">Figure </w:t>
                            </w:r>
                            <w:r w:rsidRPr="00931202">
                              <w:rPr>
                                <w:sz w:val="20"/>
                                <w:szCs w:val="20"/>
                              </w:rPr>
                              <w:fldChar w:fldCharType="begin"/>
                            </w:r>
                            <w:r w:rsidRPr="00931202">
                              <w:rPr>
                                <w:sz w:val="20"/>
                                <w:szCs w:val="20"/>
                              </w:rPr>
                              <w:instrText xml:space="preserve"> SEQ Figure \* ARABIC </w:instrText>
                            </w:r>
                            <w:r w:rsidRPr="00931202">
                              <w:rPr>
                                <w:sz w:val="20"/>
                                <w:szCs w:val="20"/>
                              </w:rPr>
                              <w:fldChar w:fldCharType="separate"/>
                            </w:r>
                            <w:r w:rsidRPr="00931202">
                              <w:rPr>
                                <w:noProof/>
                                <w:sz w:val="20"/>
                                <w:szCs w:val="20"/>
                              </w:rPr>
                              <w:t>5</w:t>
                            </w:r>
                            <w:r w:rsidRPr="00931202">
                              <w:rPr>
                                <w:sz w:val="20"/>
                                <w:szCs w:val="20"/>
                              </w:rPr>
                              <w:fldChar w:fldCharType="end"/>
                            </w:r>
                            <w:r w:rsidRPr="00931202">
                              <w:rPr>
                                <w:sz w:val="20"/>
                                <w:szCs w:val="20"/>
                              </w:rPr>
                              <w:t>: Vegetables and fruits retailer owners’ strategy to reduce food loss and waste at the retail shop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73E4F4" id="Text Box 24" o:spid="_x0000_s1031" type="#_x0000_t202" style="position:absolute;left:0;text-align:left;margin-left:7.5pt;margin-top:384.9pt;width:428.5pt;height:21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" stroked="f">
                <v:textbox style="mso-fit-shape-to-text:t" inset="0,0,0,0">
                  <w:txbxContent>
                    <w:p w14:paraId="742077FD" w14:textId="52B5FABB" w:rsidR="004F30A9" w:rsidRPr="00931202" w:rsidRDefault="004F30A9" w:rsidP="00931202">
                      <w:pPr>
                        <w:jc w:val="center"/>
                        <w:rPr>
                          <w:rFonts w:cstheme="minorHAnsi"/>
                          <w:b/>
                          <w:bCs/>
                          <w:noProof/>
                          <w:sz w:val="20"/>
                          <w:szCs w:val="20"/>
                        </w:rPr>
                      </w:pPr>
                      <w:r w:rsidRPr="00931202">
                        <w:rPr>
                          <w:sz w:val="20"/>
                          <w:szCs w:val="20"/>
                        </w:rPr>
                        <w:t xml:space="preserve">Figure </w:t>
                      </w:r>
                      <w:r w:rsidRPr="00931202">
                        <w:rPr>
                          <w:sz w:val="20"/>
                          <w:szCs w:val="20"/>
                        </w:rPr>
                        <w:fldChar w:fldCharType="begin"/>
                      </w:r>
                      <w:r w:rsidRPr="00931202">
                        <w:rPr>
                          <w:sz w:val="20"/>
                          <w:szCs w:val="20"/>
                        </w:rPr>
                        <w:instrText xml:space="preserve"> SEQ Figure \* ARABIC </w:instrText>
                      </w:r>
                      <w:r w:rsidRPr="00931202">
                        <w:rPr>
                          <w:sz w:val="20"/>
                          <w:szCs w:val="20"/>
                        </w:rPr>
                        <w:fldChar w:fldCharType="separate"/>
                      </w:r>
                      <w:r w:rsidRPr="00931202">
                        <w:rPr>
                          <w:noProof/>
                          <w:sz w:val="20"/>
                          <w:szCs w:val="20"/>
                        </w:rPr>
                        <w:t>5</w:t>
                      </w:r>
                      <w:r w:rsidRPr="00931202">
                        <w:rPr>
                          <w:sz w:val="20"/>
                          <w:szCs w:val="20"/>
                        </w:rPr>
                        <w:fldChar w:fldCharType="end"/>
                      </w:r>
                      <w:r w:rsidRPr="00931202">
                        <w:rPr>
                          <w:sz w:val="20"/>
                          <w:szCs w:val="20"/>
                        </w:rPr>
                        <w:t>: Vegetables and fruits retailer owners’ strategy to reduce food loss and waste at the retail shop</w:t>
                      </w:r>
                    </w:p>
                  </w:txbxContent>
                </v:textbox>
                <w10:wrap type="square"/>
              </v:shape>
            </w:pict>
          </mc:Fallback>
        </mc:AlternateContent>
      </w:r>
      <w:r w:rsidR="000D0560" w:rsidRPr="00DC60AE">
        <w:rPr>
          <w:rFonts w:asciiTheme="minorHAnsi" w:hAnsiTheme="minorHAnsi" w:cstheme="minorHAnsi"/>
          <w:noProof/>
          <w:szCs w:val="22"/>
          <w:shd w:val="clear" w:color="auto" w:fill="FFFFFF"/>
        </w:rPr>
        <w:drawing>
          <wp:anchor distT="0" distB="0" distL="114300" distR="114300" simplePos="0" relativeHeight="251691008" behindDoc="0" locked="0" layoutInCell="1" allowOverlap="1" wp14:anchorId="75FB8570" wp14:editId="39D84920">
            <wp:simplePos x="0" y="0"/>
            <wp:positionH relativeFrom="column">
              <wp:posOffset>95250</wp:posOffset>
            </wp:positionH>
            <wp:positionV relativeFrom="paragraph">
              <wp:posOffset>1937385</wp:posOffset>
            </wp:positionV>
            <wp:extent cx="5518150" cy="2882900"/>
            <wp:effectExtent l="0" t="0" r="6350" b="12700"/>
            <wp:wrapSquare wrapText="bothSides"/>
            <wp:docPr id="22" name="Chart 22">
              <a:extLst xmlns:a="http://schemas.openxmlformats.org/drawingml/2006/main">
                <a:ext uri="{FF2B5EF4-FFF2-40B4-BE49-F238E27FC236}">
                  <a16:creationId xmlns:a16="http://schemas.microsoft.com/office/drawing/2014/main" id="{089A4C15-3071-A6A8-21EF-B4A76DFAE0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57786D" w:rsidRPr="00DC60AE">
        <w:rPr>
          <w:rFonts w:asciiTheme="minorHAnsi" w:hAnsiTheme="minorHAnsi" w:cstheme="minorHAnsi"/>
          <w:szCs w:val="22"/>
          <w:shd w:val="clear" w:color="auto" w:fill="FFFFFF"/>
        </w:rPr>
        <w:t xml:space="preserve">Reducing food loss and waste (FLW) at the retail level is widely recognized as essential for improving food security, nutrition, and environmental sustainability. Improving marketing and operational practices is considered the most effective approach to minimizing waste in retail shops. However, retail owners in Bangladesh have implemented only limited strategies to address vegetable and fruit losses. In this study, fruit and vegetable retailers were surveyed about strategies to reduce FLW. Results showed that 77.06% of vegetable retailers and 85.71% of fruit retailers separated produce showing signs of spoilage, while 35.78% of vegetable and 71.43% of fruit retailers used bins for segregating wasted produce. Only 13.76% of vegetable retailers and 10.71% of fruit retailers sprayed clean water to maintain freshness, and 8.26% of vegetable sellers and 14.29% of fruit sellers applied hygiene practices to minimize waste. Despite these measures, 77.98% of vegetable retailers and 80.36% of fruit retailers admitted to selling lower-quality or damaged produce at reduced prices. </w:t>
      </w:r>
    </w:p>
    <w:p w14:paraId="33748752" w14:textId="1878280A" w:rsidR="00931202" w:rsidRPr="00DC60AE" w:rsidRDefault="00931202" w:rsidP="00DC60AE">
      <w:pPr>
        <w:spacing w:after="0" w:line="240" w:lineRule="auto"/>
        <w:outlineLvl w:val="1"/>
        <w:rPr>
          <w:rFonts w:asciiTheme="minorHAnsi" w:hAnsiTheme="minorHAnsi" w:cstheme="minorHAnsi"/>
          <w:szCs w:val="22"/>
          <w:shd w:val="clear" w:color="auto" w:fill="FFFFFF"/>
        </w:rPr>
      </w:pPr>
      <w:r w:rsidRPr="00DC60AE">
        <w:t xml:space="preserve">Focus group discussions indicated that climatic conditions, discoloration, irregular shapes, and unpleasant odors reduce produce market value. </w:t>
      </w:r>
      <w:r w:rsidRPr="00DC60AE">
        <w:rPr>
          <w:rStyle w:val="whitespace-normal"/>
        </w:rPr>
        <w:t>Bi et al. (2023)</w:t>
      </w:r>
      <w:r w:rsidRPr="00DC60AE">
        <w:t xml:space="preserve"> emphasized effective supply chain management, marketing strategies, and intermediaries to reduce losses. </w:t>
      </w:r>
      <w:r w:rsidRPr="00DC60AE">
        <w:rPr>
          <w:rStyle w:val="whitespace-normal"/>
        </w:rPr>
        <w:t>Huang et al. (2021)</w:t>
      </w:r>
      <w:r w:rsidRPr="00DC60AE">
        <w:t xml:space="preserve"> reported that improved retail and consumer practices can reduce waste by 20%. </w:t>
      </w:r>
      <w:r w:rsidRPr="00DC60AE">
        <w:rPr>
          <w:rStyle w:val="whitespace-normal"/>
        </w:rPr>
        <w:t>Islam et al. (2024)</w:t>
      </w:r>
      <w:r w:rsidRPr="00DC60AE">
        <w:t xml:space="preserve"> found that formal education improves vendors’ hygiene and safety knowledge, highlighting the need for integrated retail management and training. </w:t>
      </w:r>
      <w:r w:rsidRPr="00DC60AE">
        <w:rPr>
          <w:rFonts w:asciiTheme="minorHAnsi" w:hAnsiTheme="minorHAnsi" w:cstheme="minorHAnsi"/>
        </w:rPr>
        <w:t>These findings highlight the importance of integrated retail management, proper handling, hygiene practices, and regular food safety training to minimize FLW and improve market profitability.</w:t>
      </w:r>
    </w:p>
    <w:p w14:paraId="440F8861" w14:textId="7650E2B2" w:rsidR="00197204" w:rsidRPr="00DC60AE" w:rsidRDefault="00197204" w:rsidP="00DC60AE">
      <w:pPr>
        <w:spacing w:after="0" w:line="240" w:lineRule="auto"/>
        <w:rPr>
          <w:rFonts w:asciiTheme="minorHAnsi" w:hAnsiTheme="minorHAnsi" w:cstheme="minorHAnsi"/>
          <w:b/>
          <w:bCs/>
          <w:szCs w:val="22"/>
        </w:rPr>
      </w:pPr>
    </w:p>
    <w:p w14:paraId="440F8862" w14:textId="77777777" w:rsidR="00375C98" w:rsidRPr="00DC60AE" w:rsidRDefault="00375C98" w:rsidP="00DC60AE">
      <w:pPr>
        <w:pStyle w:val="ListParagraph"/>
        <w:numPr>
          <w:ilvl w:val="1"/>
          <w:numId w:val="26"/>
        </w:numPr>
        <w:spacing w:after="0" w:line="240" w:lineRule="auto"/>
        <w:ind w:left="450" w:hanging="450"/>
        <w:rPr>
          <w:rFonts w:asciiTheme="minorHAnsi" w:hAnsiTheme="minorHAnsi" w:cstheme="minorHAnsi"/>
          <w:b/>
          <w:bCs/>
          <w:szCs w:val="22"/>
        </w:rPr>
      </w:pPr>
      <w:r w:rsidRPr="00DC60AE">
        <w:rPr>
          <w:rFonts w:asciiTheme="minorHAnsi" w:hAnsiTheme="minorHAnsi" w:cstheme="minorHAnsi"/>
          <w:b/>
          <w:bCs/>
          <w:szCs w:val="22"/>
        </w:rPr>
        <w:t xml:space="preserve">WASTED FOOD DAMPING </w:t>
      </w:r>
      <w:r w:rsidR="00A91124" w:rsidRPr="00DC60AE">
        <w:rPr>
          <w:rFonts w:asciiTheme="minorHAnsi" w:hAnsiTheme="minorHAnsi" w:cstheme="minorHAnsi"/>
          <w:b/>
          <w:bCs/>
          <w:szCs w:val="22"/>
        </w:rPr>
        <w:t xml:space="preserve">STRATEGY </w:t>
      </w:r>
      <w:r w:rsidRPr="00DC60AE">
        <w:rPr>
          <w:rFonts w:asciiTheme="minorHAnsi" w:hAnsiTheme="minorHAnsi" w:cstheme="minorHAnsi"/>
          <w:b/>
          <w:bCs/>
          <w:szCs w:val="22"/>
        </w:rPr>
        <w:t>BY THE RETAIL OWNERS</w:t>
      </w:r>
    </w:p>
    <w:p w14:paraId="440F8863" w14:textId="00E1DE35" w:rsidR="0057786D" w:rsidRPr="00DC60AE" w:rsidRDefault="0057786D"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t>Retail owners implemented various measures to manage vegetable and fruit waste. The study found that 74.31% of vegetable retailers and 68.79% of fruit retailers disposed of waste into nearby drains. Additionally, 38.72% of vegetable and 26.07% of fruit retailers discarded waste into water, while 64.22% of vegetable and 54.93% of fruit retailers dumped waste on nearby roads. About 73.39% of vegetable sellers and 69.64% of fruit sellers mixed unsold or waste items with fresh produce to reduce immediate business losses. Focus group discussions and observations indicated that such practices negatively affected market hygiene, air and water quality, and overall market environment.</w:t>
      </w:r>
    </w:p>
    <w:p w14:paraId="440F8864" w14:textId="19EBF126" w:rsidR="0057786D" w:rsidRPr="00DC60AE" w:rsidRDefault="0057786D" w:rsidP="00DC60AE">
      <w:pPr>
        <w:pStyle w:val="ListParagraph"/>
        <w:spacing w:after="0" w:line="240" w:lineRule="auto"/>
        <w:ind w:left="450"/>
        <w:rPr>
          <w:rFonts w:asciiTheme="minorHAnsi" w:hAnsiTheme="minorHAnsi" w:cstheme="minorHAnsi"/>
          <w:b/>
          <w:bCs/>
          <w:szCs w:val="22"/>
        </w:rPr>
      </w:pPr>
    </w:p>
    <w:p w14:paraId="440F8865" w14:textId="296F14B6" w:rsidR="00D30D7D" w:rsidRPr="00DC60AE" w:rsidRDefault="00B233A1" w:rsidP="00DC60AE">
      <w:pPr>
        <w:pStyle w:val="ListParagraph"/>
        <w:tabs>
          <w:tab w:val="left" w:pos="360"/>
        </w:tabs>
        <w:spacing w:after="0" w:line="240" w:lineRule="auto"/>
        <w:ind w:left="360"/>
        <w:rPr>
          <w:rFonts w:asciiTheme="minorHAnsi" w:hAnsiTheme="minorHAnsi" w:cstheme="minorHAnsi"/>
          <w:szCs w:val="22"/>
        </w:rPr>
      </w:pPr>
      <w:r w:rsidRPr="00DC60AE">
        <w:rPr>
          <w:rFonts w:asciiTheme="minorHAnsi" w:hAnsiTheme="minorHAnsi" w:cstheme="minorHAnsi"/>
          <w:noProof/>
          <w:szCs w:val="22"/>
        </w:rPr>
        <w:lastRenderedPageBreak/>
        <w:drawing>
          <wp:anchor distT="0" distB="0" distL="114300" distR="114300" simplePos="0" relativeHeight="251670528" behindDoc="0" locked="0" layoutInCell="1" allowOverlap="1" wp14:anchorId="257A4397" wp14:editId="4DBD5A8F">
            <wp:simplePos x="0" y="0"/>
            <wp:positionH relativeFrom="column">
              <wp:posOffset>254000</wp:posOffset>
            </wp:positionH>
            <wp:positionV relativeFrom="paragraph">
              <wp:posOffset>19050</wp:posOffset>
            </wp:positionV>
            <wp:extent cx="5118100" cy="2451100"/>
            <wp:effectExtent l="0" t="0" r="6350" b="6350"/>
            <wp:wrapSquare wrapText="bothSides"/>
            <wp:docPr id="12" name="Chart 12">
              <a:extLst xmlns:a="http://schemas.openxmlformats.org/drawingml/2006/main">
                <a:ext uri="{FF2B5EF4-FFF2-40B4-BE49-F238E27FC236}">
                  <a16:creationId xmlns:a16="http://schemas.microsoft.com/office/drawing/2014/main" id="{7C27429C-EED0-2DAC-A3CA-70DD47E3D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40F8866"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7"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8"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9"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A"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B" w14:textId="06EFE995" w:rsidR="00D30D7D" w:rsidRPr="000D0560" w:rsidRDefault="00B233A1" w:rsidP="00DC60AE">
      <w:pPr>
        <w:pStyle w:val="ListParagraph"/>
        <w:tabs>
          <w:tab w:val="left" w:pos="360"/>
        </w:tabs>
        <w:spacing w:after="0" w:line="240" w:lineRule="auto"/>
        <w:ind w:left="360"/>
        <w:rPr>
          <w:rFonts w:asciiTheme="minorHAnsi" w:hAnsiTheme="minorHAnsi" w:cstheme="minorHAnsi"/>
          <w:szCs w:val="22"/>
        </w:rPr>
      </w:pPr>
      <w:r w:rsidRPr="000D0560">
        <w:rPr>
          <w:rFonts w:asciiTheme="minorHAnsi" w:hAnsiTheme="minorHAnsi" w:cstheme="minorHAnsi"/>
          <w:noProof/>
          <w:szCs w:val="22"/>
        </w:rPr>
        <mc:AlternateContent>
          <mc:Choice Requires="wps">
            <w:drawing>
              <wp:anchor distT="0" distB="0" distL="114300" distR="114300" simplePos="0" relativeHeight="251671552" behindDoc="0" locked="0" layoutInCell="1" allowOverlap="1" wp14:anchorId="3CE0AC01" wp14:editId="435ED324">
                <wp:simplePos x="0" y="0"/>
                <wp:positionH relativeFrom="column">
                  <wp:posOffset>254000</wp:posOffset>
                </wp:positionH>
                <wp:positionV relativeFrom="paragraph">
                  <wp:posOffset>1447165</wp:posOffset>
                </wp:positionV>
                <wp:extent cx="5118100" cy="297180"/>
                <wp:effectExtent l="0" t="0" r="6350" b="7620"/>
                <wp:wrapSquare wrapText="bothSides"/>
                <wp:docPr id="30" name="Text Box 30"/>
                <wp:cNvGraphicFramePr/>
                <a:graphic xmlns:a="http://schemas.openxmlformats.org/drawingml/2006/main">
                  <a:graphicData uri="http://schemas.microsoft.com/office/word/2010/wordprocessingShape">
                    <wps:wsp>
                      <wps:cNvSpPr txBox="1"/>
                      <wps:spPr>
                        <a:xfrm>
                          <a:off x="0" y="0"/>
                          <a:ext cx="5118100" cy="297180"/>
                        </a:xfrm>
                        <a:prstGeom prst="rect">
                          <a:avLst/>
                        </a:prstGeom>
                        <a:solidFill>
                          <a:prstClr val="white"/>
                        </a:solidFill>
                        <a:ln>
                          <a:noFill/>
                        </a:ln>
                        <a:effectLst/>
                      </wps:spPr>
                      <wps:txbx>
                        <w:txbxContent>
                          <w:p w14:paraId="440F88EA" w14:textId="2C2D894E" w:rsidR="004F30A9" w:rsidRPr="000D0560" w:rsidRDefault="004F30A9" w:rsidP="000D0560">
                            <w:pPr>
                              <w:pStyle w:val="Caption"/>
                              <w:jc w:val="center"/>
                              <w:rPr>
                                <w:rFonts w:cstheme="minorHAnsi"/>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6</w:t>
                            </w:r>
                            <w:r w:rsidRPr="000D0560">
                              <w:rPr>
                                <w:i w:val="0"/>
                                <w:color w:val="auto"/>
                                <w:sz w:val="20"/>
                                <w:szCs w:val="20"/>
                              </w:rPr>
                              <w:fldChar w:fldCharType="end"/>
                            </w:r>
                            <w:r w:rsidRPr="000D0560">
                              <w:rPr>
                                <w:i w:val="0"/>
                                <w:color w:val="auto"/>
                                <w:sz w:val="20"/>
                                <w:szCs w:val="20"/>
                              </w:rPr>
                              <w:t xml:space="preserve">: Vegetables and fruits retailer </w:t>
                            </w:r>
                            <w:r w:rsidR="000D0560">
                              <w:rPr>
                                <w:i w:val="0"/>
                                <w:color w:val="auto"/>
                                <w:sz w:val="20"/>
                                <w:szCs w:val="20"/>
                              </w:rPr>
                              <w:t>owners’</w:t>
                            </w:r>
                            <w:r w:rsidRPr="000D0560">
                              <w:rPr>
                                <w:i w:val="0"/>
                                <w:color w:val="auto"/>
                                <w:sz w:val="20"/>
                                <w:szCs w:val="20"/>
                              </w:rPr>
                              <w:t xml:space="preserve"> strategy to reduce food waste at the retail shop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E0AC01" id="Text Box 30" o:spid="_x0000_s1032" type="#_x0000_t202" style="position:absolute;left:0;text-align:left;margin-left:20pt;margin-top:113.95pt;width:403pt;height:23.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" stroked="f">
                <v:textbox inset="0,0,0,0">
                  <w:txbxContent>
                    <w:p w14:paraId="440F88EA" w14:textId="2C2D894E" w:rsidR="004F30A9" w:rsidRPr="000D0560" w:rsidRDefault="004F30A9" w:rsidP="000D0560">
                      <w:pPr>
                        <w:pStyle w:val="Caption"/>
                        <w:jc w:val="center"/>
                        <w:rPr>
                          <w:rFonts w:cstheme="minorHAnsi"/>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6</w:t>
                      </w:r>
                      <w:r w:rsidRPr="000D0560">
                        <w:rPr>
                          <w:i w:val="0"/>
                          <w:color w:val="auto"/>
                          <w:sz w:val="20"/>
                          <w:szCs w:val="20"/>
                        </w:rPr>
                        <w:fldChar w:fldCharType="end"/>
                      </w:r>
                      <w:r w:rsidRPr="000D0560">
                        <w:rPr>
                          <w:i w:val="0"/>
                          <w:color w:val="auto"/>
                          <w:sz w:val="20"/>
                          <w:szCs w:val="20"/>
                        </w:rPr>
                        <w:t xml:space="preserve">: Vegetables and fruits retailer </w:t>
                      </w:r>
                      <w:r w:rsidR="000D0560">
                        <w:rPr>
                          <w:i w:val="0"/>
                          <w:color w:val="auto"/>
                          <w:sz w:val="20"/>
                          <w:szCs w:val="20"/>
                        </w:rPr>
                        <w:t>owners’</w:t>
                      </w:r>
                      <w:r w:rsidRPr="000D0560">
                        <w:rPr>
                          <w:i w:val="0"/>
                          <w:color w:val="auto"/>
                          <w:sz w:val="20"/>
                          <w:szCs w:val="20"/>
                        </w:rPr>
                        <w:t xml:space="preserve"> strategy to reduce food waste at the retail shop</w:t>
                      </w:r>
                    </w:p>
                  </w:txbxContent>
                </v:textbox>
                <w10:wrap type="square"/>
              </v:shape>
            </w:pict>
          </mc:Fallback>
        </mc:AlternateContent>
      </w:r>
    </w:p>
    <w:p w14:paraId="440F8872" w14:textId="77777777" w:rsidR="00375C98" w:rsidRPr="00DC60AE" w:rsidRDefault="00375C98" w:rsidP="00DC60AE">
      <w:pPr>
        <w:pStyle w:val="ListParagraph"/>
        <w:numPr>
          <w:ilvl w:val="1"/>
          <w:numId w:val="26"/>
        </w:numPr>
        <w:spacing w:after="0" w:line="240" w:lineRule="auto"/>
        <w:ind w:left="450" w:hanging="450"/>
        <w:rPr>
          <w:rFonts w:asciiTheme="minorHAnsi" w:hAnsiTheme="minorHAnsi" w:cstheme="minorHAnsi"/>
          <w:b/>
          <w:bCs/>
          <w:szCs w:val="22"/>
        </w:rPr>
      </w:pPr>
      <w:r w:rsidRPr="00DC60AE">
        <w:rPr>
          <w:rFonts w:asciiTheme="minorHAnsi" w:hAnsiTheme="minorHAnsi" w:cstheme="minorHAnsi"/>
          <w:b/>
          <w:bCs/>
          <w:szCs w:val="22"/>
        </w:rPr>
        <w:t>ENVIRONMENTAL IMPACT OF FOOD LOSS AND WASTE (FLW)</w:t>
      </w:r>
    </w:p>
    <w:p w14:paraId="549E1D18" w14:textId="5AF3219D" w:rsidR="00241301" w:rsidRPr="00DC60AE" w:rsidRDefault="00B233A1"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The study found that 67.89% of vegetable retailers and 32.14% of fruit retailers reported that air pollution in the food retail chain was caused by vegetable and fruit waste. Similarly, 40.37% and 48.21% of vegetable and fruit retailers reported water pollution caused by food waste in the market centers. Furthermore, 84.40% and 78.57% of vegetable and fruit retailers confirmed that waste odors reduced market quality, and 90.83% and 85.17% of vegetable and fruit retailers reported severe deterioration of the market environment due to food loss and waste (FLW). Health risks were also reported, as 29.36%, 16.51%, and 13.76% of vegetable retailers noted human diseases, infected animals, and plant infections caused by wasted vegetables, while 17.86%, 16.07%, and 14.29% of fruit retailers reported similar consequences. Focus group discussions (FGDs) and observations revealed that retailers often discard wasted food throughout the market, negatively affecting water, air, land, and other natural resources. </w:t>
      </w:r>
    </w:p>
    <w:p w14:paraId="640BB29B" w14:textId="7DEC4A43" w:rsidR="00B233A1" w:rsidRPr="00DC60AE" w:rsidRDefault="001342AE" w:rsidP="00DC60AE">
      <w:pPr>
        <w:pStyle w:val="ListParagraph"/>
        <w:tabs>
          <w:tab w:val="left" w:pos="360"/>
        </w:tabs>
        <w:spacing w:after="0" w:line="240" w:lineRule="auto"/>
        <w:ind w:left="360"/>
        <w:rPr>
          <w:rFonts w:asciiTheme="minorHAnsi" w:hAnsiTheme="minorHAnsi" w:cstheme="minorHAnsi"/>
          <w:szCs w:val="22"/>
        </w:rPr>
      </w:pPr>
      <w:r w:rsidRPr="00DC60AE">
        <w:rPr>
          <w:rFonts w:asciiTheme="minorHAnsi" w:hAnsiTheme="minorHAnsi" w:cstheme="minorHAnsi"/>
          <w:noProof/>
          <w:szCs w:val="22"/>
        </w:rPr>
        <w:drawing>
          <wp:anchor distT="0" distB="0" distL="114300" distR="114300" simplePos="0" relativeHeight="251675648" behindDoc="0" locked="0" layoutInCell="1" allowOverlap="1" wp14:anchorId="20335B3A" wp14:editId="6EBD6D5E">
            <wp:simplePos x="0" y="0"/>
            <wp:positionH relativeFrom="column">
              <wp:posOffset>355600</wp:posOffset>
            </wp:positionH>
            <wp:positionV relativeFrom="paragraph">
              <wp:posOffset>169545</wp:posOffset>
            </wp:positionV>
            <wp:extent cx="5105400" cy="2730500"/>
            <wp:effectExtent l="0" t="0" r="0" b="12700"/>
            <wp:wrapSquare wrapText="bothSides"/>
            <wp:docPr id="23" name="Chart 23">
              <a:extLst xmlns:a="http://schemas.openxmlformats.org/drawingml/2006/main">
                <a:ext uri="{FF2B5EF4-FFF2-40B4-BE49-F238E27FC236}">
                  <a16:creationId xmlns:a16="http://schemas.microsoft.com/office/drawing/2014/main" id="{7E59A68A-1E5E-9D92-D126-E10956AB39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40F8874" w14:textId="3C5D642B" w:rsidR="00D30D7D" w:rsidRPr="00DC60AE" w:rsidRDefault="000D0560"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noProof/>
          <w:szCs w:val="22"/>
        </w:rPr>
        <mc:AlternateContent>
          <mc:Choice Requires="wps">
            <w:drawing>
              <wp:anchor distT="0" distB="0" distL="114300" distR="114300" simplePos="0" relativeHeight="251676672" behindDoc="0" locked="0" layoutInCell="1" allowOverlap="1" wp14:anchorId="11900DBD" wp14:editId="58F13F20">
                <wp:simplePos x="0" y="0"/>
                <wp:positionH relativeFrom="column">
                  <wp:posOffset>86995</wp:posOffset>
                </wp:positionH>
                <wp:positionV relativeFrom="paragraph">
                  <wp:posOffset>2825115</wp:posOffset>
                </wp:positionV>
                <wp:extent cx="5454202" cy="254429"/>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454202" cy="254429"/>
                        </a:xfrm>
                        <a:prstGeom prst="rect">
                          <a:avLst/>
                        </a:prstGeom>
                        <a:solidFill>
                          <a:prstClr val="white"/>
                        </a:solidFill>
                        <a:ln>
                          <a:noFill/>
                        </a:ln>
                        <a:effectLst/>
                      </wps:spPr>
                      <wps:txbx>
                        <w:txbxContent>
                          <w:p w14:paraId="440F88EB" w14:textId="2A87CFE5" w:rsidR="004F30A9" w:rsidRPr="000D0560" w:rsidRDefault="004F30A9" w:rsidP="00B233A1">
                            <w:pPr>
                              <w:pStyle w:val="Caption"/>
                              <w:jc w:val="center"/>
                              <w:rPr>
                                <w:rFonts w:cstheme="minorHAnsi"/>
                                <w:i w:val="0"/>
                                <w:noProof/>
                                <w:color w:val="auto"/>
                              </w:rPr>
                            </w:pPr>
                            <w:r w:rsidRPr="000D0560">
                              <w:rPr>
                                <w:i w:val="0"/>
                                <w:color w:val="auto"/>
                              </w:rPr>
                              <w:t xml:space="preserve">Figure </w:t>
                            </w:r>
                            <w:r w:rsidRPr="000D0560">
                              <w:rPr>
                                <w:i w:val="0"/>
                                <w:color w:val="auto"/>
                              </w:rPr>
                              <w:fldChar w:fldCharType="begin"/>
                            </w:r>
                            <w:r w:rsidRPr="000D0560">
                              <w:rPr>
                                <w:i w:val="0"/>
                                <w:color w:val="auto"/>
                              </w:rPr>
                              <w:instrText xml:space="preserve"> SEQ Figure \* ARABIC </w:instrText>
                            </w:r>
                            <w:r w:rsidRPr="000D0560">
                              <w:rPr>
                                <w:i w:val="0"/>
                                <w:color w:val="auto"/>
                              </w:rPr>
                              <w:fldChar w:fldCharType="separate"/>
                            </w:r>
                            <w:r w:rsidRPr="000D0560">
                              <w:rPr>
                                <w:i w:val="0"/>
                                <w:noProof/>
                                <w:color w:val="auto"/>
                              </w:rPr>
                              <w:t>7</w:t>
                            </w:r>
                            <w:r w:rsidRPr="000D0560">
                              <w:rPr>
                                <w:i w:val="0"/>
                                <w:color w:val="auto"/>
                              </w:rPr>
                              <w:fldChar w:fldCharType="end"/>
                            </w:r>
                            <w:r w:rsidRPr="000D0560">
                              <w:rPr>
                                <w:i w:val="0"/>
                                <w:color w:val="auto"/>
                              </w:rPr>
                              <w:t>: Environmental impact of FLW at the market center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1900DBD" id="Text Box 32" o:spid="_x0000_s1033" type="#_x0000_t202" style="position:absolute;left:0;text-align:left;margin-left:6.85pt;margin-top:222.45pt;width:429.45pt;height:20.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" stroked="f">
                <v:textbox inset="0,0,0,0">
                  <w:txbxContent>
                    <w:p w14:paraId="440F88EB" w14:textId="2A87CFE5" w:rsidR="004F30A9" w:rsidRPr="000D0560" w:rsidRDefault="004F30A9" w:rsidP="00B233A1">
                      <w:pPr>
                        <w:pStyle w:val="Caption"/>
                        <w:jc w:val="center"/>
                        <w:rPr>
                          <w:rFonts w:cstheme="minorHAnsi"/>
                          <w:i w:val="0"/>
                          <w:noProof/>
                          <w:color w:val="auto"/>
                        </w:rPr>
                      </w:pPr>
                      <w:r w:rsidRPr="000D0560">
                        <w:rPr>
                          <w:i w:val="0"/>
                          <w:color w:val="auto"/>
                        </w:rPr>
                        <w:t xml:space="preserve">Figure </w:t>
                      </w:r>
                      <w:r w:rsidRPr="000D0560">
                        <w:rPr>
                          <w:i w:val="0"/>
                          <w:color w:val="auto"/>
                        </w:rPr>
                        <w:fldChar w:fldCharType="begin"/>
                      </w:r>
                      <w:r w:rsidRPr="000D0560">
                        <w:rPr>
                          <w:i w:val="0"/>
                          <w:color w:val="auto"/>
                        </w:rPr>
                        <w:instrText xml:space="preserve"> SEQ Figure \* ARABIC </w:instrText>
                      </w:r>
                      <w:r w:rsidRPr="000D0560">
                        <w:rPr>
                          <w:i w:val="0"/>
                          <w:color w:val="auto"/>
                        </w:rPr>
                        <w:fldChar w:fldCharType="separate"/>
                      </w:r>
                      <w:r w:rsidRPr="000D0560">
                        <w:rPr>
                          <w:i w:val="0"/>
                          <w:noProof/>
                          <w:color w:val="auto"/>
                        </w:rPr>
                        <w:t>7</w:t>
                      </w:r>
                      <w:r w:rsidRPr="000D0560">
                        <w:rPr>
                          <w:i w:val="0"/>
                          <w:color w:val="auto"/>
                        </w:rPr>
                        <w:fldChar w:fldCharType="end"/>
                      </w:r>
                      <w:r w:rsidRPr="000D0560">
                        <w:rPr>
                          <w:i w:val="0"/>
                          <w:color w:val="auto"/>
                        </w:rPr>
                        <w:t>: Environmental impact of FLW at the market center</w:t>
                      </w:r>
                    </w:p>
                  </w:txbxContent>
                </v:textbox>
                <w10:wrap type="square"/>
              </v:shape>
            </w:pict>
          </mc:Fallback>
        </mc:AlternateContent>
      </w:r>
    </w:p>
    <w:p w14:paraId="65848F43" w14:textId="1E8857F6" w:rsidR="00B233A1" w:rsidRPr="00DC60AE" w:rsidRDefault="00B233A1"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Food loss and waste significantly contribute to environmental degradation and climate change through greenhouse gas emissions and excessive resource consumption. Reducing FLW across production, post-harvest, and retail stages can lower food system emissions by approximately 7.8%. Retail and consumer stages account for nearly 30% of fruit and vegetable waste, representing about </w:t>
      </w:r>
      <w:r w:rsidRPr="00DC60AE">
        <w:rPr>
          <w:rFonts w:asciiTheme="minorHAnsi" w:hAnsiTheme="minorHAnsi" w:cstheme="minorHAnsi"/>
          <w:szCs w:val="22"/>
        </w:rPr>
        <w:lastRenderedPageBreak/>
        <w:t>27.2% of emissions from the fresh produce supply chain (Gage et al., 2024). Globally, food waste consumes 173–250 km³ of water annually and utilizes about one-fifth of cropland, contributing to biodiversity loss, deforestation, and ecosystem degradation. Around 19% of global food production is wasted, generating methane emissions from landfill disposal (Gupta et al., 2020). Evidence suggests that substantial greenhouse gas reductions, potentially up to 75%, can be achieved without reducing food supply if efficient food management and sustainable production practices are implemented (Islam et al., 2021).</w:t>
      </w:r>
      <w:r w:rsidR="001342AE" w:rsidRPr="00DC60AE">
        <w:rPr>
          <w:rFonts w:asciiTheme="minorHAnsi" w:hAnsiTheme="minorHAnsi" w:cstheme="minorHAnsi"/>
          <w:szCs w:val="22"/>
        </w:rPr>
        <w:t xml:space="preserve"> </w:t>
      </w:r>
      <w:r w:rsidRPr="00DC60AE">
        <w:rPr>
          <w:rFonts w:asciiTheme="minorHAnsi" w:hAnsiTheme="minorHAnsi" w:cstheme="minorHAnsi"/>
          <w:szCs w:val="22"/>
        </w:rPr>
        <w:t>These findings highlight the environmental importance of FLW reduction strategies.</w:t>
      </w:r>
    </w:p>
    <w:p w14:paraId="4D698E4A" w14:textId="77777777" w:rsidR="00B233A1" w:rsidRPr="00DC60AE" w:rsidRDefault="00B233A1" w:rsidP="00DC60AE">
      <w:pPr>
        <w:pStyle w:val="ListParagraph"/>
        <w:spacing w:after="0" w:line="240" w:lineRule="auto"/>
        <w:ind w:left="540"/>
        <w:rPr>
          <w:rFonts w:asciiTheme="minorHAnsi" w:hAnsiTheme="minorHAnsi" w:cstheme="minorHAnsi"/>
          <w:b/>
          <w:bCs/>
          <w:szCs w:val="22"/>
        </w:rPr>
      </w:pPr>
    </w:p>
    <w:p w14:paraId="440F8889" w14:textId="3E1BD93B" w:rsidR="00375C98" w:rsidRPr="00DC60AE" w:rsidRDefault="00375C98" w:rsidP="00DC60AE">
      <w:pPr>
        <w:pStyle w:val="ListParagraph"/>
        <w:numPr>
          <w:ilvl w:val="1"/>
          <w:numId w:val="26"/>
        </w:numPr>
        <w:spacing w:after="0" w:line="240" w:lineRule="auto"/>
        <w:ind w:left="540" w:hanging="540"/>
        <w:rPr>
          <w:rFonts w:asciiTheme="minorHAnsi" w:hAnsiTheme="minorHAnsi" w:cstheme="minorHAnsi"/>
          <w:b/>
          <w:bCs/>
          <w:szCs w:val="22"/>
        </w:rPr>
      </w:pPr>
      <w:r w:rsidRPr="00DC60AE">
        <w:rPr>
          <w:rFonts w:asciiTheme="minorHAnsi" w:hAnsiTheme="minorHAnsi" w:cstheme="minorHAnsi"/>
          <w:b/>
          <w:bCs/>
          <w:szCs w:val="22"/>
        </w:rPr>
        <w:t>BENEFITS OF REDUCING FOOD WASTE AT THE RETAIL LEVELS</w:t>
      </w:r>
    </w:p>
    <w:p w14:paraId="6F502B67" w14:textId="465D6D85" w:rsidR="001342AE" w:rsidRPr="00DC60AE" w:rsidRDefault="001342AE" w:rsidP="00DC60AE">
      <w:pPr>
        <w:tabs>
          <w:tab w:val="left" w:pos="360"/>
        </w:tabs>
        <w:spacing w:after="0" w:line="240" w:lineRule="auto"/>
        <w:rPr>
          <w:rFonts w:asciiTheme="minorHAnsi" w:hAnsiTheme="minorHAnsi" w:cstheme="minorHAnsi"/>
          <w:szCs w:val="22"/>
          <w:shd w:val="clear" w:color="auto" w:fill="FFFFFF"/>
        </w:rPr>
      </w:pPr>
      <w:r w:rsidRPr="00DC60AE">
        <w:rPr>
          <w:rFonts w:asciiTheme="minorHAnsi" w:hAnsiTheme="minorHAnsi" w:cstheme="minorHAnsi"/>
          <w:szCs w:val="22"/>
          <w:shd w:val="clear" w:color="auto" w:fill="FFFFFF"/>
        </w:rPr>
        <w:t>Retailers reported several benefits of minimizing food waste in their shops. The study found that 88.93% of vegetable retailers and 87.50% of fruit retailers experienced increased business when food waste was properly managed. Improvements in the market environment were noted by 51.38% of vegetable and 37.50% of fruit retailers. Proper waste management also reduced environmental pollution in market centers, as reported by 66.97% of vegetable and 75.93% of fruit retailers. About 61.47% of vegetable and 39.29% of fruit retailers observed an increase in customers, while 61.68% and 75.00%, respectively, reported that customers received higher-quality products due to effective waste management.</w:t>
      </w:r>
      <w:r w:rsidR="00B359FE" w:rsidRPr="00DC60AE">
        <w:rPr>
          <w:rFonts w:asciiTheme="minorHAnsi" w:hAnsiTheme="minorHAnsi" w:cstheme="minorHAnsi"/>
          <w:szCs w:val="22"/>
          <w:shd w:val="clear" w:color="auto" w:fill="FFFFFF"/>
        </w:rPr>
        <w:t xml:space="preserve"> </w:t>
      </w:r>
      <w:r w:rsidRPr="00DC60AE">
        <w:rPr>
          <w:rFonts w:asciiTheme="minorHAnsi" w:hAnsiTheme="minorHAnsi" w:cstheme="minorHAnsi"/>
          <w:szCs w:val="22"/>
          <w:shd w:val="clear" w:color="auto" w:fill="FFFFFF"/>
        </w:rPr>
        <w:t>The findings indicate that effective management of fruit and vegetable waste can provide both environmental and economic benefits. In Bangladesh, around 10.62 million tons of food are wasted annually, creating a serious sustainability challenge if not properly managed (Sarker et al., 2022). Food waste accounts for a major share of municipal solid waste, ranging from 68.3% to 81.1%, and is generated through agricultural production, distribution, household consumption, and social activities. Significant losses occur across the supply chain, including harvesting, transportation, and retail stages. Previous studies also reveal policy and management gaps in food waste control. Therefore, reducing FLW can improve economic efficiency and promote environmental sustainability, as food waste contributes significantly to global resource loss (</w:t>
      </w:r>
      <w:proofErr w:type="spellStart"/>
      <w:r w:rsidRPr="00DC60AE">
        <w:rPr>
          <w:rFonts w:asciiTheme="minorHAnsi" w:hAnsiTheme="minorHAnsi" w:cstheme="minorHAnsi"/>
          <w:szCs w:val="22"/>
          <w:shd w:val="clear" w:color="auto" w:fill="FFFFFF"/>
        </w:rPr>
        <w:t>Ananno</w:t>
      </w:r>
      <w:proofErr w:type="spellEnd"/>
      <w:r w:rsidRPr="00DC60AE">
        <w:rPr>
          <w:rFonts w:asciiTheme="minorHAnsi" w:hAnsiTheme="minorHAnsi" w:cstheme="minorHAnsi"/>
          <w:szCs w:val="22"/>
          <w:shd w:val="clear" w:color="auto" w:fill="FFFFFF"/>
        </w:rPr>
        <w:t xml:space="preserve"> et al., 2021).</w:t>
      </w:r>
    </w:p>
    <w:p w14:paraId="53ADFFD8" w14:textId="0FB3718F" w:rsidR="0018329E" w:rsidRPr="000659EF" w:rsidRDefault="000D0560" w:rsidP="000659EF">
      <w:pPr>
        <w:tabs>
          <w:tab w:val="left" w:pos="360"/>
        </w:tabs>
        <w:spacing w:after="0" w:line="240" w:lineRule="auto"/>
        <w:rPr>
          <w:rFonts w:asciiTheme="minorHAnsi" w:hAnsiTheme="minorHAnsi" w:cstheme="minorHAnsi"/>
          <w:szCs w:val="22"/>
          <w:shd w:val="clear" w:color="auto" w:fill="FFFFFF"/>
        </w:rPr>
      </w:pPr>
      <w:r w:rsidRPr="00DC60AE">
        <w:rPr>
          <w:rFonts w:asciiTheme="minorHAnsi" w:hAnsiTheme="minorHAnsi" w:cstheme="minorHAnsi"/>
          <w:b/>
          <w:bCs/>
          <w:noProof/>
          <w:szCs w:val="22"/>
        </w:rPr>
        <mc:AlternateContent>
          <mc:Choice Requires="wps">
            <w:drawing>
              <wp:anchor distT="0" distB="0" distL="114300" distR="114300" simplePos="0" relativeHeight="251681792" behindDoc="0" locked="0" layoutInCell="1" allowOverlap="1" wp14:anchorId="02948018" wp14:editId="5C3A057F">
                <wp:simplePos x="0" y="0"/>
                <wp:positionH relativeFrom="column">
                  <wp:posOffset>142875</wp:posOffset>
                </wp:positionH>
                <wp:positionV relativeFrom="paragraph">
                  <wp:posOffset>3089910</wp:posOffset>
                </wp:positionV>
                <wp:extent cx="5429250" cy="277539"/>
                <wp:effectExtent l="0" t="0" r="0" b="8255"/>
                <wp:wrapSquare wrapText="bothSides"/>
                <wp:docPr id="34" name="Text Box 34"/>
                <wp:cNvGraphicFramePr/>
                <a:graphic xmlns:a="http://schemas.openxmlformats.org/drawingml/2006/main">
                  <a:graphicData uri="http://schemas.microsoft.com/office/word/2010/wordprocessingShape">
                    <wps:wsp>
                      <wps:cNvSpPr txBox="1"/>
                      <wps:spPr>
                        <a:xfrm>
                          <a:off x="0" y="0"/>
                          <a:ext cx="5429250" cy="277539"/>
                        </a:xfrm>
                        <a:prstGeom prst="rect">
                          <a:avLst/>
                        </a:prstGeom>
                        <a:solidFill>
                          <a:prstClr val="white"/>
                        </a:solidFill>
                        <a:ln>
                          <a:noFill/>
                        </a:ln>
                        <a:effectLst/>
                      </wps:spPr>
                      <wps:txbx>
                        <w:txbxContent>
                          <w:p w14:paraId="440F88EC" w14:textId="1E022857" w:rsidR="004F30A9" w:rsidRPr="000D0560" w:rsidRDefault="004F30A9" w:rsidP="001342AE">
                            <w:pPr>
                              <w:pStyle w:val="Caption"/>
                              <w:jc w:val="center"/>
                              <w:rPr>
                                <w:rFonts w:cstheme="minorHAnsi"/>
                                <w:b/>
                                <w:bCs/>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8</w:t>
                            </w:r>
                            <w:r w:rsidRPr="000D0560">
                              <w:rPr>
                                <w:i w:val="0"/>
                                <w:color w:val="auto"/>
                                <w:sz w:val="20"/>
                                <w:szCs w:val="20"/>
                              </w:rPr>
                              <w:fldChar w:fldCharType="end"/>
                            </w:r>
                            <w:r w:rsidRPr="000D0560">
                              <w:rPr>
                                <w:i w:val="0"/>
                                <w:color w:val="auto"/>
                                <w:sz w:val="20"/>
                                <w:szCs w:val="20"/>
                              </w:rPr>
                              <w:t>: Benefits of reducing food waste at the retail level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948018" id="Text Box 34" o:spid="_x0000_s1034" type="#_x0000_t202" style="position:absolute;left:0;text-align:left;margin-left:11.25pt;margin-top:243.3pt;width:427.5pt;height:21.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" stroked="f">
                <v:textbox inset="0,0,0,0">
                  <w:txbxContent>
                    <w:p w14:paraId="440F88EC" w14:textId="1E022857" w:rsidR="004F30A9" w:rsidRPr="000D0560" w:rsidRDefault="004F30A9" w:rsidP="001342AE">
                      <w:pPr>
                        <w:pStyle w:val="Caption"/>
                        <w:jc w:val="center"/>
                        <w:rPr>
                          <w:rFonts w:cstheme="minorHAnsi"/>
                          <w:b/>
                          <w:bCs/>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8</w:t>
                      </w:r>
                      <w:r w:rsidRPr="000D0560">
                        <w:rPr>
                          <w:i w:val="0"/>
                          <w:color w:val="auto"/>
                          <w:sz w:val="20"/>
                          <w:szCs w:val="20"/>
                        </w:rPr>
                        <w:fldChar w:fldCharType="end"/>
                      </w:r>
                      <w:r w:rsidRPr="000D0560">
                        <w:rPr>
                          <w:i w:val="0"/>
                          <w:color w:val="auto"/>
                          <w:sz w:val="20"/>
                          <w:szCs w:val="20"/>
                        </w:rPr>
                        <w:t>: Benefits of reducing food waste at the retail level</w:t>
                      </w:r>
                    </w:p>
                  </w:txbxContent>
                </v:textbox>
                <w10:wrap type="square"/>
              </v:shape>
            </w:pict>
          </mc:Fallback>
        </mc:AlternateContent>
      </w:r>
      <w:r w:rsidR="001342AE" w:rsidRPr="00DC60AE">
        <w:rPr>
          <w:rFonts w:asciiTheme="minorHAnsi" w:hAnsiTheme="minorHAnsi" w:cstheme="minorHAnsi"/>
          <w:b/>
          <w:bCs/>
          <w:noProof/>
          <w:szCs w:val="22"/>
        </w:rPr>
        <w:drawing>
          <wp:anchor distT="0" distB="0" distL="114300" distR="114300" simplePos="0" relativeHeight="251680768" behindDoc="0" locked="0" layoutInCell="1" allowOverlap="1" wp14:anchorId="77030013" wp14:editId="43DE72F4">
            <wp:simplePos x="0" y="0"/>
            <wp:positionH relativeFrom="column">
              <wp:posOffset>142875</wp:posOffset>
            </wp:positionH>
            <wp:positionV relativeFrom="paragraph">
              <wp:posOffset>183543</wp:posOffset>
            </wp:positionV>
            <wp:extent cx="5429250" cy="2881117"/>
            <wp:effectExtent l="0" t="0" r="0" b="14605"/>
            <wp:wrapSquare wrapText="bothSides"/>
            <wp:docPr id="11" name="Chart 11">
              <a:extLst xmlns:a="http://schemas.openxmlformats.org/drawingml/2006/main">
                <a:ext uri="{FF2B5EF4-FFF2-40B4-BE49-F238E27FC236}">
                  <a16:creationId xmlns:a16="http://schemas.microsoft.com/office/drawing/2014/main" id="{2AEB1219-6887-F1AF-3EF1-AF666B353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40F889F" w14:textId="2C1BB51B" w:rsidR="00E03DE5" w:rsidRPr="00DC60AE" w:rsidRDefault="00375C98" w:rsidP="00DC60AE">
      <w:pPr>
        <w:tabs>
          <w:tab w:val="left" w:pos="3160"/>
        </w:tabs>
        <w:spacing w:after="0" w:line="240" w:lineRule="auto"/>
        <w:rPr>
          <w:rFonts w:asciiTheme="minorHAnsi" w:hAnsiTheme="minorHAnsi" w:cstheme="minorHAnsi"/>
          <w:b/>
          <w:szCs w:val="22"/>
        </w:rPr>
      </w:pPr>
      <w:r w:rsidRPr="00DC60AE">
        <w:rPr>
          <w:rFonts w:asciiTheme="minorHAnsi" w:hAnsiTheme="minorHAnsi" w:cstheme="minorHAnsi"/>
          <w:b/>
          <w:szCs w:val="22"/>
        </w:rPr>
        <w:t>CONCLUSION</w:t>
      </w:r>
    </w:p>
    <w:p w14:paraId="3530D327" w14:textId="55C90498" w:rsidR="007C4239" w:rsidRPr="00DC60AE" w:rsidRDefault="007C4239" w:rsidP="00DC60AE">
      <w:pPr>
        <w:spacing w:after="0" w:line="240" w:lineRule="auto"/>
        <w:rPr>
          <w:rFonts w:asciiTheme="minorHAnsi" w:eastAsia="Times New Roman" w:hAnsiTheme="minorHAnsi" w:cstheme="minorHAnsi"/>
          <w:szCs w:val="22"/>
        </w:rPr>
      </w:pPr>
      <w:r w:rsidRPr="00DC60AE">
        <w:rPr>
          <w:rFonts w:asciiTheme="minorHAnsi" w:eastAsia="Times New Roman" w:hAnsiTheme="minorHAnsi" w:cstheme="minorHAnsi"/>
          <w:szCs w:val="22"/>
        </w:rPr>
        <w:t xml:space="preserve">The study was conducted to investigate food loss and waste (FLW) at retail shops and its immediate environmental impacts in the Faridpur district of Bangladesh. The study aimed to identify the causes of FLW in rural market centers, assess its environmental consequences, and evaluate its effects on retail operations. The findings highlight the substantial challenges associated with FLW in rural retail markets, particularly in the fresh produce sector. Vegetable and fruit perishability were identified as </w:t>
      </w:r>
      <w:r w:rsidRPr="00DC60AE">
        <w:rPr>
          <w:rFonts w:asciiTheme="minorHAnsi" w:eastAsia="Times New Roman" w:hAnsiTheme="minorHAnsi" w:cstheme="minorHAnsi"/>
          <w:szCs w:val="22"/>
        </w:rPr>
        <w:lastRenderedPageBreak/>
        <w:t>a critical factor influencing losses, with highly perishable items such as cabbage, banana, and certain leafy vegetables experiencing greater spoilage than others. Post-harvest handling, storage, transportation, and marketing practices further contributed to these losses, emphasizing the need for tailored strategies to address perishability at each stage of the supply chain. The study revealed that food losses occurred at multiple stages, including production, harvesting, storage, and retailing. At the retail level, improper handling, inadequate storage facilities, poor transportation systems, and limited awareness of food management practices were identified as major causes of FLW. Biological factors, such as disease contamination and insect infestation, along with environmental conditions including temperature fluctuations, humidity, and unexpected weather changes, also contributed to food waste. Retailers’ waste management strategies were found to be limited, mainly involving the separation of spoiled produce, the use of waste bins, or the selling of damaged products at reduced prices. Alarmingly, a significant portion of waste was disposed of in drains, roadsides, or mixed with fresh produce, reflecting poor environmental practices that negatively affect air, water, and soil quality. The environmental impacts of FLW were considerable, as retailers reported air and water pollution, unpleasant odors, and deterioration of market hygiene. Health risks associated with spoiled produce, including human diseases and infections among animals and plants, were also observed. These findings highlight the ecological consequences of inefficient food management and the urgent need for sustainable waste handling practices. Conversely, reducing FLW at the retail level offers clear environmental and economic benefits. Effective waste management improved market hygiene, reduced pollution, and enhanced business performance. Retailers reported increased customer satisfaction and improved product quality when food waste was minimized. In conclusion, addressing FLW in Bangladesh’s rural retail sector requires integrated strategies focusing on perishability management, improved storage and transportation systems, and increased retailer awareness. Policymakers, local authorities, and market stakeholders should prioritize training, infrastructure development, and environmental regulation to reduce FLW and promote sustainable food systems.</w:t>
      </w:r>
    </w:p>
    <w:p w14:paraId="440F88AB" w14:textId="77777777" w:rsidR="009A4C59" w:rsidRPr="00DC60AE" w:rsidRDefault="009A4C59" w:rsidP="00DC60AE">
      <w:pPr>
        <w:spacing w:after="0" w:line="240" w:lineRule="auto"/>
        <w:rPr>
          <w:rFonts w:asciiTheme="minorHAnsi" w:hAnsiTheme="minorHAnsi" w:cstheme="minorHAnsi"/>
          <w:szCs w:val="22"/>
        </w:rPr>
      </w:pPr>
    </w:p>
    <w:p w14:paraId="440F88AC" w14:textId="77777777" w:rsidR="00375C98" w:rsidRPr="00DC60AE" w:rsidRDefault="00375C98" w:rsidP="00DC60AE">
      <w:pPr>
        <w:spacing w:after="0" w:line="240" w:lineRule="auto"/>
        <w:rPr>
          <w:rFonts w:asciiTheme="minorHAnsi" w:hAnsiTheme="minorHAnsi" w:cstheme="minorHAnsi"/>
          <w:b/>
          <w:bCs/>
          <w:szCs w:val="22"/>
        </w:rPr>
      </w:pPr>
      <w:r w:rsidRPr="00DC60AE">
        <w:rPr>
          <w:rFonts w:asciiTheme="minorHAnsi" w:hAnsiTheme="minorHAnsi" w:cstheme="minorHAnsi"/>
          <w:b/>
          <w:bCs/>
          <w:szCs w:val="22"/>
        </w:rPr>
        <w:t>RECOMMENDATIONS</w:t>
      </w:r>
    </w:p>
    <w:p w14:paraId="440F88AD"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Low-cost sustainable technologies, such as waste bins and freshwater sprays on fruits and vegetables, can help minimize food loss and waste.</w:t>
      </w:r>
    </w:p>
    <w:p w14:paraId="440F88AE"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Proper sales planning, first-in–first-out strategies, maintaining hygiene during selling, appropriate packaging, and cool storage solutions can reduce overall food loss and waste.</w:t>
      </w:r>
    </w:p>
    <w:p w14:paraId="440F88AF"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Vegetable and fruit waste is biodegradable and can be used to produce compost fertilizer. Proper collection of waste from retail shops and compost preparation benefits both the environment and creates economic opportunities.</w:t>
      </w:r>
    </w:p>
    <w:p w14:paraId="440F88B0"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Increasing the knowledge of vegetable and fruit retailers on FLW minimization techniques and the benefits of reducing FLW can enhance food and nutritional security for the population.</w:t>
      </w:r>
    </w:p>
    <w:p w14:paraId="440F88B1" w14:textId="77777777" w:rsidR="00375C98" w:rsidRPr="00DC60AE" w:rsidRDefault="00375C98" w:rsidP="00DC60AE">
      <w:pPr>
        <w:spacing w:after="0" w:line="240" w:lineRule="auto"/>
        <w:rPr>
          <w:rFonts w:asciiTheme="minorHAnsi" w:hAnsiTheme="minorHAnsi" w:cstheme="minorHAnsi"/>
          <w:b/>
          <w:szCs w:val="22"/>
        </w:rPr>
      </w:pPr>
    </w:p>
    <w:p w14:paraId="39B17F59" w14:textId="6BA6F0E3" w:rsidR="00314ECC" w:rsidRPr="00DC60AE" w:rsidRDefault="00314ECC" w:rsidP="00DC60AE">
      <w:pPr>
        <w:spacing w:after="0" w:line="240" w:lineRule="auto"/>
        <w:rPr>
          <w:rFonts w:asciiTheme="minorHAnsi" w:hAnsiTheme="minorHAnsi" w:cstheme="minorHAnsi"/>
          <w:b/>
          <w:bCs/>
          <w:szCs w:val="22"/>
        </w:rPr>
      </w:pPr>
      <w:r w:rsidRPr="00DC60AE">
        <w:rPr>
          <w:rFonts w:asciiTheme="minorHAnsi" w:hAnsiTheme="minorHAnsi" w:cstheme="minorHAnsi"/>
          <w:b/>
          <w:bCs/>
          <w:szCs w:val="22"/>
        </w:rPr>
        <w:t>LIMITATIONS OF THE STUDY</w:t>
      </w:r>
    </w:p>
    <w:p w14:paraId="7CCA8189" w14:textId="77777777" w:rsidR="00750F1A" w:rsidRDefault="00314ECC" w:rsidP="00DC60AE">
      <w:pPr>
        <w:spacing w:after="0" w:line="240" w:lineRule="auto"/>
        <w:rPr>
          <w:rFonts w:asciiTheme="minorHAnsi" w:eastAsia="Times New Roman" w:hAnsiTheme="minorHAnsi" w:cstheme="minorHAnsi"/>
        </w:rPr>
      </w:pPr>
      <w:r w:rsidRPr="00DC60AE">
        <w:rPr>
          <w:rFonts w:asciiTheme="minorHAnsi" w:hAnsiTheme="minorHAnsi" w:cstheme="minorHAnsi"/>
          <w:szCs w:val="22"/>
        </w:rPr>
        <w:t>This study was conducted in selected rural markets of Faridpur district; therefore, the findings may not be fully generalizable to other regions. The cross-sectional design and reliance on self-reported data may introduce recall and response bias. Seasonal variations in food loss and waste were not fully captured.</w:t>
      </w:r>
      <w:r w:rsidR="00750F1A" w:rsidRPr="00DC60AE">
        <w:rPr>
          <w:rFonts w:asciiTheme="minorHAnsi" w:hAnsiTheme="minorHAnsi" w:cstheme="minorHAnsi"/>
          <w:szCs w:val="22"/>
        </w:rPr>
        <w:t xml:space="preserve"> </w:t>
      </w:r>
      <w:r w:rsidR="00750F1A" w:rsidRPr="00DC60AE">
        <w:rPr>
          <w:rFonts w:asciiTheme="minorHAnsi" w:eastAsia="Times New Roman" w:hAnsiTheme="minorHAnsi" w:cstheme="minorHAnsi"/>
        </w:rPr>
        <w:t>Additionally, time, resource, and accessibility constraints restricted the sample size and the inclusion of remote island communities.</w:t>
      </w:r>
    </w:p>
    <w:p w14:paraId="5E26B480" w14:textId="77777777" w:rsidR="00EB34F1" w:rsidRDefault="00EB34F1" w:rsidP="00DC60AE">
      <w:pPr>
        <w:spacing w:after="0" w:line="240" w:lineRule="auto"/>
        <w:rPr>
          <w:rFonts w:asciiTheme="minorHAnsi" w:eastAsia="Times New Roman" w:hAnsiTheme="minorHAnsi" w:cstheme="minorHAnsi"/>
        </w:rPr>
      </w:pPr>
    </w:p>
    <w:p w14:paraId="390D53B4" w14:textId="77777777" w:rsidR="00EB34F1" w:rsidRPr="00EB34F1" w:rsidRDefault="00EB34F1" w:rsidP="00EB34F1">
      <w:pPr>
        <w:spacing w:after="0" w:line="240" w:lineRule="auto"/>
        <w:rPr>
          <w:rFonts w:asciiTheme="minorHAnsi" w:eastAsia="Times New Roman" w:hAnsiTheme="minorHAnsi" w:cstheme="minorHAnsi"/>
        </w:rPr>
      </w:pPr>
      <w:r w:rsidRPr="00EB34F1">
        <w:rPr>
          <w:rFonts w:asciiTheme="minorHAnsi" w:eastAsia="Times New Roman" w:hAnsiTheme="minorHAnsi" w:cstheme="minorHAnsi"/>
        </w:rPr>
        <w:t>Author’s contribution</w:t>
      </w:r>
    </w:p>
    <w:p w14:paraId="29246C3A" w14:textId="4F5105C5" w:rsidR="00EB34F1" w:rsidRPr="00DC60AE" w:rsidRDefault="00EB34F1" w:rsidP="00EB34F1">
      <w:pPr>
        <w:spacing w:after="0" w:line="240" w:lineRule="auto"/>
        <w:rPr>
          <w:rFonts w:asciiTheme="minorHAnsi" w:eastAsia="Times New Roman" w:hAnsiTheme="minorHAnsi" w:cstheme="minorHAnsi"/>
        </w:rPr>
      </w:pPr>
      <w:r w:rsidRPr="00EB34F1">
        <w:rPr>
          <w:rFonts w:asciiTheme="minorHAnsi" w:eastAsia="Times New Roman" w:hAnsiTheme="minorHAnsi" w:cstheme="minorHAnsi"/>
        </w:rPr>
        <w:t>Author MAI is the author of this study. He led the study design, tool development, and data collection and analysis process, drafted the report, and submitted it to the journal. MZI supervises the study; MNI supports data collection, analysis, and report preparation.</w:t>
      </w:r>
    </w:p>
    <w:p w14:paraId="70C8D44E" w14:textId="77777777" w:rsidR="00314ECC" w:rsidRPr="00DC60AE" w:rsidRDefault="00314ECC" w:rsidP="00DC60AE">
      <w:pPr>
        <w:spacing w:after="0" w:line="240" w:lineRule="auto"/>
        <w:rPr>
          <w:rFonts w:asciiTheme="minorHAnsi" w:hAnsiTheme="minorHAnsi" w:cstheme="minorHAnsi"/>
          <w:b/>
          <w:szCs w:val="22"/>
        </w:rPr>
      </w:pPr>
    </w:p>
    <w:p w14:paraId="440F88B2" w14:textId="3925BFC3" w:rsidR="00375C98" w:rsidRPr="00DC60AE" w:rsidRDefault="003F521D" w:rsidP="00DC60AE">
      <w:pPr>
        <w:spacing w:after="0" w:line="240" w:lineRule="auto"/>
        <w:rPr>
          <w:rFonts w:asciiTheme="minorHAnsi" w:hAnsiTheme="minorHAnsi" w:cstheme="minorHAnsi"/>
          <w:b/>
          <w:szCs w:val="22"/>
        </w:rPr>
      </w:pPr>
      <w:r w:rsidRPr="00DC60AE">
        <w:rPr>
          <w:rFonts w:asciiTheme="minorHAnsi" w:hAnsiTheme="minorHAnsi" w:cstheme="minorHAnsi"/>
          <w:b/>
          <w:szCs w:val="22"/>
        </w:rPr>
        <w:t>CONS</w:t>
      </w:r>
      <w:r w:rsidR="00375C98" w:rsidRPr="00DC60AE">
        <w:rPr>
          <w:rFonts w:asciiTheme="minorHAnsi" w:hAnsiTheme="minorHAnsi" w:cstheme="minorHAnsi"/>
          <w:b/>
          <w:szCs w:val="22"/>
        </w:rPr>
        <w:t>ENT</w:t>
      </w:r>
    </w:p>
    <w:p w14:paraId="440F88B3" w14:textId="0373B3FC" w:rsidR="003F521D" w:rsidRPr="00DC60AE" w:rsidRDefault="003F521D" w:rsidP="00DC60AE">
      <w:pPr>
        <w:spacing w:after="0" w:line="240" w:lineRule="auto"/>
        <w:rPr>
          <w:rFonts w:asciiTheme="minorHAnsi" w:eastAsiaTheme="minorHAnsi" w:hAnsiTheme="minorHAnsi" w:cstheme="minorHAnsi"/>
          <w:szCs w:val="22"/>
        </w:rPr>
      </w:pPr>
      <w:r w:rsidRPr="00DC60AE">
        <w:rPr>
          <w:rFonts w:asciiTheme="minorHAnsi" w:eastAsiaTheme="minorHAnsi" w:hAnsiTheme="minorHAnsi" w:cstheme="minorHAnsi"/>
          <w:szCs w:val="22"/>
        </w:rPr>
        <w:lastRenderedPageBreak/>
        <w:t xml:space="preserve">We obtained consent from all respondents </w:t>
      </w:r>
      <w:r w:rsidR="00356648" w:rsidRPr="00DC60AE">
        <w:rPr>
          <w:rFonts w:asciiTheme="minorHAnsi" w:eastAsiaTheme="minorHAnsi" w:hAnsiTheme="minorHAnsi" w:cstheme="minorHAnsi"/>
          <w:szCs w:val="22"/>
        </w:rPr>
        <w:t>before</w:t>
      </w:r>
      <w:r w:rsidRPr="00DC60AE">
        <w:rPr>
          <w:rFonts w:asciiTheme="minorHAnsi" w:eastAsiaTheme="minorHAnsi" w:hAnsiTheme="minorHAnsi" w:cstheme="minorHAnsi"/>
          <w:szCs w:val="22"/>
        </w:rPr>
        <w:t xml:space="preserve"> data collection. The survey questionnaire included a validation mechanism; if a respondent chose not to participate, skip logic automatically directed them to the final section, terminating the survey. This ensured voluntary participation and respected respondents’ rights to decline, while maintaining the integrity and ethical standards of the research process.</w:t>
      </w:r>
    </w:p>
    <w:p w14:paraId="2815569A" w14:textId="77777777" w:rsidR="000659EF" w:rsidRDefault="000659EF" w:rsidP="00DC60AE">
      <w:pPr>
        <w:pStyle w:val="Default"/>
        <w:jc w:val="both"/>
        <w:rPr>
          <w:rFonts w:asciiTheme="minorHAnsi" w:hAnsiTheme="minorHAnsi" w:cstheme="minorHAnsi"/>
          <w:b/>
          <w:bCs/>
          <w:color w:val="auto"/>
          <w:sz w:val="22"/>
          <w:szCs w:val="22"/>
        </w:rPr>
      </w:pPr>
    </w:p>
    <w:p w14:paraId="14437987" w14:textId="721844D3"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b/>
          <w:bCs/>
          <w:color w:val="auto"/>
          <w:sz w:val="22"/>
          <w:szCs w:val="22"/>
        </w:rPr>
        <w:t xml:space="preserve">DISCLAIMER (ARTIFICIAL INTELLIGENCE) </w:t>
      </w:r>
    </w:p>
    <w:p w14:paraId="7B99E863" w14:textId="77777777"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color w:val="auto"/>
          <w:sz w:val="22"/>
          <w:szCs w:val="22"/>
        </w:rPr>
        <w:t>The author (s) hereby declare that generative AI technologies, such as Large Language Models, have been used during the writing or editing of the manuscript. This explanation will include the name, version, model, and source of the generative AI technology, as well as all input prompts provided to the generative AI technology.</w:t>
      </w:r>
    </w:p>
    <w:p w14:paraId="5A750E95" w14:textId="77777777" w:rsidR="00314ECC" w:rsidRPr="00DC60AE" w:rsidRDefault="00314ECC" w:rsidP="00DC60AE">
      <w:pPr>
        <w:pStyle w:val="Default"/>
        <w:jc w:val="both"/>
        <w:rPr>
          <w:rFonts w:asciiTheme="minorHAnsi" w:hAnsiTheme="minorHAnsi" w:cstheme="minorHAnsi"/>
          <w:b/>
          <w:bCs/>
          <w:color w:val="auto"/>
          <w:sz w:val="22"/>
          <w:szCs w:val="22"/>
        </w:rPr>
      </w:pPr>
    </w:p>
    <w:p w14:paraId="57BD4444" w14:textId="77777777"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b/>
          <w:bCs/>
          <w:color w:val="auto"/>
          <w:sz w:val="22"/>
          <w:szCs w:val="22"/>
        </w:rPr>
        <w:t>DETAILS OF THE AI USAGE ARE GIVEN BELOW:</w:t>
      </w:r>
    </w:p>
    <w:p w14:paraId="12F0D240" w14:textId="77777777"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color w:val="auto"/>
          <w:sz w:val="22"/>
          <w:szCs w:val="22"/>
        </w:rPr>
        <w:t xml:space="preserve">This article benefited from grammar correction and language refinement using the free version of ChatGPT, an artificial intelligence tool. </w:t>
      </w:r>
    </w:p>
    <w:p w14:paraId="3BBEAA28" w14:textId="77777777" w:rsidR="00314ECC" w:rsidRPr="00DC60AE" w:rsidRDefault="00314ECC" w:rsidP="00DC60AE">
      <w:pPr>
        <w:spacing w:after="0" w:line="240" w:lineRule="auto"/>
        <w:rPr>
          <w:rFonts w:asciiTheme="minorHAnsi" w:hAnsiTheme="minorHAnsi" w:cstheme="minorHAnsi"/>
          <w:b/>
        </w:rPr>
      </w:pPr>
    </w:p>
    <w:p w14:paraId="1F7E61F7" w14:textId="647BBFA4" w:rsidR="00965F9A" w:rsidRDefault="00965F9A" w:rsidP="00DC60AE">
      <w:pPr>
        <w:spacing w:after="0" w:line="240" w:lineRule="auto"/>
        <w:rPr>
          <w:rFonts w:asciiTheme="minorHAnsi" w:hAnsiTheme="minorHAnsi" w:cstheme="minorHAnsi"/>
          <w:b/>
          <w:szCs w:val="22"/>
        </w:rPr>
      </w:pPr>
    </w:p>
    <w:p w14:paraId="7A73D369" w14:textId="77777777" w:rsidR="00B23669" w:rsidRPr="00A6378A" w:rsidRDefault="00B23669" w:rsidP="00DC60AE">
      <w:pPr>
        <w:spacing w:after="0" w:line="240" w:lineRule="auto"/>
        <w:rPr>
          <w:rFonts w:asciiTheme="minorHAnsi" w:hAnsiTheme="minorHAnsi" w:cstheme="minorHAnsi"/>
          <w:b/>
          <w:szCs w:val="22"/>
        </w:rPr>
      </w:pPr>
      <w:bookmarkStart w:id="1" w:name="_GoBack"/>
      <w:bookmarkEnd w:id="1"/>
    </w:p>
    <w:p w14:paraId="440F88B8" w14:textId="3C0A854D" w:rsidR="00696996" w:rsidRDefault="00696996" w:rsidP="00DC60AE">
      <w:pPr>
        <w:spacing w:after="0" w:line="240" w:lineRule="auto"/>
        <w:rPr>
          <w:rFonts w:asciiTheme="minorHAnsi" w:hAnsiTheme="minorHAnsi" w:cstheme="minorHAnsi"/>
          <w:b/>
          <w:szCs w:val="22"/>
        </w:rPr>
      </w:pPr>
      <w:r w:rsidRPr="00A6378A">
        <w:rPr>
          <w:rFonts w:asciiTheme="minorHAnsi" w:hAnsiTheme="minorHAnsi" w:cstheme="minorHAnsi"/>
          <w:b/>
          <w:szCs w:val="22"/>
        </w:rPr>
        <w:t>REFERENCES</w:t>
      </w:r>
    </w:p>
    <w:p w14:paraId="211E49B8" w14:textId="358CE909" w:rsidR="00FE1761" w:rsidRP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r w:rsidRPr="00FE1761">
        <w:rPr>
          <w:rFonts w:asciiTheme="minorHAnsi" w:hAnsiTheme="minorHAnsi" w:cstheme="minorHAnsi"/>
          <w:szCs w:val="22"/>
          <w:shd w:val="clear" w:color="auto" w:fill="FFFFFF"/>
        </w:rPr>
        <w:t>Abbas, H., Zhao, L., Gong, X., Jiang, M.</w:t>
      </w:r>
      <w:r w:rsidR="000D0560">
        <w:rPr>
          <w:rFonts w:asciiTheme="minorHAnsi" w:hAnsiTheme="minorHAnsi" w:cstheme="minorHAnsi"/>
          <w:szCs w:val="22"/>
          <w:shd w:val="clear" w:color="auto" w:fill="FFFFFF"/>
        </w:rPr>
        <w:t>,</w:t>
      </w:r>
      <w:r w:rsidRPr="00FE1761">
        <w:rPr>
          <w:rFonts w:asciiTheme="minorHAnsi" w:hAnsiTheme="minorHAnsi" w:cstheme="minorHAnsi"/>
          <w:szCs w:val="22"/>
          <w:shd w:val="clear" w:color="auto" w:fill="FFFFFF"/>
        </w:rPr>
        <w:t xml:space="preserve"> and Faiz, T., 2024. Environmental and economic influences of postharvest losses across the fish-food products supply chain in the developing regions. </w:t>
      </w:r>
      <w:r w:rsidRPr="00FE1761">
        <w:rPr>
          <w:rFonts w:asciiTheme="minorHAnsi" w:hAnsiTheme="minorHAnsi" w:cstheme="minorHAnsi"/>
          <w:i/>
          <w:iCs/>
          <w:szCs w:val="22"/>
          <w:shd w:val="clear" w:color="auto" w:fill="FFFFFF"/>
        </w:rPr>
        <w:t>Environment, Development and 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26</w:t>
      </w:r>
      <w:r w:rsidRPr="00FE1761">
        <w:rPr>
          <w:rFonts w:asciiTheme="minorHAnsi" w:hAnsiTheme="minorHAnsi" w:cstheme="minorHAnsi"/>
          <w:szCs w:val="22"/>
          <w:shd w:val="clear" w:color="auto" w:fill="FFFFFF"/>
        </w:rPr>
        <w:t xml:space="preserve">(11), pp.28335-28366. </w:t>
      </w:r>
      <w:hyperlink r:id="rId17" w:history="1">
        <w:r w:rsidRPr="004B2764">
          <w:rPr>
            <w:rStyle w:val="Hyperlink"/>
            <w:rFonts w:asciiTheme="minorHAnsi" w:hAnsiTheme="minorHAnsi" w:cstheme="minorHAnsi"/>
            <w:szCs w:val="22"/>
            <w:shd w:val="clear" w:color="auto" w:fill="FFFFFF"/>
          </w:rPr>
          <w:t>https://doi.org/10.1007/s10668-023-03814-9</w:t>
        </w:r>
      </w:hyperlink>
    </w:p>
    <w:p w14:paraId="21FEE0D3" w14:textId="79D4D602"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proofErr w:type="spellStart"/>
      <w:r w:rsidRPr="00FE1761">
        <w:rPr>
          <w:rFonts w:asciiTheme="minorHAnsi" w:hAnsiTheme="minorHAnsi" w:cstheme="minorHAnsi"/>
          <w:sz w:val="22"/>
          <w:szCs w:val="22"/>
          <w:shd w:val="clear" w:color="auto" w:fill="FFFFFF"/>
        </w:rPr>
        <w:t>Adelodun</w:t>
      </w:r>
      <w:proofErr w:type="spellEnd"/>
      <w:r w:rsidRPr="00FE1761">
        <w:rPr>
          <w:rFonts w:asciiTheme="minorHAnsi" w:hAnsiTheme="minorHAnsi" w:cstheme="minorHAnsi"/>
          <w:sz w:val="22"/>
          <w:szCs w:val="22"/>
          <w:shd w:val="clear" w:color="auto" w:fill="FFFFFF"/>
        </w:rPr>
        <w:t xml:space="preserve">, B., </w:t>
      </w:r>
      <w:proofErr w:type="spellStart"/>
      <w:r w:rsidRPr="00FE1761">
        <w:rPr>
          <w:rFonts w:asciiTheme="minorHAnsi" w:hAnsiTheme="minorHAnsi" w:cstheme="minorHAnsi"/>
          <w:sz w:val="22"/>
          <w:szCs w:val="22"/>
          <w:shd w:val="clear" w:color="auto" w:fill="FFFFFF"/>
        </w:rPr>
        <w:t>Agbelusi</w:t>
      </w:r>
      <w:proofErr w:type="spellEnd"/>
      <w:r w:rsidRPr="00FE1761">
        <w:rPr>
          <w:rFonts w:asciiTheme="minorHAnsi" w:hAnsiTheme="minorHAnsi" w:cstheme="minorHAnsi"/>
          <w:sz w:val="22"/>
          <w:szCs w:val="22"/>
          <w:shd w:val="clear" w:color="auto" w:fill="FFFFFF"/>
        </w:rPr>
        <w:t xml:space="preserve">, O.O., Soma, T., Odey, G., Adeyi, Q., Kumar, P., </w:t>
      </w:r>
      <w:proofErr w:type="spellStart"/>
      <w:r w:rsidRPr="00FE1761">
        <w:rPr>
          <w:rFonts w:asciiTheme="minorHAnsi" w:hAnsiTheme="minorHAnsi" w:cstheme="minorHAnsi"/>
          <w:sz w:val="22"/>
          <w:szCs w:val="22"/>
          <w:shd w:val="clear" w:color="auto" w:fill="FFFFFF"/>
        </w:rPr>
        <w:t>Ajibade</w:t>
      </w:r>
      <w:proofErr w:type="spellEnd"/>
      <w:r w:rsidRPr="00FE1761">
        <w:rPr>
          <w:rFonts w:asciiTheme="minorHAnsi" w:hAnsiTheme="minorHAnsi" w:cstheme="minorHAnsi"/>
          <w:sz w:val="22"/>
          <w:szCs w:val="22"/>
          <w:shd w:val="clear" w:color="auto" w:fill="FFFFFF"/>
        </w:rPr>
        <w:t xml:space="preserve">, F.O., </w:t>
      </w:r>
      <w:proofErr w:type="spellStart"/>
      <w:r w:rsidRPr="00FE1761">
        <w:rPr>
          <w:rFonts w:asciiTheme="minorHAnsi" w:hAnsiTheme="minorHAnsi" w:cstheme="minorHAnsi"/>
          <w:sz w:val="22"/>
          <w:szCs w:val="22"/>
          <w:shd w:val="clear" w:color="auto" w:fill="FFFFFF"/>
        </w:rPr>
        <w:t>Goala</w:t>
      </w:r>
      <w:proofErr w:type="spellEnd"/>
      <w:r w:rsidRPr="00FE1761">
        <w:rPr>
          <w:rFonts w:asciiTheme="minorHAnsi" w:hAnsiTheme="minorHAnsi" w:cstheme="minorHAnsi"/>
          <w:sz w:val="22"/>
          <w:szCs w:val="22"/>
          <w:shd w:val="clear" w:color="auto" w:fill="FFFFFF"/>
        </w:rPr>
        <w:t>, M., Silva, L.F.O., Mostafa, Y.S.</w:t>
      </w:r>
      <w:r w:rsidR="000D0560">
        <w:rPr>
          <w:rFonts w:asciiTheme="minorHAnsi" w:hAnsiTheme="minorHAnsi" w:cstheme="minorHAnsi"/>
          <w:sz w:val="22"/>
          <w:szCs w:val="22"/>
          <w:shd w:val="clear" w:color="auto" w:fill="FFFFFF"/>
        </w:rPr>
        <w:t>,</w:t>
      </w:r>
      <w:r w:rsidRPr="00FE1761">
        <w:rPr>
          <w:rFonts w:asciiTheme="minorHAnsi" w:hAnsiTheme="minorHAnsi" w:cstheme="minorHAnsi"/>
          <w:sz w:val="22"/>
          <w:szCs w:val="22"/>
          <w:shd w:val="clear" w:color="auto" w:fill="FFFFFF"/>
        </w:rPr>
        <w:t xml:space="preserve"> and Singh, R., 2025. Rethinking food loss and waste to promote sustainable resource use and climate change mitigation in agri-food systems: A review. </w:t>
      </w:r>
      <w:r w:rsidRPr="00FE1761">
        <w:rPr>
          <w:rFonts w:asciiTheme="minorHAnsi" w:hAnsiTheme="minorHAnsi" w:cstheme="minorHAnsi"/>
          <w:i/>
          <w:iCs/>
          <w:sz w:val="22"/>
          <w:szCs w:val="22"/>
          <w:shd w:val="clear" w:color="auto" w:fill="FFFFFF"/>
        </w:rPr>
        <w:t>Waste Management &amp; Research</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43</w:t>
      </w:r>
      <w:r w:rsidRPr="00FE1761">
        <w:rPr>
          <w:rFonts w:asciiTheme="minorHAnsi" w:hAnsiTheme="minorHAnsi" w:cstheme="minorHAnsi"/>
          <w:sz w:val="22"/>
          <w:szCs w:val="22"/>
          <w:shd w:val="clear" w:color="auto" w:fill="FFFFFF"/>
        </w:rPr>
        <w:t xml:space="preserve">(4), pp.490-506. </w:t>
      </w:r>
      <w:hyperlink r:id="rId18" w:history="1">
        <w:r w:rsidRPr="004B2764">
          <w:rPr>
            <w:rStyle w:val="Hyperlink"/>
            <w:rFonts w:asciiTheme="minorHAnsi" w:hAnsiTheme="minorHAnsi" w:cstheme="minorHAnsi"/>
            <w:sz w:val="22"/>
            <w:szCs w:val="22"/>
            <w:shd w:val="clear" w:color="auto" w:fill="FFFFFF"/>
          </w:rPr>
          <w:t>https://doi.org/10.1177/0734242X241257655</w:t>
        </w:r>
      </w:hyperlink>
    </w:p>
    <w:p w14:paraId="4A03D558" w14:textId="21ECC449"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Afrin, S., Alam, M.K., Ahmed, M.W., Parven, A., Jubayer, M.F., Megharaj, M., </w:t>
      </w:r>
      <w:proofErr w:type="spellStart"/>
      <w:r w:rsidRPr="00FE1761">
        <w:rPr>
          <w:rFonts w:asciiTheme="minorHAnsi" w:hAnsiTheme="minorHAnsi" w:cstheme="minorHAnsi"/>
          <w:szCs w:val="22"/>
          <w:shd w:val="clear" w:color="auto" w:fill="FFFFFF"/>
        </w:rPr>
        <w:t>Meftaul</w:t>
      </w:r>
      <w:proofErr w:type="spellEnd"/>
      <w:r w:rsidRPr="00FE1761">
        <w:rPr>
          <w:rFonts w:asciiTheme="minorHAnsi" w:hAnsiTheme="minorHAnsi" w:cstheme="minorHAnsi"/>
          <w:szCs w:val="22"/>
          <w:shd w:val="clear" w:color="auto" w:fill="FFFFFF"/>
        </w:rPr>
        <w:t>, I.M. and Khan, M.S.I., 2024. Determination and probabilistic health risk assessment of heavy metals in widely consumed market basket fruits from Dhaka city Bangladesh. </w:t>
      </w:r>
      <w:r w:rsidRPr="00FE1761">
        <w:rPr>
          <w:rFonts w:asciiTheme="minorHAnsi" w:hAnsiTheme="minorHAnsi" w:cstheme="minorHAnsi"/>
          <w:i/>
          <w:iCs/>
          <w:szCs w:val="22"/>
          <w:shd w:val="clear" w:color="auto" w:fill="FFFFFF"/>
        </w:rPr>
        <w:t>International Journal of Environmental Analytical Chemistry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104</w:t>
      </w:r>
      <w:r w:rsidRPr="00FE1761">
        <w:rPr>
          <w:rFonts w:asciiTheme="minorHAnsi" w:hAnsiTheme="minorHAnsi" w:cstheme="minorHAnsi"/>
          <w:szCs w:val="22"/>
          <w:shd w:val="clear" w:color="auto" w:fill="FFFFFF"/>
        </w:rPr>
        <w:t xml:space="preserve">(1), pp.215-230. </w:t>
      </w:r>
      <w:hyperlink r:id="rId19" w:history="1">
        <w:r w:rsidRPr="004B2764">
          <w:rPr>
            <w:rStyle w:val="Hyperlink"/>
            <w:rFonts w:asciiTheme="minorHAnsi" w:hAnsiTheme="minorHAnsi" w:cstheme="minorHAnsi"/>
            <w:szCs w:val="22"/>
            <w:shd w:val="clear" w:color="auto" w:fill="FFFFFF"/>
          </w:rPr>
          <w:t>https://doi.org/10.1080/03067319.2021.2018578</w:t>
        </w:r>
      </w:hyperlink>
    </w:p>
    <w:p w14:paraId="101C70E1" w14:textId="7522FF76" w:rsidR="00FE1761" w:rsidRPr="00FE1761" w:rsidRDefault="00FE1761" w:rsidP="00DC60AE">
      <w:pPr>
        <w:pStyle w:val="ListParagraph"/>
        <w:numPr>
          <w:ilvl w:val="0"/>
          <w:numId w:val="27"/>
        </w:numPr>
        <w:spacing w:after="0" w:line="240" w:lineRule="auto"/>
        <w:rPr>
          <w:rStyle w:val="Hyperlink"/>
          <w:rFonts w:asciiTheme="minorHAnsi" w:hAnsiTheme="minorHAnsi" w:cstheme="minorHAnsi"/>
          <w:color w:val="auto"/>
          <w:szCs w:val="22"/>
          <w:u w:val="none"/>
          <w:shd w:val="clear" w:color="auto" w:fill="FFFFFF"/>
        </w:rPr>
      </w:pPr>
      <w:r w:rsidRPr="00FE1761">
        <w:rPr>
          <w:rFonts w:asciiTheme="minorHAnsi" w:hAnsiTheme="minorHAnsi" w:cstheme="minorHAnsi"/>
          <w:szCs w:val="22"/>
          <w:shd w:val="clear" w:color="auto" w:fill="FFFFFF"/>
        </w:rPr>
        <w:t>Agarwal, A., Srivastava, S., Gupta, A.</w:t>
      </w:r>
      <w:r w:rsidR="000D0560">
        <w:rPr>
          <w:rFonts w:asciiTheme="minorHAnsi" w:hAnsiTheme="minorHAnsi" w:cstheme="minorHAnsi"/>
          <w:szCs w:val="22"/>
          <w:shd w:val="clear" w:color="auto" w:fill="FFFFFF"/>
        </w:rPr>
        <w:t>,</w:t>
      </w:r>
      <w:r w:rsidRPr="00FE1761">
        <w:rPr>
          <w:rFonts w:asciiTheme="minorHAnsi" w:hAnsiTheme="minorHAnsi" w:cstheme="minorHAnsi"/>
          <w:szCs w:val="22"/>
          <w:shd w:val="clear" w:color="auto" w:fill="FFFFFF"/>
        </w:rPr>
        <w:t xml:space="preserve"> and Singh, G., 2024. Food wastage and consumerism in circular economy: a review and research directions. </w:t>
      </w:r>
      <w:r w:rsidRPr="00FE1761">
        <w:rPr>
          <w:rFonts w:asciiTheme="minorHAnsi" w:hAnsiTheme="minorHAnsi" w:cstheme="minorHAnsi"/>
          <w:i/>
          <w:iCs/>
          <w:szCs w:val="22"/>
          <w:shd w:val="clear" w:color="auto" w:fill="FFFFFF"/>
        </w:rPr>
        <w:t>British Food Journal</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126</w:t>
      </w:r>
      <w:r w:rsidRPr="00FE1761">
        <w:rPr>
          <w:rFonts w:asciiTheme="minorHAnsi" w:hAnsiTheme="minorHAnsi" w:cstheme="minorHAnsi"/>
          <w:szCs w:val="22"/>
          <w:shd w:val="clear" w:color="auto" w:fill="FFFFFF"/>
        </w:rPr>
        <w:t>(6), pp.2561-2587.</w:t>
      </w:r>
      <w:r>
        <w:rPr>
          <w:rFonts w:asciiTheme="minorHAnsi" w:hAnsiTheme="minorHAnsi" w:cstheme="minorHAnsi"/>
          <w:szCs w:val="22"/>
          <w:shd w:val="clear" w:color="auto" w:fill="FFFFFF"/>
        </w:rPr>
        <w:t xml:space="preserve"> </w:t>
      </w:r>
      <w:hyperlink r:id="rId20" w:history="1">
        <w:r w:rsidRPr="004B2764">
          <w:rPr>
            <w:rStyle w:val="Hyperlink"/>
            <w:rFonts w:asciiTheme="minorHAnsi" w:hAnsiTheme="minorHAnsi" w:cstheme="minorHAnsi"/>
            <w:szCs w:val="22"/>
            <w:shd w:val="clear" w:color="auto" w:fill="FFFFFF"/>
          </w:rPr>
          <w:t>https://doi.org/10.1108/BFJ-04-2023-0272</w:t>
        </w:r>
      </w:hyperlink>
    </w:p>
    <w:p w14:paraId="2E232E66" w14:textId="55D9327E"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rPr>
      </w:pPr>
      <w:r w:rsidRPr="00FE1761">
        <w:rPr>
          <w:rFonts w:asciiTheme="minorHAnsi" w:hAnsiTheme="minorHAnsi" w:cstheme="minorHAnsi"/>
          <w:sz w:val="22"/>
          <w:szCs w:val="22"/>
          <w:shd w:val="clear" w:color="auto" w:fill="FFFFFF"/>
        </w:rPr>
        <w:t>Ahmed, A., Mahmud, M.N. and Muniza, N.T., 2025. Post-harvest technology and food processing innovations: Prospects and challenges in Bangladesh. </w:t>
      </w:r>
      <w:r w:rsidRPr="00FE1761">
        <w:rPr>
          <w:rFonts w:asciiTheme="minorHAnsi" w:hAnsiTheme="minorHAnsi" w:cstheme="minorHAnsi"/>
          <w:i/>
          <w:iCs/>
          <w:sz w:val="22"/>
          <w:szCs w:val="22"/>
          <w:shd w:val="clear" w:color="auto" w:fill="FFFFFF"/>
        </w:rPr>
        <w:t>IJCS</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13</w:t>
      </w:r>
      <w:r w:rsidRPr="00FE1761">
        <w:rPr>
          <w:rFonts w:asciiTheme="minorHAnsi" w:hAnsiTheme="minorHAnsi" w:cstheme="minorHAnsi"/>
          <w:sz w:val="22"/>
          <w:szCs w:val="22"/>
          <w:shd w:val="clear" w:color="auto" w:fill="FFFFFF"/>
        </w:rPr>
        <w:t>(2), pp.93-103.</w:t>
      </w:r>
      <w:r w:rsidR="00957858">
        <w:rPr>
          <w:rFonts w:asciiTheme="minorHAnsi" w:hAnsiTheme="minorHAnsi" w:cstheme="minorHAnsi"/>
          <w:sz w:val="22"/>
          <w:szCs w:val="22"/>
          <w:shd w:val="clear" w:color="auto" w:fill="FFFFFF"/>
        </w:rPr>
        <w:t xml:space="preserve"> </w:t>
      </w:r>
      <w:hyperlink r:id="rId21" w:history="1">
        <w:r w:rsidR="00957858" w:rsidRPr="004B2764">
          <w:rPr>
            <w:rStyle w:val="Hyperlink"/>
            <w:rFonts w:asciiTheme="minorHAnsi" w:hAnsiTheme="minorHAnsi" w:cstheme="minorHAnsi"/>
            <w:sz w:val="22"/>
            <w:szCs w:val="22"/>
            <w:shd w:val="clear" w:color="auto" w:fill="FFFFFF"/>
          </w:rPr>
          <w:t>https://www.doi.org/10.22271/chemi.2025.v13.i1b.12506</w:t>
        </w:r>
      </w:hyperlink>
    </w:p>
    <w:p w14:paraId="16B7BD8C" w14:textId="37F3A861"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bookmarkStart w:id="2" w:name="_Hlk223634421"/>
      <w:r w:rsidRPr="00FE1761">
        <w:rPr>
          <w:rFonts w:asciiTheme="minorHAnsi" w:hAnsiTheme="minorHAnsi" w:cstheme="minorHAnsi"/>
          <w:sz w:val="22"/>
          <w:szCs w:val="22"/>
          <w:shd w:val="clear" w:color="auto" w:fill="FFFFFF"/>
        </w:rPr>
        <w:t xml:space="preserve">Ahmed, M.W. and </w:t>
      </w:r>
      <w:proofErr w:type="spellStart"/>
      <w:r w:rsidRPr="00FE1761">
        <w:rPr>
          <w:rFonts w:asciiTheme="minorHAnsi" w:hAnsiTheme="minorHAnsi" w:cstheme="minorHAnsi"/>
          <w:sz w:val="22"/>
          <w:szCs w:val="22"/>
          <w:shd w:val="clear" w:color="auto" w:fill="FFFFFF"/>
        </w:rPr>
        <w:t>Kamruzzaman</w:t>
      </w:r>
      <w:proofErr w:type="spellEnd"/>
      <w:r w:rsidRPr="00FE1761">
        <w:rPr>
          <w:rFonts w:asciiTheme="minorHAnsi" w:hAnsiTheme="minorHAnsi" w:cstheme="minorHAnsi"/>
          <w:sz w:val="22"/>
          <w:szCs w:val="22"/>
          <w:shd w:val="clear" w:color="auto" w:fill="FFFFFF"/>
        </w:rPr>
        <w:t>, M., 2025</w:t>
      </w:r>
      <w:bookmarkEnd w:id="2"/>
      <w:r w:rsidRPr="00FE1761">
        <w:rPr>
          <w:rFonts w:asciiTheme="minorHAnsi" w:hAnsiTheme="minorHAnsi" w:cstheme="minorHAnsi"/>
          <w:sz w:val="22"/>
          <w:szCs w:val="22"/>
          <w:shd w:val="clear" w:color="auto" w:fill="FFFFFF"/>
        </w:rPr>
        <w:t>. Advancing Food Safety in Bangladesh: Challenges and the Promise of Smart Sensor Technology. </w:t>
      </w:r>
      <w:r w:rsidRPr="00FE1761">
        <w:rPr>
          <w:rFonts w:asciiTheme="minorHAnsi" w:hAnsiTheme="minorHAnsi" w:cstheme="minorHAnsi"/>
          <w:i/>
          <w:iCs/>
          <w:sz w:val="22"/>
          <w:szCs w:val="22"/>
          <w:shd w:val="clear" w:color="auto" w:fill="FFFFFF"/>
        </w:rPr>
        <w:t>Food Safety and Health</w:t>
      </w:r>
      <w:r w:rsidRPr="00FE1761">
        <w:rPr>
          <w:rFonts w:asciiTheme="minorHAnsi" w:hAnsiTheme="minorHAnsi" w:cstheme="minorHAnsi"/>
          <w:sz w:val="22"/>
          <w:szCs w:val="22"/>
          <w:shd w:val="clear" w:color="auto" w:fill="FFFFFF"/>
        </w:rPr>
        <w:t xml:space="preserve">. </w:t>
      </w:r>
      <w:hyperlink r:id="rId22" w:history="1">
        <w:r w:rsidR="00957858" w:rsidRPr="004B2764">
          <w:rPr>
            <w:rStyle w:val="Hyperlink"/>
            <w:rFonts w:asciiTheme="minorHAnsi" w:hAnsiTheme="minorHAnsi" w:cstheme="minorHAnsi"/>
            <w:sz w:val="22"/>
            <w:szCs w:val="22"/>
            <w:shd w:val="clear" w:color="auto" w:fill="FFFFFF"/>
          </w:rPr>
          <w:t>https://doi.org/10.1002/fsh3.70015</w:t>
        </w:r>
      </w:hyperlink>
    </w:p>
    <w:p w14:paraId="21EF6A12" w14:textId="183407A5"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Akter, S., Rahman, M. S., &amp; Islam, M. A. (2022). Post-harvest losses of vegetables in Bangladesh: Causes and policy implications. </w:t>
      </w:r>
      <w:r w:rsidRPr="00FE1761">
        <w:rPr>
          <w:rStyle w:val="Emphasis"/>
          <w:rFonts w:asciiTheme="minorHAnsi" w:eastAsia="SimSun" w:hAnsiTheme="minorHAnsi" w:cstheme="minorHAnsi"/>
          <w:sz w:val="22"/>
          <w:szCs w:val="22"/>
        </w:rPr>
        <w:t>Journal of Agriculture and Food Research, 9</w:t>
      </w:r>
      <w:r w:rsidRPr="00FE1761">
        <w:rPr>
          <w:rFonts w:asciiTheme="minorHAnsi" w:hAnsiTheme="minorHAnsi" w:cstheme="minorHAnsi"/>
          <w:sz w:val="22"/>
          <w:szCs w:val="22"/>
        </w:rPr>
        <w:t xml:space="preserve">, 100330. </w:t>
      </w:r>
      <w:hyperlink r:id="rId23" w:history="1">
        <w:r w:rsidR="00957858" w:rsidRPr="004B2764">
          <w:rPr>
            <w:rStyle w:val="Hyperlink"/>
            <w:rFonts w:asciiTheme="minorHAnsi" w:hAnsiTheme="minorHAnsi" w:cstheme="minorHAnsi"/>
            <w:sz w:val="22"/>
            <w:szCs w:val="22"/>
          </w:rPr>
          <w:t>https://doi.org/10.1016/j.jafr.2022.100330</w:t>
        </w:r>
      </w:hyperlink>
    </w:p>
    <w:p w14:paraId="78C4EF94" w14:textId="1DB0285F"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Al Banna, M.H., Disu, T.R., Kundu, S., Ahinkorah, B.O., Brazendale, K., Seidu, A.A., Okyere, J., Rahman, N., Mondal, S., </w:t>
      </w:r>
      <w:proofErr w:type="spellStart"/>
      <w:r w:rsidRPr="00FE1761">
        <w:rPr>
          <w:rFonts w:asciiTheme="minorHAnsi" w:hAnsiTheme="minorHAnsi" w:cstheme="minorHAnsi"/>
          <w:szCs w:val="22"/>
          <w:shd w:val="clear" w:color="auto" w:fill="FFFFFF"/>
        </w:rPr>
        <w:t>Matubber</w:t>
      </w:r>
      <w:proofErr w:type="spellEnd"/>
      <w:r w:rsidRPr="00FE1761">
        <w:rPr>
          <w:rFonts w:asciiTheme="minorHAnsi" w:hAnsiTheme="minorHAnsi" w:cstheme="minorHAnsi"/>
          <w:szCs w:val="22"/>
          <w:shd w:val="clear" w:color="auto" w:fill="FFFFFF"/>
        </w:rPr>
        <w:t>, B. and Khan, M.S.I., 2021. Factors associated with food safety knowledge and practices among meat handlers in Bangladesh: a cross-sectional study. </w:t>
      </w:r>
      <w:r w:rsidRPr="00FE1761">
        <w:rPr>
          <w:rFonts w:asciiTheme="minorHAnsi" w:hAnsiTheme="minorHAnsi" w:cstheme="minorHAnsi"/>
          <w:i/>
          <w:iCs/>
          <w:szCs w:val="22"/>
          <w:shd w:val="clear" w:color="auto" w:fill="FFFFFF"/>
        </w:rPr>
        <w:t>Environmental Health and Preventive Medicine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26</w:t>
      </w:r>
      <w:r w:rsidRPr="00FE1761">
        <w:rPr>
          <w:rFonts w:asciiTheme="minorHAnsi" w:hAnsiTheme="minorHAnsi" w:cstheme="minorHAnsi"/>
          <w:szCs w:val="22"/>
          <w:shd w:val="clear" w:color="auto" w:fill="FFFFFF"/>
        </w:rPr>
        <w:t xml:space="preserve">(1), p.84. </w:t>
      </w:r>
      <w:hyperlink r:id="rId24" w:history="1">
        <w:r w:rsidR="00957858" w:rsidRPr="004B2764">
          <w:rPr>
            <w:rStyle w:val="Hyperlink"/>
            <w:rFonts w:asciiTheme="minorHAnsi" w:hAnsiTheme="minorHAnsi" w:cstheme="minorHAnsi"/>
            <w:szCs w:val="22"/>
            <w:shd w:val="clear" w:color="auto" w:fill="FFFFFF"/>
          </w:rPr>
          <w:t>https://doi.org/10.1186/s12199-021-01004-5</w:t>
        </w:r>
      </w:hyperlink>
    </w:p>
    <w:p w14:paraId="36280610" w14:textId="617EE307"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shd w:val="clear" w:color="auto" w:fill="FFFFFF"/>
        </w:rPr>
      </w:pPr>
      <w:r w:rsidRPr="00FE1761">
        <w:rPr>
          <w:rFonts w:asciiTheme="minorHAnsi" w:hAnsiTheme="minorHAnsi" w:cstheme="minorHAnsi"/>
          <w:sz w:val="22"/>
          <w:szCs w:val="22"/>
          <w:shd w:val="clear" w:color="auto" w:fill="FFFFFF"/>
        </w:rPr>
        <w:t xml:space="preserve">Alam, S.S., Haque, I.S., </w:t>
      </w:r>
      <w:proofErr w:type="spellStart"/>
      <w:r w:rsidRPr="00FE1761">
        <w:rPr>
          <w:rFonts w:asciiTheme="minorHAnsi" w:hAnsiTheme="minorHAnsi" w:cstheme="minorHAnsi"/>
          <w:sz w:val="22"/>
          <w:szCs w:val="22"/>
          <w:shd w:val="clear" w:color="auto" w:fill="FFFFFF"/>
        </w:rPr>
        <w:t>Kokash</w:t>
      </w:r>
      <w:proofErr w:type="spellEnd"/>
      <w:r w:rsidRPr="00FE1761">
        <w:rPr>
          <w:rFonts w:asciiTheme="minorHAnsi" w:hAnsiTheme="minorHAnsi" w:cstheme="minorHAnsi"/>
          <w:sz w:val="22"/>
          <w:szCs w:val="22"/>
          <w:shd w:val="clear" w:color="auto" w:fill="FFFFFF"/>
        </w:rPr>
        <w:t xml:space="preserve">, H.A., Ahmed, S. and Ahsan, M.N., 2025. Drivers of Waste Separation Behavior in Urban Bangladesh: Leveraging Social Norms and Environmental Awareness </w:t>
      </w:r>
      <w:r w:rsidRPr="00FE1761">
        <w:rPr>
          <w:rFonts w:asciiTheme="minorHAnsi" w:hAnsiTheme="minorHAnsi" w:cstheme="minorHAnsi"/>
          <w:sz w:val="22"/>
          <w:szCs w:val="22"/>
          <w:shd w:val="clear" w:color="auto" w:fill="FFFFFF"/>
        </w:rPr>
        <w:lastRenderedPageBreak/>
        <w:t>for Circular Economy Success. </w:t>
      </w:r>
      <w:r w:rsidRPr="00FE1761">
        <w:rPr>
          <w:rFonts w:asciiTheme="minorHAnsi" w:hAnsiTheme="minorHAnsi" w:cstheme="minorHAnsi"/>
          <w:i/>
          <w:iCs/>
          <w:sz w:val="22"/>
          <w:szCs w:val="22"/>
          <w:shd w:val="clear" w:color="auto" w:fill="FFFFFF"/>
        </w:rPr>
        <w:t>Circular Economy and Sustainability</w:t>
      </w:r>
      <w:r w:rsidRPr="00FE1761">
        <w:rPr>
          <w:rFonts w:asciiTheme="minorHAnsi" w:hAnsiTheme="minorHAnsi" w:cstheme="minorHAnsi"/>
          <w:sz w:val="22"/>
          <w:szCs w:val="22"/>
          <w:shd w:val="clear" w:color="auto" w:fill="FFFFFF"/>
        </w:rPr>
        <w:t>, pp.1-33.</w:t>
      </w:r>
      <w:r w:rsidR="00957858">
        <w:rPr>
          <w:rFonts w:asciiTheme="minorHAnsi" w:hAnsiTheme="minorHAnsi" w:cstheme="minorHAnsi"/>
          <w:sz w:val="22"/>
          <w:szCs w:val="22"/>
          <w:shd w:val="clear" w:color="auto" w:fill="FFFFFF"/>
        </w:rPr>
        <w:t xml:space="preserve"> </w:t>
      </w:r>
      <w:hyperlink r:id="rId25" w:history="1">
        <w:r w:rsidR="00957858" w:rsidRPr="004B2764">
          <w:rPr>
            <w:rStyle w:val="Hyperlink"/>
            <w:rFonts w:asciiTheme="minorHAnsi" w:hAnsiTheme="minorHAnsi" w:cstheme="minorHAnsi"/>
            <w:sz w:val="22"/>
            <w:szCs w:val="22"/>
            <w:shd w:val="clear" w:color="auto" w:fill="FFFFFF"/>
          </w:rPr>
          <w:t>https://doi.org/10.1007/s43615-025-00526-2</w:t>
        </w:r>
      </w:hyperlink>
    </w:p>
    <w:p w14:paraId="387D730C" w14:textId="4CF6D0CA"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Ali, A., Xia, C., Ouattara, N.B., Mahmood, I. and Faisal, M., 2021. Economic and environmental </w:t>
      </w:r>
      <w:proofErr w:type="gramStart"/>
      <w:r w:rsidRPr="00FE1761">
        <w:rPr>
          <w:rFonts w:asciiTheme="minorHAnsi" w:hAnsiTheme="minorHAnsi" w:cstheme="minorHAnsi"/>
          <w:sz w:val="22"/>
          <w:szCs w:val="22"/>
          <w:shd w:val="clear" w:color="auto" w:fill="FFFFFF"/>
        </w:rPr>
        <w:t>consequences'</w:t>
      </w:r>
      <w:proofErr w:type="gramEnd"/>
      <w:r w:rsidRPr="00FE1761">
        <w:rPr>
          <w:rFonts w:asciiTheme="minorHAnsi" w:hAnsiTheme="minorHAnsi" w:cstheme="minorHAnsi"/>
          <w:sz w:val="22"/>
          <w:szCs w:val="22"/>
          <w:shd w:val="clear" w:color="auto" w:fill="FFFFFF"/>
        </w:rPr>
        <w:t xml:space="preserve"> of postharvest loss across food supply Chain in the developing countries. </w:t>
      </w:r>
      <w:r w:rsidRPr="00FE1761">
        <w:rPr>
          <w:rFonts w:asciiTheme="minorHAnsi" w:hAnsiTheme="minorHAnsi" w:cstheme="minorHAnsi"/>
          <w:i/>
          <w:iCs/>
          <w:sz w:val="22"/>
          <w:szCs w:val="22"/>
          <w:shd w:val="clear" w:color="auto" w:fill="FFFFFF"/>
        </w:rPr>
        <w:t>Journal of cleaner production</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323</w:t>
      </w:r>
      <w:r w:rsidRPr="00FE1761">
        <w:rPr>
          <w:rFonts w:asciiTheme="minorHAnsi" w:hAnsiTheme="minorHAnsi" w:cstheme="minorHAnsi"/>
          <w:sz w:val="22"/>
          <w:szCs w:val="22"/>
          <w:shd w:val="clear" w:color="auto" w:fill="FFFFFF"/>
        </w:rPr>
        <w:t xml:space="preserve">, p.129146. </w:t>
      </w:r>
      <w:hyperlink r:id="rId26" w:history="1">
        <w:r w:rsidR="00957858" w:rsidRPr="004B2764">
          <w:rPr>
            <w:rStyle w:val="Hyperlink"/>
            <w:rFonts w:asciiTheme="minorHAnsi" w:hAnsiTheme="minorHAnsi" w:cstheme="minorHAnsi"/>
            <w:sz w:val="22"/>
            <w:szCs w:val="22"/>
            <w:shd w:val="clear" w:color="auto" w:fill="FFFFFF"/>
          </w:rPr>
          <w:t>https://doi.org/10.1016/j.jclepro.2021.129146</w:t>
        </w:r>
      </w:hyperlink>
    </w:p>
    <w:p w14:paraId="3FB36807" w14:textId="722121AD"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Ambuko, J.L., </w:t>
      </w:r>
      <w:proofErr w:type="spellStart"/>
      <w:r w:rsidRPr="00FE1761">
        <w:rPr>
          <w:rFonts w:asciiTheme="minorHAnsi" w:hAnsiTheme="minorHAnsi" w:cstheme="minorHAnsi"/>
          <w:szCs w:val="22"/>
          <w:shd w:val="clear" w:color="auto" w:fill="FFFFFF"/>
        </w:rPr>
        <w:t>Masakhwe</w:t>
      </w:r>
      <w:proofErr w:type="spellEnd"/>
      <w:r w:rsidRPr="00FE1761">
        <w:rPr>
          <w:rFonts w:asciiTheme="minorHAnsi" w:hAnsiTheme="minorHAnsi" w:cstheme="minorHAnsi"/>
          <w:szCs w:val="22"/>
          <w:shd w:val="clear" w:color="auto" w:fill="FFFFFF"/>
        </w:rPr>
        <w:t xml:space="preserve">, S.M., </w:t>
      </w:r>
      <w:proofErr w:type="spellStart"/>
      <w:r w:rsidRPr="00FE1761">
        <w:rPr>
          <w:rFonts w:asciiTheme="minorHAnsi" w:hAnsiTheme="minorHAnsi" w:cstheme="minorHAnsi"/>
          <w:szCs w:val="22"/>
          <w:shd w:val="clear" w:color="auto" w:fill="FFFFFF"/>
        </w:rPr>
        <w:t>Amwoka</w:t>
      </w:r>
      <w:proofErr w:type="spellEnd"/>
      <w:r w:rsidRPr="00FE1761">
        <w:rPr>
          <w:rFonts w:asciiTheme="minorHAnsi" w:hAnsiTheme="minorHAnsi" w:cstheme="minorHAnsi"/>
          <w:szCs w:val="22"/>
          <w:shd w:val="clear" w:color="auto" w:fill="FFFFFF"/>
        </w:rPr>
        <w:t xml:space="preserve">, E., </w:t>
      </w:r>
      <w:proofErr w:type="spellStart"/>
      <w:r w:rsidRPr="00FE1761">
        <w:rPr>
          <w:rFonts w:asciiTheme="minorHAnsi" w:hAnsiTheme="minorHAnsi" w:cstheme="minorHAnsi"/>
          <w:szCs w:val="22"/>
          <w:shd w:val="clear" w:color="auto" w:fill="FFFFFF"/>
        </w:rPr>
        <w:t>Mujuka</w:t>
      </w:r>
      <w:proofErr w:type="spellEnd"/>
      <w:r w:rsidRPr="00FE1761">
        <w:rPr>
          <w:rFonts w:asciiTheme="minorHAnsi" w:hAnsiTheme="minorHAnsi" w:cstheme="minorHAnsi"/>
          <w:szCs w:val="22"/>
          <w:shd w:val="clear" w:color="auto" w:fill="FFFFFF"/>
        </w:rPr>
        <w:t>, E. and Fabi, C., 2025. Food loss and waste data gaps in fruit and vegetable value chains: a review of the literature. </w:t>
      </w:r>
      <w:r w:rsidRPr="00FE1761">
        <w:rPr>
          <w:rFonts w:asciiTheme="minorHAnsi" w:hAnsiTheme="minorHAnsi" w:cstheme="minorHAnsi"/>
          <w:i/>
          <w:iCs/>
          <w:szCs w:val="22"/>
          <w:shd w:val="clear" w:color="auto" w:fill="FFFFFF"/>
        </w:rPr>
        <w:t>Frontiers in Horticulture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4</w:t>
      </w:r>
      <w:r w:rsidRPr="00FE1761">
        <w:rPr>
          <w:rFonts w:asciiTheme="minorHAnsi" w:hAnsiTheme="minorHAnsi" w:cstheme="minorHAnsi"/>
          <w:szCs w:val="22"/>
          <w:shd w:val="clear" w:color="auto" w:fill="FFFFFF"/>
        </w:rPr>
        <w:t xml:space="preserve">, p.1529040. </w:t>
      </w:r>
      <w:hyperlink r:id="rId27" w:history="1">
        <w:r w:rsidR="00957858" w:rsidRPr="004B2764">
          <w:rPr>
            <w:rStyle w:val="Hyperlink"/>
            <w:rFonts w:asciiTheme="minorHAnsi" w:hAnsiTheme="minorHAnsi" w:cstheme="minorHAnsi"/>
            <w:szCs w:val="22"/>
            <w:shd w:val="clear" w:color="auto" w:fill="FFFFFF"/>
          </w:rPr>
          <w:t>https://doi.org/10.3389/fhort.2025.1529040</w:t>
        </w:r>
      </w:hyperlink>
    </w:p>
    <w:p w14:paraId="60AAB81F" w14:textId="53ECB6CC" w:rsidR="00FE1761" w:rsidRDefault="00FE1761" w:rsidP="00DC60AE">
      <w:pPr>
        <w:pStyle w:val="ListParagraph"/>
        <w:numPr>
          <w:ilvl w:val="0"/>
          <w:numId w:val="27"/>
        </w:numPr>
        <w:spacing w:after="0" w:line="240" w:lineRule="auto"/>
        <w:rPr>
          <w:rFonts w:asciiTheme="minorHAnsi" w:hAnsiTheme="minorHAnsi" w:cstheme="minorHAnsi"/>
          <w:szCs w:val="22"/>
        </w:rPr>
      </w:pPr>
      <w:r w:rsidRPr="00FE1761">
        <w:rPr>
          <w:rFonts w:asciiTheme="minorHAnsi" w:hAnsiTheme="minorHAnsi" w:cstheme="minorHAnsi"/>
          <w:szCs w:val="22"/>
        </w:rPr>
        <w:t xml:space="preserve">Ananno, A.A., Masud, M.H., Chowdhury, S.A., </w:t>
      </w:r>
      <w:proofErr w:type="spellStart"/>
      <w:r w:rsidRPr="00FE1761">
        <w:rPr>
          <w:rFonts w:asciiTheme="minorHAnsi" w:hAnsiTheme="minorHAnsi" w:cstheme="minorHAnsi"/>
          <w:szCs w:val="22"/>
        </w:rPr>
        <w:t>Dabnichki</w:t>
      </w:r>
      <w:proofErr w:type="spellEnd"/>
      <w:r w:rsidRPr="00FE1761">
        <w:rPr>
          <w:rFonts w:asciiTheme="minorHAnsi" w:hAnsiTheme="minorHAnsi" w:cstheme="minorHAnsi"/>
          <w:szCs w:val="22"/>
        </w:rPr>
        <w:t xml:space="preserve">, P., Ahmed, N., and Arefin, A.M.E., 2021. Sustainable food waste management model for Bangladesh. Sustainable Production and Consumption, 27, pp.35-51. </w:t>
      </w:r>
      <w:hyperlink r:id="rId28" w:history="1">
        <w:r w:rsidR="00957858" w:rsidRPr="004B2764">
          <w:rPr>
            <w:rStyle w:val="Hyperlink"/>
            <w:rFonts w:asciiTheme="minorHAnsi" w:hAnsiTheme="minorHAnsi" w:cstheme="minorHAnsi"/>
            <w:szCs w:val="22"/>
          </w:rPr>
          <w:t>https://doi.org/10.1016/j.spc.2020.10.022</w:t>
        </w:r>
      </w:hyperlink>
    </w:p>
    <w:p w14:paraId="10666677" w14:textId="08E99B77"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Aschemann‐Witzel, J., Randers, L. and Pedersen, S., 2023. Retail or consumer responsibility? —reflections on food waste and food prices among deal‐prone consumers and market actors. Business Strategy and the Environment, 32(4), pp.1513-1528. </w:t>
      </w:r>
      <w:hyperlink r:id="rId29" w:history="1">
        <w:r w:rsidR="00957858" w:rsidRPr="004B2764">
          <w:rPr>
            <w:rStyle w:val="Hyperlink"/>
            <w:rFonts w:asciiTheme="minorHAnsi" w:hAnsiTheme="minorHAnsi" w:cstheme="minorHAnsi"/>
            <w:sz w:val="22"/>
            <w:szCs w:val="22"/>
          </w:rPr>
          <w:t>https://doi.org/10.1002/bse.3202</w:t>
        </w:r>
      </w:hyperlink>
    </w:p>
    <w:p w14:paraId="4375979B" w14:textId="3DF78785"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Aslam, J., </w:t>
      </w:r>
      <w:proofErr w:type="spellStart"/>
      <w:r w:rsidRPr="00FE1761">
        <w:rPr>
          <w:rFonts w:asciiTheme="minorHAnsi" w:hAnsiTheme="minorHAnsi" w:cstheme="minorHAnsi"/>
          <w:sz w:val="22"/>
          <w:szCs w:val="22"/>
          <w:shd w:val="clear" w:color="auto" w:fill="FFFFFF"/>
        </w:rPr>
        <w:t>Parray</w:t>
      </w:r>
      <w:proofErr w:type="spellEnd"/>
      <w:r w:rsidRPr="00FE1761">
        <w:rPr>
          <w:rFonts w:asciiTheme="minorHAnsi" w:hAnsiTheme="minorHAnsi" w:cstheme="minorHAnsi"/>
          <w:sz w:val="22"/>
          <w:szCs w:val="22"/>
          <w:shd w:val="clear" w:color="auto" w:fill="FFFFFF"/>
        </w:rPr>
        <w:t>, H.A., Aslam, A. and Aslam, R., 2024. Food waste environmental impact assessment. In </w:t>
      </w:r>
      <w:r w:rsidRPr="00FE1761">
        <w:rPr>
          <w:rFonts w:asciiTheme="minorHAnsi" w:hAnsiTheme="minorHAnsi" w:cstheme="minorHAnsi"/>
          <w:i/>
          <w:iCs/>
          <w:sz w:val="22"/>
          <w:szCs w:val="22"/>
          <w:shd w:val="clear" w:color="auto" w:fill="FFFFFF"/>
        </w:rPr>
        <w:t>Sustainable Food Waste Management: Anti-corrosion Applications</w:t>
      </w:r>
      <w:r w:rsidRPr="00FE1761">
        <w:rPr>
          <w:rFonts w:asciiTheme="minorHAnsi" w:hAnsiTheme="minorHAnsi" w:cstheme="minorHAnsi"/>
          <w:sz w:val="22"/>
          <w:szCs w:val="22"/>
          <w:shd w:val="clear" w:color="auto" w:fill="FFFFFF"/>
        </w:rPr>
        <w:t xml:space="preserve"> (pp. 87-105). Singapore: Springer Nature Singapore. </w:t>
      </w:r>
      <w:hyperlink r:id="rId30" w:history="1">
        <w:r w:rsidR="00957858" w:rsidRPr="004B2764">
          <w:rPr>
            <w:rStyle w:val="Hyperlink"/>
            <w:rFonts w:asciiTheme="minorHAnsi" w:hAnsiTheme="minorHAnsi" w:cstheme="minorHAnsi"/>
            <w:sz w:val="22"/>
            <w:szCs w:val="22"/>
            <w:shd w:val="clear" w:color="auto" w:fill="FFFFFF"/>
          </w:rPr>
          <w:t>https://doi.org/10.1007/978-981-97-1160-4_5</w:t>
        </w:r>
      </w:hyperlink>
    </w:p>
    <w:p w14:paraId="1145EDE1" w14:textId="15419458" w:rsid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r w:rsidRPr="00FE1761">
        <w:rPr>
          <w:rFonts w:asciiTheme="minorHAnsi" w:eastAsia="Times New Roman" w:hAnsiTheme="minorHAnsi" w:cstheme="minorHAnsi"/>
          <w:szCs w:val="22"/>
        </w:rPr>
        <w:t xml:space="preserve">Balan, I. M., </w:t>
      </w:r>
      <w:proofErr w:type="spellStart"/>
      <w:r w:rsidRPr="00FE1761">
        <w:rPr>
          <w:rFonts w:asciiTheme="minorHAnsi" w:eastAsia="Times New Roman" w:hAnsiTheme="minorHAnsi" w:cstheme="minorHAnsi"/>
          <w:szCs w:val="22"/>
        </w:rPr>
        <w:t>Trasca</w:t>
      </w:r>
      <w:proofErr w:type="spellEnd"/>
      <w:r w:rsidRPr="00FE1761">
        <w:rPr>
          <w:rFonts w:asciiTheme="minorHAnsi" w:eastAsia="Times New Roman" w:hAnsiTheme="minorHAnsi" w:cstheme="minorHAnsi"/>
          <w:szCs w:val="22"/>
        </w:rPr>
        <w:t xml:space="preserve">, T. I., Brad, I., </w:t>
      </w:r>
      <w:proofErr w:type="spellStart"/>
      <w:r w:rsidRPr="00FE1761">
        <w:rPr>
          <w:rFonts w:asciiTheme="minorHAnsi" w:eastAsia="Times New Roman" w:hAnsiTheme="minorHAnsi" w:cstheme="minorHAnsi"/>
          <w:szCs w:val="22"/>
        </w:rPr>
        <w:t>Belc</w:t>
      </w:r>
      <w:proofErr w:type="spellEnd"/>
      <w:r w:rsidRPr="00FE1761">
        <w:rPr>
          <w:rFonts w:asciiTheme="minorHAnsi" w:eastAsia="Times New Roman" w:hAnsiTheme="minorHAnsi" w:cstheme="minorHAnsi"/>
          <w:szCs w:val="22"/>
        </w:rPr>
        <w:t xml:space="preserve">, N., </w:t>
      </w:r>
      <w:proofErr w:type="spellStart"/>
      <w:r w:rsidRPr="00FE1761">
        <w:rPr>
          <w:rFonts w:asciiTheme="minorHAnsi" w:eastAsia="Times New Roman" w:hAnsiTheme="minorHAnsi" w:cstheme="minorHAnsi"/>
          <w:szCs w:val="22"/>
        </w:rPr>
        <w:t>Tulcan</w:t>
      </w:r>
      <w:proofErr w:type="spellEnd"/>
      <w:r w:rsidRPr="00FE1761">
        <w:rPr>
          <w:rFonts w:asciiTheme="minorHAnsi" w:eastAsia="Times New Roman" w:hAnsiTheme="minorHAnsi" w:cstheme="minorHAnsi"/>
          <w:szCs w:val="22"/>
        </w:rPr>
        <w:t xml:space="preserve">, C., Radoi, B. P., </w:t>
      </w:r>
      <w:proofErr w:type="spellStart"/>
      <w:r w:rsidRPr="00FE1761">
        <w:rPr>
          <w:rFonts w:asciiTheme="minorHAnsi" w:eastAsia="Times New Roman" w:hAnsiTheme="minorHAnsi" w:cstheme="minorHAnsi"/>
          <w:szCs w:val="22"/>
        </w:rPr>
        <w:t>Rinovets</w:t>
      </w:r>
      <w:proofErr w:type="spellEnd"/>
      <w:r w:rsidRPr="00FE1761">
        <w:rPr>
          <w:rFonts w:asciiTheme="minorHAnsi" w:eastAsia="Times New Roman" w:hAnsiTheme="minorHAnsi" w:cstheme="minorHAnsi"/>
          <w:szCs w:val="22"/>
        </w:rPr>
        <w:t xml:space="preserve">, A., &amp; Kiba, D. (2023). </w:t>
      </w:r>
      <w:r w:rsidRPr="00FE1761">
        <w:rPr>
          <w:rFonts w:asciiTheme="minorHAnsi" w:eastAsia="Times New Roman" w:hAnsiTheme="minorHAnsi" w:cstheme="minorHAnsi"/>
          <w:i/>
          <w:iCs/>
          <w:szCs w:val="22"/>
        </w:rPr>
        <w:t>Approaches to limiting food loss and food waste</w:t>
      </w:r>
      <w:r w:rsidRPr="00FE1761">
        <w:rPr>
          <w:rFonts w:asciiTheme="minorHAnsi" w:eastAsia="Times New Roman" w:hAnsiTheme="minorHAnsi" w:cstheme="minorHAnsi"/>
          <w:szCs w:val="22"/>
        </w:rPr>
        <w:t xml:space="preserve">. In </w:t>
      </w:r>
      <w:r w:rsidRPr="00FE1761">
        <w:rPr>
          <w:rFonts w:asciiTheme="minorHAnsi" w:eastAsia="Times New Roman" w:hAnsiTheme="minorHAnsi" w:cstheme="minorHAnsi"/>
          <w:bCs/>
          <w:szCs w:val="22"/>
        </w:rPr>
        <w:t>Transitioning to zero hunger</w:t>
      </w:r>
      <w:r w:rsidRPr="00FE1761">
        <w:rPr>
          <w:rFonts w:asciiTheme="minorHAnsi" w:eastAsia="Times New Roman" w:hAnsiTheme="minorHAnsi" w:cstheme="minorHAnsi"/>
          <w:szCs w:val="22"/>
        </w:rPr>
        <w:t xml:space="preserve"> (pp. 215–244). MDPI. </w:t>
      </w:r>
      <w:hyperlink r:id="rId31" w:history="1">
        <w:r w:rsidR="00957858" w:rsidRPr="004B2764">
          <w:rPr>
            <w:rStyle w:val="Hyperlink"/>
            <w:rFonts w:asciiTheme="minorHAnsi" w:eastAsia="Times New Roman" w:hAnsiTheme="minorHAnsi" w:cstheme="minorHAnsi"/>
            <w:szCs w:val="22"/>
          </w:rPr>
          <w:t>https://doi.org/10.3390/books978-3-0365-XXXX-X</w:t>
        </w:r>
      </w:hyperlink>
    </w:p>
    <w:p w14:paraId="42C378AD" w14:textId="1D75FB49"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Basak, S.S., 2022. Food Consumption Pattern in Rural Bangladesh. </w:t>
      </w:r>
      <w:proofErr w:type="spellStart"/>
      <w:r w:rsidRPr="00FE1761">
        <w:rPr>
          <w:rFonts w:asciiTheme="minorHAnsi" w:hAnsiTheme="minorHAnsi" w:cstheme="minorHAnsi"/>
          <w:i/>
          <w:iCs/>
          <w:szCs w:val="22"/>
          <w:shd w:val="clear" w:color="auto" w:fill="FFFFFF"/>
        </w:rPr>
        <w:t>angladesh</w:t>
      </w:r>
      <w:proofErr w:type="spellEnd"/>
      <w:r w:rsidRPr="00FE1761">
        <w:rPr>
          <w:rFonts w:asciiTheme="minorHAnsi" w:hAnsiTheme="minorHAnsi" w:cstheme="minorHAnsi"/>
          <w:i/>
          <w:iCs/>
          <w:szCs w:val="22"/>
          <w:shd w:val="clear" w:color="auto" w:fill="FFFFFF"/>
        </w:rPr>
        <w:t xml:space="preserve"> </w:t>
      </w:r>
      <w:proofErr w:type="spellStart"/>
      <w:r w:rsidRPr="00FE1761">
        <w:rPr>
          <w:rFonts w:asciiTheme="minorHAnsi" w:hAnsiTheme="minorHAnsi" w:cstheme="minorHAnsi"/>
          <w:i/>
          <w:iCs/>
          <w:szCs w:val="22"/>
          <w:shd w:val="clear" w:color="auto" w:fill="FFFFFF"/>
        </w:rPr>
        <w:t>ournal</w:t>
      </w:r>
      <w:proofErr w:type="spellEnd"/>
      <w:r w:rsidRPr="00FE1761">
        <w:rPr>
          <w:rFonts w:asciiTheme="minorHAnsi" w:hAnsiTheme="minorHAnsi" w:cstheme="minorHAnsi"/>
          <w:i/>
          <w:iCs/>
          <w:szCs w:val="22"/>
          <w:shd w:val="clear" w:color="auto" w:fill="FFFFFF"/>
        </w:rPr>
        <w:t xml:space="preserve"> of </w:t>
      </w:r>
      <w:proofErr w:type="spellStart"/>
      <w:r w:rsidRPr="00FE1761">
        <w:rPr>
          <w:rFonts w:asciiTheme="minorHAnsi" w:hAnsiTheme="minorHAnsi" w:cstheme="minorHAnsi"/>
          <w:i/>
          <w:iCs/>
          <w:szCs w:val="22"/>
          <w:shd w:val="clear" w:color="auto" w:fill="FFFFFF"/>
        </w:rPr>
        <w:t>ublic</w:t>
      </w:r>
      <w:proofErr w:type="spellEnd"/>
      <w:r w:rsidRPr="00FE1761">
        <w:rPr>
          <w:rFonts w:asciiTheme="minorHAnsi" w:hAnsiTheme="minorHAnsi" w:cstheme="minorHAnsi"/>
          <w:i/>
          <w:iCs/>
          <w:szCs w:val="22"/>
          <w:shd w:val="clear" w:color="auto" w:fill="FFFFFF"/>
        </w:rPr>
        <w:t xml:space="preserve"> </w:t>
      </w:r>
      <w:proofErr w:type="spellStart"/>
      <w:r w:rsidRPr="00FE1761">
        <w:rPr>
          <w:rFonts w:asciiTheme="minorHAnsi" w:hAnsiTheme="minorHAnsi" w:cstheme="minorHAnsi"/>
          <w:i/>
          <w:iCs/>
          <w:szCs w:val="22"/>
          <w:shd w:val="clear" w:color="auto" w:fill="FFFFFF"/>
        </w:rPr>
        <w:t>dministration</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30</w:t>
      </w:r>
      <w:r w:rsidRPr="00FE1761">
        <w:rPr>
          <w:rFonts w:asciiTheme="minorHAnsi" w:hAnsiTheme="minorHAnsi" w:cstheme="minorHAnsi"/>
          <w:szCs w:val="22"/>
          <w:shd w:val="clear" w:color="auto" w:fill="FFFFFF"/>
        </w:rPr>
        <w:t xml:space="preserve">(4), p.34. </w:t>
      </w:r>
      <w:hyperlink r:id="rId32" w:history="1">
        <w:r w:rsidR="00957858" w:rsidRPr="004B2764">
          <w:rPr>
            <w:rStyle w:val="Hyperlink"/>
            <w:rFonts w:asciiTheme="minorHAnsi" w:hAnsiTheme="minorHAnsi" w:cstheme="minorHAnsi"/>
            <w:szCs w:val="22"/>
            <w:shd w:val="clear" w:color="auto" w:fill="FFFFFF"/>
          </w:rPr>
          <w:t>https://doi.org/10.36609/bjpa.v30i4.382</w:t>
        </w:r>
      </w:hyperlink>
    </w:p>
    <w:p w14:paraId="5FF95791" w14:textId="2AC6ACD2" w:rsidR="00FE1761" w:rsidRDefault="00FE1761" w:rsidP="00DC60AE">
      <w:pPr>
        <w:pStyle w:val="ListParagraph"/>
        <w:numPr>
          <w:ilvl w:val="0"/>
          <w:numId w:val="27"/>
        </w:numPr>
        <w:tabs>
          <w:tab w:val="left" w:pos="360"/>
        </w:tabs>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Begum, I.A., Alam, M.J., Shankar, B., Mastura, T., Cooper, G., Rich, K., Parikh, P., Ratna, N.N. and Kadiyala, S., 2025. Food safety knowledge, attitudes, and practices among vegetable handlers in Bangladesh. </w:t>
      </w:r>
      <w:r w:rsidRPr="00FE1761">
        <w:rPr>
          <w:rFonts w:asciiTheme="minorHAnsi" w:hAnsiTheme="minorHAnsi" w:cstheme="minorHAnsi"/>
          <w:i/>
          <w:iCs/>
          <w:szCs w:val="22"/>
          <w:shd w:val="clear" w:color="auto" w:fill="FFFFFF"/>
        </w:rPr>
        <w:t>Journal of food protection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88</w:t>
      </w:r>
      <w:r w:rsidRPr="00FE1761">
        <w:rPr>
          <w:rFonts w:asciiTheme="minorHAnsi" w:hAnsiTheme="minorHAnsi" w:cstheme="minorHAnsi"/>
          <w:szCs w:val="22"/>
          <w:shd w:val="clear" w:color="auto" w:fill="FFFFFF"/>
        </w:rPr>
        <w:t xml:space="preserve">(1), p.100428. </w:t>
      </w:r>
      <w:hyperlink r:id="rId33" w:history="1">
        <w:r w:rsidR="00957858" w:rsidRPr="004B2764">
          <w:rPr>
            <w:rStyle w:val="Hyperlink"/>
            <w:rFonts w:asciiTheme="minorHAnsi" w:hAnsiTheme="minorHAnsi" w:cstheme="minorHAnsi"/>
            <w:szCs w:val="22"/>
            <w:shd w:val="clear" w:color="auto" w:fill="FFFFFF"/>
          </w:rPr>
          <w:t>https://doi.org/10.1016/j.jfp.2024.100428</w:t>
        </w:r>
      </w:hyperlink>
    </w:p>
    <w:p w14:paraId="7BA143E4" w14:textId="7DE1FF9D"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Bi, A.Z., Gupta, I., Mahida, D., </w:t>
      </w:r>
      <w:proofErr w:type="spellStart"/>
      <w:r w:rsidRPr="00FE1761">
        <w:rPr>
          <w:rFonts w:asciiTheme="minorHAnsi" w:hAnsiTheme="minorHAnsi" w:cstheme="minorHAnsi"/>
          <w:sz w:val="22"/>
          <w:szCs w:val="22"/>
          <w:shd w:val="clear" w:color="auto" w:fill="FFFFFF"/>
        </w:rPr>
        <w:t>Isanovic</w:t>
      </w:r>
      <w:proofErr w:type="spellEnd"/>
      <w:r w:rsidRPr="00FE1761">
        <w:rPr>
          <w:rFonts w:asciiTheme="minorHAnsi" w:hAnsiTheme="minorHAnsi" w:cstheme="minorHAnsi"/>
          <w:sz w:val="22"/>
          <w:szCs w:val="22"/>
          <w:shd w:val="clear" w:color="auto" w:fill="FFFFFF"/>
        </w:rPr>
        <w:t xml:space="preserve">, S., </w:t>
      </w:r>
      <w:proofErr w:type="spellStart"/>
      <w:r w:rsidRPr="00FE1761">
        <w:rPr>
          <w:rFonts w:asciiTheme="minorHAnsi" w:hAnsiTheme="minorHAnsi" w:cstheme="minorHAnsi"/>
          <w:sz w:val="22"/>
          <w:szCs w:val="22"/>
          <w:shd w:val="clear" w:color="auto" w:fill="FFFFFF"/>
        </w:rPr>
        <w:t>Boncyk</w:t>
      </w:r>
      <w:proofErr w:type="spellEnd"/>
      <w:r w:rsidRPr="00FE1761">
        <w:rPr>
          <w:rFonts w:asciiTheme="minorHAnsi" w:hAnsiTheme="minorHAnsi" w:cstheme="minorHAnsi"/>
          <w:sz w:val="22"/>
          <w:szCs w:val="22"/>
          <w:shd w:val="clear" w:color="auto" w:fill="FFFFFF"/>
        </w:rPr>
        <w:t xml:space="preserve">, M., Kabir, A.N.M., Choudhury, S. and </w:t>
      </w:r>
      <w:proofErr w:type="spellStart"/>
      <w:r w:rsidRPr="00FE1761">
        <w:rPr>
          <w:rFonts w:asciiTheme="minorHAnsi" w:hAnsiTheme="minorHAnsi" w:cstheme="minorHAnsi"/>
          <w:sz w:val="22"/>
          <w:szCs w:val="22"/>
          <w:shd w:val="clear" w:color="auto" w:fill="FFFFFF"/>
        </w:rPr>
        <w:t>Veettil</w:t>
      </w:r>
      <w:proofErr w:type="spellEnd"/>
      <w:r w:rsidRPr="00FE1761">
        <w:rPr>
          <w:rFonts w:asciiTheme="minorHAnsi" w:hAnsiTheme="minorHAnsi" w:cstheme="minorHAnsi"/>
          <w:sz w:val="22"/>
          <w:szCs w:val="22"/>
          <w:shd w:val="clear" w:color="auto" w:fill="FFFFFF"/>
        </w:rPr>
        <w:t xml:space="preserve">, P.C., 2023. Food markets in Rangpur, Bangladesh: Retail shop characteristics. </w:t>
      </w:r>
      <w:hyperlink r:id="rId34" w:history="1">
        <w:r w:rsidR="00957858" w:rsidRPr="004B2764">
          <w:rPr>
            <w:rStyle w:val="Hyperlink"/>
            <w:rFonts w:asciiTheme="minorHAnsi" w:hAnsiTheme="minorHAnsi" w:cstheme="minorHAnsi"/>
            <w:sz w:val="22"/>
            <w:szCs w:val="22"/>
            <w:shd w:val="clear" w:color="auto" w:fill="FFFFFF"/>
          </w:rPr>
          <w:t>https://hdl.handle.net/10568/138789</w:t>
        </w:r>
      </w:hyperlink>
    </w:p>
    <w:p w14:paraId="74B68972" w14:textId="595FAA11"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rPr>
      </w:pPr>
      <w:proofErr w:type="spellStart"/>
      <w:r w:rsidRPr="00FE1761">
        <w:rPr>
          <w:rFonts w:asciiTheme="minorHAnsi" w:hAnsiTheme="minorHAnsi" w:cstheme="minorHAnsi"/>
          <w:sz w:val="22"/>
          <w:szCs w:val="22"/>
        </w:rPr>
        <w:t>Boliko</w:t>
      </w:r>
      <w:proofErr w:type="spellEnd"/>
      <w:r w:rsidRPr="00FE1761">
        <w:rPr>
          <w:rFonts w:asciiTheme="minorHAnsi" w:hAnsiTheme="minorHAnsi" w:cstheme="minorHAnsi"/>
          <w:sz w:val="22"/>
          <w:szCs w:val="22"/>
        </w:rPr>
        <w:t xml:space="preserve">, M.C., 2019. FAO and the situation of food security and nutrition in the world. Journal of nutritional science and </w:t>
      </w:r>
      <w:proofErr w:type="spellStart"/>
      <w:r w:rsidRPr="00FE1761">
        <w:rPr>
          <w:rFonts w:asciiTheme="minorHAnsi" w:hAnsiTheme="minorHAnsi" w:cstheme="minorHAnsi"/>
          <w:sz w:val="22"/>
          <w:szCs w:val="22"/>
        </w:rPr>
        <w:t>vitaminology</w:t>
      </w:r>
      <w:proofErr w:type="spellEnd"/>
      <w:r w:rsidRPr="00FE1761">
        <w:rPr>
          <w:rFonts w:asciiTheme="minorHAnsi" w:hAnsiTheme="minorHAnsi" w:cstheme="minorHAnsi"/>
          <w:sz w:val="22"/>
          <w:szCs w:val="22"/>
        </w:rPr>
        <w:t xml:space="preserve">, 65(Supplement), </w:t>
      </w:r>
      <w:proofErr w:type="gramStart"/>
      <w:r w:rsidRPr="00FE1761">
        <w:rPr>
          <w:rFonts w:asciiTheme="minorHAnsi" w:hAnsiTheme="minorHAnsi" w:cstheme="minorHAnsi"/>
          <w:sz w:val="22"/>
          <w:szCs w:val="22"/>
        </w:rPr>
        <w:t>pp.S</w:t>
      </w:r>
      <w:proofErr w:type="gramEnd"/>
      <w:r w:rsidRPr="00FE1761">
        <w:rPr>
          <w:rFonts w:asciiTheme="minorHAnsi" w:hAnsiTheme="minorHAnsi" w:cstheme="minorHAnsi"/>
          <w:sz w:val="22"/>
          <w:szCs w:val="22"/>
        </w:rPr>
        <w:t>4-S8.</w:t>
      </w:r>
      <w:r w:rsidR="00957858">
        <w:rPr>
          <w:rFonts w:asciiTheme="minorHAnsi" w:hAnsiTheme="minorHAnsi" w:cstheme="minorHAnsi"/>
          <w:sz w:val="22"/>
          <w:szCs w:val="22"/>
        </w:rPr>
        <w:t xml:space="preserve"> </w:t>
      </w:r>
      <w:hyperlink r:id="rId35" w:history="1">
        <w:r w:rsidR="00957858" w:rsidRPr="004B2764">
          <w:rPr>
            <w:rStyle w:val="Hyperlink"/>
            <w:rFonts w:asciiTheme="minorHAnsi" w:hAnsiTheme="minorHAnsi" w:cstheme="minorHAnsi"/>
            <w:sz w:val="22"/>
            <w:szCs w:val="22"/>
          </w:rPr>
          <w:t>https://doi.org/10.3177/jnsv.65.S4</w:t>
        </w:r>
      </w:hyperlink>
    </w:p>
    <w:p w14:paraId="19C3D1ED" w14:textId="1802DC1B" w:rsidR="00FE1761" w:rsidRPr="00957858" w:rsidRDefault="00FE1761" w:rsidP="00DC60AE">
      <w:pPr>
        <w:pStyle w:val="ListParagraph"/>
        <w:numPr>
          <w:ilvl w:val="0"/>
          <w:numId w:val="27"/>
        </w:numPr>
        <w:spacing w:after="0" w:line="240" w:lineRule="auto"/>
        <w:rPr>
          <w:rFonts w:asciiTheme="minorHAnsi" w:eastAsia="Times New Roman" w:hAnsiTheme="minorHAnsi" w:cstheme="minorHAnsi"/>
          <w:szCs w:val="22"/>
        </w:rPr>
      </w:pPr>
      <w:bookmarkStart w:id="3" w:name="_Hlk223276818"/>
      <w:r w:rsidRPr="00FE1761">
        <w:rPr>
          <w:rFonts w:asciiTheme="minorHAnsi" w:hAnsiTheme="minorHAnsi" w:cstheme="minorHAnsi"/>
          <w:szCs w:val="22"/>
          <w:shd w:val="clear" w:color="auto" w:fill="FFFFFF"/>
        </w:rPr>
        <w:t>Carvalho</w:t>
      </w:r>
      <w:bookmarkEnd w:id="3"/>
      <w:r w:rsidRPr="00FE1761">
        <w:rPr>
          <w:rFonts w:asciiTheme="minorHAnsi" w:hAnsiTheme="minorHAnsi" w:cstheme="minorHAnsi"/>
          <w:szCs w:val="22"/>
          <w:shd w:val="clear" w:color="auto" w:fill="FFFFFF"/>
        </w:rPr>
        <w:t>, R., Lucas, M.R. and Marta-Costa, A., 2025. Food waste reduction: A systematic literature review on integrating policies, consumer behavior, and innovation.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17</w:t>
      </w:r>
      <w:r w:rsidRPr="00FE1761">
        <w:rPr>
          <w:rFonts w:asciiTheme="minorHAnsi" w:hAnsiTheme="minorHAnsi" w:cstheme="minorHAnsi"/>
          <w:szCs w:val="22"/>
          <w:shd w:val="clear" w:color="auto" w:fill="FFFFFF"/>
        </w:rPr>
        <w:t xml:space="preserve">(7), p.3236. </w:t>
      </w:r>
      <w:hyperlink r:id="rId36" w:history="1">
        <w:r w:rsidR="00957858" w:rsidRPr="004B2764">
          <w:rPr>
            <w:rStyle w:val="Hyperlink"/>
            <w:rFonts w:asciiTheme="minorHAnsi" w:hAnsiTheme="minorHAnsi" w:cstheme="minorHAnsi"/>
            <w:szCs w:val="22"/>
            <w:shd w:val="clear" w:color="auto" w:fill="FFFFFF"/>
          </w:rPr>
          <w:t>https://doi.org/10.3390/su17073236</w:t>
        </w:r>
      </w:hyperlink>
    </w:p>
    <w:p w14:paraId="08594027" w14:textId="289CD630"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Chakma, S., </w:t>
      </w:r>
      <w:proofErr w:type="spellStart"/>
      <w:r w:rsidRPr="00FE1761">
        <w:rPr>
          <w:rFonts w:asciiTheme="minorHAnsi" w:hAnsiTheme="minorHAnsi" w:cstheme="minorHAnsi"/>
          <w:szCs w:val="22"/>
          <w:shd w:val="clear" w:color="auto" w:fill="FFFFFF"/>
        </w:rPr>
        <w:t>Ridaya</w:t>
      </w:r>
      <w:proofErr w:type="spellEnd"/>
      <w:r w:rsidRPr="00FE1761">
        <w:rPr>
          <w:rFonts w:asciiTheme="minorHAnsi" w:hAnsiTheme="minorHAnsi" w:cstheme="minorHAnsi"/>
          <w:szCs w:val="22"/>
          <w:shd w:val="clear" w:color="auto" w:fill="FFFFFF"/>
        </w:rPr>
        <w:t>, B.R., Debnath, S., Rahman, M.A., Hoque, M.S. and Roy, N., 2026. Food Safety and Hygiene Knowledge, Attitudes, and Practices among the Wet Fish, Dried Fish, and Semi-fermented Fish Handlers in Bangladesh. </w:t>
      </w:r>
      <w:r w:rsidRPr="00FE1761">
        <w:rPr>
          <w:rFonts w:asciiTheme="minorHAnsi" w:hAnsiTheme="minorHAnsi" w:cstheme="minorHAnsi"/>
          <w:i/>
          <w:iCs/>
          <w:szCs w:val="22"/>
          <w:shd w:val="clear" w:color="auto" w:fill="FFFFFF"/>
        </w:rPr>
        <w:t>Food Ethics</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11</w:t>
      </w:r>
      <w:r w:rsidRPr="00FE1761">
        <w:rPr>
          <w:rFonts w:asciiTheme="minorHAnsi" w:hAnsiTheme="minorHAnsi" w:cstheme="minorHAnsi"/>
          <w:szCs w:val="22"/>
          <w:shd w:val="clear" w:color="auto" w:fill="FFFFFF"/>
        </w:rPr>
        <w:t xml:space="preserve">(1), pp.1-29. </w:t>
      </w:r>
      <w:hyperlink r:id="rId37" w:history="1">
        <w:r w:rsidR="00957858" w:rsidRPr="004B2764">
          <w:rPr>
            <w:rStyle w:val="Hyperlink"/>
            <w:rFonts w:asciiTheme="minorHAnsi" w:hAnsiTheme="minorHAnsi" w:cstheme="minorHAnsi"/>
            <w:szCs w:val="22"/>
            <w:shd w:val="clear" w:color="auto" w:fill="FFFFFF"/>
          </w:rPr>
          <w:t>https://doi.org/10.1007/s41055-025-00183-z</w:t>
        </w:r>
      </w:hyperlink>
    </w:p>
    <w:p w14:paraId="62FEBD7B" w14:textId="076C7F01"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bookmarkStart w:id="4" w:name="_Hlk223279691"/>
      <w:r w:rsidRPr="00FE1761">
        <w:rPr>
          <w:rFonts w:asciiTheme="minorHAnsi" w:hAnsiTheme="minorHAnsi" w:cstheme="minorHAnsi"/>
          <w:sz w:val="22"/>
          <w:szCs w:val="22"/>
          <w:shd w:val="clear" w:color="auto" w:fill="FFFFFF"/>
        </w:rPr>
        <w:t>Choudhury</w:t>
      </w:r>
      <w:bookmarkEnd w:id="4"/>
      <w:r w:rsidRPr="00FE1761">
        <w:rPr>
          <w:rFonts w:asciiTheme="minorHAnsi" w:hAnsiTheme="minorHAnsi" w:cstheme="minorHAnsi"/>
          <w:sz w:val="22"/>
          <w:szCs w:val="22"/>
          <w:shd w:val="clear" w:color="auto" w:fill="FFFFFF"/>
        </w:rPr>
        <w:t>, D.K., Cooper, G.S., Rich, K.M., Shankar, B., Sadek, S., Ratna, N.N., Kadiyala, S. and Alam, M.J., 2024. Identifying value chain trade-offs from fruit and vegetable aggregation services in Bangladesh using a system dynamics approach. </w:t>
      </w:r>
      <w:proofErr w:type="spellStart"/>
      <w:r w:rsidRPr="00FE1761">
        <w:rPr>
          <w:rFonts w:asciiTheme="minorHAnsi" w:hAnsiTheme="minorHAnsi" w:cstheme="minorHAnsi"/>
          <w:i/>
          <w:iCs/>
          <w:sz w:val="22"/>
          <w:szCs w:val="22"/>
          <w:shd w:val="clear" w:color="auto" w:fill="FFFFFF"/>
        </w:rPr>
        <w:t>Plos</w:t>
      </w:r>
      <w:proofErr w:type="spellEnd"/>
      <w:r w:rsidRPr="00FE1761">
        <w:rPr>
          <w:rFonts w:asciiTheme="minorHAnsi" w:hAnsiTheme="minorHAnsi" w:cstheme="minorHAnsi"/>
          <w:i/>
          <w:iCs/>
          <w:sz w:val="22"/>
          <w:szCs w:val="22"/>
          <w:shd w:val="clear" w:color="auto" w:fill="FFFFFF"/>
        </w:rPr>
        <w:t xml:space="preserve"> one</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19</w:t>
      </w:r>
      <w:r w:rsidRPr="00FE1761">
        <w:rPr>
          <w:rFonts w:asciiTheme="minorHAnsi" w:hAnsiTheme="minorHAnsi" w:cstheme="minorHAnsi"/>
          <w:sz w:val="22"/>
          <w:szCs w:val="22"/>
          <w:shd w:val="clear" w:color="auto" w:fill="FFFFFF"/>
        </w:rPr>
        <w:t xml:space="preserve">(1), p.e0297509. </w:t>
      </w:r>
      <w:hyperlink r:id="rId38" w:history="1">
        <w:r w:rsidR="00957858" w:rsidRPr="004B2764">
          <w:rPr>
            <w:rStyle w:val="Hyperlink"/>
            <w:rFonts w:asciiTheme="minorHAnsi" w:hAnsiTheme="minorHAnsi" w:cstheme="minorHAnsi"/>
            <w:sz w:val="22"/>
            <w:szCs w:val="22"/>
            <w:shd w:val="clear" w:color="auto" w:fill="FFFFFF"/>
          </w:rPr>
          <w:t>https://doi.org/10.1371/journal.pone.0297509</w:t>
        </w:r>
      </w:hyperlink>
    </w:p>
    <w:p w14:paraId="61B8030E" w14:textId="42851AB6"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Chowdhury, M. A., Hossain, M. I., &amp; Begum, S. (2021). Food loss and waste in vegetable value chains of Bangladesh. </w:t>
      </w:r>
      <w:r w:rsidRPr="00FE1761">
        <w:rPr>
          <w:rStyle w:val="Emphasis"/>
          <w:rFonts w:asciiTheme="minorHAnsi" w:eastAsia="SimSun" w:hAnsiTheme="minorHAnsi" w:cstheme="minorHAnsi"/>
          <w:sz w:val="22"/>
          <w:szCs w:val="22"/>
        </w:rPr>
        <w:t>Sustainability, 13</w:t>
      </w:r>
      <w:r w:rsidRPr="00FE1761">
        <w:rPr>
          <w:rFonts w:asciiTheme="minorHAnsi" w:hAnsiTheme="minorHAnsi" w:cstheme="minorHAnsi"/>
          <w:sz w:val="22"/>
          <w:szCs w:val="22"/>
        </w:rPr>
        <w:t>(4), 2347.</w:t>
      </w:r>
      <w:r w:rsidR="00957858">
        <w:rPr>
          <w:rFonts w:asciiTheme="minorHAnsi" w:hAnsiTheme="minorHAnsi" w:cstheme="minorHAnsi"/>
          <w:sz w:val="22"/>
          <w:szCs w:val="22"/>
        </w:rPr>
        <w:t xml:space="preserve"> </w:t>
      </w:r>
      <w:hyperlink r:id="rId39" w:history="1">
        <w:r w:rsidR="00957858" w:rsidRPr="004B2764">
          <w:rPr>
            <w:rStyle w:val="Hyperlink"/>
            <w:rFonts w:asciiTheme="minorHAnsi" w:hAnsiTheme="minorHAnsi" w:cstheme="minorHAnsi"/>
            <w:sz w:val="22"/>
            <w:szCs w:val="22"/>
          </w:rPr>
          <w:t>https://doi.org/10.3390/su13042347</w:t>
        </w:r>
      </w:hyperlink>
    </w:p>
    <w:p w14:paraId="6B5A1516" w14:textId="3CD7B9DA" w:rsidR="00FE1761" w:rsidRP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r w:rsidRPr="00FE1761">
        <w:rPr>
          <w:rFonts w:asciiTheme="minorHAnsi" w:eastAsia="Times New Roman" w:hAnsiTheme="minorHAnsi" w:cstheme="minorHAnsi"/>
          <w:szCs w:val="22"/>
        </w:rPr>
        <w:t xml:space="preserve">Food and Agriculture Organization (FAO). (2020). </w:t>
      </w:r>
      <w:r w:rsidRPr="00FE1761">
        <w:rPr>
          <w:rFonts w:asciiTheme="minorHAnsi" w:eastAsia="Times New Roman" w:hAnsiTheme="minorHAnsi" w:cstheme="minorHAnsi"/>
          <w:i/>
          <w:iCs/>
          <w:szCs w:val="22"/>
        </w:rPr>
        <w:t>Food Loss Prevention in Perishable Crops.</w:t>
      </w:r>
      <w:r w:rsidRPr="00FE1761">
        <w:rPr>
          <w:rFonts w:asciiTheme="minorHAnsi" w:eastAsia="Times New Roman" w:hAnsiTheme="minorHAnsi" w:cstheme="minorHAnsi"/>
          <w:szCs w:val="22"/>
        </w:rPr>
        <w:t xml:space="preserve"> FAO.</w:t>
      </w:r>
      <w:r w:rsidR="00957858">
        <w:rPr>
          <w:rFonts w:asciiTheme="minorHAnsi" w:eastAsia="Times New Roman" w:hAnsiTheme="minorHAnsi" w:cstheme="minorHAnsi"/>
          <w:szCs w:val="22"/>
        </w:rPr>
        <w:t xml:space="preserve"> </w:t>
      </w:r>
      <w:hyperlink r:id="rId40" w:history="1">
        <w:r w:rsidR="00957858" w:rsidRPr="004B2764">
          <w:rPr>
            <w:rStyle w:val="Hyperlink"/>
            <w:rFonts w:asciiTheme="minorHAnsi" w:eastAsia="Times New Roman" w:hAnsiTheme="minorHAnsi" w:cstheme="minorHAnsi"/>
            <w:szCs w:val="22"/>
          </w:rPr>
          <w:t>http://www.fao.org/4/s8620e/s8620e06.htm</w:t>
        </w:r>
      </w:hyperlink>
    </w:p>
    <w:p w14:paraId="79E7E77F" w14:textId="6A8BF4BA"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Gatto, A. and </w:t>
      </w:r>
      <w:proofErr w:type="spellStart"/>
      <w:r w:rsidRPr="00FE1761">
        <w:rPr>
          <w:rFonts w:asciiTheme="minorHAnsi" w:hAnsiTheme="minorHAnsi" w:cstheme="minorHAnsi"/>
          <w:szCs w:val="22"/>
          <w:shd w:val="clear" w:color="auto" w:fill="FFFFFF"/>
        </w:rPr>
        <w:t>Chepeliev</w:t>
      </w:r>
      <w:proofErr w:type="spellEnd"/>
      <w:r w:rsidRPr="00FE1761">
        <w:rPr>
          <w:rFonts w:asciiTheme="minorHAnsi" w:hAnsiTheme="minorHAnsi" w:cstheme="minorHAnsi"/>
          <w:szCs w:val="22"/>
          <w:shd w:val="clear" w:color="auto" w:fill="FFFFFF"/>
        </w:rPr>
        <w:t>, M., 2024. Global food loss and waste estimates show increasing nutritional and environmental pressures. </w:t>
      </w:r>
      <w:r w:rsidRPr="00FE1761">
        <w:rPr>
          <w:rFonts w:asciiTheme="minorHAnsi" w:hAnsiTheme="minorHAnsi" w:cstheme="minorHAnsi"/>
          <w:i/>
          <w:iCs/>
          <w:szCs w:val="22"/>
          <w:shd w:val="clear" w:color="auto" w:fill="FFFFFF"/>
        </w:rPr>
        <w:t>Nature Food</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5</w:t>
      </w:r>
      <w:r w:rsidRPr="00FE1761">
        <w:rPr>
          <w:rFonts w:asciiTheme="minorHAnsi" w:hAnsiTheme="minorHAnsi" w:cstheme="minorHAnsi"/>
          <w:szCs w:val="22"/>
          <w:shd w:val="clear" w:color="auto" w:fill="FFFFFF"/>
        </w:rPr>
        <w:t xml:space="preserve">(2), pp.136-147. </w:t>
      </w:r>
      <w:hyperlink r:id="rId41" w:history="1">
        <w:r w:rsidR="00957858" w:rsidRPr="004B2764">
          <w:rPr>
            <w:rStyle w:val="Hyperlink"/>
            <w:rFonts w:asciiTheme="minorHAnsi" w:hAnsiTheme="minorHAnsi" w:cstheme="minorHAnsi"/>
            <w:szCs w:val="22"/>
            <w:shd w:val="clear" w:color="auto" w:fill="FFFFFF"/>
          </w:rPr>
          <w:t>https://doi.org/10.1038/s43016-023-00915-6</w:t>
        </w:r>
      </w:hyperlink>
    </w:p>
    <w:p w14:paraId="50A8F2BD" w14:textId="6DF23A77"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lastRenderedPageBreak/>
        <w:t xml:space="preserve">Gage, E., Wang, X., Xu, B., Foster, A., Evans, J., Terry, L.A. and </w:t>
      </w:r>
      <w:proofErr w:type="spellStart"/>
      <w:r w:rsidRPr="00FE1761">
        <w:rPr>
          <w:rFonts w:asciiTheme="minorHAnsi" w:hAnsiTheme="minorHAnsi" w:cstheme="minorHAnsi"/>
          <w:szCs w:val="22"/>
          <w:shd w:val="clear" w:color="auto" w:fill="FFFFFF"/>
        </w:rPr>
        <w:t>Falagán</w:t>
      </w:r>
      <w:proofErr w:type="spellEnd"/>
      <w:r w:rsidRPr="00FE1761">
        <w:rPr>
          <w:rFonts w:asciiTheme="minorHAnsi" w:hAnsiTheme="minorHAnsi" w:cstheme="minorHAnsi"/>
          <w:szCs w:val="22"/>
          <w:shd w:val="clear" w:color="auto" w:fill="FFFFFF"/>
        </w:rPr>
        <w:t>, N., 2024. Reducing food loss and waste contributes to energy, economic and environmental sustainability. </w:t>
      </w:r>
      <w:r w:rsidRPr="00FE1761">
        <w:rPr>
          <w:rFonts w:asciiTheme="minorHAnsi" w:hAnsiTheme="minorHAnsi" w:cstheme="minorHAnsi"/>
          <w:i/>
          <w:iCs/>
          <w:szCs w:val="22"/>
          <w:shd w:val="clear" w:color="auto" w:fill="FFFFFF"/>
        </w:rPr>
        <w:t>Journal of Cleaner Production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451</w:t>
      </w:r>
      <w:r w:rsidRPr="00FE1761">
        <w:rPr>
          <w:rFonts w:asciiTheme="minorHAnsi" w:hAnsiTheme="minorHAnsi" w:cstheme="minorHAnsi"/>
          <w:szCs w:val="22"/>
          <w:shd w:val="clear" w:color="auto" w:fill="FFFFFF"/>
        </w:rPr>
        <w:t>, p.142068.</w:t>
      </w:r>
      <w:r w:rsidR="00957858">
        <w:rPr>
          <w:rFonts w:asciiTheme="minorHAnsi" w:hAnsiTheme="minorHAnsi" w:cstheme="minorHAnsi"/>
          <w:szCs w:val="22"/>
          <w:shd w:val="clear" w:color="auto" w:fill="FFFFFF"/>
        </w:rPr>
        <w:t xml:space="preserve"> </w:t>
      </w:r>
      <w:hyperlink r:id="rId42" w:history="1">
        <w:r w:rsidR="00957858" w:rsidRPr="004B2764">
          <w:rPr>
            <w:rStyle w:val="Hyperlink"/>
            <w:rFonts w:asciiTheme="minorHAnsi" w:hAnsiTheme="minorHAnsi" w:cstheme="minorHAnsi"/>
            <w:szCs w:val="22"/>
            <w:shd w:val="clear" w:color="auto" w:fill="FFFFFF"/>
          </w:rPr>
          <w:t>https://doi.org/10.1016/j.jclepro.2024.142068</w:t>
        </w:r>
      </w:hyperlink>
    </w:p>
    <w:p w14:paraId="7C752362" w14:textId="4E2285BE"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Galford, G.L., Peña, O., Sullivan, A.K., Nash, J., </w:t>
      </w:r>
      <w:proofErr w:type="spellStart"/>
      <w:r w:rsidRPr="00FE1761">
        <w:rPr>
          <w:rFonts w:asciiTheme="minorHAnsi" w:hAnsiTheme="minorHAnsi" w:cstheme="minorHAnsi"/>
          <w:sz w:val="22"/>
          <w:szCs w:val="22"/>
          <w:shd w:val="clear" w:color="auto" w:fill="FFFFFF"/>
        </w:rPr>
        <w:t>Gurwick</w:t>
      </w:r>
      <w:proofErr w:type="spellEnd"/>
      <w:r w:rsidRPr="00FE1761">
        <w:rPr>
          <w:rFonts w:asciiTheme="minorHAnsi" w:hAnsiTheme="minorHAnsi" w:cstheme="minorHAnsi"/>
          <w:sz w:val="22"/>
          <w:szCs w:val="22"/>
          <w:shd w:val="clear" w:color="auto" w:fill="FFFFFF"/>
        </w:rPr>
        <w:t>, N., Pirolli, G., Richards, M., White, J. and Wollenberg, E., 2020. Agricultural development addresses food loss and waste while reducing greenhouse gas emissions. </w:t>
      </w:r>
      <w:r w:rsidRPr="00FE1761">
        <w:rPr>
          <w:rFonts w:asciiTheme="minorHAnsi" w:hAnsiTheme="minorHAnsi" w:cstheme="minorHAnsi"/>
          <w:i/>
          <w:iCs/>
          <w:sz w:val="22"/>
          <w:szCs w:val="22"/>
          <w:shd w:val="clear" w:color="auto" w:fill="FFFFFF"/>
        </w:rPr>
        <w:t>Science of The Total Environment</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699</w:t>
      </w:r>
      <w:r w:rsidRPr="00FE1761">
        <w:rPr>
          <w:rFonts w:asciiTheme="minorHAnsi" w:hAnsiTheme="minorHAnsi" w:cstheme="minorHAnsi"/>
          <w:sz w:val="22"/>
          <w:szCs w:val="22"/>
          <w:shd w:val="clear" w:color="auto" w:fill="FFFFFF"/>
        </w:rPr>
        <w:t xml:space="preserve">, p.134318. </w:t>
      </w:r>
      <w:hyperlink r:id="rId43" w:history="1">
        <w:r w:rsidR="00957858" w:rsidRPr="004B2764">
          <w:rPr>
            <w:rStyle w:val="Hyperlink"/>
            <w:rFonts w:asciiTheme="minorHAnsi" w:hAnsiTheme="minorHAnsi" w:cstheme="minorHAnsi"/>
            <w:sz w:val="22"/>
            <w:szCs w:val="22"/>
            <w:shd w:val="clear" w:color="auto" w:fill="FFFFFF"/>
          </w:rPr>
          <w:t>https://doi.org/10.1016/j.scitotenv.2019.134318</w:t>
        </w:r>
      </w:hyperlink>
    </w:p>
    <w:p w14:paraId="34DB67EE" w14:textId="5356C07A"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Guarnieri, P., de Aguiar, R.C., Thomé, K.M. and Watanabe, E.A.D.M., 2021. The role of logistics in food waste reduction in wholesalers and small retailers of fruits and vegetables: A multiple case study. </w:t>
      </w:r>
      <w:r w:rsidRPr="00FE1761">
        <w:rPr>
          <w:rFonts w:asciiTheme="minorHAnsi" w:hAnsiTheme="minorHAnsi" w:cstheme="minorHAnsi"/>
          <w:i/>
          <w:iCs/>
          <w:sz w:val="22"/>
          <w:szCs w:val="22"/>
          <w:shd w:val="clear" w:color="auto" w:fill="FFFFFF"/>
        </w:rPr>
        <w:t>Logistics</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5</w:t>
      </w:r>
      <w:r w:rsidRPr="00FE1761">
        <w:rPr>
          <w:rFonts w:asciiTheme="minorHAnsi" w:hAnsiTheme="minorHAnsi" w:cstheme="minorHAnsi"/>
          <w:sz w:val="22"/>
          <w:szCs w:val="22"/>
          <w:shd w:val="clear" w:color="auto" w:fill="FFFFFF"/>
        </w:rPr>
        <w:t xml:space="preserve">(4), p.77. </w:t>
      </w:r>
      <w:hyperlink r:id="rId44" w:history="1">
        <w:r w:rsidR="00957858" w:rsidRPr="004B2764">
          <w:rPr>
            <w:rStyle w:val="Hyperlink"/>
            <w:rFonts w:asciiTheme="minorHAnsi" w:hAnsiTheme="minorHAnsi" w:cstheme="minorHAnsi"/>
            <w:sz w:val="22"/>
            <w:szCs w:val="22"/>
            <w:shd w:val="clear" w:color="auto" w:fill="FFFFFF"/>
          </w:rPr>
          <w:t>https://doi.org/10.3390/logistics5040077</w:t>
        </w:r>
      </w:hyperlink>
    </w:p>
    <w:p w14:paraId="602EDCB7" w14:textId="287C2B88"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shd w:val="clear" w:color="auto" w:fill="FFFFFF"/>
        </w:rPr>
      </w:pPr>
      <w:r w:rsidRPr="00FE1761">
        <w:rPr>
          <w:rFonts w:asciiTheme="minorHAnsi" w:hAnsiTheme="minorHAnsi" w:cstheme="minorHAnsi"/>
          <w:sz w:val="22"/>
          <w:szCs w:val="22"/>
          <w:shd w:val="clear" w:color="auto" w:fill="FFFFFF"/>
        </w:rPr>
        <w:t xml:space="preserve">Guo, X., </w:t>
      </w:r>
      <w:proofErr w:type="spellStart"/>
      <w:r w:rsidRPr="00FE1761">
        <w:rPr>
          <w:rFonts w:asciiTheme="minorHAnsi" w:hAnsiTheme="minorHAnsi" w:cstheme="minorHAnsi"/>
          <w:sz w:val="22"/>
          <w:szCs w:val="22"/>
          <w:shd w:val="clear" w:color="auto" w:fill="FFFFFF"/>
        </w:rPr>
        <w:t>Broeze</w:t>
      </w:r>
      <w:proofErr w:type="spellEnd"/>
      <w:r w:rsidRPr="00FE1761">
        <w:rPr>
          <w:rFonts w:asciiTheme="minorHAnsi" w:hAnsiTheme="minorHAnsi" w:cstheme="minorHAnsi"/>
          <w:sz w:val="22"/>
          <w:szCs w:val="22"/>
          <w:shd w:val="clear" w:color="auto" w:fill="FFFFFF"/>
        </w:rPr>
        <w:t xml:space="preserve">, J., Groot, J.J., Axmann, H. and </w:t>
      </w:r>
      <w:proofErr w:type="spellStart"/>
      <w:r w:rsidRPr="00FE1761">
        <w:rPr>
          <w:rFonts w:asciiTheme="minorHAnsi" w:hAnsiTheme="minorHAnsi" w:cstheme="minorHAnsi"/>
          <w:sz w:val="22"/>
          <w:szCs w:val="22"/>
          <w:shd w:val="clear" w:color="auto" w:fill="FFFFFF"/>
        </w:rPr>
        <w:t>Vollebregt</w:t>
      </w:r>
      <w:proofErr w:type="spellEnd"/>
      <w:r w:rsidRPr="00FE1761">
        <w:rPr>
          <w:rFonts w:asciiTheme="minorHAnsi" w:hAnsiTheme="minorHAnsi" w:cstheme="minorHAnsi"/>
          <w:sz w:val="22"/>
          <w:szCs w:val="22"/>
          <w:shd w:val="clear" w:color="auto" w:fill="FFFFFF"/>
        </w:rPr>
        <w:t>, M., 2020. A worldwide hotspot analysis on food loss and waste, associated greenhouse gas emissions, and protein losses. </w:t>
      </w:r>
      <w:r w:rsidRPr="00FE1761">
        <w:rPr>
          <w:rFonts w:asciiTheme="minorHAnsi" w:hAnsiTheme="minorHAnsi" w:cstheme="minorHAnsi"/>
          <w:i/>
          <w:iCs/>
          <w:sz w:val="22"/>
          <w:szCs w:val="22"/>
          <w:shd w:val="clear" w:color="auto" w:fill="FFFFFF"/>
        </w:rPr>
        <w:t>Sustainability</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12</w:t>
      </w:r>
      <w:r w:rsidRPr="00FE1761">
        <w:rPr>
          <w:rFonts w:asciiTheme="minorHAnsi" w:hAnsiTheme="minorHAnsi" w:cstheme="minorHAnsi"/>
          <w:sz w:val="22"/>
          <w:szCs w:val="22"/>
          <w:shd w:val="clear" w:color="auto" w:fill="FFFFFF"/>
        </w:rPr>
        <w:t>(18), p.7488.</w:t>
      </w:r>
      <w:r w:rsidR="00957858">
        <w:rPr>
          <w:rFonts w:asciiTheme="minorHAnsi" w:hAnsiTheme="minorHAnsi" w:cstheme="minorHAnsi"/>
          <w:sz w:val="22"/>
          <w:szCs w:val="22"/>
          <w:shd w:val="clear" w:color="auto" w:fill="FFFFFF"/>
        </w:rPr>
        <w:t xml:space="preserve"> </w:t>
      </w:r>
      <w:hyperlink r:id="rId45" w:history="1">
        <w:r w:rsidR="00957858" w:rsidRPr="004B2764">
          <w:rPr>
            <w:rStyle w:val="Hyperlink"/>
            <w:rFonts w:asciiTheme="minorHAnsi" w:hAnsiTheme="minorHAnsi" w:cstheme="minorHAnsi"/>
            <w:sz w:val="22"/>
            <w:szCs w:val="22"/>
            <w:shd w:val="clear" w:color="auto" w:fill="FFFFFF"/>
          </w:rPr>
          <w:t>https://doi.org/10.3390/su12187488</w:t>
        </w:r>
      </w:hyperlink>
    </w:p>
    <w:p w14:paraId="00D64EB9" w14:textId="2153507F"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Gupta, S.R., Dagar, J.C. and </w:t>
      </w:r>
      <w:proofErr w:type="spellStart"/>
      <w:r w:rsidRPr="00FE1761">
        <w:rPr>
          <w:rFonts w:asciiTheme="minorHAnsi" w:hAnsiTheme="minorHAnsi" w:cstheme="minorHAnsi"/>
          <w:szCs w:val="22"/>
          <w:shd w:val="clear" w:color="auto" w:fill="FFFFFF"/>
        </w:rPr>
        <w:t>Teketay</w:t>
      </w:r>
      <w:proofErr w:type="spellEnd"/>
      <w:r w:rsidRPr="00FE1761">
        <w:rPr>
          <w:rFonts w:asciiTheme="minorHAnsi" w:hAnsiTheme="minorHAnsi" w:cstheme="minorHAnsi"/>
          <w:szCs w:val="22"/>
          <w:shd w:val="clear" w:color="auto" w:fill="FFFFFF"/>
        </w:rPr>
        <w:t>, D., 2020. Agroforestry for rehabilitation of degraded landscapes: achieving livelihood and environmental security. </w:t>
      </w:r>
      <w:r w:rsidRPr="00FE1761">
        <w:rPr>
          <w:rFonts w:asciiTheme="minorHAnsi" w:hAnsiTheme="minorHAnsi" w:cstheme="minorHAnsi"/>
          <w:i/>
          <w:iCs/>
          <w:szCs w:val="22"/>
          <w:shd w:val="clear" w:color="auto" w:fill="FFFFFF"/>
        </w:rPr>
        <w:t>Agroforestry for Degraded Landscapes: Recent Advances and Emerging Challenges-Vol. 1</w:t>
      </w:r>
      <w:r w:rsidRPr="00FE1761">
        <w:rPr>
          <w:rFonts w:asciiTheme="minorHAnsi" w:hAnsiTheme="minorHAnsi" w:cstheme="minorHAnsi"/>
          <w:szCs w:val="22"/>
          <w:shd w:val="clear" w:color="auto" w:fill="FFFFFF"/>
        </w:rPr>
        <w:t>, pp.23-68.</w:t>
      </w:r>
      <w:r w:rsidR="00957858">
        <w:rPr>
          <w:rFonts w:asciiTheme="minorHAnsi" w:hAnsiTheme="minorHAnsi" w:cstheme="minorHAnsi"/>
          <w:szCs w:val="22"/>
          <w:shd w:val="clear" w:color="auto" w:fill="FFFFFF"/>
        </w:rPr>
        <w:t xml:space="preserve"> </w:t>
      </w:r>
      <w:hyperlink r:id="rId46" w:history="1">
        <w:r w:rsidR="00957858" w:rsidRPr="004B2764">
          <w:rPr>
            <w:rStyle w:val="Hyperlink"/>
            <w:rFonts w:asciiTheme="minorHAnsi" w:hAnsiTheme="minorHAnsi" w:cstheme="minorHAnsi"/>
            <w:szCs w:val="22"/>
            <w:shd w:val="clear" w:color="auto" w:fill="FFFFFF"/>
          </w:rPr>
          <w:t>https://doi.org/10.1007/978-981-15-4136-0_2</w:t>
        </w:r>
      </w:hyperlink>
    </w:p>
    <w:p w14:paraId="3896B472" w14:textId="569F837A" w:rsidR="00FE1761" w:rsidRPr="00957858" w:rsidRDefault="00FE1761" w:rsidP="00DC60AE">
      <w:pPr>
        <w:pStyle w:val="ListParagraph"/>
        <w:numPr>
          <w:ilvl w:val="0"/>
          <w:numId w:val="27"/>
        </w:numPr>
        <w:tabs>
          <w:tab w:val="left" w:pos="360"/>
        </w:tabs>
        <w:spacing w:after="0" w:line="240" w:lineRule="auto"/>
        <w:rPr>
          <w:rFonts w:asciiTheme="minorHAnsi" w:hAnsiTheme="minorHAnsi" w:cstheme="minorHAnsi"/>
          <w:szCs w:val="22"/>
        </w:rPr>
      </w:pPr>
      <w:r w:rsidRPr="00FE1761">
        <w:rPr>
          <w:rFonts w:asciiTheme="minorHAnsi" w:hAnsiTheme="minorHAnsi" w:cstheme="minorHAnsi"/>
          <w:szCs w:val="22"/>
          <w:shd w:val="clear" w:color="auto" w:fill="FFFFFF"/>
        </w:rPr>
        <w:t>Haider, I. and Choubey, V.K., 2025. Identifying fruit and vegetable losses and waste causing factors in supply chain towards achieving sustainable consumption and production. </w:t>
      </w:r>
      <w:r w:rsidRPr="00FE1761">
        <w:rPr>
          <w:rFonts w:asciiTheme="minorHAnsi" w:hAnsiTheme="minorHAnsi" w:cstheme="minorHAnsi"/>
          <w:i/>
          <w:iCs/>
          <w:szCs w:val="22"/>
          <w:shd w:val="clear" w:color="auto" w:fill="FFFFFF"/>
        </w:rPr>
        <w:t>Environment, Development and 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27</w:t>
      </w:r>
      <w:r w:rsidRPr="00FE1761">
        <w:rPr>
          <w:rFonts w:asciiTheme="minorHAnsi" w:hAnsiTheme="minorHAnsi" w:cstheme="minorHAnsi"/>
          <w:szCs w:val="22"/>
          <w:shd w:val="clear" w:color="auto" w:fill="FFFFFF"/>
        </w:rPr>
        <w:t xml:space="preserve">(8), pp.19553-19582. </w:t>
      </w:r>
      <w:hyperlink r:id="rId47" w:history="1">
        <w:r w:rsidR="00957858" w:rsidRPr="004B2764">
          <w:rPr>
            <w:rStyle w:val="Hyperlink"/>
            <w:rFonts w:asciiTheme="minorHAnsi" w:hAnsiTheme="minorHAnsi" w:cstheme="minorHAnsi"/>
            <w:szCs w:val="22"/>
            <w:shd w:val="clear" w:color="auto" w:fill="FFFFFF"/>
          </w:rPr>
          <w:t>https://doi.org/10.1007/s10668-024-04668-5</w:t>
        </w:r>
      </w:hyperlink>
    </w:p>
    <w:p w14:paraId="08955DD3" w14:textId="13851CE4"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Haque, M.L., </w:t>
      </w:r>
      <w:proofErr w:type="spellStart"/>
      <w:r w:rsidRPr="00FE1761">
        <w:rPr>
          <w:rFonts w:asciiTheme="minorHAnsi" w:hAnsiTheme="minorHAnsi" w:cstheme="minorHAnsi"/>
          <w:sz w:val="22"/>
          <w:szCs w:val="22"/>
          <w:shd w:val="clear" w:color="auto" w:fill="FFFFFF"/>
        </w:rPr>
        <w:t>Oosterveer</w:t>
      </w:r>
      <w:proofErr w:type="spellEnd"/>
      <w:r w:rsidRPr="00FE1761">
        <w:rPr>
          <w:rFonts w:asciiTheme="minorHAnsi" w:hAnsiTheme="minorHAnsi" w:cstheme="minorHAnsi"/>
          <w:sz w:val="22"/>
          <w:szCs w:val="22"/>
          <w:shd w:val="clear" w:color="auto" w:fill="FFFFFF"/>
        </w:rPr>
        <w:t>, P., Reynolds, C. and Vignola, R., 2025. Does food safety governance in Bangladesh include the urban poor? An analysis of government strategies and policies for the retail food environment in Bangladesh, 2013–2022. </w:t>
      </w:r>
      <w:r w:rsidRPr="00FE1761">
        <w:rPr>
          <w:rFonts w:asciiTheme="minorHAnsi" w:hAnsiTheme="minorHAnsi" w:cstheme="minorHAnsi"/>
          <w:i/>
          <w:iCs/>
          <w:sz w:val="22"/>
          <w:szCs w:val="22"/>
          <w:shd w:val="clear" w:color="auto" w:fill="FFFFFF"/>
        </w:rPr>
        <w:t>Habitat International</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159</w:t>
      </w:r>
      <w:r w:rsidRPr="00FE1761">
        <w:rPr>
          <w:rFonts w:asciiTheme="minorHAnsi" w:hAnsiTheme="minorHAnsi" w:cstheme="minorHAnsi"/>
          <w:sz w:val="22"/>
          <w:szCs w:val="22"/>
          <w:shd w:val="clear" w:color="auto" w:fill="FFFFFF"/>
        </w:rPr>
        <w:t>, p.103372.</w:t>
      </w:r>
      <w:r w:rsidR="00957858">
        <w:rPr>
          <w:rFonts w:asciiTheme="minorHAnsi" w:hAnsiTheme="minorHAnsi" w:cstheme="minorHAnsi"/>
          <w:sz w:val="22"/>
          <w:szCs w:val="22"/>
          <w:shd w:val="clear" w:color="auto" w:fill="FFFFFF"/>
        </w:rPr>
        <w:t xml:space="preserve"> </w:t>
      </w:r>
      <w:hyperlink r:id="rId48" w:history="1">
        <w:r w:rsidR="00957858" w:rsidRPr="004B2764">
          <w:rPr>
            <w:rStyle w:val="Hyperlink"/>
            <w:rFonts w:asciiTheme="minorHAnsi" w:hAnsiTheme="minorHAnsi" w:cstheme="minorHAnsi"/>
            <w:sz w:val="22"/>
            <w:szCs w:val="22"/>
            <w:shd w:val="clear" w:color="auto" w:fill="FFFFFF"/>
          </w:rPr>
          <w:t>https://doi.org/10.1016/j.habitatint.2025.103372</w:t>
        </w:r>
      </w:hyperlink>
    </w:p>
    <w:p w14:paraId="653D0F83" w14:textId="6C3A74DB"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Hasan, M.M., Rahman, N., Islam, M.M., Ahmed, H.S., Mondal, S., Afroz, F. and Noman, M.A.A., 2025. Food safety practice and its associated factors among household food handlers in Patuakhali, Bangladesh: A cross-sectional study. </w:t>
      </w:r>
      <w:proofErr w:type="spellStart"/>
      <w:r w:rsidRPr="00FE1761">
        <w:rPr>
          <w:rFonts w:asciiTheme="minorHAnsi" w:hAnsiTheme="minorHAnsi" w:cstheme="minorHAnsi"/>
          <w:i/>
          <w:iCs/>
          <w:szCs w:val="22"/>
          <w:shd w:val="clear" w:color="auto" w:fill="FFFFFF"/>
        </w:rPr>
        <w:t>Plos</w:t>
      </w:r>
      <w:proofErr w:type="spellEnd"/>
      <w:r w:rsidRPr="00FE1761">
        <w:rPr>
          <w:rFonts w:asciiTheme="minorHAnsi" w:hAnsiTheme="minorHAnsi" w:cstheme="minorHAnsi"/>
          <w:i/>
          <w:iCs/>
          <w:szCs w:val="22"/>
          <w:shd w:val="clear" w:color="auto" w:fill="FFFFFF"/>
        </w:rPr>
        <w:t xml:space="preserve"> one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20</w:t>
      </w:r>
      <w:r w:rsidRPr="00FE1761">
        <w:rPr>
          <w:rFonts w:asciiTheme="minorHAnsi" w:hAnsiTheme="minorHAnsi" w:cstheme="minorHAnsi"/>
          <w:szCs w:val="22"/>
          <w:shd w:val="clear" w:color="auto" w:fill="FFFFFF"/>
        </w:rPr>
        <w:t>(6), p.e0326595.</w:t>
      </w:r>
      <w:r w:rsidR="00957858">
        <w:rPr>
          <w:rFonts w:asciiTheme="minorHAnsi" w:hAnsiTheme="minorHAnsi" w:cstheme="minorHAnsi"/>
          <w:szCs w:val="22"/>
          <w:shd w:val="clear" w:color="auto" w:fill="FFFFFF"/>
        </w:rPr>
        <w:t xml:space="preserve"> </w:t>
      </w:r>
      <w:hyperlink r:id="rId49" w:history="1">
        <w:r w:rsidR="00957858" w:rsidRPr="004B2764">
          <w:rPr>
            <w:rStyle w:val="Hyperlink"/>
            <w:rFonts w:asciiTheme="minorHAnsi" w:hAnsiTheme="minorHAnsi" w:cstheme="minorHAnsi"/>
            <w:szCs w:val="22"/>
            <w:shd w:val="clear" w:color="auto" w:fill="FFFFFF"/>
          </w:rPr>
          <w:t>https://doi.org/10.1371/journal.pone.0326595</w:t>
        </w:r>
      </w:hyperlink>
    </w:p>
    <w:p w14:paraId="728906B4" w14:textId="501F50D9"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Heydari, M., 2024. Cultivating sustainable global food supply chains: A multifaceted approach to mitigating food loss and waste for climate resilience. </w:t>
      </w:r>
      <w:r w:rsidRPr="00FE1761">
        <w:rPr>
          <w:rFonts w:asciiTheme="minorHAnsi" w:hAnsiTheme="minorHAnsi" w:cstheme="minorHAnsi"/>
          <w:i/>
          <w:iCs/>
          <w:sz w:val="22"/>
          <w:szCs w:val="22"/>
          <w:shd w:val="clear" w:color="auto" w:fill="FFFFFF"/>
        </w:rPr>
        <w:t>Journal of Cleaner Production</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442</w:t>
      </w:r>
      <w:r w:rsidRPr="00FE1761">
        <w:rPr>
          <w:rFonts w:asciiTheme="minorHAnsi" w:hAnsiTheme="minorHAnsi" w:cstheme="minorHAnsi"/>
          <w:sz w:val="22"/>
          <w:szCs w:val="22"/>
          <w:shd w:val="clear" w:color="auto" w:fill="FFFFFF"/>
        </w:rPr>
        <w:t xml:space="preserve">, p.141037. </w:t>
      </w:r>
      <w:hyperlink r:id="rId50" w:history="1">
        <w:r w:rsidR="00957858" w:rsidRPr="004B2764">
          <w:rPr>
            <w:rStyle w:val="Hyperlink"/>
            <w:rFonts w:asciiTheme="minorHAnsi" w:hAnsiTheme="minorHAnsi" w:cstheme="minorHAnsi"/>
            <w:sz w:val="22"/>
            <w:szCs w:val="22"/>
            <w:shd w:val="clear" w:color="auto" w:fill="FFFFFF"/>
          </w:rPr>
          <w:t>https://doi.org/10.1016/j.jclepro.2024.141037</w:t>
        </w:r>
      </w:hyperlink>
    </w:p>
    <w:p w14:paraId="0DD319BC" w14:textId="6C40B2C4"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Hossain, M.N., Islam, M.S., Abdullah, S.M., Alam, S.M. and Huque, R., 2023. Vegetables and fruits retailers in two urban areas of Bangladesh: Disruption due to COVID–19 and implications for NCDs. </w:t>
      </w:r>
      <w:proofErr w:type="spellStart"/>
      <w:r w:rsidRPr="00FE1761">
        <w:rPr>
          <w:rFonts w:asciiTheme="minorHAnsi" w:hAnsiTheme="minorHAnsi" w:cstheme="minorHAnsi"/>
          <w:i/>
          <w:iCs/>
          <w:sz w:val="22"/>
          <w:szCs w:val="22"/>
          <w:shd w:val="clear" w:color="auto" w:fill="FFFFFF"/>
        </w:rPr>
        <w:t>Plos</w:t>
      </w:r>
      <w:proofErr w:type="spellEnd"/>
      <w:r w:rsidRPr="00FE1761">
        <w:rPr>
          <w:rFonts w:asciiTheme="minorHAnsi" w:hAnsiTheme="minorHAnsi" w:cstheme="minorHAnsi"/>
          <w:i/>
          <w:iCs/>
          <w:sz w:val="22"/>
          <w:szCs w:val="22"/>
          <w:shd w:val="clear" w:color="auto" w:fill="FFFFFF"/>
        </w:rPr>
        <w:t xml:space="preserve"> one</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18</w:t>
      </w:r>
      <w:r w:rsidRPr="00FE1761">
        <w:rPr>
          <w:rFonts w:asciiTheme="minorHAnsi" w:hAnsiTheme="minorHAnsi" w:cstheme="minorHAnsi"/>
          <w:sz w:val="22"/>
          <w:szCs w:val="22"/>
          <w:shd w:val="clear" w:color="auto" w:fill="FFFFFF"/>
        </w:rPr>
        <w:t>(1), p.e0280188.</w:t>
      </w:r>
      <w:r w:rsidR="00957858">
        <w:rPr>
          <w:rFonts w:asciiTheme="minorHAnsi" w:hAnsiTheme="minorHAnsi" w:cstheme="minorHAnsi"/>
          <w:sz w:val="22"/>
          <w:szCs w:val="22"/>
          <w:shd w:val="clear" w:color="auto" w:fill="FFFFFF"/>
        </w:rPr>
        <w:t xml:space="preserve"> </w:t>
      </w:r>
      <w:hyperlink r:id="rId51" w:history="1">
        <w:r w:rsidR="00957858" w:rsidRPr="004B2764">
          <w:rPr>
            <w:rStyle w:val="Hyperlink"/>
            <w:rFonts w:asciiTheme="minorHAnsi" w:hAnsiTheme="minorHAnsi" w:cstheme="minorHAnsi"/>
            <w:sz w:val="22"/>
            <w:szCs w:val="22"/>
            <w:shd w:val="clear" w:color="auto" w:fill="FFFFFF"/>
          </w:rPr>
          <w:t>https://doi.org/10.1371/journal.pone.0280188</w:t>
        </w:r>
      </w:hyperlink>
    </w:p>
    <w:p w14:paraId="768EFBF6" w14:textId="44C3403B" w:rsidR="00FE1761" w:rsidRPr="00FE1761" w:rsidRDefault="00FE1761" w:rsidP="00DC60AE">
      <w:pPr>
        <w:pStyle w:val="ListParagraph"/>
        <w:numPr>
          <w:ilvl w:val="0"/>
          <w:numId w:val="27"/>
        </w:numPr>
        <w:tabs>
          <w:tab w:val="left" w:pos="360"/>
        </w:tabs>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Huang, C.H., Liu, S.M. and Hsu, N.Y., 2020. Understanding global food surplus and food waste to tackle economic and environmental sustainability.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12</w:t>
      </w:r>
      <w:r w:rsidRPr="00FE1761">
        <w:rPr>
          <w:rFonts w:asciiTheme="minorHAnsi" w:hAnsiTheme="minorHAnsi" w:cstheme="minorHAnsi"/>
          <w:szCs w:val="22"/>
          <w:shd w:val="clear" w:color="auto" w:fill="FFFFFF"/>
        </w:rPr>
        <w:t>(7), p.2892.</w:t>
      </w:r>
      <w:r w:rsidR="00957858">
        <w:rPr>
          <w:rFonts w:asciiTheme="minorHAnsi" w:hAnsiTheme="minorHAnsi" w:cstheme="minorHAnsi"/>
          <w:szCs w:val="22"/>
          <w:shd w:val="clear" w:color="auto" w:fill="FFFFFF"/>
        </w:rPr>
        <w:t xml:space="preserve"> </w:t>
      </w:r>
      <w:hyperlink r:id="rId52" w:history="1">
        <w:r w:rsidR="00957858" w:rsidRPr="004B2764">
          <w:rPr>
            <w:rStyle w:val="Hyperlink"/>
            <w:rFonts w:asciiTheme="minorHAnsi" w:hAnsiTheme="minorHAnsi" w:cstheme="minorHAnsi"/>
            <w:szCs w:val="22"/>
            <w:shd w:val="clear" w:color="auto" w:fill="FFFFFF"/>
          </w:rPr>
          <w:t>https://doi.org/10.3390/su12072892</w:t>
        </w:r>
      </w:hyperlink>
    </w:p>
    <w:p w14:paraId="6665152F" w14:textId="69FD3AEC" w:rsidR="00FE1761" w:rsidRDefault="00FE1761" w:rsidP="00DC60AE">
      <w:pPr>
        <w:pStyle w:val="ListParagraph"/>
        <w:numPr>
          <w:ilvl w:val="0"/>
          <w:numId w:val="27"/>
        </w:numPr>
        <w:tabs>
          <w:tab w:val="left" w:pos="920"/>
        </w:tabs>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Huang, I.Y., Manning, L., James, K.L., Grigoriadis, V., Millington, A., Wood, V. and Ward, S., 2021. Food waste management: A review of retailers’ business practices and their implications for sustainable value. </w:t>
      </w:r>
      <w:r w:rsidRPr="00FE1761">
        <w:rPr>
          <w:rFonts w:asciiTheme="minorHAnsi" w:hAnsiTheme="minorHAnsi" w:cstheme="minorHAnsi"/>
          <w:i/>
          <w:iCs/>
          <w:szCs w:val="22"/>
          <w:shd w:val="clear" w:color="auto" w:fill="FFFFFF"/>
        </w:rPr>
        <w:t>Journal of Cleaner Production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285</w:t>
      </w:r>
      <w:r w:rsidRPr="00FE1761">
        <w:rPr>
          <w:rFonts w:asciiTheme="minorHAnsi" w:hAnsiTheme="minorHAnsi" w:cstheme="minorHAnsi"/>
          <w:szCs w:val="22"/>
          <w:shd w:val="clear" w:color="auto" w:fill="FFFFFF"/>
        </w:rPr>
        <w:t xml:space="preserve">, p.125484. </w:t>
      </w:r>
      <w:hyperlink r:id="rId53" w:history="1">
        <w:r w:rsidR="00957858" w:rsidRPr="004B2764">
          <w:rPr>
            <w:rStyle w:val="Hyperlink"/>
            <w:rFonts w:asciiTheme="minorHAnsi" w:hAnsiTheme="minorHAnsi" w:cstheme="minorHAnsi"/>
            <w:szCs w:val="22"/>
            <w:shd w:val="clear" w:color="auto" w:fill="FFFFFF"/>
          </w:rPr>
          <w:t>https://doi.org/10.1016/j.jclepro.2020.125484</w:t>
        </w:r>
      </w:hyperlink>
    </w:p>
    <w:p w14:paraId="4EEA9FFD" w14:textId="1A755B6A" w:rsidR="00FE1761" w:rsidRPr="00957858" w:rsidRDefault="00FE1761" w:rsidP="00DC60AE">
      <w:pPr>
        <w:pStyle w:val="ListParagraph"/>
        <w:numPr>
          <w:ilvl w:val="0"/>
          <w:numId w:val="27"/>
        </w:numPr>
        <w:spacing w:after="0" w:line="240" w:lineRule="auto"/>
        <w:rPr>
          <w:rFonts w:asciiTheme="minorHAnsi" w:hAnsiTheme="minorHAnsi" w:cstheme="minorHAnsi"/>
          <w:szCs w:val="22"/>
        </w:rPr>
      </w:pPr>
      <w:r w:rsidRPr="00FE1761">
        <w:rPr>
          <w:rFonts w:asciiTheme="minorHAnsi" w:hAnsiTheme="minorHAnsi" w:cstheme="minorHAnsi"/>
          <w:szCs w:val="22"/>
          <w:shd w:val="clear" w:color="auto" w:fill="FFFFFF"/>
        </w:rPr>
        <w:t xml:space="preserve">Islam, K.N., Sultana, A., Wadley, D., </w:t>
      </w:r>
      <w:proofErr w:type="spellStart"/>
      <w:r w:rsidRPr="00FE1761">
        <w:rPr>
          <w:rFonts w:asciiTheme="minorHAnsi" w:hAnsiTheme="minorHAnsi" w:cstheme="minorHAnsi"/>
          <w:szCs w:val="22"/>
          <w:shd w:val="clear" w:color="auto" w:fill="FFFFFF"/>
        </w:rPr>
        <w:t>Dargusch</w:t>
      </w:r>
      <w:proofErr w:type="spellEnd"/>
      <w:r w:rsidRPr="00FE1761">
        <w:rPr>
          <w:rFonts w:asciiTheme="minorHAnsi" w:hAnsiTheme="minorHAnsi" w:cstheme="minorHAnsi"/>
          <w:szCs w:val="22"/>
          <w:shd w:val="clear" w:color="auto" w:fill="FFFFFF"/>
        </w:rPr>
        <w:t>, P., Henry, M. and Naito, Y., 2021. Opportunities for inclusive and efficient low carbon food system development in Bangladesh. </w:t>
      </w:r>
      <w:r w:rsidRPr="00FE1761">
        <w:rPr>
          <w:rFonts w:asciiTheme="minorHAnsi" w:hAnsiTheme="minorHAnsi" w:cstheme="minorHAnsi"/>
          <w:i/>
          <w:iCs/>
          <w:szCs w:val="22"/>
          <w:shd w:val="clear" w:color="auto" w:fill="FFFFFF"/>
        </w:rPr>
        <w:t>Journal of cleaner production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319</w:t>
      </w:r>
      <w:r w:rsidRPr="00FE1761">
        <w:rPr>
          <w:rFonts w:asciiTheme="minorHAnsi" w:hAnsiTheme="minorHAnsi" w:cstheme="minorHAnsi"/>
          <w:szCs w:val="22"/>
          <w:shd w:val="clear" w:color="auto" w:fill="FFFFFF"/>
        </w:rPr>
        <w:t xml:space="preserve">, p.128586. </w:t>
      </w:r>
      <w:hyperlink r:id="rId54" w:history="1">
        <w:r w:rsidR="00957858" w:rsidRPr="004B2764">
          <w:rPr>
            <w:rStyle w:val="Hyperlink"/>
            <w:rFonts w:asciiTheme="minorHAnsi" w:hAnsiTheme="minorHAnsi" w:cstheme="minorHAnsi"/>
            <w:szCs w:val="22"/>
            <w:shd w:val="clear" w:color="auto" w:fill="FFFFFF"/>
          </w:rPr>
          <w:t>https://doi.org/10.1016/j.jclepro.2021.128586</w:t>
        </w:r>
      </w:hyperlink>
    </w:p>
    <w:p w14:paraId="1A0886AD" w14:textId="33FCA9F4"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Islam, M.N., Roy, N., Amin, M.B., Madilo, F.K., Karmakar, K., Hossain, E., </w:t>
      </w:r>
      <w:proofErr w:type="spellStart"/>
      <w:r w:rsidRPr="00FE1761">
        <w:rPr>
          <w:rFonts w:asciiTheme="minorHAnsi" w:hAnsiTheme="minorHAnsi" w:cstheme="minorHAnsi"/>
          <w:szCs w:val="22"/>
          <w:shd w:val="clear" w:color="auto" w:fill="FFFFFF"/>
        </w:rPr>
        <w:t>Aktarujjaman</w:t>
      </w:r>
      <w:proofErr w:type="spellEnd"/>
      <w:r w:rsidRPr="00FE1761">
        <w:rPr>
          <w:rFonts w:asciiTheme="minorHAnsi" w:hAnsiTheme="minorHAnsi" w:cstheme="minorHAnsi"/>
          <w:szCs w:val="22"/>
          <w:shd w:val="clear" w:color="auto" w:fill="FFFFFF"/>
        </w:rPr>
        <w:t>, M., Islam, M.S. and Airin, N.J., 2023. Food safety knowledge and handling practices among household food handlers in Bangladesh: A cross-sectional study. </w:t>
      </w:r>
      <w:r w:rsidRPr="00FE1761">
        <w:rPr>
          <w:rFonts w:asciiTheme="minorHAnsi" w:hAnsiTheme="minorHAnsi" w:cstheme="minorHAnsi"/>
          <w:i/>
          <w:iCs/>
          <w:szCs w:val="22"/>
          <w:shd w:val="clear" w:color="auto" w:fill="FFFFFF"/>
        </w:rPr>
        <w:t>Food Control</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147</w:t>
      </w:r>
      <w:r w:rsidRPr="00FE1761">
        <w:rPr>
          <w:rFonts w:asciiTheme="minorHAnsi" w:hAnsiTheme="minorHAnsi" w:cstheme="minorHAnsi"/>
          <w:szCs w:val="22"/>
          <w:shd w:val="clear" w:color="auto" w:fill="FFFFFF"/>
        </w:rPr>
        <w:t xml:space="preserve">, p.109578. </w:t>
      </w:r>
      <w:hyperlink r:id="rId55" w:history="1">
        <w:r w:rsidR="00957858" w:rsidRPr="004B2764">
          <w:rPr>
            <w:rStyle w:val="Hyperlink"/>
            <w:rFonts w:asciiTheme="minorHAnsi" w:hAnsiTheme="minorHAnsi" w:cstheme="minorHAnsi"/>
            <w:szCs w:val="22"/>
            <w:shd w:val="clear" w:color="auto" w:fill="FFFFFF"/>
          </w:rPr>
          <w:t>https://doi.org/10.1016/j.foodcont.2022.109578</w:t>
        </w:r>
      </w:hyperlink>
    </w:p>
    <w:p w14:paraId="5423658D" w14:textId="15F8965A"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lastRenderedPageBreak/>
        <w:t>Islam, S., Tanjia, N., Mitra, A.K., Hossain, A., Jasika, M.T., Suhi, S.S. and Hossain, S.J., 2024. Inadequate food safety knowledge and hygiene practices among street food vendors in Dhaka, Bangladesh. </w:t>
      </w:r>
      <w:r w:rsidRPr="00FE1761">
        <w:rPr>
          <w:rFonts w:asciiTheme="minorHAnsi" w:hAnsiTheme="minorHAnsi" w:cstheme="minorHAnsi"/>
          <w:i/>
          <w:iCs/>
          <w:szCs w:val="22"/>
          <w:shd w:val="clear" w:color="auto" w:fill="FFFFFF"/>
        </w:rPr>
        <w:t>Scientific Reports</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w:t>
      </w:r>
      <w:r w:rsidRPr="00FE1761">
        <w:rPr>
          <w:rFonts w:asciiTheme="minorHAnsi" w:hAnsiTheme="minorHAnsi" w:cstheme="minorHAnsi"/>
          <w:szCs w:val="22"/>
          <w:shd w:val="clear" w:color="auto" w:fill="FFFFFF"/>
        </w:rPr>
        <w:t xml:space="preserve">(1), p.17349. </w:t>
      </w:r>
      <w:hyperlink r:id="rId56" w:history="1">
        <w:r w:rsidR="00957858" w:rsidRPr="004B2764">
          <w:rPr>
            <w:rStyle w:val="Hyperlink"/>
            <w:rFonts w:asciiTheme="minorHAnsi" w:hAnsiTheme="minorHAnsi" w:cstheme="minorHAnsi"/>
            <w:szCs w:val="22"/>
            <w:shd w:val="clear" w:color="auto" w:fill="FFFFFF"/>
          </w:rPr>
          <w:t>https://doi.org/10.1038/s41598-024-68099-y</w:t>
        </w:r>
      </w:hyperlink>
    </w:p>
    <w:p w14:paraId="6CFBAFBB" w14:textId="409EDA11"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Jahan, S.M., 2023. </w:t>
      </w:r>
      <w:r w:rsidRPr="00FE1761">
        <w:rPr>
          <w:rFonts w:asciiTheme="minorHAnsi" w:hAnsiTheme="minorHAnsi" w:cstheme="minorHAnsi"/>
          <w:i/>
          <w:iCs/>
          <w:sz w:val="22"/>
          <w:szCs w:val="22"/>
          <w:shd w:val="clear" w:color="auto" w:fill="FFFFFF"/>
        </w:rPr>
        <w:t>Food loss in international trade in the Asia-Pacific Region: country case study on Bangladesh</w:t>
      </w:r>
      <w:r w:rsidRPr="00FE1761">
        <w:rPr>
          <w:rFonts w:asciiTheme="minorHAnsi" w:hAnsiTheme="minorHAnsi" w:cstheme="minorHAnsi"/>
          <w:sz w:val="22"/>
          <w:szCs w:val="22"/>
          <w:shd w:val="clear" w:color="auto" w:fill="FFFFFF"/>
        </w:rPr>
        <w:t xml:space="preserve"> (No. 226). </w:t>
      </w:r>
      <w:proofErr w:type="spellStart"/>
      <w:r w:rsidRPr="00FE1761">
        <w:rPr>
          <w:rFonts w:asciiTheme="minorHAnsi" w:hAnsiTheme="minorHAnsi" w:cstheme="minorHAnsi"/>
          <w:sz w:val="22"/>
          <w:szCs w:val="22"/>
          <w:shd w:val="clear" w:color="auto" w:fill="FFFFFF"/>
        </w:rPr>
        <w:t>ARTNeT</w:t>
      </w:r>
      <w:proofErr w:type="spellEnd"/>
      <w:r w:rsidRPr="00FE1761">
        <w:rPr>
          <w:rFonts w:asciiTheme="minorHAnsi" w:hAnsiTheme="minorHAnsi" w:cstheme="minorHAnsi"/>
          <w:sz w:val="22"/>
          <w:szCs w:val="22"/>
          <w:shd w:val="clear" w:color="auto" w:fill="FFFFFF"/>
        </w:rPr>
        <w:t xml:space="preserve"> Working Paper Series.</w:t>
      </w:r>
      <w:r w:rsidR="00957858">
        <w:rPr>
          <w:rFonts w:asciiTheme="minorHAnsi" w:hAnsiTheme="minorHAnsi" w:cstheme="minorHAnsi"/>
          <w:sz w:val="22"/>
          <w:szCs w:val="22"/>
          <w:shd w:val="clear" w:color="auto" w:fill="FFFFFF"/>
        </w:rPr>
        <w:t xml:space="preserve"> </w:t>
      </w:r>
      <w:hyperlink r:id="rId57" w:history="1">
        <w:r w:rsidR="00957858" w:rsidRPr="004B2764">
          <w:rPr>
            <w:rStyle w:val="Hyperlink"/>
            <w:rFonts w:asciiTheme="minorHAnsi" w:hAnsiTheme="minorHAnsi" w:cstheme="minorHAnsi"/>
            <w:sz w:val="22"/>
            <w:szCs w:val="22"/>
            <w:shd w:val="clear" w:color="auto" w:fill="FFFFFF"/>
          </w:rPr>
          <w:t>https://hdl.handle.net/10419/273545</w:t>
        </w:r>
      </w:hyperlink>
    </w:p>
    <w:p w14:paraId="0E918D27" w14:textId="2CDC4BB7"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Joshi, D., Schulze, P., Amin, M.N., Gallant, B., </w:t>
      </w:r>
      <w:proofErr w:type="spellStart"/>
      <w:r w:rsidRPr="00FE1761">
        <w:rPr>
          <w:rFonts w:asciiTheme="minorHAnsi" w:hAnsiTheme="minorHAnsi" w:cstheme="minorHAnsi"/>
          <w:sz w:val="22"/>
          <w:szCs w:val="22"/>
          <w:shd w:val="clear" w:color="auto" w:fill="FFFFFF"/>
        </w:rPr>
        <w:t>Aheeyar</w:t>
      </w:r>
      <w:proofErr w:type="spellEnd"/>
      <w:r w:rsidRPr="00FE1761">
        <w:rPr>
          <w:rFonts w:asciiTheme="minorHAnsi" w:hAnsiTheme="minorHAnsi" w:cstheme="minorHAnsi"/>
          <w:sz w:val="22"/>
          <w:szCs w:val="22"/>
          <w:shd w:val="clear" w:color="auto" w:fill="FFFFFF"/>
        </w:rPr>
        <w:t>, M., Rahman, M., Garrett, J. and Sarker, M.R., 2025. Agri-Food System Governance in Bangladesh’s Coastal Regions: Why the Socio-Ecological Systems Approach Needs to Be Politicized. </w:t>
      </w:r>
      <w:r w:rsidRPr="00FE1761">
        <w:rPr>
          <w:rFonts w:asciiTheme="minorHAnsi" w:hAnsiTheme="minorHAnsi" w:cstheme="minorHAnsi"/>
          <w:i/>
          <w:iCs/>
          <w:sz w:val="22"/>
          <w:szCs w:val="22"/>
          <w:shd w:val="clear" w:color="auto" w:fill="FFFFFF"/>
        </w:rPr>
        <w:t>International Journal of Water Governance</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12</w:t>
      </w:r>
      <w:r w:rsidRPr="00FE1761">
        <w:rPr>
          <w:rFonts w:asciiTheme="minorHAnsi" w:hAnsiTheme="minorHAnsi" w:cstheme="minorHAnsi"/>
          <w:sz w:val="22"/>
          <w:szCs w:val="22"/>
          <w:shd w:val="clear" w:color="auto" w:fill="FFFFFF"/>
        </w:rPr>
        <w:t xml:space="preserve">. </w:t>
      </w:r>
      <w:hyperlink r:id="rId58" w:history="1">
        <w:r w:rsidR="00957858" w:rsidRPr="004B2764">
          <w:rPr>
            <w:rStyle w:val="Hyperlink"/>
            <w:rFonts w:asciiTheme="minorHAnsi" w:hAnsiTheme="minorHAnsi" w:cstheme="minorHAnsi"/>
            <w:sz w:val="22"/>
            <w:szCs w:val="22"/>
            <w:shd w:val="clear" w:color="auto" w:fill="FFFFFF"/>
          </w:rPr>
          <w:t>https://doi.org/10.59490/ijwg.12.2025.7772</w:t>
        </w:r>
      </w:hyperlink>
    </w:p>
    <w:p w14:paraId="00E0BA28" w14:textId="21137A94"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Khanam, S., Sultana, T. and Ferdous, Z., 2021. Retail Food Waste: Existing Research and Research Gap. </w:t>
      </w:r>
      <w:r w:rsidRPr="00FE1761">
        <w:rPr>
          <w:rFonts w:asciiTheme="minorHAnsi" w:hAnsiTheme="minorHAnsi" w:cstheme="minorHAnsi"/>
          <w:i/>
          <w:iCs/>
          <w:sz w:val="22"/>
          <w:szCs w:val="22"/>
          <w:shd w:val="clear" w:color="auto" w:fill="FFFFFF"/>
        </w:rPr>
        <w:t>Stud</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6</w:t>
      </w:r>
      <w:r w:rsidRPr="00FE1761">
        <w:rPr>
          <w:rFonts w:asciiTheme="minorHAnsi" w:hAnsiTheme="minorHAnsi" w:cstheme="minorHAnsi"/>
          <w:sz w:val="22"/>
          <w:szCs w:val="22"/>
          <w:shd w:val="clear" w:color="auto" w:fill="FFFFFF"/>
        </w:rPr>
        <w:t xml:space="preserve">(5), p.555696.  </w:t>
      </w:r>
      <w:hyperlink r:id="rId59" w:history="1">
        <w:r w:rsidR="00957858" w:rsidRPr="004B2764">
          <w:rPr>
            <w:rStyle w:val="Hyperlink"/>
            <w:rFonts w:asciiTheme="minorHAnsi" w:hAnsiTheme="minorHAnsi" w:cstheme="minorHAnsi"/>
            <w:sz w:val="22"/>
            <w:szCs w:val="22"/>
            <w:shd w:val="clear" w:color="auto" w:fill="FFFFFF"/>
          </w:rPr>
          <w:t>https://doi.org/10.19080/ASM.2021.06.555696</w:t>
        </w:r>
      </w:hyperlink>
    </w:p>
    <w:p w14:paraId="485251B8" w14:textId="2DF21713" w:rsidR="00FE1761" w:rsidRP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bookmarkStart w:id="5" w:name="_Hlk216551360"/>
      <w:r w:rsidRPr="00FE1761">
        <w:rPr>
          <w:rFonts w:asciiTheme="minorHAnsi" w:hAnsiTheme="minorHAnsi" w:cstheme="minorHAnsi"/>
          <w:szCs w:val="22"/>
          <w:shd w:val="clear" w:color="auto" w:fill="FFFFFF"/>
        </w:rPr>
        <w:t>Kohli, K., Prajapati, R., Shah, R., Das, M. and Sharma, B.K., 2024. Food waste: environmental impact and possible solutions. </w:t>
      </w:r>
      <w:r w:rsidRPr="00FE1761">
        <w:rPr>
          <w:rFonts w:asciiTheme="minorHAnsi" w:hAnsiTheme="minorHAnsi" w:cstheme="minorHAnsi"/>
          <w:i/>
          <w:iCs/>
          <w:szCs w:val="22"/>
          <w:shd w:val="clear" w:color="auto" w:fill="FFFFFF"/>
        </w:rPr>
        <w:t>Sustainable Food Technology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w:t>
      </w:r>
      <w:r w:rsidRPr="00FE1761">
        <w:rPr>
          <w:rFonts w:asciiTheme="minorHAnsi" w:hAnsiTheme="minorHAnsi" w:cstheme="minorHAnsi"/>
          <w:szCs w:val="22"/>
          <w:shd w:val="clear" w:color="auto" w:fill="FFFFFF"/>
        </w:rPr>
        <w:t>(1), pp.70-80.</w:t>
      </w:r>
      <w:r w:rsidR="00957858">
        <w:rPr>
          <w:rFonts w:asciiTheme="minorHAnsi" w:hAnsiTheme="minorHAnsi" w:cstheme="minorHAnsi"/>
          <w:szCs w:val="22"/>
          <w:shd w:val="clear" w:color="auto" w:fill="FFFFFF"/>
        </w:rPr>
        <w:t xml:space="preserve"> </w:t>
      </w:r>
      <w:hyperlink r:id="rId60" w:history="1">
        <w:r w:rsidR="00957858" w:rsidRPr="004B2764">
          <w:rPr>
            <w:rStyle w:val="Hyperlink"/>
            <w:rFonts w:asciiTheme="minorHAnsi" w:hAnsiTheme="minorHAnsi" w:cstheme="minorHAnsi"/>
            <w:szCs w:val="22"/>
            <w:shd w:val="clear" w:color="auto" w:fill="FFFFFF"/>
          </w:rPr>
          <w:t>https://doi.org/10.1039/D3FB00141E</w:t>
        </w:r>
      </w:hyperlink>
    </w:p>
    <w:p w14:paraId="1915DABC" w14:textId="0C836E7A"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Kunwar, A., Bist, D.R., Khatri, L., Dhami, R. and Joshi, G.R., 2024. Optimizing post-harvest handling practices to reduce losses and enhance quality of fruits and vegetables. </w:t>
      </w:r>
      <w:r w:rsidRPr="00FE1761">
        <w:rPr>
          <w:rFonts w:asciiTheme="minorHAnsi" w:hAnsiTheme="minorHAnsi" w:cstheme="minorHAnsi"/>
          <w:i/>
          <w:iCs/>
          <w:sz w:val="22"/>
          <w:szCs w:val="22"/>
          <w:shd w:val="clear" w:color="auto" w:fill="FFFFFF"/>
        </w:rPr>
        <w:t>Food and Agri Economics Review</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2</w:t>
      </w:r>
      <w:r w:rsidRPr="00FE1761">
        <w:rPr>
          <w:rFonts w:asciiTheme="minorHAnsi" w:hAnsiTheme="minorHAnsi" w:cstheme="minorHAnsi"/>
          <w:sz w:val="22"/>
          <w:szCs w:val="22"/>
          <w:shd w:val="clear" w:color="auto" w:fill="FFFFFF"/>
        </w:rPr>
        <w:t>, pp.54-58.</w:t>
      </w:r>
      <w:r w:rsidR="00957858">
        <w:rPr>
          <w:rFonts w:asciiTheme="minorHAnsi" w:hAnsiTheme="minorHAnsi" w:cstheme="minorHAnsi"/>
          <w:sz w:val="22"/>
          <w:szCs w:val="22"/>
          <w:shd w:val="clear" w:color="auto" w:fill="FFFFFF"/>
        </w:rPr>
        <w:t xml:space="preserve"> </w:t>
      </w:r>
      <w:hyperlink r:id="rId61" w:history="1">
        <w:r w:rsidR="00957858" w:rsidRPr="004B2764">
          <w:rPr>
            <w:rStyle w:val="Hyperlink"/>
            <w:rFonts w:asciiTheme="minorHAnsi" w:hAnsiTheme="minorHAnsi" w:cstheme="minorHAnsi"/>
            <w:sz w:val="22"/>
            <w:szCs w:val="22"/>
            <w:shd w:val="clear" w:color="auto" w:fill="FFFFFF"/>
          </w:rPr>
          <w:t>http://doi.org/10.26480/faer.02.2024.78.82</w:t>
        </w:r>
      </w:hyperlink>
    </w:p>
    <w:p w14:paraId="767529E6" w14:textId="075F0A6D"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Kushitor</w:t>
      </w:r>
      <w:proofErr w:type="spellEnd"/>
      <w:r w:rsidRPr="00FE1761">
        <w:rPr>
          <w:rFonts w:asciiTheme="minorHAnsi" w:hAnsiTheme="minorHAnsi" w:cstheme="minorHAnsi"/>
          <w:szCs w:val="22"/>
          <w:shd w:val="clear" w:color="auto" w:fill="FFFFFF"/>
        </w:rPr>
        <w:t xml:space="preserve">, S.B., Badu, M., </w:t>
      </w:r>
      <w:proofErr w:type="spellStart"/>
      <w:r w:rsidRPr="00FE1761">
        <w:rPr>
          <w:rFonts w:asciiTheme="minorHAnsi" w:hAnsiTheme="minorHAnsi" w:cstheme="minorHAnsi"/>
          <w:szCs w:val="22"/>
          <w:shd w:val="clear" w:color="auto" w:fill="FFFFFF"/>
        </w:rPr>
        <w:t>Kushitor</w:t>
      </w:r>
      <w:proofErr w:type="spellEnd"/>
      <w:r w:rsidRPr="00FE1761">
        <w:rPr>
          <w:rFonts w:asciiTheme="minorHAnsi" w:hAnsiTheme="minorHAnsi" w:cstheme="minorHAnsi"/>
          <w:szCs w:val="22"/>
          <w:shd w:val="clear" w:color="auto" w:fill="FFFFFF"/>
        </w:rPr>
        <w:t>, M.K. and Currie, P., 2022. “Working with little:” Access to market infrastructure and its effect on food handling and food safety among vegetable traders in an African city. </w:t>
      </w:r>
      <w:r w:rsidRPr="00FE1761">
        <w:rPr>
          <w:rFonts w:asciiTheme="minorHAnsi" w:hAnsiTheme="minorHAnsi" w:cstheme="minorHAnsi"/>
          <w:i/>
          <w:iCs/>
          <w:szCs w:val="22"/>
          <w:shd w:val="clear" w:color="auto" w:fill="FFFFFF"/>
        </w:rPr>
        <w:t>Frontiers in Sustainable Food Systems</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6</w:t>
      </w:r>
      <w:r w:rsidRPr="00FE1761">
        <w:rPr>
          <w:rFonts w:asciiTheme="minorHAnsi" w:hAnsiTheme="minorHAnsi" w:cstheme="minorHAnsi"/>
          <w:szCs w:val="22"/>
          <w:shd w:val="clear" w:color="auto" w:fill="FFFFFF"/>
        </w:rPr>
        <w:t>, p.724190.</w:t>
      </w:r>
      <w:r w:rsidR="00957858">
        <w:rPr>
          <w:rFonts w:asciiTheme="minorHAnsi" w:hAnsiTheme="minorHAnsi" w:cstheme="minorHAnsi"/>
          <w:szCs w:val="22"/>
          <w:shd w:val="clear" w:color="auto" w:fill="FFFFFF"/>
        </w:rPr>
        <w:t xml:space="preserve"> </w:t>
      </w:r>
      <w:hyperlink r:id="rId62" w:history="1">
        <w:r w:rsidR="00957858" w:rsidRPr="004B2764">
          <w:rPr>
            <w:rStyle w:val="Hyperlink"/>
            <w:rFonts w:asciiTheme="minorHAnsi" w:hAnsiTheme="minorHAnsi" w:cstheme="minorHAnsi"/>
            <w:szCs w:val="22"/>
            <w:shd w:val="clear" w:color="auto" w:fill="FFFFFF"/>
          </w:rPr>
          <w:t>https://doi.org/10.3389/fsufs.2022.724190</w:t>
        </w:r>
      </w:hyperlink>
    </w:p>
    <w:p w14:paraId="07D540F6" w14:textId="18171081"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Lingkon</w:t>
      </w:r>
      <w:proofErr w:type="spellEnd"/>
      <w:r w:rsidRPr="00FE1761">
        <w:rPr>
          <w:rFonts w:asciiTheme="minorHAnsi" w:hAnsiTheme="minorHAnsi" w:cstheme="minorHAnsi"/>
          <w:szCs w:val="22"/>
          <w:shd w:val="clear" w:color="auto" w:fill="FFFFFF"/>
        </w:rPr>
        <w:t xml:space="preserve">, M.L.R., </w:t>
      </w:r>
      <w:proofErr w:type="spellStart"/>
      <w:r w:rsidRPr="00FE1761">
        <w:rPr>
          <w:rFonts w:asciiTheme="minorHAnsi" w:hAnsiTheme="minorHAnsi" w:cstheme="minorHAnsi"/>
          <w:szCs w:val="22"/>
          <w:shd w:val="clear" w:color="auto" w:fill="FFFFFF"/>
        </w:rPr>
        <w:t>Asadujjaman</w:t>
      </w:r>
      <w:proofErr w:type="spellEnd"/>
      <w:r w:rsidRPr="00FE1761">
        <w:rPr>
          <w:rFonts w:asciiTheme="minorHAnsi" w:hAnsiTheme="minorHAnsi" w:cstheme="minorHAnsi"/>
          <w:szCs w:val="22"/>
          <w:shd w:val="clear" w:color="auto" w:fill="FFFFFF"/>
        </w:rPr>
        <w:t>, M. and Dash, A., 2025, March. An Integrated Model for Freshness, Cost Reduction, and Carbon Footprint Minimization of an Efficient Supply Chain Management for Perishable Goods. In </w:t>
      </w:r>
      <w:r w:rsidRPr="00FE1761">
        <w:rPr>
          <w:rFonts w:asciiTheme="minorHAnsi" w:hAnsiTheme="minorHAnsi" w:cstheme="minorHAnsi"/>
          <w:i/>
          <w:iCs/>
          <w:szCs w:val="22"/>
          <w:shd w:val="clear" w:color="auto" w:fill="FFFFFF"/>
        </w:rPr>
        <w:t>Operations Research Forum</w:t>
      </w:r>
      <w:r w:rsidRPr="00FE1761">
        <w:rPr>
          <w:rFonts w:asciiTheme="minorHAnsi" w:hAnsiTheme="minorHAnsi" w:cstheme="minorHAnsi"/>
          <w:szCs w:val="22"/>
          <w:shd w:val="clear" w:color="auto" w:fill="FFFFFF"/>
        </w:rPr>
        <w:t> (Vol. 6, No. 2, p. 44). Cham: Springer International Publishing.</w:t>
      </w:r>
      <w:r w:rsidR="00957858">
        <w:rPr>
          <w:rFonts w:asciiTheme="minorHAnsi" w:hAnsiTheme="minorHAnsi" w:cstheme="minorHAnsi"/>
          <w:szCs w:val="22"/>
          <w:shd w:val="clear" w:color="auto" w:fill="FFFFFF"/>
        </w:rPr>
        <w:t xml:space="preserve"> </w:t>
      </w:r>
      <w:hyperlink r:id="rId63" w:history="1">
        <w:r w:rsidR="00957858" w:rsidRPr="004B2764">
          <w:rPr>
            <w:rStyle w:val="Hyperlink"/>
            <w:rFonts w:asciiTheme="minorHAnsi" w:hAnsiTheme="minorHAnsi" w:cstheme="minorHAnsi"/>
            <w:szCs w:val="22"/>
            <w:shd w:val="clear" w:color="auto" w:fill="FFFFFF"/>
          </w:rPr>
          <w:t>https://doi.org/10.1007/s43069-025-00429-w</w:t>
        </w:r>
      </w:hyperlink>
    </w:p>
    <w:p w14:paraId="1B29E022" w14:textId="07C8594D" w:rsidR="00FE1761" w:rsidRPr="00957858" w:rsidRDefault="00FE1761" w:rsidP="00DC60AE">
      <w:pPr>
        <w:pStyle w:val="ListParagraph"/>
        <w:numPr>
          <w:ilvl w:val="0"/>
          <w:numId w:val="27"/>
        </w:numPr>
        <w:spacing w:after="0" w:line="240" w:lineRule="auto"/>
        <w:rPr>
          <w:rFonts w:asciiTheme="minorHAnsi" w:eastAsia="Times New Roman" w:hAnsiTheme="minorHAnsi" w:cstheme="minorHAnsi"/>
          <w:szCs w:val="22"/>
        </w:rPr>
      </w:pPr>
      <w:proofErr w:type="spellStart"/>
      <w:r w:rsidRPr="00FE1761">
        <w:rPr>
          <w:rFonts w:asciiTheme="minorHAnsi" w:hAnsiTheme="minorHAnsi" w:cstheme="minorHAnsi"/>
          <w:szCs w:val="22"/>
          <w:shd w:val="clear" w:color="auto" w:fill="FFFFFF"/>
        </w:rPr>
        <w:t>Makule</w:t>
      </w:r>
      <w:proofErr w:type="spellEnd"/>
      <w:r w:rsidRPr="00FE1761">
        <w:rPr>
          <w:rFonts w:asciiTheme="minorHAnsi" w:hAnsiTheme="minorHAnsi" w:cstheme="minorHAnsi"/>
          <w:szCs w:val="22"/>
          <w:shd w:val="clear" w:color="auto" w:fill="FFFFFF"/>
        </w:rPr>
        <w:t xml:space="preserve">, E., </w:t>
      </w:r>
      <w:proofErr w:type="spellStart"/>
      <w:r w:rsidRPr="00FE1761">
        <w:rPr>
          <w:rFonts w:asciiTheme="minorHAnsi" w:hAnsiTheme="minorHAnsi" w:cstheme="minorHAnsi"/>
          <w:szCs w:val="22"/>
          <w:shd w:val="clear" w:color="auto" w:fill="FFFFFF"/>
        </w:rPr>
        <w:t>Dimoso</w:t>
      </w:r>
      <w:proofErr w:type="spellEnd"/>
      <w:r w:rsidRPr="00FE1761">
        <w:rPr>
          <w:rFonts w:asciiTheme="minorHAnsi" w:hAnsiTheme="minorHAnsi" w:cstheme="minorHAnsi"/>
          <w:szCs w:val="22"/>
          <w:shd w:val="clear" w:color="auto" w:fill="FFFFFF"/>
        </w:rPr>
        <w:t>, N. and Tassou, S.A., 2022. Precooling and cold storage methods for fruits and vegetables in Sub-Saharan Africa—A review. </w:t>
      </w:r>
      <w:proofErr w:type="spellStart"/>
      <w:r w:rsidRPr="00FE1761">
        <w:rPr>
          <w:rFonts w:asciiTheme="minorHAnsi" w:hAnsiTheme="minorHAnsi" w:cstheme="minorHAnsi"/>
          <w:i/>
          <w:iCs/>
          <w:szCs w:val="22"/>
          <w:shd w:val="clear" w:color="auto" w:fill="FFFFFF"/>
        </w:rPr>
        <w:t>Horticulturae</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8</w:t>
      </w:r>
      <w:r w:rsidRPr="00FE1761">
        <w:rPr>
          <w:rFonts w:asciiTheme="minorHAnsi" w:hAnsiTheme="minorHAnsi" w:cstheme="minorHAnsi"/>
          <w:szCs w:val="22"/>
          <w:shd w:val="clear" w:color="auto" w:fill="FFFFFF"/>
        </w:rPr>
        <w:t xml:space="preserve">(9), p.776. </w:t>
      </w:r>
      <w:hyperlink r:id="rId64" w:history="1">
        <w:r w:rsidR="00957858" w:rsidRPr="004B2764">
          <w:rPr>
            <w:rStyle w:val="Hyperlink"/>
            <w:rFonts w:asciiTheme="minorHAnsi" w:hAnsiTheme="minorHAnsi" w:cstheme="minorHAnsi"/>
            <w:szCs w:val="22"/>
            <w:shd w:val="clear" w:color="auto" w:fill="FFFFFF"/>
          </w:rPr>
          <w:t>https://doi.org/10.3390/horticulturae8090776</w:t>
        </w:r>
      </w:hyperlink>
    </w:p>
    <w:p w14:paraId="308825C2" w14:textId="5EB83BCC" w:rsidR="00FE1761" w:rsidRPr="00957858" w:rsidRDefault="00FE1761" w:rsidP="00DC60AE">
      <w:pPr>
        <w:pStyle w:val="ListParagraph"/>
        <w:numPr>
          <w:ilvl w:val="0"/>
          <w:numId w:val="27"/>
        </w:numPr>
        <w:tabs>
          <w:tab w:val="left" w:pos="360"/>
        </w:tabs>
        <w:spacing w:after="0" w:line="240" w:lineRule="auto"/>
        <w:rPr>
          <w:rFonts w:asciiTheme="minorHAnsi" w:hAnsiTheme="minorHAnsi" w:cstheme="minorHAnsi"/>
          <w:szCs w:val="22"/>
        </w:rPr>
      </w:pPr>
      <w:r w:rsidRPr="00FE1761">
        <w:rPr>
          <w:rFonts w:asciiTheme="minorHAnsi" w:hAnsiTheme="minorHAnsi" w:cstheme="minorHAnsi"/>
          <w:szCs w:val="22"/>
          <w:shd w:val="clear" w:color="auto" w:fill="FFFFFF"/>
        </w:rPr>
        <w:t xml:space="preserve">Marimuthu, S., Saikumar, A. and </w:t>
      </w:r>
      <w:proofErr w:type="spellStart"/>
      <w:r w:rsidRPr="00FE1761">
        <w:rPr>
          <w:rFonts w:asciiTheme="minorHAnsi" w:hAnsiTheme="minorHAnsi" w:cstheme="minorHAnsi"/>
          <w:szCs w:val="22"/>
          <w:shd w:val="clear" w:color="auto" w:fill="FFFFFF"/>
        </w:rPr>
        <w:t>Badwaik</w:t>
      </w:r>
      <w:proofErr w:type="spellEnd"/>
      <w:r w:rsidRPr="00FE1761">
        <w:rPr>
          <w:rFonts w:asciiTheme="minorHAnsi" w:hAnsiTheme="minorHAnsi" w:cstheme="minorHAnsi"/>
          <w:szCs w:val="22"/>
          <w:shd w:val="clear" w:color="auto" w:fill="FFFFFF"/>
        </w:rPr>
        <w:t>, L.S., 2024. Food losses and wastage within food supply chain: a critical review of its generation, impact, and conversion techniques. </w:t>
      </w:r>
      <w:r w:rsidRPr="00FE1761">
        <w:rPr>
          <w:rFonts w:asciiTheme="minorHAnsi" w:hAnsiTheme="minorHAnsi" w:cstheme="minorHAnsi"/>
          <w:i/>
          <w:iCs/>
          <w:szCs w:val="22"/>
          <w:shd w:val="clear" w:color="auto" w:fill="FFFFFF"/>
        </w:rPr>
        <w:t>Waste Disposal &amp; Sustainable Energy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6</w:t>
      </w:r>
      <w:r w:rsidRPr="00FE1761">
        <w:rPr>
          <w:rFonts w:asciiTheme="minorHAnsi" w:hAnsiTheme="minorHAnsi" w:cstheme="minorHAnsi"/>
          <w:szCs w:val="22"/>
          <w:shd w:val="clear" w:color="auto" w:fill="FFFFFF"/>
        </w:rPr>
        <w:t xml:space="preserve">(4), pp.661-676. </w:t>
      </w:r>
      <w:hyperlink r:id="rId65" w:history="1">
        <w:r w:rsidR="00957858" w:rsidRPr="004B2764">
          <w:rPr>
            <w:rStyle w:val="Hyperlink"/>
            <w:rFonts w:asciiTheme="minorHAnsi" w:hAnsiTheme="minorHAnsi" w:cstheme="minorHAnsi"/>
            <w:szCs w:val="22"/>
            <w:shd w:val="clear" w:color="auto" w:fill="FFFFFF"/>
          </w:rPr>
          <w:t>https://doi.org/10.1007/s42768-024-00200-7</w:t>
        </w:r>
      </w:hyperlink>
    </w:p>
    <w:p w14:paraId="721D6029" w14:textId="6056CDA3"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Naser, N., 2020. Food safety and environmental awareness of street food vendors of the Dhaka University campus, Bangladesh. </w:t>
      </w:r>
      <w:r w:rsidRPr="00FE1761">
        <w:rPr>
          <w:rFonts w:asciiTheme="minorHAnsi" w:hAnsiTheme="minorHAnsi" w:cstheme="minorHAnsi"/>
          <w:i/>
          <w:iCs/>
          <w:sz w:val="22"/>
          <w:szCs w:val="22"/>
          <w:shd w:val="clear" w:color="auto" w:fill="FFFFFF"/>
        </w:rPr>
        <w:t>Bangladesh Journal of Zoology</w:t>
      </w:r>
      <w:r w:rsidRPr="00FE1761">
        <w:rPr>
          <w:rFonts w:asciiTheme="minorHAnsi" w:hAnsiTheme="minorHAnsi" w:cstheme="minorHAnsi"/>
          <w:sz w:val="22"/>
          <w:szCs w:val="22"/>
          <w:shd w:val="clear" w:color="auto" w:fill="FFFFFF"/>
        </w:rPr>
        <w:t xml:space="preserve">. </w:t>
      </w:r>
      <w:hyperlink r:id="rId66" w:history="1">
        <w:r w:rsidR="00957858" w:rsidRPr="004B2764">
          <w:rPr>
            <w:rStyle w:val="Hyperlink"/>
            <w:rFonts w:asciiTheme="minorHAnsi" w:hAnsiTheme="minorHAnsi" w:cstheme="minorHAnsi"/>
            <w:sz w:val="22"/>
            <w:szCs w:val="22"/>
            <w:shd w:val="clear" w:color="auto" w:fill="FFFFFF"/>
          </w:rPr>
          <w:t>https://doi.org/10.3329/bjz.v48i1.47886</w:t>
        </w:r>
      </w:hyperlink>
    </w:p>
    <w:p w14:paraId="6BFEF92E" w14:textId="371FEB25" w:rsidR="00FE1761" w:rsidRPr="00FE1761"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shd w:val="clear" w:color="auto" w:fill="FFFFFF"/>
        </w:rPr>
      </w:pPr>
      <w:r w:rsidRPr="00FE1761">
        <w:rPr>
          <w:rFonts w:asciiTheme="minorHAnsi" w:hAnsiTheme="minorHAnsi" w:cstheme="minorHAnsi"/>
          <w:sz w:val="22"/>
          <w:szCs w:val="22"/>
          <w:shd w:val="clear" w:color="auto" w:fill="FFFFFF"/>
        </w:rPr>
        <w:t>Rahman, M.A. and Saha, M.K., 2023. Analyzing the existing value chains of fruits and vegetables in selected upazilas of Bangladesh. </w:t>
      </w:r>
      <w:r w:rsidRPr="00FE1761">
        <w:rPr>
          <w:rFonts w:asciiTheme="minorHAnsi" w:hAnsiTheme="minorHAnsi" w:cstheme="minorHAnsi"/>
          <w:i/>
          <w:iCs/>
          <w:sz w:val="22"/>
          <w:szCs w:val="22"/>
          <w:shd w:val="clear" w:color="auto" w:fill="FFFFFF"/>
        </w:rPr>
        <w:t>International Journal of Agricultural Research, Innovation and Technology</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13</w:t>
      </w:r>
      <w:r w:rsidRPr="00FE1761">
        <w:rPr>
          <w:rFonts w:asciiTheme="minorHAnsi" w:hAnsiTheme="minorHAnsi" w:cstheme="minorHAnsi"/>
          <w:sz w:val="22"/>
          <w:szCs w:val="22"/>
          <w:shd w:val="clear" w:color="auto" w:fill="FFFFFF"/>
        </w:rPr>
        <w:t>(1), pp.123-130.</w:t>
      </w:r>
      <w:r w:rsidR="00957858">
        <w:rPr>
          <w:rFonts w:asciiTheme="minorHAnsi" w:hAnsiTheme="minorHAnsi" w:cstheme="minorHAnsi"/>
          <w:sz w:val="22"/>
          <w:szCs w:val="22"/>
          <w:shd w:val="clear" w:color="auto" w:fill="FFFFFF"/>
        </w:rPr>
        <w:t xml:space="preserve"> </w:t>
      </w:r>
      <w:hyperlink r:id="rId67" w:history="1">
        <w:r w:rsidR="00957858" w:rsidRPr="004B2764">
          <w:rPr>
            <w:rStyle w:val="Hyperlink"/>
            <w:rFonts w:asciiTheme="minorHAnsi" w:hAnsiTheme="minorHAnsi" w:cstheme="minorHAnsi"/>
            <w:sz w:val="22"/>
            <w:szCs w:val="22"/>
            <w:shd w:val="clear" w:color="auto" w:fill="FFFFFF"/>
          </w:rPr>
          <w:t>https://doi.org/10.3329/ijarit.v13i1.68069</w:t>
        </w:r>
      </w:hyperlink>
    </w:p>
    <w:p w14:paraId="2FAA5651" w14:textId="2066AACC"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Rahman, M.S., Hossain, M.S. and </w:t>
      </w:r>
      <w:proofErr w:type="spellStart"/>
      <w:r w:rsidRPr="00FE1761">
        <w:rPr>
          <w:rFonts w:asciiTheme="minorHAnsi" w:hAnsiTheme="minorHAnsi" w:cstheme="minorHAnsi"/>
          <w:szCs w:val="22"/>
          <w:shd w:val="clear" w:color="auto" w:fill="FFFFFF"/>
        </w:rPr>
        <w:t>Pulok</w:t>
      </w:r>
      <w:proofErr w:type="spellEnd"/>
      <w:r w:rsidRPr="00FE1761">
        <w:rPr>
          <w:rFonts w:asciiTheme="minorHAnsi" w:hAnsiTheme="minorHAnsi" w:cstheme="minorHAnsi"/>
          <w:szCs w:val="22"/>
          <w:shd w:val="clear" w:color="auto" w:fill="FFFFFF"/>
        </w:rPr>
        <w:t>, M.F.H., 2025. Analysis of Food Safety Knowledge and Practices Among Food Handlers in Restaurants and Street Food Markets in Dhaka, Bangladesh: A Cross‐Sectional Study. </w:t>
      </w:r>
      <w:r w:rsidRPr="00FE1761">
        <w:rPr>
          <w:rFonts w:asciiTheme="minorHAnsi" w:hAnsiTheme="minorHAnsi" w:cstheme="minorHAnsi"/>
          <w:i/>
          <w:iCs/>
          <w:szCs w:val="22"/>
          <w:shd w:val="clear" w:color="auto" w:fill="FFFFFF"/>
        </w:rPr>
        <w:t>International Journal of Food Science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2025</w:t>
      </w:r>
      <w:r w:rsidRPr="00FE1761">
        <w:rPr>
          <w:rFonts w:asciiTheme="minorHAnsi" w:hAnsiTheme="minorHAnsi" w:cstheme="minorHAnsi"/>
          <w:szCs w:val="22"/>
          <w:shd w:val="clear" w:color="auto" w:fill="FFFFFF"/>
        </w:rPr>
        <w:t xml:space="preserve">(1), p.5369920. </w:t>
      </w:r>
      <w:hyperlink r:id="rId68" w:history="1">
        <w:r w:rsidR="00957858" w:rsidRPr="004B2764">
          <w:rPr>
            <w:rStyle w:val="Hyperlink"/>
            <w:rFonts w:asciiTheme="minorHAnsi" w:hAnsiTheme="minorHAnsi" w:cstheme="minorHAnsi"/>
            <w:szCs w:val="22"/>
            <w:shd w:val="clear" w:color="auto" w:fill="FFFFFF"/>
          </w:rPr>
          <w:t>https://doi.org/10.1155/ijfo/5369920</w:t>
        </w:r>
      </w:hyperlink>
    </w:p>
    <w:p w14:paraId="34BE3DF7" w14:textId="3B9A5B1E"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Rahman, T., </w:t>
      </w:r>
      <w:proofErr w:type="spellStart"/>
      <w:r w:rsidRPr="00FE1761">
        <w:rPr>
          <w:rFonts w:asciiTheme="minorHAnsi" w:hAnsiTheme="minorHAnsi" w:cstheme="minorHAnsi"/>
          <w:szCs w:val="22"/>
          <w:shd w:val="clear" w:color="auto" w:fill="FFFFFF"/>
        </w:rPr>
        <w:t>Alam</w:t>
      </w:r>
      <w:proofErr w:type="spellEnd"/>
      <w:r w:rsidRPr="00FE1761">
        <w:rPr>
          <w:rFonts w:asciiTheme="minorHAnsi" w:hAnsiTheme="minorHAnsi" w:cstheme="minorHAnsi"/>
          <w:szCs w:val="22"/>
          <w:shd w:val="clear" w:color="auto" w:fill="FFFFFF"/>
        </w:rPr>
        <w:t xml:space="preserve">, M.Z., </w:t>
      </w:r>
      <w:proofErr w:type="spellStart"/>
      <w:r w:rsidRPr="00FE1761">
        <w:rPr>
          <w:rFonts w:asciiTheme="minorHAnsi" w:hAnsiTheme="minorHAnsi" w:cstheme="minorHAnsi"/>
          <w:szCs w:val="22"/>
          <w:shd w:val="clear" w:color="auto" w:fill="FFFFFF"/>
        </w:rPr>
        <w:t>Moniruzzaman</w:t>
      </w:r>
      <w:proofErr w:type="spellEnd"/>
      <w:r w:rsidRPr="00FE1761">
        <w:rPr>
          <w:rFonts w:asciiTheme="minorHAnsi" w:hAnsiTheme="minorHAnsi" w:cstheme="minorHAnsi"/>
          <w:szCs w:val="22"/>
          <w:shd w:val="clear" w:color="auto" w:fill="FFFFFF"/>
        </w:rPr>
        <w:t xml:space="preserve">, M., Miah, M.S., </w:t>
      </w:r>
      <w:proofErr w:type="spellStart"/>
      <w:r w:rsidRPr="00FE1761">
        <w:rPr>
          <w:rFonts w:asciiTheme="minorHAnsi" w:hAnsiTheme="minorHAnsi" w:cstheme="minorHAnsi"/>
          <w:szCs w:val="22"/>
          <w:shd w:val="clear" w:color="auto" w:fill="FFFFFF"/>
        </w:rPr>
        <w:t>Horaira</w:t>
      </w:r>
      <w:proofErr w:type="spellEnd"/>
      <w:r w:rsidRPr="00FE1761">
        <w:rPr>
          <w:rFonts w:asciiTheme="minorHAnsi" w:hAnsiTheme="minorHAnsi" w:cstheme="minorHAnsi"/>
          <w:szCs w:val="22"/>
          <w:shd w:val="clear" w:color="auto" w:fill="FFFFFF"/>
        </w:rPr>
        <w:t>, M.A. and Kamal, R., 2024. Navigating the contemporary landscape of food waste management in developing countries: A comprehensive overview and prospective analysis. </w:t>
      </w:r>
      <w:proofErr w:type="spellStart"/>
      <w:r w:rsidRPr="00FE1761">
        <w:rPr>
          <w:rFonts w:asciiTheme="minorHAnsi" w:hAnsiTheme="minorHAnsi" w:cstheme="minorHAnsi"/>
          <w:i/>
          <w:iCs/>
          <w:szCs w:val="22"/>
          <w:shd w:val="clear" w:color="auto" w:fill="FFFFFF"/>
        </w:rPr>
        <w:t>Heliyon</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10</w:t>
      </w:r>
      <w:r w:rsidRPr="00FE1761">
        <w:rPr>
          <w:rFonts w:asciiTheme="minorHAnsi" w:hAnsiTheme="minorHAnsi" w:cstheme="minorHAnsi"/>
          <w:szCs w:val="22"/>
          <w:shd w:val="clear" w:color="auto" w:fill="FFFFFF"/>
        </w:rPr>
        <w:t xml:space="preserve">(12). </w:t>
      </w:r>
      <w:hyperlink r:id="rId69" w:history="1">
        <w:r w:rsidR="00957858" w:rsidRPr="004B2764">
          <w:rPr>
            <w:rStyle w:val="Hyperlink"/>
            <w:rFonts w:asciiTheme="minorHAnsi" w:hAnsiTheme="minorHAnsi" w:cstheme="minorHAnsi"/>
            <w:szCs w:val="22"/>
            <w:shd w:val="clear" w:color="auto" w:fill="FFFFFF"/>
          </w:rPr>
          <w:t>https://doi.org/10.1016/j.heliyon.2024.e33218</w:t>
        </w:r>
      </w:hyperlink>
    </w:p>
    <w:p w14:paraId="015BECB9" w14:textId="480A0D28"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 xml:space="preserve">Rifat, M.A., Talukdar, I.H., Lamichhane, N., </w:t>
      </w:r>
      <w:proofErr w:type="spellStart"/>
      <w:r w:rsidRPr="00FE1761">
        <w:rPr>
          <w:rFonts w:asciiTheme="minorHAnsi" w:hAnsiTheme="minorHAnsi" w:cstheme="minorHAnsi"/>
          <w:sz w:val="22"/>
          <w:szCs w:val="22"/>
          <w:shd w:val="clear" w:color="auto" w:fill="FFFFFF"/>
        </w:rPr>
        <w:t>Atarodi</w:t>
      </w:r>
      <w:proofErr w:type="spellEnd"/>
      <w:r w:rsidRPr="00FE1761">
        <w:rPr>
          <w:rFonts w:asciiTheme="minorHAnsi" w:hAnsiTheme="minorHAnsi" w:cstheme="minorHAnsi"/>
          <w:sz w:val="22"/>
          <w:szCs w:val="22"/>
          <w:shd w:val="clear" w:color="auto" w:fill="FFFFFF"/>
        </w:rPr>
        <w:t>, V. and Alam, S.S., 2022. Food safety knowledge and practices among food handlers in Bangladesh: A systematic review. </w:t>
      </w:r>
      <w:r w:rsidRPr="00FE1761">
        <w:rPr>
          <w:rFonts w:asciiTheme="minorHAnsi" w:hAnsiTheme="minorHAnsi" w:cstheme="minorHAnsi"/>
          <w:i/>
          <w:iCs/>
          <w:sz w:val="22"/>
          <w:szCs w:val="22"/>
          <w:shd w:val="clear" w:color="auto" w:fill="FFFFFF"/>
        </w:rPr>
        <w:t>Food Control</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142</w:t>
      </w:r>
      <w:r w:rsidRPr="00FE1761">
        <w:rPr>
          <w:rFonts w:asciiTheme="minorHAnsi" w:hAnsiTheme="minorHAnsi" w:cstheme="minorHAnsi"/>
          <w:sz w:val="22"/>
          <w:szCs w:val="22"/>
          <w:shd w:val="clear" w:color="auto" w:fill="FFFFFF"/>
        </w:rPr>
        <w:t xml:space="preserve">, p.109262. </w:t>
      </w:r>
      <w:hyperlink r:id="rId70" w:history="1">
        <w:r w:rsidR="00957858" w:rsidRPr="004B2764">
          <w:rPr>
            <w:rStyle w:val="Hyperlink"/>
            <w:rFonts w:asciiTheme="minorHAnsi" w:hAnsiTheme="minorHAnsi" w:cstheme="minorHAnsi"/>
            <w:sz w:val="22"/>
            <w:szCs w:val="22"/>
            <w:shd w:val="clear" w:color="auto" w:fill="FFFFFF"/>
          </w:rPr>
          <w:t>https://doi.org/10.1016/j.foodcont.2022.109262</w:t>
        </w:r>
      </w:hyperlink>
    </w:p>
    <w:p w14:paraId="3E952D54" w14:textId="28F6D976"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Roy, H., Alam, S.R., Bin-Masud, R., Prantika, T.R., Pervez, M.N., Islam, M.S. and Naddeo, V., 2022. A review on characteristics, techniques, and waste-to-energy aspects of municipal solid waste </w:t>
      </w:r>
      <w:r w:rsidRPr="00FE1761">
        <w:rPr>
          <w:rFonts w:asciiTheme="minorHAnsi" w:hAnsiTheme="minorHAnsi" w:cstheme="minorHAnsi"/>
          <w:szCs w:val="22"/>
          <w:shd w:val="clear" w:color="auto" w:fill="FFFFFF"/>
        </w:rPr>
        <w:lastRenderedPageBreak/>
        <w:t>management: Bangladesh perspective.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w:t>
      </w:r>
      <w:r w:rsidRPr="00FE1761">
        <w:rPr>
          <w:rFonts w:asciiTheme="minorHAnsi" w:hAnsiTheme="minorHAnsi" w:cstheme="minorHAnsi"/>
          <w:szCs w:val="22"/>
          <w:shd w:val="clear" w:color="auto" w:fill="FFFFFF"/>
        </w:rPr>
        <w:t xml:space="preserve">(16), p.10265. </w:t>
      </w:r>
      <w:hyperlink r:id="rId71" w:history="1">
        <w:r w:rsidR="00957858" w:rsidRPr="004B2764">
          <w:rPr>
            <w:rStyle w:val="Hyperlink"/>
            <w:rFonts w:asciiTheme="minorHAnsi" w:hAnsiTheme="minorHAnsi" w:cstheme="minorHAnsi"/>
            <w:szCs w:val="22"/>
            <w:shd w:val="clear" w:color="auto" w:fill="FFFFFF"/>
          </w:rPr>
          <w:t>https://doi.org/10.3390/su141610265</w:t>
        </w:r>
      </w:hyperlink>
    </w:p>
    <w:p w14:paraId="7BF8CB3A" w14:textId="19059CBE"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Sarker, A., Ghosh, M.K., Islam, T., Bilal, M., Nandi, R., Raihan, M.L., Hossain, M.N., Rana, J., Barman, S.K. and Kim, J.E., 2022. </w:t>
      </w:r>
      <w:bookmarkStart w:id="6" w:name="_Hlk223277552"/>
      <w:r w:rsidRPr="00FE1761">
        <w:rPr>
          <w:rFonts w:asciiTheme="minorHAnsi" w:hAnsiTheme="minorHAnsi" w:cstheme="minorHAnsi"/>
          <w:szCs w:val="22"/>
          <w:shd w:val="clear" w:color="auto" w:fill="FFFFFF"/>
        </w:rPr>
        <w:t>Sustainable food waste recycling for the circular economy in developing countries,</w:t>
      </w:r>
      <w:bookmarkEnd w:id="6"/>
      <w:r w:rsidRPr="00FE1761">
        <w:rPr>
          <w:rFonts w:asciiTheme="minorHAnsi" w:hAnsiTheme="minorHAnsi" w:cstheme="minorHAnsi"/>
          <w:szCs w:val="22"/>
          <w:shd w:val="clear" w:color="auto" w:fill="FFFFFF"/>
        </w:rPr>
        <w:t xml:space="preserve"> with special reference to Bangladesh.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w:t>
      </w:r>
      <w:r w:rsidRPr="00FE1761">
        <w:rPr>
          <w:rFonts w:asciiTheme="minorHAnsi" w:hAnsiTheme="minorHAnsi" w:cstheme="minorHAnsi"/>
          <w:szCs w:val="22"/>
          <w:shd w:val="clear" w:color="auto" w:fill="FFFFFF"/>
        </w:rPr>
        <w:t>(19), p.12035.</w:t>
      </w:r>
      <w:r w:rsidR="00957858">
        <w:rPr>
          <w:rFonts w:asciiTheme="minorHAnsi" w:hAnsiTheme="minorHAnsi" w:cstheme="minorHAnsi"/>
          <w:szCs w:val="22"/>
          <w:shd w:val="clear" w:color="auto" w:fill="FFFFFF"/>
        </w:rPr>
        <w:t xml:space="preserve"> </w:t>
      </w:r>
      <w:hyperlink r:id="rId72" w:history="1">
        <w:r w:rsidR="00957858" w:rsidRPr="004B2764">
          <w:rPr>
            <w:rStyle w:val="Hyperlink"/>
            <w:rFonts w:asciiTheme="minorHAnsi" w:hAnsiTheme="minorHAnsi" w:cstheme="minorHAnsi"/>
            <w:szCs w:val="22"/>
            <w:shd w:val="clear" w:color="auto" w:fill="FFFFFF"/>
          </w:rPr>
          <w:t>https://doi.org/10.3390/su141912035</w:t>
        </w:r>
      </w:hyperlink>
    </w:p>
    <w:p w14:paraId="129961F7" w14:textId="1AE3F078"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Shakil </w:t>
      </w:r>
      <w:proofErr w:type="spellStart"/>
      <w:r w:rsidRPr="00FE1761">
        <w:rPr>
          <w:rFonts w:asciiTheme="minorHAnsi" w:hAnsiTheme="minorHAnsi" w:cstheme="minorHAnsi"/>
          <w:sz w:val="22"/>
          <w:szCs w:val="22"/>
          <w:shd w:val="clear" w:color="auto" w:fill="FFFFFF"/>
        </w:rPr>
        <w:t>Ar</w:t>
      </w:r>
      <w:proofErr w:type="spellEnd"/>
      <w:r w:rsidRPr="00FE1761">
        <w:rPr>
          <w:rFonts w:asciiTheme="minorHAnsi" w:hAnsiTheme="minorHAnsi" w:cstheme="minorHAnsi"/>
          <w:sz w:val="22"/>
          <w:szCs w:val="22"/>
          <w:shd w:val="clear" w:color="auto" w:fill="FFFFFF"/>
        </w:rPr>
        <w:t xml:space="preserve"> </w:t>
      </w:r>
      <w:proofErr w:type="spellStart"/>
      <w:r w:rsidRPr="00FE1761">
        <w:rPr>
          <w:rFonts w:asciiTheme="minorHAnsi" w:hAnsiTheme="minorHAnsi" w:cstheme="minorHAnsi"/>
          <w:sz w:val="22"/>
          <w:szCs w:val="22"/>
          <w:shd w:val="clear" w:color="auto" w:fill="FFFFFF"/>
        </w:rPr>
        <w:t>Salan</w:t>
      </w:r>
      <w:proofErr w:type="spellEnd"/>
      <w:r w:rsidRPr="00FE1761">
        <w:rPr>
          <w:rFonts w:asciiTheme="minorHAnsi" w:hAnsiTheme="minorHAnsi" w:cstheme="minorHAnsi"/>
          <w:sz w:val="22"/>
          <w:szCs w:val="22"/>
          <w:shd w:val="clear" w:color="auto" w:fill="FFFFFF"/>
        </w:rPr>
        <w:t>, M.</w:t>
      </w:r>
      <w:r w:rsidR="000D0560">
        <w:rPr>
          <w:rFonts w:asciiTheme="minorHAnsi" w:hAnsiTheme="minorHAnsi" w:cstheme="minorHAnsi"/>
          <w:sz w:val="22"/>
          <w:szCs w:val="22"/>
          <w:shd w:val="clear" w:color="auto" w:fill="FFFFFF"/>
        </w:rPr>
        <w:t>,</w:t>
      </w:r>
      <w:r w:rsidRPr="00FE1761">
        <w:rPr>
          <w:rFonts w:asciiTheme="minorHAnsi" w:hAnsiTheme="minorHAnsi" w:cstheme="minorHAnsi"/>
          <w:sz w:val="22"/>
          <w:szCs w:val="22"/>
          <w:shd w:val="clear" w:color="auto" w:fill="FFFFFF"/>
        </w:rPr>
        <w:t xml:space="preserve"> and Imran Hossain, M., 2024. Reducing and Managing Food Waste: Challenges and Way Forward. </w:t>
      </w:r>
      <w:r w:rsidRPr="00FE1761">
        <w:rPr>
          <w:rFonts w:asciiTheme="minorHAnsi" w:hAnsiTheme="minorHAnsi" w:cstheme="minorHAnsi"/>
          <w:i/>
          <w:iCs/>
          <w:sz w:val="22"/>
          <w:szCs w:val="22"/>
          <w:shd w:val="clear" w:color="auto" w:fill="FFFFFF"/>
        </w:rPr>
        <w:t>Technical Landfills and Waste Management: Volume 2: Municipal Solid Waste Management</w:t>
      </w:r>
      <w:r w:rsidRPr="00FE1761">
        <w:rPr>
          <w:rFonts w:asciiTheme="minorHAnsi" w:hAnsiTheme="minorHAnsi" w:cstheme="minorHAnsi"/>
          <w:sz w:val="22"/>
          <w:szCs w:val="22"/>
          <w:shd w:val="clear" w:color="auto" w:fill="FFFFFF"/>
        </w:rPr>
        <w:t xml:space="preserve">, pp.259-284. </w:t>
      </w:r>
      <w:hyperlink r:id="rId73" w:history="1">
        <w:r w:rsidR="00957858" w:rsidRPr="004B2764">
          <w:rPr>
            <w:rStyle w:val="Hyperlink"/>
            <w:rFonts w:asciiTheme="minorHAnsi" w:hAnsiTheme="minorHAnsi" w:cstheme="minorHAnsi"/>
            <w:sz w:val="22"/>
            <w:szCs w:val="22"/>
            <w:shd w:val="clear" w:color="auto" w:fill="FFFFFF"/>
          </w:rPr>
          <w:t>https://doi.org/10.1007/978-3-031-55665-4_10</w:t>
        </w:r>
      </w:hyperlink>
    </w:p>
    <w:p w14:paraId="214FF7CE" w14:textId="56D4DDA9" w:rsidR="00FE1761" w:rsidRPr="00957858" w:rsidRDefault="00FE1761" w:rsidP="00DC60AE">
      <w:pPr>
        <w:pStyle w:val="ListParagraph"/>
        <w:numPr>
          <w:ilvl w:val="0"/>
          <w:numId w:val="27"/>
        </w:numPr>
        <w:spacing w:after="0" w:line="240" w:lineRule="auto"/>
        <w:rPr>
          <w:rFonts w:asciiTheme="minorHAnsi" w:eastAsia="Times New Roman" w:hAnsiTheme="minorHAnsi" w:cstheme="minorHAnsi"/>
          <w:szCs w:val="22"/>
        </w:rPr>
      </w:pPr>
      <w:proofErr w:type="spellStart"/>
      <w:r w:rsidRPr="00FE1761">
        <w:rPr>
          <w:rFonts w:asciiTheme="minorHAnsi" w:hAnsiTheme="minorHAnsi" w:cstheme="minorHAnsi"/>
          <w:szCs w:val="22"/>
          <w:shd w:val="clear" w:color="auto" w:fill="FFFFFF"/>
        </w:rPr>
        <w:t>Shee</w:t>
      </w:r>
      <w:proofErr w:type="spellEnd"/>
      <w:r w:rsidRPr="00FE1761">
        <w:rPr>
          <w:rFonts w:asciiTheme="minorHAnsi" w:hAnsiTheme="minorHAnsi" w:cstheme="minorHAnsi"/>
          <w:szCs w:val="22"/>
          <w:shd w:val="clear" w:color="auto" w:fill="FFFFFF"/>
        </w:rPr>
        <w:t>, A., Parmar, A., Raut, S., Strum, B. and Bennett, B., 2023. Assessing the measurement methods of post-harvest food loss and waste: opportunities and challenges. </w:t>
      </w:r>
      <w:r w:rsidRPr="00FE1761">
        <w:rPr>
          <w:rFonts w:asciiTheme="minorHAnsi" w:hAnsiTheme="minorHAnsi" w:cstheme="minorHAnsi"/>
          <w:i/>
          <w:iCs/>
          <w:szCs w:val="22"/>
          <w:shd w:val="clear" w:color="auto" w:fill="FFFFFF"/>
        </w:rPr>
        <w:t>Enterprise Development and Microfinance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33</w:t>
      </w:r>
      <w:r w:rsidRPr="00FE1761">
        <w:rPr>
          <w:rFonts w:asciiTheme="minorHAnsi" w:hAnsiTheme="minorHAnsi" w:cstheme="minorHAnsi"/>
          <w:szCs w:val="22"/>
          <w:shd w:val="clear" w:color="auto" w:fill="FFFFFF"/>
        </w:rPr>
        <w:t xml:space="preserve">(4), pp.1-16. </w:t>
      </w:r>
      <w:hyperlink r:id="rId74" w:history="1">
        <w:r w:rsidR="00957858" w:rsidRPr="004B2764">
          <w:rPr>
            <w:rStyle w:val="Hyperlink"/>
            <w:rFonts w:asciiTheme="minorHAnsi" w:hAnsiTheme="minorHAnsi" w:cstheme="minorHAnsi"/>
            <w:szCs w:val="22"/>
            <w:shd w:val="clear" w:color="auto" w:fill="FFFFFF"/>
          </w:rPr>
          <w:t>https://doi.org/10.3362/1755-1986.22-00062</w:t>
        </w:r>
      </w:hyperlink>
    </w:p>
    <w:p w14:paraId="13E260B9" w14:textId="0A38BF26"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Siddiky</w:t>
      </w:r>
      <w:proofErr w:type="spellEnd"/>
      <w:r w:rsidRPr="00FE1761">
        <w:rPr>
          <w:rFonts w:asciiTheme="minorHAnsi" w:hAnsiTheme="minorHAnsi" w:cstheme="minorHAnsi"/>
          <w:szCs w:val="22"/>
          <w:shd w:val="clear" w:color="auto" w:fill="FFFFFF"/>
        </w:rPr>
        <w:t xml:space="preserve">, A., Mollick, K., </w:t>
      </w:r>
      <w:proofErr w:type="spellStart"/>
      <w:r w:rsidRPr="00FE1761">
        <w:rPr>
          <w:rFonts w:asciiTheme="minorHAnsi" w:hAnsiTheme="minorHAnsi" w:cstheme="minorHAnsi"/>
          <w:szCs w:val="22"/>
          <w:shd w:val="clear" w:color="auto" w:fill="FFFFFF"/>
        </w:rPr>
        <w:t>Aktarujjaman</w:t>
      </w:r>
      <w:proofErr w:type="spellEnd"/>
      <w:r w:rsidRPr="00FE1761">
        <w:rPr>
          <w:rFonts w:asciiTheme="minorHAnsi" w:hAnsiTheme="minorHAnsi" w:cstheme="minorHAnsi"/>
          <w:szCs w:val="22"/>
          <w:shd w:val="clear" w:color="auto" w:fill="FFFFFF"/>
        </w:rPr>
        <w:t>, M., Islam, F., Mamun, M.A. and Roy, N., 2024. Determinants of food safety knowledge and practices among food handlers in Bangladesh: An institution-based cross-sectional study. </w:t>
      </w:r>
      <w:proofErr w:type="spellStart"/>
      <w:r w:rsidRPr="00FE1761">
        <w:rPr>
          <w:rFonts w:asciiTheme="minorHAnsi" w:hAnsiTheme="minorHAnsi" w:cstheme="minorHAnsi"/>
          <w:i/>
          <w:iCs/>
          <w:szCs w:val="22"/>
          <w:shd w:val="clear" w:color="auto" w:fill="FFFFFF"/>
        </w:rPr>
        <w:t>Heliyon</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10</w:t>
      </w:r>
      <w:r w:rsidRPr="00FE1761">
        <w:rPr>
          <w:rFonts w:asciiTheme="minorHAnsi" w:hAnsiTheme="minorHAnsi" w:cstheme="minorHAnsi"/>
          <w:szCs w:val="22"/>
          <w:shd w:val="clear" w:color="auto" w:fill="FFFFFF"/>
        </w:rPr>
        <w:t>(4).</w:t>
      </w:r>
      <w:r w:rsidR="00957858">
        <w:rPr>
          <w:rFonts w:asciiTheme="minorHAnsi" w:hAnsiTheme="minorHAnsi" w:cstheme="minorHAnsi"/>
          <w:szCs w:val="22"/>
          <w:shd w:val="clear" w:color="auto" w:fill="FFFFFF"/>
        </w:rPr>
        <w:t xml:space="preserve"> </w:t>
      </w:r>
      <w:hyperlink r:id="rId75" w:history="1">
        <w:r w:rsidR="00957858" w:rsidRPr="004B2764">
          <w:rPr>
            <w:rStyle w:val="Hyperlink"/>
            <w:rFonts w:asciiTheme="minorHAnsi" w:hAnsiTheme="minorHAnsi" w:cstheme="minorHAnsi"/>
            <w:szCs w:val="22"/>
            <w:shd w:val="clear" w:color="auto" w:fill="FFFFFF"/>
          </w:rPr>
          <w:t>https://doi.org/10.1016/j.heliyon.2024.e25970</w:t>
        </w:r>
      </w:hyperlink>
    </w:p>
    <w:p w14:paraId="6EA5463D" w14:textId="07F0C0B4"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UNEP. (2024). </w:t>
      </w:r>
      <w:r w:rsidRPr="00FE1761">
        <w:rPr>
          <w:rStyle w:val="Emphasis"/>
          <w:rFonts w:asciiTheme="minorHAnsi" w:eastAsia="SimSun" w:hAnsiTheme="minorHAnsi" w:cstheme="minorHAnsi"/>
          <w:sz w:val="22"/>
          <w:szCs w:val="22"/>
        </w:rPr>
        <w:t>Food waste index report 2024</w:t>
      </w:r>
      <w:r w:rsidRPr="00FE1761">
        <w:rPr>
          <w:rFonts w:asciiTheme="minorHAnsi" w:hAnsiTheme="minorHAnsi" w:cstheme="minorHAnsi"/>
          <w:sz w:val="22"/>
          <w:szCs w:val="22"/>
        </w:rPr>
        <w:t xml:space="preserve">. United Nations Environment </w:t>
      </w:r>
      <w:proofErr w:type="spellStart"/>
      <w:r w:rsidRPr="00FE1761">
        <w:rPr>
          <w:rFonts w:asciiTheme="minorHAnsi" w:hAnsiTheme="minorHAnsi" w:cstheme="minorHAnsi"/>
          <w:sz w:val="22"/>
          <w:szCs w:val="22"/>
        </w:rPr>
        <w:t>Programme</w:t>
      </w:r>
      <w:proofErr w:type="spellEnd"/>
      <w:r w:rsidRPr="00FE1761">
        <w:rPr>
          <w:rFonts w:asciiTheme="minorHAnsi" w:hAnsiTheme="minorHAnsi" w:cstheme="minorHAnsi"/>
          <w:sz w:val="22"/>
          <w:szCs w:val="22"/>
        </w:rPr>
        <w:t>.</w:t>
      </w:r>
      <w:r w:rsidR="00957858">
        <w:rPr>
          <w:rFonts w:asciiTheme="minorHAnsi" w:hAnsiTheme="minorHAnsi" w:cstheme="minorHAnsi"/>
          <w:sz w:val="22"/>
          <w:szCs w:val="22"/>
        </w:rPr>
        <w:t xml:space="preserve"> </w:t>
      </w:r>
      <w:hyperlink r:id="rId76" w:history="1">
        <w:r w:rsidR="00957858" w:rsidRPr="004B2764">
          <w:rPr>
            <w:rStyle w:val="Hyperlink"/>
            <w:rFonts w:asciiTheme="minorHAnsi" w:hAnsiTheme="minorHAnsi" w:cstheme="minorHAnsi"/>
            <w:sz w:val="22"/>
            <w:szCs w:val="22"/>
          </w:rPr>
          <w:t>https://www.unep.org/resources/publication/food-waste-index-report-2024</w:t>
        </w:r>
      </w:hyperlink>
    </w:p>
    <w:p w14:paraId="5584725E" w14:textId="7FB9E14D"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Von Braun, J., Sorondo, M.S. and Steiner, R., 2023. Reduction of food loss and waste: the challenges and conclusions for actions. </w:t>
      </w:r>
      <w:r w:rsidRPr="00FE1761">
        <w:rPr>
          <w:rFonts w:asciiTheme="minorHAnsi" w:hAnsiTheme="minorHAnsi" w:cstheme="minorHAnsi"/>
          <w:i/>
          <w:iCs/>
          <w:sz w:val="22"/>
          <w:szCs w:val="22"/>
          <w:shd w:val="clear" w:color="auto" w:fill="FFFFFF"/>
        </w:rPr>
        <w:t>Science and innovations for food systems transformation</w:t>
      </w:r>
      <w:r w:rsidRPr="00FE1761">
        <w:rPr>
          <w:rFonts w:asciiTheme="minorHAnsi" w:hAnsiTheme="minorHAnsi" w:cstheme="minorHAnsi"/>
          <w:sz w:val="22"/>
          <w:szCs w:val="22"/>
          <w:shd w:val="clear" w:color="auto" w:fill="FFFFFF"/>
        </w:rPr>
        <w:t>, pp.569-578. Springer.</w:t>
      </w:r>
      <w:r w:rsidR="00957858">
        <w:rPr>
          <w:rFonts w:asciiTheme="minorHAnsi" w:hAnsiTheme="minorHAnsi" w:cstheme="minorHAnsi"/>
          <w:sz w:val="22"/>
          <w:szCs w:val="22"/>
          <w:shd w:val="clear" w:color="auto" w:fill="FFFFFF"/>
        </w:rPr>
        <w:t xml:space="preserve"> </w:t>
      </w:r>
      <w:hyperlink r:id="rId77" w:history="1">
        <w:r w:rsidR="00957858" w:rsidRPr="004B2764">
          <w:rPr>
            <w:rStyle w:val="Hyperlink"/>
            <w:rFonts w:asciiTheme="minorHAnsi" w:hAnsiTheme="minorHAnsi" w:cstheme="minorHAnsi"/>
            <w:sz w:val="22"/>
            <w:szCs w:val="22"/>
            <w:shd w:val="clear" w:color="auto" w:fill="FFFFFF"/>
          </w:rPr>
          <w:t>https://doi.org/10.1007/978-3-031-15703-5_31</w:t>
        </w:r>
      </w:hyperlink>
      <w:r w:rsidR="00957858">
        <w:rPr>
          <w:rStyle w:val="Hyperlink"/>
          <w:rFonts w:asciiTheme="minorHAnsi" w:hAnsiTheme="minorHAnsi" w:cstheme="minorHAnsi"/>
          <w:color w:val="auto"/>
          <w:sz w:val="22"/>
          <w:szCs w:val="22"/>
          <w:shd w:val="clear" w:color="auto" w:fill="FFFFFF"/>
        </w:rPr>
        <w:t xml:space="preserve"> </w:t>
      </w:r>
    </w:p>
    <w:p w14:paraId="552462AE" w14:textId="7244DDD1"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Waris, A., 2022. Local Food Systems and Farmers’ Markets-an Exploratory Study. Asian Journal of Agricultural Extension, Economics &amp; Sociology. </w:t>
      </w:r>
      <w:hyperlink r:id="rId78" w:history="1">
        <w:r w:rsidR="00957858" w:rsidRPr="004B2764">
          <w:rPr>
            <w:rStyle w:val="Hyperlink"/>
            <w:rFonts w:asciiTheme="minorHAnsi" w:hAnsiTheme="minorHAnsi" w:cstheme="minorHAnsi"/>
            <w:sz w:val="22"/>
            <w:szCs w:val="22"/>
          </w:rPr>
          <w:t>https://doi.org/10.9734/AJAEES/2022/v40i121765</w:t>
        </w:r>
      </w:hyperlink>
    </w:p>
    <w:bookmarkEnd w:id="5"/>
    <w:p w14:paraId="7AA8B3C2" w14:textId="59F6D1C1"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u w:val="single"/>
        </w:rPr>
      </w:pPr>
      <w:r w:rsidRPr="00FE1761">
        <w:rPr>
          <w:rFonts w:asciiTheme="minorHAnsi" w:hAnsiTheme="minorHAnsi" w:cstheme="minorHAnsi"/>
          <w:sz w:val="22"/>
          <w:szCs w:val="22"/>
          <w:shd w:val="clear" w:color="auto" w:fill="FFFFFF"/>
        </w:rPr>
        <w:t>Xue, L., Song, G.</w:t>
      </w:r>
      <w:r w:rsidR="000D0560">
        <w:rPr>
          <w:rFonts w:asciiTheme="minorHAnsi" w:hAnsiTheme="minorHAnsi" w:cstheme="minorHAnsi"/>
          <w:sz w:val="22"/>
          <w:szCs w:val="22"/>
          <w:shd w:val="clear" w:color="auto" w:fill="FFFFFF"/>
        </w:rPr>
        <w:t>,</w:t>
      </w:r>
      <w:r w:rsidRPr="00FE1761">
        <w:rPr>
          <w:rFonts w:asciiTheme="minorHAnsi" w:hAnsiTheme="minorHAnsi" w:cstheme="minorHAnsi"/>
          <w:sz w:val="22"/>
          <w:szCs w:val="22"/>
          <w:shd w:val="clear" w:color="auto" w:fill="FFFFFF"/>
        </w:rPr>
        <w:t xml:space="preserve"> and Liu, G., 2024. Wasted food, wasted resources? A critical review of </w:t>
      </w:r>
      <w:r w:rsidR="00F549FF">
        <w:rPr>
          <w:rFonts w:asciiTheme="minorHAnsi" w:hAnsiTheme="minorHAnsi" w:cstheme="minorHAnsi"/>
          <w:sz w:val="22"/>
          <w:szCs w:val="22"/>
          <w:shd w:val="clear" w:color="auto" w:fill="FFFFFF"/>
        </w:rPr>
        <w:t xml:space="preserve">the </w:t>
      </w:r>
      <w:r w:rsidRPr="00FE1761">
        <w:rPr>
          <w:rFonts w:asciiTheme="minorHAnsi" w:hAnsiTheme="minorHAnsi" w:cstheme="minorHAnsi"/>
          <w:sz w:val="22"/>
          <w:szCs w:val="22"/>
          <w:shd w:val="clear" w:color="auto" w:fill="FFFFFF"/>
        </w:rPr>
        <w:t>environmental impact analysis of food loss and waste generation and treatment. </w:t>
      </w:r>
      <w:r w:rsidRPr="00FE1761">
        <w:rPr>
          <w:rFonts w:asciiTheme="minorHAnsi" w:hAnsiTheme="minorHAnsi" w:cstheme="minorHAnsi"/>
          <w:i/>
          <w:iCs/>
          <w:sz w:val="22"/>
          <w:szCs w:val="22"/>
          <w:shd w:val="clear" w:color="auto" w:fill="FFFFFF"/>
        </w:rPr>
        <w:t>Environmental Science &amp; Technology</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58</w:t>
      </w:r>
      <w:r w:rsidRPr="00FE1761">
        <w:rPr>
          <w:rFonts w:asciiTheme="minorHAnsi" w:hAnsiTheme="minorHAnsi" w:cstheme="minorHAnsi"/>
          <w:sz w:val="22"/>
          <w:szCs w:val="22"/>
          <w:shd w:val="clear" w:color="auto" w:fill="FFFFFF"/>
        </w:rPr>
        <w:t>(17), pp.7240-7255.</w:t>
      </w:r>
      <w:r w:rsidR="00957858">
        <w:rPr>
          <w:rFonts w:asciiTheme="minorHAnsi" w:hAnsiTheme="minorHAnsi" w:cstheme="minorHAnsi"/>
          <w:sz w:val="22"/>
          <w:szCs w:val="22"/>
          <w:shd w:val="clear" w:color="auto" w:fill="FFFFFF"/>
        </w:rPr>
        <w:t xml:space="preserve"> </w:t>
      </w:r>
      <w:hyperlink r:id="rId79" w:history="1">
        <w:r w:rsidR="00957858" w:rsidRPr="004B2764">
          <w:rPr>
            <w:rStyle w:val="Hyperlink"/>
            <w:rFonts w:asciiTheme="minorHAnsi" w:hAnsiTheme="minorHAnsi" w:cstheme="minorHAnsi"/>
            <w:sz w:val="22"/>
            <w:szCs w:val="22"/>
            <w:shd w:val="clear" w:color="auto" w:fill="FFFFFF"/>
          </w:rPr>
          <w:t>https://doi.org/10.1021/acs.est.3c08426</w:t>
        </w:r>
      </w:hyperlink>
    </w:p>
    <w:sectPr w:rsidR="00FE1761" w:rsidRPr="00FE1761" w:rsidSect="00931202">
      <w:headerReference w:type="even" r:id="rId80"/>
      <w:headerReference w:type="default" r:id="rId81"/>
      <w:footerReference w:type="even" r:id="rId82"/>
      <w:footerReference w:type="default" r:id="rId83"/>
      <w:headerReference w:type="first" r:id="rId84"/>
      <w:footerReference w:type="first" r:id="rId8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42CB5" w14:textId="77777777" w:rsidR="00853EF0" w:rsidRDefault="00853EF0" w:rsidP="00E03DE5">
      <w:pPr>
        <w:spacing w:after="0" w:line="240" w:lineRule="auto"/>
      </w:pPr>
      <w:r>
        <w:separator/>
      </w:r>
    </w:p>
  </w:endnote>
  <w:endnote w:type="continuationSeparator" w:id="0">
    <w:p w14:paraId="7BF6D900" w14:textId="77777777" w:rsidR="00853EF0" w:rsidRDefault="00853EF0"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079D" w14:textId="77777777" w:rsidR="00B23669" w:rsidRDefault="00B2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641F" w14:textId="5F0D3D16" w:rsidR="004F30A9" w:rsidRDefault="004F30A9">
    <w:pPr>
      <w:pStyle w:val="Footer"/>
    </w:pPr>
  </w:p>
  <w:p w14:paraId="19ED5068" w14:textId="77777777" w:rsidR="004F30A9" w:rsidRDefault="004F3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5BC5" w14:textId="77777777" w:rsidR="00B23669" w:rsidRDefault="00B23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A9D5" w14:textId="77777777" w:rsidR="00853EF0" w:rsidRDefault="00853EF0" w:rsidP="00E03DE5">
      <w:pPr>
        <w:spacing w:after="0" w:line="240" w:lineRule="auto"/>
      </w:pPr>
      <w:r>
        <w:separator/>
      </w:r>
    </w:p>
  </w:footnote>
  <w:footnote w:type="continuationSeparator" w:id="0">
    <w:p w14:paraId="4E0DE4E0" w14:textId="77777777" w:rsidR="00853EF0" w:rsidRDefault="00853EF0" w:rsidP="00E03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BBA9" w14:textId="27E38A2A" w:rsidR="00B23669" w:rsidRDefault="00B23669">
    <w:pPr>
      <w:pStyle w:val="Header"/>
    </w:pPr>
    <w:r>
      <w:rPr>
        <w:noProof/>
      </w:rPr>
      <w:pict w14:anchorId="01B8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91485"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FD98" w14:textId="0AA21042" w:rsidR="00B23669" w:rsidRDefault="00B23669">
    <w:pPr>
      <w:pStyle w:val="Header"/>
    </w:pPr>
    <w:r>
      <w:rPr>
        <w:noProof/>
      </w:rPr>
      <w:pict w14:anchorId="387F6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91486"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67CF" w14:textId="22A07778" w:rsidR="00B23669" w:rsidRDefault="00B23669">
    <w:pPr>
      <w:pStyle w:val="Header"/>
    </w:pPr>
    <w:r>
      <w:rPr>
        <w:noProof/>
      </w:rPr>
      <w:pict w14:anchorId="1CAC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91484"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15:restartNumberingAfterBreak="0">
    <w:nsid w:val="16573C20"/>
    <w:multiLevelType w:val="multilevel"/>
    <w:tmpl w:val="A5CE4C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0F15CE"/>
    <w:multiLevelType w:val="multilevel"/>
    <w:tmpl w:val="A5CE4C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46DB8"/>
    <w:multiLevelType w:val="multilevel"/>
    <w:tmpl w:val="03042F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893A59"/>
    <w:multiLevelType w:val="multilevel"/>
    <w:tmpl w:val="1E50473E"/>
    <w:lvl w:ilvl="0">
      <w:start w:val="1"/>
      <w:numFmt w:val="decimal"/>
      <w:lvlText w:val="%1."/>
      <w:lvlJc w:val="left"/>
      <w:pPr>
        <w:ind w:left="360" w:hanging="360"/>
      </w:pPr>
      <w:rPr>
        <w:rFonts w:asciiTheme="minorHAnsi" w:eastAsia="SimSun" w:hAnsiTheme="minorHAnsi" w:cstheme="minorHAns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438FE"/>
    <w:multiLevelType w:val="hybridMultilevel"/>
    <w:tmpl w:val="357AD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8" w15:restartNumberingAfterBreak="0">
    <w:nsid w:val="41146D54"/>
    <w:multiLevelType w:val="multilevel"/>
    <w:tmpl w:val="E7B818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6B2168"/>
    <w:multiLevelType w:val="multilevel"/>
    <w:tmpl w:val="4DD67E4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3" w15:restartNumberingAfterBreak="0">
    <w:nsid w:val="4EDA353A"/>
    <w:multiLevelType w:val="hybridMultilevel"/>
    <w:tmpl w:val="6FAA3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382BF4"/>
    <w:multiLevelType w:val="multilevel"/>
    <w:tmpl w:val="A5CE4C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D9295E"/>
    <w:multiLevelType w:val="multilevel"/>
    <w:tmpl w:val="6AEE9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69E831E3"/>
    <w:multiLevelType w:val="hybridMultilevel"/>
    <w:tmpl w:val="A2F05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49704F"/>
    <w:multiLevelType w:val="multilevel"/>
    <w:tmpl w:val="BD8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5EE0240"/>
    <w:multiLevelType w:val="hybridMultilevel"/>
    <w:tmpl w:val="1270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CB7B7F"/>
    <w:multiLevelType w:val="hybridMultilevel"/>
    <w:tmpl w:val="C8C0E0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0"/>
  </w:num>
  <w:num w:numId="3">
    <w:abstractNumId w:val="0"/>
  </w:num>
  <w:num w:numId="4">
    <w:abstractNumId w:val="22"/>
  </w:num>
  <w:num w:numId="5">
    <w:abstractNumId w:val="7"/>
  </w:num>
  <w:num w:numId="6">
    <w:abstractNumId w:val="17"/>
  </w:num>
  <w:num w:numId="7">
    <w:abstractNumId w:val="9"/>
    <w:lvlOverride w:ilvl="0">
      <w:startOverride w:val="1"/>
    </w:lvlOverride>
  </w:num>
  <w:num w:numId="8">
    <w:abstractNumId w:val="8"/>
  </w:num>
  <w:num w:numId="9">
    <w:abstractNumId w:val="12"/>
  </w:num>
  <w:num w:numId="10">
    <w:abstractNumId w:val="14"/>
  </w:num>
  <w:num w:numId="11">
    <w:abstractNumId w:val="10"/>
  </w:num>
  <w:num w:numId="12">
    <w:abstractNumId w:val="4"/>
  </w:num>
  <w:num w:numId="13">
    <w:abstractNumId w:val="6"/>
  </w:num>
  <w:num w:numId="14">
    <w:abstractNumId w:val="23"/>
  </w:num>
  <w:num w:numId="15">
    <w:abstractNumId w:val="11"/>
  </w:num>
  <w:num w:numId="16">
    <w:abstractNumId w:val="16"/>
  </w:num>
  <w:num w:numId="17">
    <w:abstractNumId w:val="13"/>
  </w:num>
  <w:num w:numId="18">
    <w:abstractNumId w:val="1"/>
  </w:num>
  <w:num w:numId="19">
    <w:abstractNumId w:val="19"/>
  </w:num>
  <w:num w:numId="20">
    <w:abstractNumId w:val="8"/>
  </w:num>
  <w:num w:numId="21">
    <w:abstractNumId w:val="3"/>
  </w:num>
  <w:num w:numId="22">
    <w:abstractNumId w:val="8"/>
  </w:num>
  <w:num w:numId="23">
    <w:abstractNumId w:val="21"/>
  </w:num>
  <w:num w:numId="24">
    <w:abstractNumId w:val="15"/>
  </w:num>
  <w:num w:numId="25">
    <w:abstractNumId w:val="5"/>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MjM3MjMzMzW3MDdT0lEKTi0uzszPAykwqwUAiRTJ6ywAAAA="/>
  </w:docVars>
  <w:rsids>
    <w:rsidRoot w:val="00C35615"/>
    <w:rsid w:val="0000235D"/>
    <w:rsid w:val="00003302"/>
    <w:rsid w:val="00003715"/>
    <w:rsid w:val="00010BED"/>
    <w:rsid w:val="000139F0"/>
    <w:rsid w:val="00013D81"/>
    <w:rsid w:val="000162CF"/>
    <w:rsid w:val="00016BB9"/>
    <w:rsid w:val="00016DBD"/>
    <w:rsid w:val="000170F2"/>
    <w:rsid w:val="0001725A"/>
    <w:rsid w:val="000226AE"/>
    <w:rsid w:val="00024938"/>
    <w:rsid w:val="00027A98"/>
    <w:rsid w:val="00027AEE"/>
    <w:rsid w:val="00031F04"/>
    <w:rsid w:val="000340A1"/>
    <w:rsid w:val="0003430C"/>
    <w:rsid w:val="0003536B"/>
    <w:rsid w:val="00041402"/>
    <w:rsid w:val="00041B2F"/>
    <w:rsid w:val="00044801"/>
    <w:rsid w:val="00045831"/>
    <w:rsid w:val="00057E74"/>
    <w:rsid w:val="00061A75"/>
    <w:rsid w:val="000628A1"/>
    <w:rsid w:val="00062F67"/>
    <w:rsid w:val="00063404"/>
    <w:rsid w:val="00063AAF"/>
    <w:rsid w:val="000659EF"/>
    <w:rsid w:val="000700FE"/>
    <w:rsid w:val="00071F5E"/>
    <w:rsid w:val="0007587E"/>
    <w:rsid w:val="000772CC"/>
    <w:rsid w:val="0008105D"/>
    <w:rsid w:val="0008670E"/>
    <w:rsid w:val="00093112"/>
    <w:rsid w:val="000933AA"/>
    <w:rsid w:val="000958EA"/>
    <w:rsid w:val="00097B3F"/>
    <w:rsid w:val="000A1375"/>
    <w:rsid w:val="000A38A3"/>
    <w:rsid w:val="000A4B56"/>
    <w:rsid w:val="000A5B32"/>
    <w:rsid w:val="000B2B9C"/>
    <w:rsid w:val="000B3054"/>
    <w:rsid w:val="000B3B3F"/>
    <w:rsid w:val="000B4B95"/>
    <w:rsid w:val="000B5077"/>
    <w:rsid w:val="000B64B5"/>
    <w:rsid w:val="000B7BAF"/>
    <w:rsid w:val="000C23CA"/>
    <w:rsid w:val="000C5DBD"/>
    <w:rsid w:val="000C6967"/>
    <w:rsid w:val="000C7E13"/>
    <w:rsid w:val="000D0560"/>
    <w:rsid w:val="000D1ADD"/>
    <w:rsid w:val="000D4420"/>
    <w:rsid w:val="000D47E9"/>
    <w:rsid w:val="000D4B94"/>
    <w:rsid w:val="000E06A7"/>
    <w:rsid w:val="000F4AFA"/>
    <w:rsid w:val="000F7D80"/>
    <w:rsid w:val="0010010B"/>
    <w:rsid w:val="00101590"/>
    <w:rsid w:val="00106867"/>
    <w:rsid w:val="00110010"/>
    <w:rsid w:val="00111625"/>
    <w:rsid w:val="00112575"/>
    <w:rsid w:val="00114E87"/>
    <w:rsid w:val="00120073"/>
    <w:rsid w:val="00123175"/>
    <w:rsid w:val="00125518"/>
    <w:rsid w:val="00125EEA"/>
    <w:rsid w:val="0012645D"/>
    <w:rsid w:val="001273C9"/>
    <w:rsid w:val="00133F4B"/>
    <w:rsid w:val="001342AE"/>
    <w:rsid w:val="001342F3"/>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DF6"/>
    <w:rsid w:val="00166F27"/>
    <w:rsid w:val="00166F81"/>
    <w:rsid w:val="00170605"/>
    <w:rsid w:val="00170FA3"/>
    <w:rsid w:val="00173FBF"/>
    <w:rsid w:val="001802E9"/>
    <w:rsid w:val="00180C7E"/>
    <w:rsid w:val="0018329E"/>
    <w:rsid w:val="00183A1F"/>
    <w:rsid w:val="0018455C"/>
    <w:rsid w:val="00184606"/>
    <w:rsid w:val="00185FDD"/>
    <w:rsid w:val="00186A0C"/>
    <w:rsid w:val="00187F4D"/>
    <w:rsid w:val="0019106A"/>
    <w:rsid w:val="001928CD"/>
    <w:rsid w:val="00194954"/>
    <w:rsid w:val="00196ED7"/>
    <w:rsid w:val="00197204"/>
    <w:rsid w:val="001B313F"/>
    <w:rsid w:val="001B48FD"/>
    <w:rsid w:val="001B7254"/>
    <w:rsid w:val="001B7FBF"/>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183E"/>
    <w:rsid w:val="001F44B7"/>
    <w:rsid w:val="001F4667"/>
    <w:rsid w:val="001F4B1C"/>
    <w:rsid w:val="001F7B36"/>
    <w:rsid w:val="00203AF1"/>
    <w:rsid w:val="00211AB8"/>
    <w:rsid w:val="00216672"/>
    <w:rsid w:val="002244FE"/>
    <w:rsid w:val="00224DCC"/>
    <w:rsid w:val="00226017"/>
    <w:rsid w:val="00232B56"/>
    <w:rsid w:val="00233D9C"/>
    <w:rsid w:val="002350B4"/>
    <w:rsid w:val="00240DE6"/>
    <w:rsid w:val="00241301"/>
    <w:rsid w:val="00241E6C"/>
    <w:rsid w:val="002448B0"/>
    <w:rsid w:val="002450B9"/>
    <w:rsid w:val="00247915"/>
    <w:rsid w:val="00251348"/>
    <w:rsid w:val="00252806"/>
    <w:rsid w:val="002539A1"/>
    <w:rsid w:val="00253FD9"/>
    <w:rsid w:val="00256AA3"/>
    <w:rsid w:val="002603A3"/>
    <w:rsid w:val="002606CE"/>
    <w:rsid w:val="00260AA2"/>
    <w:rsid w:val="00261C0B"/>
    <w:rsid w:val="0026385E"/>
    <w:rsid w:val="00264561"/>
    <w:rsid w:val="002652EE"/>
    <w:rsid w:val="00265D31"/>
    <w:rsid w:val="002728E6"/>
    <w:rsid w:val="00274242"/>
    <w:rsid w:val="0027471C"/>
    <w:rsid w:val="002759DC"/>
    <w:rsid w:val="00276AB0"/>
    <w:rsid w:val="00284883"/>
    <w:rsid w:val="00293604"/>
    <w:rsid w:val="00293DBF"/>
    <w:rsid w:val="00294B72"/>
    <w:rsid w:val="00296115"/>
    <w:rsid w:val="0029656E"/>
    <w:rsid w:val="002A4997"/>
    <w:rsid w:val="002A585A"/>
    <w:rsid w:val="002B0EF4"/>
    <w:rsid w:val="002B6466"/>
    <w:rsid w:val="002B6C50"/>
    <w:rsid w:val="002B6E2A"/>
    <w:rsid w:val="002B7269"/>
    <w:rsid w:val="002B78DA"/>
    <w:rsid w:val="002C0748"/>
    <w:rsid w:val="002C07AA"/>
    <w:rsid w:val="002C748C"/>
    <w:rsid w:val="002C79E7"/>
    <w:rsid w:val="002D44BB"/>
    <w:rsid w:val="002D645A"/>
    <w:rsid w:val="002E3ACB"/>
    <w:rsid w:val="002E5789"/>
    <w:rsid w:val="002E6CA8"/>
    <w:rsid w:val="002E7613"/>
    <w:rsid w:val="002E7D1C"/>
    <w:rsid w:val="002F0AB9"/>
    <w:rsid w:val="002F0EE7"/>
    <w:rsid w:val="002F7E1F"/>
    <w:rsid w:val="00300A00"/>
    <w:rsid w:val="003021B9"/>
    <w:rsid w:val="0030364A"/>
    <w:rsid w:val="00303D48"/>
    <w:rsid w:val="003048FB"/>
    <w:rsid w:val="00304E00"/>
    <w:rsid w:val="0030784E"/>
    <w:rsid w:val="00314ECC"/>
    <w:rsid w:val="0031622E"/>
    <w:rsid w:val="00322D6A"/>
    <w:rsid w:val="00324AB8"/>
    <w:rsid w:val="00330260"/>
    <w:rsid w:val="003332CA"/>
    <w:rsid w:val="00333A3D"/>
    <w:rsid w:val="0033445A"/>
    <w:rsid w:val="00335BE1"/>
    <w:rsid w:val="0033641E"/>
    <w:rsid w:val="0033774F"/>
    <w:rsid w:val="00341610"/>
    <w:rsid w:val="00341AD5"/>
    <w:rsid w:val="00341D46"/>
    <w:rsid w:val="003437FE"/>
    <w:rsid w:val="00343A35"/>
    <w:rsid w:val="003513C5"/>
    <w:rsid w:val="003537FA"/>
    <w:rsid w:val="0035603D"/>
    <w:rsid w:val="00356198"/>
    <w:rsid w:val="00356648"/>
    <w:rsid w:val="00363356"/>
    <w:rsid w:val="0036412D"/>
    <w:rsid w:val="0036441C"/>
    <w:rsid w:val="00366071"/>
    <w:rsid w:val="00366BC5"/>
    <w:rsid w:val="003712DB"/>
    <w:rsid w:val="00375C98"/>
    <w:rsid w:val="00375D93"/>
    <w:rsid w:val="00376BDF"/>
    <w:rsid w:val="00381935"/>
    <w:rsid w:val="00384EDE"/>
    <w:rsid w:val="00392C26"/>
    <w:rsid w:val="003949EC"/>
    <w:rsid w:val="003A2896"/>
    <w:rsid w:val="003A76DC"/>
    <w:rsid w:val="003B0DD0"/>
    <w:rsid w:val="003B42E3"/>
    <w:rsid w:val="003B4AAB"/>
    <w:rsid w:val="003B5345"/>
    <w:rsid w:val="003B6B99"/>
    <w:rsid w:val="003C3231"/>
    <w:rsid w:val="003C595E"/>
    <w:rsid w:val="003D2421"/>
    <w:rsid w:val="003D2587"/>
    <w:rsid w:val="003D5671"/>
    <w:rsid w:val="003E0B2A"/>
    <w:rsid w:val="003E179F"/>
    <w:rsid w:val="003E362D"/>
    <w:rsid w:val="003E37E6"/>
    <w:rsid w:val="003E4EFC"/>
    <w:rsid w:val="003E660D"/>
    <w:rsid w:val="003E780B"/>
    <w:rsid w:val="003F1D98"/>
    <w:rsid w:val="003F25DE"/>
    <w:rsid w:val="003F422F"/>
    <w:rsid w:val="003F4319"/>
    <w:rsid w:val="003F444E"/>
    <w:rsid w:val="003F521D"/>
    <w:rsid w:val="003F66B9"/>
    <w:rsid w:val="003F6E77"/>
    <w:rsid w:val="004013C2"/>
    <w:rsid w:val="004019A6"/>
    <w:rsid w:val="00407661"/>
    <w:rsid w:val="004161EF"/>
    <w:rsid w:val="004164E4"/>
    <w:rsid w:val="0041669C"/>
    <w:rsid w:val="004176A4"/>
    <w:rsid w:val="00417AEF"/>
    <w:rsid w:val="00422A9D"/>
    <w:rsid w:val="004241C0"/>
    <w:rsid w:val="00425632"/>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3749"/>
    <w:rsid w:val="004657AA"/>
    <w:rsid w:val="004670A2"/>
    <w:rsid w:val="0046770B"/>
    <w:rsid w:val="004677DC"/>
    <w:rsid w:val="0047117A"/>
    <w:rsid w:val="004721EC"/>
    <w:rsid w:val="00473778"/>
    <w:rsid w:val="00473FD1"/>
    <w:rsid w:val="0047576E"/>
    <w:rsid w:val="00475926"/>
    <w:rsid w:val="004805F8"/>
    <w:rsid w:val="004808B1"/>
    <w:rsid w:val="00482414"/>
    <w:rsid w:val="00482E0D"/>
    <w:rsid w:val="0048313F"/>
    <w:rsid w:val="0048500D"/>
    <w:rsid w:val="0048563E"/>
    <w:rsid w:val="00485A06"/>
    <w:rsid w:val="0049364D"/>
    <w:rsid w:val="00495BDB"/>
    <w:rsid w:val="004B4618"/>
    <w:rsid w:val="004B4B0E"/>
    <w:rsid w:val="004C204F"/>
    <w:rsid w:val="004C2B7C"/>
    <w:rsid w:val="004C30DE"/>
    <w:rsid w:val="004C619E"/>
    <w:rsid w:val="004C6AD6"/>
    <w:rsid w:val="004D08D2"/>
    <w:rsid w:val="004D3B5C"/>
    <w:rsid w:val="004D3E3E"/>
    <w:rsid w:val="004D4BF4"/>
    <w:rsid w:val="004D6559"/>
    <w:rsid w:val="004D66D7"/>
    <w:rsid w:val="004E1FA3"/>
    <w:rsid w:val="004F30A9"/>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5576"/>
    <w:rsid w:val="005375BA"/>
    <w:rsid w:val="00541238"/>
    <w:rsid w:val="005439C1"/>
    <w:rsid w:val="00544F5B"/>
    <w:rsid w:val="00546C88"/>
    <w:rsid w:val="005520D3"/>
    <w:rsid w:val="00554A5D"/>
    <w:rsid w:val="00556092"/>
    <w:rsid w:val="00556CE5"/>
    <w:rsid w:val="005622C0"/>
    <w:rsid w:val="005644CE"/>
    <w:rsid w:val="005767CB"/>
    <w:rsid w:val="0057786D"/>
    <w:rsid w:val="00580C5D"/>
    <w:rsid w:val="005821F1"/>
    <w:rsid w:val="0058659F"/>
    <w:rsid w:val="00592987"/>
    <w:rsid w:val="00593669"/>
    <w:rsid w:val="00594A86"/>
    <w:rsid w:val="00596CE4"/>
    <w:rsid w:val="00596DB3"/>
    <w:rsid w:val="00597928"/>
    <w:rsid w:val="005A02F3"/>
    <w:rsid w:val="005A07DF"/>
    <w:rsid w:val="005A4238"/>
    <w:rsid w:val="005A6558"/>
    <w:rsid w:val="005A657C"/>
    <w:rsid w:val="005A6EBA"/>
    <w:rsid w:val="005A7AA9"/>
    <w:rsid w:val="005B1B88"/>
    <w:rsid w:val="005B5324"/>
    <w:rsid w:val="005B7147"/>
    <w:rsid w:val="005C0BE9"/>
    <w:rsid w:val="005C280A"/>
    <w:rsid w:val="005C3F59"/>
    <w:rsid w:val="005C52CE"/>
    <w:rsid w:val="005C7956"/>
    <w:rsid w:val="005C7DA0"/>
    <w:rsid w:val="005D11E0"/>
    <w:rsid w:val="005D1B4D"/>
    <w:rsid w:val="005D5C70"/>
    <w:rsid w:val="005D65EF"/>
    <w:rsid w:val="005D71E7"/>
    <w:rsid w:val="005E01D5"/>
    <w:rsid w:val="005E10E3"/>
    <w:rsid w:val="005E28CB"/>
    <w:rsid w:val="005E29AB"/>
    <w:rsid w:val="005E54DB"/>
    <w:rsid w:val="005E775E"/>
    <w:rsid w:val="0060094A"/>
    <w:rsid w:val="006016E4"/>
    <w:rsid w:val="00602A4F"/>
    <w:rsid w:val="00604E42"/>
    <w:rsid w:val="00606A63"/>
    <w:rsid w:val="00606C63"/>
    <w:rsid w:val="00606F8A"/>
    <w:rsid w:val="00615AC3"/>
    <w:rsid w:val="00615F8F"/>
    <w:rsid w:val="006163AD"/>
    <w:rsid w:val="00621999"/>
    <w:rsid w:val="00622E1B"/>
    <w:rsid w:val="00625018"/>
    <w:rsid w:val="00626931"/>
    <w:rsid w:val="00626BE9"/>
    <w:rsid w:val="00627D58"/>
    <w:rsid w:val="00627E0E"/>
    <w:rsid w:val="00634A7B"/>
    <w:rsid w:val="00636494"/>
    <w:rsid w:val="0063794C"/>
    <w:rsid w:val="006410D4"/>
    <w:rsid w:val="00641340"/>
    <w:rsid w:val="006426BB"/>
    <w:rsid w:val="00643117"/>
    <w:rsid w:val="0064350F"/>
    <w:rsid w:val="00644E35"/>
    <w:rsid w:val="00646CB6"/>
    <w:rsid w:val="00647679"/>
    <w:rsid w:val="0065075F"/>
    <w:rsid w:val="00651123"/>
    <w:rsid w:val="00653047"/>
    <w:rsid w:val="00653D85"/>
    <w:rsid w:val="00654B74"/>
    <w:rsid w:val="00655202"/>
    <w:rsid w:val="0065675E"/>
    <w:rsid w:val="00661326"/>
    <w:rsid w:val="0066540F"/>
    <w:rsid w:val="006659C1"/>
    <w:rsid w:val="00666717"/>
    <w:rsid w:val="00667384"/>
    <w:rsid w:val="006752EC"/>
    <w:rsid w:val="006773E5"/>
    <w:rsid w:val="006815FB"/>
    <w:rsid w:val="00682573"/>
    <w:rsid w:val="0069377F"/>
    <w:rsid w:val="006952D9"/>
    <w:rsid w:val="00695FD7"/>
    <w:rsid w:val="00696996"/>
    <w:rsid w:val="006A2027"/>
    <w:rsid w:val="006A4B58"/>
    <w:rsid w:val="006A5382"/>
    <w:rsid w:val="006A731C"/>
    <w:rsid w:val="006A7B8D"/>
    <w:rsid w:val="006B1902"/>
    <w:rsid w:val="006B3F3A"/>
    <w:rsid w:val="006B54AF"/>
    <w:rsid w:val="006B57C3"/>
    <w:rsid w:val="006C10B3"/>
    <w:rsid w:val="006C24A5"/>
    <w:rsid w:val="006C2D23"/>
    <w:rsid w:val="006C3F81"/>
    <w:rsid w:val="006C444E"/>
    <w:rsid w:val="006C4D88"/>
    <w:rsid w:val="006C539B"/>
    <w:rsid w:val="006C697F"/>
    <w:rsid w:val="006C7265"/>
    <w:rsid w:val="006C7EB4"/>
    <w:rsid w:val="006D08F8"/>
    <w:rsid w:val="006D137A"/>
    <w:rsid w:val="006D2779"/>
    <w:rsid w:val="006D6BE5"/>
    <w:rsid w:val="006D7EE5"/>
    <w:rsid w:val="006E14C0"/>
    <w:rsid w:val="006E1622"/>
    <w:rsid w:val="006E2098"/>
    <w:rsid w:val="006E27AD"/>
    <w:rsid w:val="006E3B25"/>
    <w:rsid w:val="006E42A9"/>
    <w:rsid w:val="006E520E"/>
    <w:rsid w:val="006E72E5"/>
    <w:rsid w:val="006F146B"/>
    <w:rsid w:val="006F457A"/>
    <w:rsid w:val="006F4926"/>
    <w:rsid w:val="006F6C63"/>
    <w:rsid w:val="006F749E"/>
    <w:rsid w:val="007022B3"/>
    <w:rsid w:val="00702741"/>
    <w:rsid w:val="00703E20"/>
    <w:rsid w:val="00705303"/>
    <w:rsid w:val="0070622D"/>
    <w:rsid w:val="00706A3E"/>
    <w:rsid w:val="007072AE"/>
    <w:rsid w:val="00707737"/>
    <w:rsid w:val="00707886"/>
    <w:rsid w:val="00707C41"/>
    <w:rsid w:val="00710509"/>
    <w:rsid w:val="00711E12"/>
    <w:rsid w:val="00725842"/>
    <w:rsid w:val="007258C9"/>
    <w:rsid w:val="007275A7"/>
    <w:rsid w:val="007320E0"/>
    <w:rsid w:val="00734864"/>
    <w:rsid w:val="00736CF6"/>
    <w:rsid w:val="00737327"/>
    <w:rsid w:val="00743386"/>
    <w:rsid w:val="00744257"/>
    <w:rsid w:val="0074548A"/>
    <w:rsid w:val="00746F50"/>
    <w:rsid w:val="00746FA8"/>
    <w:rsid w:val="007470E4"/>
    <w:rsid w:val="007508D2"/>
    <w:rsid w:val="00750F1A"/>
    <w:rsid w:val="007535C7"/>
    <w:rsid w:val="00753DCE"/>
    <w:rsid w:val="00756AD0"/>
    <w:rsid w:val="00757601"/>
    <w:rsid w:val="0076078D"/>
    <w:rsid w:val="0076098B"/>
    <w:rsid w:val="0076128A"/>
    <w:rsid w:val="007612FF"/>
    <w:rsid w:val="00762766"/>
    <w:rsid w:val="00762CDC"/>
    <w:rsid w:val="00763A7C"/>
    <w:rsid w:val="0076422F"/>
    <w:rsid w:val="00770B3F"/>
    <w:rsid w:val="00771076"/>
    <w:rsid w:val="007715F6"/>
    <w:rsid w:val="0078126E"/>
    <w:rsid w:val="007820C6"/>
    <w:rsid w:val="00790CC2"/>
    <w:rsid w:val="00790D5E"/>
    <w:rsid w:val="00793078"/>
    <w:rsid w:val="0079372B"/>
    <w:rsid w:val="0079730C"/>
    <w:rsid w:val="00797691"/>
    <w:rsid w:val="00797875"/>
    <w:rsid w:val="007A07A8"/>
    <w:rsid w:val="007A350D"/>
    <w:rsid w:val="007A4BD1"/>
    <w:rsid w:val="007A7428"/>
    <w:rsid w:val="007A7897"/>
    <w:rsid w:val="007B36A9"/>
    <w:rsid w:val="007B5F7F"/>
    <w:rsid w:val="007C1C30"/>
    <w:rsid w:val="007C1F16"/>
    <w:rsid w:val="007C2037"/>
    <w:rsid w:val="007C3791"/>
    <w:rsid w:val="007C4239"/>
    <w:rsid w:val="007C6399"/>
    <w:rsid w:val="007D0CCD"/>
    <w:rsid w:val="007D19DD"/>
    <w:rsid w:val="007D49CD"/>
    <w:rsid w:val="007D7274"/>
    <w:rsid w:val="007D77DA"/>
    <w:rsid w:val="007E4DFE"/>
    <w:rsid w:val="007E4F28"/>
    <w:rsid w:val="007E7416"/>
    <w:rsid w:val="007F1C63"/>
    <w:rsid w:val="007F39E4"/>
    <w:rsid w:val="007F3E2A"/>
    <w:rsid w:val="007F54DD"/>
    <w:rsid w:val="00804182"/>
    <w:rsid w:val="00805C24"/>
    <w:rsid w:val="008078F5"/>
    <w:rsid w:val="00815693"/>
    <w:rsid w:val="00815E0F"/>
    <w:rsid w:val="00816BDB"/>
    <w:rsid w:val="00820D27"/>
    <w:rsid w:val="00822CA4"/>
    <w:rsid w:val="00823606"/>
    <w:rsid w:val="00825D60"/>
    <w:rsid w:val="0082646D"/>
    <w:rsid w:val="008275B4"/>
    <w:rsid w:val="00832694"/>
    <w:rsid w:val="008329D7"/>
    <w:rsid w:val="008332C8"/>
    <w:rsid w:val="00834983"/>
    <w:rsid w:val="008412B8"/>
    <w:rsid w:val="00843C8A"/>
    <w:rsid w:val="00844647"/>
    <w:rsid w:val="008447D8"/>
    <w:rsid w:val="008503D9"/>
    <w:rsid w:val="0085398F"/>
    <w:rsid w:val="00853EF0"/>
    <w:rsid w:val="0085401F"/>
    <w:rsid w:val="0085454D"/>
    <w:rsid w:val="0085542E"/>
    <w:rsid w:val="00856D57"/>
    <w:rsid w:val="008604C3"/>
    <w:rsid w:val="00860FCB"/>
    <w:rsid w:val="00861780"/>
    <w:rsid w:val="008624C2"/>
    <w:rsid w:val="00866119"/>
    <w:rsid w:val="00866BF1"/>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A7E58"/>
    <w:rsid w:val="008B2787"/>
    <w:rsid w:val="008B294B"/>
    <w:rsid w:val="008B2DD8"/>
    <w:rsid w:val="008B4C40"/>
    <w:rsid w:val="008B533D"/>
    <w:rsid w:val="008B78B4"/>
    <w:rsid w:val="008C11E7"/>
    <w:rsid w:val="008C1967"/>
    <w:rsid w:val="008C1C30"/>
    <w:rsid w:val="008C1DF8"/>
    <w:rsid w:val="008C2B56"/>
    <w:rsid w:val="008C4B62"/>
    <w:rsid w:val="008C5184"/>
    <w:rsid w:val="008D01C3"/>
    <w:rsid w:val="008D60C7"/>
    <w:rsid w:val="008D62C5"/>
    <w:rsid w:val="008D72C0"/>
    <w:rsid w:val="008E3670"/>
    <w:rsid w:val="008E4753"/>
    <w:rsid w:val="008E4C56"/>
    <w:rsid w:val="008E53B1"/>
    <w:rsid w:val="008F0265"/>
    <w:rsid w:val="008F17D6"/>
    <w:rsid w:val="008F358E"/>
    <w:rsid w:val="008F53C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1202"/>
    <w:rsid w:val="00935216"/>
    <w:rsid w:val="009367B6"/>
    <w:rsid w:val="00936829"/>
    <w:rsid w:val="00936F5A"/>
    <w:rsid w:val="009374A6"/>
    <w:rsid w:val="00947311"/>
    <w:rsid w:val="00947BDE"/>
    <w:rsid w:val="009520F3"/>
    <w:rsid w:val="00952C2A"/>
    <w:rsid w:val="00952C3B"/>
    <w:rsid w:val="00956444"/>
    <w:rsid w:val="00956ACC"/>
    <w:rsid w:val="009571D9"/>
    <w:rsid w:val="00957858"/>
    <w:rsid w:val="00961513"/>
    <w:rsid w:val="00962A29"/>
    <w:rsid w:val="0096475F"/>
    <w:rsid w:val="00965C57"/>
    <w:rsid w:val="00965F9A"/>
    <w:rsid w:val="00966CB6"/>
    <w:rsid w:val="00970855"/>
    <w:rsid w:val="00973592"/>
    <w:rsid w:val="009773EA"/>
    <w:rsid w:val="0097781C"/>
    <w:rsid w:val="00980FFF"/>
    <w:rsid w:val="00981023"/>
    <w:rsid w:val="00981849"/>
    <w:rsid w:val="00992C9E"/>
    <w:rsid w:val="009965A0"/>
    <w:rsid w:val="00997249"/>
    <w:rsid w:val="009A1D97"/>
    <w:rsid w:val="009A4C59"/>
    <w:rsid w:val="009A4CC1"/>
    <w:rsid w:val="009B2D13"/>
    <w:rsid w:val="009B4F46"/>
    <w:rsid w:val="009B53DB"/>
    <w:rsid w:val="009B56C9"/>
    <w:rsid w:val="009B5DD7"/>
    <w:rsid w:val="009C4E6C"/>
    <w:rsid w:val="009C5DE0"/>
    <w:rsid w:val="009C76BC"/>
    <w:rsid w:val="009D0BEE"/>
    <w:rsid w:val="009D2686"/>
    <w:rsid w:val="009D279B"/>
    <w:rsid w:val="009D3094"/>
    <w:rsid w:val="009D58E8"/>
    <w:rsid w:val="009D69F4"/>
    <w:rsid w:val="009E13D0"/>
    <w:rsid w:val="009E3AAB"/>
    <w:rsid w:val="009E40DB"/>
    <w:rsid w:val="009E6CE6"/>
    <w:rsid w:val="009F085E"/>
    <w:rsid w:val="009F4C27"/>
    <w:rsid w:val="00A00216"/>
    <w:rsid w:val="00A00405"/>
    <w:rsid w:val="00A03CEC"/>
    <w:rsid w:val="00A042F1"/>
    <w:rsid w:val="00A12703"/>
    <w:rsid w:val="00A12832"/>
    <w:rsid w:val="00A12D78"/>
    <w:rsid w:val="00A225B4"/>
    <w:rsid w:val="00A30C61"/>
    <w:rsid w:val="00A34191"/>
    <w:rsid w:val="00A36BCF"/>
    <w:rsid w:val="00A3749B"/>
    <w:rsid w:val="00A44893"/>
    <w:rsid w:val="00A521BD"/>
    <w:rsid w:val="00A546BE"/>
    <w:rsid w:val="00A54B58"/>
    <w:rsid w:val="00A564E6"/>
    <w:rsid w:val="00A56B44"/>
    <w:rsid w:val="00A577DE"/>
    <w:rsid w:val="00A577FC"/>
    <w:rsid w:val="00A605AA"/>
    <w:rsid w:val="00A60FB3"/>
    <w:rsid w:val="00A633C1"/>
    <w:rsid w:val="00A6378A"/>
    <w:rsid w:val="00A6729C"/>
    <w:rsid w:val="00A67DAA"/>
    <w:rsid w:val="00A715D8"/>
    <w:rsid w:val="00A71DF0"/>
    <w:rsid w:val="00A722AC"/>
    <w:rsid w:val="00A747FA"/>
    <w:rsid w:val="00A7692C"/>
    <w:rsid w:val="00A776A4"/>
    <w:rsid w:val="00A810AA"/>
    <w:rsid w:val="00A8254D"/>
    <w:rsid w:val="00A86F14"/>
    <w:rsid w:val="00A90F02"/>
    <w:rsid w:val="00A90FAA"/>
    <w:rsid w:val="00A91124"/>
    <w:rsid w:val="00A93B85"/>
    <w:rsid w:val="00A945FB"/>
    <w:rsid w:val="00A95D92"/>
    <w:rsid w:val="00AA6CB4"/>
    <w:rsid w:val="00AB0922"/>
    <w:rsid w:val="00AB1449"/>
    <w:rsid w:val="00AB429A"/>
    <w:rsid w:val="00AB5FD4"/>
    <w:rsid w:val="00AB65D7"/>
    <w:rsid w:val="00AB6F18"/>
    <w:rsid w:val="00AC317C"/>
    <w:rsid w:val="00AC4AB6"/>
    <w:rsid w:val="00AC5486"/>
    <w:rsid w:val="00AD05B9"/>
    <w:rsid w:val="00AD1717"/>
    <w:rsid w:val="00AD2176"/>
    <w:rsid w:val="00AD4003"/>
    <w:rsid w:val="00AD437F"/>
    <w:rsid w:val="00AD4E22"/>
    <w:rsid w:val="00AE3A09"/>
    <w:rsid w:val="00AE5442"/>
    <w:rsid w:val="00AE66C6"/>
    <w:rsid w:val="00AE707F"/>
    <w:rsid w:val="00AF3157"/>
    <w:rsid w:val="00AF55B6"/>
    <w:rsid w:val="00AF7396"/>
    <w:rsid w:val="00B00F79"/>
    <w:rsid w:val="00B03F3B"/>
    <w:rsid w:val="00B0610F"/>
    <w:rsid w:val="00B062B4"/>
    <w:rsid w:val="00B07178"/>
    <w:rsid w:val="00B07983"/>
    <w:rsid w:val="00B13D8C"/>
    <w:rsid w:val="00B1431C"/>
    <w:rsid w:val="00B17754"/>
    <w:rsid w:val="00B20B23"/>
    <w:rsid w:val="00B233A1"/>
    <w:rsid w:val="00B23669"/>
    <w:rsid w:val="00B25E0C"/>
    <w:rsid w:val="00B26EA2"/>
    <w:rsid w:val="00B27B48"/>
    <w:rsid w:val="00B31CCE"/>
    <w:rsid w:val="00B34C84"/>
    <w:rsid w:val="00B34ED5"/>
    <w:rsid w:val="00B3505E"/>
    <w:rsid w:val="00B3523E"/>
    <w:rsid w:val="00B359FE"/>
    <w:rsid w:val="00B37A2A"/>
    <w:rsid w:val="00B4176C"/>
    <w:rsid w:val="00B45D4E"/>
    <w:rsid w:val="00B55961"/>
    <w:rsid w:val="00B57385"/>
    <w:rsid w:val="00B63C30"/>
    <w:rsid w:val="00B6418D"/>
    <w:rsid w:val="00B7701F"/>
    <w:rsid w:val="00B7775D"/>
    <w:rsid w:val="00B77A87"/>
    <w:rsid w:val="00B802AA"/>
    <w:rsid w:val="00B805A9"/>
    <w:rsid w:val="00B82342"/>
    <w:rsid w:val="00B83276"/>
    <w:rsid w:val="00B84078"/>
    <w:rsid w:val="00B85855"/>
    <w:rsid w:val="00B8629C"/>
    <w:rsid w:val="00B87299"/>
    <w:rsid w:val="00B9708F"/>
    <w:rsid w:val="00B979C1"/>
    <w:rsid w:val="00BA084A"/>
    <w:rsid w:val="00BA2FF6"/>
    <w:rsid w:val="00BA3E77"/>
    <w:rsid w:val="00BA43BB"/>
    <w:rsid w:val="00BA5842"/>
    <w:rsid w:val="00BA650D"/>
    <w:rsid w:val="00BB09E5"/>
    <w:rsid w:val="00BB5171"/>
    <w:rsid w:val="00BC1142"/>
    <w:rsid w:val="00BC1A1A"/>
    <w:rsid w:val="00BC6CD4"/>
    <w:rsid w:val="00BD34A6"/>
    <w:rsid w:val="00BD6618"/>
    <w:rsid w:val="00BD6CD5"/>
    <w:rsid w:val="00BD6D97"/>
    <w:rsid w:val="00BE1CE1"/>
    <w:rsid w:val="00BE266E"/>
    <w:rsid w:val="00BE6058"/>
    <w:rsid w:val="00BE7D83"/>
    <w:rsid w:val="00BF2534"/>
    <w:rsid w:val="00BF3F06"/>
    <w:rsid w:val="00BF4CB8"/>
    <w:rsid w:val="00BF6ED8"/>
    <w:rsid w:val="00C02661"/>
    <w:rsid w:val="00C06524"/>
    <w:rsid w:val="00C112D2"/>
    <w:rsid w:val="00C1212B"/>
    <w:rsid w:val="00C14609"/>
    <w:rsid w:val="00C15B55"/>
    <w:rsid w:val="00C16548"/>
    <w:rsid w:val="00C17F43"/>
    <w:rsid w:val="00C204C8"/>
    <w:rsid w:val="00C21BFA"/>
    <w:rsid w:val="00C25904"/>
    <w:rsid w:val="00C265E6"/>
    <w:rsid w:val="00C27B35"/>
    <w:rsid w:val="00C3044D"/>
    <w:rsid w:val="00C34A5C"/>
    <w:rsid w:val="00C35615"/>
    <w:rsid w:val="00C35FD8"/>
    <w:rsid w:val="00C37361"/>
    <w:rsid w:val="00C41109"/>
    <w:rsid w:val="00C505DD"/>
    <w:rsid w:val="00C5251B"/>
    <w:rsid w:val="00C52663"/>
    <w:rsid w:val="00C52C4E"/>
    <w:rsid w:val="00C541C9"/>
    <w:rsid w:val="00C542F3"/>
    <w:rsid w:val="00C56207"/>
    <w:rsid w:val="00C56E6B"/>
    <w:rsid w:val="00C62788"/>
    <w:rsid w:val="00C64B2C"/>
    <w:rsid w:val="00C716B8"/>
    <w:rsid w:val="00C746C9"/>
    <w:rsid w:val="00C76993"/>
    <w:rsid w:val="00C80DB4"/>
    <w:rsid w:val="00C82749"/>
    <w:rsid w:val="00C86FB1"/>
    <w:rsid w:val="00C9092F"/>
    <w:rsid w:val="00C93855"/>
    <w:rsid w:val="00C938A3"/>
    <w:rsid w:val="00C946AD"/>
    <w:rsid w:val="00C94E35"/>
    <w:rsid w:val="00CA2BA7"/>
    <w:rsid w:val="00CA6526"/>
    <w:rsid w:val="00CB1DD3"/>
    <w:rsid w:val="00CB2003"/>
    <w:rsid w:val="00CB4191"/>
    <w:rsid w:val="00CC2273"/>
    <w:rsid w:val="00CC2392"/>
    <w:rsid w:val="00CC7159"/>
    <w:rsid w:val="00CC7C60"/>
    <w:rsid w:val="00CC7D78"/>
    <w:rsid w:val="00CD189B"/>
    <w:rsid w:val="00CD1923"/>
    <w:rsid w:val="00CD27A4"/>
    <w:rsid w:val="00CD29EA"/>
    <w:rsid w:val="00CD519A"/>
    <w:rsid w:val="00CD58E7"/>
    <w:rsid w:val="00CD5DA0"/>
    <w:rsid w:val="00CE1170"/>
    <w:rsid w:val="00CE1DA3"/>
    <w:rsid w:val="00CE1F20"/>
    <w:rsid w:val="00CE773D"/>
    <w:rsid w:val="00CF03D6"/>
    <w:rsid w:val="00CF0917"/>
    <w:rsid w:val="00CF60FC"/>
    <w:rsid w:val="00D0041A"/>
    <w:rsid w:val="00D051E3"/>
    <w:rsid w:val="00D05507"/>
    <w:rsid w:val="00D05D8B"/>
    <w:rsid w:val="00D06286"/>
    <w:rsid w:val="00D065EE"/>
    <w:rsid w:val="00D068B4"/>
    <w:rsid w:val="00D12F6A"/>
    <w:rsid w:val="00D157F7"/>
    <w:rsid w:val="00D20FCF"/>
    <w:rsid w:val="00D219E6"/>
    <w:rsid w:val="00D2288A"/>
    <w:rsid w:val="00D23295"/>
    <w:rsid w:val="00D26B32"/>
    <w:rsid w:val="00D26DD3"/>
    <w:rsid w:val="00D2709F"/>
    <w:rsid w:val="00D27DCD"/>
    <w:rsid w:val="00D305B3"/>
    <w:rsid w:val="00D30D7D"/>
    <w:rsid w:val="00D311CC"/>
    <w:rsid w:val="00D3397C"/>
    <w:rsid w:val="00D33A7C"/>
    <w:rsid w:val="00D376C2"/>
    <w:rsid w:val="00D42D1B"/>
    <w:rsid w:val="00D456ED"/>
    <w:rsid w:val="00D46FE5"/>
    <w:rsid w:val="00D52040"/>
    <w:rsid w:val="00D60184"/>
    <w:rsid w:val="00D65E10"/>
    <w:rsid w:val="00D66916"/>
    <w:rsid w:val="00D66CC2"/>
    <w:rsid w:val="00D66D15"/>
    <w:rsid w:val="00D73AE3"/>
    <w:rsid w:val="00D7449B"/>
    <w:rsid w:val="00D749EE"/>
    <w:rsid w:val="00D81880"/>
    <w:rsid w:val="00D92977"/>
    <w:rsid w:val="00D93837"/>
    <w:rsid w:val="00D9691C"/>
    <w:rsid w:val="00D97638"/>
    <w:rsid w:val="00DA1760"/>
    <w:rsid w:val="00DA1F83"/>
    <w:rsid w:val="00DA53A4"/>
    <w:rsid w:val="00DB032F"/>
    <w:rsid w:val="00DB0CA8"/>
    <w:rsid w:val="00DB24E0"/>
    <w:rsid w:val="00DB330A"/>
    <w:rsid w:val="00DB356B"/>
    <w:rsid w:val="00DB5A5A"/>
    <w:rsid w:val="00DC0EBD"/>
    <w:rsid w:val="00DC2832"/>
    <w:rsid w:val="00DC60AE"/>
    <w:rsid w:val="00DD031C"/>
    <w:rsid w:val="00DD2D05"/>
    <w:rsid w:val="00DD5082"/>
    <w:rsid w:val="00DD5631"/>
    <w:rsid w:val="00DD5CD9"/>
    <w:rsid w:val="00DD700E"/>
    <w:rsid w:val="00DD7FED"/>
    <w:rsid w:val="00DE172F"/>
    <w:rsid w:val="00DE2B86"/>
    <w:rsid w:val="00DE49C4"/>
    <w:rsid w:val="00DE56B1"/>
    <w:rsid w:val="00DF30B9"/>
    <w:rsid w:val="00DF50EB"/>
    <w:rsid w:val="00DF64DA"/>
    <w:rsid w:val="00DF66BA"/>
    <w:rsid w:val="00E03DE5"/>
    <w:rsid w:val="00E04F94"/>
    <w:rsid w:val="00E06618"/>
    <w:rsid w:val="00E111B1"/>
    <w:rsid w:val="00E11CDF"/>
    <w:rsid w:val="00E12274"/>
    <w:rsid w:val="00E12C2C"/>
    <w:rsid w:val="00E138F2"/>
    <w:rsid w:val="00E1487B"/>
    <w:rsid w:val="00E216F4"/>
    <w:rsid w:val="00E23C87"/>
    <w:rsid w:val="00E2461F"/>
    <w:rsid w:val="00E266B2"/>
    <w:rsid w:val="00E30579"/>
    <w:rsid w:val="00E422BC"/>
    <w:rsid w:val="00E4308C"/>
    <w:rsid w:val="00E47B90"/>
    <w:rsid w:val="00E5230F"/>
    <w:rsid w:val="00E534C4"/>
    <w:rsid w:val="00E568DB"/>
    <w:rsid w:val="00E6338F"/>
    <w:rsid w:val="00E7207F"/>
    <w:rsid w:val="00E772B9"/>
    <w:rsid w:val="00E80569"/>
    <w:rsid w:val="00E811AA"/>
    <w:rsid w:val="00E81EF7"/>
    <w:rsid w:val="00E85F79"/>
    <w:rsid w:val="00E8723D"/>
    <w:rsid w:val="00E8737D"/>
    <w:rsid w:val="00E8743F"/>
    <w:rsid w:val="00E918C4"/>
    <w:rsid w:val="00E9296D"/>
    <w:rsid w:val="00E94A12"/>
    <w:rsid w:val="00EA05E8"/>
    <w:rsid w:val="00EA3762"/>
    <w:rsid w:val="00EA4F2E"/>
    <w:rsid w:val="00EA79AE"/>
    <w:rsid w:val="00EB34A4"/>
    <w:rsid w:val="00EB34F1"/>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3FA6"/>
    <w:rsid w:val="00EE4537"/>
    <w:rsid w:val="00EE4B58"/>
    <w:rsid w:val="00EE4CA8"/>
    <w:rsid w:val="00EE591C"/>
    <w:rsid w:val="00EE6557"/>
    <w:rsid w:val="00EF3767"/>
    <w:rsid w:val="00EF46D9"/>
    <w:rsid w:val="00EF4C76"/>
    <w:rsid w:val="00EF50CC"/>
    <w:rsid w:val="00EF5F18"/>
    <w:rsid w:val="00EF65C7"/>
    <w:rsid w:val="00F02298"/>
    <w:rsid w:val="00F03F0B"/>
    <w:rsid w:val="00F0539D"/>
    <w:rsid w:val="00F07E0E"/>
    <w:rsid w:val="00F12141"/>
    <w:rsid w:val="00F15604"/>
    <w:rsid w:val="00F161DA"/>
    <w:rsid w:val="00F20910"/>
    <w:rsid w:val="00F23693"/>
    <w:rsid w:val="00F32006"/>
    <w:rsid w:val="00F32323"/>
    <w:rsid w:val="00F32E32"/>
    <w:rsid w:val="00F37D73"/>
    <w:rsid w:val="00F37F4A"/>
    <w:rsid w:val="00F439DB"/>
    <w:rsid w:val="00F45A8F"/>
    <w:rsid w:val="00F47195"/>
    <w:rsid w:val="00F527AF"/>
    <w:rsid w:val="00F53367"/>
    <w:rsid w:val="00F546DD"/>
    <w:rsid w:val="00F549FF"/>
    <w:rsid w:val="00F56882"/>
    <w:rsid w:val="00F62A69"/>
    <w:rsid w:val="00F637F4"/>
    <w:rsid w:val="00F65C59"/>
    <w:rsid w:val="00F66430"/>
    <w:rsid w:val="00F66690"/>
    <w:rsid w:val="00F73583"/>
    <w:rsid w:val="00F7403D"/>
    <w:rsid w:val="00F77897"/>
    <w:rsid w:val="00F828C4"/>
    <w:rsid w:val="00F84B16"/>
    <w:rsid w:val="00F85338"/>
    <w:rsid w:val="00F91AC5"/>
    <w:rsid w:val="00F92DFB"/>
    <w:rsid w:val="00F958E9"/>
    <w:rsid w:val="00F95C9A"/>
    <w:rsid w:val="00F95FBA"/>
    <w:rsid w:val="00FA01B1"/>
    <w:rsid w:val="00FA1F15"/>
    <w:rsid w:val="00FA33A5"/>
    <w:rsid w:val="00FA575E"/>
    <w:rsid w:val="00FA5F6C"/>
    <w:rsid w:val="00FA6498"/>
    <w:rsid w:val="00FA6598"/>
    <w:rsid w:val="00FA65A0"/>
    <w:rsid w:val="00FA7E4D"/>
    <w:rsid w:val="00FB28EC"/>
    <w:rsid w:val="00FB4E01"/>
    <w:rsid w:val="00FB7706"/>
    <w:rsid w:val="00FC035C"/>
    <w:rsid w:val="00FC1615"/>
    <w:rsid w:val="00FC19D5"/>
    <w:rsid w:val="00FC3169"/>
    <w:rsid w:val="00FC4307"/>
    <w:rsid w:val="00FD0DCF"/>
    <w:rsid w:val="00FD1283"/>
    <w:rsid w:val="00FD3019"/>
    <w:rsid w:val="00FD3512"/>
    <w:rsid w:val="00FD3547"/>
    <w:rsid w:val="00FD3C9D"/>
    <w:rsid w:val="00FD4687"/>
    <w:rsid w:val="00FD4940"/>
    <w:rsid w:val="00FD54BD"/>
    <w:rsid w:val="00FD709E"/>
    <w:rsid w:val="00FE1761"/>
    <w:rsid w:val="00FE2DD5"/>
    <w:rsid w:val="00FE5725"/>
    <w:rsid w:val="00FF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0F8761"/>
  <w15:docId w15:val="{5DD2B990-85A4-4651-945B-8B79C244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SE Normal,Normal1"/>
    <w:qFormat/>
    <w:rsid w:val="00931202"/>
    <w:pPr>
      <w:spacing w:after="120"/>
      <w:jc w:val="both"/>
    </w:pPr>
    <w:rPr>
      <w:rFonts w:ascii="Calibri" w:eastAsia="SimSun"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9773EA"/>
    <w:pPr>
      <w:keepNext/>
      <w:keepLines/>
      <w:numPr>
        <w:numId w:val="8"/>
      </w:numPr>
      <w:tabs>
        <w:tab w:val="left" w:pos="0"/>
      </w:tabs>
      <w:spacing w:after="0" w:line="300" w:lineRule="auto"/>
      <w:jc w:val="left"/>
      <w:outlineLvl w:val="0"/>
    </w:pPr>
    <w:rPr>
      <w:rFonts w:ascii="Cambria" w:hAnsi="Cambria" w:cs="Arial"/>
      <w:b/>
      <w:bCs/>
      <w:kern w:val="32"/>
      <w:sz w:val="26"/>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spacing w:before="120" w:after="60"/>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9773EA"/>
    <w:rPr>
      <w:rFonts w:ascii="Cambria" w:eastAsia="SimSun" w:hAnsi="Cambria" w:cs="Arial"/>
      <w:b/>
      <w:bCs/>
      <w:kern w:val="32"/>
      <w:sz w:val="26"/>
      <w:szCs w:val="28"/>
      <w:lang w:val="en"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SimSun" w:hAnsi="Cambria" w:cs="Arial"/>
      <w:b/>
      <w:bCs/>
      <w:kern w:val="32"/>
      <w:sz w:val="24"/>
      <w:szCs w:val="26"/>
      <w:lang w:val="en" w:eastAsia="zh-CN"/>
    </w:rPr>
  </w:style>
  <w:style w:type="character" w:customStyle="1" w:styleId="Heading3Char">
    <w:name w:val="Heading 3 Char"/>
    <w:aliases w:val="SSE Heading 3 Char"/>
    <w:basedOn w:val="DefaultParagraphFont"/>
    <w:link w:val="Heading3"/>
    <w:uiPriority w:val="99"/>
    <w:rsid w:val="00E03DE5"/>
    <w:rPr>
      <w:rFonts w:ascii="Calibri" w:eastAsia="SimSun"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SimSun"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SimSun"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SimSun"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39"/>
    <w:rsid w:val="00E03DE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TABLECAPTIONChar">
    <w:name w:val="SSE TABLE CAPTION Char"/>
    <w:basedOn w:val="DefaultParagraphFont"/>
    <w:link w:val="SSETABLECAPTION"/>
    <w:rsid w:val="00E03DE5"/>
    <w:rPr>
      <w:rFonts w:ascii="Calibri" w:eastAsia="SimSun"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SimSun" w:hAnsi="Calibri" w:cs="Times New Roman"/>
      <w:b/>
      <w:caps/>
    </w:rPr>
  </w:style>
  <w:style w:type="character" w:customStyle="1" w:styleId="ListParagraphChar">
    <w:name w:val="List Paragraph Char"/>
    <w:basedOn w:val="DefaultParagraphFont"/>
    <w:link w:val="ListParagraph"/>
    <w:uiPriority w:val="34"/>
    <w:rsid w:val="00E03DE5"/>
    <w:rPr>
      <w:rFonts w:ascii="Calibri" w:eastAsia="SimSun"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SimSun"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SimSun"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SimSun"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SimSun" w:hAnsi="Calibri" w:cs="Times New Roman"/>
      <w:szCs w:val="24"/>
      <w:lang w:val="en-US"/>
    </w:rPr>
  </w:style>
  <w:style w:type="paragraph" w:styleId="NormalWeb">
    <w:name w:val="Normal (Web)"/>
    <w:basedOn w:val="Normal"/>
    <w:uiPriority w:val="99"/>
    <w:unhideWhenUsed/>
    <w:rsid w:val="007F3E2A"/>
    <w:pPr>
      <w:spacing w:before="100" w:beforeAutospacing="1" w:after="100" w:afterAutospacing="1" w:line="240" w:lineRule="auto"/>
      <w:jc w:val="left"/>
    </w:pPr>
    <w:rPr>
      <w:rFonts w:ascii="Times New Roman" w:eastAsia="Times New Roman" w:hAnsi="Times New Roman"/>
      <w:sz w:val="24"/>
    </w:rPr>
  </w:style>
  <w:style w:type="character" w:styleId="Strong">
    <w:name w:val="Strong"/>
    <w:basedOn w:val="DefaultParagraphFont"/>
    <w:uiPriority w:val="22"/>
    <w:qFormat/>
    <w:rsid w:val="007F3E2A"/>
    <w:rPr>
      <w:b/>
      <w:bCs/>
    </w:rPr>
  </w:style>
  <w:style w:type="character" w:customStyle="1" w:styleId="title-text">
    <w:name w:val="title-text"/>
    <w:basedOn w:val="DefaultParagraphFont"/>
    <w:rsid w:val="00375C98"/>
  </w:style>
  <w:style w:type="paragraph" w:styleId="Caption">
    <w:name w:val="caption"/>
    <w:basedOn w:val="Normal"/>
    <w:next w:val="Normal"/>
    <w:uiPriority w:val="35"/>
    <w:unhideWhenUsed/>
    <w:qFormat/>
    <w:rsid w:val="0057786D"/>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E85F79"/>
    <w:rPr>
      <w:color w:val="605E5C"/>
      <w:shd w:val="clear" w:color="auto" w:fill="E1DFDD"/>
    </w:rPr>
  </w:style>
  <w:style w:type="paragraph" w:customStyle="1" w:styleId="Default">
    <w:name w:val="Default"/>
    <w:rsid w:val="00314ECC"/>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whitespace-normal">
    <w:name w:val="whitespace-normal"/>
    <w:basedOn w:val="DefaultParagraphFont"/>
    <w:rsid w:val="0093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575">
      <w:bodyDiv w:val="1"/>
      <w:marLeft w:val="0"/>
      <w:marRight w:val="0"/>
      <w:marTop w:val="0"/>
      <w:marBottom w:val="0"/>
      <w:divBdr>
        <w:top w:val="none" w:sz="0" w:space="0" w:color="auto"/>
        <w:left w:val="none" w:sz="0" w:space="0" w:color="auto"/>
        <w:bottom w:val="none" w:sz="0" w:space="0" w:color="auto"/>
        <w:right w:val="none" w:sz="0" w:space="0" w:color="auto"/>
      </w:divBdr>
    </w:div>
    <w:div w:id="324280323">
      <w:bodyDiv w:val="1"/>
      <w:marLeft w:val="0"/>
      <w:marRight w:val="0"/>
      <w:marTop w:val="0"/>
      <w:marBottom w:val="0"/>
      <w:divBdr>
        <w:top w:val="none" w:sz="0" w:space="0" w:color="auto"/>
        <w:left w:val="none" w:sz="0" w:space="0" w:color="auto"/>
        <w:bottom w:val="none" w:sz="0" w:space="0" w:color="auto"/>
        <w:right w:val="none" w:sz="0" w:space="0" w:color="auto"/>
      </w:divBdr>
    </w:div>
    <w:div w:id="533228574">
      <w:bodyDiv w:val="1"/>
      <w:marLeft w:val="0"/>
      <w:marRight w:val="0"/>
      <w:marTop w:val="0"/>
      <w:marBottom w:val="0"/>
      <w:divBdr>
        <w:top w:val="none" w:sz="0" w:space="0" w:color="auto"/>
        <w:left w:val="none" w:sz="0" w:space="0" w:color="auto"/>
        <w:bottom w:val="none" w:sz="0" w:space="0" w:color="auto"/>
        <w:right w:val="none" w:sz="0" w:space="0" w:color="auto"/>
      </w:divBdr>
    </w:div>
    <w:div w:id="553125921">
      <w:bodyDiv w:val="1"/>
      <w:marLeft w:val="0"/>
      <w:marRight w:val="0"/>
      <w:marTop w:val="0"/>
      <w:marBottom w:val="0"/>
      <w:divBdr>
        <w:top w:val="none" w:sz="0" w:space="0" w:color="auto"/>
        <w:left w:val="none" w:sz="0" w:space="0" w:color="auto"/>
        <w:bottom w:val="none" w:sz="0" w:space="0" w:color="auto"/>
        <w:right w:val="none" w:sz="0" w:space="0" w:color="auto"/>
      </w:divBdr>
    </w:div>
    <w:div w:id="16553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21.129146" TargetMode="External"/><Relationship Id="rId21" Type="http://schemas.openxmlformats.org/officeDocument/2006/relationships/hyperlink" Target="https://www.doi.org/10.22271/chemi.2025.v13.i1b.12506" TargetMode="External"/><Relationship Id="rId42" Type="http://schemas.openxmlformats.org/officeDocument/2006/relationships/hyperlink" Target="https://doi.org/10.1016/j.jclepro.2024.142068" TargetMode="External"/><Relationship Id="rId47" Type="http://schemas.openxmlformats.org/officeDocument/2006/relationships/hyperlink" Target="https://doi.org/10.1007/s10668-024-04668-5" TargetMode="External"/><Relationship Id="rId63" Type="http://schemas.openxmlformats.org/officeDocument/2006/relationships/hyperlink" Target="https://doi.org/10.1007/s43069-025-00429-w" TargetMode="External"/><Relationship Id="rId68" Type="http://schemas.openxmlformats.org/officeDocument/2006/relationships/hyperlink" Target="https://doi.org/10.1155/ijfo/5369920" TargetMode="External"/><Relationship Id="rId84" Type="http://schemas.openxmlformats.org/officeDocument/2006/relationships/header" Target="header3.xml"/><Relationship Id="rId16" Type="http://schemas.openxmlformats.org/officeDocument/2006/relationships/chart" Target="charts/chart7.xml"/><Relationship Id="rId11" Type="http://schemas.openxmlformats.org/officeDocument/2006/relationships/chart" Target="charts/chart2.xml"/><Relationship Id="rId32" Type="http://schemas.openxmlformats.org/officeDocument/2006/relationships/hyperlink" Target="https://doi.org/10.36609/bjpa.v30i4.382" TargetMode="External"/><Relationship Id="rId37" Type="http://schemas.openxmlformats.org/officeDocument/2006/relationships/hyperlink" Target="https://doi.org/10.1007/s41055-025-00183-z" TargetMode="External"/><Relationship Id="rId53" Type="http://schemas.openxmlformats.org/officeDocument/2006/relationships/hyperlink" Target="https://doi.org/10.1016/j.jclepro.2020.125484" TargetMode="External"/><Relationship Id="rId58" Type="http://schemas.openxmlformats.org/officeDocument/2006/relationships/hyperlink" Target="https://doi.org/10.59490/ijwg.12.2025.7772" TargetMode="External"/><Relationship Id="rId74" Type="http://schemas.openxmlformats.org/officeDocument/2006/relationships/hyperlink" Target="https://doi.org/10.3362/1755-1986.22-00062" TargetMode="External"/><Relationship Id="rId79" Type="http://schemas.openxmlformats.org/officeDocument/2006/relationships/hyperlink" Target="https://doi.org/10.1021/acs.est.3c08426" TargetMode="External"/><Relationship Id="rId5" Type="http://schemas.openxmlformats.org/officeDocument/2006/relationships/webSettings" Target="webSettings.xml"/><Relationship Id="rId19" Type="http://schemas.openxmlformats.org/officeDocument/2006/relationships/hyperlink" Target="https://doi.org/10.1080/03067319.2021.2018578" TargetMode="External"/><Relationship Id="rId14" Type="http://schemas.openxmlformats.org/officeDocument/2006/relationships/chart" Target="charts/chart5.xml"/><Relationship Id="rId22" Type="http://schemas.openxmlformats.org/officeDocument/2006/relationships/hyperlink" Target="https://doi.org/10.1002/fsh3.70015" TargetMode="External"/><Relationship Id="rId27" Type="http://schemas.openxmlformats.org/officeDocument/2006/relationships/hyperlink" Target="https://doi.org/10.3389/fhort.2025.1529040" TargetMode="External"/><Relationship Id="rId30" Type="http://schemas.openxmlformats.org/officeDocument/2006/relationships/hyperlink" Target="https://doi.org/10.1007/978-981-97-1160-4_5" TargetMode="External"/><Relationship Id="rId35" Type="http://schemas.openxmlformats.org/officeDocument/2006/relationships/hyperlink" Target="https://doi.org/10.3177/jnsv.65.S4" TargetMode="External"/><Relationship Id="rId43" Type="http://schemas.openxmlformats.org/officeDocument/2006/relationships/hyperlink" Target="https://doi.org/10.1016/j.scitotenv.2019.134318" TargetMode="External"/><Relationship Id="rId48" Type="http://schemas.openxmlformats.org/officeDocument/2006/relationships/hyperlink" Target="https://doi.org/10.1016/j.habitatint.2025.103372" TargetMode="External"/><Relationship Id="rId56" Type="http://schemas.openxmlformats.org/officeDocument/2006/relationships/hyperlink" Target="https://doi.org/10.1038/s41598-024-68099-y" TargetMode="External"/><Relationship Id="rId64" Type="http://schemas.openxmlformats.org/officeDocument/2006/relationships/hyperlink" Target="https://doi.org/10.3390/horticulturae8090776" TargetMode="External"/><Relationship Id="rId69" Type="http://schemas.openxmlformats.org/officeDocument/2006/relationships/hyperlink" Target="https://doi.org/10.1016/j.heliyon.2024.e33218" TargetMode="External"/><Relationship Id="rId77" Type="http://schemas.openxmlformats.org/officeDocument/2006/relationships/hyperlink" Target="https://doi.org/10.1007/978-3-031-15703-5_31" TargetMode="External"/><Relationship Id="rId8" Type="http://schemas.openxmlformats.org/officeDocument/2006/relationships/image" Target="media/image1.jpeg"/><Relationship Id="rId51" Type="http://schemas.openxmlformats.org/officeDocument/2006/relationships/hyperlink" Target="https://doi.org/10.1371/journal.pone.0280188" TargetMode="External"/><Relationship Id="rId72" Type="http://schemas.openxmlformats.org/officeDocument/2006/relationships/hyperlink" Target="https://doi.org/10.3390/su141912035"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007/s10668-023-03814-9" TargetMode="External"/><Relationship Id="rId25" Type="http://schemas.openxmlformats.org/officeDocument/2006/relationships/hyperlink" Target="https://doi.org/10.1007/s43615-025-00526-2" TargetMode="External"/><Relationship Id="rId33" Type="http://schemas.openxmlformats.org/officeDocument/2006/relationships/hyperlink" Target="https://doi.org/10.1016/j.jfp.2024.100428" TargetMode="External"/><Relationship Id="rId38" Type="http://schemas.openxmlformats.org/officeDocument/2006/relationships/hyperlink" Target="https://doi.org/10.1371/journal.pone.0297509" TargetMode="External"/><Relationship Id="rId46" Type="http://schemas.openxmlformats.org/officeDocument/2006/relationships/hyperlink" Target="https://doi.org/10.1007/978-981-15-4136-0_2" TargetMode="External"/><Relationship Id="rId59" Type="http://schemas.openxmlformats.org/officeDocument/2006/relationships/hyperlink" Target="https://doi.org/10.19080/ASM.2021.06.555696" TargetMode="External"/><Relationship Id="rId67" Type="http://schemas.openxmlformats.org/officeDocument/2006/relationships/hyperlink" Target="https://doi.org/10.3329/ijarit.v13i1.68069" TargetMode="External"/><Relationship Id="rId20" Type="http://schemas.openxmlformats.org/officeDocument/2006/relationships/hyperlink" Target="https://doi.org/10.1108/BFJ-04-2023-0272" TargetMode="External"/><Relationship Id="rId41" Type="http://schemas.openxmlformats.org/officeDocument/2006/relationships/hyperlink" Target="https://doi.org/10.1038/s43016-023-00915-6" TargetMode="External"/><Relationship Id="rId54" Type="http://schemas.openxmlformats.org/officeDocument/2006/relationships/hyperlink" Target="https://doi.org/10.1016/j.jclepro.2021.128586" TargetMode="External"/><Relationship Id="rId62" Type="http://schemas.openxmlformats.org/officeDocument/2006/relationships/hyperlink" Target="https://doi.org/10.3389/fsufs.2022.724190" TargetMode="External"/><Relationship Id="rId70" Type="http://schemas.openxmlformats.org/officeDocument/2006/relationships/hyperlink" Target="https://doi.org/10.1016/j.foodcont.2022.109262" TargetMode="External"/><Relationship Id="rId75" Type="http://schemas.openxmlformats.org/officeDocument/2006/relationships/hyperlink" Target="https://doi.org/10.1016/j.heliyon.2024.e25970"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doi.org/10.1016/j.jafr.2022.100330" TargetMode="External"/><Relationship Id="rId28" Type="http://schemas.openxmlformats.org/officeDocument/2006/relationships/hyperlink" Target="https://doi.org/10.1016/j.spc.2020.10.022" TargetMode="External"/><Relationship Id="rId36" Type="http://schemas.openxmlformats.org/officeDocument/2006/relationships/hyperlink" Target="https://doi.org/10.3390/su17073236" TargetMode="External"/><Relationship Id="rId49" Type="http://schemas.openxmlformats.org/officeDocument/2006/relationships/hyperlink" Target="https://doi.org/10.1371/journal.pone.0326595" TargetMode="External"/><Relationship Id="rId57" Type="http://schemas.openxmlformats.org/officeDocument/2006/relationships/hyperlink" Target="https://hdl.handle.net/10419/273545" TargetMode="External"/><Relationship Id="rId10" Type="http://schemas.openxmlformats.org/officeDocument/2006/relationships/image" Target="media/image2.png"/><Relationship Id="rId31" Type="http://schemas.openxmlformats.org/officeDocument/2006/relationships/hyperlink" Target="https://doi.org/10.3390/books978-3-0365-XXXX-X" TargetMode="External"/><Relationship Id="rId44" Type="http://schemas.openxmlformats.org/officeDocument/2006/relationships/hyperlink" Target="https://doi.org/10.3390/logistics5040077" TargetMode="External"/><Relationship Id="rId52" Type="http://schemas.openxmlformats.org/officeDocument/2006/relationships/hyperlink" Target="https://doi.org/10.3390/su12072892" TargetMode="External"/><Relationship Id="rId60" Type="http://schemas.openxmlformats.org/officeDocument/2006/relationships/hyperlink" Target="https://doi.org/10.1039/D3FB00141E" TargetMode="External"/><Relationship Id="rId65" Type="http://schemas.openxmlformats.org/officeDocument/2006/relationships/hyperlink" Target="https://doi.org/10.1007/s42768-024-00200-7" TargetMode="External"/><Relationship Id="rId73" Type="http://schemas.openxmlformats.org/officeDocument/2006/relationships/hyperlink" Target="https://doi.org/10.1007/978-3-031-55665-4_10" TargetMode="External"/><Relationship Id="rId78" Type="http://schemas.openxmlformats.org/officeDocument/2006/relationships/hyperlink" Target="https://doi.org/10.9734/AJAEES/2022/v40i121765"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https://doi.org/10.1177/0734242X241257655" TargetMode="External"/><Relationship Id="rId39" Type="http://schemas.openxmlformats.org/officeDocument/2006/relationships/hyperlink" Target="https://doi.org/10.3390/su13042347" TargetMode="External"/><Relationship Id="rId34" Type="http://schemas.openxmlformats.org/officeDocument/2006/relationships/hyperlink" Target="https://hdl.handle.net/10568/138789" TargetMode="External"/><Relationship Id="rId50" Type="http://schemas.openxmlformats.org/officeDocument/2006/relationships/hyperlink" Target="https://doi.org/10.1016/j.jclepro.2024.141037" TargetMode="External"/><Relationship Id="rId55" Type="http://schemas.openxmlformats.org/officeDocument/2006/relationships/hyperlink" Target="https://doi.org/10.1016/j.foodcont.2022.109578" TargetMode="External"/><Relationship Id="rId76" Type="http://schemas.openxmlformats.org/officeDocument/2006/relationships/hyperlink" Target="https://www.unep.org/resources/publication/food-waste-index-report-2024" TargetMode="External"/><Relationship Id="rId7" Type="http://schemas.openxmlformats.org/officeDocument/2006/relationships/endnotes" Target="endnotes.xml"/><Relationship Id="rId71" Type="http://schemas.openxmlformats.org/officeDocument/2006/relationships/hyperlink" Target="https://doi.org/10.3390/su141610265" TargetMode="External"/><Relationship Id="rId2" Type="http://schemas.openxmlformats.org/officeDocument/2006/relationships/numbering" Target="numbering.xml"/><Relationship Id="rId29" Type="http://schemas.openxmlformats.org/officeDocument/2006/relationships/hyperlink" Target="https://doi.org/10.1002/bse.3202" TargetMode="External"/><Relationship Id="rId24" Type="http://schemas.openxmlformats.org/officeDocument/2006/relationships/hyperlink" Target="https://doi.org/10.1186/s12199-021-01004-5" TargetMode="External"/><Relationship Id="rId40" Type="http://schemas.openxmlformats.org/officeDocument/2006/relationships/hyperlink" Target="http://www.fao.org/4/s8620e/s8620e06.htm" TargetMode="External"/><Relationship Id="rId45" Type="http://schemas.openxmlformats.org/officeDocument/2006/relationships/hyperlink" Target="https://doi.org/10.3390/su12187488" TargetMode="External"/><Relationship Id="rId66" Type="http://schemas.openxmlformats.org/officeDocument/2006/relationships/hyperlink" Target="https://doi.org/10.3329/bjz.v48i1.47886" TargetMode="External"/><Relationship Id="rId87" Type="http://schemas.openxmlformats.org/officeDocument/2006/relationships/theme" Target="theme/theme1.xml"/><Relationship Id="rId61" Type="http://schemas.openxmlformats.org/officeDocument/2006/relationships/hyperlink" Target="http://doi.org/10.26480/faer.02.2024.78.82"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BUL\OneDrive\Desktop\MS%20Thesis%20Publication\Publication\SSE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23062022/Ashraful-Personal/MS%20in%20Environmantal%20Science/Thesis%20Semister/Thesis/Proposal/Thesis%20Paper/Research%20data-MS%20ENV/Final_Data%20Sheet%20_FLW_1811202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161262022/Ashraful-Personal/MS%20in%20Environmantal%20Science/Thesis%20Semister/Thesis/Proposal/Thesis%20Paper/Research%20data-MS%20ENV/Final_Data%20Sheet%20_FLW_181120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161262022/Ashraful-Personal/MS%20in%20Environmantal%20Science/Thesis%20Semister/Thesis/Proposal/Thesis%20Paper/Research%20data-MS%20ENV/Final_Data%20Sheet%20_FLW_181120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Desktop/Data%20Sheet%20_FLW_1811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23062022/Ashraful-Personal/MS%20in%20Environmantal%20Science/Thesis%20Semister/Thesis/Proposal/Thesis%20Paper/Research%20data-MS%20ENV/Final_Data%20Sheet%20_FLW_1811202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Desktop/Data%20Sheet%20_FLW_1811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Desktop/Data%20Sheet%20_FLW_1811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56062992125991E-2"/>
          <c:y val="8.9496817874852308E-2"/>
          <c:w val="0.88498840769903764"/>
          <c:h val="0.62117346016523045"/>
        </c:manualLayout>
      </c:layout>
      <c:barChart>
        <c:barDir val="col"/>
        <c:grouping val="clustered"/>
        <c:varyColors val="0"/>
        <c:ser>
          <c:idx val="0"/>
          <c:order val="0"/>
          <c:tx>
            <c:strRef>
              <c:f>'[Final_Data Sheet _FLW_18112022.xlsx]Graph'!$A$24</c:f>
              <c:strCache>
                <c:ptCount val="1"/>
                <c:pt idx="0">
                  <c:v>Food Loss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_FLW_18112022.xlsx]Graph'!$B$23:$H$23</c:f>
              <c:strCache>
                <c:ptCount val="7"/>
                <c:pt idx="0">
                  <c:v>Production</c:v>
                </c:pt>
                <c:pt idx="1">
                  <c:v>Handling</c:v>
                </c:pt>
                <c:pt idx="2">
                  <c:v>Storage</c:v>
                </c:pt>
                <c:pt idx="3">
                  <c:v>Processing</c:v>
                </c:pt>
                <c:pt idx="4">
                  <c:v>Distribution</c:v>
                </c:pt>
                <c:pt idx="5">
                  <c:v>Marketing</c:v>
                </c:pt>
                <c:pt idx="6">
                  <c:v>Consumption</c:v>
                </c:pt>
              </c:strCache>
            </c:strRef>
          </c:cat>
          <c:val>
            <c:numRef>
              <c:f>'[Final_Data Sheet _FLW_18112022.xlsx]Graph'!$B$24:$H$24</c:f>
              <c:numCache>
                <c:formatCode>0.00%</c:formatCode>
                <c:ptCount val="7"/>
                <c:pt idx="0">
                  <c:v>0.13600000000000001</c:v>
                </c:pt>
                <c:pt idx="1">
                  <c:v>0.153</c:v>
                </c:pt>
                <c:pt idx="2">
                  <c:v>0.14699999999999999</c:v>
                </c:pt>
                <c:pt idx="3">
                  <c:v>5.4000000000000006E-2</c:v>
                </c:pt>
                <c:pt idx="4">
                  <c:v>8.6999999999999994E-2</c:v>
                </c:pt>
                <c:pt idx="5">
                  <c:v>7.5999999999999998E-2</c:v>
                </c:pt>
                <c:pt idx="6">
                  <c:v>0.22750000000000001</c:v>
                </c:pt>
              </c:numCache>
            </c:numRef>
          </c:val>
          <c:extLst>
            <c:ext xmlns:c16="http://schemas.microsoft.com/office/drawing/2014/chart" uri="{C3380CC4-5D6E-409C-BE32-E72D297353CC}">
              <c16:uniqueId val="{00000000-D675-4FA5-B10F-63CA0DEEC905}"/>
            </c:ext>
          </c:extLst>
        </c:ser>
        <c:ser>
          <c:idx val="1"/>
          <c:order val="1"/>
          <c:tx>
            <c:strRef>
              <c:f>'[Final_Data Sheet _FLW_18112022.xlsx]Graph'!$A$25</c:f>
              <c:strCache>
                <c:ptCount val="1"/>
                <c:pt idx="0">
                  <c:v>Food Waste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_FLW_18112022.xlsx]Graph'!$B$23:$H$23</c:f>
              <c:strCache>
                <c:ptCount val="7"/>
                <c:pt idx="0">
                  <c:v>Production</c:v>
                </c:pt>
                <c:pt idx="1">
                  <c:v>Handling</c:v>
                </c:pt>
                <c:pt idx="2">
                  <c:v>Storage</c:v>
                </c:pt>
                <c:pt idx="3">
                  <c:v>Processing</c:v>
                </c:pt>
                <c:pt idx="4">
                  <c:v>Distribution</c:v>
                </c:pt>
                <c:pt idx="5">
                  <c:v>Marketing</c:v>
                </c:pt>
                <c:pt idx="6">
                  <c:v>Consumption</c:v>
                </c:pt>
              </c:strCache>
            </c:strRef>
          </c:cat>
          <c:val>
            <c:numRef>
              <c:f>'[Final_Data Sheet _FLW_18112022.xlsx]Graph'!$B$25:$H$25</c:f>
              <c:numCache>
                <c:formatCode>0.00%</c:formatCode>
                <c:ptCount val="7"/>
                <c:pt idx="0">
                  <c:v>0.11599999999999999</c:v>
                </c:pt>
                <c:pt idx="1">
                  <c:v>0.12300000000000001</c:v>
                </c:pt>
                <c:pt idx="2">
                  <c:v>0.107</c:v>
                </c:pt>
                <c:pt idx="3">
                  <c:v>4.4000000000000004E-2</c:v>
                </c:pt>
                <c:pt idx="4">
                  <c:v>9.6999999999999989E-2</c:v>
                </c:pt>
                <c:pt idx="5">
                  <c:v>5.5999999999999994E-2</c:v>
                </c:pt>
                <c:pt idx="6">
                  <c:v>0.17749999999999999</c:v>
                </c:pt>
              </c:numCache>
            </c:numRef>
          </c:val>
          <c:extLst>
            <c:ext xmlns:c16="http://schemas.microsoft.com/office/drawing/2014/chart" uri="{C3380CC4-5D6E-409C-BE32-E72D297353CC}">
              <c16:uniqueId val="{00000001-D675-4FA5-B10F-63CA0DEEC905}"/>
            </c:ext>
          </c:extLst>
        </c:ser>
        <c:dLbls>
          <c:dLblPos val="outEnd"/>
          <c:showLegendKey val="0"/>
          <c:showVal val="1"/>
          <c:showCatName val="0"/>
          <c:showSerName val="0"/>
          <c:showPercent val="0"/>
          <c:showBubbleSize val="0"/>
        </c:dLbls>
        <c:gapWidth val="100"/>
        <c:overlap val="-24"/>
        <c:axId val="-1401035472"/>
        <c:axId val="-1401034928"/>
      </c:barChart>
      <c:catAx>
        <c:axId val="-1401035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1034928"/>
        <c:crosses val="autoZero"/>
        <c:auto val="1"/>
        <c:lblAlgn val="ctr"/>
        <c:lblOffset val="100"/>
        <c:noMultiLvlLbl val="0"/>
      </c:catAx>
      <c:valAx>
        <c:axId val="-140103492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103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9280351583959E-2"/>
          <c:y val="0.10793670334512033"/>
          <c:w val="0.87783608444293304"/>
          <c:h val="0.67909814091588683"/>
        </c:manualLayout>
      </c:layout>
      <c:barChart>
        <c:barDir val="col"/>
        <c:grouping val="clustered"/>
        <c:varyColors val="0"/>
        <c:ser>
          <c:idx val="0"/>
          <c:order val="0"/>
          <c:tx>
            <c:strRef>
              <c:f>'[Final_Data Sheet _FLW_18112022.xlsx]Graph'!$A$3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_FLW_18112022.xlsx]Graph'!$B$2:$G$2</c:f>
              <c:strCache>
                <c:ptCount val="6"/>
                <c:pt idx="0">
                  <c:v>Lack of storage facilities</c:v>
                </c:pt>
                <c:pt idx="1">
                  <c:v>Poor transportation</c:v>
                </c:pt>
                <c:pt idx="2">
                  <c:v>Poor Packaging</c:v>
                </c:pt>
                <c:pt idx="3">
                  <c:v>Proper Handling</c:v>
                </c:pt>
                <c:pt idx="4">
                  <c:v>Climatic Condition</c:v>
                </c:pt>
                <c:pt idx="5">
                  <c:v>Poor Knowledge</c:v>
                </c:pt>
              </c:strCache>
            </c:strRef>
          </c:cat>
          <c:val>
            <c:numRef>
              <c:f>'[Final_Data Sheet _FLW_18112022.xlsx]Graph'!$B$3:$G$3</c:f>
              <c:numCache>
                <c:formatCode>0.00%</c:formatCode>
                <c:ptCount val="6"/>
                <c:pt idx="0">
                  <c:v>0.8165137614678899</c:v>
                </c:pt>
                <c:pt idx="1">
                  <c:v>0.92660550458715596</c:v>
                </c:pt>
                <c:pt idx="2">
                  <c:v>0.11926605504587157</c:v>
                </c:pt>
                <c:pt idx="3">
                  <c:v>0.84403669724770647</c:v>
                </c:pt>
                <c:pt idx="4">
                  <c:v>0.48623853211009177</c:v>
                </c:pt>
                <c:pt idx="5">
                  <c:v>0.37614678899082571</c:v>
                </c:pt>
              </c:numCache>
            </c:numRef>
          </c:val>
          <c:extLst>
            <c:ext xmlns:c16="http://schemas.microsoft.com/office/drawing/2014/chart" uri="{C3380CC4-5D6E-409C-BE32-E72D297353CC}">
              <c16:uniqueId val="{00000000-2A3D-49FB-93AC-969088D27B3A}"/>
            </c:ext>
          </c:extLst>
        </c:ser>
        <c:ser>
          <c:idx val="1"/>
          <c:order val="1"/>
          <c:tx>
            <c:strRef>
              <c:f>'[Final_Data Sheet _FLW_18112022.xlsx]Graph'!$A$4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_FLW_18112022.xlsx]Graph'!$B$2:$G$2</c:f>
              <c:strCache>
                <c:ptCount val="6"/>
                <c:pt idx="0">
                  <c:v>Lack of storage facilities</c:v>
                </c:pt>
                <c:pt idx="1">
                  <c:v>Poor transportation</c:v>
                </c:pt>
                <c:pt idx="2">
                  <c:v>Poor Packaging</c:v>
                </c:pt>
                <c:pt idx="3">
                  <c:v>Proper Handling</c:v>
                </c:pt>
                <c:pt idx="4">
                  <c:v>Climatic Condition</c:v>
                </c:pt>
                <c:pt idx="5">
                  <c:v>Poor Knowledge</c:v>
                </c:pt>
              </c:strCache>
            </c:strRef>
          </c:cat>
          <c:val>
            <c:numRef>
              <c:f>'[Final_Data Sheet _FLW_18112022.xlsx]Graph'!$B$4:$G$4</c:f>
              <c:numCache>
                <c:formatCode>0.00%</c:formatCode>
                <c:ptCount val="6"/>
                <c:pt idx="0">
                  <c:v>0.7142857142857143</c:v>
                </c:pt>
                <c:pt idx="1">
                  <c:v>0.75</c:v>
                </c:pt>
                <c:pt idx="2">
                  <c:v>8.9285714285714288E-2</c:v>
                </c:pt>
                <c:pt idx="3">
                  <c:v>0.7857142857142857</c:v>
                </c:pt>
                <c:pt idx="4">
                  <c:v>0.4107142857142857</c:v>
                </c:pt>
                <c:pt idx="5">
                  <c:v>0.5178571428571429</c:v>
                </c:pt>
              </c:numCache>
            </c:numRef>
          </c:val>
          <c:extLst>
            <c:ext xmlns:c16="http://schemas.microsoft.com/office/drawing/2014/chart" uri="{C3380CC4-5D6E-409C-BE32-E72D297353CC}">
              <c16:uniqueId val="{00000001-2A3D-49FB-93AC-969088D27B3A}"/>
            </c:ext>
          </c:extLst>
        </c:ser>
        <c:dLbls>
          <c:dLblPos val="outEnd"/>
          <c:showLegendKey val="0"/>
          <c:showVal val="1"/>
          <c:showCatName val="0"/>
          <c:showSerName val="0"/>
          <c:showPercent val="0"/>
          <c:showBubbleSize val="0"/>
        </c:dLbls>
        <c:gapWidth val="50"/>
        <c:overlap val="-20"/>
        <c:axId val="-1401030576"/>
        <c:axId val="-1401027312"/>
      </c:barChart>
      <c:catAx>
        <c:axId val="-140103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27312"/>
        <c:crosses val="autoZero"/>
        <c:auto val="1"/>
        <c:lblAlgn val="ctr"/>
        <c:lblOffset val="100"/>
        <c:noMultiLvlLbl val="0"/>
      </c:catAx>
      <c:valAx>
        <c:axId val="-140102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3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n-lt"/>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'[Final_Data Sheet _FLW_18112022.xlsx]Graph'!$H$3</c:f>
              <c:strCache>
                <c:ptCount val="1"/>
                <c:pt idx="0">
                  <c:v>Vegetables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_FLW_18112022.xlsx]Graph'!$I$2:$R$2</c:f>
              <c:strCache>
                <c:ptCount val="10"/>
                <c:pt idx="0">
                  <c:v>Poor transportation</c:v>
                </c:pt>
                <c:pt idx="1">
                  <c:v>Waste container at shop</c:v>
                </c:pt>
                <c:pt idx="2">
                  <c:v>Poor storing</c:v>
                </c:pt>
                <c:pt idx="3">
                  <c:v>Diseases infestation</c:v>
                </c:pt>
                <c:pt idx="4">
                  <c:v>Insect infestation</c:v>
                </c:pt>
                <c:pt idx="5">
                  <c:v>Use Chemical</c:v>
                </c:pt>
                <c:pt idx="6">
                  <c:v>Climatic Condition</c:v>
                </c:pt>
                <c:pt idx="7">
                  <c:v>Awareness</c:v>
                </c:pt>
                <c:pt idx="8">
                  <c:v>Handling</c:v>
                </c:pt>
                <c:pt idx="9">
                  <c:v>Hygiene practices</c:v>
                </c:pt>
              </c:strCache>
            </c:strRef>
          </c:cat>
          <c:val>
            <c:numRef>
              <c:f>'[Final_Data Sheet _FLW_18112022.xlsx]Graph'!$I$3:$R$3</c:f>
              <c:numCache>
                <c:formatCode>0.00%</c:formatCode>
                <c:ptCount val="10"/>
                <c:pt idx="0">
                  <c:v>0.66055045871559637</c:v>
                </c:pt>
                <c:pt idx="1">
                  <c:v>0.68807339449541283</c:v>
                </c:pt>
                <c:pt idx="2">
                  <c:v>0.46788990825688076</c:v>
                </c:pt>
                <c:pt idx="3">
                  <c:v>0.77981651376146788</c:v>
                </c:pt>
                <c:pt idx="4">
                  <c:v>0.14678899082568808</c:v>
                </c:pt>
                <c:pt idx="5">
                  <c:v>0.52293577981651373</c:v>
                </c:pt>
                <c:pt idx="6">
                  <c:v>0.44036697247706424</c:v>
                </c:pt>
                <c:pt idx="7">
                  <c:v>0.68807339449541283</c:v>
                </c:pt>
                <c:pt idx="8">
                  <c:v>0.16513761467889909</c:v>
                </c:pt>
                <c:pt idx="9">
                  <c:v>0.54128440366972475</c:v>
                </c:pt>
              </c:numCache>
            </c:numRef>
          </c:val>
          <c:extLst>
            <c:ext xmlns:c16="http://schemas.microsoft.com/office/drawing/2014/chart" uri="{C3380CC4-5D6E-409C-BE32-E72D297353CC}">
              <c16:uniqueId val="{00000000-8BD6-42AA-8731-1341B69E5E96}"/>
            </c:ext>
          </c:extLst>
        </c:ser>
        <c:ser>
          <c:idx val="1"/>
          <c:order val="1"/>
          <c:tx>
            <c:strRef>
              <c:f>'[Final_Data Sheet _FLW_18112022.xlsx]Graph'!$H$4</c:f>
              <c:strCache>
                <c:ptCount val="1"/>
                <c:pt idx="0">
                  <c:v>Fruits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_FLW_18112022.xlsx]Graph'!$I$2:$R$2</c:f>
              <c:strCache>
                <c:ptCount val="10"/>
                <c:pt idx="0">
                  <c:v>Poor transportation</c:v>
                </c:pt>
                <c:pt idx="1">
                  <c:v>Waste container at shop</c:v>
                </c:pt>
                <c:pt idx="2">
                  <c:v>Poor storing</c:v>
                </c:pt>
                <c:pt idx="3">
                  <c:v>Diseases infestation</c:v>
                </c:pt>
                <c:pt idx="4">
                  <c:v>Insect infestation</c:v>
                </c:pt>
                <c:pt idx="5">
                  <c:v>Use Chemical</c:v>
                </c:pt>
                <c:pt idx="6">
                  <c:v>Climatic Condition</c:v>
                </c:pt>
                <c:pt idx="7">
                  <c:v>Awareness</c:v>
                </c:pt>
                <c:pt idx="8">
                  <c:v>Handling</c:v>
                </c:pt>
                <c:pt idx="9">
                  <c:v>Hygiene practices</c:v>
                </c:pt>
              </c:strCache>
            </c:strRef>
          </c:cat>
          <c:val>
            <c:numRef>
              <c:f>'[Final_Data Sheet _FLW_18112022.xlsx]Graph'!$I$4:$R$4</c:f>
              <c:numCache>
                <c:formatCode>0.00%</c:formatCode>
                <c:ptCount val="10"/>
                <c:pt idx="0">
                  <c:v>0.6428571428571429</c:v>
                </c:pt>
                <c:pt idx="1">
                  <c:v>0.6071428571428571</c:v>
                </c:pt>
                <c:pt idx="2">
                  <c:v>0.7857142857142857</c:v>
                </c:pt>
                <c:pt idx="3">
                  <c:v>0.9821428571428571</c:v>
                </c:pt>
                <c:pt idx="4">
                  <c:v>0.2857142857142857</c:v>
                </c:pt>
                <c:pt idx="5">
                  <c:v>0.17857142857142858</c:v>
                </c:pt>
                <c:pt idx="6">
                  <c:v>0.42857142857142855</c:v>
                </c:pt>
                <c:pt idx="7">
                  <c:v>0.5178571428571429</c:v>
                </c:pt>
                <c:pt idx="8">
                  <c:v>0.5535714285714286</c:v>
                </c:pt>
                <c:pt idx="9">
                  <c:v>0.4642857142857143</c:v>
                </c:pt>
              </c:numCache>
            </c:numRef>
          </c:val>
          <c:extLst>
            <c:ext xmlns:c16="http://schemas.microsoft.com/office/drawing/2014/chart" uri="{C3380CC4-5D6E-409C-BE32-E72D297353CC}">
              <c16:uniqueId val="{00000001-8BD6-42AA-8731-1341B69E5E96}"/>
            </c:ext>
          </c:extLst>
        </c:ser>
        <c:dLbls>
          <c:dLblPos val="outEnd"/>
          <c:showLegendKey val="0"/>
          <c:showVal val="1"/>
          <c:showCatName val="0"/>
          <c:showSerName val="0"/>
          <c:showPercent val="0"/>
          <c:showBubbleSize val="0"/>
        </c:dLbls>
        <c:gapWidth val="100"/>
        <c:overlap val="-24"/>
        <c:axId val="-1401025680"/>
        <c:axId val="-1401042000"/>
      </c:barChart>
      <c:catAx>
        <c:axId val="-14010256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42000"/>
        <c:crosses val="autoZero"/>
        <c:auto val="1"/>
        <c:lblAlgn val="ctr"/>
        <c:lblOffset val="100"/>
        <c:noMultiLvlLbl val="0"/>
      </c:catAx>
      <c:valAx>
        <c:axId val="-140104200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2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06648330987876E-2"/>
          <c:y val="0.16456519476915607"/>
          <c:w val="0.88201562872822714"/>
          <c:h val="0.5932089215720282"/>
        </c:manualLayout>
      </c:layout>
      <c:barChart>
        <c:barDir val="col"/>
        <c:grouping val="clustered"/>
        <c:varyColors val="0"/>
        <c:ser>
          <c:idx val="0"/>
          <c:order val="0"/>
          <c:tx>
            <c:strRef>
              <c:f>Graph!$AW$3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Graph!$AX$2:$BB$2</c:f>
              <c:strCache>
                <c:ptCount val="5"/>
                <c:pt idx="0">
                  <c:v>Separate waste vegetable/ fruits</c:v>
                </c:pt>
                <c:pt idx="1">
                  <c:v>Use bin for waste food</c:v>
                </c:pt>
                <c:pt idx="2">
                  <c:v>Spray clean water </c:v>
                </c:pt>
                <c:pt idx="3">
                  <c:v>Maintain hygiene practices</c:v>
                </c:pt>
                <c:pt idx="4">
                  <c:v>Sell to customer with the low price</c:v>
                </c:pt>
              </c:strCache>
            </c:strRef>
          </c:cat>
          <c:val>
            <c:numRef>
              <c:f>Graph!$AX$3:$BB$3</c:f>
              <c:numCache>
                <c:formatCode>0.00%</c:formatCode>
                <c:ptCount val="5"/>
                <c:pt idx="0">
                  <c:v>0.77064220183486243</c:v>
                </c:pt>
                <c:pt idx="1">
                  <c:v>0.3577981651376147</c:v>
                </c:pt>
                <c:pt idx="2">
                  <c:v>0.13761467889908258</c:v>
                </c:pt>
                <c:pt idx="3">
                  <c:v>8.2568807339449546E-2</c:v>
                </c:pt>
                <c:pt idx="4">
                  <c:v>0.77981651376146788</c:v>
                </c:pt>
              </c:numCache>
            </c:numRef>
          </c:val>
          <c:extLst>
            <c:ext xmlns:c16="http://schemas.microsoft.com/office/drawing/2014/chart" uri="{C3380CC4-5D6E-409C-BE32-E72D297353CC}">
              <c16:uniqueId val="{00000000-FD28-4766-9A23-449B02F957ED}"/>
            </c:ext>
          </c:extLst>
        </c:ser>
        <c:ser>
          <c:idx val="1"/>
          <c:order val="1"/>
          <c:tx>
            <c:strRef>
              <c:f>Graph!$AW$4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Graph!$AX$2:$BB$2</c:f>
              <c:strCache>
                <c:ptCount val="5"/>
                <c:pt idx="0">
                  <c:v>Separate waste vegetable/ fruits</c:v>
                </c:pt>
                <c:pt idx="1">
                  <c:v>Use bin for waste food</c:v>
                </c:pt>
                <c:pt idx="2">
                  <c:v>Spray clean water </c:v>
                </c:pt>
                <c:pt idx="3">
                  <c:v>Maintain hygiene practices</c:v>
                </c:pt>
                <c:pt idx="4">
                  <c:v>Sell to customer with the low price</c:v>
                </c:pt>
              </c:strCache>
            </c:strRef>
          </c:cat>
          <c:val>
            <c:numRef>
              <c:f>Graph!$AX$4:$BB$4</c:f>
              <c:numCache>
                <c:formatCode>0.00%</c:formatCode>
                <c:ptCount val="5"/>
                <c:pt idx="0">
                  <c:v>0.8571428571428571</c:v>
                </c:pt>
                <c:pt idx="1">
                  <c:v>0.7142857142857143</c:v>
                </c:pt>
                <c:pt idx="2">
                  <c:v>0.10714285714285714</c:v>
                </c:pt>
                <c:pt idx="3">
                  <c:v>0.14285714285714285</c:v>
                </c:pt>
                <c:pt idx="4">
                  <c:v>0.8035714285714286</c:v>
                </c:pt>
              </c:numCache>
            </c:numRef>
          </c:val>
          <c:extLst>
            <c:ext xmlns:c16="http://schemas.microsoft.com/office/drawing/2014/chart" uri="{C3380CC4-5D6E-409C-BE32-E72D297353CC}">
              <c16:uniqueId val="{00000001-FD28-4766-9A23-449B02F957ED}"/>
            </c:ext>
          </c:extLst>
        </c:ser>
        <c:dLbls>
          <c:dLblPos val="outEnd"/>
          <c:showLegendKey val="0"/>
          <c:showVal val="1"/>
          <c:showCatName val="0"/>
          <c:showSerName val="0"/>
          <c:showPercent val="0"/>
          <c:showBubbleSize val="0"/>
        </c:dLbls>
        <c:gapWidth val="219"/>
        <c:overlap val="-27"/>
        <c:axId val="-1401033840"/>
        <c:axId val="-1401041456"/>
      </c:barChart>
      <c:catAx>
        <c:axId val="-140103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41456"/>
        <c:crosses val="autoZero"/>
        <c:auto val="1"/>
        <c:lblAlgn val="ctr"/>
        <c:lblOffset val="100"/>
        <c:noMultiLvlLbl val="0"/>
      </c:catAx>
      <c:valAx>
        <c:axId val="-1401041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3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n-lt"/>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16930640640949E-2"/>
          <c:y val="0.11302211302211303"/>
          <c:w val="0.8868119922680523"/>
          <c:h val="0.66556056414324127"/>
        </c:manualLayout>
      </c:layout>
      <c:barChart>
        <c:barDir val="col"/>
        <c:grouping val="clustered"/>
        <c:varyColors val="0"/>
        <c:ser>
          <c:idx val="0"/>
          <c:order val="0"/>
          <c:tx>
            <c:strRef>
              <c:f>'[Final_Data Sheet _FLW_18112022.xlsx]Graph'!$BC$3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_FLW_18112022.xlsx]Graph'!$BD$2:$BG$2</c:f>
              <c:strCache>
                <c:ptCount val="4"/>
                <c:pt idx="0">
                  <c:v>Throw the drain</c:v>
                </c:pt>
                <c:pt idx="1">
                  <c:v>Throw the water</c:v>
                </c:pt>
                <c:pt idx="2">
                  <c:v>Throw the road</c:v>
                </c:pt>
                <c:pt idx="3">
                  <c:v>Mixing with good food</c:v>
                </c:pt>
              </c:strCache>
            </c:strRef>
          </c:cat>
          <c:val>
            <c:numRef>
              <c:f>'[Final_Data Sheet _FLW_18112022.xlsx]Graph'!$BD$3:$BG$3</c:f>
              <c:numCache>
                <c:formatCode>0.00%</c:formatCode>
                <c:ptCount val="4"/>
                <c:pt idx="0">
                  <c:v>0.74311926605504586</c:v>
                </c:pt>
                <c:pt idx="1">
                  <c:v>0.38715596330275198</c:v>
                </c:pt>
                <c:pt idx="2">
                  <c:v>0.64220183486238536</c:v>
                </c:pt>
                <c:pt idx="3">
                  <c:v>0.73394495412844041</c:v>
                </c:pt>
              </c:numCache>
            </c:numRef>
          </c:val>
          <c:extLst>
            <c:ext xmlns:c16="http://schemas.microsoft.com/office/drawing/2014/chart" uri="{C3380CC4-5D6E-409C-BE32-E72D297353CC}">
              <c16:uniqueId val="{00000000-0CBC-48FE-BFAE-57F09D60D554}"/>
            </c:ext>
          </c:extLst>
        </c:ser>
        <c:ser>
          <c:idx val="1"/>
          <c:order val="1"/>
          <c:tx>
            <c:strRef>
              <c:f>'[Final_Data Sheet _FLW_18112022.xlsx]Graph'!$BC$4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_FLW_18112022.xlsx]Graph'!$BD$2:$BG$2</c:f>
              <c:strCache>
                <c:ptCount val="4"/>
                <c:pt idx="0">
                  <c:v>Throw the drain</c:v>
                </c:pt>
                <c:pt idx="1">
                  <c:v>Throw the water</c:v>
                </c:pt>
                <c:pt idx="2">
                  <c:v>Throw the road</c:v>
                </c:pt>
                <c:pt idx="3">
                  <c:v>Mixing with good food</c:v>
                </c:pt>
              </c:strCache>
            </c:strRef>
          </c:cat>
          <c:val>
            <c:numRef>
              <c:f>'[Final_Data Sheet _FLW_18112022.xlsx]Graph'!$BD$4:$BG$4</c:f>
              <c:numCache>
                <c:formatCode>0.00%</c:formatCode>
                <c:ptCount val="4"/>
                <c:pt idx="0">
                  <c:v>0.68785714285714294</c:v>
                </c:pt>
                <c:pt idx="1">
                  <c:v>0.26071428571428601</c:v>
                </c:pt>
                <c:pt idx="2">
                  <c:v>0.54928571428571404</c:v>
                </c:pt>
                <c:pt idx="3">
                  <c:v>0.6964285714285714</c:v>
                </c:pt>
              </c:numCache>
            </c:numRef>
          </c:val>
          <c:extLst>
            <c:ext xmlns:c16="http://schemas.microsoft.com/office/drawing/2014/chart" uri="{C3380CC4-5D6E-409C-BE32-E72D297353CC}">
              <c16:uniqueId val="{00000001-0CBC-48FE-BFAE-57F09D60D554}"/>
            </c:ext>
          </c:extLst>
        </c:ser>
        <c:dLbls>
          <c:dLblPos val="outEnd"/>
          <c:showLegendKey val="0"/>
          <c:showVal val="1"/>
          <c:showCatName val="0"/>
          <c:showSerName val="0"/>
          <c:showPercent val="0"/>
          <c:showBubbleSize val="0"/>
        </c:dLbls>
        <c:gapWidth val="97"/>
        <c:overlap val="-18"/>
        <c:axId val="-1401040912"/>
        <c:axId val="-1401024048"/>
      </c:barChart>
      <c:catAx>
        <c:axId val="-140104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1024048"/>
        <c:crosses val="autoZero"/>
        <c:auto val="1"/>
        <c:lblAlgn val="ctr"/>
        <c:lblOffset val="100"/>
        <c:noMultiLvlLbl val="0"/>
      </c:catAx>
      <c:valAx>
        <c:axId val="-1401024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10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71725835759378E-2"/>
          <c:y val="0.11133200795228629"/>
          <c:w val="0.87363298880443918"/>
          <c:h val="0.43359621796778386"/>
        </c:manualLayout>
      </c:layout>
      <c:barChart>
        <c:barDir val="col"/>
        <c:grouping val="clustered"/>
        <c:varyColors val="0"/>
        <c:ser>
          <c:idx val="0"/>
          <c:order val="0"/>
          <c:tx>
            <c:strRef>
              <c:f>Graph!$BK$3</c:f>
              <c:strCache>
                <c:ptCount val="1"/>
                <c:pt idx="0">
                  <c:v>Vegetables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Graph!$BL$2:$BR$2</c:f>
              <c:strCache>
                <c:ptCount val="7"/>
                <c:pt idx="0">
                  <c:v>Air pollution</c:v>
                </c:pt>
                <c:pt idx="1">
                  <c:v>Water pollution</c:v>
                </c:pt>
                <c:pt idx="2">
                  <c:v>Spreading odor</c:v>
                </c:pt>
                <c:pt idx="3">
                  <c:v>Degrade market environment</c:v>
                </c:pt>
                <c:pt idx="4">
                  <c:v>Causes of human disease</c:v>
                </c:pt>
                <c:pt idx="5">
                  <c:v>Infect animal</c:v>
                </c:pt>
                <c:pt idx="6">
                  <c:v>Infect plant</c:v>
                </c:pt>
              </c:strCache>
            </c:strRef>
          </c:cat>
          <c:val>
            <c:numRef>
              <c:f>Graph!$BL$3:$BR$3</c:f>
              <c:numCache>
                <c:formatCode>0.00%</c:formatCode>
                <c:ptCount val="7"/>
                <c:pt idx="0">
                  <c:v>0.67889908256880738</c:v>
                </c:pt>
                <c:pt idx="1">
                  <c:v>0.40366972477064222</c:v>
                </c:pt>
                <c:pt idx="2">
                  <c:v>0.84403669724770647</c:v>
                </c:pt>
                <c:pt idx="3">
                  <c:v>0.90825688073394495</c:v>
                </c:pt>
                <c:pt idx="4">
                  <c:v>0.29357798165137616</c:v>
                </c:pt>
                <c:pt idx="5">
                  <c:v>0.16513761467889909</c:v>
                </c:pt>
                <c:pt idx="6">
                  <c:v>0.13761467889908258</c:v>
                </c:pt>
              </c:numCache>
            </c:numRef>
          </c:val>
          <c:extLst>
            <c:ext xmlns:c16="http://schemas.microsoft.com/office/drawing/2014/chart" uri="{C3380CC4-5D6E-409C-BE32-E72D297353CC}">
              <c16:uniqueId val="{00000000-D187-431C-B535-2C7A1EAFC35D}"/>
            </c:ext>
          </c:extLst>
        </c:ser>
        <c:ser>
          <c:idx val="1"/>
          <c:order val="1"/>
          <c:tx>
            <c:strRef>
              <c:f>Graph!$BK$4</c:f>
              <c:strCache>
                <c:ptCount val="1"/>
                <c:pt idx="0">
                  <c:v>Fruits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Graph!$BL$2:$BR$2</c:f>
              <c:strCache>
                <c:ptCount val="7"/>
                <c:pt idx="0">
                  <c:v>Air pollution</c:v>
                </c:pt>
                <c:pt idx="1">
                  <c:v>Water pollution</c:v>
                </c:pt>
                <c:pt idx="2">
                  <c:v>Spreading odor</c:v>
                </c:pt>
                <c:pt idx="3">
                  <c:v>Degrade market environment</c:v>
                </c:pt>
                <c:pt idx="4">
                  <c:v>Causes of human disease</c:v>
                </c:pt>
                <c:pt idx="5">
                  <c:v>Infect animal</c:v>
                </c:pt>
                <c:pt idx="6">
                  <c:v>Infect plant</c:v>
                </c:pt>
              </c:strCache>
            </c:strRef>
          </c:cat>
          <c:val>
            <c:numRef>
              <c:f>Graph!$BL$4:$BR$4</c:f>
              <c:numCache>
                <c:formatCode>0.00%</c:formatCode>
                <c:ptCount val="7"/>
                <c:pt idx="0">
                  <c:v>0.32142857142857145</c:v>
                </c:pt>
                <c:pt idx="1">
                  <c:v>0.48214285714285715</c:v>
                </c:pt>
                <c:pt idx="2">
                  <c:v>0.7857142857142857</c:v>
                </c:pt>
                <c:pt idx="3">
                  <c:v>0.8571428571428571</c:v>
                </c:pt>
                <c:pt idx="4">
                  <c:v>0.17857142857142858</c:v>
                </c:pt>
                <c:pt idx="5">
                  <c:v>0.16071428571428573</c:v>
                </c:pt>
                <c:pt idx="6">
                  <c:v>0.14285714285714285</c:v>
                </c:pt>
              </c:numCache>
            </c:numRef>
          </c:val>
          <c:extLst>
            <c:ext xmlns:c16="http://schemas.microsoft.com/office/drawing/2014/chart" uri="{C3380CC4-5D6E-409C-BE32-E72D297353CC}">
              <c16:uniqueId val="{00000001-D187-431C-B535-2C7A1EAFC35D}"/>
            </c:ext>
          </c:extLst>
        </c:ser>
        <c:dLbls>
          <c:dLblPos val="outEnd"/>
          <c:showLegendKey val="0"/>
          <c:showVal val="1"/>
          <c:showCatName val="0"/>
          <c:showSerName val="0"/>
          <c:showPercent val="0"/>
          <c:showBubbleSize val="0"/>
        </c:dLbls>
        <c:gapWidth val="100"/>
        <c:overlap val="-24"/>
        <c:axId val="-1401019696"/>
        <c:axId val="-1401014256"/>
      </c:barChart>
      <c:catAx>
        <c:axId val="-14010196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14256"/>
        <c:crosses val="autoZero"/>
        <c:auto val="1"/>
        <c:lblAlgn val="ctr"/>
        <c:lblOffset val="100"/>
        <c:noMultiLvlLbl val="0"/>
      </c:catAx>
      <c:valAx>
        <c:axId val="-140101425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1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64813489222952E-2"/>
          <c:y val="8.6452801425212916E-2"/>
          <c:w val="0.88345740873299927"/>
          <c:h val="0.69459922134534824"/>
        </c:manualLayout>
      </c:layout>
      <c:barChart>
        <c:barDir val="col"/>
        <c:grouping val="clustered"/>
        <c:varyColors val="0"/>
        <c:ser>
          <c:idx val="0"/>
          <c:order val="0"/>
          <c:tx>
            <c:strRef>
              <c:f>Graph!$BS$3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Graph!$BT$2:$BX$2</c:f>
              <c:strCache>
                <c:ptCount val="5"/>
                <c:pt idx="0">
                  <c:v>Increase business</c:v>
                </c:pt>
                <c:pt idx="1">
                  <c:v>Improve market environment</c:v>
                </c:pt>
                <c:pt idx="2">
                  <c:v>Decrease pollution</c:v>
                </c:pt>
                <c:pt idx="3">
                  <c:v>Increase customers</c:v>
                </c:pt>
                <c:pt idx="4">
                  <c:v>Customer get quality product</c:v>
                </c:pt>
              </c:strCache>
            </c:strRef>
          </c:cat>
          <c:val>
            <c:numRef>
              <c:f>Graph!$BT$3:$BX$3</c:f>
              <c:numCache>
                <c:formatCode>0.00%</c:formatCode>
                <c:ptCount val="5"/>
                <c:pt idx="0">
                  <c:v>0.88990825688073394</c:v>
                </c:pt>
                <c:pt idx="1">
                  <c:v>0.51376146788990829</c:v>
                </c:pt>
                <c:pt idx="2">
                  <c:v>0.66972477064220182</c:v>
                </c:pt>
                <c:pt idx="3">
                  <c:v>0.61467889908256879</c:v>
                </c:pt>
                <c:pt idx="4">
                  <c:v>0.61682242990654201</c:v>
                </c:pt>
              </c:numCache>
            </c:numRef>
          </c:val>
          <c:extLst>
            <c:ext xmlns:c16="http://schemas.microsoft.com/office/drawing/2014/chart" uri="{C3380CC4-5D6E-409C-BE32-E72D297353CC}">
              <c16:uniqueId val="{00000000-C6FF-4B35-B951-9A8D6382ADE6}"/>
            </c:ext>
          </c:extLst>
        </c:ser>
        <c:ser>
          <c:idx val="1"/>
          <c:order val="1"/>
          <c:tx>
            <c:strRef>
              <c:f>Graph!$BS$4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Graph!$BT$2:$BX$2</c:f>
              <c:strCache>
                <c:ptCount val="5"/>
                <c:pt idx="0">
                  <c:v>Increase business</c:v>
                </c:pt>
                <c:pt idx="1">
                  <c:v>Improve market environment</c:v>
                </c:pt>
                <c:pt idx="2">
                  <c:v>Decrease pollution</c:v>
                </c:pt>
                <c:pt idx="3">
                  <c:v>Increase customers</c:v>
                </c:pt>
                <c:pt idx="4">
                  <c:v>Customer get quality product</c:v>
                </c:pt>
              </c:strCache>
            </c:strRef>
          </c:cat>
          <c:val>
            <c:numRef>
              <c:f>Graph!$BT$4:$BX$4</c:f>
              <c:numCache>
                <c:formatCode>0.00%</c:formatCode>
                <c:ptCount val="5"/>
                <c:pt idx="0">
                  <c:v>0.875</c:v>
                </c:pt>
                <c:pt idx="1">
                  <c:v>0.375</c:v>
                </c:pt>
                <c:pt idx="2">
                  <c:v>0.5892857142857143</c:v>
                </c:pt>
                <c:pt idx="3">
                  <c:v>0.39285714285714285</c:v>
                </c:pt>
                <c:pt idx="4">
                  <c:v>0.75</c:v>
                </c:pt>
              </c:numCache>
            </c:numRef>
          </c:val>
          <c:extLst>
            <c:ext xmlns:c16="http://schemas.microsoft.com/office/drawing/2014/chart" uri="{C3380CC4-5D6E-409C-BE32-E72D297353CC}">
              <c16:uniqueId val="{00000001-C6FF-4B35-B951-9A8D6382ADE6}"/>
            </c:ext>
          </c:extLst>
        </c:ser>
        <c:dLbls>
          <c:dLblPos val="outEnd"/>
          <c:showLegendKey val="0"/>
          <c:showVal val="1"/>
          <c:showCatName val="0"/>
          <c:showSerName val="0"/>
          <c:showPercent val="0"/>
          <c:showBubbleSize val="0"/>
        </c:dLbls>
        <c:gapWidth val="219"/>
        <c:overlap val="-27"/>
        <c:axId val="-1401022960"/>
        <c:axId val="-1401010448"/>
      </c:barChart>
      <c:catAx>
        <c:axId val="-140102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10448"/>
        <c:crosses val="autoZero"/>
        <c:auto val="1"/>
        <c:lblAlgn val="ctr"/>
        <c:lblOffset val="100"/>
        <c:noMultiLvlLbl val="0"/>
      </c:catAx>
      <c:valAx>
        <c:axId val="-1401010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22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n-lt"/>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4DE3-38B9-4B2D-AF81-A91843A9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SSE_Template</Template>
  <TotalTime>1225</TotalTime>
  <Pages>16</Pages>
  <Words>8296</Words>
  <Characters>47290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Scholar Publishing</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ASHRAFUL</dc:creator>
  <cp:keywords/>
  <dc:description/>
  <cp:lastModifiedBy>SDI 1084</cp:lastModifiedBy>
  <cp:revision>20</cp:revision>
  <dcterms:created xsi:type="dcterms:W3CDTF">2025-09-14T12:32:00Z</dcterms:created>
  <dcterms:modified xsi:type="dcterms:W3CDTF">2026-04-13T13:03:00Z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262bb622-8625-44e8-866a-090b180303a2</vt:lpwstr>
  </property>
</Properties>
</file>