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7D6A8" w14:textId="77777777" w:rsidR="0078026E" w:rsidRDefault="003452F6">
      <w:pPr>
        <w:keepNext/>
        <w:keepLines/>
        <w:spacing w:before="360" w:after="80" w:line="240" w:lineRule="auto"/>
        <w:jc w:val="center"/>
        <w:outlineLvl w:val="0"/>
        <w:rPr>
          <w:rFonts w:ascii="Times New Roman" w:eastAsia="Times New Roman" w:hAnsi="Times New Roman" w:cs="Times New Roman"/>
          <w:b/>
          <w:bCs/>
          <w:color w:val="000000" w:themeColor="text1"/>
          <w:sz w:val="28"/>
          <w:szCs w:val="28"/>
          <w:lang w:val="en-US"/>
        </w:rPr>
      </w:pPr>
      <w:bookmarkStart w:id="0" w:name="_Toc224021320"/>
      <w:r>
        <w:rPr>
          <w:rFonts w:ascii="Times New Roman" w:eastAsia="Times New Roman" w:hAnsi="Times New Roman" w:cs="Times New Roman"/>
          <w:b/>
          <w:bCs/>
          <w:color w:val="000000" w:themeColor="text1"/>
          <w:sz w:val="28"/>
          <w:szCs w:val="28"/>
          <w:lang w:val="en-US"/>
        </w:rPr>
        <w:t xml:space="preserve">Spent Transformer oil Regeneration using Coconut shell Synthesized Activated carbon as Adsorbent </w:t>
      </w:r>
    </w:p>
    <w:p w14:paraId="2EDE4EC4" w14:textId="77777777" w:rsidR="00714918" w:rsidRDefault="00714918">
      <w:pPr>
        <w:keepNext/>
        <w:keepLines/>
        <w:spacing w:before="360" w:after="80" w:line="256" w:lineRule="auto"/>
        <w:jc w:val="both"/>
        <w:outlineLvl w:val="0"/>
        <w:rPr>
          <w:rFonts w:ascii="Times New Roman" w:eastAsia="Times New Roman" w:hAnsi="Times New Roman" w:cs="Times New Roman"/>
          <w:b/>
          <w:bCs/>
          <w:color w:val="000000" w:themeColor="text1"/>
          <w:sz w:val="28"/>
          <w:szCs w:val="28"/>
          <w:lang w:val="en-US"/>
        </w:rPr>
      </w:pPr>
    </w:p>
    <w:p w14:paraId="18BE0CB4" w14:textId="0A926FF9" w:rsidR="0078026E" w:rsidRDefault="003452F6">
      <w:pPr>
        <w:keepNext/>
        <w:keepLines/>
        <w:spacing w:before="360" w:after="80" w:line="256" w:lineRule="auto"/>
        <w:jc w:val="both"/>
        <w:outlineLvl w:val="0"/>
        <w:rPr>
          <w:rFonts w:ascii="Times New Roman" w:eastAsia="Times New Roman" w:hAnsi="Times New Roman" w:cs="Times New Roman"/>
          <w:b/>
          <w:bCs/>
          <w:color w:val="000000" w:themeColor="text1"/>
          <w:lang w:val="en-US"/>
        </w:rPr>
      </w:pPr>
      <w:bookmarkStart w:id="1" w:name="_GoBack"/>
      <w:bookmarkEnd w:id="1"/>
      <w:r>
        <w:rPr>
          <w:rFonts w:ascii="Times New Roman" w:eastAsia="Times New Roman" w:hAnsi="Times New Roman" w:cs="Times New Roman"/>
          <w:b/>
          <w:bCs/>
          <w:color w:val="000000" w:themeColor="text1"/>
          <w:sz w:val="28"/>
          <w:szCs w:val="28"/>
          <w:lang w:val="en-US"/>
        </w:rPr>
        <w:t>Abstract</w:t>
      </w:r>
      <w:bookmarkEnd w:id="0"/>
    </w:p>
    <w:p w14:paraId="4DFA148E"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reliability of power transformers depends on the insulating oil, which performs the critical dual role of dielectric medium and coolant. Degradation from thermal and oxidative stress produces harmful contaminants like acids and moisture which severely </w:t>
      </w:r>
      <w:r>
        <w:rPr>
          <w:rFonts w:ascii="Times New Roman" w:eastAsia="Calibri" w:hAnsi="Times New Roman" w:cs="Times New Roman"/>
          <w:color w:val="000000" w:themeColor="text1"/>
          <w:lang w:val="en-US"/>
        </w:rPr>
        <w:t>reduce the dielectric strength of the oil, thus necessitating sustainable regeneration to rejuvenate its functionality. The need for sustainable alternatives as adsorbent abounds because conventional adsorbents such as activated alumina are non-renewable a</w:t>
      </w:r>
      <w:r>
        <w:rPr>
          <w:rFonts w:ascii="Times New Roman" w:eastAsia="Calibri" w:hAnsi="Times New Roman" w:cs="Times New Roman"/>
          <w:color w:val="000000" w:themeColor="text1"/>
          <w:lang w:val="en-US"/>
        </w:rPr>
        <w:t>nd expensive. This study investigated the regeneration of spent transformer oil using activated carbon derived from coconut shells as a low-cost and eco-friendly adsorbent. The coconut shells were carbonized at 800 °C and chemically activated with 1 M sodi</w:t>
      </w:r>
      <w:r>
        <w:rPr>
          <w:rFonts w:ascii="Times New Roman" w:eastAsia="Calibri" w:hAnsi="Times New Roman" w:cs="Times New Roman"/>
          <w:color w:val="000000" w:themeColor="text1"/>
          <w:lang w:val="en-US"/>
        </w:rPr>
        <w:t>um bicarbonate to enhance porosity and surface area. The degraded transformer oil was treated under controlled conditions, and its physicochemical properties including moisture content, viscosity, acid number, color, and dielectric breakdown voltage were a</w:t>
      </w:r>
      <w:r>
        <w:rPr>
          <w:rFonts w:ascii="Times New Roman" w:eastAsia="Calibri" w:hAnsi="Times New Roman" w:cs="Times New Roman"/>
          <w:color w:val="000000" w:themeColor="text1"/>
          <w:lang w:val="en-US"/>
        </w:rPr>
        <w:t>nalyzed before and after regeneration. The regeneration performance was assessed at varied temperatures of 60,80 and 100 ⁰C at constant time of 30 min. Also, regeneration performance was assessed at contact time of 45 and 60 min at a constant temperature o</w:t>
      </w:r>
      <w:r>
        <w:rPr>
          <w:rFonts w:ascii="Times New Roman" w:eastAsia="Calibri" w:hAnsi="Times New Roman" w:cs="Times New Roman"/>
          <w:color w:val="000000" w:themeColor="text1"/>
          <w:lang w:val="en-US"/>
        </w:rPr>
        <w:t xml:space="preserve">f 80 ⁰C. The results revealed a significant improvement in oil quality: Acid number reduced from 4.21 mg KOH/g to 2.11 mg KOH/g (49.8 % performance recovery), viscosity decreased from 9.19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to 8.67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(5.66 % recovery) and dielectric breakdown voltage in</w:t>
      </w:r>
      <w:r>
        <w:rPr>
          <w:rFonts w:ascii="Times New Roman" w:eastAsia="Calibri" w:hAnsi="Times New Roman" w:cs="Times New Roman"/>
          <w:color w:val="000000" w:themeColor="text1"/>
          <w:lang w:val="en-US"/>
        </w:rPr>
        <w:t>creased from 7.8 kV to 25.2 kV (223 % recovery). These findings confirm that coconut shell–based activated carbon effectively restores the properties of spent transformer oil, providing a sustainable, economical, and environmentally friendly alternative to</w:t>
      </w:r>
      <w:r>
        <w:rPr>
          <w:rFonts w:ascii="Times New Roman" w:eastAsia="Calibri" w:hAnsi="Times New Roman" w:cs="Times New Roman"/>
          <w:color w:val="000000" w:themeColor="text1"/>
          <w:lang w:val="en-US"/>
        </w:rPr>
        <w:t xml:space="preserve"> conventional adsorbents.</w:t>
      </w:r>
    </w:p>
    <w:p w14:paraId="0DF36A26" w14:textId="77777777" w:rsidR="0078026E" w:rsidRDefault="0078026E">
      <w:pPr>
        <w:spacing w:line="240" w:lineRule="auto"/>
        <w:jc w:val="both"/>
        <w:rPr>
          <w:rFonts w:ascii="Times New Roman" w:eastAsia="Calibri" w:hAnsi="Times New Roman" w:cs="Times New Roman"/>
          <w:color w:val="000000" w:themeColor="text1"/>
          <w:lang w:val="en-US"/>
        </w:rPr>
      </w:pPr>
    </w:p>
    <w:p w14:paraId="4E3BF01F"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 Keywords: regeneration, adsorbent, degradation, physicochemical, spent transformer oil, dielectric strength</w:t>
      </w:r>
    </w:p>
    <w:p w14:paraId="6C77B791"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sz w:val="28"/>
          <w:szCs w:val="28"/>
          <w:lang w:val="en-US"/>
        </w:rPr>
      </w:pPr>
      <w:bookmarkStart w:id="2" w:name="_Toc214356156"/>
      <w:bookmarkStart w:id="3" w:name="_Toc224021326"/>
      <w:bookmarkStart w:id="4" w:name="_Toc214347842"/>
      <w:r>
        <w:rPr>
          <w:rFonts w:ascii="Times New Roman" w:eastAsia="Times New Roman" w:hAnsi="Times New Roman" w:cs="Times New Roman"/>
          <w:b/>
          <w:bCs/>
          <w:color w:val="000000" w:themeColor="text1"/>
          <w:sz w:val="28"/>
          <w:szCs w:val="28"/>
          <w:lang w:val="en-US"/>
        </w:rPr>
        <w:t>1.0 Introducti</w:t>
      </w:r>
      <w:bookmarkEnd w:id="2"/>
      <w:bookmarkEnd w:id="3"/>
      <w:bookmarkEnd w:id="4"/>
      <w:r>
        <w:rPr>
          <w:rFonts w:ascii="Times New Roman" w:eastAsia="Times New Roman" w:hAnsi="Times New Roman" w:cs="Times New Roman"/>
          <w:b/>
          <w:bCs/>
          <w:color w:val="000000" w:themeColor="text1"/>
          <w:sz w:val="28"/>
          <w:szCs w:val="28"/>
          <w:lang w:val="en-US"/>
        </w:rPr>
        <w:t>on</w:t>
      </w:r>
    </w:p>
    <w:p w14:paraId="47CA1B81"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performance of power transformers is critical for electricity distribution networks because transfo</w:t>
      </w:r>
      <w:r>
        <w:rPr>
          <w:rFonts w:ascii="Times New Roman" w:eastAsia="Calibri" w:hAnsi="Times New Roman" w:cs="Times New Roman"/>
          <w:color w:val="000000" w:themeColor="text1"/>
          <w:lang w:val="en-US"/>
        </w:rPr>
        <w:t xml:space="preserve">rmers depend heavily on insulating oils to provide both electrical insulation and cooling functions. Over a long period of operation, degradation occurs in transformer oils due to thermal stress, oxidation, and moisture absorption leading to the formation </w:t>
      </w:r>
      <w:r>
        <w:rPr>
          <w:rFonts w:ascii="Times New Roman" w:eastAsia="Calibri" w:hAnsi="Times New Roman" w:cs="Times New Roman"/>
          <w:color w:val="000000" w:themeColor="text1"/>
          <w:lang w:val="en-US"/>
        </w:rPr>
        <w:t xml:space="preserve">of sludge, acids, and other contaminants that compromise dielectric strength. The regeneration process helps improve critical properties of the oil.  Although there are conventional approaches to addressing </w:t>
      </w:r>
      <w:proofErr w:type="gramStart"/>
      <w:r>
        <w:rPr>
          <w:rFonts w:ascii="Times New Roman" w:eastAsia="Calibri" w:hAnsi="Times New Roman" w:cs="Times New Roman"/>
          <w:color w:val="000000" w:themeColor="text1"/>
          <w:lang w:val="en-US"/>
        </w:rPr>
        <w:t>spent  transformer</w:t>
      </w:r>
      <w:proofErr w:type="gramEnd"/>
      <w:r>
        <w:rPr>
          <w:rFonts w:ascii="Times New Roman" w:eastAsia="Calibri" w:hAnsi="Times New Roman" w:cs="Times New Roman"/>
          <w:color w:val="000000" w:themeColor="text1"/>
          <w:lang w:val="en-US"/>
        </w:rPr>
        <w:t xml:space="preserve"> oil which could involve either</w:t>
      </w:r>
      <w:r>
        <w:rPr>
          <w:rFonts w:ascii="Times New Roman" w:eastAsia="Calibri" w:hAnsi="Times New Roman" w:cs="Times New Roman"/>
          <w:color w:val="000000" w:themeColor="text1"/>
          <w:lang w:val="en-US"/>
        </w:rPr>
        <w:t xml:space="preserve"> complete replacement or industrial regeneration processes, both method present significant economic and environmental challenges. In developing nations like Nigeria, where power infrastructure maintenance budgets are constrained, the cost of transformer o</w:t>
      </w:r>
      <w:r>
        <w:rPr>
          <w:rFonts w:ascii="Times New Roman" w:eastAsia="Calibri" w:hAnsi="Times New Roman" w:cs="Times New Roman"/>
          <w:color w:val="000000" w:themeColor="text1"/>
          <w:lang w:val="en-US"/>
        </w:rPr>
        <w:t>il replacement poses a substantial burden. Recent data indicates that Nigerian electricity distribution companies spend an average of ₦4.5 million annually per transformer on oil replacement. (Fofana et al., 2017; UNEP, 2018; IEC, 2020; NERC, 2022).</w:t>
      </w:r>
    </w:p>
    <w:p w14:paraId="2F8DF80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 xml:space="preserve">There </w:t>
      </w:r>
      <w:r>
        <w:rPr>
          <w:rFonts w:ascii="Times New Roman" w:eastAsia="Calibri" w:hAnsi="Times New Roman" w:cs="Times New Roman"/>
          <w:color w:val="000000" w:themeColor="text1"/>
          <w:lang w:val="en-US"/>
        </w:rPr>
        <w:t>are physical and chemical methods that are conventionally used to regenerate transformer oils. The physical methods include mechanical filtration, thermal settling and decantation, vacuum dehydration and degassing under vacuum. Using these methods, suspend</w:t>
      </w:r>
      <w:r>
        <w:rPr>
          <w:rFonts w:ascii="Times New Roman" w:eastAsia="Calibri" w:hAnsi="Times New Roman" w:cs="Times New Roman"/>
          <w:color w:val="000000" w:themeColor="text1"/>
          <w:lang w:val="en-US"/>
        </w:rPr>
        <w:t xml:space="preserve">ed particles are removed, heavier particles settle to enable decantation, moisture content is reduced and dielectric strength of the oil is improved (Qin, 2017; Zhu and Chang, 2019). </w:t>
      </w:r>
    </w:p>
    <w:p w14:paraId="74703DE3"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chemical methods include oxidation and precipitation, hydrogen perox</w:t>
      </w:r>
      <w:r>
        <w:rPr>
          <w:rFonts w:ascii="Times New Roman" w:eastAsia="Calibri" w:hAnsi="Times New Roman" w:cs="Times New Roman"/>
          <w:color w:val="000000" w:themeColor="text1"/>
          <w:lang w:val="en-US"/>
        </w:rPr>
        <w:t>ide assisted oxidation and acid-alkali neutralization. Through these methods, soluble oxidized species are decomposed and removed, harmful residues are reduced and dielectric properties are improved, and acid degradation products are removed (Yao et al., 2</w:t>
      </w:r>
      <w:r>
        <w:rPr>
          <w:rFonts w:ascii="Times New Roman" w:eastAsia="Calibri" w:hAnsi="Times New Roman" w:cs="Times New Roman"/>
          <w:color w:val="000000" w:themeColor="text1"/>
          <w:lang w:val="en-US"/>
        </w:rPr>
        <w:t xml:space="preserve">015; Yin, 2017; Xiao et al., 2020). Unfortunately, due to the expensive cost of transformer oil replacement and the improper disposal of </w:t>
      </w:r>
      <w:proofErr w:type="gramStart"/>
      <w:r>
        <w:rPr>
          <w:rFonts w:ascii="Times New Roman" w:eastAsia="Calibri" w:hAnsi="Times New Roman" w:cs="Times New Roman"/>
          <w:color w:val="000000" w:themeColor="text1"/>
          <w:lang w:val="en-US"/>
        </w:rPr>
        <w:t>spent  transformer</w:t>
      </w:r>
      <w:proofErr w:type="gramEnd"/>
      <w:r>
        <w:rPr>
          <w:rFonts w:ascii="Times New Roman" w:eastAsia="Calibri" w:hAnsi="Times New Roman" w:cs="Times New Roman"/>
          <w:color w:val="000000" w:themeColor="text1"/>
          <w:lang w:val="en-US"/>
        </w:rPr>
        <w:t xml:space="preserve"> oil, environmental hazards occur, because these oils may contain polychlorinated biphenyls (PCBs) an</w:t>
      </w:r>
      <w:r>
        <w:rPr>
          <w:rFonts w:ascii="Times New Roman" w:eastAsia="Calibri" w:hAnsi="Times New Roman" w:cs="Times New Roman"/>
          <w:color w:val="000000" w:themeColor="text1"/>
          <w:lang w:val="en-US"/>
        </w:rPr>
        <w:t xml:space="preserve">d other toxic compounds. </w:t>
      </w:r>
    </w:p>
    <w:p w14:paraId="11033384"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Also, conventional mineral based adsorbent such as activated alumina, bentonite and fuller’s earth being used for oil regeneration are non-renewable and difficult to dispose without posing hazard in the environment. These challeng</w:t>
      </w:r>
      <w:r>
        <w:rPr>
          <w:rFonts w:ascii="Times New Roman" w:eastAsia="Calibri" w:hAnsi="Times New Roman" w:cs="Times New Roman"/>
          <w:color w:val="000000" w:themeColor="text1"/>
          <w:lang w:val="en-US"/>
        </w:rPr>
        <w:t>es have spurred interest in the development of sustainable regeneration methods that can extend transformer oil service life while minimizing costs and environmental impact. Agricultural waste materials have emerged as promising alternative for transformer</w:t>
      </w:r>
      <w:r>
        <w:rPr>
          <w:rFonts w:ascii="Times New Roman" w:eastAsia="Calibri" w:hAnsi="Times New Roman" w:cs="Times New Roman"/>
          <w:color w:val="000000" w:themeColor="text1"/>
          <w:lang w:val="en-US"/>
        </w:rPr>
        <w:t xml:space="preserve"> oil regeneration due to their adsorptive properties and economic advantages. Nigeria generates approximately 50 million </w:t>
      </w:r>
      <w:proofErr w:type="spellStart"/>
      <w:r>
        <w:rPr>
          <w:rFonts w:ascii="Times New Roman" w:eastAsia="Calibri" w:hAnsi="Times New Roman" w:cs="Times New Roman"/>
          <w:color w:val="000000" w:themeColor="text1"/>
          <w:lang w:val="en-US"/>
        </w:rPr>
        <w:t>tonnes</w:t>
      </w:r>
      <w:proofErr w:type="spellEnd"/>
      <w:r>
        <w:rPr>
          <w:rFonts w:ascii="Times New Roman" w:eastAsia="Calibri" w:hAnsi="Times New Roman" w:cs="Times New Roman"/>
          <w:color w:val="000000" w:themeColor="text1"/>
          <w:lang w:val="en-US"/>
        </w:rPr>
        <w:t xml:space="preserve"> of agricultural waste annually, including coconut shells, palm kernel shells, and rice husks (FAO, 2021). Coconut shell is a by-</w:t>
      </w:r>
      <w:r>
        <w:rPr>
          <w:rFonts w:ascii="Times New Roman" w:eastAsia="Calibri" w:hAnsi="Times New Roman" w:cs="Times New Roman"/>
          <w:color w:val="000000" w:themeColor="text1"/>
          <w:lang w:val="en-US"/>
        </w:rPr>
        <w:t>product of coconut oil processing and its high carbon content makes it a potential raw material for activated carbon production.</w:t>
      </w:r>
    </w:p>
    <w:p w14:paraId="42DC00C8"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Some studies have been carried out to investigate the use of coconut shells as adsorbent in the regeneration or rejuvenation of</w:t>
      </w:r>
      <w:r>
        <w:rPr>
          <w:rFonts w:ascii="Times New Roman" w:eastAsia="Calibri" w:hAnsi="Times New Roman" w:cs="Times New Roman"/>
          <w:color w:val="000000" w:themeColor="text1"/>
          <w:lang w:val="en-US"/>
        </w:rPr>
        <w:t xml:space="preserve"> spent/degraded transformer oil. Okafor et al. (2018) demonstrated that activated carbon derived from coconut shells could restore dielectric strength from 28 kV to 45 kV while reducing acidity by 70 %. Similarly, Adeoye and Olatunji (2019) found that acid</w:t>
      </w:r>
      <w:r>
        <w:rPr>
          <w:rFonts w:ascii="Times New Roman" w:eastAsia="Calibri" w:hAnsi="Times New Roman" w:cs="Times New Roman"/>
          <w:color w:val="000000" w:themeColor="text1"/>
          <w:lang w:val="en-US"/>
        </w:rPr>
        <w:t xml:space="preserve">-activated Nigerian clay achieved 80 % sludge removal efficiency. These findings suggest that locally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materials may offer a cost-effective alternative to commercial adsorbents like Fuller's earth. Yahya et al. (2015) reported that the </w:t>
      </w:r>
      <w:r>
        <w:rPr>
          <w:rFonts w:ascii="Times New Roman" w:eastAsia="Calibri" w:hAnsi="Times New Roman" w:cs="Times New Roman"/>
          <w:color w:val="000000" w:themeColor="text1"/>
          <w:lang w:val="en-US"/>
        </w:rPr>
        <w:t xml:space="preserve">adsorptive capacity of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-wastes adsorption lies in their porous structure and surface chemistry and when properly activated through pyrolysis or chemical treatment, these materials develop extensive surface areas (300-1000 m²/g) and functional groups th</w:t>
      </w:r>
      <w:r>
        <w:rPr>
          <w:rFonts w:ascii="Times New Roman" w:eastAsia="Calibri" w:hAnsi="Times New Roman" w:cs="Times New Roman"/>
          <w:color w:val="000000" w:themeColor="text1"/>
          <w:lang w:val="en-US"/>
        </w:rPr>
        <w:t xml:space="preserve">at can trap polar compounds. Sharma &amp; Patel (2015) investigated the regeneration of contaminated transformer oil using silica derived from rice husk ash. The silica was produced by combusting husks at 700 °C followed by activation with 10 % NaOH solution. </w:t>
      </w:r>
      <w:r>
        <w:rPr>
          <w:rFonts w:ascii="Times New Roman" w:eastAsia="Calibri" w:hAnsi="Times New Roman" w:cs="Times New Roman"/>
          <w:color w:val="000000" w:themeColor="text1"/>
          <w:lang w:val="en-US"/>
        </w:rPr>
        <w:t>The adsorption treatment utilized 8 % (w/w) silica adsorbent with 90 min of agitation at 50 °C. The regenerated oil demonstrated significant improvements: total acidity decreased from 0.25 to 0.07 mg KOH/g (72 % reduction), water content dropped from 45 to</w:t>
      </w:r>
      <w:r>
        <w:rPr>
          <w:rFonts w:ascii="Times New Roman" w:eastAsia="Calibri" w:hAnsi="Times New Roman" w:cs="Times New Roman"/>
          <w:color w:val="000000" w:themeColor="text1"/>
          <w:lang w:val="en-US"/>
        </w:rPr>
        <w:t xml:space="preserve"> 19 ppm (58 % decrease), and dielectric strength improved from 22 to 36 kV (65 % enhancement). The process also removed 88 % of dissolved copper particles. The treated oil met both IEC 60296 and BS 148 standards, confirming rice husk silica's exceptional c</w:t>
      </w:r>
      <w:r>
        <w:rPr>
          <w:rFonts w:ascii="Times New Roman" w:eastAsia="Calibri" w:hAnsi="Times New Roman" w:cs="Times New Roman"/>
          <w:color w:val="000000" w:themeColor="text1"/>
          <w:lang w:val="en-US"/>
        </w:rPr>
        <w:t xml:space="preserve">apability for heavy metal removal while maintaining cost-effectiveness. Nguyen et al. (2017) examined the regeneration of aged transformer oil using palm kernel shell biochar produced via slow pyrolysis at 450 °C for 3 h. The treatment employed 12 (w/t.%) </w:t>
      </w:r>
      <w:r>
        <w:rPr>
          <w:rFonts w:ascii="Times New Roman" w:eastAsia="Calibri" w:hAnsi="Times New Roman" w:cs="Times New Roman"/>
          <w:color w:val="000000" w:themeColor="text1"/>
          <w:lang w:val="en-US"/>
        </w:rPr>
        <w:t xml:space="preserve">biochar with 2 h contact time at ambient temperature. Results obtained showed remarkable improvements: viscosity reduced by 49 % (from 16.8 to 8.6 mm²/s), interfacial tension increased by 42 % (from 18 to 25.6 N/m), and hydrogen gas content decreased </w:t>
      </w:r>
      <w:r>
        <w:rPr>
          <w:rFonts w:ascii="Times New Roman" w:eastAsia="Calibri" w:hAnsi="Times New Roman" w:cs="Times New Roman"/>
          <w:color w:val="000000" w:themeColor="text1"/>
          <w:lang w:val="en-US"/>
        </w:rPr>
        <w:lastRenderedPageBreak/>
        <w:t>by 81</w:t>
      </w:r>
      <w:r>
        <w:rPr>
          <w:rFonts w:ascii="Times New Roman" w:eastAsia="Calibri" w:hAnsi="Times New Roman" w:cs="Times New Roman"/>
          <w:color w:val="000000" w:themeColor="text1"/>
          <w:lang w:val="en-US"/>
        </w:rPr>
        <w:t xml:space="preserve"> % (from 120 to 23 ppm). Visual analysis revealed a 90 % improvement in color from black to amber. The total treatment cost was 60 % lower than commercial alternatives, with the regenerated oil meeting all ASTM D3487 Type II specifications, demonstrating p</w:t>
      </w:r>
      <w:r>
        <w:rPr>
          <w:rFonts w:ascii="Times New Roman" w:eastAsia="Calibri" w:hAnsi="Times New Roman" w:cs="Times New Roman"/>
          <w:color w:val="000000" w:themeColor="text1"/>
          <w:lang w:val="en-US"/>
        </w:rPr>
        <w:t xml:space="preserve">alm kernel activated carbon as </w:t>
      </w:r>
      <w:proofErr w:type="gramStart"/>
      <w:r>
        <w:rPr>
          <w:rFonts w:ascii="Times New Roman" w:eastAsia="Calibri" w:hAnsi="Times New Roman" w:cs="Times New Roman"/>
          <w:color w:val="000000" w:themeColor="text1"/>
          <w:lang w:val="en-US"/>
        </w:rPr>
        <w:t>superior  in</w:t>
      </w:r>
      <w:proofErr w:type="gramEnd"/>
      <w:r>
        <w:rPr>
          <w:rFonts w:ascii="Times New Roman" w:eastAsia="Calibri" w:hAnsi="Times New Roman" w:cs="Times New Roman"/>
          <w:color w:val="000000" w:themeColor="text1"/>
          <w:lang w:val="en-US"/>
        </w:rPr>
        <w:t xml:space="preserve"> economic and technical viability. Gómez et al. (2020) explored transformer oil regeneration using phosphoric acid-activated corn cob carbon (1:3 ratio at 500 °C). The optimal treatment conditions (10 % w/v adsorb</w:t>
      </w:r>
      <w:r>
        <w:rPr>
          <w:rFonts w:ascii="Times New Roman" w:eastAsia="Calibri" w:hAnsi="Times New Roman" w:cs="Times New Roman"/>
          <w:color w:val="000000" w:themeColor="text1"/>
          <w:lang w:val="en-US"/>
        </w:rPr>
        <w:t>ent, 80 °C, 1 h) yielded outstanding outcomes: breakdown voltage increased by 86 % (from 28 to 52 kV), acid number decreased by 87 % (from 0.15 to 0.02 mg KOH/g), and polychlorinated biphenyls (PCBs) were reduced by 95 %. The corn cob carbon outperformed c</w:t>
      </w:r>
      <w:r>
        <w:rPr>
          <w:rFonts w:ascii="Times New Roman" w:eastAsia="Calibri" w:hAnsi="Times New Roman" w:cs="Times New Roman"/>
          <w:color w:val="000000" w:themeColor="text1"/>
          <w:lang w:val="en-US"/>
        </w:rPr>
        <w:t>ommercial adsorbents in persistent organic pollutant removal, with the treated oil meeting stringent EPA and IEC 61100 standards.</w:t>
      </w:r>
    </w:p>
    <w:p w14:paraId="0D16CA7B"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carboxyl and phenolic groups on activated carbon surfaces effectively remove acidic degradation products from transformer </w:t>
      </w:r>
      <w:r>
        <w:rPr>
          <w:rFonts w:ascii="Times New Roman" w:eastAsia="Calibri" w:hAnsi="Times New Roman" w:cs="Times New Roman"/>
          <w:color w:val="000000" w:themeColor="text1"/>
          <w:lang w:val="en-US"/>
        </w:rPr>
        <w:t xml:space="preserve">oil (Zhang et al., 2019). This adsorption process not only restores oil properties but also aligns with circular economy principles by valorizing agricultural byproducts (EMF, 2015). Despite these advantages, significant research gaps remain in optimizing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adsorbents for field applications. Most studies have focused on laboratory-scale experiments under controlled conditions, leaving questions about scalability and long-term performance (Ibrahim et al., 2021). In addition, there is limited compara</w:t>
      </w:r>
      <w:r>
        <w:rPr>
          <w:rFonts w:ascii="Times New Roman" w:eastAsia="Calibri" w:hAnsi="Times New Roman" w:cs="Times New Roman"/>
          <w:color w:val="000000" w:themeColor="text1"/>
          <w:lang w:val="en-US"/>
        </w:rPr>
        <w:t xml:space="preserve">tive data on the effectiveness of different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materials, particularly those abundant in sub-Saharan Africa. The variability in local agricultural waste composition also presents challenges for standardizing treatment protocols (Okoro &amp; Eze, 2020).</w:t>
      </w:r>
    </w:p>
    <w:p w14:paraId="3E6291A6"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current study focused on synthesizing adsorbent from coconut shells and determining the optimum conditions suitable for the regeneration of the spent transformer oil using physicochemical method. Properties such as pore volume, pH, moisture content, a</w:t>
      </w:r>
      <w:r>
        <w:rPr>
          <w:rFonts w:ascii="Times New Roman" w:eastAsia="Calibri" w:hAnsi="Times New Roman" w:cs="Times New Roman"/>
          <w:color w:val="000000" w:themeColor="text1"/>
          <w:lang w:val="en-US"/>
        </w:rPr>
        <w:t>sh content of the coconut activated carbon (CSAC) were analyzed. The physicochemical characteristics such as the viscosity, total acid number, moisture content and dielectric breakdown voltage of both the spent and regenerated oil were also analyzed.</w:t>
      </w:r>
    </w:p>
    <w:p w14:paraId="667A5349"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2.0 M</w:t>
      </w:r>
      <w:r>
        <w:rPr>
          <w:rFonts w:ascii="Times New Roman" w:eastAsia="Times New Roman" w:hAnsi="Times New Roman" w:cs="Times New Roman"/>
          <w:b/>
          <w:bCs/>
          <w:color w:val="000000" w:themeColor="text1"/>
          <w:sz w:val="28"/>
          <w:szCs w:val="28"/>
          <w:lang w:val="en-US"/>
        </w:rPr>
        <w:t xml:space="preserve">aterials and Methods </w:t>
      </w:r>
    </w:p>
    <w:p w14:paraId="7DDA0A62" w14:textId="77777777" w:rsidR="0078026E" w:rsidRDefault="003452F6">
      <w:pPr>
        <w:pStyle w:val="NoSpacing"/>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 xml:space="preserve">2.1 Materials </w:t>
      </w:r>
    </w:p>
    <w:p w14:paraId="30CD3CE6"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bookmarkStart w:id="5" w:name="_Toc213293275"/>
      <w:bookmarkStart w:id="6" w:name="_Toc224021369"/>
    </w:p>
    <w:p w14:paraId="4CA62197" w14:textId="77777777" w:rsidR="0078026E" w:rsidRDefault="003452F6">
      <w:pPr>
        <w:pStyle w:val="NoSpacing"/>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2.1.1 Sample Collection</w:t>
      </w:r>
      <w:bookmarkStart w:id="7" w:name="_Toc213293276"/>
      <w:bookmarkStart w:id="8" w:name="_Toc224021370"/>
      <w:bookmarkEnd w:id="5"/>
      <w:bookmarkEnd w:id="6"/>
    </w:p>
    <w:p w14:paraId="1C63762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bookmarkEnd w:id="7"/>
      <w:bookmarkEnd w:id="8"/>
    </w:p>
    <w:p w14:paraId="2EB75C0E"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 5 L sample of spent transformer oil was collected from a decommissioned 500 </w:t>
      </w:r>
      <w:proofErr w:type="spellStart"/>
      <w:r>
        <w:rPr>
          <w:rFonts w:ascii="Times New Roman" w:eastAsia="Calibri" w:hAnsi="Times New Roman" w:cs="Times New Roman"/>
          <w:color w:val="000000" w:themeColor="text1"/>
          <w:lang w:val="en-US"/>
        </w:rPr>
        <w:t>kva</w:t>
      </w:r>
      <w:proofErr w:type="spellEnd"/>
      <w:r>
        <w:rPr>
          <w:rFonts w:ascii="Times New Roman" w:eastAsia="Calibri" w:hAnsi="Times New Roman" w:cs="Times New Roman"/>
          <w:color w:val="000000" w:themeColor="text1"/>
          <w:lang w:val="en-US"/>
        </w:rPr>
        <w:t xml:space="preserve"> distribution transformer at the Bayelsa State Electricity Board (BSEB) maintenance facility situated in </w:t>
      </w:r>
      <w:proofErr w:type="spellStart"/>
      <w:r>
        <w:rPr>
          <w:rFonts w:ascii="Times New Roman" w:eastAsia="Calibri" w:hAnsi="Times New Roman" w:cs="Times New Roman"/>
          <w:color w:val="000000" w:themeColor="text1"/>
          <w:lang w:val="en-US"/>
        </w:rPr>
        <w:t>Nembe</w:t>
      </w:r>
      <w:proofErr w:type="spellEnd"/>
      <w:r>
        <w:rPr>
          <w:rFonts w:ascii="Times New Roman" w:eastAsia="Calibri" w:hAnsi="Times New Roman" w:cs="Times New Roman"/>
          <w:color w:val="000000" w:themeColor="text1"/>
          <w:lang w:val="en-US"/>
        </w:rPr>
        <w:t xml:space="preserve"> local government area, Bayelsa State, Nigeria. The transformer had been in service for 8 - 12 yr. The sample was collected from different point to ensure representative samples of </w:t>
      </w:r>
      <w:proofErr w:type="gramStart"/>
      <w:r>
        <w:rPr>
          <w:rFonts w:ascii="Times New Roman" w:eastAsia="Calibri" w:hAnsi="Times New Roman" w:cs="Times New Roman"/>
          <w:color w:val="000000" w:themeColor="text1"/>
          <w:lang w:val="en-US"/>
        </w:rPr>
        <w:t>spent  oil</w:t>
      </w:r>
      <w:proofErr w:type="gramEnd"/>
      <w:r>
        <w:rPr>
          <w:rFonts w:ascii="Times New Roman" w:eastAsia="Calibri" w:hAnsi="Times New Roman" w:cs="Times New Roman"/>
          <w:color w:val="000000" w:themeColor="text1"/>
          <w:lang w:val="en-US"/>
        </w:rPr>
        <w:t>. The oil was transported in sealed, light-proof 10 L contai</w:t>
      </w:r>
      <w:r>
        <w:rPr>
          <w:rFonts w:ascii="Times New Roman" w:eastAsia="Calibri" w:hAnsi="Times New Roman" w:cs="Times New Roman"/>
          <w:color w:val="000000" w:themeColor="text1"/>
          <w:lang w:val="en-US"/>
        </w:rPr>
        <w:t>ners to prevent further oxidation during storage.</w:t>
      </w:r>
    </w:p>
    <w:p w14:paraId="4B5341ED"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Coconut shells from matured coconut were sourced from a farm in </w:t>
      </w:r>
      <w:proofErr w:type="spellStart"/>
      <w:proofErr w:type="gramStart"/>
      <w:r>
        <w:rPr>
          <w:rFonts w:ascii="Times New Roman" w:eastAsia="Calibri" w:hAnsi="Times New Roman" w:cs="Times New Roman"/>
          <w:color w:val="000000" w:themeColor="text1"/>
          <w:lang w:val="en-US"/>
        </w:rPr>
        <w:t>Aluu</w:t>
      </w:r>
      <w:proofErr w:type="spellEnd"/>
      <w:r>
        <w:rPr>
          <w:rFonts w:ascii="Times New Roman" w:eastAsia="Calibri" w:hAnsi="Times New Roman" w:cs="Times New Roman"/>
          <w:color w:val="000000" w:themeColor="text1"/>
          <w:lang w:val="en-US"/>
        </w:rPr>
        <w:t>,  Rivers</w:t>
      </w:r>
      <w:proofErr w:type="gramEnd"/>
      <w:r>
        <w:rPr>
          <w:rFonts w:ascii="Times New Roman" w:eastAsia="Calibri" w:hAnsi="Times New Roman" w:cs="Times New Roman"/>
          <w:color w:val="000000" w:themeColor="text1"/>
          <w:lang w:val="en-US"/>
        </w:rPr>
        <w:t xml:space="preserve"> State, Nigeria. The shells were manually cleaned to remove organic residues. Samples were bagged and labeled before transporting</w:t>
      </w:r>
      <w:r>
        <w:rPr>
          <w:rFonts w:ascii="Times New Roman" w:eastAsia="Calibri" w:hAnsi="Times New Roman" w:cs="Times New Roman"/>
          <w:color w:val="000000" w:themeColor="text1"/>
          <w:lang w:val="en-US"/>
        </w:rPr>
        <w:t xml:space="preserve"> them to the laboratory for processing.</w:t>
      </w:r>
      <w:bookmarkStart w:id="9" w:name="_Toc224021372"/>
      <w:bookmarkStart w:id="10" w:name="_Toc213293278"/>
    </w:p>
    <w:bookmarkEnd w:id="9"/>
    <w:bookmarkEnd w:id="10"/>
    <w:p w14:paraId="54150DD1" w14:textId="77777777" w:rsidR="0078026E" w:rsidRDefault="0078026E">
      <w:pPr>
        <w:spacing w:line="240" w:lineRule="auto"/>
        <w:jc w:val="both"/>
        <w:rPr>
          <w:rFonts w:ascii="Times New Roman" w:eastAsia="Calibri" w:hAnsi="Times New Roman" w:cs="Times New Roman"/>
          <w:color w:val="000000" w:themeColor="text1"/>
          <w:lang w:val="en-US"/>
        </w:rPr>
      </w:pPr>
    </w:p>
    <w:p w14:paraId="46BFFA45"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The following equipment, apparatus and materials were used: A gasoline powered grinding machine; An electronic weighing balance (</w:t>
      </w:r>
      <w:proofErr w:type="spellStart"/>
      <w:r>
        <w:rPr>
          <w:rFonts w:ascii="Times New Roman" w:eastAsia="Calibri" w:hAnsi="Times New Roman" w:cs="Times New Roman"/>
          <w:color w:val="000000" w:themeColor="text1"/>
          <w:lang w:val="en-US"/>
        </w:rPr>
        <w:t>Kerro</w:t>
      </w:r>
      <w:proofErr w:type="spellEnd"/>
      <w:r>
        <w:rPr>
          <w:rFonts w:ascii="Times New Roman" w:eastAsia="Calibri" w:hAnsi="Times New Roman" w:cs="Times New Roman"/>
          <w:color w:val="000000" w:themeColor="text1"/>
          <w:lang w:val="en-US"/>
        </w:rPr>
        <w:t xml:space="preserve"> series P5C); Muffle furnace (The Select-Horn); 500 </w:t>
      </w:r>
      <w:proofErr w:type="spellStart"/>
      <w:r>
        <w:rPr>
          <w:rFonts w:ascii="Times New Roman" w:eastAsia="Calibri" w:hAnsi="Times New Roman" w:cs="Times New Roman"/>
          <w:color w:val="000000" w:themeColor="text1"/>
          <w:lang w:val="en-US"/>
        </w:rPr>
        <w:t>μm</w:t>
      </w:r>
      <w:proofErr w:type="spellEnd"/>
      <w:r>
        <w:rPr>
          <w:rFonts w:ascii="Times New Roman" w:eastAsia="Calibri" w:hAnsi="Times New Roman" w:cs="Times New Roman"/>
          <w:color w:val="000000" w:themeColor="text1"/>
          <w:lang w:val="en-US"/>
        </w:rPr>
        <w:t xml:space="preserve"> stainless-steel; Buchner f</w:t>
      </w:r>
      <w:r>
        <w:rPr>
          <w:rFonts w:ascii="Times New Roman" w:eastAsia="Calibri" w:hAnsi="Times New Roman" w:cs="Times New Roman"/>
          <w:color w:val="000000" w:themeColor="text1"/>
          <w:lang w:val="en-US"/>
        </w:rPr>
        <w:t>unnel; filter paper; atomic absorption spectrophotometer (AAS) (Perkin Elmer Buck Scientific 210);  BET analyzer (Micromeritics ASAP 2020); 250ml conical flask;  A desktop constant temperature drying oven (DNP-9022A); Ostwald viscometer; burette and pipett</w:t>
      </w:r>
      <w:r>
        <w:rPr>
          <w:rFonts w:ascii="Times New Roman" w:eastAsia="Calibri" w:hAnsi="Times New Roman" w:cs="Times New Roman"/>
          <w:color w:val="000000" w:themeColor="text1"/>
          <w:lang w:val="en-US"/>
        </w:rPr>
        <w:t>e; magnetic stirrer (A 78-1)</w:t>
      </w:r>
      <w:bookmarkStart w:id="11" w:name="_Toc224021373"/>
      <w:bookmarkStart w:id="12" w:name="_Toc213293279"/>
      <w:r>
        <w:rPr>
          <w:rFonts w:ascii="Times New Roman" w:eastAsia="Calibri" w:hAnsi="Times New Roman" w:cs="Times New Roman"/>
          <w:color w:val="000000" w:themeColor="text1"/>
          <w:lang w:val="en-US"/>
        </w:rPr>
        <w:t>; Scanning Electron Microscope (JSM-7610F Tokyo, Japan).</w:t>
      </w:r>
    </w:p>
    <w:p w14:paraId="4DF0FFC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w:t>
      </w:r>
      <w:r>
        <w:rPr>
          <w:rFonts w:ascii="Times New Roman" w:eastAsia="Times New Roman" w:hAnsi="Times New Roman" w:cs="Times New Roman"/>
          <w:color w:val="000000" w:themeColor="text1"/>
          <w:lang w:val="en-US"/>
        </w:rPr>
        <w:t>reagents</w:t>
      </w:r>
      <w:bookmarkEnd w:id="11"/>
      <w:bookmarkEnd w:id="12"/>
      <w:r>
        <w:rPr>
          <w:rFonts w:ascii="Times New Roman" w:eastAsia="Times New Roman" w:hAnsi="Times New Roman" w:cs="Times New Roman"/>
          <w:color w:val="000000" w:themeColor="text1"/>
          <w:lang w:val="en-US"/>
        </w:rPr>
        <w:t xml:space="preserve"> used were </w:t>
      </w:r>
      <w:r>
        <w:rPr>
          <w:rFonts w:ascii="Times New Roman" w:eastAsia="Calibri" w:hAnsi="Times New Roman" w:cs="Times New Roman"/>
          <w:color w:val="000000" w:themeColor="text1"/>
          <w:lang w:val="en-US"/>
        </w:rPr>
        <w:t>1 M sodium bicarbonate (</w:t>
      </w:r>
      <w:proofErr w:type="spellStart"/>
      <w:r>
        <w:rPr>
          <w:rFonts w:ascii="Times New Roman" w:eastAsia="Calibri" w:hAnsi="Times New Roman" w:cs="Times New Roman"/>
          <w:color w:val="000000" w:themeColor="text1"/>
          <w:lang w:val="en-US"/>
        </w:rPr>
        <w:t>NaHCO</w:t>
      </w:r>
      <w:proofErr w:type="spellEnd"/>
      <w:r>
        <w:rPr>
          <w:rFonts w:ascii="Times New Roman" w:eastAsia="Calibri" w:hAnsi="Times New Roman" w:cs="Times New Roman"/>
          <w:color w:val="000000" w:themeColor="text1"/>
          <w:lang w:val="en-US"/>
        </w:rPr>
        <w:t>₃) and 0.5 M acetic acid. All reagents and chemicals used were of analytical grade and were</w:t>
      </w:r>
      <w:bookmarkStart w:id="13" w:name="_Toc213293280"/>
      <w:bookmarkStart w:id="14" w:name="_Toc224021374"/>
      <w:r>
        <w:rPr>
          <w:rFonts w:ascii="Times New Roman" w:eastAsia="Calibri" w:hAnsi="Times New Roman" w:cs="Times New Roman"/>
          <w:color w:val="000000" w:themeColor="text1"/>
          <w:lang w:val="en-US"/>
        </w:rPr>
        <w:t xml:space="preserve"> </w:t>
      </w:r>
      <w:r>
        <w:rPr>
          <w:rFonts w:ascii="Times New Roman" w:hAnsi="Times New Roman" w:cs="Times New Roman"/>
          <w:color w:val="000000" w:themeColor="text1"/>
          <w:lang w:val="en-US"/>
        </w:rPr>
        <w:t xml:space="preserve">purchased from </w:t>
      </w:r>
      <w:proofErr w:type="spellStart"/>
      <w:r>
        <w:rPr>
          <w:rFonts w:ascii="Times New Roman" w:hAnsi="Times New Roman" w:cs="Times New Roman"/>
          <w:color w:val="000000" w:themeColor="text1"/>
          <w:lang w:val="en-US"/>
        </w:rPr>
        <w:t>Bernaco</w:t>
      </w:r>
      <w:proofErr w:type="spellEnd"/>
      <w:r>
        <w:rPr>
          <w:rFonts w:ascii="Times New Roman" w:hAnsi="Times New Roman" w:cs="Times New Roman"/>
          <w:color w:val="000000" w:themeColor="text1"/>
          <w:lang w:val="en-US"/>
        </w:rPr>
        <w:t xml:space="preserve"> Ente</w:t>
      </w:r>
      <w:r>
        <w:rPr>
          <w:rFonts w:ascii="Times New Roman" w:hAnsi="Times New Roman" w:cs="Times New Roman"/>
          <w:color w:val="000000" w:themeColor="text1"/>
          <w:lang w:val="en-US"/>
        </w:rPr>
        <w:t>rprise, Nigeria.</w:t>
      </w:r>
    </w:p>
    <w:p w14:paraId="31909563" w14:textId="77777777" w:rsidR="0078026E" w:rsidRDefault="003452F6">
      <w:pPr>
        <w:spacing w:line="240" w:lineRule="auto"/>
        <w:jc w:val="both"/>
        <w:rPr>
          <w:rFonts w:ascii="Times New Roman" w:eastAsia="Times New Roman" w:hAnsi="Times New Roman" w:cs="Times New Roman"/>
          <w:b/>
          <w:bCs/>
          <w:color w:val="000000" w:themeColor="text1"/>
          <w:lang w:val="en-US"/>
        </w:rPr>
      </w:pPr>
      <w:bookmarkStart w:id="15" w:name="_Toc224021375"/>
      <w:bookmarkStart w:id="16" w:name="_Toc213293281"/>
      <w:bookmarkEnd w:id="13"/>
      <w:bookmarkEnd w:id="14"/>
      <w:r>
        <w:rPr>
          <w:rFonts w:ascii="Times New Roman" w:eastAsia="Times New Roman" w:hAnsi="Times New Roman" w:cs="Times New Roman"/>
          <w:b/>
          <w:bCs/>
          <w:color w:val="000000" w:themeColor="text1"/>
          <w:lang w:val="en-US"/>
        </w:rPr>
        <w:t xml:space="preserve">2.2 Methods </w:t>
      </w:r>
    </w:p>
    <w:p w14:paraId="12BFBDA0" w14:textId="77777777" w:rsidR="0078026E" w:rsidRDefault="003452F6">
      <w:pPr>
        <w:spacing w:line="240" w:lineRule="auto"/>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2.2.1 Preparation of Activated Carbon</w:t>
      </w:r>
      <w:bookmarkEnd w:id="15"/>
      <w:bookmarkEnd w:id="16"/>
    </w:p>
    <w:p w14:paraId="60DA619D" w14:textId="77777777" w:rsidR="0078026E" w:rsidRDefault="003452F6">
      <w:pPr>
        <w:spacing w:line="240" w:lineRule="auto"/>
        <w:jc w:val="both"/>
        <w:rPr>
          <w:rFonts w:ascii="Times New Roman" w:eastAsia="Calibri" w:hAnsi="Times New Roman" w:cs="Times New Roman"/>
          <w:color w:val="000000" w:themeColor="text1"/>
          <w:lang w:val="en-US"/>
        </w:rPr>
      </w:pPr>
      <w:r>
        <w:rPr>
          <w:noProof/>
          <w:color w:val="000000" w:themeColor="text1"/>
        </w:rPr>
        <mc:AlternateContent>
          <mc:Choice Requires="wps">
            <w:drawing>
              <wp:anchor distT="0" distB="0" distL="114300" distR="114300" simplePos="0" relativeHeight="251659264" behindDoc="0" locked="0" layoutInCell="1" allowOverlap="1" wp14:anchorId="799461FB" wp14:editId="4C7FD97D">
                <wp:simplePos x="0" y="0"/>
                <wp:positionH relativeFrom="column">
                  <wp:posOffset>92075</wp:posOffset>
                </wp:positionH>
                <wp:positionV relativeFrom="paragraph">
                  <wp:posOffset>2203450</wp:posOffset>
                </wp:positionV>
                <wp:extent cx="5447665" cy="2187575"/>
                <wp:effectExtent l="0" t="0" r="8255" b="6985"/>
                <wp:wrapNone/>
                <wp:docPr id="2" name="Text Box 2"/>
                <wp:cNvGraphicFramePr/>
                <a:graphic xmlns:a="http://schemas.openxmlformats.org/drawingml/2006/main">
                  <a:graphicData uri="http://schemas.microsoft.com/office/word/2010/wordprocessingShape">
                    <wps:wsp>
                      <wps:cNvSpPr txBox="1"/>
                      <wps:spPr>
                        <a:xfrm>
                          <a:off x="1573530" y="6998335"/>
                          <a:ext cx="5447665" cy="2187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A15EB0" w14:textId="77777777" w:rsidR="0078026E" w:rsidRDefault="003452F6">
                            <w:pPr>
                              <w:jc w:val="both"/>
                            </w:pPr>
                            <w:r>
                              <w:rPr>
                                <w:noProof/>
                              </w:rPr>
                              <w:drawing>
                                <wp:inline distT="0" distB="0" distL="114300" distR="114300" wp14:anchorId="5AF3B107" wp14:editId="51DB387A">
                                  <wp:extent cx="2539365" cy="2098675"/>
                                  <wp:effectExtent l="0" t="0" r="571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539365" cy="2098675"/>
                                          </a:xfrm>
                                          <a:prstGeom prst="rect">
                                            <a:avLst/>
                                          </a:prstGeom>
                                          <a:noFill/>
                                          <a:ln>
                                            <a:noFill/>
                                          </a:ln>
                                        </pic:spPr>
                                      </pic:pic>
                                    </a:graphicData>
                                  </a:graphic>
                                </wp:inline>
                              </w:drawing>
                            </w:r>
                            <w:r>
                              <w:rPr>
                                <w:noProof/>
                              </w:rPr>
                              <w:drawing>
                                <wp:inline distT="0" distB="0" distL="114300" distR="114300" wp14:anchorId="62127F7A" wp14:editId="7AB15F62">
                                  <wp:extent cx="2691765" cy="2122805"/>
                                  <wp:effectExtent l="0" t="0" r="5715"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2691765" cy="2122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9461FB" id="_x0000_t202" coordsize="21600,21600" o:spt="202" path="m,l,21600r21600,l21600,xe">
                <v:stroke joinstyle="miter"/>
                <v:path gradientshapeok="t" o:connecttype="rect"/>
              </v:shapetype>
              <v:shape id="Text Box 2" o:spid="_x0000_s1026" type="#_x0000_t202" style="position:absolute;left:0;text-align:left;margin-left:7.25pt;margin-top:173.5pt;width:428.95pt;height:17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" fillcolor="white [3201]" stroked="f" strokeweight=".5pt">
                <v:textbox>
                  <w:txbxContent>
                    <w:p w14:paraId="2FA15EB0" w14:textId="77777777" w:rsidR="0078026E" w:rsidRDefault="00000000">
                      <w:pPr>
                        <w:jc w:val="both"/>
                      </w:pPr>
                      <w:r>
                        <w:rPr>
                          <w:noProof/>
                        </w:rPr>
                        <w:drawing>
                          <wp:inline distT="0" distB="0" distL="114300" distR="114300" wp14:anchorId="5AF3B107" wp14:editId="51DB387A">
                            <wp:extent cx="2539365" cy="2098675"/>
                            <wp:effectExtent l="0" t="0" r="571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539365" cy="2098675"/>
                                    </a:xfrm>
                                    <a:prstGeom prst="rect">
                                      <a:avLst/>
                                    </a:prstGeom>
                                    <a:noFill/>
                                    <a:ln>
                                      <a:noFill/>
                                    </a:ln>
                                  </pic:spPr>
                                </pic:pic>
                              </a:graphicData>
                            </a:graphic>
                          </wp:inline>
                        </w:drawing>
                      </w:r>
                      <w:r>
                        <w:rPr>
                          <w:noProof/>
                        </w:rPr>
                        <w:drawing>
                          <wp:inline distT="0" distB="0" distL="114300" distR="114300" wp14:anchorId="62127F7A" wp14:editId="7AB15F62">
                            <wp:extent cx="2691765" cy="2122805"/>
                            <wp:effectExtent l="0" t="0" r="5715"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691765" cy="212280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color w:val="000000" w:themeColor="text1"/>
          <w:lang w:val="en-US"/>
        </w:rPr>
        <w:t>The</w:t>
      </w:r>
      <w:r>
        <w:rPr>
          <w:rFonts w:ascii="Times New Roman" w:eastAsia="Times New Roman" w:hAnsi="Times New Roman" w:cs="Times New Roman"/>
          <w:b/>
          <w:bCs/>
          <w:color w:val="000000" w:themeColor="text1"/>
          <w:lang w:val="en-US"/>
        </w:rPr>
        <w:t xml:space="preserve"> </w:t>
      </w:r>
      <w:r>
        <w:rPr>
          <w:rFonts w:ascii="Times New Roman" w:eastAsia="Calibri" w:hAnsi="Times New Roman" w:cs="Times New Roman"/>
          <w:color w:val="000000" w:themeColor="text1"/>
          <w:lang w:val="en-US"/>
        </w:rPr>
        <w:t>raw coconut shells were washed thoroughly with tap water to remove coarse dirt and debris, and then rinsed multiple times with distilled water to eliminate soluble impurities (Boadu et al., 2020). The cleaned shells were dried for 24 h to remove residual m</w:t>
      </w:r>
      <w:r>
        <w:rPr>
          <w:rFonts w:ascii="Times New Roman" w:eastAsia="Calibri" w:hAnsi="Times New Roman" w:cs="Times New Roman"/>
          <w:color w:val="000000" w:themeColor="text1"/>
          <w:lang w:val="en-US"/>
        </w:rPr>
        <w:t xml:space="preserve">oisture and prevent microbial degradation (Boadu et al., 2020). The dried coconut shells were ground into fine particles using a gasoline powered grinding machine. The resulting powder was sieved through a 500 </w:t>
      </w:r>
      <w:proofErr w:type="spellStart"/>
      <w:r>
        <w:rPr>
          <w:rFonts w:ascii="Times New Roman" w:eastAsia="Calibri" w:hAnsi="Times New Roman" w:cs="Times New Roman"/>
          <w:color w:val="000000" w:themeColor="text1"/>
          <w:lang w:val="en-US"/>
        </w:rPr>
        <w:t>μm</w:t>
      </w:r>
      <w:proofErr w:type="spellEnd"/>
      <w:r>
        <w:rPr>
          <w:rFonts w:ascii="Times New Roman" w:eastAsia="Calibri" w:hAnsi="Times New Roman" w:cs="Times New Roman"/>
          <w:color w:val="000000" w:themeColor="text1"/>
          <w:lang w:val="en-US"/>
        </w:rPr>
        <w:t xml:space="preserve"> mesh screen to ensure uniform particle size</w:t>
      </w:r>
      <w:r>
        <w:rPr>
          <w:rFonts w:ascii="Times New Roman" w:eastAsia="Calibri" w:hAnsi="Times New Roman" w:cs="Times New Roman"/>
          <w:color w:val="000000" w:themeColor="text1"/>
          <w:lang w:val="en-US"/>
        </w:rPr>
        <w:t>. The sieved material was stored in airtight containers to prevent moisture absorption before chemical treatment. A 30 g sample of the sieved coconut shell powder was impregnated with 1M solutions of sodium bicarbonate (</w:t>
      </w:r>
      <w:proofErr w:type="spellStart"/>
      <w:r>
        <w:rPr>
          <w:rFonts w:ascii="Times New Roman" w:eastAsia="Calibri" w:hAnsi="Times New Roman" w:cs="Times New Roman"/>
          <w:color w:val="000000" w:themeColor="text1"/>
          <w:lang w:val="en-US"/>
        </w:rPr>
        <w:t>NaHCO</w:t>
      </w:r>
      <w:proofErr w:type="spellEnd"/>
      <w:r>
        <w:rPr>
          <w:rFonts w:ascii="Times New Roman" w:eastAsia="Calibri" w:hAnsi="Times New Roman" w:cs="Times New Roman"/>
          <w:color w:val="000000" w:themeColor="text1"/>
          <w:lang w:val="en-US"/>
        </w:rPr>
        <w:t>₃) and left at room temperature</w:t>
      </w:r>
      <w:r>
        <w:rPr>
          <w:rFonts w:ascii="Times New Roman" w:eastAsia="Calibri" w:hAnsi="Times New Roman" w:cs="Times New Roman"/>
          <w:color w:val="000000" w:themeColor="text1"/>
          <w:lang w:val="en-US"/>
        </w:rPr>
        <w:t xml:space="preserve"> for 3 h. The chemically treated material was carbonized at 800 °C for 40 </w:t>
      </w:r>
      <w:proofErr w:type="gramStart"/>
      <w:r>
        <w:rPr>
          <w:rFonts w:ascii="Times New Roman" w:eastAsia="Calibri" w:hAnsi="Times New Roman" w:cs="Times New Roman"/>
          <w:color w:val="000000" w:themeColor="text1"/>
          <w:lang w:val="en-US"/>
        </w:rPr>
        <w:t>min  in</w:t>
      </w:r>
      <w:proofErr w:type="gramEnd"/>
      <w:r>
        <w:rPr>
          <w:rFonts w:ascii="Times New Roman" w:eastAsia="Calibri" w:hAnsi="Times New Roman" w:cs="Times New Roman"/>
          <w:color w:val="000000" w:themeColor="text1"/>
          <w:lang w:val="en-US"/>
        </w:rPr>
        <w:t xml:space="preserve"> a select-horn muffle furnace. The activated carbon was then washed with 0.5 M glacial acetic acid and distilled water until neutral pH (⁓7) was achieved, followed by drying u</w:t>
      </w:r>
      <w:r>
        <w:rPr>
          <w:rFonts w:ascii="Times New Roman" w:eastAsia="Calibri" w:hAnsi="Times New Roman" w:cs="Times New Roman"/>
          <w:color w:val="000000" w:themeColor="text1"/>
          <w:lang w:val="en-US"/>
        </w:rPr>
        <w:t>sing the drying oven for 1 h and stored in an airtight container (Figure 1)</w:t>
      </w:r>
      <w:r>
        <w:rPr>
          <w:rFonts w:ascii="Times New Roman" w:eastAsia="Times New Roman" w:hAnsi="Times New Roman" w:cs="Times New Roman"/>
          <w:b/>
          <w:bCs/>
          <w:color w:val="000000" w:themeColor="text1"/>
          <w:lang w:val="en-US"/>
        </w:rPr>
        <w:t xml:space="preserve">. </w:t>
      </w:r>
      <w:r>
        <w:rPr>
          <w:rFonts w:ascii="Times New Roman" w:eastAsia="Calibri" w:hAnsi="Times New Roman" w:cs="Times New Roman"/>
          <w:color w:val="000000" w:themeColor="text1"/>
          <w:lang w:val="en-US"/>
        </w:rPr>
        <w:t xml:space="preserve"> </w:t>
      </w:r>
    </w:p>
    <w:p w14:paraId="34DFB09B" w14:textId="77777777" w:rsidR="0078026E" w:rsidRDefault="003452F6">
      <w:pPr>
        <w:spacing w:before="100" w:beforeAutospacing="1" w:after="100" w:afterAutospacing="1" w:line="240" w:lineRule="auto"/>
        <w:jc w:val="both"/>
        <w:rPr>
          <w:rFonts w:ascii="Times New Roman" w:eastAsia="Calibri"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                  </w:t>
      </w:r>
    </w:p>
    <w:p w14:paraId="04870BB8"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4BD94A6A"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A08A3AA"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87BA4D2"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A6EF3FD"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3D9319BC"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4F4F1F8E"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297A77C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Figure 1. Processing coconut shells (</w:t>
      </w:r>
      <w:proofErr w:type="spellStart"/>
      <w:proofErr w:type="gramStart"/>
      <w:r>
        <w:rPr>
          <w:rFonts w:ascii="Times New Roman" w:eastAsia="Calibri" w:hAnsi="Times New Roman" w:cs="Times New Roman"/>
          <w:color w:val="000000" w:themeColor="text1"/>
          <w:lang w:val="en-US"/>
        </w:rPr>
        <w:t>A:raw</w:t>
      </w:r>
      <w:proofErr w:type="spellEnd"/>
      <w:proofErr w:type="gramEnd"/>
      <w:r>
        <w:rPr>
          <w:rFonts w:ascii="Times New Roman" w:eastAsia="Calibri" w:hAnsi="Times New Roman" w:cs="Times New Roman"/>
          <w:color w:val="000000" w:themeColor="text1"/>
          <w:lang w:val="en-US"/>
        </w:rPr>
        <w:t xml:space="preserve"> coconut shells); B: Ground and carbonized shell at 800 °C)</w:t>
      </w:r>
      <w:bookmarkStart w:id="17" w:name="_Toc213293287"/>
      <w:bookmarkStart w:id="18" w:name="_Toc224021381"/>
    </w:p>
    <w:p w14:paraId="5A5119E7" w14:textId="77777777" w:rsidR="0078026E" w:rsidRDefault="003452F6">
      <w:pPr>
        <w:spacing w:line="240" w:lineRule="auto"/>
        <w:jc w:val="both"/>
        <w:rPr>
          <w:rFonts w:ascii="Times New Roman" w:eastAsia="Calibri" w:hAnsi="Times New Roman" w:cs="Times New Roman"/>
          <w:b/>
          <w:bCs/>
          <w:color w:val="000000" w:themeColor="text1"/>
          <w:lang w:val="en-US"/>
        </w:rPr>
      </w:pPr>
      <w:r>
        <w:rPr>
          <w:rFonts w:ascii="Times New Roman" w:hAnsi="Times New Roman" w:cs="Times New Roman"/>
          <w:color w:val="000000" w:themeColor="text1"/>
          <w:lang w:val="en-US"/>
        </w:rPr>
        <w:t>2.2.2 Analysis of the spent and regenerated trans</w:t>
      </w:r>
      <w:r>
        <w:rPr>
          <w:rFonts w:ascii="Times New Roman" w:hAnsi="Times New Roman" w:cs="Times New Roman"/>
          <w:color w:val="000000" w:themeColor="text1"/>
          <w:lang w:val="en-US"/>
        </w:rPr>
        <w:t>former oil</w:t>
      </w:r>
    </w:p>
    <w:p w14:paraId="745B973E"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 Moisture Content Determination</w:t>
      </w:r>
    </w:p>
    <w:p w14:paraId="78C62E0A"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hygroscopic moisture content was evaluated using the ASTM D2974 (2014) method, as described by Boadu et al. (2018). Clean empty petri-dish was oven dried at 110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cooled in a </w:t>
      </w:r>
      <w:r>
        <w:rPr>
          <w:rFonts w:ascii="Times New Roman" w:eastAsia="Calibri" w:hAnsi="Times New Roman" w:cs="Times New Roman"/>
          <w:color w:val="000000" w:themeColor="text1"/>
          <w:lang w:val="en-US"/>
        </w:rPr>
        <w:lastRenderedPageBreak/>
        <w:t>desiccator, and weighed. A 1</w:t>
      </w:r>
      <w:r>
        <w:rPr>
          <w:rFonts w:ascii="Times New Roman" w:eastAsia="Calibri" w:hAnsi="Times New Roman" w:cs="Times New Roman"/>
          <w:color w:val="000000" w:themeColor="text1"/>
          <w:lang w:val="en-US"/>
        </w:rPr>
        <w:t xml:space="preserve">.0 g sample of the coconut shells activated carbon (CSAC) was measured into the empty petri-dish, and the weight was recorded. The petri- dish and its content was then oven dried at 110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to a constant weight for 3 h. The percentage moisture content was c</w:t>
      </w:r>
      <w:r>
        <w:rPr>
          <w:rFonts w:ascii="Times New Roman" w:eastAsia="Calibri" w:hAnsi="Times New Roman" w:cs="Times New Roman"/>
          <w:color w:val="000000" w:themeColor="text1"/>
          <w:lang w:val="en-US"/>
        </w:rPr>
        <w:t xml:space="preserve">alculated </w:t>
      </w:r>
      <w:proofErr w:type="gramStart"/>
      <w:r>
        <w:rPr>
          <w:rFonts w:ascii="Times New Roman" w:eastAsia="Calibri" w:hAnsi="Times New Roman" w:cs="Times New Roman"/>
          <w:color w:val="000000" w:themeColor="text1"/>
          <w:lang w:val="en-US"/>
        </w:rPr>
        <w:t>using  Equation</w:t>
      </w:r>
      <w:proofErr w:type="gramEnd"/>
      <w:r>
        <w:rPr>
          <w:rFonts w:ascii="Times New Roman" w:eastAsia="Calibri" w:hAnsi="Times New Roman" w:cs="Times New Roman"/>
          <w:color w:val="000000" w:themeColor="text1"/>
          <w:lang w:val="en-US"/>
        </w:rPr>
        <w:t xml:space="preserve"> 1. </w:t>
      </w:r>
    </w:p>
    <w:p w14:paraId="65E13409" w14:textId="77777777" w:rsidR="0078026E" w:rsidRDefault="003452F6">
      <w:pPr>
        <w:spacing w:line="240" w:lineRule="auto"/>
        <w:jc w:val="both"/>
        <w:rPr>
          <w:rFonts w:ascii="Times New Roman" w:eastAsia="Times New Roman" w:hAnsi="Times New Roman" w:cs="Times New Roman"/>
          <w:color w:val="000000" w:themeColor="text1"/>
          <w:lang w:val="en-US"/>
        </w:rPr>
      </w:pPr>
      <w:proofErr w:type="gramStart"/>
      <w:r>
        <w:rPr>
          <w:rFonts w:ascii="Times New Roman" w:eastAsia="Calibri" w:hAnsi="Times New Roman" w:cs="Times New Roman"/>
          <w:color w:val="000000" w:themeColor="text1"/>
          <w:lang w:val="en-US"/>
        </w:rPr>
        <w:t>X</w:t>
      </w:r>
      <w:r>
        <w:rPr>
          <w:rFonts w:ascii="Times New Roman" w:eastAsia="Calibri" w:hAnsi="Times New Roman" w:cs="Times New Roman"/>
          <w:color w:val="000000" w:themeColor="text1"/>
          <w:vertAlign w:val="subscript"/>
          <w:lang w:val="en-US"/>
        </w:rPr>
        <w:t xml:space="preserve">o  </w:t>
      </w:r>
      <w:r>
        <w:rPr>
          <w:rFonts w:ascii="Times New Roman" w:eastAsia="Calibri" w:hAnsi="Times New Roman" w:cs="Times New Roman"/>
          <w:color w:val="000000" w:themeColor="text1"/>
          <w:lang w:val="en-US"/>
        </w:rPr>
        <w:t>=</w:t>
      </w:r>
      <w:proofErr w:type="gramEnd"/>
      <w:r>
        <w:rPr>
          <w:rFonts w:ascii="Times New Roman" w:eastAsia="Calibri" w:hAnsi="Times New Roman" w:cs="Times New Roman"/>
          <w:color w:val="000000" w:themeColor="text1"/>
          <w:lang w:val="en-US"/>
        </w:rPr>
        <w:t xml:space="preserve"> </w:t>
      </w:r>
      <m:oMath>
        <m:f>
          <m:fPr>
            <m:ctrlPr>
              <w:rPr>
                <w:rFonts w:ascii="Cambria Math" w:eastAsia="Calibri" w:hAnsi="Cambria Math" w:cs="Times New Roman"/>
                <w:color w:val="000000" w:themeColor="text1"/>
                <w:lang w:val="en-US"/>
              </w:rPr>
            </m:ctrlPr>
          </m:fPr>
          <m:num>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1</m:t>
                </m:r>
              </m:sub>
            </m:sSub>
            <m:r>
              <m:rPr>
                <m:sty m:val="p"/>
              </m:rPr>
              <w:rPr>
                <w:rFonts w:ascii="Cambria Math" w:eastAsia="Calibri" w:hAnsi="Cambria Math" w:cs="Times New Roman"/>
                <w:color w:val="000000" w:themeColor="text1"/>
                <w:lang w:val="en-US"/>
              </w:rPr>
              <m:t>-</m:t>
            </m:r>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2</m:t>
                </m:r>
              </m:sub>
            </m:sSub>
          </m:num>
          <m:den>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1</m:t>
                </m:r>
              </m:sub>
            </m:sSub>
          </m:den>
        </m:f>
      </m:oMath>
      <w:r>
        <w:rPr>
          <w:rFonts w:ascii="Times New Roman" w:eastAsia="Times New Roman" w:hAnsi="Times New Roman" w:cs="Times New Roman"/>
          <w:color w:val="000000" w:themeColor="text1"/>
          <w:lang w:val="en-US"/>
        </w:rPr>
        <w:t xml:space="preserve">  </w:t>
      </w:r>
      <m:oMath>
        <m:r>
          <w:rPr>
            <w:rFonts w:ascii="Cambria Math" w:hAnsi="Cambria Math" w:cs="Times New Roman"/>
            <w:color w:val="000000" w:themeColor="text1"/>
            <w:lang w:val="en-US"/>
          </w:rPr>
          <m:t>×</m:t>
        </m:r>
      </m:oMath>
      <w:r>
        <w:rPr>
          <w:rFonts w:ascii="Times New Roman" w:eastAsia="Times New Roman" w:hAnsi="Times New Roman" w:cs="Times New Roman"/>
          <w:color w:val="000000" w:themeColor="text1"/>
          <w:lang w:val="en-US"/>
        </w:rPr>
        <w:t xml:space="preserve"> 100 %                                                                                                               (1)</w:t>
      </w:r>
    </w:p>
    <w:p w14:paraId="0B962799" w14:textId="77777777" w:rsidR="0078026E" w:rsidRDefault="003452F6">
      <w:pPr>
        <w:spacing w:line="240" w:lineRule="auto"/>
        <w:jc w:val="both"/>
        <w:rPr>
          <w:rFonts w:ascii="Times New Roman" w:eastAsia="Times New Roman" w:hAnsi="Times New Roman" w:cs="Times New Roman"/>
          <w:color w:val="000000" w:themeColor="text1"/>
          <w:lang w:val="en-US"/>
        </w:rPr>
      </w:pPr>
      <w:proofErr w:type="gramStart"/>
      <w:r>
        <w:rPr>
          <w:rFonts w:ascii="Times New Roman" w:eastAsia="Times New Roman" w:hAnsi="Times New Roman" w:cs="Times New Roman"/>
          <w:color w:val="000000" w:themeColor="text1"/>
          <w:lang w:val="en-US"/>
        </w:rPr>
        <w:t>X</w:t>
      </w:r>
      <w:r>
        <w:rPr>
          <w:rFonts w:ascii="Times New Roman" w:eastAsia="Times New Roman" w:hAnsi="Times New Roman" w:cs="Times New Roman"/>
          <w:color w:val="000000" w:themeColor="text1"/>
          <w:vertAlign w:val="subscript"/>
          <w:lang w:val="en-US"/>
        </w:rPr>
        <w:t xml:space="preserve">o  </w:t>
      </w:r>
      <w:r>
        <w:rPr>
          <w:rFonts w:ascii="Times New Roman" w:eastAsia="Times New Roman" w:hAnsi="Times New Roman" w:cs="Times New Roman"/>
          <w:color w:val="000000" w:themeColor="text1"/>
          <w:lang w:val="en-US"/>
        </w:rPr>
        <w:t>=</w:t>
      </w:r>
      <w:proofErr w:type="gramEnd"/>
      <w:r>
        <w:rPr>
          <w:rFonts w:ascii="Times New Roman" w:eastAsia="Times New Roman" w:hAnsi="Times New Roman" w:cs="Times New Roman"/>
          <w:color w:val="000000" w:themeColor="text1"/>
          <w:lang w:val="en-US"/>
        </w:rPr>
        <w:t xml:space="preserve"> Moisture content on wet basis; W</w:t>
      </w:r>
      <w:r>
        <w:rPr>
          <w:rFonts w:ascii="Times New Roman" w:eastAsia="Times New Roman" w:hAnsi="Times New Roman" w:cs="Times New Roman"/>
          <w:color w:val="000000" w:themeColor="text1"/>
          <w:vertAlign w:val="subscript"/>
          <w:lang w:val="en-US"/>
        </w:rPr>
        <w:t>1</w:t>
      </w:r>
      <w:r>
        <w:rPr>
          <w:rFonts w:ascii="Times New Roman" w:eastAsia="Times New Roman" w:hAnsi="Times New Roman" w:cs="Times New Roman"/>
          <w:color w:val="000000" w:themeColor="text1"/>
          <w:lang w:val="en-US"/>
        </w:rPr>
        <w:t>= Initial Weight Sample (g); W</w:t>
      </w:r>
      <w:r>
        <w:rPr>
          <w:rFonts w:ascii="Times New Roman" w:eastAsia="Times New Roman" w:hAnsi="Times New Roman" w:cs="Times New Roman"/>
          <w:color w:val="000000" w:themeColor="text1"/>
          <w:vertAlign w:val="subscript"/>
          <w:lang w:val="en-US"/>
        </w:rPr>
        <w:t>2</w:t>
      </w:r>
      <w:r>
        <w:rPr>
          <w:rFonts w:ascii="Times New Roman" w:eastAsia="Times New Roman" w:hAnsi="Times New Roman" w:cs="Times New Roman"/>
          <w:color w:val="000000" w:themeColor="text1"/>
          <w:lang w:val="en-US"/>
        </w:rPr>
        <w:t xml:space="preserve">= Final weight </w:t>
      </w:r>
      <w:r>
        <w:rPr>
          <w:rFonts w:ascii="Times New Roman" w:eastAsia="Times New Roman" w:hAnsi="Times New Roman" w:cs="Times New Roman"/>
          <w:color w:val="000000" w:themeColor="text1"/>
          <w:lang w:val="en-US"/>
        </w:rPr>
        <w:t>of sample after drying (g)</w:t>
      </w:r>
    </w:p>
    <w:p w14:paraId="1A79C265"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(2). Ash Content</w:t>
      </w:r>
    </w:p>
    <w:p w14:paraId="4C235DCE"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The ash content was accessed following the ASTM D2974 (2014) method, as </w:t>
      </w:r>
      <w:proofErr w:type="gramStart"/>
      <w:r>
        <w:rPr>
          <w:rFonts w:ascii="Times New Roman" w:eastAsia="Times New Roman" w:hAnsi="Times New Roman" w:cs="Times New Roman"/>
          <w:color w:val="000000" w:themeColor="text1"/>
          <w:lang w:val="en-US"/>
        </w:rPr>
        <w:t>prescribed  by</w:t>
      </w:r>
      <w:proofErr w:type="gramEnd"/>
      <w:r>
        <w:rPr>
          <w:rFonts w:ascii="Times New Roman" w:eastAsia="Times New Roman" w:hAnsi="Times New Roman" w:cs="Times New Roman"/>
          <w:color w:val="000000" w:themeColor="text1"/>
          <w:lang w:val="en-US"/>
        </w:rPr>
        <w:t xml:space="preserve"> Vera et al. (2012). Dry activated carbon sample (I.0 g of coconut shells) was placed in a metal tray heat diffuser and moved </w:t>
      </w:r>
      <w:r>
        <w:rPr>
          <w:rFonts w:ascii="Times New Roman" w:eastAsia="Times New Roman" w:hAnsi="Times New Roman" w:cs="Times New Roman"/>
          <w:color w:val="000000" w:themeColor="text1"/>
          <w:lang w:val="en-US"/>
        </w:rPr>
        <w:t xml:space="preserve">to a preheated select-Horn furnace set at 750 </w:t>
      </w:r>
      <w:r>
        <w:rPr>
          <w:rFonts w:ascii="Times New Roman" w:eastAsia="Times New Roman" w:hAnsi="Times New Roman" w:cs="Times New Roman"/>
          <w:color w:val="000000" w:themeColor="text1"/>
          <w:vertAlign w:val="superscript"/>
          <w:lang w:val="en-US"/>
        </w:rPr>
        <w:t>0</w:t>
      </w:r>
      <w:r>
        <w:rPr>
          <w:rFonts w:ascii="Times New Roman" w:eastAsia="Times New Roman" w:hAnsi="Times New Roman" w:cs="Times New Roman"/>
          <w:color w:val="000000" w:themeColor="text1"/>
          <w:lang w:val="en-US"/>
        </w:rPr>
        <w:t>C for 90 min. After this, the melting pots and their contents were transfer to a desiccator to cool. The melting pots and their contents were reweighed, and the weight loss was noted as ash content of the acti</w:t>
      </w:r>
      <w:r>
        <w:rPr>
          <w:rFonts w:ascii="Times New Roman" w:eastAsia="Times New Roman" w:hAnsi="Times New Roman" w:cs="Times New Roman"/>
          <w:color w:val="000000" w:themeColor="text1"/>
          <w:lang w:val="en-US"/>
        </w:rPr>
        <w:t xml:space="preserve">vated sample. Then the % ash content (dry basis) for each sample was calculated using the Equation 2. </w:t>
      </w:r>
    </w:p>
    <w:p w14:paraId="03D27BC2"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Ash (%) = </w:t>
      </w:r>
      <m:oMath>
        <m:f>
          <m:fPr>
            <m:ctrlPr>
              <w:rPr>
                <w:rFonts w:ascii="Cambria Math" w:eastAsia="Times New Roman" w:hAnsi="Cambria Math" w:cs="Times New Roman"/>
                <w:color w:val="000000" w:themeColor="text1"/>
                <w:lang w:val="en-US"/>
              </w:rPr>
            </m:ctrlPr>
          </m:fPr>
          <m:num>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w:rPr>
                    <w:rFonts w:ascii="Cambria Math" w:eastAsia="Times New Roman" w:hAnsi="Cambria Math" w:cs="Times New Roman"/>
                    <w:color w:val="000000" w:themeColor="text1"/>
                    <w:lang w:val="en-US"/>
                  </w:rPr>
                  <m:t>p</m:t>
                </m:r>
                <m:r>
                  <m:rPr>
                    <m:sty m:val="p"/>
                  </m:rPr>
                  <w:rPr>
                    <w:rFonts w:ascii="Cambria Math" w:eastAsia="Times New Roman" w:hAnsi="Cambria Math" w:cs="Times New Roman"/>
                    <w:color w:val="000000" w:themeColor="text1"/>
                    <w:lang w:val="en-US"/>
                  </w:rPr>
                  <m:t>&amp;</m:t>
                </m:r>
                <m:r>
                  <w:rPr>
                    <w:rFonts w:ascii="Cambria Math" w:eastAsia="Times New Roman" w:hAnsi="Cambria Math" w:cs="Times New Roman"/>
                    <w:color w:val="000000" w:themeColor="text1"/>
                    <w:lang w:val="en-US"/>
                  </w:rPr>
                  <m:t>S</m:t>
                </m:r>
              </m:sub>
            </m:sSub>
            <m:r>
              <m:rPr>
                <m:sty m:val="p"/>
              </m:rPr>
              <w:rPr>
                <w:rFonts w:ascii="Cambria Math" w:eastAsia="Times New Roman" w:hAnsi="Cambria Math" w:cs="Times New Roman"/>
                <w:color w:val="000000" w:themeColor="text1"/>
                <w:lang w:val="en-US"/>
              </w:rPr>
              <m:t>-</m:t>
            </m:r>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w:rPr>
                    <w:rFonts w:ascii="Cambria Math" w:eastAsia="Times New Roman" w:hAnsi="Cambria Math" w:cs="Times New Roman"/>
                    <w:color w:val="000000" w:themeColor="text1"/>
                    <w:lang w:val="en-US"/>
                  </w:rPr>
                  <m:t>p</m:t>
                </m:r>
              </m:sub>
            </m:sSub>
          </m:num>
          <m:den>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m:rPr>
                    <m:sty m:val="p"/>
                  </m:rPr>
                  <w:rPr>
                    <w:rFonts w:ascii="Cambria Math" w:eastAsia="Times New Roman" w:hAnsi="Cambria Math" w:cs="Times New Roman"/>
                    <w:color w:val="000000" w:themeColor="text1"/>
                    <w:lang w:val="en-US"/>
                  </w:rPr>
                  <m:t>0</m:t>
                </m:r>
              </m:sub>
            </m:sSub>
          </m:den>
        </m:f>
      </m:oMath>
      <w:r>
        <w:rPr>
          <w:rFonts w:ascii="Times New Roman" w:eastAsia="Times New Roman" w:hAnsi="Times New Roman" w:cs="Times New Roman"/>
          <w:color w:val="000000" w:themeColor="text1"/>
          <w:lang w:val="en-US"/>
        </w:rPr>
        <w:t xml:space="preserve"> </w:t>
      </w:r>
      <m:oMath>
        <m:r>
          <m:rPr>
            <m:sty m:val="p"/>
          </m:rPr>
          <w:rPr>
            <w:rFonts w:ascii="Cambria Math" w:eastAsia="Times New Roman" w:hAnsi="Cambria Math" w:cs="Times New Roman"/>
            <w:color w:val="000000" w:themeColor="text1"/>
            <w:lang w:val="en-US"/>
          </w:rPr>
          <m:t>×</m:t>
        </m:r>
      </m:oMath>
      <w:r>
        <w:rPr>
          <w:rFonts w:ascii="Times New Roman" w:eastAsia="Times New Roman" w:hAnsi="Times New Roman" w:cs="Times New Roman"/>
          <w:color w:val="000000" w:themeColor="text1"/>
          <w:lang w:val="en-US"/>
        </w:rPr>
        <w:t xml:space="preserve"> 100%                                                                                                  </w:t>
      </w:r>
      <w:proofErr w:type="gramStart"/>
      <w:r>
        <w:rPr>
          <w:rFonts w:ascii="Times New Roman" w:eastAsia="Times New Roman" w:hAnsi="Times New Roman" w:cs="Times New Roman"/>
          <w:color w:val="000000" w:themeColor="text1"/>
          <w:lang w:val="en-US"/>
        </w:rPr>
        <w:t xml:space="preserve">   (</w:t>
      </w:r>
      <w:proofErr w:type="gramEnd"/>
      <w:r>
        <w:rPr>
          <w:rFonts w:ascii="Times New Roman" w:eastAsia="Times New Roman" w:hAnsi="Times New Roman" w:cs="Times New Roman"/>
          <w:color w:val="000000" w:themeColor="text1"/>
          <w:lang w:val="en-US"/>
        </w:rPr>
        <w:t xml:space="preserve">2)                                        </w:t>
      </w:r>
    </w:p>
    <w:p w14:paraId="3CE285B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Where: W</w:t>
      </w:r>
      <w:r>
        <w:rPr>
          <w:rFonts w:ascii="Times New Roman" w:eastAsia="Times New Roman" w:hAnsi="Times New Roman" w:cs="Times New Roman"/>
          <w:color w:val="000000" w:themeColor="text1"/>
          <w:vertAlign w:val="subscript"/>
          <w:lang w:val="en-US"/>
        </w:rPr>
        <w:t xml:space="preserve">p </w:t>
      </w:r>
      <w:r>
        <w:rPr>
          <w:rFonts w:ascii="Times New Roman" w:eastAsia="Times New Roman" w:hAnsi="Times New Roman" w:cs="Times New Roman"/>
          <w:color w:val="000000" w:themeColor="text1"/>
          <w:lang w:val="en-US"/>
        </w:rPr>
        <w:t>= Weight of petri-dish(g); W</w:t>
      </w:r>
      <w:r>
        <w:rPr>
          <w:rFonts w:ascii="Times New Roman" w:eastAsia="Times New Roman" w:hAnsi="Times New Roman" w:cs="Times New Roman"/>
          <w:color w:val="000000" w:themeColor="text1"/>
          <w:vertAlign w:val="subscript"/>
          <w:lang w:val="en-US"/>
        </w:rPr>
        <w:t>p&amp; s</w:t>
      </w:r>
      <w:r>
        <w:rPr>
          <w:rFonts w:ascii="Times New Roman" w:eastAsia="Times New Roman" w:hAnsi="Times New Roman" w:cs="Times New Roman"/>
          <w:color w:val="000000" w:themeColor="text1"/>
          <w:lang w:val="en-US"/>
        </w:rPr>
        <w:t xml:space="preserve">= Weight of petri-dish and sample after </w:t>
      </w:r>
      <w:proofErr w:type="spellStart"/>
      <w:r>
        <w:rPr>
          <w:rFonts w:ascii="Times New Roman" w:eastAsia="Times New Roman" w:hAnsi="Times New Roman" w:cs="Times New Roman"/>
          <w:color w:val="000000" w:themeColor="text1"/>
          <w:lang w:val="en-US"/>
        </w:rPr>
        <w:t>ashing</w:t>
      </w:r>
      <w:proofErr w:type="spellEnd"/>
      <w:r>
        <w:rPr>
          <w:rFonts w:ascii="Times New Roman" w:eastAsia="Times New Roman" w:hAnsi="Times New Roman" w:cs="Times New Roman"/>
          <w:color w:val="000000" w:themeColor="text1"/>
          <w:lang w:val="en-US"/>
        </w:rPr>
        <w:t xml:space="preserve"> (g);</w:t>
      </w:r>
    </w:p>
    <w:p w14:paraId="59316958"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W</w:t>
      </w:r>
      <w:r>
        <w:rPr>
          <w:rFonts w:ascii="Times New Roman" w:eastAsia="Times New Roman" w:hAnsi="Times New Roman" w:cs="Times New Roman"/>
          <w:color w:val="000000" w:themeColor="text1"/>
          <w:vertAlign w:val="subscript"/>
          <w:lang w:val="en-US"/>
        </w:rPr>
        <w:t xml:space="preserve">O </w:t>
      </w:r>
      <w:r>
        <w:rPr>
          <w:rFonts w:ascii="Times New Roman" w:eastAsia="Times New Roman" w:hAnsi="Times New Roman" w:cs="Times New Roman"/>
          <w:color w:val="000000" w:themeColor="text1"/>
          <w:lang w:val="en-US"/>
        </w:rPr>
        <w:t xml:space="preserve">= Dry weight of carbon sample before </w:t>
      </w:r>
      <w:proofErr w:type="spellStart"/>
      <w:r>
        <w:rPr>
          <w:rFonts w:ascii="Times New Roman" w:eastAsia="Times New Roman" w:hAnsi="Times New Roman" w:cs="Times New Roman"/>
          <w:color w:val="000000" w:themeColor="text1"/>
          <w:lang w:val="en-US"/>
        </w:rPr>
        <w:t>ashing</w:t>
      </w:r>
      <w:proofErr w:type="spellEnd"/>
      <w:r>
        <w:rPr>
          <w:rFonts w:ascii="Times New Roman" w:eastAsia="Times New Roman" w:hAnsi="Times New Roman" w:cs="Times New Roman"/>
          <w:color w:val="000000" w:themeColor="text1"/>
          <w:lang w:val="en-US"/>
        </w:rPr>
        <w:t>.</w:t>
      </w:r>
    </w:p>
    <w:p w14:paraId="57A32BF6"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(3). Pore Volume Measurement</w:t>
      </w:r>
    </w:p>
    <w:p w14:paraId="29DA51CA" w14:textId="77777777" w:rsidR="0078026E" w:rsidRDefault="003452F6">
      <w:pPr>
        <w:spacing w:after="0"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A 1.0 g of coconut shell activated carbon </w:t>
      </w:r>
      <w:r>
        <w:rPr>
          <w:rFonts w:ascii="Times New Roman" w:eastAsia="Times New Roman" w:hAnsi="Times New Roman" w:cs="Times New Roman"/>
          <w:color w:val="000000" w:themeColor="text1"/>
          <w:lang w:val="en-US"/>
        </w:rPr>
        <w:t>was put into a beaker containing 20 mL of distilled water and heated to boil for 5 min to ensure uniform dispersion. After boiling, the mixture was filtered, and the solid residue was dried and weighed. The pore volume was calculated using Equation 3 (</w:t>
      </w:r>
      <w:proofErr w:type="spellStart"/>
      <w:r>
        <w:rPr>
          <w:rFonts w:ascii="Times New Roman" w:eastAsia="Times New Roman" w:hAnsi="Times New Roman" w:cs="Times New Roman"/>
          <w:color w:val="000000" w:themeColor="text1"/>
          <w:lang w:val="en-US"/>
        </w:rPr>
        <w:t>Evbu</w:t>
      </w:r>
      <w:r>
        <w:rPr>
          <w:rFonts w:ascii="Times New Roman" w:eastAsia="Times New Roman" w:hAnsi="Times New Roman" w:cs="Times New Roman"/>
          <w:color w:val="000000" w:themeColor="text1"/>
          <w:lang w:val="en-US"/>
        </w:rPr>
        <w:t>omwan</w:t>
      </w:r>
      <w:proofErr w:type="spellEnd"/>
      <w:r>
        <w:rPr>
          <w:rFonts w:ascii="Times New Roman" w:eastAsia="Times New Roman" w:hAnsi="Times New Roman" w:cs="Times New Roman"/>
          <w:color w:val="000000" w:themeColor="text1"/>
          <w:lang w:val="en-US"/>
        </w:rPr>
        <w:t xml:space="preserve"> et al., 2013).</w:t>
      </w:r>
    </w:p>
    <w:p w14:paraId="3780688F" w14:textId="77777777" w:rsidR="0078026E" w:rsidRDefault="003452F6">
      <w:pPr>
        <w:spacing w:after="0"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br/>
        <w:t xml:space="preserve">Pore volume = </w:t>
      </w:r>
      <m:oMath>
        <m:f>
          <m:fPr>
            <m:ctrlPr>
              <w:rPr>
                <w:rFonts w:ascii="Cambria Math" w:eastAsia="Times New Roman" w:hAnsi="Cambria Math" w:cs="Times New Roman"/>
                <w:color w:val="000000" w:themeColor="text1"/>
                <w:lang w:val="en-US"/>
              </w:rPr>
            </m:ctrlPr>
          </m:fPr>
          <m:num>
            <m:r>
              <w:rPr>
                <w:rFonts w:ascii="Cambria Math" w:eastAsia="Times New Roman" w:hAnsi="Cambria Math" w:cs="Times New Roman"/>
                <w:color w:val="000000" w:themeColor="text1"/>
                <w:lang w:val="en-US"/>
              </w:rPr>
              <m:t>Increase</m:t>
            </m:r>
            <m:r>
              <m:rPr>
                <m:sty m:val="p"/>
              </m:rPr>
              <w:rPr>
                <w:rFonts w:ascii="Cambria Math" w:eastAsia="Times New Roman" w:hAnsi="Cambria Math" w:cs="Times New Roman"/>
                <w:color w:val="000000" w:themeColor="text1"/>
                <w:lang w:val="en-US"/>
              </w:rPr>
              <m:t xml:space="preserve"> </m:t>
            </m:r>
            <m:r>
              <w:rPr>
                <w:rFonts w:ascii="Cambria Math" w:eastAsia="Times New Roman" w:hAnsi="Cambria Math" w:cs="Times New Roman"/>
                <w:color w:val="000000" w:themeColor="text1"/>
                <w:lang w:val="en-US"/>
              </w:rPr>
              <m:t>in</m:t>
            </m:r>
            <m:r>
              <m:rPr>
                <m:sty m:val="p"/>
              </m:rPr>
              <w:rPr>
                <w:rFonts w:ascii="Cambria Math" w:eastAsia="Times New Roman" w:hAnsi="Cambria Math" w:cs="Times New Roman"/>
                <w:color w:val="000000" w:themeColor="text1"/>
                <w:lang w:val="en-US"/>
              </w:rPr>
              <m:t xml:space="preserve"> </m:t>
            </m:r>
            <m:r>
              <w:rPr>
                <w:rFonts w:ascii="Cambria Math" w:eastAsia="Times New Roman" w:hAnsi="Cambria Math" w:cs="Times New Roman"/>
                <w:color w:val="000000" w:themeColor="text1"/>
                <w:lang w:val="en-US"/>
              </w:rPr>
              <m:t>sampl</m:t>
            </m:r>
            <m:sSup>
              <m:sSupPr>
                <m:ctrlPr>
                  <w:rPr>
                    <w:rFonts w:ascii="Cambria Math" w:eastAsia="Times New Roman" w:hAnsi="Cambria Math" w:cs="Times New Roman"/>
                    <w:color w:val="000000" w:themeColor="text1"/>
                    <w:lang w:val="en-US"/>
                  </w:rPr>
                </m:ctrlPr>
              </m:sSupPr>
              <m:e>
                <m:r>
                  <w:rPr>
                    <w:rFonts w:ascii="Cambria Math" w:eastAsia="Times New Roman" w:hAnsi="Cambria Math" w:cs="Times New Roman"/>
                    <w:color w:val="000000" w:themeColor="text1"/>
                    <w:lang w:val="en-US"/>
                  </w:rPr>
                  <m:t>e</m:t>
                </m:r>
              </m:e>
              <m:sup>
                <m:r>
                  <m:rPr>
                    <m:sty m:val="p"/>
                  </m:rPr>
                  <w:rPr>
                    <w:rFonts w:ascii="Cambria Math" w:eastAsia="Times New Roman" w:hAnsi="Cambria Math" w:cs="Times New Roman"/>
                    <w:color w:val="000000" w:themeColor="text1"/>
                    <w:lang w:val="en-US"/>
                  </w:rPr>
                  <m:t>'</m:t>
                </m:r>
              </m:sup>
            </m:sSup>
            <m:r>
              <w:rPr>
                <w:rFonts w:ascii="Cambria Math" w:eastAsia="Times New Roman" w:hAnsi="Cambria Math" w:cs="Times New Roman"/>
                <w:color w:val="000000" w:themeColor="text1"/>
                <w:lang w:val="en-US"/>
              </w:rPr>
              <m:t>s</m:t>
            </m:r>
            <m:r>
              <m:rPr>
                <m:sty m:val="p"/>
              </m:rPr>
              <w:rPr>
                <w:rFonts w:ascii="Cambria Math" w:eastAsia="Times New Roman" w:hAnsi="Cambria Math" w:cs="Times New Roman"/>
                <w:color w:val="000000" w:themeColor="text1"/>
                <w:lang w:val="en-US"/>
              </w:rPr>
              <m:t xml:space="preserve"> </m:t>
            </m:r>
            <m:r>
              <w:rPr>
                <w:rFonts w:ascii="Cambria Math" w:eastAsia="Times New Roman" w:hAnsi="Cambria Math" w:cs="Times New Roman"/>
                <w:color w:val="000000" w:themeColor="text1"/>
                <w:lang w:val="en-US"/>
              </w:rPr>
              <m:t>weig</m:t>
            </m:r>
            <m:r>
              <w:rPr>
                <w:rFonts w:ascii="Cambria Math" w:eastAsia="Times New Roman" w:hAnsi="Cambria Math" w:cs="Times New Roman"/>
                <w:color w:val="000000" w:themeColor="text1"/>
                <w:lang w:val="en-US"/>
              </w:rPr>
              <m:t>h</m:t>
            </m:r>
            <m:r>
              <w:rPr>
                <w:rFonts w:ascii="Cambria Math" w:eastAsia="Times New Roman" w:hAnsi="Cambria Math" w:cs="Times New Roman"/>
                <w:color w:val="000000" w:themeColor="text1"/>
                <w:lang w:val="en-US"/>
              </w:rPr>
              <m:t>t</m:t>
            </m:r>
            <m:r>
              <m:rPr>
                <m:sty m:val="p"/>
              </m:rPr>
              <w:rPr>
                <w:rFonts w:ascii="Cambria Math" w:eastAsia="Times New Roman" w:hAnsi="Cambria Math" w:cs="Times New Roman"/>
                <w:color w:val="000000" w:themeColor="text1"/>
                <w:lang w:val="en-US"/>
              </w:rPr>
              <m:t xml:space="preserve"> </m:t>
            </m:r>
          </m:num>
          <m:den>
            <m:r>
              <w:rPr>
                <w:rFonts w:ascii="Cambria Math" w:eastAsia="Times New Roman" w:hAnsi="Cambria Math" w:cs="Times New Roman"/>
                <w:color w:val="000000" w:themeColor="text1"/>
                <w:lang w:val="en-US"/>
              </w:rPr>
              <m:t>Density</m:t>
            </m:r>
            <m:r>
              <m:rPr>
                <m:sty m:val="p"/>
              </m:rPr>
              <w:rPr>
                <w:rFonts w:ascii="Cambria Math" w:eastAsia="Times New Roman" w:hAnsi="Cambria Math" w:cs="Times New Roman"/>
                <w:color w:val="000000" w:themeColor="text1"/>
                <w:lang w:val="en-US"/>
              </w:rPr>
              <m:t xml:space="preserve"> </m:t>
            </m:r>
            <m:r>
              <w:rPr>
                <w:rFonts w:ascii="Cambria Math" w:eastAsia="Times New Roman" w:hAnsi="Cambria Math" w:cs="Times New Roman"/>
                <w:color w:val="000000" w:themeColor="text1"/>
                <w:lang w:val="en-US"/>
              </w:rPr>
              <m:t>of</m:t>
            </m:r>
            <m:r>
              <m:rPr>
                <m:sty m:val="p"/>
              </m:rPr>
              <w:rPr>
                <w:rFonts w:ascii="Cambria Math" w:eastAsia="Times New Roman" w:hAnsi="Cambria Math" w:cs="Times New Roman"/>
                <w:color w:val="000000" w:themeColor="text1"/>
                <w:lang w:val="en-US"/>
              </w:rPr>
              <m:t xml:space="preserve"> </m:t>
            </m:r>
            <m:r>
              <w:rPr>
                <w:rFonts w:ascii="Cambria Math" w:eastAsia="Times New Roman" w:hAnsi="Cambria Math" w:cs="Times New Roman"/>
                <w:color w:val="000000" w:themeColor="text1"/>
                <w:lang w:val="en-US"/>
              </w:rPr>
              <m:t>water</m:t>
            </m:r>
            <m:r>
              <m:rPr>
                <m:sty m:val="p"/>
              </m:rPr>
              <w:rPr>
                <w:rFonts w:ascii="Cambria Math" w:eastAsia="Times New Roman" w:hAnsi="Cambria Math" w:cs="Times New Roman"/>
                <w:color w:val="000000" w:themeColor="text1"/>
                <w:lang w:val="en-US"/>
              </w:rPr>
              <m:t xml:space="preserve"> </m:t>
            </m:r>
          </m:den>
        </m:f>
      </m:oMath>
      <w:r>
        <w:rPr>
          <w:rFonts w:ascii="Times New Roman" w:eastAsia="Times New Roman" w:hAnsi="Times New Roman" w:cs="Times New Roman"/>
          <w:color w:val="000000" w:themeColor="text1"/>
          <w:lang w:val="en-US"/>
        </w:rPr>
        <w:t xml:space="preserve">                                                                                  </w:t>
      </w:r>
      <w:proofErr w:type="gramStart"/>
      <w:r>
        <w:rPr>
          <w:rFonts w:ascii="Times New Roman" w:eastAsia="Times New Roman" w:hAnsi="Times New Roman" w:cs="Times New Roman"/>
          <w:color w:val="000000" w:themeColor="text1"/>
          <w:lang w:val="en-US"/>
        </w:rPr>
        <w:t xml:space="preserve">   (</w:t>
      </w:r>
      <w:proofErr w:type="gramEnd"/>
      <w:r>
        <w:rPr>
          <w:rFonts w:ascii="Times New Roman" w:eastAsia="Times New Roman" w:hAnsi="Times New Roman" w:cs="Times New Roman"/>
          <w:color w:val="000000" w:themeColor="text1"/>
          <w:lang w:val="en-US"/>
        </w:rPr>
        <w:t>3)</w:t>
      </w:r>
    </w:p>
    <w:p w14:paraId="5437F5F0" w14:textId="77777777" w:rsidR="0078026E" w:rsidRDefault="0078026E">
      <w:pPr>
        <w:spacing w:line="240" w:lineRule="auto"/>
        <w:jc w:val="both"/>
        <w:rPr>
          <w:rFonts w:ascii="Times New Roman" w:eastAsia="Times New Roman" w:hAnsi="Times New Roman" w:cs="Times New Roman"/>
          <w:b/>
          <w:bCs/>
          <w:color w:val="000000" w:themeColor="text1"/>
          <w:lang w:val="en-US"/>
        </w:rPr>
      </w:pPr>
    </w:p>
    <w:p w14:paraId="01E2D6A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(4). pH Measurement </w:t>
      </w:r>
    </w:p>
    <w:p w14:paraId="76526032"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A 1.0 g of coconut shell act</w:t>
      </w:r>
      <w:r>
        <w:rPr>
          <w:rFonts w:ascii="Times New Roman" w:eastAsia="Times New Roman" w:hAnsi="Times New Roman" w:cs="Times New Roman"/>
          <w:color w:val="000000" w:themeColor="text1"/>
          <w:lang w:val="en-US"/>
        </w:rPr>
        <w:t>ivated carbon was mixed with 3 mL of deionized water. The mixture was heated and stirred for about 3 min to ensure thorough dispersion of the sample. After heating, the solution was filtered, and the pH of the filtrate was measured using a digital pH meter</w:t>
      </w:r>
      <w:r>
        <w:rPr>
          <w:rFonts w:ascii="Times New Roman" w:eastAsia="Times New Roman" w:hAnsi="Times New Roman" w:cs="Times New Roman"/>
          <w:color w:val="000000" w:themeColor="text1"/>
          <w:lang w:val="en-US"/>
        </w:rPr>
        <w:t xml:space="preserve"> (Boadu et al., 2018).</w:t>
      </w:r>
    </w:p>
    <w:p w14:paraId="51414498" w14:textId="77777777" w:rsidR="0078026E" w:rsidRDefault="0078026E">
      <w:pPr>
        <w:spacing w:line="240" w:lineRule="auto"/>
        <w:jc w:val="both"/>
        <w:rPr>
          <w:rFonts w:ascii="Times New Roman" w:eastAsia="Times New Roman" w:hAnsi="Times New Roman" w:cs="Times New Roman"/>
          <w:color w:val="000000" w:themeColor="text1"/>
          <w:lang w:val="en-US"/>
        </w:rPr>
      </w:pPr>
    </w:p>
    <w:p w14:paraId="4FF15150" w14:textId="77777777" w:rsidR="0078026E" w:rsidRDefault="0078026E">
      <w:pPr>
        <w:spacing w:line="240" w:lineRule="auto"/>
        <w:jc w:val="both"/>
        <w:rPr>
          <w:rFonts w:ascii="Times New Roman" w:eastAsia="Times New Roman" w:hAnsi="Times New Roman" w:cs="Times New Roman"/>
          <w:color w:val="000000" w:themeColor="text1"/>
          <w:lang w:val="en-US"/>
        </w:rPr>
      </w:pPr>
    </w:p>
    <w:p w14:paraId="77C93896" w14:textId="77777777" w:rsidR="0078026E" w:rsidRDefault="003452F6">
      <w:pPr>
        <w:numPr>
          <w:ilvl w:val="0"/>
          <w:numId w:val="1"/>
        </w:num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Determining the functional groups in the coconut shell activated carbon </w:t>
      </w:r>
    </w:p>
    <w:p w14:paraId="7D8CBA1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This was carried out using Fourier transform infrared </w:t>
      </w:r>
      <w:r>
        <w:rPr>
          <w:rFonts w:ascii="Times New Roman" w:eastAsia="Times New Roman" w:hAnsi="Times New Roman" w:cs="Times New Roman"/>
          <w:b/>
          <w:bCs/>
          <w:color w:val="000000" w:themeColor="text1"/>
          <w:lang w:val="en-US"/>
        </w:rPr>
        <w:t>(</w:t>
      </w:r>
      <w:r>
        <w:rPr>
          <w:rFonts w:ascii="Times New Roman" w:eastAsia="Times New Roman" w:hAnsi="Times New Roman" w:cs="Times New Roman"/>
          <w:color w:val="000000" w:themeColor="text1"/>
          <w:lang w:val="en-US"/>
        </w:rPr>
        <w:t xml:space="preserve">FTIR) spectroscopy. The spectra were recorded with a </w:t>
      </w:r>
      <w:proofErr w:type="spellStart"/>
      <w:r>
        <w:rPr>
          <w:rFonts w:ascii="Times New Roman" w:eastAsia="Times New Roman" w:hAnsi="Times New Roman" w:cs="Times New Roman"/>
          <w:color w:val="000000" w:themeColor="text1"/>
          <w:lang w:val="en-US"/>
        </w:rPr>
        <w:t>Digilab</w:t>
      </w:r>
      <w:proofErr w:type="spellEnd"/>
      <w:r>
        <w:rPr>
          <w:rFonts w:ascii="Times New Roman" w:eastAsia="Times New Roman" w:hAnsi="Times New Roman" w:cs="Times New Roman"/>
          <w:color w:val="000000" w:themeColor="text1"/>
          <w:lang w:val="en-US"/>
        </w:rPr>
        <w:t xml:space="preserve"> Excalibur FTS 3000 series spectrometer over the range 400 – 4000 cm⁻¹ at a resolution of 4 cm⁻¹. Samples were prepared as KBr pellets. FTIR analysis provided insight </w:t>
      </w:r>
      <w:r>
        <w:rPr>
          <w:rFonts w:ascii="Times New Roman" w:eastAsia="Times New Roman" w:hAnsi="Times New Roman" w:cs="Times New Roman"/>
          <w:color w:val="000000" w:themeColor="text1"/>
          <w:lang w:val="en-US"/>
        </w:rPr>
        <w:lastRenderedPageBreak/>
        <w:t xml:space="preserve">into the surface chemistry by revealing characteristic functional groups associated with </w:t>
      </w:r>
      <w:r>
        <w:rPr>
          <w:rFonts w:ascii="Times New Roman" w:eastAsia="Times New Roman" w:hAnsi="Times New Roman" w:cs="Times New Roman"/>
          <w:color w:val="000000" w:themeColor="text1"/>
          <w:lang w:val="en-US"/>
        </w:rPr>
        <w:t>the activated carbon (Boadu et al., 2018).</w:t>
      </w:r>
    </w:p>
    <w:p w14:paraId="1ACCF2D5" w14:textId="77777777" w:rsidR="0078026E" w:rsidRDefault="003452F6">
      <w:pPr>
        <w:numPr>
          <w:ilvl w:val="0"/>
          <w:numId w:val="1"/>
        </w:num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Determining the surface morphology of the coconut shell activated carbon </w:t>
      </w:r>
    </w:p>
    <w:p w14:paraId="438C9871"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This was done using scanning electron microscopy (SEM) equipped with a semi-in-lens objective lens and high-power optics. SEM was used to o</w:t>
      </w:r>
      <w:r>
        <w:rPr>
          <w:rFonts w:ascii="Times New Roman" w:eastAsia="Times New Roman" w:hAnsi="Times New Roman" w:cs="Times New Roman"/>
          <w:color w:val="000000" w:themeColor="text1"/>
          <w:lang w:val="en-US"/>
        </w:rPr>
        <w:t>bserve structural features and surface texture of the activated carbon, and supply valuable information on its physical characteristics (Boadu et al., 2018).</w:t>
      </w:r>
    </w:p>
    <w:p w14:paraId="03C0F056"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bidi="ar"/>
          <w14:ligatures w14:val="none"/>
        </w:rPr>
      </w:pPr>
      <w:r>
        <w:rPr>
          <w:rFonts w:ascii="Times New Roman" w:eastAsia="Times New Roman" w:hAnsi="Times New Roman" w:cs="Times New Roman"/>
          <w:color w:val="000000" w:themeColor="text1"/>
          <w:lang w:val="en-US" w:bidi="ar"/>
        </w:rPr>
        <w:t xml:space="preserve">2.2.3 Spent transformer oil regeneration </w:t>
      </w:r>
      <w:proofErr w:type="spellStart"/>
      <w:r>
        <w:rPr>
          <w:rFonts w:ascii="Times New Roman" w:eastAsia="Times New Roman" w:hAnsi="Times New Roman" w:cs="Times New Roman"/>
          <w:color w:val="000000" w:themeColor="text1"/>
          <w:lang w:val="en-US" w:bidi="ar"/>
        </w:rPr>
        <w:t>pYrocess</w:t>
      </w:r>
      <w:proofErr w:type="spellEnd"/>
      <w:r>
        <w:rPr>
          <w:rFonts w:ascii="Times New Roman" w:eastAsia="Times New Roman" w:hAnsi="Times New Roman" w:cs="Times New Roman"/>
          <w:color w:val="000000" w:themeColor="text1"/>
          <w:lang w:val="en-US" w:bidi="ar"/>
        </w:rPr>
        <w:t xml:space="preserve"> using </w:t>
      </w:r>
      <w:bookmarkEnd w:id="17"/>
      <w:bookmarkEnd w:id="18"/>
      <w:r>
        <w:rPr>
          <w:rFonts w:ascii="Times New Roman" w:eastAsia="Times New Roman" w:hAnsi="Times New Roman" w:cs="Times New Roman"/>
          <w:color w:val="000000" w:themeColor="text1"/>
          <w:lang w:val="en-US" w:bidi="ar"/>
        </w:rPr>
        <w:t xml:space="preserve">coconut oil synthesized adsorbent </w:t>
      </w:r>
    </w:p>
    <w:p w14:paraId="1BD0B915"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sz w:val="28"/>
          <w:szCs w:val="28"/>
          <w:lang w:val="en-US"/>
          <w14:ligatures w14:val="none"/>
        </w:rPr>
      </w:pPr>
      <w:r>
        <w:rPr>
          <w:rFonts w:ascii="Times New Roman" w:eastAsia="Times New Roman" w:hAnsi="Times New Roman" w:cs="Times New Roman"/>
          <w:color w:val="000000" w:themeColor="text1"/>
          <w:kern w:val="0"/>
          <w:lang w:val="en-US"/>
          <w14:ligatures w14:val="none"/>
        </w:rPr>
        <w:t>A 50 mL</w:t>
      </w:r>
      <w:r>
        <w:rPr>
          <w:rFonts w:ascii="Times New Roman" w:eastAsia="Times New Roman" w:hAnsi="Times New Roman" w:cs="Times New Roman"/>
          <w:color w:val="000000" w:themeColor="text1"/>
          <w:kern w:val="0"/>
          <w:lang w:val="en-US"/>
          <w14:ligatures w14:val="none"/>
        </w:rPr>
        <w:t xml:space="preserve"> of the pretreated spent transformer oil was measured into a beaker, and 0.5 g of the prepared coconut shell activated carbon was added and thoroughly mixed. The mixture was homogenized using a magnetic stirrer with a hot plate and set at temperatures of 6</w:t>
      </w:r>
      <w:r>
        <w:rPr>
          <w:rFonts w:ascii="Times New Roman" w:eastAsia="Times New Roman" w:hAnsi="Times New Roman" w:cs="Times New Roman"/>
          <w:color w:val="000000" w:themeColor="text1"/>
          <w:kern w:val="0"/>
          <w:lang w:val="en-US"/>
          <w14:ligatures w14:val="none"/>
        </w:rPr>
        <w:t>0 °C, 80 °C, and 100 °C, maintaining a stirring speed of 750 rpm for 30 min. After mixing, the oil was purified by gravity filtration using a funnel stuffed with sterilized cotton wool. The filtrate (regenerated oil) was collected in a conical flask. The r</w:t>
      </w:r>
      <w:r>
        <w:rPr>
          <w:rFonts w:ascii="Times New Roman" w:eastAsia="Times New Roman" w:hAnsi="Times New Roman" w:cs="Times New Roman"/>
          <w:color w:val="000000" w:themeColor="text1"/>
          <w:kern w:val="0"/>
          <w:lang w:val="en-US"/>
          <w14:ligatures w14:val="none"/>
        </w:rPr>
        <w:t>egenerated oil samples obtained at different temperatures were analyzed, and the temperature that produced the best-quality oil was maintained for further tests, during which the contact time was varied at 45 and 60 minutes. The physiochemical properties o</w:t>
      </w:r>
      <w:r>
        <w:rPr>
          <w:rFonts w:ascii="Times New Roman" w:eastAsia="Times New Roman" w:hAnsi="Times New Roman" w:cs="Times New Roman"/>
          <w:color w:val="000000" w:themeColor="text1"/>
          <w:kern w:val="0"/>
          <w:lang w:val="en-US"/>
          <w14:ligatures w14:val="none"/>
        </w:rPr>
        <w:t>f the recycled oil, including moisture content and acid value, were then determined</w:t>
      </w:r>
      <w:bookmarkStart w:id="19" w:name="_Toc224021383"/>
      <w:bookmarkStart w:id="20" w:name="_Toc213293289"/>
      <w:bookmarkStart w:id="21" w:name="_Toc214356213"/>
      <w:bookmarkStart w:id="22" w:name="_Toc214347899"/>
      <w:bookmarkStart w:id="23" w:name="_Toc213826695"/>
      <w:r>
        <w:rPr>
          <w:rFonts w:ascii="Times New Roman" w:eastAsia="Times New Roman" w:hAnsi="Times New Roman" w:cs="Times New Roman"/>
          <w:color w:val="000000" w:themeColor="text1"/>
          <w:kern w:val="0"/>
          <w:lang w:val="en-US"/>
          <w14:ligatures w14:val="none"/>
        </w:rPr>
        <w:t xml:space="preserve"> as described earlier.</w:t>
      </w:r>
    </w:p>
    <w:p w14:paraId="31592A0E"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sz w:val="28"/>
          <w:szCs w:val="28"/>
          <w:lang w:val="en-US"/>
          <w14:ligatures w14:val="none"/>
        </w:rPr>
      </w:pPr>
      <w:r>
        <w:rPr>
          <w:rFonts w:ascii="Times New Roman" w:eastAsia="Times New Roman" w:hAnsi="Times New Roman" w:cs="Times New Roman"/>
          <w:b/>
          <w:bCs/>
          <w:color w:val="000000" w:themeColor="text1"/>
          <w:sz w:val="28"/>
          <w:szCs w:val="28"/>
          <w:lang w:val="en-US"/>
        </w:rPr>
        <w:t xml:space="preserve">3.0 </w:t>
      </w:r>
      <w:bookmarkStart w:id="24" w:name="_Toc213293290"/>
      <w:bookmarkStart w:id="25" w:name="_Toc224021384"/>
      <w:bookmarkEnd w:id="19"/>
      <w:bookmarkEnd w:id="20"/>
      <w:bookmarkEnd w:id="21"/>
      <w:bookmarkEnd w:id="22"/>
      <w:bookmarkEnd w:id="23"/>
      <w:r>
        <w:rPr>
          <w:rFonts w:ascii="Times New Roman" w:eastAsia="Times New Roman" w:hAnsi="Times New Roman" w:cs="Times New Roman"/>
          <w:b/>
          <w:bCs/>
          <w:color w:val="000000" w:themeColor="text1"/>
          <w:sz w:val="28"/>
          <w:szCs w:val="28"/>
          <w:lang w:val="en-US"/>
        </w:rPr>
        <w:t xml:space="preserve">Results and Discussion </w:t>
      </w:r>
    </w:p>
    <w:p w14:paraId="44AF233E" w14:textId="77777777" w:rsidR="0078026E" w:rsidRDefault="003452F6">
      <w:pPr>
        <w:spacing w:line="240" w:lineRule="auto"/>
        <w:jc w:val="both"/>
        <w:rPr>
          <w:rFonts w:ascii="Times New Roman" w:hAnsi="Times New Roman" w:cs="Times New Roman"/>
          <w:color w:val="000000" w:themeColor="text1"/>
          <w:lang w:val="en-US"/>
        </w:rPr>
      </w:pPr>
      <w:bookmarkStart w:id="26" w:name="_Toc213293292"/>
      <w:bookmarkStart w:id="27" w:name="_Toc224021386"/>
      <w:bookmarkEnd w:id="24"/>
      <w:bookmarkEnd w:id="25"/>
      <w:r>
        <w:rPr>
          <w:rFonts w:ascii="Times New Roman" w:hAnsi="Times New Roman" w:cs="Times New Roman"/>
          <w:color w:val="000000" w:themeColor="text1"/>
          <w:lang w:val="en-US"/>
        </w:rPr>
        <w:t xml:space="preserve">3.1 Analysis of the coconut shell activated carbon </w:t>
      </w:r>
    </w:p>
    <w:p w14:paraId="0DE7D84B" w14:textId="77777777" w:rsidR="0078026E" w:rsidRDefault="003452F6">
      <w:pPr>
        <w:spacing w:line="240" w:lineRule="auto"/>
        <w:jc w:val="both"/>
        <w:rPr>
          <w:rFonts w:ascii="Times New Roman" w:hAnsi="Times New Roman" w:cs="Times New Roman"/>
          <w:color w:val="000000" w:themeColor="text1"/>
          <w:lang w:val="en-US"/>
        </w:rPr>
      </w:pPr>
      <w:bookmarkStart w:id="28" w:name="_Toc8039"/>
      <w:r>
        <w:rPr>
          <w:rFonts w:ascii="Times New Roman" w:hAnsi="Times New Roman" w:cs="Times New Roman"/>
          <w:color w:val="000000" w:themeColor="text1"/>
          <w:lang w:val="en-US"/>
        </w:rPr>
        <w:t xml:space="preserve">3.1.1 </w:t>
      </w:r>
      <w:bookmarkStart w:id="29" w:name="_Toc10646"/>
      <w:r>
        <w:rPr>
          <w:rFonts w:ascii="Times New Roman" w:hAnsi="Times New Roman" w:cs="Times New Roman"/>
          <w:color w:val="000000" w:themeColor="text1"/>
          <w:lang w:val="en-US"/>
        </w:rPr>
        <w:t>Determining the physicochemical properties of coconut shell acti</w:t>
      </w:r>
      <w:r>
        <w:rPr>
          <w:rFonts w:ascii="Times New Roman" w:hAnsi="Times New Roman" w:cs="Times New Roman"/>
          <w:color w:val="000000" w:themeColor="text1"/>
          <w:lang w:val="en-US"/>
        </w:rPr>
        <w:t>vated carbon</w:t>
      </w:r>
      <w:bookmarkEnd w:id="28"/>
      <w:bookmarkEnd w:id="29"/>
    </w:p>
    <w:bookmarkEnd w:id="26"/>
    <w:bookmarkEnd w:id="27"/>
    <w:p w14:paraId="126175C3"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 xml:space="preserve">The physicochemical properties of the coconut shell activated carbon (CSAC) were evaluated to determine its suitability as an adsorbent for spent transformer oil regeneration. The coconut shell was successfully converted into activated carbon </w:t>
      </w:r>
      <w:r>
        <w:rPr>
          <w:rFonts w:ascii="Times New Roman" w:eastAsia="Times New Roman" w:hAnsi="Times New Roman" w:cs="Times New Roman"/>
          <w:color w:val="000000" w:themeColor="text1"/>
          <w:kern w:val="0"/>
          <w:lang w:val="en-US"/>
          <w14:ligatures w14:val="none"/>
        </w:rPr>
        <w:t>with suitable physical and chemical properties, confirming its potential for use as an adsorbent. Characterization was performed to measure the quality of the adsorbent, and the result obtained are presented in Table 1</w:t>
      </w:r>
      <w:bookmarkStart w:id="30" w:name="_Toc214345023"/>
      <w:r>
        <w:rPr>
          <w:rFonts w:ascii="Times New Roman" w:eastAsia="Times New Roman" w:hAnsi="Times New Roman" w:cs="Times New Roman"/>
          <w:color w:val="000000" w:themeColor="text1"/>
          <w:kern w:val="0"/>
          <w:lang w:val="en-US"/>
          <w14:ligatures w14:val="none"/>
        </w:rPr>
        <w:t xml:space="preserve">. </w:t>
      </w:r>
      <w:r>
        <w:rPr>
          <w:rFonts w:ascii="Times New Roman" w:eastAsia="Calibri" w:hAnsi="Times New Roman" w:cs="Times New Roman"/>
          <w:color w:val="000000" w:themeColor="text1"/>
          <w:lang w:val="en-US"/>
        </w:rPr>
        <w:t>The low moisture content (1.414 %) i</w:t>
      </w:r>
      <w:r>
        <w:rPr>
          <w:rFonts w:ascii="Times New Roman" w:eastAsia="Calibri" w:hAnsi="Times New Roman" w:cs="Times New Roman"/>
          <w:color w:val="000000" w:themeColor="text1"/>
          <w:lang w:val="en-US"/>
        </w:rPr>
        <w:t>ndicates effective drying of the activated carbon, enhancing its adsorption efficiency. This low level minimizes the likelihood of microbial activity and water interference in adsorption. Compared to the 19.7 % reported by Verla et al. (2012), the result d</w:t>
      </w:r>
      <w:r>
        <w:rPr>
          <w:rFonts w:ascii="Times New Roman" w:eastAsia="Calibri" w:hAnsi="Times New Roman" w:cs="Times New Roman"/>
          <w:color w:val="000000" w:themeColor="text1"/>
          <w:lang w:val="en-US"/>
        </w:rPr>
        <w:t xml:space="preserve">emonstrates superior preparation and improved adsorptive readiness. The reduced water retention also suggests a higher surface area and better pore accessibility for the adsorption of polar compounds present in spent transformer oil. </w:t>
      </w:r>
      <w:r>
        <w:rPr>
          <w:rFonts w:ascii="Times New Roman" w:eastAsia="Times New Roman" w:hAnsi="Times New Roman" w:cs="Times New Roman"/>
          <w:color w:val="000000" w:themeColor="text1"/>
          <w:kern w:val="0"/>
          <w:lang w:val="en-US"/>
          <w14:ligatures w14:val="none"/>
        </w:rPr>
        <w:t>The low moisture conte</w:t>
      </w:r>
      <w:r>
        <w:rPr>
          <w:rFonts w:ascii="Times New Roman" w:eastAsia="Times New Roman" w:hAnsi="Times New Roman" w:cs="Times New Roman"/>
          <w:color w:val="000000" w:themeColor="text1"/>
          <w:kern w:val="0"/>
          <w:lang w:val="en-US"/>
          <w14:ligatures w14:val="none"/>
        </w:rPr>
        <w:t xml:space="preserve">nt indicates the effectiveness of the carbonization and drying process, while the high pore volume directly relates to the material capacity for adsorption. </w:t>
      </w:r>
    </w:p>
    <w:p w14:paraId="3FEF7C60"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6183541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Ash Content represents the non-carbonaceous, inert mineral residue remaining after the volati</w:t>
      </w:r>
      <w:r>
        <w:rPr>
          <w:rFonts w:ascii="Times New Roman" w:eastAsia="Calibri" w:hAnsi="Times New Roman" w:cs="Times New Roman"/>
          <w:color w:val="000000" w:themeColor="text1"/>
          <w:lang w:val="en-US"/>
        </w:rPr>
        <w:t xml:space="preserve">le and carbonaceous components have been removed (Table 1). A high ash content is generally undesirable in an adsorbent because the mineral matter occupies pore volume, effectively diluting the active carbon sites and reducing the overall adsorption </w:t>
      </w:r>
    </w:p>
    <w:p w14:paraId="063E5280" w14:textId="77777777" w:rsidR="0078026E" w:rsidRDefault="003452F6">
      <w:pPr>
        <w:spacing w:before="100" w:beforeAutospacing="1" w:after="100" w:afterAutospacing="1"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Table</w:t>
      </w:r>
      <w:r>
        <w:rPr>
          <w:rFonts w:ascii="Times New Roman" w:eastAsia="Calibri" w:hAnsi="Times New Roman" w:cs="Times New Roman"/>
          <w:color w:val="000000" w:themeColor="text1"/>
          <w:lang w:val="en-US"/>
        </w:rPr>
        <w:t xml:space="preserve"> 1. </w:t>
      </w:r>
      <w:proofErr w:type="spellStart"/>
      <w:r>
        <w:rPr>
          <w:rFonts w:ascii="Times New Roman" w:eastAsia="Calibri" w:hAnsi="Times New Roman" w:cs="Times New Roman"/>
          <w:color w:val="000000" w:themeColor="text1"/>
          <w:lang w:val="en-US"/>
        </w:rPr>
        <w:t>Physichochemical</w:t>
      </w:r>
      <w:proofErr w:type="spellEnd"/>
      <w:r>
        <w:rPr>
          <w:rFonts w:ascii="Times New Roman" w:eastAsia="Calibri" w:hAnsi="Times New Roman" w:cs="Times New Roman"/>
          <w:color w:val="000000" w:themeColor="text1"/>
          <w:lang w:val="en-US"/>
        </w:rPr>
        <w:t xml:space="preserve"> properties of the synthesized coconut shell adsorbent</w:t>
      </w:r>
      <w:bookmarkEnd w:id="30"/>
    </w:p>
    <w:tbl>
      <w:tblPr>
        <w:tblStyle w:val="TableGrid"/>
        <w:tblW w:w="957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2630"/>
        <w:gridCol w:w="3011"/>
        <w:gridCol w:w="3157"/>
      </w:tblGrid>
      <w:tr w:rsidR="0078026E" w14:paraId="0C1EE999" w14:textId="77777777">
        <w:trPr>
          <w:trHeight w:val="565"/>
          <w:jc w:val="center"/>
        </w:trPr>
        <w:tc>
          <w:tcPr>
            <w:tcW w:w="778" w:type="dxa"/>
            <w:tcBorders>
              <w:top w:val="single" w:sz="8" w:space="0" w:color="FFFFFF"/>
              <w:left w:val="single" w:sz="8" w:space="0" w:color="FFFFFF"/>
              <w:bottom w:val="single" w:sz="18" w:space="0" w:color="FFFFFF"/>
              <w:right w:val="single" w:sz="8" w:space="0" w:color="FFFFFF"/>
            </w:tcBorders>
            <w:shd w:val="clear" w:color="auto" w:fill="000000"/>
          </w:tcPr>
          <w:p w14:paraId="1FEF9EF1"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t>S/N</w:t>
            </w:r>
          </w:p>
        </w:tc>
        <w:tc>
          <w:tcPr>
            <w:tcW w:w="2630" w:type="dxa"/>
            <w:tcBorders>
              <w:top w:val="single" w:sz="8" w:space="0" w:color="FFFFFF"/>
              <w:left w:val="single" w:sz="8" w:space="0" w:color="FFFFFF"/>
              <w:bottom w:val="single" w:sz="18" w:space="0" w:color="FFFFFF"/>
              <w:right w:val="single" w:sz="8" w:space="0" w:color="FFFFFF"/>
            </w:tcBorders>
            <w:shd w:val="clear" w:color="auto" w:fill="000000"/>
          </w:tcPr>
          <w:p w14:paraId="46B13DFF" w14:textId="77777777" w:rsidR="0078026E" w:rsidRDefault="003452F6">
            <w:pPr>
              <w:spacing w:after="0" w:line="240" w:lineRule="auto"/>
              <w:jc w:val="center"/>
              <w:rPr>
                <w:rFonts w:ascii="Times New Roman" w:eastAsia="Calibri" w:hAnsi="Times New Roman" w:cs="Times New Roman"/>
                <w:color w:val="FFFFFF"/>
                <w:lang w:val="en-US"/>
              </w:rPr>
            </w:pPr>
            <w:proofErr w:type="spellStart"/>
            <w:r>
              <w:rPr>
                <w:rFonts w:ascii="Times New Roman" w:eastAsia="Calibri" w:hAnsi="Times New Roman" w:cs="Times New Roman"/>
                <w:color w:val="FFFFFF"/>
                <w:lang w:val="en-US"/>
              </w:rPr>
              <w:t>Paremeter</w:t>
            </w:r>
            <w:proofErr w:type="spellEnd"/>
          </w:p>
        </w:tc>
        <w:tc>
          <w:tcPr>
            <w:tcW w:w="3011" w:type="dxa"/>
            <w:tcBorders>
              <w:top w:val="single" w:sz="8" w:space="0" w:color="FFFFFF"/>
              <w:left w:val="single" w:sz="8" w:space="0" w:color="FFFFFF"/>
              <w:bottom w:val="single" w:sz="18" w:space="0" w:color="FFFFFF"/>
              <w:right w:val="single" w:sz="8" w:space="0" w:color="FFFFFF"/>
            </w:tcBorders>
            <w:shd w:val="clear" w:color="auto" w:fill="000000"/>
          </w:tcPr>
          <w:p w14:paraId="18A42D31"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t>Value</w:t>
            </w:r>
          </w:p>
        </w:tc>
        <w:tc>
          <w:tcPr>
            <w:tcW w:w="3157" w:type="dxa"/>
            <w:tcBorders>
              <w:top w:val="single" w:sz="8" w:space="0" w:color="FFFFFF"/>
              <w:left w:val="single" w:sz="8" w:space="0" w:color="FFFFFF"/>
              <w:bottom w:val="single" w:sz="18" w:space="0" w:color="FFFFFF"/>
              <w:right w:val="single" w:sz="8" w:space="0" w:color="FFFFFF"/>
            </w:tcBorders>
            <w:shd w:val="clear" w:color="auto" w:fill="000000"/>
          </w:tcPr>
          <w:p w14:paraId="6D666433"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t>Unit</w:t>
            </w:r>
          </w:p>
        </w:tc>
      </w:tr>
      <w:tr w:rsidR="0078026E" w14:paraId="44BE7A44" w14:textId="77777777">
        <w:trPr>
          <w:trHeight w:val="557"/>
          <w:jc w:val="center"/>
        </w:trPr>
        <w:tc>
          <w:tcPr>
            <w:tcW w:w="778" w:type="dxa"/>
            <w:tcBorders>
              <w:top w:val="single" w:sz="18" w:space="0" w:color="FFFFFF"/>
              <w:left w:val="single" w:sz="8" w:space="0" w:color="FFFFFF"/>
              <w:bottom w:val="single" w:sz="8" w:space="0" w:color="FFFFFF"/>
              <w:right w:val="single" w:sz="8" w:space="0" w:color="FFFFFF"/>
            </w:tcBorders>
            <w:shd w:val="clear" w:color="auto" w:fill="CBCBCB"/>
          </w:tcPr>
          <w:p w14:paraId="18F449CF"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w:t>
            </w:r>
          </w:p>
        </w:tc>
        <w:tc>
          <w:tcPr>
            <w:tcW w:w="2630" w:type="dxa"/>
            <w:tcBorders>
              <w:top w:val="single" w:sz="18" w:space="0" w:color="FFFFFF"/>
              <w:left w:val="single" w:sz="8" w:space="0" w:color="FFFFFF"/>
              <w:bottom w:val="single" w:sz="8" w:space="0" w:color="FFFFFF"/>
              <w:right w:val="single" w:sz="8" w:space="0" w:color="FFFFFF"/>
            </w:tcBorders>
            <w:shd w:val="clear" w:color="auto" w:fill="CBCBCB"/>
          </w:tcPr>
          <w:p w14:paraId="6EC038A7"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Moisture Content </w:t>
            </w:r>
          </w:p>
        </w:tc>
        <w:tc>
          <w:tcPr>
            <w:tcW w:w="3011" w:type="dxa"/>
            <w:tcBorders>
              <w:top w:val="single" w:sz="18" w:space="0" w:color="FFFFFF"/>
              <w:left w:val="single" w:sz="8" w:space="0" w:color="FFFFFF"/>
              <w:bottom w:val="single" w:sz="8" w:space="0" w:color="FFFFFF"/>
              <w:right w:val="single" w:sz="8" w:space="0" w:color="FFFFFF"/>
            </w:tcBorders>
            <w:shd w:val="clear" w:color="auto" w:fill="CBCBCB"/>
          </w:tcPr>
          <w:p w14:paraId="5F4A502F"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1.414</w:t>
            </w:r>
          </w:p>
        </w:tc>
        <w:tc>
          <w:tcPr>
            <w:tcW w:w="3157" w:type="dxa"/>
            <w:tcBorders>
              <w:top w:val="single" w:sz="18" w:space="0" w:color="FFFFFF"/>
              <w:left w:val="single" w:sz="8" w:space="0" w:color="FFFFFF"/>
              <w:bottom w:val="single" w:sz="8" w:space="0" w:color="FFFFFF"/>
              <w:right w:val="single" w:sz="8" w:space="0" w:color="FFFFFF"/>
            </w:tcBorders>
            <w:shd w:val="clear" w:color="auto" w:fill="CBCBCB"/>
          </w:tcPr>
          <w:p w14:paraId="40F2FC1B"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w:t>
            </w:r>
          </w:p>
        </w:tc>
      </w:tr>
      <w:tr w:rsidR="0078026E" w14:paraId="47E801CC" w14:textId="77777777">
        <w:trPr>
          <w:trHeight w:val="557"/>
          <w:jc w:val="center"/>
        </w:trPr>
        <w:tc>
          <w:tcPr>
            <w:tcW w:w="778" w:type="dxa"/>
            <w:tcBorders>
              <w:top w:val="single" w:sz="8" w:space="0" w:color="FFFFFF"/>
              <w:left w:val="single" w:sz="8" w:space="0" w:color="FFFFFF"/>
              <w:bottom w:val="single" w:sz="8" w:space="0" w:color="FFFFFF"/>
              <w:right w:val="single" w:sz="8" w:space="0" w:color="FFFFFF"/>
            </w:tcBorders>
            <w:shd w:val="clear" w:color="auto" w:fill="E7E7E7"/>
          </w:tcPr>
          <w:p w14:paraId="5A65501A"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w:t>
            </w:r>
          </w:p>
        </w:tc>
        <w:tc>
          <w:tcPr>
            <w:tcW w:w="2630" w:type="dxa"/>
            <w:tcBorders>
              <w:top w:val="single" w:sz="8" w:space="0" w:color="FFFFFF"/>
              <w:left w:val="single" w:sz="8" w:space="0" w:color="FFFFFF"/>
              <w:bottom w:val="single" w:sz="8" w:space="0" w:color="FFFFFF"/>
              <w:right w:val="single" w:sz="8" w:space="0" w:color="FFFFFF"/>
            </w:tcBorders>
            <w:shd w:val="clear" w:color="auto" w:fill="E7E7E7"/>
          </w:tcPr>
          <w:p w14:paraId="7BBEE7A2"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Ash Content </w:t>
            </w:r>
          </w:p>
        </w:tc>
        <w:tc>
          <w:tcPr>
            <w:tcW w:w="3011" w:type="dxa"/>
            <w:tcBorders>
              <w:top w:val="single" w:sz="8" w:space="0" w:color="FFFFFF"/>
              <w:left w:val="single" w:sz="8" w:space="0" w:color="FFFFFF"/>
              <w:bottom w:val="single" w:sz="8" w:space="0" w:color="FFFFFF"/>
              <w:right w:val="single" w:sz="8" w:space="0" w:color="FFFFFF"/>
            </w:tcBorders>
            <w:shd w:val="clear" w:color="auto" w:fill="E7E7E7"/>
          </w:tcPr>
          <w:p w14:paraId="65C92B29"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16.8</w:t>
            </w:r>
          </w:p>
        </w:tc>
        <w:tc>
          <w:tcPr>
            <w:tcW w:w="3157" w:type="dxa"/>
            <w:tcBorders>
              <w:top w:val="single" w:sz="8" w:space="0" w:color="FFFFFF"/>
              <w:left w:val="single" w:sz="8" w:space="0" w:color="FFFFFF"/>
              <w:bottom w:val="single" w:sz="8" w:space="0" w:color="FFFFFF"/>
              <w:right w:val="single" w:sz="8" w:space="0" w:color="FFFFFF"/>
            </w:tcBorders>
            <w:shd w:val="clear" w:color="auto" w:fill="E7E7E7"/>
          </w:tcPr>
          <w:p w14:paraId="7189A0BA"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w:t>
            </w:r>
          </w:p>
        </w:tc>
      </w:tr>
      <w:tr w:rsidR="0078026E" w14:paraId="1D97E486" w14:textId="77777777">
        <w:trPr>
          <w:trHeight w:val="516"/>
          <w:jc w:val="center"/>
        </w:trPr>
        <w:tc>
          <w:tcPr>
            <w:tcW w:w="778" w:type="dxa"/>
            <w:tcBorders>
              <w:top w:val="single" w:sz="8" w:space="0" w:color="FFFFFF"/>
              <w:left w:val="single" w:sz="8" w:space="0" w:color="FFFFFF"/>
              <w:bottom w:val="single" w:sz="8" w:space="0" w:color="FFFFFF"/>
              <w:right w:val="single" w:sz="8" w:space="0" w:color="FFFFFF"/>
            </w:tcBorders>
            <w:shd w:val="clear" w:color="auto" w:fill="CBCBCB"/>
          </w:tcPr>
          <w:p w14:paraId="2A99BD43"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w:t>
            </w:r>
          </w:p>
        </w:tc>
        <w:tc>
          <w:tcPr>
            <w:tcW w:w="2630" w:type="dxa"/>
            <w:tcBorders>
              <w:top w:val="single" w:sz="8" w:space="0" w:color="FFFFFF"/>
              <w:left w:val="single" w:sz="8" w:space="0" w:color="FFFFFF"/>
              <w:bottom w:val="single" w:sz="8" w:space="0" w:color="FFFFFF"/>
              <w:right w:val="single" w:sz="8" w:space="0" w:color="FFFFFF"/>
            </w:tcBorders>
            <w:shd w:val="clear" w:color="auto" w:fill="CBCBCB"/>
          </w:tcPr>
          <w:p w14:paraId="66FE781F"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Pore Volume </w:t>
            </w:r>
          </w:p>
        </w:tc>
        <w:tc>
          <w:tcPr>
            <w:tcW w:w="3011" w:type="dxa"/>
            <w:tcBorders>
              <w:top w:val="single" w:sz="8" w:space="0" w:color="FFFFFF"/>
              <w:left w:val="single" w:sz="8" w:space="0" w:color="FFFFFF"/>
              <w:bottom w:val="single" w:sz="8" w:space="0" w:color="FFFFFF"/>
              <w:right w:val="single" w:sz="8" w:space="0" w:color="FFFFFF"/>
            </w:tcBorders>
            <w:shd w:val="clear" w:color="auto" w:fill="CBCBCB"/>
          </w:tcPr>
          <w:p w14:paraId="4B5333B9"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0.379</w:t>
            </w:r>
          </w:p>
        </w:tc>
        <w:tc>
          <w:tcPr>
            <w:tcW w:w="3157" w:type="dxa"/>
            <w:tcBorders>
              <w:top w:val="single" w:sz="8" w:space="0" w:color="FFFFFF"/>
              <w:left w:val="single" w:sz="8" w:space="0" w:color="FFFFFF"/>
              <w:bottom w:val="single" w:sz="8" w:space="0" w:color="FFFFFF"/>
              <w:right w:val="single" w:sz="8" w:space="0" w:color="FFFFFF"/>
            </w:tcBorders>
            <w:shd w:val="clear" w:color="auto" w:fill="CBCBCB"/>
          </w:tcPr>
          <w:p w14:paraId="51F420B7"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cm</w:t>
            </w:r>
            <w:r>
              <w:rPr>
                <w:rFonts w:ascii="Times New Roman" w:eastAsia="Calibri" w:hAnsi="Times New Roman" w:cs="Times New Roman"/>
                <w:color w:val="000000" w:themeColor="text1"/>
                <w:vertAlign w:val="superscript"/>
                <w:lang w:val="en-US"/>
              </w:rPr>
              <w:t>3</w:t>
            </w:r>
          </w:p>
        </w:tc>
      </w:tr>
    </w:tbl>
    <w:p w14:paraId="6726AC90" w14:textId="77777777" w:rsidR="0078026E" w:rsidRDefault="0078026E">
      <w:pPr>
        <w:spacing w:line="240" w:lineRule="auto"/>
        <w:jc w:val="both"/>
        <w:rPr>
          <w:rFonts w:ascii="Times New Roman" w:eastAsia="Calibri" w:hAnsi="Times New Roman" w:cs="Times New Roman"/>
          <w:color w:val="000000" w:themeColor="text1"/>
          <w:lang w:val="en-US"/>
        </w:rPr>
      </w:pPr>
    </w:p>
    <w:p w14:paraId="51B6FFE1"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capacity. The low ash content obtained in the prepared CSAC is consistent</w:t>
      </w:r>
      <w:r>
        <w:rPr>
          <w:rFonts w:ascii="Times New Roman" w:eastAsia="Calibri" w:hAnsi="Times New Roman" w:cs="Times New Roman"/>
          <w:color w:val="000000" w:themeColor="text1"/>
          <w:lang w:val="en-US"/>
        </w:rPr>
        <w:t xml:space="preserve"> with that presented by Okafor et al., (2018) who emphasized that low mineral content is critical for maximizing effective surface area in high-quality adsorbents. This result confirms the effectiveness of the purification steps carried out during the prep</w:t>
      </w:r>
      <w:r>
        <w:rPr>
          <w:rFonts w:ascii="Times New Roman" w:eastAsia="Calibri" w:hAnsi="Times New Roman" w:cs="Times New Roman"/>
          <w:color w:val="000000" w:themeColor="text1"/>
          <w:lang w:val="en-US"/>
        </w:rPr>
        <w:t>aration, ensuring the final material is predominantly active carbon.</w:t>
      </w:r>
    </w:p>
    <w:p w14:paraId="74834655"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Pore Volume is the most critical physical parameter, as it directly governs the adsorbent's capacity (Table 1). The substantial pore volume achieved signifies a highly developed inter</w:t>
      </w:r>
      <w:r>
        <w:rPr>
          <w:rFonts w:ascii="Times New Roman" w:eastAsia="Calibri" w:hAnsi="Times New Roman" w:cs="Times New Roman"/>
          <w:color w:val="000000" w:themeColor="text1"/>
          <w:lang w:val="en-US"/>
        </w:rPr>
        <w:t>nal pore structure a vast network of interconnected micro-, meso-, and macropores. This internal surface area is where the physical adsorption (physisorption) of contaminant molecules occurs. In the context of transformer oil, a high pore volume is essenti</w:t>
      </w:r>
      <w:r>
        <w:rPr>
          <w:rFonts w:ascii="Times New Roman" w:eastAsia="Calibri" w:hAnsi="Times New Roman" w:cs="Times New Roman"/>
          <w:color w:val="000000" w:themeColor="text1"/>
          <w:lang w:val="en-US"/>
        </w:rPr>
        <w:t xml:space="preserve">al for capturing both small polar molecules (moisture) and large organic molecules (sludge and complex acids). According to </w:t>
      </w:r>
      <w:proofErr w:type="spellStart"/>
      <w:r>
        <w:rPr>
          <w:rFonts w:ascii="Times New Roman" w:eastAsia="Calibri" w:hAnsi="Times New Roman" w:cs="Times New Roman"/>
          <w:color w:val="000000" w:themeColor="text1"/>
          <w:lang w:val="en-US"/>
        </w:rPr>
        <w:t>Eze</w:t>
      </w:r>
      <w:proofErr w:type="spellEnd"/>
      <w:r>
        <w:rPr>
          <w:rFonts w:ascii="Times New Roman" w:eastAsia="Calibri" w:hAnsi="Times New Roman" w:cs="Times New Roman"/>
          <w:color w:val="000000" w:themeColor="text1"/>
          <w:lang w:val="en-US"/>
        </w:rPr>
        <w:t xml:space="preserve"> and </w:t>
      </w:r>
      <w:proofErr w:type="spellStart"/>
      <w:r>
        <w:rPr>
          <w:rFonts w:ascii="Times New Roman" w:eastAsia="Calibri" w:hAnsi="Times New Roman" w:cs="Times New Roman"/>
          <w:color w:val="000000" w:themeColor="text1"/>
          <w:lang w:val="en-US"/>
        </w:rPr>
        <w:t>Oghene</w:t>
      </w:r>
      <w:proofErr w:type="spellEnd"/>
      <w:r>
        <w:rPr>
          <w:rFonts w:ascii="Times New Roman" w:eastAsia="Calibri" w:hAnsi="Times New Roman" w:cs="Times New Roman"/>
          <w:color w:val="000000" w:themeColor="text1"/>
          <w:lang w:val="en-US"/>
        </w:rPr>
        <w:t xml:space="preserve"> (2022), high pore volume is a prerequisite for achieving high adsorption capacity, especially for complex, multi-comp</w:t>
      </w:r>
      <w:r>
        <w:rPr>
          <w:rFonts w:ascii="Times New Roman" w:eastAsia="Calibri" w:hAnsi="Times New Roman" w:cs="Times New Roman"/>
          <w:color w:val="000000" w:themeColor="text1"/>
          <w:lang w:val="en-US"/>
        </w:rPr>
        <w:t>onent systems like degraded transformer oil. The measured pore volume therefore confirms that the activation process in this study was highly successful in etching out a large internal surface, providing the massive area required for effective oil purifica</w:t>
      </w:r>
      <w:r>
        <w:rPr>
          <w:rFonts w:ascii="Times New Roman" w:eastAsia="Calibri" w:hAnsi="Times New Roman" w:cs="Times New Roman"/>
          <w:color w:val="000000" w:themeColor="text1"/>
          <w:lang w:val="en-US"/>
        </w:rPr>
        <w:t>tion.</w:t>
      </w:r>
    </w:p>
    <w:p w14:paraId="6B2E24C9" w14:textId="77777777" w:rsidR="0078026E" w:rsidRDefault="003452F6">
      <w:pPr>
        <w:spacing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Calibri" w:hAnsi="Times New Roman" w:cs="Times New Roman"/>
          <w:color w:val="000000" w:themeColor="text1"/>
          <w:lang w:val="en-US"/>
        </w:rPr>
        <w:t xml:space="preserve">The low moisture and ash contents indicate effective drying and minimal inorganic residue, which are critical parameters for adsorbent efficiency. The moderate pore volume demonstrated that the activation process developed sufficient internal voids </w:t>
      </w:r>
      <w:r>
        <w:rPr>
          <w:rFonts w:ascii="Times New Roman" w:eastAsia="Calibri" w:hAnsi="Times New Roman" w:cs="Times New Roman"/>
          <w:color w:val="000000" w:themeColor="text1"/>
          <w:lang w:val="en-US"/>
        </w:rPr>
        <w:t xml:space="preserve">for contaminant adsorption. These findings show that the prepared coconut shell activated carbon possessed desirable characteristics vis-a-vis high surface activity, good porosity, and chemical stability making it a suitable and eco-friendly adsorbent for </w:t>
      </w:r>
      <w:r>
        <w:rPr>
          <w:rFonts w:ascii="Times New Roman" w:eastAsia="Calibri" w:hAnsi="Times New Roman" w:cs="Times New Roman"/>
          <w:color w:val="000000" w:themeColor="text1"/>
          <w:lang w:val="en-US"/>
        </w:rPr>
        <w:t>transformer oil regeneration.</w:t>
      </w:r>
    </w:p>
    <w:p w14:paraId="6446213D" w14:textId="77777777" w:rsidR="0078026E" w:rsidRDefault="003452F6">
      <w:pPr>
        <w:spacing w:line="240" w:lineRule="auto"/>
        <w:jc w:val="both"/>
        <w:rPr>
          <w:rFonts w:ascii="Times New Roman" w:eastAsia="Times New Roman" w:hAnsi="Times New Roman" w:cs="Times New Roman"/>
          <w:color w:val="000000" w:themeColor="text1"/>
          <w:kern w:val="0"/>
          <w:lang w:val="en-US"/>
          <w14:ligatures w14:val="none"/>
        </w:rPr>
      </w:pPr>
      <w:r>
        <w:rPr>
          <w:rFonts w:ascii="Times New Roman" w:hAnsi="Times New Roman" w:cs="Times New Roman"/>
          <w:color w:val="000000" w:themeColor="text1"/>
          <w:lang w:val="en-US"/>
        </w:rPr>
        <w:t>3.1.2 Investigating the surface morphology of coconut shell activated carbon</w:t>
      </w:r>
    </w:p>
    <w:p w14:paraId="7176027D" w14:textId="77777777" w:rsidR="0078026E" w:rsidRDefault="003452F6">
      <w:pPr>
        <w:spacing w:after="120"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Calibri" w:hAnsi="Times New Roman" w:cs="Times New Roman"/>
          <w:color w:val="000000" w:themeColor="text1"/>
          <w:lang w:val="en-US"/>
        </w:rPr>
        <w:t xml:space="preserve">This provides a high-magnification visual assessment of the activated carbon's surface morphology and texture. The investigation was conducted using </w:t>
      </w:r>
      <w:r>
        <w:rPr>
          <w:rFonts w:ascii="Times New Roman" w:eastAsia="Calibri" w:hAnsi="Times New Roman" w:cs="Times New Roman"/>
          <w:color w:val="000000" w:themeColor="text1"/>
          <w:lang w:val="en-US"/>
        </w:rPr>
        <w:t xml:space="preserve">Scanning Electron Microscopy (SEM), and the result obtained is presented in Figure 2. The figure typically </w:t>
      </w:r>
      <w:proofErr w:type="gramStart"/>
      <w:r>
        <w:rPr>
          <w:rFonts w:ascii="Times New Roman" w:eastAsia="Calibri" w:hAnsi="Times New Roman" w:cs="Times New Roman"/>
          <w:color w:val="000000" w:themeColor="text1"/>
          <w:lang w:val="en-US"/>
        </w:rPr>
        <w:t>reveal</w:t>
      </w:r>
      <w:proofErr w:type="gramEnd"/>
      <w:r>
        <w:rPr>
          <w:rFonts w:ascii="Times New Roman" w:eastAsia="Calibri" w:hAnsi="Times New Roman" w:cs="Times New Roman"/>
          <w:color w:val="000000" w:themeColor="text1"/>
          <w:lang w:val="en-US"/>
        </w:rPr>
        <w:t xml:space="preserve"> a highly heterogeneous and fractured surface structure. The key features observed are the irregular pores and voids created during the carboni</w:t>
      </w:r>
      <w:r>
        <w:rPr>
          <w:rFonts w:ascii="Times New Roman" w:eastAsia="Calibri" w:hAnsi="Times New Roman" w:cs="Times New Roman"/>
          <w:color w:val="000000" w:themeColor="text1"/>
          <w:lang w:val="en-US"/>
        </w:rPr>
        <w:t>zation and activation processes. This visible porosity supports the high pore volume measurements and confirms the destruction of the precursor's initial structure. Furthermore, the rough surface texture increases the external surface area available for ad</w:t>
      </w:r>
      <w:r>
        <w:rPr>
          <w:rFonts w:ascii="Times New Roman" w:eastAsia="Calibri" w:hAnsi="Times New Roman" w:cs="Times New Roman"/>
          <w:color w:val="000000" w:themeColor="text1"/>
          <w:lang w:val="en-US"/>
        </w:rPr>
        <w:t>sorption and ensures that the contaminant molecules have multiple pathways to enter the internal pore system. Consistent with the findings of Okafor et al. (2018), a high degree of surface irregularity is vital for efficient mass transfer in solid-liquid a</w:t>
      </w:r>
      <w:r>
        <w:rPr>
          <w:rFonts w:ascii="Times New Roman" w:eastAsia="Calibri" w:hAnsi="Times New Roman" w:cs="Times New Roman"/>
          <w:color w:val="000000" w:themeColor="text1"/>
          <w:lang w:val="en-US"/>
        </w:rPr>
        <w:t xml:space="preserve">dsorption applications. The SEM analysis, therefore, confirms the successful physical activation and transformation of the coconut shell into </w:t>
      </w:r>
      <w:r>
        <w:rPr>
          <w:rFonts w:ascii="Times New Roman" w:eastAsia="Calibri" w:hAnsi="Times New Roman" w:cs="Times New Roman"/>
          <w:color w:val="000000" w:themeColor="text1"/>
          <w:lang w:val="en-US"/>
        </w:rPr>
        <w:lastRenderedPageBreak/>
        <w:t>a material with the necessary structural characteristics to serve as an efficient, high-surface-area adsorbent for</w:t>
      </w:r>
      <w:r>
        <w:rPr>
          <w:rFonts w:ascii="Times New Roman" w:eastAsia="Calibri" w:hAnsi="Times New Roman" w:cs="Times New Roman"/>
          <w:color w:val="000000" w:themeColor="text1"/>
          <w:lang w:val="en-US"/>
        </w:rPr>
        <w:t xml:space="preserve"> transformer oil regeneration.</w:t>
      </w:r>
    </w:p>
    <w:p w14:paraId="574A73BD" w14:textId="77777777" w:rsidR="0078026E" w:rsidRDefault="003452F6">
      <w:pPr>
        <w:spacing w:before="100" w:beforeAutospacing="1" w:after="100" w:afterAutospacing="1" w:line="240" w:lineRule="auto"/>
        <w:jc w:val="center"/>
        <w:rPr>
          <w:rFonts w:ascii="Times New Roman" w:eastAsia="Times New Roman" w:hAnsi="Times New Roman" w:cs="Times New Roman"/>
          <w:color w:val="000000" w:themeColor="text1"/>
          <w:kern w:val="0"/>
          <w:lang w:val="en-US"/>
          <w14:ligatures w14:val="none"/>
        </w:rPr>
      </w:pPr>
      <w:bookmarkStart w:id="31" w:name="_Toc214344619"/>
      <w:bookmarkStart w:id="32" w:name="_Toc214345458"/>
      <w:r>
        <w:rPr>
          <w:rFonts w:ascii="Times New Roman" w:eastAsia="Calibri" w:hAnsi="Times New Roman" w:cs="Times New Roman"/>
          <w:noProof/>
          <w:color w:val="000000" w:themeColor="text1"/>
          <w:lang w:val="en-US"/>
        </w:rPr>
        <w:drawing>
          <wp:inline distT="0" distB="0" distL="0" distR="0" wp14:anchorId="5FC75B43" wp14:editId="7E0504C9">
            <wp:extent cx="5326380" cy="2792730"/>
            <wp:effectExtent l="0" t="0" r="7620" b="11430"/>
            <wp:docPr id="125116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62877" name="Picture 1"/>
                    <pic:cNvPicPr>
                      <a:picLocks noChangeAspect="1"/>
                    </pic:cNvPicPr>
                  </pic:nvPicPr>
                  <pic:blipFill>
                    <a:blip r:embed="rId12"/>
                    <a:srcRect l="24181" t="13298" r="29266" b="8230"/>
                    <a:stretch>
                      <a:fillRect/>
                    </a:stretch>
                  </pic:blipFill>
                  <pic:spPr>
                    <a:xfrm>
                      <a:off x="0" y="0"/>
                      <a:ext cx="5326380" cy="2792730"/>
                    </a:xfrm>
                    <a:prstGeom prst="rect">
                      <a:avLst/>
                    </a:prstGeom>
                    <a:ln>
                      <a:noFill/>
                    </a:ln>
                  </pic:spPr>
                </pic:pic>
              </a:graphicData>
            </a:graphic>
          </wp:inline>
        </w:drawing>
      </w:r>
    </w:p>
    <w:p w14:paraId="5E46FD17"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Figure 2. S</w:t>
      </w:r>
      <w:r>
        <w:rPr>
          <w:rFonts w:ascii="Times New Roman" w:hAnsi="Times New Roman" w:cs="Times New Roman"/>
          <w:color w:val="000000" w:themeColor="text1"/>
          <w:lang w:val="en-US"/>
        </w:rPr>
        <w:t>urface morphology of coconut shell activated carbon obtained from s</w:t>
      </w:r>
      <w:r>
        <w:rPr>
          <w:rFonts w:ascii="Times New Roman" w:eastAsia="Times New Roman" w:hAnsi="Times New Roman" w:cs="Times New Roman"/>
          <w:color w:val="000000" w:themeColor="text1"/>
          <w:kern w:val="0"/>
          <w:lang w:val="en-US"/>
          <w14:ligatures w14:val="none"/>
        </w:rPr>
        <w:t>canning electron microscopy</w:t>
      </w:r>
      <w:bookmarkEnd w:id="31"/>
      <w:bookmarkEnd w:id="32"/>
      <w:r>
        <w:rPr>
          <w:rFonts w:ascii="Times New Roman" w:eastAsia="Times New Roman" w:hAnsi="Times New Roman" w:cs="Times New Roman"/>
          <w:color w:val="000000" w:themeColor="text1"/>
          <w:kern w:val="0"/>
          <w:lang w:val="en-US"/>
          <w14:ligatures w14:val="none"/>
        </w:rPr>
        <w:t xml:space="preserve">         </w:t>
      </w:r>
    </w:p>
    <w:p w14:paraId="6468369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3.1.3 Determining the functional groups present in coconut shell activated carbon</w:t>
      </w:r>
    </w:p>
    <w:p w14:paraId="0D042E6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Fourier Transform Infr</w:t>
      </w:r>
      <w:r>
        <w:rPr>
          <w:rFonts w:ascii="Times New Roman" w:eastAsia="Calibri" w:hAnsi="Times New Roman" w:cs="Times New Roman"/>
          <w:color w:val="000000" w:themeColor="text1"/>
          <w:lang w:val="en-US"/>
        </w:rPr>
        <w:t xml:space="preserve">ared (FTIR) spectroscopy (Figure 3) provides vital information on the surface chemistry of the activated carbon, specifically identifying the functional groups available on the pore surfaces. These functional groups are the chemical attachment points that </w:t>
      </w:r>
      <w:r>
        <w:rPr>
          <w:rFonts w:ascii="Times New Roman" w:eastAsia="Calibri" w:hAnsi="Times New Roman" w:cs="Times New Roman"/>
          <w:color w:val="000000" w:themeColor="text1"/>
          <w:lang w:val="en-US"/>
        </w:rPr>
        <w:t>govern the selective removal of contaminants via chemisorption. The most important features observed include a broad, strong absorption band typically seen around 3200-3500 cm</w:t>
      </w:r>
      <w:r>
        <w:rPr>
          <w:rFonts w:ascii="Times New Roman" w:eastAsia="Calibri" w:hAnsi="Times New Roman" w:cs="Times New Roman"/>
          <w:color w:val="000000" w:themeColor="text1"/>
          <w:vertAlign w:val="superscript"/>
          <w:lang w:val="en-US"/>
        </w:rPr>
        <w:t>-1</w:t>
      </w:r>
      <w:r>
        <w:rPr>
          <w:rFonts w:ascii="Times New Roman" w:eastAsia="Calibri" w:hAnsi="Times New Roman" w:cs="Times New Roman"/>
          <w:color w:val="000000" w:themeColor="text1"/>
          <w:lang w:val="en-US"/>
        </w:rPr>
        <w:t>, which is characteristic of O-H stretching vibrations (indicating hydroxyl fun</w:t>
      </w:r>
      <w:r>
        <w:rPr>
          <w:rFonts w:ascii="Times New Roman" w:eastAsia="Calibri" w:hAnsi="Times New Roman" w:cs="Times New Roman"/>
          <w:color w:val="000000" w:themeColor="text1"/>
          <w:lang w:val="en-US"/>
        </w:rPr>
        <w:t>ctional groups). Furthermore, a peak appearing in the range of 1600-1750 cm</w:t>
      </w:r>
      <w:r>
        <w:rPr>
          <w:rFonts w:ascii="Times New Roman" w:eastAsia="Calibri" w:hAnsi="Times New Roman" w:cs="Times New Roman"/>
          <w:color w:val="000000" w:themeColor="text1"/>
          <w:vertAlign w:val="superscript"/>
          <w:lang w:val="en-US"/>
        </w:rPr>
        <w:t>-1</w:t>
      </w:r>
      <w:r>
        <w:rPr>
          <w:rFonts w:ascii="Times New Roman" w:eastAsia="Calibri" w:hAnsi="Times New Roman" w:cs="Times New Roman"/>
          <w:color w:val="000000" w:themeColor="text1"/>
          <w:lang w:val="en-US"/>
        </w:rPr>
        <w:t xml:space="preserve"> is often attributed to the C=O carbonyl or quinone stretching vibration. The presence of these oxygen-containing surface groups is paramount, as they are polar. The polar groups </w:t>
      </w:r>
      <w:r>
        <w:rPr>
          <w:rFonts w:ascii="Times New Roman" w:eastAsia="Calibri" w:hAnsi="Times New Roman" w:cs="Times New Roman"/>
          <w:color w:val="000000" w:themeColor="text1"/>
          <w:lang w:val="en-US"/>
        </w:rPr>
        <w:t>on the AC surface O-H, C=O exhibit a strong chemical affinity for the polar contaminants in the oil (i.e., acidic oxidation products and moisture). This electrostatic attraction allows the AC to selectively chemisorb these detrimental contaminants, thereby</w:t>
      </w:r>
      <w:r>
        <w:rPr>
          <w:rFonts w:ascii="Times New Roman" w:eastAsia="Calibri" w:hAnsi="Times New Roman" w:cs="Times New Roman"/>
          <w:color w:val="000000" w:themeColor="text1"/>
          <w:lang w:val="en-US"/>
        </w:rPr>
        <w:t xml:space="preserve"> purifying the dielectric fluid. This finding directly aligns with the work of </w:t>
      </w:r>
      <w:proofErr w:type="spellStart"/>
      <w:r>
        <w:rPr>
          <w:rFonts w:ascii="Times New Roman" w:eastAsia="Calibri" w:hAnsi="Times New Roman" w:cs="Times New Roman"/>
          <w:color w:val="000000" w:themeColor="text1"/>
          <w:lang w:val="en-US"/>
        </w:rPr>
        <w:t>Eze</w:t>
      </w:r>
      <w:proofErr w:type="spellEnd"/>
      <w:r>
        <w:rPr>
          <w:rFonts w:ascii="Times New Roman" w:eastAsia="Calibri" w:hAnsi="Times New Roman" w:cs="Times New Roman"/>
          <w:color w:val="000000" w:themeColor="text1"/>
          <w:lang w:val="en-US"/>
        </w:rPr>
        <w:t xml:space="preserve"> and </w:t>
      </w:r>
      <w:proofErr w:type="spellStart"/>
      <w:r>
        <w:rPr>
          <w:rFonts w:ascii="Times New Roman" w:eastAsia="Calibri" w:hAnsi="Times New Roman" w:cs="Times New Roman"/>
          <w:color w:val="000000" w:themeColor="text1"/>
          <w:lang w:val="en-US"/>
        </w:rPr>
        <w:t>Oghene</w:t>
      </w:r>
      <w:proofErr w:type="spellEnd"/>
      <w:r>
        <w:rPr>
          <w:rFonts w:ascii="Times New Roman" w:eastAsia="Calibri" w:hAnsi="Times New Roman" w:cs="Times New Roman"/>
          <w:color w:val="000000" w:themeColor="text1"/>
          <w:lang w:val="en-US"/>
        </w:rPr>
        <w:t xml:space="preserve"> (2022), who demonstrated that the presence of these oxygenated groups significantly enhances the adsorption of polar species via mechanisms such as hydrogen bondi</w:t>
      </w:r>
      <w:r>
        <w:rPr>
          <w:rFonts w:ascii="Times New Roman" w:eastAsia="Calibri" w:hAnsi="Times New Roman" w:cs="Times New Roman"/>
          <w:color w:val="000000" w:themeColor="text1"/>
          <w:lang w:val="en-US"/>
        </w:rPr>
        <w:t>ng and complexation, providing the chemical basis for the AC's high selectivity and the effectiveness demonstrated in the regeneration experiments.</w:t>
      </w:r>
    </w:p>
    <w:p w14:paraId="7474170D" w14:textId="77777777" w:rsidR="0078026E" w:rsidRDefault="003452F6">
      <w:pPr>
        <w:spacing w:after="200" w:line="240" w:lineRule="auto"/>
        <w:jc w:val="both"/>
        <w:rPr>
          <w:rFonts w:ascii="Times New Roman" w:eastAsia="Calibri" w:hAnsi="Times New Roman" w:cs="Times New Roman"/>
          <w:color w:val="000000" w:themeColor="text1"/>
          <w:lang w:val="en-US"/>
        </w:rPr>
      </w:pPr>
      <w:r>
        <w:rPr>
          <w:rFonts w:ascii="Times New Roman" w:eastAsia="Times New Roman" w:hAnsi="Times New Roman" w:cs="Times New Roman"/>
          <w:color w:val="000000" w:themeColor="text1"/>
          <w:kern w:val="0"/>
          <w:lang w:val="en-US"/>
          <w14:ligatures w14:val="none"/>
        </w:rPr>
        <w:lastRenderedPageBreak/>
        <w:t xml:space="preserve">            </w:t>
      </w:r>
      <w:bookmarkStart w:id="33" w:name="_Toc214345459"/>
      <w:r>
        <w:rPr>
          <w:noProof/>
          <w:color w:val="000000" w:themeColor="text1"/>
        </w:rPr>
        <w:drawing>
          <wp:inline distT="0" distB="0" distL="114300" distR="114300" wp14:anchorId="21957EFE" wp14:editId="7F35A65E">
            <wp:extent cx="5937250" cy="2987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937250" cy="2987040"/>
                    </a:xfrm>
                    <a:prstGeom prst="rect">
                      <a:avLst/>
                    </a:prstGeom>
                    <a:noFill/>
                    <a:ln>
                      <a:noFill/>
                    </a:ln>
                  </pic:spPr>
                </pic:pic>
              </a:graphicData>
            </a:graphic>
          </wp:inline>
        </w:drawing>
      </w:r>
    </w:p>
    <w:p w14:paraId="24A5496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 xml:space="preserve">Figure 3. </w:t>
      </w:r>
      <w:bookmarkEnd w:id="33"/>
      <w:r>
        <w:rPr>
          <w:rFonts w:ascii="Times New Roman" w:hAnsi="Times New Roman" w:cs="Times New Roman"/>
          <w:color w:val="000000" w:themeColor="text1"/>
          <w:lang w:val="en-US"/>
        </w:rPr>
        <w:t xml:space="preserve"> Functional groups present in coconut shell activated carbon obtained using FTIR</w:t>
      </w:r>
      <w:bookmarkStart w:id="34" w:name="_Toc214345024"/>
    </w:p>
    <w:p w14:paraId="73FED69A" w14:textId="77777777" w:rsidR="0078026E" w:rsidRDefault="0078026E">
      <w:pPr>
        <w:spacing w:line="240" w:lineRule="auto"/>
        <w:jc w:val="both"/>
        <w:rPr>
          <w:rFonts w:ascii="Times New Roman" w:hAnsi="Times New Roman" w:cs="Times New Roman"/>
          <w:color w:val="000000" w:themeColor="text1"/>
          <w:lang w:val="en-US"/>
        </w:rPr>
      </w:pPr>
    </w:p>
    <w:p w14:paraId="127BC364"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3.2 Analysis of the spent transformer oil </w:t>
      </w:r>
    </w:p>
    <w:p w14:paraId="3103871B"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This was done to determine the quality of the spent transformer oil. The parameters assessed included moisture content, total acid number (TAN), dielectric breakdown voltage and viscosity. The results obtained are</w:t>
      </w:r>
      <w:r>
        <w:rPr>
          <w:rFonts w:ascii="Times New Roman" w:eastAsia="Calibri" w:hAnsi="Times New Roman" w:cs="Times New Roman"/>
          <w:color w:val="000000" w:themeColor="text1"/>
          <w:lang w:val="en-US"/>
        </w:rPr>
        <w:t xml:space="preserve"> presented in Table 2. The results show that the moisture content, total acid number, dielectric breakdown voltage, and viscosity were 15,000 ppm, 4.21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w:t>
      </w:r>
      <w:proofErr w:type="gramStart"/>
      <w:r>
        <w:rPr>
          <w:rFonts w:ascii="Times New Roman" w:eastAsia="Calibri" w:hAnsi="Times New Roman" w:cs="Times New Roman"/>
          <w:color w:val="000000" w:themeColor="text1"/>
          <w:lang w:val="en-US"/>
        </w:rPr>
        <w:t>g,  7.8</w:t>
      </w:r>
      <w:proofErr w:type="gramEnd"/>
      <w:r>
        <w:rPr>
          <w:rFonts w:ascii="Times New Roman" w:eastAsia="Calibri" w:hAnsi="Times New Roman" w:cs="Times New Roman"/>
          <w:color w:val="000000" w:themeColor="text1"/>
          <w:lang w:val="en-US"/>
        </w:rPr>
        <w:t xml:space="preserve"> kV, and 9.19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Comparing these with standard of moisture content (&lt;35 ppm), total acid n</w:t>
      </w:r>
      <w:r>
        <w:rPr>
          <w:rFonts w:ascii="Times New Roman" w:eastAsia="Calibri" w:hAnsi="Times New Roman" w:cs="Times New Roman"/>
          <w:color w:val="000000" w:themeColor="text1"/>
          <w:lang w:val="en-US"/>
        </w:rPr>
        <w:t xml:space="preserve">umber (&lt; 0.003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/g), dielectric breakdown voltage (</w:t>
      </w:r>
      <w:r>
        <w:rPr>
          <w:rFonts w:ascii="Times New Roman" w:hAnsi="Times New Roman" w:cs="Times New Roman"/>
          <w:color w:val="000000" w:themeColor="text1"/>
          <w:lang w:val="en-US"/>
        </w:rPr>
        <w:t xml:space="preserve">8.0 ± 0.5 kV), and </w:t>
      </w:r>
      <w:proofErr w:type="spellStart"/>
      <w:r>
        <w:rPr>
          <w:rFonts w:ascii="Times New Roman" w:hAnsi="Times New Roman" w:cs="Times New Roman"/>
          <w:color w:val="000000" w:themeColor="text1"/>
          <w:lang w:val="en-US"/>
        </w:rPr>
        <w:t>visocity</w:t>
      </w:r>
      <w:proofErr w:type="spellEnd"/>
      <w:r>
        <w:rPr>
          <w:rFonts w:ascii="Times New Roman" w:hAnsi="Times New Roman" w:cs="Times New Roman"/>
          <w:color w:val="000000" w:themeColor="text1"/>
          <w:lang w:val="en-US"/>
        </w:rPr>
        <w:t xml:space="preserve"> (&gt; 30 </w:t>
      </w:r>
      <w:proofErr w:type="spellStart"/>
      <w:r>
        <w:rPr>
          <w:rFonts w:ascii="Times New Roman" w:hAnsi="Times New Roman" w:cs="Times New Roman"/>
          <w:color w:val="000000" w:themeColor="text1"/>
          <w:lang w:val="en-US"/>
        </w:rPr>
        <w:t>cP</w:t>
      </w:r>
      <w:proofErr w:type="spellEnd"/>
      <w:r>
        <w:rPr>
          <w:rFonts w:ascii="Times New Roman" w:hAnsi="Times New Roman" w:cs="Times New Roman"/>
          <w:color w:val="000000" w:themeColor="text1"/>
          <w:lang w:val="en-US"/>
        </w:rPr>
        <w:t xml:space="preserve">) show that the spent transformer oil was degraded as the values of the parameters assessed were out of the range specified in the IEC (2014), IEC (2003), ASTM D445 </w:t>
      </w:r>
      <w:r>
        <w:rPr>
          <w:rFonts w:ascii="Times New Roman" w:hAnsi="Times New Roman" w:cs="Times New Roman"/>
          <w:color w:val="000000" w:themeColor="text1"/>
          <w:lang w:val="en-US"/>
        </w:rPr>
        <w:t xml:space="preserve">and IEC (2018). The oil </w:t>
      </w:r>
      <w:r>
        <w:rPr>
          <w:rFonts w:ascii="Times New Roman" w:eastAsia="Calibri" w:hAnsi="Times New Roman" w:cs="Times New Roman"/>
          <w:color w:val="000000" w:themeColor="text1"/>
          <w:lang w:val="en-US"/>
        </w:rPr>
        <w:t>showed severely compromised, with an extremely low dielectric breakdown voltage (BDV) and an excessively high total acid number (TAN), alongside high moisture content. The low BDV indicates a severe loss of electrical insulation str</w:t>
      </w:r>
      <w:r>
        <w:rPr>
          <w:rFonts w:ascii="Times New Roman" w:eastAsia="Calibri" w:hAnsi="Times New Roman" w:cs="Times New Roman"/>
          <w:color w:val="000000" w:themeColor="text1"/>
          <w:lang w:val="en-US"/>
        </w:rPr>
        <w:t>ength, and aging which introduced contaminants like moisture and polar degradation products that act as conductive weak spots, drastically reducing the oil’s insulating strength. The high TAN confirms significant oxidation leading to the formation of corro</w:t>
      </w:r>
      <w:r>
        <w:rPr>
          <w:rFonts w:ascii="Times New Roman" w:eastAsia="Calibri" w:hAnsi="Times New Roman" w:cs="Times New Roman"/>
          <w:color w:val="000000" w:themeColor="text1"/>
          <w:lang w:val="en-US"/>
        </w:rPr>
        <w:t>sive carboxylic acids. These acidic components threaten the structural integrity of the transformer by promoting internal corrosion and accelerating further oil breakdown, thus establishing the severe and urgent need for an effective adsorbent-based regene</w:t>
      </w:r>
      <w:r>
        <w:rPr>
          <w:rFonts w:ascii="Times New Roman" w:eastAsia="Calibri" w:hAnsi="Times New Roman" w:cs="Times New Roman"/>
          <w:color w:val="000000" w:themeColor="text1"/>
          <w:lang w:val="en-US"/>
        </w:rPr>
        <w:t>ration process.</w:t>
      </w:r>
    </w:p>
    <w:p w14:paraId="6F62DDFD"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3EEB222E"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5D8B0E82"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3AB87C3A"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Table 2. Physicochemical properties of spent transformer oil</w:t>
      </w:r>
      <w:bookmarkEnd w:id="34"/>
    </w:p>
    <w:tbl>
      <w:tblPr>
        <w:tblW w:w="10856" w:type="dxa"/>
        <w:jc w:val="center"/>
        <w:tblBorders>
          <w:top w:val="single" w:sz="4" w:space="0" w:color="auto"/>
          <w:bottom w:val="single" w:sz="4" w:space="0" w:color="auto"/>
        </w:tblBorders>
        <w:tblLayout w:type="fixed"/>
        <w:tblLook w:val="04A0" w:firstRow="1" w:lastRow="0" w:firstColumn="1" w:lastColumn="0" w:noHBand="0" w:noVBand="1"/>
      </w:tblPr>
      <w:tblGrid>
        <w:gridCol w:w="2346"/>
        <w:gridCol w:w="2400"/>
        <w:gridCol w:w="1233"/>
        <w:gridCol w:w="1789"/>
        <w:gridCol w:w="1918"/>
        <w:gridCol w:w="1170"/>
      </w:tblGrid>
      <w:tr w:rsidR="0078026E" w14:paraId="727E9A2A" w14:textId="77777777">
        <w:trPr>
          <w:trHeight w:val="182"/>
          <w:jc w:val="center"/>
        </w:trPr>
        <w:tc>
          <w:tcPr>
            <w:tcW w:w="2346" w:type="dxa"/>
            <w:tcBorders>
              <w:top w:val="single" w:sz="8" w:space="0" w:color="FFFFFF"/>
              <w:left w:val="single" w:sz="8" w:space="0" w:color="FFFFFF"/>
              <w:bottom w:val="single" w:sz="18" w:space="0" w:color="FFFFFF"/>
              <w:right w:val="single" w:sz="8" w:space="0" w:color="FFFFFF"/>
            </w:tcBorders>
            <w:shd w:val="clear" w:color="auto" w:fill="000000"/>
          </w:tcPr>
          <w:p w14:paraId="52827F3B"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lastRenderedPageBreak/>
              <w:t>Property</w:t>
            </w:r>
          </w:p>
        </w:tc>
        <w:tc>
          <w:tcPr>
            <w:tcW w:w="2400" w:type="dxa"/>
            <w:tcBorders>
              <w:top w:val="single" w:sz="8" w:space="0" w:color="FFFFFF"/>
              <w:left w:val="single" w:sz="8" w:space="0" w:color="FFFFFF"/>
              <w:bottom w:val="single" w:sz="18" w:space="0" w:color="FFFFFF"/>
              <w:right w:val="single" w:sz="8" w:space="0" w:color="FFFFFF"/>
            </w:tcBorders>
            <w:shd w:val="clear" w:color="auto" w:fill="000000"/>
          </w:tcPr>
          <w:p w14:paraId="7357E32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Test Method</w:t>
            </w:r>
          </w:p>
        </w:tc>
        <w:tc>
          <w:tcPr>
            <w:tcW w:w="1233" w:type="dxa"/>
            <w:tcBorders>
              <w:top w:val="single" w:sz="8" w:space="0" w:color="FFFFFF"/>
              <w:left w:val="single" w:sz="8" w:space="0" w:color="FFFFFF"/>
              <w:bottom w:val="single" w:sz="18" w:space="0" w:color="FFFFFF"/>
              <w:right w:val="single" w:sz="8" w:space="0" w:color="FFFFFF"/>
            </w:tcBorders>
            <w:shd w:val="clear" w:color="auto" w:fill="000000"/>
          </w:tcPr>
          <w:p w14:paraId="0DB3595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Unit</w:t>
            </w:r>
          </w:p>
        </w:tc>
        <w:tc>
          <w:tcPr>
            <w:tcW w:w="1789" w:type="dxa"/>
            <w:tcBorders>
              <w:top w:val="single" w:sz="8" w:space="0" w:color="FFFFFF"/>
              <w:left w:val="single" w:sz="8" w:space="0" w:color="FFFFFF"/>
              <w:bottom w:val="single" w:sz="18" w:space="0" w:color="FFFFFF"/>
              <w:right w:val="single" w:sz="8" w:space="0" w:color="FFFFFF"/>
            </w:tcBorders>
            <w:shd w:val="clear" w:color="auto" w:fill="000000"/>
          </w:tcPr>
          <w:p w14:paraId="34783627"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Measured Value</w:t>
            </w:r>
          </w:p>
        </w:tc>
        <w:tc>
          <w:tcPr>
            <w:tcW w:w="3088" w:type="dxa"/>
            <w:gridSpan w:val="2"/>
            <w:tcBorders>
              <w:top w:val="single" w:sz="8" w:space="0" w:color="FFFFFF"/>
              <w:left w:val="single" w:sz="8" w:space="0" w:color="FFFFFF"/>
              <w:bottom w:val="single" w:sz="18" w:space="0" w:color="FFFFFF"/>
              <w:right w:val="single" w:sz="8" w:space="0" w:color="FFFFFF"/>
            </w:tcBorders>
            <w:shd w:val="clear" w:color="auto" w:fill="000000"/>
          </w:tcPr>
          <w:p w14:paraId="02C24931" w14:textId="77777777" w:rsidR="0078026E" w:rsidRDefault="003452F6">
            <w:pPr>
              <w:spacing w:after="0" w:line="240" w:lineRule="auto"/>
              <w:ind w:firstLineChars="100" w:firstLine="240"/>
              <w:jc w:val="both"/>
              <w:rPr>
                <w:rFonts w:ascii="Times New Roman" w:hAnsi="Times New Roman" w:cs="Times New Roman"/>
                <w:color w:val="FFFFFF"/>
                <w:lang w:val="en-US"/>
              </w:rPr>
            </w:pPr>
            <w:r>
              <w:rPr>
                <w:rFonts w:ascii="Times New Roman" w:hAnsi="Times New Roman" w:cs="Times New Roman"/>
                <w:b/>
                <w:bCs/>
                <w:color w:val="FFFFFF"/>
              </w:rPr>
              <w:t>T</w:t>
            </w:r>
            <w:proofErr w:type="spellStart"/>
            <w:r>
              <w:rPr>
                <w:rFonts w:ascii="Times New Roman" w:hAnsi="Times New Roman" w:cs="Times New Roman"/>
                <w:b/>
                <w:bCs/>
                <w:color w:val="FFFFFF"/>
                <w:lang w:val="en-US"/>
              </w:rPr>
              <w:t>ypical</w:t>
            </w:r>
            <w:proofErr w:type="spellEnd"/>
            <w:r>
              <w:rPr>
                <w:rFonts w:ascii="Times New Roman" w:hAnsi="Times New Roman" w:cs="Times New Roman"/>
                <w:b/>
                <w:bCs/>
                <w:color w:val="FFFFFF"/>
                <w:lang w:val="en-US"/>
              </w:rPr>
              <w:t xml:space="preserve"> transformer oil</w:t>
            </w:r>
            <w:r>
              <w:rPr>
                <w:rFonts w:ascii="Times New Roman" w:hAnsi="Times New Roman" w:cs="Times New Roman"/>
                <w:b/>
                <w:bCs/>
                <w:color w:val="FFFFFF"/>
              </w:rPr>
              <w:t xml:space="preserve"> </w:t>
            </w:r>
            <w:r>
              <w:rPr>
                <w:rFonts w:ascii="Times New Roman" w:hAnsi="Times New Roman" w:cs="Times New Roman"/>
                <w:b/>
                <w:bCs/>
                <w:color w:val="FFFFFF"/>
                <w:lang w:val="en-US"/>
              </w:rPr>
              <w:t>(Reference)</w:t>
            </w:r>
          </w:p>
        </w:tc>
      </w:tr>
      <w:tr w:rsidR="0078026E" w14:paraId="25194C81" w14:textId="77777777">
        <w:trPr>
          <w:jc w:val="center"/>
        </w:trPr>
        <w:tc>
          <w:tcPr>
            <w:tcW w:w="2346" w:type="dxa"/>
            <w:tcBorders>
              <w:top w:val="single" w:sz="18" w:space="0" w:color="FFFFFF"/>
              <w:left w:val="single" w:sz="8" w:space="0" w:color="FFFFFF"/>
              <w:bottom w:val="single" w:sz="8" w:space="0" w:color="FFFFFF"/>
              <w:right w:val="single" w:sz="8" w:space="0" w:color="FFFFFF"/>
            </w:tcBorders>
            <w:shd w:val="clear" w:color="auto" w:fill="CBCBCB"/>
          </w:tcPr>
          <w:p w14:paraId="7DED346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Moisture content</w:t>
            </w:r>
          </w:p>
        </w:tc>
        <w:tc>
          <w:tcPr>
            <w:tcW w:w="2400" w:type="dxa"/>
            <w:tcBorders>
              <w:top w:val="single" w:sz="18" w:space="0" w:color="FFFFFF"/>
              <w:left w:val="single" w:sz="8" w:space="0" w:color="FFFFFF"/>
              <w:bottom w:val="single" w:sz="8" w:space="0" w:color="FFFFFF"/>
              <w:right w:val="single" w:sz="8" w:space="0" w:color="FFFFFF"/>
            </w:tcBorders>
            <w:shd w:val="clear" w:color="auto" w:fill="CBCBCB"/>
          </w:tcPr>
          <w:p w14:paraId="0FFFF04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Karl Fischer Titration</w:t>
            </w:r>
          </w:p>
        </w:tc>
        <w:tc>
          <w:tcPr>
            <w:tcW w:w="1233" w:type="dxa"/>
            <w:tcBorders>
              <w:top w:val="single" w:sz="18" w:space="0" w:color="FFFFFF"/>
              <w:left w:val="single" w:sz="8" w:space="0" w:color="FFFFFF"/>
              <w:bottom w:val="single" w:sz="8" w:space="0" w:color="FFFFFF"/>
              <w:right w:val="single" w:sz="8" w:space="0" w:color="FFFFFF"/>
            </w:tcBorders>
            <w:shd w:val="clear" w:color="auto" w:fill="CBCBCB"/>
          </w:tcPr>
          <w:p w14:paraId="68B137F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ppm</w:t>
            </w:r>
          </w:p>
        </w:tc>
        <w:tc>
          <w:tcPr>
            <w:tcW w:w="1789" w:type="dxa"/>
            <w:tcBorders>
              <w:top w:val="single" w:sz="18" w:space="0" w:color="FFFFFF"/>
              <w:left w:val="single" w:sz="8" w:space="0" w:color="FFFFFF"/>
              <w:bottom w:val="single" w:sz="8" w:space="0" w:color="FFFFFF"/>
              <w:right w:val="single" w:sz="8" w:space="0" w:color="FFFFFF"/>
            </w:tcBorders>
            <w:shd w:val="clear" w:color="auto" w:fill="CBCBCB"/>
          </w:tcPr>
          <w:p w14:paraId="71BDFC9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15,000</w:t>
            </w:r>
          </w:p>
        </w:tc>
        <w:tc>
          <w:tcPr>
            <w:tcW w:w="1918" w:type="dxa"/>
            <w:tcBorders>
              <w:top w:val="single" w:sz="18" w:space="0" w:color="FFFFFF"/>
              <w:left w:val="single" w:sz="8" w:space="0" w:color="FFFFFF"/>
              <w:bottom w:val="single" w:sz="8" w:space="0" w:color="FFFFFF"/>
              <w:right w:val="single" w:sz="8" w:space="0" w:color="FFFFFF"/>
            </w:tcBorders>
            <w:shd w:val="clear" w:color="auto" w:fill="CBCBCB"/>
          </w:tcPr>
          <w:p w14:paraId="208F12BB"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&lt; </w:t>
            </w:r>
            <w:r>
              <w:rPr>
                <w:rFonts w:ascii="Times New Roman" w:hAnsi="Times New Roman" w:cs="Times New Roman"/>
                <w:color w:val="000000" w:themeColor="text1"/>
              </w:rPr>
              <w:t>35</w:t>
            </w:r>
          </w:p>
        </w:tc>
        <w:tc>
          <w:tcPr>
            <w:tcW w:w="1170" w:type="dxa"/>
            <w:tcBorders>
              <w:top w:val="single" w:sz="18" w:space="0" w:color="FFFFFF"/>
              <w:left w:val="single" w:sz="8" w:space="0" w:color="FFFFFF"/>
              <w:bottom w:val="single" w:sz="8" w:space="0" w:color="FFFFFF"/>
              <w:right w:val="single" w:sz="8" w:space="0" w:color="FFFFFF"/>
            </w:tcBorders>
            <w:shd w:val="clear" w:color="auto" w:fill="CBCBCB"/>
          </w:tcPr>
          <w:p w14:paraId="2BCE517F"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(2014)</w:t>
            </w:r>
          </w:p>
        </w:tc>
      </w:tr>
      <w:tr w:rsidR="0078026E" w14:paraId="0E5D8374"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E7E7E7"/>
          </w:tcPr>
          <w:p w14:paraId="5698C2C2"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Total acid number (TAN)</w:t>
            </w:r>
          </w:p>
        </w:tc>
        <w:tc>
          <w:tcPr>
            <w:tcW w:w="2400" w:type="dxa"/>
            <w:tcBorders>
              <w:top w:val="single" w:sz="8" w:space="0" w:color="FFFFFF"/>
              <w:left w:val="single" w:sz="8" w:space="0" w:color="FFFFFF"/>
              <w:bottom w:val="single" w:sz="8" w:space="0" w:color="FFFFFF"/>
              <w:right w:val="single" w:sz="8" w:space="0" w:color="FFFFFF"/>
            </w:tcBorders>
            <w:shd w:val="clear" w:color="auto" w:fill="E7E7E7"/>
          </w:tcPr>
          <w:p w14:paraId="3D747AC6"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Acid–Base Titration</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Pr>
          <w:p w14:paraId="3896BFCB" w14:textId="77777777" w:rsidR="0078026E" w:rsidRDefault="003452F6">
            <w:pPr>
              <w:pStyle w:val="NoSpacing"/>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/g</w:t>
            </w:r>
          </w:p>
        </w:tc>
        <w:tc>
          <w:tcPr>
            <w:tcW w:w="1789" w:type="dxa"/>
            <w:tcBorders>
              <w:top w:val="single" w:sz="8" w:space="0" w:color="FFFFFF"/>
              <w:left w:val="single" w:sz="8" w:space="0" w:color="FFFFFF"/>
              <w:bottom w:val="single" w:sz="8" w:space="0" w:color="FFFFFF"/>
              <w:right w:val="single" w:sz="8" w:space="0" w:color="FFFFFF"/>
            </w:tcBorders>
            <w:shd w:val="clear" w:color="auto" w:fill="E7E7E7"/>
          </w:tcPr>
          <w:p w14:paraId="0A489BA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4.21</w:t>
            </w:r>
          </w:p>
        </w:tc>
        <w:tc>
          <w:tcPr>
            <w:tcW w:w="1918" w:type="dxa"/>
            <w:tcBorders>
              <w:top w:val="single" w:sz="8" w:space="0" w:color="FFFFFF"/>
              <w:left w:val="single" w:sz="8" w:space="0" w:color="FFFFFF"/>
              <w:bottom w:val="single" w:sz="8" w:space="0" w:color="FFFFFF"/>
              <w:right w:val="single" w:sz="8" w:space="0" w:color="FFFFFF"/>
            </w:tcBorders>
            <w:shd w:val="clear" w:color="auto" w:fill="E7E7E7"/>
          </w:tcPr>
          <w:p w14:paraId="1E870A8A"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&lt; </w:t>
            </w:r>
            <w:r>
              <w:rPr>
                <w:rFonts w:ascii="Times New Roman" w:hAnsi="Times New Roman" w:cs="Times New Roman"/>
                <w:color w:val="000000" w:themeColor="text1"/>
              </w:rPr>
              <w:t>0.003</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Pr>
          <w:p w14:paraId="3DAC1990"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(2003)</w:t>
            </w:r>
          </w:p>
        </w:tc>
      </w:tr>
      <w:tr w:rsidR="0078026E" w14:paraId="61D3AC4C"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CBCBCB"/>
          </w:tcPr>
          <w:p w14:paraId="3488C053" w14:textId="77777777" w:rsidR="0078026E" w:rsidRDefault="003452F6">
            <w:pPr>
              <w:pStyle w:val="NoSpacing"/>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Dielectric breakdown voltage</w:t>
            </w:r>
          </w:p>
        </w:tc>
        <w:tc>
          <w:tcPr>
            <w:tcW w:w="2400" w:type="dxa"/>
            <w:tcBorders>
              <w:top w:val="single" w:sz="8" w:space="0" w:color="FFFFFF"/>
              <w:left w:val="single" w:sz="8" w:space="0" w:color="FFFFFF"/>
              <w:bottom w:val="single" w:sz="8" w:space="0" w:color="FFFFFF"/>
              <w:right w:val="single" w:sz="8" w:space="0" w:color="FFFFFF"/>
            </w:tcBorders>
            <w:shd w:val="clear" w:color="auto" w:fill="CBCBCB"/>
          </w:tcPr>
          <w:p w14:paraId="7D46F90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IEC Method</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Pr>
          <w:p w14:paraId="26CD842D"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kV</w:t>
            </w:r>
          </w:p>
        </w:tc>
        <w:tc>
          <w:tcPr>
            <w:tcW w:w="1789" w:type="dxa"/>
            <w:tcBorders>
              <w:top w:val="single" w:sz="8" w:space="0" w:color="FFFFFF"/>
              <w:left w:val="single" w:sz="8" w:space="0" w:color="FFFFFF"/>
              <w:bottom w:val="single" w:sz="8" w:space="0" w:color="FFFFFF"/>
              <w:right w:val="single" w:sz="8" w:space="0" w:color="FFFFFF"/>
            </w:tcBorders>
            <w:shd w:val="clear" w:color="auto" w:fill="CBCBCB"/>
          </w:tcPr>
          <w:p w14:paraId="35547004"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7.8</w:t>
            </w:r>
          </w:p>
        </w:tc>
        <w:tc>
          <w:tcPr>
            <w:tcW w:w="1918" w:type="dxa"/>
            <w:tcBorders>
              <w:top w:val="single" w:sz="8" w:space="0" w:color="FFFFFF"/>
              <w:left w:val="single" w:sz="8" w:space="0" w:color="FFFFFF"/>
              <w:bottom w:val="single" w:sz="8" w:space="0" w:color="FFFFFF"/>
              <w:right w:val="single" w:sz="8" w:space="0" w:color="FFFFFF"/>
            </w:tcBorders>
            <w:shd w:val="clear" w:color="auto" w:fill="CBCBCB"/>
          </w:tcPr>
          <w:p w14:paraId="035A0FBD"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8.0 ± 0.5</w:t>
            </w:r>
          </w:p>
        </w:tc>
        <w:tc>
          <w:tcPr>
            <w:tcW w:w="1170" w:type="dxa"/>
            <w:tcBorders>
              <w:top w:val="single" w:sz="8" w:space="0" w:color="FFFFFF"/>
              <w:left w:val="single" w:sz="8" w:space="0" w:color="FFFFFF"/>
              <w:bottom w:val="single" w:sz="8" w:space="0" w:color="FFFFFF"/>
              <w:right w:val="single" w:sz="8" w:space="0" w:color="FFFFFF"/>
            </w:tcBorders>
            <w:shd w:val="clear" w:color="auto" w:fill="CBCBCB"/>
          </w:tcPr>
          <w:p w14:paraId="311A87AC"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ASTM D445</w:t>
            </w:r>
          </w:p>
        </w:tc>
      </w:tr>
      <w:tr w:rsidR="0078026E" w14:paraId="79C3F06A"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E7E7E7"/>
          </w:tcPr>
          <w:p w14:paraId="1085BF2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Viscosity</w:t>
            </w:r>
          </w:p>
        </w:tc>
        <w:tc>
          <w:tcPr>
            <w:tcW w:w="2400" w:type="dxa"/>
            <w:tcBorders>
              <w:top w:val="single" w:sz="8" w:space="0" w:color="FFFFFF"/>
              <w:left w:val="single" w:sz="8" w:space="0" w:color="FFFFFF"/>
              <w:bottom w:val="single" w:sz="8" w:space="0" w:color="FFFFFF"/>
              <w:right w:val="single" w:sz="8" w:space="0" w:color="FFFFFF"/>
            </w:tcBorders>
            <w:shd w:val="clear" w:color="auto" w:fill="E7E7E7"/>
          </w:tcPr>
          <w:p w14:paraId="7602B89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Ostwald Viscometer</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Pr>
          <w:p w14:paraId="61717EDB" w14:textId="77777777" w:rsidR="0078026E" w:rsidRDefault="003452F6">
            <w:pPr>
              <w:pStyle w:val="NoSpacing"/>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cP</w:t>
            </w:r>
            <w:proofErr w:type="spellEnd"/>
          </w:p>
        </w:tc>
        <w:tc>
          <w:tcPr>
            <w:tcW w:w="1789" w:type="dxa"/>
            <w:tcBorders>
              <w:top w:val="single" w:sz="8" w:space="0" w:color="FFFFFF"/>
              <w:left w:val="single" w:sz="8" w:space="0" w:color="FFFFFF"/>
              <w:bottom w:val="single" w:sz="8" w:space="0" w:color="FFFFFF"/>
              <w:right w:val="single" w:sz="8" w:space="0" w:color="FFFFFF"/>
            </w:tcBorders>
            <w:shd w:val="clear" w:color="auto" w:fill="E7E7E7"/>
          </w:tcPr>
          <w:p w14:paraId="5A1C825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9.19</w:t>
            </w:r>
          </w:p>
        </w:tc>
        <w:tc>
          <w:tcPr>
            <w:tcW w:w="1918" w:type="dxa"/>
            <w:tcBorders>
              <w:top w:val="single" w:sz="8" w:space="0" w:color="FFFFFF"/>
              <w:left w:val="single" w:sz="8" w:space="0" w:color="FFFFFF"/>
              <w:bottom w:val="single" w:sz="8" w:space="0" w:color="FFFFFF"/>
              <w:right w:val="single" w:sz="8" w:space="0" w:color="FFFFFF"/>
            </w:tcBorders>
            <w:shd w:val="clear" w:color="auto" w:fill="E7E7E7"/>
          </w:tcPr>
          <w:p w14:paraId="12C0CA81"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rPr>
              <w:t>&gt;</w:t>
            </w:r>
            <w:r>
              <w:rPr>
                <w:rFonts w:ascii="Times New Roman" w:hAnsi="Times New Roman" w:cs="Times New Roman"/>
                <w:color w:val="000000" w:themeColor="text1"/>
                <w:lang w:val="en-US"/>
              </w:rPr>
              <w:t xml:space="preserve"> </w:t>
            </w:r>
            <w:r>
              <w:rPr>
                <w:rFonts w:ascii="Times New Roman" w:hAnsi="Times New Roman" w:cs="Times New Roman"/>
                <w:color w:val="000000" w:themeColor="text1"/>
              </w:rPr>
              <w:t>30</w:t>
            </w:r>
            <w:r>
              <w:rPr>
                <w:rFonts w:ascii="Times New Roman" w:hAnsi="Times New Roman" w:cs="Times New Roman"/>
                <w:color w:val="000000" w:themeColor="text1"/>
                <w:lang w:val="en-US"/>
              </w:rPr>
              <w:t xml:space="preserve"> (tested over a 2.5 mm gap)</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Pr>
          <w:p w14:paraId="09255F41"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(2018)</w:t>
            </w:r>
          </w:p>
        </w:tc>
      </w:tr>
    </w:tbl>
    <w:p w14:paraId="6CEB0E5D" w14:textId="77777777" w:rsidR="0078026E" w:rsidRDefault="0078026E">
      <w:pPr>
        <w:spacing w:line="240" w:lineRule="auto"/>
        <w:jc w:val="both"/>
        <w:rPr>
          <w:rFonts w:ascii="Times New Roman" w:hAnsi="Times New Roman" w:cs="Times New Roman"/>
          <w:color w:val="000000" w:themeColor="text1"/>
          <w:lang w:val="en-US"/>
        </w:rPr>
      </w:pPr>
      <w:bookmarkStart w:id="35" w:name="_Toc224021388"/>
      <w:bookmarkStart w:id="36" w:name="_Toc213293299"/>
    </w:p>
    <w:p w14:paraId="1092E95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3.3 The regeneration of spent transformer oil </w:t>
      </w:r>
    </w:p>
    <w:p w14:paraId="6F0F7E0F"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3.3.1 Investigating the effect of temperature on the performance of regeneration of </w:t>
      </w:r>
      <w:proofErr w:type="gramStart"/>
      <w:r>
        <w:rPr>
          <w:rFonts w:ascii="Times New Roman" w:hAnsi="Times New Roman" w:cs="Times New Roman"/>
          <w:color w:val="000000" w:themeColor="text1"/>
          <w:lang w:val="en-US"/>
        </w:rPr>
        <w:t>spent  transformer</w:t>
      </w:r>
      <w:proofErr w:type="gramEnd"/>
      <w:r>
        <w:rPr>
          <w:rFonts w:ascii="Times New Roman" w:hAnsi="Times New Roman" w:cs="Times New Roman"/>
          <w:color w:val="000000" w:themeColor="text1"/>
          <w:lang w:val="en-US"/>
        </w:rPr>
        <w:t xml:space="preserve"> oil</w:t>
      </w:r>
    </w:p>
    <w:p w14:paraId="4063E728"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temperature was varied (60, 80, and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at constant contact time of 30 min, and the results obtained are presented in Table 3. The results sh</w:t>
      </w:r>
      <w:r>
        <w:rPr>
          <w:rFonts w:ascii="Times New Roman" w:eastAsia="Calibri" w:hAnsi="Times New Roman" w:cs="Times New Roman"/>
          <w:color w:val="000000" w:themeColor="text1"/>
          <w:lang w:val="en-US"/>
        </w:rPr>
        <w:t xml:space="preserve">ow that the lowest value of dielectric breakdown voltage of the spent transformer oil after regeneration was 20.6 kV and the highest was 24.2 kV obtained at 60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The minimum viscosity of the regenerated transformer oil was 8.67 </w:t>
      </w:r>
      <w:proofErr w:type="spellStart"/>
      <w:r>
        <w:rPr>
          <w:rFonts w:ascii="Times New Roman" w:eastAsia="Calibri" w:hAnsi="Times New Roman" w:cs="Times New Roman"/>
          <w:color w:val="000000" w:themeColor="text1"/>
          <w:lang w:val="en-US"/>
        </w:rPr>
        <w:t>c</w:t>
      </w:r>
      <w:r>
        <w:rPr>
          <w:rFonts w:ascii="Times New Roman" w:eastAsia="Calibri" w:hAnsi="Times New Roman" w:cs="Times New Roman"/>
          <w:color w:val="000000" w:themeColor="text1"/>
          <w:lang w:val="en-US"/>
        </w:rPr>
        <w:t>P</w:t>
      </w:r>
      <w:proofErr w:type="spellEnd"/>
      <w:r>
        <w:rPr>
          <w:rFonts w:ascii="Times New Roman" w:eastAsia="Calibri" w:hAnsi="Times New Roman" w:cs="Times New Roman"/>
          <w:color w:val="000000" w:themeColor="text1"/>
          <w:lang w:val="en-US"/>
        </w:rPr>
        <w:t xml:space="preserve"> and the maximum was 8.95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obtained at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60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The least total acid number of the regenerated transformer oil was 2.63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and the highest was 3.16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obtained at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80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w:t>
      </w:r>
    </w:p>
    <w:p w14:paraId="53A7BDF9"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Table 3. Effect of tempe</w:t>
      </w:r>
      <w:r>
        <w:rPr>
          <w:rFonts w:ascii="Times New Roman" w:eastAsia="Calibri" w:hAnsi="Times New Roman" w:cs="Times New Roman"/>
          <w:color w:val="000000" w:themeColor="text1"/>
          <w:lang w:val="en-US"/>
        </w:rPr>
        <w:t xml:space="preserve">rature on regeneration Performance </w:t>
      </w:r>
    </w:p>
    <w:tbl>
      <w:tblPr>
        <w:tblW w:w="0" w:type="auto"/>
        <w:jc w:val="center"/>
        <w:tblLook w:val="04A0" w:firstRow="1" w:lastRow="0" w:firstColumn="1" w:lastColumn="0" w:noHBand="0" w:noVBand="1"/>
      </w:tblPr>
      <w:tblGrid>
        <w:gridCol w:w="1793"/>
        <w:gridCol w:w="2527"/>
        <w:gridCol w:w="2160"/>
        <w:gridCol w:w="2160"/>
      </w:tblGrid>
      <w:tr w:rsidR="0078026E" w14:paraId="0FF4C6B2" w14:textId="77777777">
        <w:trPr>
          <w:jc w:val="center"/>
        </w:trPr>
        <w:tc>
          <w:tcPr>
            <w:tcW w:w="1793" w:type="dxa"/>
            <w:tcBorders>
              <w:top w:val="single" w:sz="8" w:space="0" w:color="FFFFFF"/>
              <w:left w:val="single" w:sz="8" w:space="0" w:color="FFFFFF"/>
              <w:bottom w:val="single" w:sz="18" w:space="0" w:color="FFFFFF"/>
              <w:right w:val="single" w:sz="8" w:space="0" w:color="FFFFFF"/>
            </w:tcBorders>
            <w:shd w:val="clear" w:color="auto" w:fill="000000"/>
          </w:tcPr>
          <w:p w14:paraId="652FEE7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Temperature (°C)</w:t>
            </w:r>
          </w:p>
        </w:tc>
        <w:tc>
          <w:tcPr>
            <w:tcW w:w="2527" w:type="dxa"/>
            <w:tcBorders>
              <w:top w:val="single" w:sz="8" w:space="0" w:color="FFFFFF"/>
              <w:left w:val="single" w:sz="8" w:space="0" w:color="FFFFFF"/>
              <w:bottom w:val="single" w:sz="18" w:space="0" w:color="FFFFFF"/>
              <w:right w:val="single" w:sz="8" w:space="0" w:color="FFFFFF"/>
            </w:tcBorders>
            <w:shd w:val="clear" w:color="auto" w:fill="000000"/>
          </w:tcPr>
          <w:p w14:paraId="7ADD4D55"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Dielectric breakdown voltage (kV)</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6ECB5DC"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Viscosity (</w:t>
            </w:r>
            <w:proofErr w:type="spellStart"/>
            <w:r>
              <w:rPr>
                <w:rFonts w:ascii="Times New Roman" w:hAnsi="Times New Roman" w:cs="Times New Roman"/>
                <w:color w:val="FFFFFF"/>
                <w:lang w:val="en-US"/>
              </w:rPr>
              <w:t>cP</w:t>
            </w:r>
            <w:proofErr w:type="spellEnd"/>
            <w:r>
              <w:rPr>
                <w:rFonts w:ascii="Times New Roman" w:hAnsi="Times New Roman" w:cs="Times New Roman"/>
                <w:color w:val="FFFFFF"/>
                <w:lang w:val="en-US"/>
              </w:rPr>
              <w:t>)</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20975B1"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Total Acid Number (</w:t>
            </w:r>
            <w:proofErr w:type="spellStart"/>
            <w:r>
              <w:rPr>
                <w:rFonts w:ascii="Times New Roman" w:hAnsi="Times New Roman" w:cs="Times New Roman"/>
                <w:color w:val="FFFFFF"/>
                <w:lang w:val="en-US"/>
              </w:rPr>
              <w:t>mgKOH</w:t>
            </w:r>
            <w:proofErr w:type="spellEnd"/>
            <w:r>
              <w:rPr>
                <w:rFonts w:ascii="Times New Roman" w:hAnsi="Times New Roman" w:cs="Times New Roman"/>
                <w:color w:val="FFFFFF"/>
                <w:lang w:val="en-US"/>
              </w:rPr>
              <w:t>/g)</w:t>
            </w:r>
          </w:p>
        </w:tc>
      </w:tr>
      <w:tr w:rsidR="0078026E" w14:paraId="4DDC915C" w14:textId="77777777">
        <w:trPr>
          <w:jc w:val="center"/>
        </w:trPr>
        <w:tc>
          <w:tcPr>
            <w:tcW w:w="1793" w:type="dxa"/>
            <w:tcBorders>
              <w:top w:val="single" w:sz="18" w:space="0" w:color="FFFFFF"/>
              <w:left w:val="single" w:sz="8" w:space="0" w:color="FFFFFF"/>
              <w:bottom w:val="single" w:sz="8" w:space="0" w:color="FFFFFF"/>
              <w:right w:val="single" w:sz="8" w:space="0" w:color="FFFFFF"/>
            </w:tcBorders>
            <w:shd w:val="clear" w:color="auto" w:fill="CBCBCB"/>
          </w:tcPr>
          <w:p w14:paraId="3C774167"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60</w:t>
            </w:r>
          </w:p>
        </w:tc>
        <w:tc>
          <w:tcPr>
            <w:tcW w:w="2527" w:type="dxa"/>
            <w:tcBorders>
              <w:top w:val="single" w:sz="18" w:space="0" w:color="FFFFFF"/>
              <w:left w:val="single" w:sz="8" w:space="0" w:color="FFFFFF"/>
              <w:bottom w:val="single" w:sz="8" w:space="0" w:color="FFFFFF"/>
              <w:right w:val="single" w:sz="8" w:space="0" w:color="FFFFFF"/>
            </w:tcBorders>
            <w:shd w:val="clear" w:color="auto" w:fill="CBCBCB"/>
          </w:tcPr>
          <w:p w14:paraId="4614E2BC"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20.6</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A4B29BA"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8.95</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08C9FD6"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3.68</w:t>
            </w:r>
          </w:p>
        </w:tc>
      </w:tr>
      <w:tr w:rsidR="0078026E" w14:paraId="355B136F" w14:textId="77777777">
        <w:trPr>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E7E7E7"/>
          </w:tcPr>
          <w:p w14:paraId="21C14E3D"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80</w:t>
            </w:r>
          </w:p>
        </w:tc>
        <w:tc>
          <w:tcPr>
            <w:tcW w:w="2527" w:type="dxa"/>
            <w:tcBorders>
              <w:top w:val="single" w:sz="8" w:space="0" w:color="FFFFFF"/>
              <w:left w:val="single" w:sz="8" w:space="0" w:color="FFFFFF"/>
              <w:bottom w:val="single" w:sz="8" w:space="0" w:color="FFFFFF"/>
              <w:right w:val="single" w:sz="8" w:space="0" w:color="FFFFFF"/>
            </w:tcBorders>
            <w:shd w:val="clear" w:color="auto" w:fill="E7E7E7"/>
          </w:tcPr>
          <w:p w14:paraId="0FE34F82"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21.5</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1E6DDD6F"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8.81</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77D4AF6E"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3.16</w:t>
            </w:r>
          </w:p>
        </w:tc>
      </w:tr>
      <w:tr w:rsidR="0078026E" w14:paraId="3C8F34DA" w14:textId="77777777">
        <w:trPr>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CBCBCB"/>
          </w:tcPr>
          <w:p w14:paraId="02056890"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100</w:t>
            </w:r>
          </w:p>
        </w:tc>
        <w:tc>
          <w:tcPr>
            <w:tcW w:w="2527" w:type="dxa"/>
            <w:tcBorders>
              <w:top w:val="single" w:sz="8" w:space="0" w:color="FFFFFF"/>
              <w:left w:val="single" w:sz="8" w:space="0" w:color="FFFFFF"/>
              <w:bottom w:val="single" w:sz="8" w:space="0" w:color="FFFFFF"/>
              <w:right w:val="single" w:sz="8" w:space="0" w:color="FFFFFF"/>
            </w:tcBorders>
            <w:shd w:val="clear" w:color="auto" w:fill="CBCBCB"/>
          </w:tcPr>
          <w:p w14:paraId="24890A9F"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24.2</w:t>
            </w:r>
          </w:p>
        </w:tc>
        <w:tc>
          <w:tcPr>
            <w:tcW w:w="2160" w:type="dxa"/>
            <w:tcBorders>
              <w:top w:val="single" w:sz="8" w:space="0" w:color="FFFFFF"/>
              <w:left w:val="single" w:sz="8" w:space="0" w:color="FFFFFF"/>
              <w:bottom w:val="single" w:sz="8" w:space="0" w:color="FFFFFF"/>
              <w:right w:val="single" w:sz="8" w:space="0" w:color="FFFFFF"/>
            </w:tcBorders>
            <w:shd w:val="clear" w:color="auto" w:fill="CBCBCB"/>
          </w:tcPr>
          <w:p w14:paraId="386932FB"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8.67</w:t>
            </w:r>
          </w:p>
        </w:tc>
        <w:tc>
          <w:tcPr>
            <w:tcW w:w="2160" w:type="dxa"/>
            <w:tcBorders>
              <w:top w:val="single" w:sz="8" w:space="0" w:color="FFFFFF"/>
              <w:left w:val="single" w:sz="8" w:space="0" w:color="FFFFFF"/>
              <w:bottom w:val="single" w:sz="8" w:space="0" w:color="FFFFFF"/>
              <w:right w:val="single" w:sz="8" w:space="0" w:color="FFFFFF"/>
            </w:tcBorders>
            <w:shd w:val="clear" w:color="auto" w:fill="CBCBCB"/>
          </w:tcPr>
          <w:p w14:paraId="36D5A106"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2.63</w:t>
            </w:r>
          </w:p>
        </w:tc>
      </w:tr>
    </w:tbl>
    <w:p w14:paraId="5CEB6895" w14:textId="77777777" w:rsidR="0078026E" w:rsidRDefault="0078026E">
      <w:pPr>
        <w:keepNext/>
        <w:keepLines/>
        <w:spacing w:before="160" w:after="80" w:line="240" w:lineRule="auto"/>
        <w:jc w:val="both"/>
        <w:outlineLvl w:val="1"/>
        <w:rPr>
          <w:rFonts w:ascii="Times New Roman" w:eastAsia="Times New Roman" w:hAnsi="Times New Roman" w:cs="Times New Roman"/>
          <w:b/>
          <w:bCs/>
          <w:color w:val="000000" w:themeColor="text1"/>
          <w:lang w:val="en-US"/>
        </w:rPr>
      </w:pPr>
    </w:p>
    <w:p w14:paraId="4E1810B7"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regeneration temperature demonstrated a crucial influence on the dielectric breakdown voltage (BDV) of the oil. As the temperature increased, the BDV exhibited a corresponding significant improvement. This finding is directly explained by the inherent </w:t>
      </w:r>
      <w:r>
        <w:rPr>
          <w:rFonts w:ascii="Times New Roman" w:eastAsia="Calibri" w:hAnsi="Times New Roman" w:cs="Times New Roman"/>
          <w:color w:val="000000" w:themeColor="text1"/>
          <w:lang w:val="en-US"/>
        </w:rPr>
        <w:t>instability of aged oil: the low initial BDV of 7.8 kV prior to regeneration was primarily caused by moisture and polar contaminants. When the temperature is elevated during the adsorption process, two synergistic effects occur: enhanced kinetics and incre</w:t>
      </w:r>
      <w:r>
        <w:rPr>
          <w:rFonts w:ascii="Times New Roman" w:eastAsia="Calibri" w:hAnsi="Times New Roman" w:cs="Times New Roman"/>
          <w:color w:val="000000" w:themeColor="text1"/>
          <w:lang w:val="en-US"/>
        </w:rPr>
        <w:t>ased adsorption. The increased thermal energy enhances the mobility and diffusion rate of the contaminants, accelerating their movement toward the activated carbon's surface. Simultaneously, higher temperatures promote the adsorption of polar acidic by-pro</w:t>
      </w:r>
      <w:r>
        <w:rPr>
          <w:rFonts w:ascii="Times New Roman" w:eastAsia="Calibri" w:hAnsi="Times New Roman" w:cs="Times New Roman"/>
          <w:color w:val="000000" w:themeColor="text1"/>
          <w:lang w:val="en-US"/>
        </w:rPr>
        <w:t xml:space="preserve">ducts onto the coconut shell activated carbon (CSAC), thereby restoring the oil's capability to withstand electrical stress and fulfilling its essential role as a dielectric medium. This finding validates previous research on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adsorbents; for ins</w:t>
      </w:r>
      <w:r>
        <w:rPr>
          <w:rFonts w:ascii="Times New Roman" w:eastAsia="Calibri" w:hAnsi="Times New Roman" w:cs="Times New Roman"/>
          <w:color w:val="000000" w:themeColor="text1"/>
          <w:lang w:val="en-US"/>
        </w:rPr>
        <w:t xml:space="preserve">tance, Onyeka et al. (2025) also reported a substantial increase in BDV, demonstrating that activated carbon derived from agricultural waste is highly effective in restoring dielectric strength. </w:t>
      </w:r>
    </w:p>
    <w:p w14:paraId="0C462E9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The viscosity of the oil was observed to decrease consistent</w:t>
      </w:r>
      <w:r>
        <w:rPr>
          <w:rFonts w:ascii="Times New Roman" w:eastAsia="Calibri" w:hAnsi="Times New Roman" w:cs="Times New Roman"/>
          <w:color w:val="000000" w:themeColor="text1"/>
          <w:lang w:val="en-US"/>
        </w:rPr>
        <w:t>ly as the regeneration temperature was increased, following its expected thermal behavior (See Table 3). This reduction is primarily a physical phenomenon as increasing temperature lowers the internal resistance to flow by reducing the intermolecular force</w:t>
      </w:r>
      <w:r>
        <w:rPr>
          <w:rFonts w:ascii="Times New Roman" w:eastAsia="Calibri" w:hAnsi="Times New Roman" w:cs="Times New Roman"/>
          <w:color w:val="000000" w:themeColor="text1"/>
          <w:lang w:val="en-US"/>
        </w:rPr>
        <w:t>s within the oil. This physical relationship is fundamental to insulating oil behavior, as (coolants in transformers) of this work. From an operational standpoint, this is a beneficial outcome, as lower viscosity enhances the oil's function as an efficient</w:t>
      </w:r>
      <w:r>
        <w:rPr>
          <w:rFonts w:ascii="Times New Roman" w:eastAsia="Calibri" w:hAnsi="Times New Roman" w:cs="Times New Roman"/>
          <w:color w:val="000000" w:themeColor="text1"/>
          <w:lang w:val="en-US"/>
        </w:rPr>
        <w:t xml:space="preserve"> coolant by improving its flow rate and ability to transfer heat away from the transformer windings. </w:t>
      </w:r>
    </w:p>
    <w:p w14:paraId="7B766F8E"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 marked reduction in total acid number (TAN) was achieved as temperature increased, decreasing from 3.68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at 60 °C to 2.63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/g at 100 °C (Tabl</w:t>
      </w:r>
      <w:r>
        <w:rPr>
          <w:rFonts w:ascii="Times New Roman" w:eastAsia="Calibri" w:hAnsi="Times New Roman" w:cs="Times New Roman"/>
          <w:color w:val="000000" w:themeColor="text1"/>
          <w:lang w:val="en-US"/>
        </w:rPr>
        <w:t>e 3). This decline demonstrates efficient adsorption and removal of acidic oxidation products by coconut shell activated carbon, aided by enhanced diffusion and activation of adsorption-sites-at-higher-temperatures. The decrease in TAN reflects the elimina</w:t>
      </w:r>
      <w:r>
        <w:rPr>
          <w:rFonts w:ascii="Times New Roman" w:eastAsia="Calibri" w:hAnsi="Times New Roman" w:cs="Times New Roman"/>
          <w:color w:val="000000" w:themeColor="text1"/>
          <w:lang w:val="en-US"/>
        </w:rPr>
        <w:t xml:space="preserve">tion of carboxylic acids and other polar compounds responsible for oil acidity. According to </w:t>
      </w:r>
      <w:proofErr w:type="spellStart"/>
      <w:r>
        <w:rPr>
          <w:rFonts w:ascii="Times New Roman" w:eastAsia="Calibri" w:hAnsi="Times New Roman" w:cs="Times New Roman"/>
          <w:color w:val="000000" w:themeColor="text1"/>
          <w:lang w:val="en-US"/>
        </w:rPr>
        <w:t>Eze</w:t>
      </w:r>
      <w:proofErr w:type="spellEnd"/>
      <w:r>
        <w:rPr>
          <w:rFonts w:ascii="Times New Roman" w:eastAsia="Calibri" w:hAnsi="Times New Roman" w:cs="Times New Roman"/>
          <w:color w:val="000000" w:themeColor="text1"/>
          <w:lang w:val="en-US"/>
        </w:rPr>
        <w:t xml:space="preserve"> and </w:t>
      </w:r>
      <w:proofErr w:type="spellStart"/>
      <w:r>
        <w:rPr>
          <w:rFonts w:ascii="Times New Roman" w:eastAsia="Calibri" w:hAnsi="Times New Roman" w:cs="Times New Roman"/>
          <w:color w:val="000000" w:themeColor="text1"/>
          <w:lang w:val="en-US"/>
        </w:rPr>
        <w:t>Oghene</w:t>
      </w:r>
      <w:proofErr w:type="spellEnd"/>
      <w:r>
        <w:rPr>
          <w:rFonts w:ascii="Times New Roman" w:eastAsia="Calibri" w:hAnsi="Times New Roman" w:cs="Times New Roman"/>
          <w:color w:val="000000" w:themeColor="text1"/>
          <w:lang w:val="en-US"/>
        </w:rPr>
        <w:t xml:space="preserve"> (2022), temperature promotes surface reactivity and aids contaminant desorption from the oil phase. Although the final TAN remains above the 0.3 </w:t>
      </w:r>
      <w:proofErr w:type="spellStart"/>
      <w:r>
        <w:rPr>
          <w:rFonts w:ascii="Times New Roman" w:eastAsia="Calibri" w:hAnsi="Times New Roman" w:cs="Times New Roman"/>
          <w:color w:val="000000" w:themeColor="text1"/>
          <w:lang w:val="en-US"/>
        </w:rPr>
        <w:t>mgK</w:t>
      </w:r>
      <w:r>
        <w:rPr>
          <w:rFonts w:ascii="Times New Roman" w:eastAsia="Calibri" w:hAnsi="Times New Roman" w:cs="Times New Roman"/>
          <w:color w:val="000000" w:themeColor="text1"/>
          <w:lang w:val="en-US"/>
        </w:rPr>
        <w:t>OH</w:t>
      </w:r>
      <w:proofErr w:type="spellEnd"/>
      <w:r>
        <w:rPr>
          <w:rFonts w:ascii="Times New Roman" w:eastAsia="Calibri" w:hAnsi="Times New Roman" w:cs="Times New Roman"/>
          <w:color w:val="000000" w:themeColor="text1"/>
          <w:lang w:val="en-US"/>
        </w:rPr>
        <w:t>/g threshold for unused transformer oil, the significant reduction confirms the adsorbent’s high efficiency and potential for sustainable regeneration applications</w:t>
      </w:r>
    </w:p>
    <w:p w14:paraId="09A2A1D6" w14:textId="77777777" w:rsidR="0078026E" w:rsidRDefault="003452F6">
      <w:pPr>
        <w:spacing w:line="240" w:lineRule="auto"/>
        <w:jc w:val="both"/>
        <w:rPr>
          <w:rFonts w:ascii="Times New Roman" w:eastAsia="Calibri" w:hAnsi="Times New Roman" w:cs="Times New Roman"/>
          <w:color w:val="000000" w:themeColor="text1"/>
          <w:lang w:val="en-US"/>
        </w:rPr>
      </w:pPr>
      <w:r>
        <w:rPr>
          <w:color w:val="000000" w:themeColor="text1"/>
          <w:lang w:val="en-US"/>
        </w:rPr>
        <w:t xml:space="preserve">                          </w:t>
      </w:r>
      <w:bookmarkEnd w:id="35"/>
      <w:bookmarkEnd w:id="36"/>
    </w:p>
    <w:p w14:paraId="3F273CF9"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3.3.2 Investigating the effect of contact time on the performan</w:t>
      </w:r>
      <w:r>
        <w:rPr>
          <w:rFonts w:ascii="Times New Roman" w:hAnsi="Times New Roman" w:cs="Times New Roman"/>
          <w:color w:val="000000" w:themeColor="text1"/>
          <w:lang w:val="en-US"/>
        </w:rPr>
        <w:t xml:space="preserve">ce of regeneration of </w:t>
      </w:r>
      <w:proofErr w:type="gramStart"/>
      <w:r>
        <w:rPr>
          <w:rFonts w:ascii="Times New Roman" w:hAnsi="Times New Roman" w:cs="Times New Roman"/>
          <w:color w:val="000000" w:themeColor="text1"/>
          <w:lang w:val="en-US"/>
        </w:rPr>
        <w:t>spent  transformer</w:t>
      </w:r>
      <w:proofErr w:type="gramEnd"/>
      <w:r>
        <w:rPr>
          <w:rFonts w:ascii="Times New Roman" w:hAnsi="Times New Roman" w:cs="Times New Roman"/>
          <w:color w:val="000000" w:themeColor="text1"/>
          <w:lang w:val="en-US"/>
        </w:rPr>
        <w:t xml:space="preserve"> oil</w:t>
      </w:r>
    </w:p>
    <w:p w14:paraId="5F5AF911"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variation in contact time from 45 to 60 min on the performance of the regeneration of spent transformer oil was carried out at constant temperature of 80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and the results obtained are presented in Table 4. The table shows that the dielectric breakdown voltage increased from 23.4 kV to 25.2 kV as the contact time increased from 45 min to 60 min. Comparing this with a dielectric breakdown voltage of 7.8 kV o</w:t>
      </w:r>
      <w:r>
        <w:rPr>
          <w:rFonts w:ascii="Times New Roman" w:eastAsia="Calibri" w:hAnsi="Times New Roman" w:cs="Times New Roman"/>
          <w:color w:val="000000" w:themeColor="text1"/>
          <w:lang w:val="en-US"/>
        </w:rPr>
        <w:t xml:space="preserve">f the spent transformer oil before regeneration gave a maximum </w:t>
      </w:r>
      <w:proofErr w:type="spellStart"/>
      <w:r>
        <w:rPr>
          <w:rFonts w:ascii="Times New Roman" w:eastAsia="Calibri" w:hAnsi="Times New Roman" w:cs="Times New Roman"/>
          <w:color w:val="000000" w:themeColor="text1"/>
          <w:lang w:val="en-US"/>
        </w:rPr>
        <w:t>regerneration</w:t>
      </w:r>
      <w:proofErr w:type="spellEnd"/>
      <w:r>
        <w:rPr>
          <w:rFonts w:ascii="Times New Roman" w:eastAsia="Calibri" w:hAnsi="Times New Roman" w:cs="Times New Roman"/>
          <w:color w:val="000000" w:themeColor="text1"/>
          <w:lang w:val="en-US"/>
        </w:rPr>
        <w:t xml:space="preserve"> efficiency of 223.97 </w:t>
      </w:r>
      <w:proofErr w:type="gramStart"/>
      <w:r>
        <w:rPr>
          <w:rFonts w:ascii="Times New Roman" w:eastAsia="Calibri" w:hAnsi="Times New Roman" w:cs="Times New Roman"/>
          <w:color w:val="000000" w:themeColor="text1"/>
          <w:lang w:val="en-US"/>
        </w:rPr>
        <w:t>% .</w:t>
      </w:r>
      <w:proofErr w:type="gramEnd"/>
      <w:r>
        <w:rPr>
          <w:rFonts w:ascii="Times New Roman" w:eastAsia="Calibri" w:hAnsi="Times New Roman" w:cs="Times New Roman"/>
          <w:color w:val="000000" w:themeColor="text1"/>
          <w:lang w:val="en-US"/>
        </w:rPr>
        <w:t xml:space="preserve"> The result shows that longer contact time between the synthesized coconut shell adsorbent and the spent transformer oil facilitated the removal of moistur</w:t>
      </w:r>
      <w:r>
        <w:rPr>
          <w:rFonts w:ascii="Times New Roman" w:eastAsia="Calibri" w:hAnsi="Times New Roman" w:cs="Times New Roman"/>
          <w:color w:val="000000" w:themeColor="text1"/>
          <w:lang w:val="en-US"/>
        </w:rPr>
        <w:t xml:space="preserve">e, acids, sludge </w:t>
      </w:r>
      <w:proofErr w:type="gramStart"/>
      <w:r>
        <w:rPr>
          <w:rFonts w:ascii="Times New Roman" w:eastAsia="Calibri" w:hAnsi="Times New Roman" w:cs="Times New Roman"/>
          <w:color w:val="000000" w:themeColor="text1"/>
          <w:lang w:val="en-US"/>
        </w:rPr>
        <w:t>which  usually</w:t>
      </w:r>
      <w:proofErr w:type="gramEnd"/>
      <w:r>
        <w:rPr>
          <w:rFonts w:ascii="Times New Roman" w:eastAsia="Calibri" w:hAnsi="Times New Roman" w:cs="Times New Roman"/>
          <w:color w:val="000000" w:themeColor="text1"/>
          <w:lang w:val="en-US"/>
        </w:rPr>
        <w:t xml:space="preserve"> reduce the dielectric strength. </w:t>
      </w:r>
    </w:p>
    <w:p w14:paraId="4011EE7F"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 xml:space="preserve">The contact time had a negligible direct effect on the viscosity of the regenerated oil, showing only a minimal change from a viscosity of 9.0 6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at 45 min to a viscosity of 9.50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at 60 m</w:t>
      </w:r>
      <w:r>
        <w:rPr>
          <w:rFonts w:ascii="Times New Roman" w:eastAsia="Calibri" w:hAnsi="Times New Roman" w:cs="Times New Roman"/>
          <w:color w:val="000000" w:themeColor="text1"/>
          <w:lang w:val="en-US"/>
        </w:rPr>
        <w:t xml:space="preserve">in. This result is expected because viscosity is primarily a </w:t>
      </w:r>
    </w:p>
    <w:p w14:paraId="0AF75881"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hAnsi="Times New Roman" w:cs="Times New Roman"/>
          <w:color w:val="000000" w:themeColor="text1"/>
          <w:lang w:val="en-US"/>
        </w:rPr>
        <w:t>Table 4. Effect of Contact Time on Regeneration Performance</w:t>
      </w:r>
    </w:p>
    <w:tbl>
      <w:tblPr>
        <w:tblpPr w:leftFromText="180" w:rightFromText="180" w:vertAnchor="text" w:horzAnchor="page" w:tblpX="1997" w:tblpY="53"/>
        <w:tblOverlap w:val="never"/>
        <w:tblW w:w="0" w:type="auto"/>
        <w:tblBorders>
          <w:top w:val="single" w:sz="4" w:space="0" w:color="auto"/>
          <w:bottom w:val="single" w:sz="4" w:space="0" w:color="auto"/>
        </w:tblBorders>
        <w:tblLook w:val="04A0" w:firstRow="1" w:lastRow="0" w:firstColumn="1" w:lastColumn="0" w:noHBand="0" w:noVBand="1"/>
      </w:tblPr>
      <w:tblGrid>
        <w:gridCol w:w="2160"/>
        <w:gridCol w:w="2160"/>
        <w:gridCol w:w="2160"/>
        <w:gridCol w:w="2160"/>
      </w:tblGrid>
      <w:tr w:rsidR="0078026E" w14:paraId="69ABD3CB" w14:textId="77777777">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4E0B0296" w14:textId="77777777" w:rsidR="0078026E" w:rsidRDefault="003452F6">
            <w:pPr>
              <w:pStyle w:val="NoSpacing"/>
              <w:jc w:val="center"/>
              <w:rPr>
                <w:rFonts w:ascii="Times New Roman" w:hAnsi="Times New Roman" w:cs="Times New Roman"/>
                <w:color w:val="FFFFFF"/>
                <w:lang w:val="en-US"/>
              </w:rPr>
            </w:pPr>
            <w:r>
              <w:rPr>
                <w:rFonts w:ascii="Times New Roman" w:hAnsi="Times New Roman" w:cs="Times New Roman"/>
                <w:color w:val="FFFFFF"/>
                <w:lang w:val="en-US"/>
              </w:rPr>
              <w:t>Contact Time (min)</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76F1766"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Dielectric breakdown voltage (kV)</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BE174E8"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Viscosity (</w:t>
            </w:r>
            <w:proofErr w:type="spellStart"/>
            <w:r>
              <w:rPr>
                <w:rFonts w:ascii="Times New Roman" w:hAnsi="Times New Roman" w:cs="Times New Roman"/>
                <w:color w:val="FFFFFF"/>
                <w:lang w:val="en-US"/>
              </w:rPr>
              <w:t>cP</w:t>
            </w:r>
            <w:proofErr w:type="spellEnd"/>
            <w:r>
              <w:rPr>
                <w:rFonts w:ascii="Times New Roman" w:hAnsi="Times New Roman" w:cs="Times New Roman"/>
                <w:color w:val="FFFFFF"/>
                <w:lang w:val="en-US"/>
              </w:rPr>
              <w:t>)</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334E9B62"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Total acid number (</w:t>
            </w:r>
            <w:proofErr w:type="spellStart"/>
            <w:r>
              <w:rPr>
                <w:rFonts w:ascii="Times New Roman" w:hAnsi="Times New Roman" w:cs="Times New Roman"/>
                <w:color w:val="FFFFFF"/>
                <w:lang w:val="en-US"/>
              </w:rPr>
              <w:t>mgKOH</w:t>
            </w:r>
            <w:proofErr w:type="spellEnd"/>
            <w:r>
              <w:rPr>
                <w:rFonts w:ascii="Times New Roman" w:hAnsi="Times New Roman" w:cs="Times New Roman"/>
                <w:color w:val="FFFFFF"/>
                <w:lang w:val="en-US"/>
              </w:rPr>
              <w:t>/g)</w:t>
            </w:r>
          </w:p>
        </w:tc>
      </w:tr>
      <w:tr w:rsidR="0078026E" w14:paraId="17B68750" w14:textId="77777777">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7FE900BD"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45</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8CE4561"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23.4</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0C485150"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9.06</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4D6430F2"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3.16</w:t>
            </w:r>
          </w:p>
        </w:tc>
      </w:tr>
      <w:tr w:rsidR="0078026E" w14:paraId="694A72B9" w14:textId="77777777">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5071C1E8"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60</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3728C3D0"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25.2</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31ECD6EF"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9.50</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65FE5687"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2.11</w:t>
            </w:r>
          </w:p>
        </w:tc>
      </w:tr>
    </w:tbl>
    <w:p w14:paraId="682022CF" w14:textId="77777777" w:rsidR="0078026E" w:rsidRDefault="0078026E">
      <w:pPr>
        <w:spacing w:line="240" w:lineRule="auto"/>
        <w:jc w:val="both"/>
        <w:rPr>
          <w:rFonts w:ascii="Times New Roman" w:eastAsia="Calibri" w:hAnsi="Times New Roman" w:cs="Times New Roman"/>
          <w:color w:val="000000" w:themeColor="text1"/>
          <w:lang w:val="en-US"/>
        </w:rPr>
      </w:pPr>
    </w:p>
    <w:p w14:paraId="33E445D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physical property that depends on temperature rather than the duration of solid-liquid contact; it is largely determined by the oil’s molecular structure and thermal state, which emphasizes that effective heat transfer relies on maintaining consistent vi</w:t>
      </w:r>
      <w:r>
        <w:rPr>
          <w:rFonts w:ascii="Times New Roman" w:eastAsia="Calibri" w:hAnsi="Times New Roman" w:cs="Times New Roman"/>
          <w:color w:val="000000" w:themeColor="text1"/>
          <w:lang w:val="en-US"/>
        </w:rPr>
        <w:t>scosity. Any slight reduction in viscosity over time is likely attributable to the gradual disaggregation and settling of colloidal sludge particles, which are removed by the coconut shell activated carbon, rather than any fundamental alteration of the bas</w:t>
      </w:r>
      <w:r>
        <w:rPr>
          <w:rFonts w:ascii="Times New Roman" w:eastAsia="Calibri" w:hAnsi="Times New Roman" w:cs="Times New Roman"/>
          <w:color w:val="000000" w:themeColor="text1"/>
          <w:lang w:val="en-US"/>
        </w:rPr>
        <w:t xml:space="preserve">e oil. The key implication is favorable: the regeneration process effectively </w:t>
      </w:r>
      <w:r>
        <w:rPr>
          <w:rFonts w:ascii="Times New Roman" w:eastAsia="Calibri" w:hAnsi="Times New Roman" w:cs="Times New Roman"/>
          <w:color w:val="000000" w:themeColor="text1"/>
          <w:lang w:val="en-US"/>
        </w:rPr>
        <w:lastRenderedPageBreak/>
        <w:t>removes chemical contaminants, as evidenced by the concurrent reduction in TAN, without compromising the critical physical property of viscosity necessary for efficient transform</w:t>
      </w:r>
      <w:r>
        <w:rPr>
          <w:rFonts w:ascii="Times New Roman" w:eastAsia="Calibri" w:hAnsi="Times New Roman" w:cs="Times New Roman"/>
          <w:color w:val="000000" w:themeColor="text1"/>
          <w:lang w:val="en-US"/>
        </w:rPr>
        <w:t>er cooling and heat transfer.</w:t>
      </w:r>
    </w:p>
    <w:p w14:paraId="57589030"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hAnsi="Times New Roman" w:cs="Times New Roman"/>
          <w:color w:val="000000" w:themeColor="text1"/>
          <w:lang w:val="en-US"/>
        </w:rPr>
        <w:t xml:space="preserve">The acid number decreased from 3.16 </w:t>
      </w: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 xml:space="preserve">/g to 2.11 </w:t>
      </w: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 xml:space="preserve">/g with increasing contact time from 45 min to 60 min. This demonstrates that prolonged exposure enhances the adsorption of acidic and polar compounds, resulting in the </w:t>
      </w:r>
      <w:r>
        <w:rPr>
          <w:rFonts w:ascii="Times New Roman" w:hAnsi="Times New Roman" w:cs="Times New Roman"/>
          <w:color w:val="000000" w:themeColor="text1"/>
          <w:lang w:val="en-US"/>
        </w:rPr>
        <w:t>stability of the oil. With this result, the highest acidic regeneration efficiency of 49.88 % of the spent transformer was achieved after 60 min. The gradual reduction in the total acid number confirms the continued removal of oxidation by-products over lo</w:t>
      </w:r>
      <w:r>
        <w:rPr>
          <w:rFonts w:ascii="Times New Roman" w:hAnsi="Times New Roman" w:cs="Times New Roman"/>
          <w:color w:val="000000" w:themeColor="text1"/>
          <w:lang w:val="en-US"/>
        </w:rPr>
        <w:t>ng contact time.</w:t>
      </w:r>
    </w:p>
    <w:p w14:paraId="7BA07307"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b/>
          <w:bCs/>
          <w:color w:val="000000" w:themeColor="text1"/>
          <w:lang w:val="en-US"/>
        </w:rPr>
        <w:br/>
      </w:r>
      <w:r>
        <w:rPr>
          <w:rFonts w:ascii="Times New Roman" w:eastAsia="Calibri" w:hAnsi="Times New Roman" w:cs="Times New Roman"/>
          <w:b/>
          <w:bCs/>
          <w:color w:val="000000" w:themeColor="text1"/>
          <w:sz w:val="28"/>
          <w:szCs w:val="28"/>
          <w:lang w:val="en-US"/>
        </w:rPr>
        <w:t xml:space="preserve">3.0 Conclusion </w:t>
      </w:r>
    </w:p>
    <w:p w14:paraId="5569BB78"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This study was undertaken to investigate the regeneration of spent transformer oil using activated carbon (AC) derived from coconut shell, an abundantly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material. Based on the highly positive regeneration results obtained, the study concludes that coconut shell activated carbon is a veritable adsorbent for industrial transformer oil reclamation. The substantial increase in the Breakdown Voltage (BDV</w:t>
      </w:r>
      <w:r>
        <w:rPr>
          <w:rFonts w:ascii="Times New Roman" w:eastAsia="Calibri" w:hAnsi="Times New Roman" w:cs="Times New Roman"/>
          <w:color w:val="000000" w:themeColor="text1"/>
          <w:lang w:val="en-US"/>
        </w:rPr>
        <w:t>) to 25.2 kV far exceeds the minimum acceptable BDV for in-service oil (typically 20 kV) and places the quality of the reclaimed oil well within the acceptable standard for continued operation and reuse. Concurrently, the reduction of the Total Acid Number</w:t>
      </w:r>
      <w:r>
        <w:rPr>
          <w:rFonts w:ascii="Times New Roman" w:eastAsia="Calibri" w:hAnsi="Times New Roman" w:cs="Times New Roman"/>
          <w:color w:val="000000" w:themeColor="text1"/>
          <w:lang w:val="en-US"/>
        </w:rPr>
        <w:t xml:space="preserve"> (TAN) to 2.11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confirms the effective elimination of corrosive oxidation products. In the industry, this level of performance allows the oil to be re-entered into the transformer operational cycle, significantly extending the lifespan of the fluid </w:t>
      </w:r>
      <w:r>
        <w:rPr>
          <w:rFonts w:ascii="Times New Roman" w:eastAsia="Calibri" w:hAnsi="Times New Roman" w:cs="Times New Roman"/>
          <w:color w:val="000000" w:themeColor="text1"/>
          <w:lang w:val="en-US"/>
        </w:rPr>
        <w:t xml:space="preserve">and the transformer itself. This is critical for asset management and reducing replacement costs. Furthermore, compared to conventional non-renewable adsorbents like Fuller’s Earth, the utilization of coconut shells a readily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offers a </w:t>
      </w:r>
      <w:r>
        <w:rPr>
          <w:rFonts w:ascii="Times New Roman" w:eastAsia="Calibri" w:hAnsi="Times New Roman" w:cs="Times New Roman"/>
          <w:color w:val="000000" w:themeColor="text1"/>
          <w:lang w:val="en-US"/>
        </w:rPr>
        <w:t>sustainable, local, and cost-effective solution, aligning perfectly with modern industrial goals of waste-to-wealth conversion and adherence to environmental standards. While the final measured properties demonstrate substantial recovery and approach the i</w:t>
      </w:r>
      <w:r>
        <w:rPr>
          <w:rFonts w:ascii="Times New Roman" w:eastAsia="Calibri" w:hAnsi="Times New Roman" w:cs="Times New Roman"/>
          <w:color w:val="000000" w:themeColor="text1"/>
          <w:lang w:val="en-US"/>
        </w:rPr>
        <w:t>ndustry standards, they indicate that the oil is not yet fully restored to "new oil" specifications. This slight shortfall suggests that the laboratory-scale batch adsorption methodology may require future optimization, potentially involving a continuous f</w:t>
      </w:r>
      <w:r>
        <w:rPr>
          <w:rFonts w:ascii="Times New Roman" w:eastAsia="Calibri" w:hAnsi="Times New Roman" w:cs="Times New Roman"/>
          <w:color w:val="000000" w:themeColor="text1"/>
          <w:lang w:val="en-US"/>
        </w:rPr>
        <w:t xml:space="preserve">low system or a higher adsorbent dosage, </w:t>
      </w:r>
    </w:p>
    <w:p w14:paraId="24D108DE" w14:textId="77777777" w:rsidR="00372A4B" w:rsidRDefault="00372A4B">
      <w:pPr>
        <w:spacing w:after="120" w:line="240" w:lineRule="auto"/>
        <w:jc w:val="both"/>
        <w:rPr>
          <w:rFonts w:ascii="Times New Roman" w:eastAsia="Calibri" w:hAnsi="Times New Roman" w:cs="Times New Roman"/>
          <w:color w:val="000000" w:themeColor="text1"/>
          <w:lang w:val="en-US"/>
        </w:rPr>
      </w:pPr>
    </w:p>
    <w:p w14:paraId="013FD5EE" w14:textId="77777777" w:rsidR="00372A4B" w:rsidRDefault="00372A4B">
      <w:pPr>
        <w:spacing w:after="120" w:line="240" w:lineRule="auto"/>
        <w:jc w:val="both"/>
        <w:rPr>
          <w:rFonts w:ascii="Times New Roman" w:eastAsia="Calibri" w:hAnsi="Times New Roman" w:cs="Times New Roman"/>
          <w:color w:val="000000" w:themeColor="text1"/>
          <w:lang w:val="en-US"/>
        </w:rPr>
      </w:pPr>
    </w:p>
    <w:p w14:paraId="77B7D05F" w14:textId="77777777" w:rsidR="00372A4B" w:rsidRPr="00372A4B" w:rsidRDefault="00372A4B" w:rsidP="00372A4B">
      <w:pPr>
        <w:spacing w:after="120" w:line="240" w:lineRule="auto"/>
        <w:jc w:val="both"/>
        <w:rPr>
          <w:rFonts w:ascii="Times New Roman" w:eastAsia="Calibri" w:hAnsi="Times New Roman" w:cs="Times New Roman"/>
          <w:color w:val="000000" w:themeColor="text1"/>
          <w:lang w:val="en-US"/>
        </w:rPr>
      </w:pPr>
      <w:r w:rsidRPr="00372A4B">
        <w:rPr>
          <w:rFonts w:ascii="Times New Roman" w:eastAsia="Calibri" w:hAnsi="Times New Roman" w:cs="Times New Roman"/>
          <w:color w:val="000000" w:themeColor="text1"/>
          <w:lang w:val="en-US"/>
        </w:rPr>
        <w:t>COMPETING INTERESTS DISCLAIMER:</w:t>
      </w:r>
    </w:p>
    <w:p w14:paraId="2F298EC8" w14:textId="61C1BA48" w:rsidR="00372A4B" w:rsidRDefault="00372A4B" w:rsidP="00372A4B">
      <w:pPr>
        <w:spacing w:after="120" w:line="240" w:lineRule="auto"/>
        <w:jc w:val="both"/>
        <w:rPr>
          <w:rFonts w:ascii="Times New Roman" w:eastAsia="Calibri" w:hAnsi="Times New Roman" w:cs="Times New Roman"/>
          <w:color w:val="000000" w:themeColor="text1"/>
          <w:lang w:val="en-US"/>
        </w:rPr>
      </w:pPr>
      <w:r w:rsidRPr="00372A4B">
        <w:rPr>
          <w:rFonts w:ascii="Times New Roman" w:eastAsia="Calibri" w:hAnsi="Times New Roman" w:cs="Times New Roman"/>
          <w:color w:val="000000" w:themeColor="text1"/>
          <w:lang w:val="en-US"/>
        </w:rPr>
        <w:t>Authors have declared that they have no known competing financial interests OR non-financial interests OR personal relationships that could have appeared to influence the work reported in this paper.</w:t>
      </w:r>
    </w:p>
    <w:p w14:paraId="5449C209"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Reference </w:t>
      </w:r>
    </w:p>
    <w:p w14:paraId="2CA5AC23"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ASTM International. (2014). ASTM D2974—Standard test methods for moisture, ash, and organic matter of peat and other organic soils. ASTM International.</w:t>
      </w:r>
    </w:p>
    <w:p w14:paraId="6AC97E86"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hAnsi="Times New Roman" w:cs="Times New Roman"/>
          <w:color w:val="000000" w:themeColor="text1"/>
          <w:lang w:val="en-US"/>
        </w:rPr>
        <w:t xml:space="preserve">ASTM International. (2022). Standard test method for kinematic viscosity </w:t>
      </w:r>
      <w:r>
        <w:rPr>
          <w:rFonts w:ascii="Times New Roman" w:hAnsi="Times New Roman" w:cs="Times New Roman"/>
          <w:color w:val="000000" w:themeColor="text1"/>
          <w:lang w:val="en-US"/>
        </w:rPr>
        <w:t>of transparent and opaque liquids (ASTM D445). ASTM International.</w:t>
      </w:r>
    </w:p>
    <w:p w14:paraId="4F07C347"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Boadu, K. B., Asare, R., &amp; Tuffour, B. (2018). Characterization of activated carbon derived from coconut shells for adsorption applications. International Journal of Scientific &amp; Engineerin</w:t>
      </w:r>
      <w:r>
        <w:rPr>
          <w:rFonts w:ascii="Times New Roman" w:hAnsi="Times New Roman" w:cs="Times New Roman"/>
          <w:color w:val="000000" w:themeColor="text1"/>
        </w:rPr>
        <w:t>g Research, 9(7), 451–460.</w:t>
      </w:r>
    </w:p>
    <w:p w14:paraId="77DB6A82"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Boadu, K. B., Owusu, P. A., &amp; Tuffour, B. (2020). Production and optimization of coconut shell activated carbon for industrial applications. Journal of Environmental Chemical Engineering, 8(5), 104–119.</w:t>
      </w:r>
    </w:p>
    <w:p w14:paraId="3791F6C3"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Evbuomwan, B. O., Ojewumi,</w:t>
      </w:r>
      <w:r>
        <w:rPr>
          <w:rFonts w:ascii="Times New Roman" w:hAnsi="Times New Roman" w:cs="Times New Roman"/>
          <w:color w:val="000000" w:themeColor="text1"/>
        </w:rPr>
        <w:t xml:space="preserve"> M. E., &amp; Emetere, M. E. (2013). Determination of pore characteristics of activated carbons from agricultural waste. Journal of Materials Science Research, 2(1), 15–24.</w:t>
      </w:r>
    </w:p>
    <w:p w14:paraId="75B4624A"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Eze, J. I., &amp; Oghene, A. C. (2022). Thermal enhancement of adsorption efficiency during</w:t>
      </w:r>
      <w:r>
        <w:rPr>
          <w:rFonts w:ascii="Times New Roman" w:hAnsi="Times New Roman" w:cs="Times New Roman"/>
          <w:color w:val="000000" w:themeColor="text1"/>
        </w:rPr>
        <w:t xml:space="preserve"> transformer oil purification processes. International Journal of Energy Materials and Chemical Engineering, 6(2), 44–53.</w:t>
      </w:r>
    </w:p>
    <w:p w14:paraId="242BADB7"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FAO. (2021). FAOSTAT statistical database. Food and Agriculture Organization of the United Nations. </w:t>
      </w:r>
    </w:p>
    <w:p w14:paraId="3AB410A2"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Fofana, I., Hemmatjou, H., </w:t>
      </w:r>
      <w:r>
        <w:rPr>
          <w:rFonts w:ascii="Times New Roman" w:hAnsi="Times New Roman" w:cs="Times New Roman"/>
          <w:color w:val="000000" w:themeColor="text1"/>
        </w:rPr>
        <w:t>Farzaneh, M., &amp; Borsi, H. (2017). Review of the physico-chemical degradation of mineral oil used in power transformers. IEEE Electrical Insulation Magazine, 33(6), 7–18.</w:t>
      </w:r>
    </w:p>
    <w:p w14:paraId="28EEF7CF"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Gómez, R., Martínez, J., &amp; Pérez, M. (2020). Regeneration of transformer oil using pho</w:t>
      </w:r>
      <w:r>
        <w:rPr>
          <w:rFonts w:ascii="Times New Roman" w:hAnsi="Times New Roman" w:cs="Times New Roman"/>
          <w:color w:val="000000" w:themeColor="text1"/>
        </w:rPr>
        <w:t>sphoric acid-activated corn cob carbon. Journal of Environmental Management, 260, 110–132.</w:t>
      </w:r>
    </w:p>
    <w:p w14:paraId="72A59BAF"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Ibrahim, A., Musa, M., &amp; Suleiman, H. (2021). Comparative evaluation of agro-waste adsorbents for transformer oil treatment. Energy Reports, 7, 410–420.</w:t>
      </w:r>
    </w:p>
    <w:p w14:paraId="56528075"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lang w:val="en-US"/>
        </w:rPr>
        <w:t>Internationa</w:t>
      </w:r>
      <w:r>
        <w:rPr>
          <w:rFonts w:ascii="Times New Roman" w:hAnsi="Times New Roman" w:cs="Times New Roman"/>
          <w:color w:val="000000" w:themeColor="text1"/>
          <w:lang w:val="en-US"/>
        </w:rPr>
        <w:t>l Electrotechnical Commission (IEC) (2003). Insulating liquids Determination of acidity (IEC 62021-1)</w:t>
      </w:r>
    </w:p>
    <w:p w14:paraId="3616FA52"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lang w:val="en-US"/>
        </w:rPr>
        <w:t xml:space="preserve">International Electrotechnical Commission (IEC) (2014). Insulating </w:t>
      </w:r>
      <w:proofErr w:type="gramStart"/>
      <w:r>
        <w:rPr>
          <w:rFonts w:ascii="Times New Roman" w:hAnsi="Times New Roman" w:cs="Times New Roman"/>
          <w:color w:val="000000" w:themeColor="text1"/>
          <w:lang w:val="en-US"/>
        </w:rPr>
        <w:t>liquids  General</w:t>
      </w:r>
      <w:proofErr w:type="gramEnd"/>
      <w:r>
        <w:rPr>
          <w:rFonts w:ascii="Times New Roman" w:hAnsi="Times New Roman" w:cs="Times New Roman"/>
          <w:color w:val="000000" w:themeColor="text1"/>
          <w:lang w:val="en-US"/>
        </w:rPr>
        <w:t xml:space="preserve"> requirements (IEC 60296)</w:t>
      </w:r>
    </w:p>
    <w:p w14:paraId="2A8DF242"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IEC. (2018). IEC 60156: Insulating liquids—De</w:t>
      </w:r>
      <w:r>
        <w:rPr>
          <w:rFonts w:ascii="Times New Roman" w:hAnsi="Times New Roman" w:cs="Times New Roman"/>
          <w:color w:val="000000" w:themeColor="text1"/>
        </w:rPr>
        <w:t>termination of the breakdown voltage at power frequency. International Electrotechnical Commission.</w:t>
      </w:r>
    </w:p>
    <w:p w14:paraId="229398FB"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International Electrotechnical Commission. (2020). IEC 60296: Fluids for electrotechnical applications – Mineral insulating oils for electrical equipment. I</w:t>
      </w:r>
      <w:r>
        <w:rPr>
          <w:rFonts w:ascii="Times New Roman" w:hAnsi="Times New Roman" w:cs="Times New Roman"/>
          <w:color w:val="000000" w:themeColor="text1"/>
        </w:rPr>
        <w:t>EC.</w:t>
      </w:r>
    </w:p>
    <w:p w14:paraId="1360A835"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Liu, Y., Zhang, H., &amp; Wang, X. (2015). Environmental impact of mineral-based transformer oils: Toxicity, persistence, and ecological risks. Environmental Science and Pollution Research, 22(14), 11034–11045.</w:t>
      </w:r>
    </w:p>
    <w:p w14:paraId="7E21B69E"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Luo, X., Zhang, Y., &amp; Chen, J. (2024). Advanc</w:t>
      </w:r>
      <w:r>
        <w:rPr>
          <w:rFonts w:ascii="Times New Roman" w:hAnsi="Times New Roman" w:cs="Times New Roman"/>
          <w:color w:val="000000" w:themeColor="text1"/>
        </w:rPr>
        <w:t>ed diagnostic techniques for transformer oil condition monitoring. IEEE Transactions on Dielectrics and Electrical Insulation, 31(2), 456–468.</w:t>
      </w:r>
    </w:p>
    <w:p w14:paraId="6E67C288"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Nguyen, T. T., Pham, H. M., &amp; Le, V. H. (2017). Palm kernel shell biochar for regeneration of aged transformer oi</w:t>
      </w:r>
      <w:r>
        <w:rPr>
          <w:rFonts w:ascii="Times New Roman" w:hAnsi="Times New Roman" w:cs="Times New Roman"/>
          <w:color w:val="000000" w:themeColor="text1"/>
        </w:rPr>
        <w:t>l. Journal of Cleaner Production, 162, 350–361.</w:t>
      </w:r>
    </w:p>
    <w:p w14:paraId="1D9ED46B"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Nigerian Electricity Regulatory Commission (NERC). (2022). Annual operational and financial report. Nigerian Electricity Regulatory Commission.</w:t>
      </w:r>
    </w:p>
    <w:p w14:paraId="7147CDD5"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Okafor, C. C., Eze, S. O., &amp; Okoye, C. O. (2018). Regeneration o</w:t>
      </w:r>
      <w:r>
        <w:rPr>
          <w:rFonts w:ascii="Times New Roman" w:hAnsi="Times New Roman" w:cs="Times New Roman"/>
          <w:color w:val="000000" w:themeColor="text1"/>
        </w:rPr>
        <w:t>f aged transformer oil using coconut shell–based activated carbon. Nigerian Journal of Technological Development, 15(2), 65–72.</w:t>
      </w:r>
    </w:p>
    <w:p w14:paraId="6AB050B9"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Onyeka, S. O., Edeh, I., &amp; Evbuomwan, B. O. (2025). Regeneration of Spent Transformer Oil Using Bentonite Clay and Palm Kernel S</w:t>
      </w:r>
      <w:r>
        <w:rPr>
          <w:rFonts w:ascii="Times New Roman" w:hAnsi="Times New Roman" w:cs="Times New Roman"/>
          <w:color w:val="000000" w:themeColor="text1"/>
        </w:rPr>
        <w:t>hell. Civil and Environmental Science International Journal, 10(1), 1-12</w:t>
      </w:r>
    </w:p>
    <w:p w14:paraId="0915BC3A"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Okoro, D., &amp; Eze, C. (2020). Transformer oil treatment using hybrid filtration and vacuum drying. Electric Power Components and Systems, 48(5–6), 512–523.</w:t>
      </w:r>
    </w:p>
    <w:p w14:paraId="21E2A994"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Qin, X. (2017). Transformer </w:t>
      </w:r>
      <w:r>
        <w:rPr>
          <w:rFonts w:ascii="Times New Roman" w:hAnsi="Times New Roman" w:cs="Times New Roman"/>
          <w:color w:val="000000" w:themeColor="text1"/>
        </w:rPr>
        <w:t>oil regeneration technologies: A comprehensive review. Energy Systems Review, 9(3), 150–170.</w:t>
      </w:r>
    </w:p>
    <w:p w14:paraId="0F906890"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Sarma, S., &amp; Dash, K. (2020). Design and function of transformer conservator tanks in oil-filled systems. Power Engineering International, 27(4), 77–85.</w:t>
      </w:r>
    </w:p>
    <w:p w14:paraId="32080EF7"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Sharma, R.</w:t>
      </w:r>
      <w:r>
        <w:rPr>
          <w:rFonts w:ascii="Times New Roman" w:hAnsi="Times New Roman" w:cs="Times New Roman"/>
          <w:color w:val="000000" w:themeColor="text1"/>
        </w:rPr>
        <w:t>, &amp; Patel, H. (2015). Regeneration of contaminated transformer oil using silica from rice husk ash. International Journal of Engineering Research, 4(6), 304–310.</w:t>
      </w:r>
    </w:p>
    <w:p w14:paraId="7A32EB79"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United Nations Environment Programme (UNEP). (2018). Guidelines for the environmentally sound </w:t>
      </w:r>
      <w:r>
        <w:rPr>
          <w:rFonts w:ascii="Times New Roman" w:hAnsi="Times New Roman" w:cs="Times New Roman"/>
          <w:color w:val="000000" w:themeColor="text1"/>
        </w:rPr>
        <w:t>management of used oils. UNEP.</w:t>
      </w:r>
    </w:p>
    <w:p w14:paraId="0E8087AE"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Verla, A. W., Verla, E. N., &amp; Enyoh, C. E. (2012). Moisture and ash content determination in biomass-based activated carbons. Chemistry International, 1(2), 21–27.</w:t>
      </w:r>
    </w:p>
    <w:p w14:paraId="73E1E876"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Waychal, P., Zambare, S., &amp; Jain, D. (2013). Thermal and elec</w:t>
      </w:r>
      <w:r>
        <w:rPr>
          <w:rFonts w:ascii="Times New Roman" w:hAnsi="Times New Roman" w:cs="Times New Roman"/>
          <w:color w:val="000000" w:themeColor="text1"/>
        </w:rPr>
        <w:t>trical behavior of transformer oils under load conditions. Journal of Electrical Insulation Materials, 22(4), 101–110.</w:t>
      </w:r>
    </w:p>
    <w:p w14:paraId="3C9FF74B"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Yahya, M. A., Al-Qodah, Z., &amp; Ngah, C. Z. (2015). Agricultural waste materials as potential sustainable precursors used for activated car</w:t>
      </w:r>
      <w:r>
        <w:rPr>
          <w:rFonts w:ascii="Times New Roman" w:hAnsi="Times New Roman" w:cs="Times New Roman"/>
          <w:color w:val="000000" w:themeColor="text1"/>
        </w:rPr>
        <w:t>bon production: A review. Renewable and Sustainable Energy Reviews, 46, 218–235.</w:t>
      </w:r>
    </w:p>
    <w:p w14:paraId="5FDEDEF9"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Yang, L., Zhang, Y., &amp; Chen, X. (2022). Coconut-shell-based activated carbon for transformer oil purification: Preparation, modification, and adsorption mechanisms. Journal of</w:t>
      </w:r>
      <w:r>
        <w:rPr>
          <w:rFonts w:ascii="Times New Roman" w:hAnsi="Times New Roman" w:cs="Times New Roman"/>
          <w:color w:val="000000" w:themeColor="text1"/>
        </w:rPr>
        <w:t xml:space="preserve"> Cleaner Production, 350, 131503.</w:t>
      </w:r>
    </w:p>
    <w:p w14:paraId="041CD16D"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Yang, Q., &amp; Liu, Y. (2016). Properties and performance of silicone and synthetic ester insulating oils. Journal of Electrical Materials, 22(4), 321–330.</w:t>
      </w:r>
    </w:p>
    <w:p w14:paraId="609AE357"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Yao, H., Deng, G., &amp; Li, S. (2015). Acid–alkali treatment process for</w:t>
      </w:r>
      <w:r>
        <w:rPr>
          <w:rFonts w:ascii="Times New Roman" w:hAnsi="Times New Roman" w:cs="Times New Roman"/>
          <w:color w:val="000000" w:themeColor="text1"/>
        </w:rPr>
        <w:t xml:space="preserve"> restoring transformer oil quality. Industrial Chemistry Review, 11(3), 98–108.</w:t>
      </w:r>
    </w:p>
    <w:p w14:paraId="311068E8"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Yin, J. (2017). Oxidative regeneration of waste lubricating and insulating oils using precipitation techniques. Waste Management, 68, 520–528.</w:t>
      </w:r>
    </w:p>
    <w:p w14:paraId="5D956020"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Zhang, H., &amp; Zhu, Y. (2015). Hydr</w:t>
      </w:r>
      <w:r>
        <w:rPr>
          <w:rFonts w:ascii="Times New Roman" w:hAnsi="Times New Roman" w:cs="Times New Roman"/>
          <w:color w:val="000000" w:themeColor="text1"/>
        </w:rPr>
        <w:t>ocarbon-based insulating oils: Composition, performance, and applications. Journal of Petroleum Science and Engineering, 133, 851–860.</w:t>
      </w:r>
    </w:p>
    <w:p w14:paraId="46958F48" w14:textId="77777777" w:rsidR="0078026E" w:rsidRDefault="003452F6">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Zhu, X., &amp; Chang, R. (2019). Vacuum dehydration and degassing techniques for transformer oil purification. IEEE Transacti</w:t>
      </w:r>
      <w:r>
        <w:rPr>
          <w:rFonts w:ascii="Times New Roman" w:hAnsi="Times New Roman" w:cs="Times New Roman"/>
          <w:color w:val="000000" w:themeColor="text1"/>
        </w:rPr>
        <w:t>ons on Power Delivery, 34(5), 2050–2058.</w:t>
      </w:r>
    </w:p>
    <w:p w14:paraId="72A686F5" w14:textId="77777777" w:rsidR="0078026E" w:rsidRDefault="0078026E">
      <w:pPr>
        <w:pStyle w:val="NormalWeb"/>
        <w:spacing w:line="360" w:lineRule="auto"/>
        <w:ind w:hanging="720"/>
        <w:jc w:val="both"/>
        <w:rPr>
          <w:color w:val="000000" w:themeColor="text1"/>
        </w:rPr>
      </w:pPr>
    </w:p>
    <w:sectPr w:rsidR="007802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58E25" w14:textId="77777777" w:rsidR="003452F6" w:rsidRDefault="003452F6">
      <w:pPr>
        <w:spacing w:line="240" w:lineRule="auto"/>
      </w:pPr>
      <w:r>
        <w:separator/>
      </w:r>
    </w:p>
  </w:endnote>
  <w:endnote w:type="continuationSeparator" w:id="0">
    <w:p w14:paraId="24126105" w14:textId="77777777" w:rsidR="003452F6" w:rsidRDefault="00345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4C1" w14:textId="77777777" w:rsidR="00714918" w:rsidRDefault="00714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240C5" w14:textId="77777777" w:rsidR="00714918" w:rsidRDefault="00714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390A" w14:textId="77777777" w:rsidR="00714918" w:rsidRDefault="00714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5C1C7" w14:textId="77777777" w:rsidR="003452F6" w:rsidRDefault="003452F6">
      <w:pPr>
        <w:spacing w:after="0"/>
      </w:pPr>
      <w:r>
        <w:separator/>
      </w:r>
    </w:p>
  </w:footnote>
  <w:footnote w:type="continuationSeparator" w:id="0">
    <w:p w14:paraId="5F7D53AE" w14:textId="77777777" w:rsidR="003452F6" w:rsidRDefault="003452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B2B71" w14:textId="677E571E" w:rsidR="00714918" w:rsidRDefault="00714918">
    <w:pPr>
      <w:pStyle w:val="Header"/>
    </w:pPr>
    <w:r>
      <w:rPr>
        <w:noProof/>
      </w:rPr>
      <w:pict w14:anchorId="7014C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BD99" w14:textId="0689A5F4" w:rsidR="00714918" w:rsidRDefault="00714918">
    <w:pPr>
      <w:pStyle w:val="Header"/>
    </w:pPr>
    <w:r>
      <w:rPr>
        <w:noProof/>
      </w:rPr>
      <w:pict w14:anchorId="2159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EA31" w14:textId="54B26122" w:rsidR="00714918" w:rsidRDefault="00714918">
    <w:pPr>
      <w:pStyle w:val="Header"/>
    </w:pPr>
    <w:r>
      <w:rPr>
        <w:noProof/>
      </w:rPr>
      <w:pict w14:anchorId="508D3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5C23A9"/>
    <w:multiLevelType w:val="singleLevel"/>
    <w:tmpl w:val="5F5C23A9"/>
    <w:lvl w:ilvl="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41"/>
    <w:rsid w:val="00002BDA"/>
    <w:rsid w:val="000152A5"/>
    <w:rsid w:val="00023804"/>
    <w:rsid w:val="000634AA"/>
    <w:rsid w:val="000A2DEF"/>
    <w:rsid w:val="000C236A"/>
    <w:rsid w:val="000D17AB"/>
    <w:rsid w:val="000E3346"/>
    <w:rsid w:val="000F1584"/>
    <w:rsid w:val="000F6023"/>
    <w:rsid w:val="001119EF"/>
    <w:rsid w:val="00114EED"/>
    <w:rsid w:val="00123FF0"/>
    <w:rsid w:val="001402D4"/>
    <w:rsid w:val="0015315A"/>
    <w:rsid w:val="00161A40"/>
    <w:rsid w:val="0018579B"/>
    <w:rsid w:val="001A7D19"/>
    <w:rsid w:val="001B768B"/>
    <w:rsid w:val="002008AF"/>
    <w:rsid w:val="00212B8B"/>
    <w:rsid w:val="00247D87"/>
    <w:rsid w:val="002562F6"/>
    <w:rsid w:val="00260741"/>
    <w:rsid w:val="002832CA"/>
    <w:rsid w:val="00291DE2"/>
    <w:rsid w:val="002A7BF5"/>
    <w:rsid w:val="002E0BFF"/>
    <w:rsid w:val="002F4DC5"/>
    <w:rsid w:val="002F5EF9"/>
    <w:rsid w:val="0031771B"/>
    <w:rsid w:val="00326F74"/>
    <w:rsid w:val="003452F6"/>
    <w:rsid w:val="00372A4B"/>
    <w:rsid w:val="00395A7A"/>
    <w:rsid w:val="003A008B"/>
    <w:rsid w:val="003A169A"/>
    <w:rsid w:val="003B78DB"/>
    <w:rsid w:val="003C39BD"/>
    <w:rsid w:val="00411018"/>
    <w:rsid w:val="004270B7"/>
    <w:rsid w:val="00451881"/>
    <w:rsid w:val="00491D12"/>
    <w:rsid w:val="004A5D1E"/>
    <w:rsid w:val="004C28E7"/>
    <w:rsid w:val="005304E2"/>
    <w:rsid w:val="005621D6"/>
    <w:rsid w:val="005651F0"/>
    <w:rsid w:val="00575109"/>
    <w:rsid w:val="005B65E7"/>
    <w:rsid w:val="005D600B"/>
    <w:rsid w:val="0064168E"/>
    <w:rsid w:val="0065431D"/>
    <w:rsid w:val="006741A4"/>
    <w:rsid w:val="0067726B"/>
    <w:rsid w:val="00684B18"/>
    <w:rsid w:val="006E70A8"/>
    <w:rsid w:val="00701F18"/>
    <w:rsid w:val="007147EE"/>
    <w:rsid w:val="00714918"/>
    <w:rsid w:val="00726677"/>
    <w:rsid w:val="00746A62"/>
    <w:rsid w:val="00766B1B"/>
    <w:rsid w:val="0078026E"/>
    <w:rsid w:val="00780B45"/>
    <w:rsid w:val="007D195B"/>
    <w:rsid w:val="007E3936"/>
    <w:rsid w:val="007F5090"/>
    <w:rsid w:val="007F7A08"/>
    <w:rsid w:val="00811FB6"/>
    <w:rsid w:val="00821390"/>
    <w:rsid w:val="00834C7D"/>
    <w:rsid w:val="00860F3C"/>
    <w:rsid w:val="008722E8"/>
    <w:rsid w:val="00884EB2"/>
    <w:rsid w:val="008A08AB"/>
    <w:rsid w:val="008B42FE"/>
    <w:rsid w:val="008E4E4C"/>
    <w:rsid w:val="0094207C"/>
    <w:rsid w:val="00950476"/>
    <w:rsid w:val="0095232C"/>
    <w:rsid w:val="00984B5F"/>
    <w:rsid w:val="00992827"/>
    <w:rsid w:val="00997584"/>
    <w:rsid w:val="009B5061"/>
    <w:rsid w:val="00A15067"/>
    <w:rsid w:val="00A3164F"/>
    <w:rsid w:val="00A46694"/>
    <w:rsid w:val="00A83ADF"/>
    <w:rsid w:val="00A87CEE"/>
    <w:rsid w:val="00A979FC"/>
    <w:rsid w:val="00AA127B"/>
    <w:rsid w:val="00AB0E8E"/>
    <w:rsid w:val="00AF25FA"/>
    <w:rsid w:val="00AF2703"/>
    <w:rsid w:val="00AF3BE0"/>
    <w:rsid w:val="00B06347"/>
    <w:rsid w:val="00B361C5"/>
    <w:rsid w:val="00B36B30"/>
    <w:rsid w:val="00B408B1"/>
    <w:rsid w:val="00B6613A"/>
    <w:rsid w:val="00B959E5"/>
    <w:rsid w:val="00BB2DD6"/>
    <w:rsid w:val="00BB4CAA"/>
    <w:rsid w:val="00BD7696"/>
    <w:rsid w:val="00C062E0"/>
    <w:rsid w:val="00C17355"/>
    <w:rsid w:val="00C53579"/>
    <w:rsid w:val="00C72F23"/>
    <w:rsid w:val="00C76AE1"/>
    <w:rsid w:val="00CA2CB4"/>
    <w:rsid w:val="00CC585D"/>
    <w:rsid w:val="00CE79A1"/>
    <w:rsid w:val="00D02071"/>
    <w:rsid w:val="00D17B44"/>
    <w:rsid w:val="00D43D39"/>
    <w:rsid w:val="00D44B5D"/>
    <w:rsid w:val="00D558E9"/>
    <w:rsid w:val="00D65527"/>
    <w:rsid w:val="00D8275D"/>
    <w:rsid w:val="00DA65A3"/>
    <w:rsid w:val="00E04ADB"/>
    <w:rsid w:val="00E74AC9"/>
    <w:rsid w:val="00E77E6C"/>
    <w:rsid w:val="00E93FB1"/>
    <w:rsid w:val="00E97327"/>
    <w:rsid w:val="00EA242D"/>
    <w:rsid w:val="00EA4188"/>
    <w:rsid w:val="00EA7C56"/>
    <w:rsid w:val="00EC2822"/>
    <w:rsid w:val="00EF339F"/>
    <w:rsid w:val="00EF4ADE"/>
    <w:rsid w:val="00F35C2F"/>
    <w:rsid w:val="00F37F21"/>
    <w:rsid w:val="00F4511F"/>
    <w:rsid w:val="00F67AA3"/>
    <w:rsid w:val="0215596D"/>
    <w:rsid w:val="02566477"/>
    <w:rsid w:val="034C1C36"/>
    <w:rsid w:val="040C55EB"/>
    <w:rsid w:val="043F37C2"/>
    <w:rsid w:val="054B039D"/>
    <w:rsid w:val="057E6895"/>
    <w:rsid w:val="05BF3F2F"/>
    <w:rsid w:val="05FA6A52"/>
    <w:rsid w:val="06532D85"/>
    <w:rsid w:val="06E778CF"/>
    <w:rsid w:val="08036534"/>
    <w:rsid w:val="080804DF"/>
    <w:rsid w:val="094E033A"/>
    <w:rsid w:val="0A336104"/>
    <w:rsid w:val="0A641F21"/>
    <w:rsid w:val="0B564C52"/>
    <w:rsid w:val="0C774C37"/>
    <w:rsid w:val="0D5A6B1A"/>
    <w:rsid w:val="0E0B07B8"/>
    <w:rsid w:val="0E572549"/>
    <w:rsid w:val="107F069A"/>
    <w:rsid w:val="110D5A42"/>
    <w:rsid w:val="11804748"/>
    <w:rsid w:val="11D4290A"/>
    <w:rsid w:val="126122B6"/>
    <w:rsid w:val="12AD3EC9"/>
    <w:rsid w:val="13235365"/>
    <w:rsid w:val="140838EB"/>
    <w:rsid w:val="1682360E"/>
    <w:rsid w:val="16C53E67"/>
    <w:rsid w:val="16D43DC3"/>
    <w:rsid w:val="18027B0E"/>
    <w:rsid w:val="18BB15FC"/>
    <w:rsid w:val="1AD63A7F"/>
    <w:rsid w:val="1AEC06BC"/>
    <w:rsid w:val="1B5B6771"/>
    <w:rsid w:val="1BA33377"/>
    <w:rsid w:val="1D7B41ED"/>
    <w:rsid w:val="1DA41B2E"/>
    <w:rsid w:val="1E8E096D"/>
    <w:rsid w:val="1EAA34D4"/>
    <w:rsid w:val="1F4007B6"/>
    <w:rsid w:val="1FD617DD"/>
    <w:rsid w:val="20DC38FA"/>
    <w:rsid w:val="21FC539C"/>
    <w:rsid w:val="223312CE"/>
    <w:rsid w:val="22A62223"/>
    <w:rsid w:val="22D07A5E"/>
    <w:rsid w:val="22FA25EF"/>
    <w:rsid w:val="22FE4BD2"/>
    <w:rsid w:val="245D2237"/>
    <w:rsid w:val="246E78A3"/>
    <w:rsid w:val="249B3D44"/>
    <w:rsid w:val="25261CB5"/>
    <w:rsid w:val="26BD3BD5"/>
    <w:rsid w:val="26D37A33"/>
    <w:rsid w:val="294C13C0"/>
    <w:rsid w:val="2B7405F6"/>
    <w:rsid w:val="2D172720"/>
    <w:rsid w:val="2D4B705C"/>
    <w:rsid w:val="2EA74ED1"/>
    <w:rsid w:val="2FDD7395"/>
    <w:rsid w:val="34812B9C"/>
    <w:rsid w:val="34CA19F4"/>
    <w:rsid w:val="35754EC5"/>
    <w:rsid w:val="35CC7970"/>
    <w:rsid w:val="366D7C02"/>
    <w:rsid w:val="37666E72"/>
    <w:rsid w:val="38C53A27"/>
    <w:rsid w:val="39800415"/>
    <w:rsid w:val="39931A05"/>
    <w:rsid w:val="3A684EE0"/>
    <w:rsid w:val="3A97665F"/>
    <w:rsid w:val="3B037AD7"/>
    <w:rsid w:val="3CB32B11"/>
    <w:rsid w:val="3CC67E5A"/>
    <w:rsid w:val="3F271176"/>
    <w:rsid w:val="3FC0486E"/>
    <w:rsid w:val="3FD85C86"/>
    <w:rsid w:val="40787E17"/>
    <w:rsid w:val="410364C5"/>
    <w:rsid w:val="413A63D2"/>
    <w:rsid w:val="41AA67C7"/>
    <w:rsid w:val="41FC086B"/>
    <w:rsid w:val="42316284"/>
    <w:rsid w:val="43407B62"/>
    <w:rsid w:val="43640156"/>
    <w:rsid w:val="44DC41A6"/>
    <w:rsid w:val="46B4240A"/>
    <w:rsid w:val="47F0578A"/>
    <w:rsid w:val="488C0094"/>
    <w:rsid w:val="49192208"/>
    <w:rsid w:val="49240122"/>
    <w:rsid w:val="49D35E2D"/>
    <w:rsid w:val="4A6661FA"/>
    <w:rsid w:val="4AB60996"/>
    <w:rsid w:val="4BC55D8A"/>
    <w:rsid w:val="4C8E5CA5"/>
    <w:rsid w:val="4D6833E3"/>
    <w:rsid w:val="4DFD248A"/>
    <w:rsid w:val="4E032A66"/>
    <w:rsid w:val="4E2635C9"/>
    <w:rsid w:val="4EDC49A8"/>
    <w:rsid w:val="4EFB7302"/>
    <w:rsid w:val="4F457D08"/>
    <w:rsid w:val="4FBC3C5F"/>
    <w:rsid w:val="506F3702"/>
    <w:rsid w:val="51541D83"/>
    <w:rsid w:val="532A1846"/>
    <w:rsid w:val="554B51B8"/>
    <w:rsid w:val="56B52C69"/>
    <w:rsid w:val="56CB79B7"/>
    <w:rsid w:val="57050FA0"/>
    <w:rsid w:val="575A48A4"/>
    <w:rsid w:val="585D1031"/>
    <w:rsid w:val="58981452"/>
    <w:rsid w:val="58B77D99"/>
    <w:rsid w:val="5A67219A"/>
    <w:rsid w:val="5B051952"/>
    <w:rsid w:val="5B5962C5"/>
    <w:rsid w:val="5BDD0946"/>
    <w:rsid w:val="5C5F6B69"/>
    <w:rsid w:val="5E5F76C5"/>
    <w:rsid w:val="5ECF2E97"/>
    <w:rsid w:val="5F0707E8"/>
    <w:rsid w:val="5F4C0F51"/>
    <w:rsid w:val="608B4472"/>
    <w:rsid w:val="61A56906"/>
    <w:rsid w:val="627E7B09"/>
    <w:rsid w:val="62C63D9D"/>
    <w:rsid w:val="63347599"/>
    <w:rsid w:val="633B2EE7"/>
    <w:rsid w:val="63467B6E"/>
    <w:rsid w:val="63E044E9"/>
    <w:rsid w:val="64056CA7"/>
    <w:rsid w:val="641B0FA6"/>
    <w:rsid w:val="64470BBF"/>
    <w:rsid w:val="65C53405"/>
    <w:rsid w:val="677A17D2"/>
    <w:rsid w:val="6893310E"/>
    <w:rsid w:val="68AD66CB"/>
    <w:rsid w:val="696025A2"/>
    <w:rsid w:val="6BD07F47"/>
    <w:rsid w:val="6BF36128"/>
    <w:rsid w:val="6EDE174C"/>
    <w:rsid w:val="6F702E68"/>
    <w:rsid w:val="6FB45735"/>
    <w:rsid w:val="70D95C27"/>
    <w:rsid w:val="71304DCD"/>
    <w:rsid w:val="71B30B97"/>
    <w:rsid w:val="74F21EC2"/>
    <w:rsid w:val="75343799"/>
    <w:rsid w:val="774814FC"/>
    <w:rsid w:val="777F5E11"/>
    <w:rsid w:val="78D51BC9"/>
    <w:rsid w:val="79554795"/>
    <w:rsid w:val="799F19BA"/>
    <w:rsid w:val="79CF5664"/>
    <w:rsid w:val="7A2C376D"/>
    <w:rsid w:val="7A7C6A82"/>
    <w:rsid w:val="7AA53CEB"/>
    <w:rsid w:val="7B5A3446"/>
    <w:rsid w:val="7CE36D30"/>
    <w:rsid w:val="7D3B0B43"/>
    <w:rsid w:val="7D3C6605"/>
    <w:rsid w:val="7D6E03EA"/>
    <w:rsid w:val="7E71642D"/>
    <w:rsid w:val="7ECA7828"/>
    <w:rsid w:val="7F0D1E1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5EEE4CC"/>
  <w15:docId w15:val="{BE67E819-1A2F-4E42-A9A2-5A901D9A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lang w:val="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sz w:val="22"/>
      <w:szCs w:val="22"/>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sz w:val="22"/>
      <w:szCs w:val="22"/>
      <w:lang w:val="en-U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pos="9350"/>
      </w:tabs>
      <w:spacing w:before="120" w:after="0" w:line="256" w:lineRule="auto"/>
      <w:jc w:val="center"/>
    </w:pPr>
    <w:rPr>
      <w:rFonts w:ascii="Times New Roman" w:hAnsi="Times New Roman" w:cs="Times New Roman"/>
      <w:b/>
      <w:bCs/>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yperlink1">
    <w:name w:val="Hyperlink1"/>
    <w:basedOn w:val="DefaultParagraphFont"/>
    <w:uiPriority w:val="99"/>
    <w:unhideWhenUsed/>
    <w:qFormat/>
    <w:rPr>
      <w:color w:val="0563C1"/>
      <w:u w:val="single"/>
    </w:rPr>
  </w:style>
  <w:style w:type="character" w:styleId="PlaceholderText">
    <w:name w:val="Placeholder Text"/>
    <w:basedOn w:val="DefaultParagraphFont"/>
    <w:uiPriority w:val="99"/>
    <w:semiHidden/>
    <w:qFormat/>
    <w:rPr>
      <w:color w:val="666666"/>
    </w:rPr>
  </w:style>
  <w:style w:type="paragraph" w:customStyle="1" w:styleId="Caption1">
    <w:name w:val="Caption1"/>
    <w:basedOn w:val="Normal"/>
    <w:next w:val="Normal"/>
    <w:uiPriority w:val="35"/>
    <w:unhideWhenUsed/>
    <w:qFormat/>
    <w:pPr>
      <w:spacing w:after="200" w:line="240" w:lineRule="auto"/>
    </w:pPr>
    <w:rPr>
      <w:i/>
      <w:iCs/>
      <w:color w:val="44546A"/>
      <w:sz w:val="18"/>
      <w:szCs w:val="18"/>
      <w:lang w:val="en-US"/>
    </w:rPr>
  </w:style>
  <w:style w:type="character" w:customStyle="1" w:styleId="HeaderChar">
    <w:name w:val="Header Char"/>
    <w:basedOn w:val="DefaultParagraphFont"/>
    <w:link w:val="Header"/>
    <w:uiPriority w:val="99"/>
    <w:qFormat/>
    <w:rPr>
      <w:sz w:val="22"/>
      <w:szCs w:val="22"/>
      <w:lang w:val="en-US"/>
    </w:rPr>
  </w:style>
  <w:style w:type="character" w:customStyle="1" w:styleId="FooterChar">
    <w:name w:val="Footer Char"/>
    <w:basedOn w:val="DefaultParagraphFont"/>
    <w:link w:val="Footer"/>
    <w:uiPriority w:val="99"/>
    <w:qFormat/>
    <w:rPr>
      <w:sz w:val="22"/>
      <w:szCs w:val="22"/>
      <w:lang w:val="en-US"/>
    </w:rPr>
  </w:style>
  <w:style w:type="paragraph" w:customStyle="1" w:styleId="TOCHeading1">
    <w:name w:val="TOC Heading1"/>
    <w:basedOn w:val="Heading1"/>
    <w:next w:val="Normal"/>
    <w:uiPriority w:val="39"/>
    <w:unhideWhenUsed/>
    <w:qFormat/>
    <w:pPr>
      <w:spacing w:before="240" w:after="0" w:line="259" w:lineRule="auto"/>
      <w:outlineLvl w:val="9"/>
    </w:pPr>
    <w:rPr>
      <w:kern w:val="0"/>
      <w:sz w:val="32"/>
      <w:szCs w:val="32"/>
      <w:lang w:val="en-US"/>
      <w14:ligatures w14:val="none"/>
    </w:rPr>
  </w:style>
  <w:style w:type="paragraph" w:customStyle="1" w:styleId="TOC21">
    <w:name w:val="TOC 21"/>
    <w:basedOn w:val="Normal"/>
    <w:next w:val="Normal"/>
    <w:autoRedefine/>
    <w:uiPriority w:val="39"/>
    <w:unhideWhenUsed/>
    <w:qFormat/>
    <w:pPr>
      <w:spacing w:before="120" w:after="0" w:line="256" w:lineRule="auto"/>
      <w:ind w:left="220"/>
    </w:pPr>
    <w:rPr>
      <w:rFonts w:cs="Calibri"/>
      <w:b/>
      <w:bCs/>
      <w:sz w:val="22"/>
      <w:szCs w:val="22"/>
      <w:lang w:val="en-US"/>
    </w:rPr>
  </w:style>
  <w:style w:type="paragraph" w:customStyle="1" w:styleId="TOC31">
    <w:name w:val="TOC 31"/>
    <w:basedOn w:val="Normal"/>
    <w:next w:val="Normal"/>
    <w:autoRedefine/>
    <w:uiPriority w:val="39"/>
    <w:unhideWhenUsed/>
    <w:qFormat/>
    <w:pPr>
      <w:spacing w:after="0" w:line="256" w:lineRule="auto"/>
      <w:ind w:left="440"/>
    </w:pPr>
    <w:rPr>
      <w:rFonts w:cs="Calibri"/>
      <w:sz w:val="20"/>
      <w:szCs w:val="20"/>
      <w:lang w:val="en-US"/>
    </w:rPr>
  </w:style>
  <w:style w:type="paragraph" w:customStyle="1" w:styleId="TOC41">
    <w:name w:val="TOC 41"/>
    <w:basedOn w:val="Normal"/>
    <w:next w:val="Normal"/>
    <w:autoRedefine/>
    <w:uiPriority w:val="39"/>
    <w:unhideWhenUsed/>
    <w:qFormat/>
    <w:pPr>
      <w:spacing w:after="0" w:line="256" w:lineRule="auto"/>
      <w:ind w:left="660"/>
    </w:pPr>
    <w:rPr>
      <w:rFonts w:cs="Calibri"/>
      <w:sz w:val="20"/>
      <w:szCs w:val="20"/>
      <w:lang w:val="en-US"/>
    </w:rPr>
  </w:style>
  <w:style w:type="paragraph" w:customStyle="1" w:styleId="TOC51">
    <w:name w:val="TOC 51"/>
    <w:basedOn w:val="Normal"/>
    <w:next w:val="Normal"/>
    <w:autoRedefine/>
    <w:uiPriority w:val="39"/>
    <w:unhideWhenUsed/>
    <w:qFormat/>
    <w:pPr>
      <w:spacing w:after="0" w:line="256" w:lineRule="auto"/>
      <w:ind w:left="880"/>
    </w:pPr>
    <w:rPr>
      <w:rFonts w:cs="Calibri"/>
      <w:sz w:val="20"/>
      <w:szCs w:val="20"/>
      <w:lang w:val="en-US"/>
    </w:rPr>
  </w:style>
  <w:style w:type="paragraph" w:customStyle="1" w:styleId="TOC61">
    <w:name w:val="TOC 61"/>
    <w:basedOn w:val="Normal"/>
    <w:next w:val="Normal"/>
    <w:autoRedefine/>
    <w:uiPriority w:val="39"/>
    <w:unhideWhenUsed/>
    <w:qFormat/>
    <w:pPr>
      <w:spacing w:after="0" w:line="256" w:lineRule="auto"/>
      <w:ind w:left="1100"/>
    </w:pPr>
    <w:rPr>
      <w:rFonts w:cs="Calibri"/>
      <w:sz w:val="20"/>
      <w:szCs w:val="20"/>
      <w:lang w:val="en-US"/>
    </w:rPr>
  </w:style>
  <w:style w:type="paragraph" w:customStyle="1" w:styleId="TOC71">
    <w:name w:val="TOC 71"/>
    <w:basedOn w:val="Normal"/>
    <w:next w:val="Normal"/>
    <w:autoRedefine/>
    <w:uiPriority w:val="39"/>
    <w:unhideWhenUsed/>
    <w:qFormat/>
    <w:pPr>
      <w:spacing w:after="0" w:line="256" w:lineRule="auto"/>
      <w:ind w:left="1320"/>
    </w:pPr>
    <w:rPr>
      <w:rFonts w:cs="Calibri"/>
      <w:sz w:val="20"/>
      <w:szCs w:val="20"/>
      <w:lang w:val="en-US"/>
    </w:rPr>
  </w:style>
  <w:style w:type="paragraph" w:customStyle="1" w:styleId="TOC81">
    <w:name w:val="TOC 81"/>
    <w:basedOn w:val="Normal"/>
    <w:next w:val="Normal"/>
    <w:autoRedefine/>
    <w:uiPriority w:val="39"/>
    <w:unhideWhenUsed/>
    <w:qFormat/>
    <w:pPr>
      <w:spacing w:after="0" w:line="256" w:lineRule="auto"/>
      <w:ind w:left="1540"/>
    </w:pPr>
    <w:rPr>
      <w:rFonts w:cs="Calibri"/>
      <w:sz w:val="20"/>
      <w:szCs w:val="20"/>
      <w:lang w:val="en-US"/>
    </w:rPr>
  </w:style>
  <w:style w:type="paragraph" w:customStyle="1" w:styleId="TOC91">
    <w:name w:val="TOC 91"/>
    <w:basedOn w:val="Normal"/>
    <w:next w:val="Normal"/>
    <w:autoRedefine/>
    <w:uiPriority w:val="39"/>
    <w:unhideWhenUsed/>
    <w:qFormat/>
    <w:pPr>
      <w:spacing w:after="0" w:line="256" w:lineRule="auto"/>
      <w:ind w:left="1760"/>
    </w:pPr>
    <w:rPr>
      <w:rFonts w:cs="Calibri"/>
      <w:sz w:val="20"/>
      <w:szCs w:val="20"/>
      <w:lang w:val="en-US"/>
    </w:rPr>
  </w:style>
  <w:style w:type="paragraph" w:customStyle="1" w:styleId="Myfigures">
    <w:name w:val="My figures"/>
    <w:basedOn w:val="Caption"/>
    <w:next w:val="Caption"/>
    <w:qFormat/>
    <w:pPr>
      <w:spacing w:line="360" w:lineRule="auto"/>
    </w:pPr>
    <w:rPr>
      <w:rFonts w:ascii="Times New Roman" w:hAnsi="Times New Roman" w:cs="Times New Roman"/>
      <w:b/>
      <w:bCs/>
      <w:color w:val="000000"/>
      <w:sz w:val="24"/>
      <w:szCs w:val="24"/>
      <w:lang w:val="en-US"/>
    </w:rPr>
  </w:style>
  <w:style w:type="paragraph" w:customStyle="1" w:styleId="Mytable">
    <w:name w:val="My table"/>
    <w:basedOn w:val="Caption"/>
    <w:next w:val="Caption"/>
    <w:qFormat/>
    <w:rPr>
      <w:rFonts w:ascii="Times New Roman" w:hAnsi="Times New Roman"/>
      <w:color w:val="000000"/>
      <w:sz w:val="24"/>
      <w:lang w:val="en-US"/>
    </w:rPr>
  </w:style>
  <w:style w:type="paragraph" w:customStyle="1" w:styleId="TableofFigures1">
    <w:name w:val="Table of Figures1"/>
    <w:basedOn w:val="Normal"/>
    <w:next w:val="Normal"/>
    <w:uiPriority w:val="99"/>
    <w:unhideWhenUsed/>
    <w:qFormat/>
    <w:pPr>
      <w:spacing w:after="0" w:line="256" w:lineRule="auto"/>
      <w:ind w:left="440" w:hanging="440"/>
    </w:pPr>
    <w:rPr>
      <w:rFonts w:cs="Calibri"/>
      <w:smallCaps/>
      <w:sz w:val="20"/>
      <w:szCs w:val="20"/>
      <w:lang w:val="en-US"/>
    </w:rPr>
  </w:style>
  <w:style w:type="paragraph" w:customStyle="1" w:styleId="listofplates">
    <w:name w:val="list of plates"/>
    <w:basedOn w:val="Caption"/>
    <w:next w:val="Caption"/>
    <w:qFormat/>
    <w:pPr>
      <w:spacing w:line="360" w:lineRule="auto"/>
    </w:pPr>
    <w:rPr>
      <w:rFonts w:ascii="Times New Roman" w:hAnsi="Times New Roman" w:cs="Times New Roman"/>
      <w:b/>
      <w:bCs/>
      <w:color w:val="000000"/>
      <w:sz w:val="24"/>
      <w:szCs w:val="24"/>
      <w:lang w:val="en-US"/>
    </w:rPr>
  </w:style>
  <w:style w:type="paragraph" w:customStyle="1" w:styleId="TableParagraph">
    <w:name w:val="Table Paragraph"/>
    <w:basedOn w:val="Normal"/>
    <w:uiPriority w:val="1"/>
    <w:qFormat/>
    <w:pPr>
      <w:widowControl w:val="0"/>
      <w:autoSpaceDE w:val="0"/>
      <w:autoSpaceDN w:val="0"/>
      <w:spacing w:after="0" w:line="240" w:lineRule="auto"/>
      <w:ind w:left="110"/>
    </w:pPr>
    <w:rPr>
      <w:rFonts w:ascii="Times New Roman" w:eastAsia="Times New Roman" w:hAnsi="Times New Roman" w:cs="Times New Roman"/>
      <w:kern w:val="0"/>
      <w:sz w:val="22"/>
      <w:szCs w:val="22"/>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kern w:val="2"/>
      <w:sz w:val="24"/>
      <w:szCs w:val="24"/>
      <w:lang w:val="zh-CN"/>
      <w14:ligatures w14:val="standardContextual"/>
    </w:rPr>
  </w:style>
  <w:style w:type="character" w:styleId="UnresolvedMention">
    <w:name w:val="Unresolved Mention"/>
    <w:basedOn w:val="DefaultParagraphFont"/>
    <w:uiPriority w:val="99"/>
    <w:semiHidden/>
    <w:unhideWhenUsed/>
    <w:rsid w:val="00372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14</Pages>
  <Words>5921</Words>
  <Characters>33753</Characters>
  <Application>Microsoft Office Word</Application>
  <DocSecurity>0</DocSecurity>
  <Lines>281</Lines>
  <Paragraphs>79</Paragraphs>
  <ScaleCrop>false</ScaleCrop>
  <Company/>
  <LinksUpToDate>false</LinksUpToDate>
  <CharactersWithSpaces>39595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21</cp:revision>
  <dcterms:created xsi:type="dcterms:W3CDTF">2026-03-12T11:57:00Z</dcterms:created>
  <dcterms:modified xsi:type="dcterms:W3CDTF">2026-04-03T08:17:00Z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2183C82D89324C6DB4F7F3F848080C37_12</vt:lpwstr>
  </property>
</Properties>
</file>