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EDCC3" w14:textId="77777777" w:rsidR="005529EC" w:rsidRPr="009C7608" w:rsidRDefault="005529EC" w:rsidP="005529EC">
      <w:pPr>
        <w:spacing w:after="0" w:line="360" w:lineRule="auto"/>
        <w:jc w:val="center"/>
        <w:rPr>
          <w:rFonts w:ascii="Times New Roman" w:hAnsi="Times New Roman"/>
          <w:b/>
          <w:bCs/>
          <w:sz w:val="28"/>
          <w:szCs w:val="28"/>
          <w:lang w:val="en-US"/>
        </w:rPr>
      </w:pPr>
      <w:bookmarkStart w:id="0" w:name="_Hlk194834233"/>
      <w:r w:rsidRPr="009C7608">
        <w:rPr>
          <w:rFonts w:ascii="Times New Roman" w:hAnsi="Times New Roman"/>
          <w:b/>
          <w:bCs/>
          <w:sz w:val="28"/>
          <w:szCs w:val="28"/>
          <w:lang w:val="en-US"/>
        </w:rPr>
        <w:t>Enhanced</w:t>
      </w:r>
      <w:bookmarkEnd w:id="0"/>
      <w:r w:rsidRPr="009C7608">
        <w:rPr>
          <w:rFonts w:ascii="Times New Roman" w:hAnsi="Times New Roman"/>
          <w:b/>
          <w:bCs/>
          <w:sz w:val="28"/>
          <w:szCs w:val="28"/>
          <w:lang w:val="en-US"/>
        </w:rPr>
        <w:t xml:space="preserve"> solubili</w:t>
      </w:r>
      <w:r w:rsidR="00832F5C">
        <w:rPr>
          <w:rFonts w:ascii="Times New Roman" w:hAnsi="Times New Roman"/>
          <w:b/>
          <w:bCs/>
          <w:sz w:val="28"/>
          <w:szCs w:val="28"/>
          <w:lang w:val="en-US"/>
        </w:rPr>
        <w:t>ty</w:t>
      </w:r>
      <w:r w:rsidRPr="009C7608">
        <w:rPr>
          <w:rFonts w:ascii="Times New Roman" w:hAnsi="Times New Roman"/>
          <w:b/>
          <w:bCs/>
          <w:sz w:val="28"/>
          <w:szCs w:val="28"/>
          <w:lang w:val="en-US"/>
        </w:rPr>
        <w:t xml:space="preserve"> of insecticide dicofol by using anionic and cationic surfactants in aqueous solution by </w:t>
      </w:r>
      <w:proofErr w:type="spellStart"/>
      <w:r w:rsidRPr="009C7608">
        <w:rPr>
          <w:rFonts w:ascii="Times New Roman" w:hAnsi="Times New Roman"/>
          <w:b/>
          <w:bCs/>
          <w:sz w:val="28"/>
          <w:szCs w:val="28"/>
          <w:lang w:val="en-US"/>
        </w:rPr>
        <w:t>micellisation</w:t>
      </w:r>
      <w:proofErr w:type="spellEnd"/>
    </w:p>
    <w:p w14:paraId="3DD807E5" w14:textId="77777777" w:rsidR="005529EC" w:rsidRPr="005529EC" w:rsidRDefault="005529EC" w:rsidP="005529EC">
      <w:pPr>
        <w:spacing w:after="0" w:line="360" w:lineRule="auto"/>
        <w:jc w:val="center"/>
        <w:rPr>
          <w:rFonts w:ascii="Times New Roman" w:hAnsi="Times New Roman"/>
          <w:b/>
          <w:bCs/>
          <w:sz w:val="24"/>
          <w:szCs w:val="24"/>
          <w:lang w:val="en-US"/>
        </w:rPr>
      </w:pPr>
    </w:p>
    <w:p w14:paraId="312AB724" w14:textId="77777777" w:rsidR="009E36A4" w:rsidRPr="009E36A4" w:rsidRDefault="009C7608" w:rsidP="009E36A4">
      <w:pPr>
        <w:spacing w:after="0" w:line="48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_____________________________</w:t>
      </w:r>
      <w:r w:rsidR="009E36A4" w:rsidRPr="009E36A4">
        <w:rPr>
          <w:rFonts w:ascii="Times New Roman" w:eastAsia="Times New Roman" w:hAnsi="Times New Roman" w:cs="Times New Roman"/>
          <w:sz w:val="24"/>
          <w:szCs w:val="24"/>
          <w:lang w:val="en-US" w:eastAsia="fr-FR"/>
        </w:rPr>
        <w:t>_________________________________</w:t>
      </w:r>
    </w:p>
    <w:p w14:paraId="4EC0A9BB" w14:textId="77777777" w:rsidR="009E36A4" w:rsidRPr="00383E70" w:rsidRDefault="009E36A4" w:rsidP="009E36A4">
      <w:pPr>
        <w:spacing w:after="0" w:line="360" w:lineRule="auto"/>
        <w:jc w:val="both"/>
        <w:rPr>
          <w:rFonts w:ascii="Times New Roman" w:hAnsi="Times New Roman" w:cs="Times New Roman"/>
          <w:b/>
          <w:sz w:val="24"/>
          <w:szCs w:val="24"/>
          <w:lang w:val="en-US"/>
        </w:rPr>
      </w:pPr>
      <w:r w:rsidRPr="00383E70">
        <w:rPr>
          <w:rFonts w:ascii="Times New Roman" w:hAnsi="Times New Roman" w:cs="Times New Roman"/>
          <w:b/>
          <w:sz w:val="24"/>
          <w:szCs w:val="24"/>
          <w:lang w:val="en-US"/>
        </w:rPr>
        <w:t>A</w:t>
      </w:r>
      <w:r w:rsidR="007E47A4" w:rsidRPr="00383E70">
        <w:rPr>
          <w:rFonts w:ascii="Times New Roman" w:hAnsi="Times New Roman" w:cs="Times New Roman"/>
          <w:b/>
          <w:sz w:val="24"/>
          <w:szCs w:val="24"/>
          <w:lang w:val="en-US"/>
        </w:rPr>
        <w:t>bstract</w:t>
      </w:r>
    </w:p>
    <w:p w14:paraId="503C59FA" w14:textId="77777777" w:rsidR="009E36A4" w:rsidRPr="009E36A4" w:rsidRDefault="009E36A4" w:rsidP="009E36A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this study, conducto</w:t>
      </w:r>
      <w:r w:rsidRPr="00383E70">
        <w:rPr>
          <w:rFonts w:ascii="Times New Roman" w:hAnsi="Times New Roman" w:cs="Times New Roman"/>
          <w:sz w:val="24"/>
          <w:szCs w:val="24"/>
          <w:lang w:val="en-US"/>
        </w:rPr>
        <w:t xml:space="preserve">metry was used to enhance the solubility of the insecticide dicofol in aqueous anionic (SDS) and cationic (TMTFB) micellar media. </w:t>
      </w:r>
      <w:r w:rsidRPr="006066E1">
        <w:rPr>
          <w:rFonts w:ascii="Times New Roman" w:hAnsi="Times New Roman" w:cs="Times New Roman"/>
          <w:sz w:val="24"/>
          <w:szCs w:val="24"/>
          <w:lang w:val="en-US"/>
        </w:rPr>
        <w:t>To carry out this work, the concentration of dicofol was varied from 0 to 25 µmol L</w:t>
      </w:r>
      <w:r w:rsidRPr="00AC3FA7">
        <w:rPr>
          <w:rFonts w:ascii="Times New Roman" w:hAnsi="Times New Roman" w:cs="Times New Roman"/>
          <w:sz w:val="24"/>
          <w:szCs w:val="24"/>
          <w:vertAlign w:val="superscript"/>
          <w:lang w:val="en-US"/>
        </w:rPr>
        <w:t>-1</w:t>
      </w:r>
      <w:r w:rsidRPr="006066E1">
        <w:rPr>
          <w:rFonts w:ascii="Times New Roman" w:hAnsi="Times New Roman" w:cs="Times New Roman"/>
          <w:sz w:val="24"/>
          <w:szCs w:val="24"/>
          <w:lang w:val="en-US"/>
        </w:rPr>
        <w:t xml:space="preserve"> and the temperature from 303</w:t>
      </w:r>
      <w:r w:rsidR="00A9212D">
        <w:rPr>
          <w:rFonts w:ascii="Times New Roman" w:hAnsi="Times New Roman" w:cs="Times New Roman"/>
          <w:sz w:val="24"/>
          <w:szCs w:val="24"/>
          <w:lang w:val="en-US"/>
        </w:rPr>
        <w:t>.15</w:t>
      </w:r>
      <w:r w:rsidRPr="006066E1">
        <w:rPr>
          <w:rFonts w:ascii="Times New Roman" w:hAnsi="Times New Roman" w:cs="Times New Roman"/>
          <w:sz w:val="24"/>
          <w:szCs w:val="24"/>
          <w:lang w:val="en-US"/>
        </w:rPr>
        <w:t xml:space="preserve"> to 331</w:t>
      </w:r>
      <w:r w:rsidR="00A9212D">
        <w:rPr>
          <w:rFonts w:ascii="Times New Roman" w:hAnsi="Times New Roman" w:cs="Times New Roman"/>
          <w:sz w:val="24"/>
          <w:szCs w:val="24"/>
          <w:lang w:val="en-US"/>
        </w:rPr>
        <w:t>.15</w:t>
      </w:r>
      <w:r w:rsidRPr="006066E1">
        <w:rPr>
          <w:rFonts w:ascii="Times New Roman" w:hAnsi="Times New Roman" w:cs="Times New Roman"/>
          <w:sz w:val="24"/>
          <w:szCs w:val="24"/>
          <w:lang w:val="en-US"/>
        </w:rPr>
        <w:t xml:space="preserve"> K.</w:t>
      </w:r>
      <w:r>
        <w:rPr>
          <w:rFonts w:ascii="Times New Roman" w:hAnsi="Times New Roman" w:cs="Times New Roman"/>
          <w:sz w:val="24"/>
          <w:szCs w:val="24"/>
          <w:lang w:val="en-US"/>
        </w:rPr>
        <w:t xml:space="preserve"> </w:t>
      </w:r>
      <w:r w:rsidRPr="00383E70">
        <w:rPr>
          <w:rFonts w:ascii="Times New Roman" w:hAnsi="Times New Roman" w:cs="Times New Roman"/>
          <w:sz w:val="24"/>
          <w:szCs w:val="24"/>
          <w:lang w:val="en-US"/>
        </w:rPr>
        <w:t>The criti</w:t>
      </w:r>
      <w:r>
        <w:rPr>
          <w:rFonts w:ascii="Times New Roman" w:hAnsi="Times New Roman" w:cs="Times New Roman"/>
          <w:sz w:val="24"/>
          <w:szCs w:val="24"/>
          <w:lang w:val="en-US"/>
        </w:rPr>
        <w:t>cal micelle concentration (CMC) and</w:t>
      </w:r>
      <w:r w:rsidRPr="00383E70">
        <w:rPr>
          <w:rFonts w:ascii="Times New Roman" w:hAnsi="Times New Roman" w:cs="Times New Roman"/>
          <w:sz w:val="24"/>
          <w:szCs w:val="24"/>
          <w:lang w:val="en-US"/>
        </w:rPr>
        <w:t xml:space="preserve"> the degree of dissociation</w:t>
      </w:r>
      <w:r>
        <w:rPr>
          <w:rFonts w:ascii="Times New Roman" w:hAnsi="Times New Roman" w:cs="Times New Roman"/>
          <w:sz w:val="24"/>
          <w:szCs w:val="24"/>
          <w:lang w:val="en-US"/>
        </w:rPr>
        <w:t xml:space="preserve"> (α) of surfactants</w:t>
      </w:r>
      <w:r w:rsidRPr="00383E70">
        <w:rPr>
          <w:rFonts w:ascii="Times New Roman" w:hAnsi="Times New Roman" w:cs="Times New Roman"/>
          <w:sz w:val="24"/>
          <w:szCs w:val="24"/>
          <w:lang w:val="en-US"/>
        </w:rPr>
        <w:t xml:space="preserve">, and the thermodynamic parameters </w:t>
      </w:r>
      <w:r w:rsidRPr="00AA236C">
        <w:rPr>
          <w:rFonts w:ascii="Times New Roman" w:hAnsi="Times New Roman" w:cs="Times New Roman"/>
          <w:sz w:val="24"/>
          <w:szCs w:val="24"/>
          <w:lang w:val="en-US"/>
        </w:rPr>
        <w:t>(</w:t>
      </w:r>
      <w:r w:rsidRPr="00AA236C">
        <w:rPr>
          <w:rFonts w:ascii="Times New Roman" w:hAnsi="Times New Roman" w:cs="Times New Roman"/>
          <w:sz w:val="24"/>
          <w:szCs w:val="24"/>
        </w:rPr>
        <w:t>∆H°, ∆S° and ∆G°</w:t>
      </w:r>
      <w:r w:rsidRPr="00AA236C">
        <w:rPr>
          <w:rFonts w:ascii="Times New Roman" w:hAnsi="Times New Roman" w:cs="Times New Roman"/>
          <w:sz w:val="24"/>
          <w:szCs w:val="24"/>
          <w:lang w:val="en-US"/>
        </w:rPr>
        <w:t xml:space="preserve">) </w:t>
      </w:r>
      <w:r w:rsidRPr="00383E70">
        <w:rPr>
          <w:rFonts w:ascii="Times New Roman" w:hAnsi="Times New Roman" w:cs="Times New Roman"/>
          <w:sz w:val="24"/>
          <w:szCs w:val="24"/>
          <w:lang w:val="en-US"/>
        </w:rPr>
        <w:t>of micellization were determined. The resul</w:t>
      </w:r>
      <w:r>
        <w:rPr>
          <w:rFonts w:ascii="Times New Roman" w:hAnsi="Times New Roman" w:cs="Times New Roman"/>
          <w:sz w:val="24"/>
          <w:szCs w:val="24"/>
          <w:lang w:val="en-US"/>
        </w:rPr>
        <w:t>ts demonstrate a decrease in CMC and</w:t>
      </w:r>
      <w:r w:rsidRPr="00383E7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α of surfactants, </w:t>
      </w:r>
      <w:r w:rsidRPr="00383E70">
        <w:rPr>
          <w:rFonts w:ascii="Times New Roman" w:hAnsi="Times New Roman" w:cs="Times New Roman"/>
          <w:sz w:val="24"/>
          <w:szCs w:val="24"/>
          <w:lang w:val="en-US"/>
        </w:rPr>
        <w:t xml:space="preserve">with elevated insecticide concentrations and temperatures. </w:t>
      </w:r>
      <w:r w:rsidRPr="007B55BC">
        <w:rPr>
          <w:rFonts w:ascii="Times New Roman" w:hAnsi="Times New Roman" w:cs="Times New Roman"/>
          <w:sz w:val="24"/>
          <w:szCs w:val="24"/>
          <w:lang w:val="en-US"/>
        </w:rPr>
        <w:t>Furthermore, the negative values ​​of ΔG° which decrease as a function of dicofol concentration and temperature show that the micellization process is thermodynamically favorable.</w:t>
      </w:r>
      <w:r>
        <w:rPr>
          <w:rFonts w:ascii="Times New Roman" w:hAnsi="Times New Roman" w:cs="Times New Roman"/>
          <w:sz w:val="24"/>
          <w:szCs w:val="24"/>
          <w:lang w:val="en-US"/>
        </w:rPr>
        <w:t xml:space="preserve"> </w:t>
      </w:r>
      <w:r w:rsidRPr="00AC3FA7">
        <w:rPr>
          <w:rFonts w:ascii="Times New Roman" w:hAnsi="Times New Roman" w:cs="Times New Roman"/>
          <w:sz w:val="24"/>
          <w:szCs w:val="24"/>
          <w:lang w:val="en-US"/>
        </w:rPr>
        <w:t>These results clearly indicate that dicofol solubilizes in both micellar media.</w:t>
      </w:r>
    </w:p>
    <w:p w14:paraId="3654AD01" w14:textId="77777777" w:rsidR="009E36A4" w:rsidRDefault="009E36A4" w:rsidP="009E36A4">
      <w:pPr>
        <w:spacing w:after="0" w:line="360" w:lineRule="auto"/>
        <w:jc w:val="both"/>
        <w:rPr>
          <w:rFonts w:ascii="Times New Roman" w:hAnsi="Times New Roman" w:cs="Times New Roman"/>
          <w:b/>
          <w:lang w:val="en-US"/>
        </w:rPr>
      </w:pPr>
    </w:p>
    <w:p w14:paraId="697DC964" w14:textId="77777777" w:rsidR="009E36A4" w:rsidRPr="007E47A4" w:rsidRDefault="009E36A4" w:rsidP="009E36A4">
      <w:pPr>
        <w:spacing w:after="0" w:line="360" w:lineRule="auto"/>
        <w:jc w:val="both"/>
        <w:rPr>
          <w:rFonts w:ascii="Times New Roman" w:hAnsi="Times New Roman" w:cs="Times New Roman"/>
          <w:sz w:val="28"/>
          <w:lang w:val="en-US"/>
        </w:rPr>
      </w:pPr>
      <w:r w:rsidRPr="007E47A4">
        <w:rPr>
          <w:rFonts w:ascii="Times New Roman" w:hAnsi="Times New Roman" w:cs="Times New Roman"/>
          <w:b/>
          <w:sz w:val="28"/>
          <w:lang w:val="en-US"/>
        </w:rPr>
        <w:t>K</w:t>
      </w:r>
      <w:r w:rsidR="007E47A4" w:rsidRPr="007E47A4">
        <w:rPr>
          <w:rFonts w:ascii="Times New Roman" w:hAnsi="Times New Roman" w:cs="Times New Roman"/>
          <w:b/>
          <w:sz w:val="28"/>
          <w:lang w:val="en-US"/>
        </w:rPr>
        <w:t>eywords</w:t>
      </w:r>
    </w:p>
    <w:p w14:paraId="19A3ECDA" w14:textId="77777777" w:rsidR="009E36A4" w:rsidRPr="009E36A4" w:rsidRDefault="009E36A4" w:rsidP="009E36A4">
      <w:pPr>
        <w:spacing w:after="0" w:line="360" w:lineRule="auto"/>
        <w:jc w:val="both"/>
        <w:rPr>
          <w:rFonts w:ascii="Times New Roman" w:hAnsi="Times New Roman" w:cs="Times New Roman"/>
          <w:sz w:val="24"/>
          <w:szCs w:val="24"/>
          <w:lang w:val="en-US"/>
        </w:rPr>
      </w:pPr>
      <w:r w:rsidRPr="0036260F">
        <w:rPr>
          <w:rFonts w:ascii="Times New Roman" w:hAnsi="Times New Roman" w:cs="Times New Roman"/>
          <w:sz w:val="24"/>
          <w:szCs w:val="24"/>
          <w:lang w:val="en-US"/>
        </w:rPr>
        <w:t xml:space="preserve">Insecticide dicofol; Solubility; Surfactant; </w:t>
      </w:r>
      <w:r w:rsidR="0036260F" w:rsidRPr="0036260F">
        <w:rPr>
          <w:rFonts w:ascii="Times New Roman" w:hAnsi="Times New Roman" w:cs="Times New Roman"/>
          <w:sz w:val="24"/>
          <w:szCs w:val="24"/>
          <w:lang w:val="en-US"/>
        </w:rPr>
        <w:t>Aqueous micellar media.</w:t>
      </w:r>
    </w:p>
    <w:p w14:paraId="40C233C6" w14:textId="0357BC5E" w:rsidR="009E36A4" w:rsidRPr="009E36A4" w:rsidRDefault="009E36A4" w:rsidP="009E36A4">
      <w:pPr>
        <w:pBdr>
          <w:top w:val="single" w:sz="4" w:space="1" w:color="auto"/>
        </w:pBdr>
        <w:spacing w:after="0" w:line="240" w:lineRule="auto"/>
        <w:jc w:val="both"/>
        <w:rPr>
          <w:rFonts w:ascii="Times New Roman" w:hAnsi="Times New Roman" w:cs="Times New Roman"/>
          <w:sz w:val="24"/>
          <w:szCs w:val="24"/>
          <w:lang w:val="en-US"/>
        </w:rPr>
      </w:pPr>
    </w:p>
    <w:p w14:paraId="7548FED4" w14:textId="77777777" w:rsidR="009E36A4" w:rsidRPr="009E36A4" w:rsidRDefault="009E36A4" w:rsidP="009E36A4">
      <w:pPr>
        <w:pBdr>
          <w:top w:val="single" w:sz="4" w:space="1" w:color="auto"/>
        </w:pBdr>
        <w:spacing w:after="0" w:line="240" w:lineRule="auto"/>
        <w:jc w:val="both"/>
        <w:rPr>
          <w:rFonts w:ascii="Times New Roman" w:hAnsi="Times New Roman" w:cs="Times New Roman"/>
          <w:b/>
          <w:sz w:val="20"/>
          <w:szCs w:val="20"/>
          <w:lang w:val="en-US"/>
        </w:rPr>
      </w:pPr>
      <w:r w:rsidRPr="009E36A4">
        <w:rPr>
          <w:rFonts w:ascii="Times New Roman" w:hAnsi="Times New Roman" w:cs="Times New Roman"/>
          <w:lang w:val="en-US"/>
        </w:rPr>
        <w:t xml:space="preserve">                                                             </w:t>
      </w:r>
    </w:p>
    <w:p w14:paraId="0C650B4C" w14:textId="77777777" w:rsidR="009E36A4" w:rsidRPr="005529EC" w:rsidRDefault="009E36A4" w:rsidP="005529EC">
      <w:pPr>
        <w:jc w:val="both"/>
        <w:rPr>
          <w:lang w:val="en-US"/>
        </w:rPr>
      </w:pPr>
    </w:p>
    <w:p w14:paraId="1B6F14E4" w14:textId="77777777" w:rsidR="005529EC" w:rsidRPr="005529EC" w:rsidRDefault="005529EC" w:rsidP="005529EC">
      <w:pPr>
        <w:jc w:val="both"/>
        <w:rPr>
          <w:lang w:val="en-US"/>
        </w:rPr>
      </w:pPr>
    </w:p>
    <w:p w14:paraId="0F811DBD" w14:textId="77777777" w:rsidR="005529EC" w:rsidRPr="005529EC" w:rsidRDefault="005529EC" w:rsidP="005529EC">
      <w:pPr>
        <w:jc w:val="both"/>
        <w:rPr>
          <w:rFonts w:ascii="Times New Roman" w:hAnsi="Times New Roman" w:cs="Times New Roman"/>
          <w:sz w:val="24"/>
          <w:szCs w:val="24"/>
          <w:lang w:val="en-US"/>
        </w:rPr>
      </w:pPr>
    </w:p>
    <w:p w14:paraId="675E83E5" w14:textId="77777777" w:rsidR="005529EC" w:rsidRPr="005529EC" w:rsidRDefault="005529EC" w:rsidP="005529EC">
      <w:pPr>
        <w:jc w:val="both"/>
        <w:rPr>
          <w:rFonts w:ascii="Times New Roman" w:hAnsi="Times New Roman" w:cs="Times New Roman"/>
          <w:sz w:val="24"/>
          <w:szCs w:val="24"/>
          <w:lang w:val="en-US"/>
        </w:rPr>
      </w:pPr>
    </w:p>
    <w:p w14:paraId="2FF6D6C9" w14:textId="77777777" w:rsidR="005529EC" w:rsidRPr="005529EC" w:rsidRDefault="005529EC" w:rsidP="005529EC">
      <w:pPr>
        <w:jc w:val="both"/>
        <w:rPr>
          <w:rFonts w:ascii="Times New Roman" w:hAnsi="Times New Roman" w:cs="Times New Roman"/>
          <w:sz w:val="24"/>
          <w:szCs w:val="24"/>
          <w:lang w:val="en-US"/>
        </w:rPr>
      </w:pPr>
    </w:p>
    <w:p w14:paraId="2B9ABAC2" w14:textId="77777777" w:rsidR="009E36A4" w:rsidRDefault="009E36A4" w:rsidP="005529EC">
      <w:pPr>
        <w:jc w:val="both"/>
        <w:rPr>
          <w:rFonts w:ascii="Times New Roman" w:hAnsi="Times New Roman" w:cs="Times New Roman"/>
          <w:sz w:val="24"/>
          <w:szCs w:val="24"/>
          <w:lang w:val="en-US"/>
        </w:rPr>
      </w:pPr>
    </w:p>
    <w:p w14:paraId="69FB60DE" w14:textId="77777777" w:rsidR="005529EC" w:rsidRPr="00634232" w:rsidRDefault="007E47A4" w:rsidP="007E47A4">
      <w:pPr>
        <w:jc w:val="both"/>
        <w:rPr>
          <w:rFonts w:ascii="Times New Roman" w:hAnsi="Times New Roman" w:cs="Times New Roman"/>
          <w:b/>
          <w:color w:val="0000CC"/>
          <w:sz w:val="24"/>
          <w:szCs w:val="24"/>
          <w:lang w:val="en-US"/>
        </w:rPr>
      </w:pPr>
      <w:r>
        <w:rPr>
          <w:rFonts w:ascii="Times New Roman" w:hAnsi="Times New Roman" w:cs="Times New Roman"/>
          <w:b/>
          <w:sz w:val="24"/>
          <w:szCs w:val="24"/>
          <w:lang w:val="en-US"/>
        </w:rPr>
        <w:t xml:space="preserve">1. </w:t>
      </w:r>
      <w:r w:rsidR="00FA4D9D" w:rsidRPr="007E47A4">
        <w:rPr>
          <w:rFonts w:ascii="Times New Roman" w:hAnsi="Times New Roman" w:cs="Times New Roman"/>
          <w:b/>
          <w:sz w:val="24"/>
          <w:szCs w:val="24"/>
          <w:lang w:val="en-US"/>
        </w:rPr>
        <w:t>INTRODUCTION</w:t>
      </w:r>
    </w:p>
    <w:p w14:paraId="6BC00DEC" w14:textId="77777777" w:rsidR="00A561FC" w:rsidRPr="00634232" w:rsidRDefault="00774151" w:rsidP="00C02D18">
      <w:pPr>
        <w:spacing w:after="0" w:line="360" w:lineRule="auto"/>
        <w:jc w:val="both"/>
        <w:rPr>
          <w:rFonts w:ascii="Times New Roman" w:hAnsi="Times New Roman" w:cs="Times New Roman"/>
          <w:sz w:val="24"/>
          <w:szCs w:val="24"/>
          <w:lang w:val="en-US"/>
        </w:rPr>
      </w:pPr>
      <w:r w:rsidRPr="00634232">
        <w:rPr>
          <w:rFonts w:ascii="Times New Roman" w:hAnsi="Times New Roman" w:cs="Times New Roman"/>
          <w:sz w:val="24"/>
          <w:szCs w:val="24"/>
          <w:lang w:val="en-US"/>
        </w:rPr>
        <w:t>In the agricultural sector, the application of pesticides is a standard practice to safeguard crops and enhance yields. However, their use can pose potential risks to human health. The majority of pesticides generally exhibit low solubility. This property can affect their persistence, degradation, and photodegradation in the environment</w:t>
      </w:r>
      <w:r w:rsidR="008175E4" w:rsidRPr="00634232">
        <w:rPr>
          <w:rFonts w:ascii="Times New Roman" w:hAnsi="Times New Roman" w:cs="Times New Roman"/>
          <w:sz w:val="24"/>
          <w:szCs w:val="24"/>
          <w:lang w:val="en-US"/>
        </w:rPr>
        <w:t xml:space="preserve"> </w:t>
      </w:r>
      <w:r w:rsidR="00804AF4">
        <w:rPr>
          <w:rFonts w:ascii="Times New Roman" w:hAnsi="Times New Roman" w:cs="Times New Roman"/>
          <w:iCs/>
          <w:color w:val="0000CC"/>
          <w:sz w:val="24"/>
          <w:szCs w:val="24"/>
          <w:lang w:val="en-US"/>
        </w:rPr>
        <w:t>(</w:t>
      </w:r>
      <w:proofErr w:type="spellStart"/>
      <w:r w:rsidR="00804AF4">
        <w:rPr>
          <w:rFonts w:ascii="Times New Roman" w:hAnsi="Times New Roman" w:cs="Times New Roman"/>
          <w:iCs/>
          <w:color w:val="0000CC"/>
          <w:sz w:val="24"/>
          <w:szCs w:val="24"/>
          <w:lang w:val="en-US"/>
        </w:rPr>
        <w:t>Saleck</w:t>
      </w:r>
      <w:proofErr w:type="spellEnd"/>
      <w:r w:rsidR="00804AF4">
        <w:rPr>
          <w:rFonts w:ascii="Times New Roman" w:hAnsi="Times New Roman" w:cs="Times New Roman"/>
          <w:iCs/>
          <w:color w:val="0000CC"/>
          <w:sz w:val="24"/>
          <w:szCs w:val="24"/>
          <w:lang w:val="en-US"/>
        </w:rPr>
        <w:t xml:space="preserve"> et al., 2019; Diop-Seck et al., 2023; Bodian et al., 2022)</w:t>
      </w:r>
      <w:r w:rsidRPr="00634232">
        <w:rPr>
          <w:rFonts w:ascii="Times New Roman" w:hAnsi="Times New Roman" w:cs="Times New Roman"/>
          <w:sz w:val="24"/>
          <w:szCs w:val="24"/>
          <w:lang w:val="en-US"/>
        </w:rPr>
        <w:t>.</w:t>
      </w:r>
      <w:r w:rsidR="00ED0758" w:rsidRPr="00634232">
        <w:rPr>
          <w:rFonts w:ascii="Times New Roman" w:hAnsi="Times New Roman" w:cs="Times New Roman"/>
          <w:sz w:val="24"/>
          <w:szCs w:val="24"/>
        </w:rPr>
        <w:t xml:space="preserve"> </w:t>
      </w:r>
      <w:r w:rsidR="00ED0758" w:rsidRPr="00634232">
        <w:rPr>
          <w:rFonts w:ascii="Times New Roman" w:hAnsi="Times New Roman" w:cs="Times New Roman"/>
          <w:sz w:val="24"/>
          <w:szCs w:val="24"/>
          <w:lang w:val="en-US"/>
        </w:rPr>
        <w:t xml:space="preserve">In Senegal, pesticides are extensively utilized in the </w:t>
      </w:r>
      <w:proofErr w:type="spellStart"/>
      <w:r w:rsidR="00ED0758" w:rsidRPr="00634232">
        <w:rPr>
          <w:rFonts w:ascii="Times New Roman" w:hAnsi="Times New Roman" w:cs="Times New Roman"/>
          <w:sz w:val="24"/>
          <w:szCs w:val="24"/>
          <w:lang w:val="en-US"/>
        </w:rPr>
        <w:t>Niayes</w:t>
      </w:r>
      <w:proofErr w:type="spellEnd"/>
      <w:r w:rsidR="00ED0758" w:rsidRPr="00634232">
        <w:rPr>
          <w:rFonts w:ascii="Times New Roman" w:hAnsi="Times New Roman" w:cs="Times New Roman"/>
          <w:sz w:val="24"/>
          <w:szCs w:val="24"/>
          <w:lang w:val="en-US"/>
        </w:rPr>
        <w:t xml:space="preserve"> </w:t>
      </w:r>
      <w:r w:rsidR="00ED0758" w:rsidRPr="00634232">
        <w:rPr>
          <w:rFonts w:ascii="Times New Roman" w:hAnsi="Times New Roman" w:cs="Times New Roman"/>
          <w:sz w:val="24"/>
          <w:szCs w:val="24"/>
          <w:lang w:val="en-US"/>
        </w:rPr>
        <w:lastRenderedPageBreak/>
        <w:t>agricultural region, and the majority exhibit poor water solubility. Therefore, it is necessary to improve their solubility. To this end, we selected dicofol, an organophosphate with minimal water solubility</w:t>
      </w:r>
      <w:r w:rsidR="008175E4" w:rsidRPr="00634232">
        <w:rPr>
          <w:rFonts w:ascii="Times New Roman" w:hAnsi="Times New Roman" w:cs="Times New Roman"/>
          <w:sz w:val="24"/>
          <w:szCs w:val="24"/>
          <w:lang w:val="en-US"/>
        </w:rPr>
        <w:t xml:space="preserve"> </w:t>
      </w:r>
      <w:r w:rsidR="008175E4" w:rsidRPr="00634232">
        <w:rPr>
          <w:rFonts w:asciiTheme="majorBidi" w:eastAsia="Arial Bold" w:hAnsiTheme="majorBidi" w:cstheme="majorBidi"/>
          <w:sz w:val="24"/>
          <w:szCs w:val="24"/>
          <w:lang w:val="en-US"/>
        </w:rPr>
        <w:t xml:space="preserve">(0.8 </w:t>
      </w:r>
      <w:r w:rsidR="001822BA" w:rsidRPr="00634232">
        <w:rPr>
          <w:rFonts w:ascii="Times New Roman" w:hAnsi="Times New Roman" w:cs="Times New Roman"/>
          <w:sz w:val="24"/>
          <w:szCs w:val="24"/>
          <w:lang w:val="en-US"/>
        </w:rPr>
        <w:t>mg L</w:t>
      </w:r>
      <w:r w:rsidR="001822BA" w:rsidRPr="00634232">
        <w:rPr>
          <w:rFonts w:ascii="Times New Roman" w:hAnsi="Times New Roman" w:cs="Times New Roman"/>
          <w:sz w:val="24"/>
          <w:szCs w:val="24"/>
          <w:vertAlign w:val="superscript"/>
          <w:lang w:val="en-US"/>
        </w:rPr>
        <w:t>-1</w:t>
      </w:r>
      <w:r w:rsidR="008175E4" w:rsidRPr="00634232">
        <w:rPr>
          <w:rFonts w:asciiTheme="majorBidi" w:eastAsia="Arial Bold" w:hAnsiTheme="majorBidi" w:cstheme="majorBidi"/>
          <w:sz w:val="24"/>
          <w:szCs w:val="24"/>
          <w:lang w:val="en-US"/>
        </w:rPr>
        <w:t xml:space="preserve">in water at </w:t>
      </w:r>
      <w:r w:rsidR="00A9212D" w:rsidRPr="00634232">
        <w:rPr>
          <w:rFonts w:asciiTheme="majorBidi" w:eastAsia="Arial Bold" w:hAnsiTheme="majorBidi" w:cstheme="majorBidi"/>
          <w:sz w:val="24"/>
          <w:szCs w:val="24"/>
          <w:lang w:val="en-US"/>
        </w:rPr>
        <w:t>298.15 K</w:t>
      </w:r>
      <w:r w:rsidR="008175E4" w:rsidRPr="00634232">
        <w:rPr>
          <w:rFonts w:asciiTheme="majorBidi" w:eastAsia="Arial Bold" w:hAnsiTheme="majorBidi" w:cstheme="majorBidi"/>
          <w:sz w:val="24"/>
          <w:szCs w:val="24"/>
          <w:lang w:val="en-US"/>
        </w:rPr>
        <w:t>)</w:t>
      </w:r>
      <w:r w:rsidR="00ED0758" w:rsidRPr="00634232">
        <w:rPr>
          <w:rFonts w:ascii="Times New Roman" w:hAnsi="Times New Roman" w:cs="Times New Roman"/>
          <w:sz w:val="24"/>
          <w:szCs w:val="24"/>
          <w:lang w:val="en-US"/>
        </w:rPr>
        <w:t>, which is commonly used in this area.</w:t>
      </w:r>
      <w:r w:rsidR="008175E4" w:rsidRPr="00634232">
        <w:rPr>
          <w:rFonts w:ascii="Times New Roman" w:hAnsi="Times New Roman" w:cs="Times New Roman"/>
          <w:sz w:val="24"/>
          <w:szCs w:val="24"/>
          <w:lang w:val="en-US"/>
        </w:rPr>
        <w:t xml:space="preserve"> </w:t>
      </w:r>
      <w:r w:rsidR="00E1520E" w:rsidRPr="00634232">
        <w:rPr>
          <w:rFonts w:ascii="Times New Roman" w:hAnsi="Times New Roman" w:cs="Times New Roman"/>
          <w:sz w:val="24"/>
          <w:szCs w:val="24"/>
          <w:lang w:val="en-US"/>
        </w:rPr>
        <w:t>Dicofol (2,2,2-trichloro-1,1-bis(4-</w:t>
      </w:r>
      <w:proofErr w:type="gramStart"/>
      <w:r w:rsidR="00E1520E" w:rsidRPr="00634232">
        <w:rPr>
          <w:rFonts w:ascii="Times New Roman" w:hAnsi="Times New Roman" w:cs="Times New Roman"/>
          <w:sz w:val="24"/>
          <w:szCs w:val="24"/>
          <w:lang w:val="en-US"/>
        </w:rPr>
        <w:t>chlorophenyl)ethanol</w:t>
      </w:r>
      <w:proofErr w:type="gramEnd"/>
      <w:r w:rsidR="00E1520E" w:rsidRPr="00634232">
        <w:rPr>
          <w:rFonts w:ascii="Times New Roman" w:hAnsi="Times New Roman" w:cs="Times New Roman"/>
          <w:sz w:val="24"/>
          <w:szCs w:val="24"/>
          <w:lang w:val="en-US"/>
        </w:rPr>
        <w:t>) is an organochlorine pesticide with a structure similar to that of dichlorodiphenyltrichloroethane (DDT). As a result of the chlorination reactions of the latter, a byproduct is formed</w:t>
      </w:r>
      <w:r w:rsidR="00C02D18" w:rsidRPr="00634232">
        <w:rPr>
          <w:rFonts w:ascii="Times New Roman" w:hAnsi="Times New Roman" w:cs="Times New Roman"/>
          <w:sz w:val="24"/>
          <w:szCs w:val="24"/>
          <w:lang w:val="en-US"/>
        </w:rPr>
        <w:t xml:space="preserve"> </w:t>
      </w:r>
      <w:r w:rsidR="00804AF4">
        <w:rPr>
          <w:rFonts w:ascii="Times New Roman" w:hAnsi="Times New Roman" w:cs="Times New Roman"/>
          <w:color w:val="0000CC"/>
          <w:sz w:val="24"/>
          <w:szCs w:val="24"/>
          <w:lang w:val="en-US"/>
        </w:rPr>
        <w:t>(Qiu et al., 2005; Hang et al., 2018)</w:t>
      </w:r>
      <w:r w:rsidR="00E1520E" w:rsidRPr="00634232">
        <w:rPr>
          <w:rFonts w:ascii="Times New Roman" w:hAnsi="Times New Roman" w:cs="Times New Roman"/>
          <w:sz w:val="24"/>
          <w:szCs w:val="24"/>
          <w:lang w:val="en-US"/>
        </w:rPr>
        <w:t>. Dicofol is registered for its broad-spectrum action by non-systematic contact in the control of enemy mites in a range of crops and products, including apples, tea, cotton, lemons and vegetables. The insecticide is also used in domestic and garden settings, as well as in the cultivation of ornamental plants.</w:t>
      </w:r>
      <w:r w:rsidR="00C02D18" w:rsidRPr="00634232">
        <w:t xml:space="preserve"> </w:t>
      </w:r>
      <w:r w:rsidR="00C02D18" w:rsidRPr="00634232">
        <w:rPr>
          <w:rFonts w:ascii="Times New Roman" w:hAnsi="Times New Roman" w:cs="Times New Roman"/>
          <w:sz w:val="24"/>
          <w:szCs w:val="24"/>
          <w:lang w:val="en-US"/>
        </w:rPr>
        <w:t>The maximum acceptable concentration (MAC) of this substance in drinking water is 15 mg L</w:t>
      </w:r>
      <w:r w:rsidR="00C02D18" w:rsidRPr="00634232">
        <w:rPr>
          <w:rFonts w:ascii="Times New Roman" w:hAnsi="Times New Roman" w:cs="Times New Roman"/>
          <w:sz w:val="24"/>
          <w:szCs w:val="24"/>
          <w:vertAlign w:val="superscript"/>
          <w:lang w:val="en-US"/>
        </w:rPr>
        <w:t>-1</w:t>
      </w:r>
      <w:r w:rsidR="00C02D18" w:rsidRPr="00634232">
        <w:rPr>
          <w:rFonts w:ascii="Times New Roman" w:hAnsi="Times New Roman" w:cs="Times New Roman"/>
          <w:sz w:val="24"/>
          <w:szCs w:val="24"/>
          <w:lang w:val="en-US"/>
        </w:rPr>
        <w:t xml:space="preserve">. Its water solubility is low, which explains its persistence in the environment and its capacity to contaminate surface and groundwater </w:t>
      </w:r>
      <w:r w:rsidR="00804AF4">
        <w:rPr>
          <w:rFonts w:ascii="Times New Roman" w:hAnsi="Times New Roman" w:cs="Times New Roman"/>
          <w:color w:val="0000CC"/>
          <w:sz w:val="24"/>
          <w:szCs w:val="24"/>
          <w:lang w:val="en-US"/>
        </w:rPr>
        <w:t>(Dang et al., 2015; Wang et al., 2015)</w:t>
      </w:r>
      <w:r w:rsidR="00C02D18" w:rsidRPr="00634232">
        <w:rPr>
          <w:rFonts w:ascii="Times New Roman" w:hAnsi="Times New Roman" w:cs="Times New Roman"/>
          <w:sz w:val="24"/>
          <w:szCs w:val="24"/>
          <w:lang w:val="en-US"/>
        </w:rPr>
        <w:t xml:space="preserve">. Dicofol is stable in an acidic environment and the insecticide hydrolysis is relatively rapid in neutral and alkaline media. </w:t>
      </w:r>
      <w:proofErr w:type="spellStart"/>
      <w:r w:rsidR="00C02D18" w:rsidRPr="00634232">
        <w:rPr>
          <w:rFonts w:ascii="Times New Roman" w:hAnsi="Times New Roman" w:cs="Times New Roman"/>
          <w:sz w:val="24"/>
          <w:szCs w:val="24"/>
          <w:lang w:val="en-US"/>
        </w:rPr>
        <w:t>Dichlorobenzenone</w:t>
      </w:r>
      <w:proofErr w:type="spellEnd"/>
      <w:r w:rsidR="00C02D18" w:rsidRPr="00634232">
        <w:rPr>
          <w:rFonts w:ascii="Times New Roman" w:hAnsi="Times New Roman" w:cs="Times New Roman"/>
          <w:sz w:val="24"/>
          <w:szCs w:val="24"/>
          <w:lang w:val="en-US"/>
        </w:rPr>
        <w:t xml:space="preserve"> is one of the degradation products of this substance.</w:t>
      </w:r>
      <w:r w:rsidR="00C02D18" w:rsidRPr="00634232">
        <w:t xml:space="preserve"> </w:t>
      </w:r>
      <w:r w:rsidR="00C02D18" w:rsidRPr="00634232">
        <w:rPr>
          <w:rFonts w:ascii="Times New Roman" w:hAnsi="Times New Roman" w:cs="Times New Roman"/>
          <w:sz w:val="24"/>
          <w:szCs w:val="24"/>
          <w:lang w:val="en-US"/>
        </w:rPr>
        <w:t xml:space="preserve">The product is marketed under the name </w:t>
      </w:r>
      <w:proofErr w:type="spellStart"/>
      <w:r w:rsidR="00C02D18" w:rsidRPr="00634232">
        <w:rPr>
          <w:rFonts w:ascii="Times New Roman" w:hAnsi="Times New Roman" w:cs="Times New Roman"/>
          <w:sz w:val="24"/>
          <w:szCs w:val="24"/>
          <w:lang w:val="en-US"/>
        </w:rPr>
        <w:t>Kelthane</w:t>
      </w:r>
      <w:proofErr w:type="spellEnd"/>
      <w:r w:rsidR="00C02D18" w:rsidRPr="00634232">
        <w:rPr>
          <w:rFonts w:ascii="Times New Roman" w:hAnsi="Times New Roman" w:cs="Times New Roman"/>
          <w:sz w:val="24"/>
          <w:szCs w:val="24"/>
          <w:lang w:val="en-US"/>
        </w:rPr>
        <w:t xml:space="preserve"> 50 W and contains two stereoisomers: 80% </w:t>
      </w:r>
      <w:proofErr w:type="spellStart"/>
      <w:proofErr w:type="gramStart"/>
      <w:r w:rsidR="00C02D18" w:rsidRPr="00634232">
        <w:rPr>
          <w:rFonts w:ascii="Times New Roman" w:hAnsi="Times New Roman" w:cs="Times New Roman"/>
          <w:sz w:val="24"/>
          <w:szCs w:val="24"/>
          <w:lang w:val="en-US"/>
        </w:rPr>
        <w:t>p,p</w:t>
      </w:r>
      <w:proofErr w:type="spellEnd"/>
      <w:proofErr w:type="gramEnd"/>
      <w:r w:rsidR="00C02D18" w:rsidRPr="00634232">
        <w:rPr>
          <w:rFonts w:ascii="Times New Roman" w:hAnsi="Times New Roman" w:cs="Times New Roman"/>
          <w:sz w:val="24"/>
          <w:szCs w:val="24"/>
          <w:lang w:val="en-US"/>
        </w:rPr>
        <w:t xml:space="preserve">'-dicofol and 20% </w:t>
      </w:r>
      <w:proofErr w:type="spellStart"/>
      <w:r w:rsidR="00C02D18" w:rsidRPr="00634232">
        <w:rPr>
          <w:rFonts w:ascii="Times New Roman" w:hAnsi="Times New Roman" w:cs="Times New Roman"/>
          <w:sz w:val="24"/>
          <w:szCs w:val="24"/>
          <w:lang w:val="en-US"/>
        </w:rPr>
        <w:t>o,p</w:t>
      </w:r>
      <w:proofErr w:type="spellEnd"/>
      <w:r w:rsidR="00C02D18" w:rsidRPr="00634232">
        <w:rPr>
          <w:rFonts w:ascii="Times New Roman" w:hAnsi="Times New Roman" w:cs="Times New Roman"/>
          <w:sz w:val="24"/>
          <w:szCs w:val="24"/>
          <w:lang w:val="en-US"/>
        </w:rPr>
        <w:t xml:space="preserve">'-dicofol </w:t>
      </w:r>
      <w:r w:rsidR="00804AF4">
        <w:rPr>
          <w:rFonts w:ascii="Times New Roman" w:hAnsi="Times New Roman" w:cs="Times New Roman"/>
          <w:color w:val="0000CC"/>
          <w:sz w:val="24"/>
          <w:szCs w:val="24"/>
          <w:lang w:val="en-US"/>
        </w:rPr>
        <w:t>(Turgut et al., 2009)</w:t>
      </w:r>
      <w:r w:rsidR="00C02D18" w:rsidRPr="00634232">
        <w:rPr>
          <w:rFonts w:ascii="Times New Roman" w:hAnsi="Times New Roman" w:cs="Times New Roman"/>
          <w:sz w:val="24"/>
          <w:szCs w:val="24"/>
          <w:lang w:val="en-US"/>
        </w:rPr>
        <w:t xml:space="preserve">. Given its structural similarity to DDT, dicofol is considered a toxic and carcinogenic product. Due to its persistence and bioaccumulation potential, it can be transported over long distances, potentially impacting human health and the environment </w:t>
      </w:r>
      <w:r w:rsidR="00804AF4">
        <w:rPr>
          <w:rFonts w:ascii="Times New Roman" w:hAnsi="Times New Roman" w:cs="Times New Roman"/>
          <w:color w:val="0000CC"/>
          <w:sz w:val="24"/>
          <w:szCs w:val="24"/>
          <w:lang w:val="en-US"/>
        </w:rPr>
        <w:t xml:space="preserve">(Sanchez et al., 2010; </w:t>
      </w:r>
      <w:r w:rsidR="00C96CB1">
        <w:rPr>
          <w:rFonts w:ascii="Times New Roman" w:hAnsi="Times New Roman" w:cs="Times New Roman"/>
          <w:color w:val="0000CC"/>
          <w:sz w:val="24"/>
          <w:szCs w:val="24"/>
          <w:lang w:val="en-US"/>
        </w:rPr>
        <w:t>Fujii et al., 2011)</w:t>
      </w:r>
      <w:r w:rsidR="00C02D18" w:rsidRPr="00634232">
        <w:rPr>
          <w:rFonts w:ascii="Times New Roman" w:hAnsi="Times New Roman" w:cs="Times New Roman"/>
          <w:sz w:val="24"/>
          <w:szCs w:val="24"/>
          <w:lang w:val="en-US"/>
        </w:rPr>
        <w:t xml:space="preserve">. Dicofol has been shown to have endocrine-disrupting properties </w:t>
      </w:r>
      <w:r w:rsidR="00C96CB1">
        <w:rPr>
          <w:rFonts w:ascii="Times New Roman" w:hAnsi="Times New Roman" w:cs="Times New Roman"/>
          <w:color w:val="0000CC"/>
          <w:sz w:val="24"/>
          <w:szCs w:val="24"/>
          <w:lang w:val="en-US"/>
        </w:rPr>
        <w:t>Panda et al., 2019)</w:t>
      </w:r>
      <w:r w:rsidR="00C02D18" w:rsidRPr="00634232">
        <w:rPr>
          <w:rFonts w:ascii="Times New Roman" w:hAnsi="Times New Roman" w:cs="Times New Roman"/>
          <w:sz w:val="24"/>
          <w:szCs w:val="24"/>
          <w:lang w:val="en-US"/>
        </w:rPr>
        <w:t>.</w:t>
      </w:r>
      <w:r w:rsidR="00C02D18" w:rsidRPr="00634232">
        <w:t xml:space="preserve"> </w:t>
      </w:r>
      <w:r w:rsidR="00C02D18" w:rsidRPr="00634232">
        <w:rPr>
          <w:rFonts w:ascii="Times New Roman" w:hAnsi="Times New Roman" w:cs="Times New Roman"/>
          <w:sz w:val="24"/>
          <w:szCs w:val="24"/>
          <w:lang w:val="en-US"/>
        </w:rPr>
        <w:t>According to the findings of multiple epidemiological studies, there appears to be a correlation between exposure to dicofol and prostate cancer in men, Hodgkin's disease, and autistic disorders in children. The limitations of these studies often preclude the establishment of causal links; however, they do illustrate the concern that the pesticide may also have harmful effects on adults.</w:t>
      </w:r>
      <w:r w:rsidR="00C02D18" w:rsidRPr="00634232">
        <w:t xml:space="preserve"> </w:t>
      </w:r>
      <w:r w:rsidR="00C02D18" w:rsidRPr="00634232">
        <w:rPr>
          <w:rFonts w:ascii="Times New Roman" w:hAnsi="Times New Roman" w:cs="Times New Roman"/>
          <w:sz w:val="24"/>
          <w:szCs w:val="24"/>
          <w:lang w:val="en-US"/>
        </w:rPr>
        <w:t xml:space="preserve">Dicofol's inherent properties suggest that it may have substantial adverse environmental effects due to its potential for long-range transport in the environment. Its structural characteristics, toxicity, endocrine-disrupting capacity, and carcinogenicity are comparable to those of DDT, resulting in a significant negative impact on the environment and human health </w:t>
      </w:r>
      <w:r w:rsidR="00C96CB1">
        <w:rPr>
          <w:rFonts w:ascii="Times New Roman" w:hAnsi="Times New Roman" w:cs="Times New Roman"/>
          <w:color w:val="0000CC"/>
          <w:sz w:val="24"/>
          <w:szCs w:val="24"/>
          <w:lang w:val="en-US"/>
        </w:rPr>
        <w:t>(Settimi et al., 2017)</w:t>
      </w:r>
      <w:r w:rsidR="00C02D18" w:rsidRPr="00634232">
        <w:rPr>
          <w:rFonts w:ascii="Times New Roman" w:hAnsi="Times New Roman" w:cs="Times New Roman"/>
          <w:color w:val="0000CC"/>
          <w:sz w:val="24"/>
          <w:szCs w:val="24"/>
          <w:lang w:val="en-US"/>
        </w:rPr>
        <w:t>]</w:t>
      </w:r>
      <w:r w:rsidR="00C02D18" w:rsidRPr="00634232">
        <w:rPr>
          <w:rFonts w:ascii="Times New Roman" w:hAnsi="Times New Roman" w:cs="Times New Roman"/>
          <w:sz w:val="24"/>
          <w:szCs w:val="24"/>
          <w:lang w:val="en-US"/>
        </w:rPr>
        <w:t>. In the current business climate, many countries have expressed concerns regarding the presence of dicofol residues in cereals, vegetables, fruits, and certain animal-derived foods.</w:t>
      </w:r>
    </w:p>
    <w:p w14:paraId="41E2F871" w14:textId="77777777" w:rsidR="00376AED" w:rsidRPr="00634232" w:rsidRDefault="00A561FC" w:rsidP="00FE2DAF">
      <w:pPr>
        <w:spacing w:after="0" w:line="360" w:lineRule="auto"/>
        <w:jc w:val="both"/>
        <w:rPr>
          <w:rFonts w:ascii="Times New Roman" w:hAnsi="Times New Roman" w:cs="Times New Roman"/>
          <w:sz w:val="24"/>
          <w:szCs w:val="24"/>
          <w:lang w:val="en-US"/>
        </w:rPr>
      </w:pPr>
      <w:r w:rsidRPr="00634232">
        <w:rPr>
          <w:rFonts w:ascii="Times New Roman" w:hAnsi="Times New Roman" w:cs="Times New Roman"/>
          <w:sz w:val="24"/>
          <w:szCs w:val="24"/>
          <w:lang w:val="en-US"/>
        </w:rPr>
        <w:t>It is this context that we have undertaken a study on the solubilization mechanism of dicofol at low concentrations in cationic and anionic micellar systems in presence of surfactants, TMATFB and SDS, respectively.</w:t>
      </w:r>
      <w:r w:rsidRPr="00634232">
        <w:rPr>
          <w:lang w:val="en-US"/>
        </w:rPr>
        <w:t xml:space="preserve"> </w:t>
      </w:r>
      <w:r w:rsidR="005529EC" w:rsidRPr="00634232">
        <w:rPr>
          <w:rFonts w:ascii="Times New Roman" w:hAnsi="Times New Roman" w:cs="Times New Roman"/>
          <w:sz w:val="24"/>
          <w:szCs w:val="24"/>
          <w:lang w:val="en-US"/>
        </w:rPr>
        <w:t>In this work, the simple and cost-effective conductometry method was used to improve the solubility of the pesticide dicofol in aqueous micellar media</w:t>
      </w:r>
      <w:r w:rsidR="00FE2DAF" w:rsidRPr="00634232">
        <w:rPr>
          <w:rFonts w:ascii="Times New Roman" w:hAnsi="Times New Roman" w:cs="Times New Roman"/>
          <w:sz w:val="24"/>
          <w:szCs w:val="24"/>
          <w:lang w:val="en-US"/>
        </w:rPr>
        <w:t>.</w:t>
      </w:r>
    </w:p>
    <w:p w14:paraId="3B61DB7F" w14:textId="77777777" w:rsidR="00FE2DAF" w:rsidRPr="00634232" w:rsidRDefault="00FE2DAF" w:rsidP="00FE2DAF">
      <w:pPr>
        <w:spacing w:after="0" w:line="360" w:lineRule="auto"/>
        <w:jc w:val="both"/>
        <w:rPr>
          <w:rFonts w:ascii="Times New Roman" w:hAnsi="Times New Roman" w:cs="Times New Roman"/>
          <w:sz w:val="24"/>
          <w:szCs w:val="24"/>
          <w:lang w:val="en-US"/>
        </w:rPr>
      </w:pPr>
    </w:p>
    <w:p w14:paraId="342E65D0" w14:textId="77777777" w:rsidR="005529EC" w:rsidRPr="00634232" w:rsidRDefault="005529EC" w:rsidP="005529EC">
      <w:pPr>
        <w:keepNext/>
        <w:keepLines/>
        <w:autoSpaceDE w:val="0"/>
        <w:autoSpaceDN w:val="0"/>
        <w:adjustRightInd w:val="0"/>
        <w:spacing w:after="240" w:line="360" w:lineRule="auto"/>
        <w:jc w:val="both"/>
        <w:outlineLvl w:val="1"/>
        <w:rPr>
          <w:rFonts w:ascii="Times New Roman" w:hAnsi="Times New Roman" w:cs="Times New Roman"/>
          <w:b/>
          <w:bCs/>
          <w:sz w:val="24"/>
          <w:szCs w:val="24"/>
          <w:lang w:val="en-US"/>
        </w:rPr>
      </w:pPr>
      <w:r w:rsidRPr="00634232">
        <w:rPr>
          <w:rFonts w:ascii="Times New Roman" w:hAnsi="Times New Roman" w:cs="Times New Roman"/>
          <w:b/>
          <w:bCs/>
          <w:sz w:val="24"/>
          <w:szCs w:val="24"/>
          <w:lang w:val="en-US"/>
        </w:rPr>
        <w:t xml:space="preserve">2. </w:t>
      </w:r>
      <w:r w:rsidRPr="00634232">
        <w:rPr>
          <w:rFonts w:ascii="Times New Roman" w:hAnsi="Times New Roman" w:cs="Times New Roman"/>
          <w:b/>
          <w:bCs/>
          <w:vanish/>
          <w:sz w:val="24"/>
          <w:szCs w:val="24"/>
          <w:lang w:val="en-US"/>
        </w:rPr>
        <w:t>¶</w:t>
      </w:r>
      <w:r w:rsidR="00FA4D9D" w:rsidRPr="00634232">
        <w:rPr>
          <w:rFonts w:ascii="Times New Roman" w:hAnsi="Times New Roman" w:cs="Times New Roman"/>
          <w:b/>
          <w:bCs/>
          <w:sz w:val="24"/>
          <w:szCs w:val="24"/>
          <w:lang w:val="en-US"/>
        </w:rPr>
        <w:t xml:space="preserve">EXPERIMENTAL </w:t>
      </w:r>
    </w:p>
    <w:p w14:paraId="7304ABC2" w14:textId="77777777" w:rsidR="005529EC" w:rsidRPr="005529EC" w:rsidRDefault="005529EC" w:rsidP="005529EC">
      <w:pPr>
        <w:keepNext/>
        <w:keepLines/>
        <w:autoSpaceDE w:val="0"/>
        <w:autoSpaceDN w:val="0"/>
        <w:adjustRightInd w:val="0"/>
        <w:spacing w:after="240" w:line="360" w:lineRule="auto"/>
        <w:jc w:val="both"/>
        <w:outlineLvl w:val="1"/>
        <w:rPr>
          <w:rFonts w:ascii="Times New Roman" w:hAnsi="Times New Roman" w:cs="Times New Roman"/>
          <w:b/>
          <w:bCs/>
          <w:sz w:val="24"/>
          <w:szCs w:val="24"/>
          <w:lang w:val="en-US"/>
        </w:rPr>
      </w:pPr>
      <w:r w:rsidRPr="005529EC">
        <w:rPr>
          <w:rFonts w:ascii="Times New Roman" w:hAnsi="Times New Roman" w:cs="Times New Roman"/>
          <w:b/>
          <w:bCs/>
          <w:vanish/>
          <w:sz w:val="24"/>
          <w:szCs w:val="24"/>
          <w:lang w:val="en-US"/>
        </w:rPr>
        <w:t>¶</w:t>
      </w:r>
      <w:r w:rsidRPr="005529EC">
        <w:rPr>
          <w:rFonts w:ascii="Times New Roman" w:hAnsi="Times New Roman" w:cs="Times New Roman"/>
          <w:b/>
          <w:bCs/>
          <w:sz w:val="24"/>
          <w:szCs w:val="24"/>
          <w:lang w:val="en-US"/>
        </w:rPr>
        <w:t>2.1 Apparatus</w:t>
      </w:r>
      <w:r w:rsidRPr="005529EC">
        <w:rPr>
          <w:rFonts w:ascii="Times New Roman" w:hAnsi="Times New Roman" w:cs="Times New Roman"/>
          <w:b/>
          <w:bCs/>
          <w:vanish/>
          <w:sz w:val="24"/>
          <w:szCs w:val="24"/>
          <w:lang w:val="en-US"/>
        </w:rPr>
        <w:t>¶</w:t>
      </w:r>
    </w:p>
    <w:p w14:paraId="153E3175" w14:textId="77777777" w:rsidR="005529EC" w:rsidRPr="00634232" w:rsidRDefault="005529EC" w:rsidP="005529EC">
      <w:pPr>
        <w:autoSpaceDE w:val="0"/>
        <w:autoSpaceDN w:val="0"/>
        <w:adjustRightInd w:val="0"/>
        <w:spacing w:after="0" w:line="360" w:lineRule="auto"/>
        <w:jc w:val="both"/>
        <w:outlineLvl w:val="1"/>
        <w:rPr>
          <w:rFonts w:ascii="Times New Roman" w:hAnsi="Times New Roman" w:cs="Times New Roman"/>
          <w:sz w:val="24"/>
          <w:szCs w:val="24"/>
          <w:lang w:val="en-US"/>
        </w:rPr>
      </w:pPr>
      <w:r w:rsidRPr="00634232">
        <w:rPr>
          <w:rFonts w:ascii="Times New Roman" w:hAnsi="Times New Roman" w:cs="Times New Roman"/>
          <w:sz w:val="24"/>
          <w:szCs w:val="24"/>
          <w:lang w:val="en-US"/>
        </w:rPr>
        <w:t xml:space="preserve">The </w:t>
      </w:r>
      <w:proofErr w:type="spellStart"/>
      <w:r w:rsidRPr="00634232">
        <w:rPr>
          <w:rFonts w:ascii="Times New Roman" w:hAnsi="Times New Roman" w:cs="Times New Roman"/>
          <w:sz w:val="24"/>
          <w:szCs w:val="24"/>
          <w:lang w:val="en-US"/>
        </w:rPr>
        <w:t>pHenomenal</w:t>
      </w:r>
      <w:proofErr w:type="spellEnd"/>
      <w:r w:rsidRPr="00634232">
        <w:rPr>
          <w:rFonts w:ascii="Times New Roman" w:hAnsi="Times New Roman" w:cs="Times New Roman"/>
          <w:sz w:val="24"/>
          <w:szCs w:val="24"/>
          <w:lang w:val="en-US"/>
        </w:rPr>
        <w:t xml:space="preserve">® CO 3100L Conductivity/TDS/°C Meter Bench, accompanied by a measuring cell and temperature probe, was used in the study. The accuracy of the conductivity measurement is ±0.5%, with conductivity resolution down to 0.001 µS/cm (depending on the probe). The instrument was calibrated using solutions of 0.01 M KCl with conductivities of 1,278 </w:t>
      </w:r>
      <w:proofErr w:type="spellStart"/>
      <w:r w:rsidRPr="00634232">
        <w:rPr>
          <w:rFonts w:ascii="Times New Roman" w:hAnsi="Times New Roman" w:cs="Times New Roman"/>
          <w:sz w:val="24"/>
          <w:szCs w:val="24"/>
          <w:lang w:val="en-US"/>
        </w:rPr>
        <w:t>μS</w:t>
      </w:r>
      <w:proofErr w:type="spellEnd"/>
      <w:r w:rsidRPr="00634232">
        <w:rPr>
          <w:rFonts w:ascii="Times New Roman" w:hAnsi="Times New Roman" w:cs="Times New Roman"/>
          <w:sz w:val="24"/>
          <w:szCs w:val="24"/>
          <w:lang w:val="en-US"/>
        </w:rPr>
        <w:t xml:space="preserve"> cm</w:t>
      </w:r>
      <w:r w:rsidRPr="005A0EAF">
        <w:rPr>
          <w:rFonts w:ascii="Times New Roman" w:hAnsi="Times New Roman" w:cs="Times New Roman"/>
          <w:sz w:val="24"/>
          <w:szCs w:val="24"/>
          <w:vertAlign w:val="superscript"/>
          <w:lang w:val="en-US"/>
        </w:rPr>
        <w:t>-1</w:t>
      </w:r>
      <w:r w:rsidRPr="00634232">
        <w:rPr>
          <w:rFonts w:ascii="Times New Roman" w:hAnsi="Times New Roman" w:cs="Times New Roman"/>
          <w:sz w:val="24"/>
          <w:szCs w:val="24"/>
          <w:lang w:val="en-US"/>
        </w:rPr>
        <w:t xml:space="preserve"> and 1,413 </w:t>
      </w:r>
      <w:proofErr w:type="spellStart"/>
      <w:r w:rsidRPr="00634232">
        <w:rPr>
          <w:rFonts w:ascii="Times New Roman" w:hAnsi="Times New Roman" w:cs="Times New Roman"/>
          <w:sz w:val="24"/>
          <w:szCs w:val="24"/>
          <w:lang w:val="en-US"/>
        </w:rPr>
        <w:t>μS</w:t>
      </w:r>
      <w:proofErr w:type="spellEnd"/>
      <w:r w:rsidRPr="00634232">
        <w:rPr>
          <w:rFonts w:ascii="Times New Roman" w:hAnsi="Times New Roman" w:cs="Times New Roman"/>
          <w:sz w:val="24"/>
          <w:szCs w:val="24"/>
          <w:lang w:val="en-US"/>
        </w:rPr>
        <w:t xml:space="preserve"> cm</w:t>
      </w:r>
      <w:r w:rsidRPr="00D817B4">
        <w:rPr>
          <w:rFonts w:ascii="Times New Roman" w:hAnsi="Times New Roman" w:cs="Times New Roman"/>
          <w:sz w:val="24"/>
          <w:szCs w:val="24"/>
          <w:vertAlign w:val="superscript"/>
          <w:lang w:val="en-US"/>
        </w:rPr>
        <w:t>-1</w:t>
      </w:r>
      <w:r w:rsidRPr="00634232">
        <w:rPr>
          <w:rFonts w:ascii="Times New Roman" w:hAnsi="Times New Roman" w:cs="Times New Roman"/>
          <w:sz w:val="24"/>
          <w:szCs w:val="24"/>
          <w:lang w:val="en-US"/>
        </w:rPr>
        <w:t xml:space="preserve"> at temperatures of 293.15 and 298.15 K, respectively, using the appropriate standard curve. A VELP SCIENTIFICA magnetic stirrer (Healing Magnetic Stirrer) was used to facilitate homogenization of the stock solutions. All weighing operations were carried out using a Sartorius U3600S electronic balance, with an accuracy of 0.1 mg. A variety of laboratory vessels, including beakers, test tubes, vials, and micropipettes, were used to implement the various measurements.</w:t>
      </w:r>
    </w:p>
    <w:p w14:paraId="0DFC1246" w14:textId="77777777" w:rsidR="005529EC" w:rsidRPr="00634232" w:rsidRDefault="005529EC" w:rsidP="005529EC">
      <w:pPr>
        <w:autoSpaceDE w:val="0"/>
        <w:autoSpaceDN w:val="0"/>
        <w:adjustRightInd w:val="0"/>
        <w:spacing w:after="0" w:line="360" w:lineRule="auto"/>
        <w:jc w:val="both"/>
        <w:outlineLvl w:val="1"/>
        <w:rPr>
          <w:rFonts w:ascii="Times New Roman" w:hAnsi="Times New Roman" w:cs="Times New Roman"/>
          <w:b/>
          <w:bCs/>
          <w:sz w:val="24"/>
          <w:szCs w:val="24"/>
          <w:lang w:val="en-US"/>
        </w:rPr>
      </w:pPr>
    </w:p>
    <w:p w14:paraId="1A55C6D2" w14:textId="77777777" w:rsidR="005529EC" w:rsidRPr="00634232" w:rsidRDefault="005529EC" w:rsidP="005529EC">
      <w:pPr>
        <w:autoSpaceDE w:val="0"/>
        <w:autoSpaceDN w:val="0"/>
        <w:adjustRightInd w:val="0"/>
        <w:spacing w:after="0" w:line="360" w:lineRule="auto"/>
        <w:jc w:val="both"/>
        <w:outlineLvl w:val="1"/>
        <w:rPr>
          <w:rFonts w:ascii="Times New Roman" w:hAnsi="Times New Roman" w:cs="Times New Roman"/>
          <w:b/>
          <w:bCs/>
          <w:sz w:val="24"/>
          <w:szCs w:val="24"/>
          <w:lang w:val="en-US"/>
        </w:rPr>
      </w:pPr>
      <w:r w:rsidRPr="00634232">
        <w:rPr>
          <w:rFonts w:ascii="Times New Roman" w:hAnsi="Times New Roman" w:cs="Times New Roman"/>
          <w:b/>
          <w:bCs/>
          <w:sz w:val="24"/>
          <w:szCs w:val="24"/>
          <w:lang w:val="en-US"/>
        </w:rPr>
        <w:t>2.2 Reagents</w:t>
      </w:r>
    </w:p>
    <w:p w14:paraId="67B93363" w14:textId="77777777" w:rsidR="005529EC" w:rsidRPr="00634232" w:rsidRDefault="005529EC" w:rsidP="005529EC">
      <w:pPr>
        <w:autoSpaceDE w:val="0"/>
        <w:autoSpaceDN w:val="0"/>
        <w:adjustRightInd w:val="0"/>
        <w:spacing w:after="0" w:line="360" w:lineRule="auto"/>
        <w:jc w:val="both"/>
        <w:rPr>
          <w:rFonts w:ascii="Times New Roman" w:hAnsi="Times New Roman" w:cs="Times New Roman"/>
          <w:sz w:val="24"/>
          <w:szCs w:val="24"/>
          <w:lang w:val="en-US"/>
        </w:rPr>
      </w:pPr>
      <w:r w:rsidRPr="00634232">
        <w:rPr>
          <w:rFonts w:ascii="Times New Roman" w:hAnsi="Times New Roman" w:cs="Times New Roman"/>
          <w:sz w:val="24"/>
          <w:szCs w:val="24"/>
          <w:lang w:val="en-US"/>
        </w:rPr>
        <w:t xml:space="preserve">Dicofol (97.5% m/m) was purchased from </w:t>
      </w:r>
      <w:proofErr w:type="spellStart"/>
      <w:r w:rsidRPr="00634232">
        <w:rPr>
          <w:rFonts w:ascii="Times New Roman" w:hAnsi="Times New Roman" w:cs="Times New Roman"/>
          <w:sz w:val="24"/>
          <w:szCs w:val="24"/>
          <w:lang w:val="en-US"/>
        </w:rPr>
        <w:t>Cluzeau</w:t>
      </w:r>
      <w:proofErr w:type="spellEnd"/>
      <w:r w:rsidRPr="00634232">
        <w:rPr>
          <w:rFonts w:ascii="Times New Roman" w:hAnsi="Times New Roman" w:cs="Times New Roman"/>
          <w:sz w:val="24"/>
          <w:szCs w:val="24"/>
          <w:lang w:val="en-US"/>
        </w:rPr>
        <w:t xml:space="preserve"> Info </w:t>
      </w:r>
      <w:proofErr w:type="spellStart"/>
      <w:r w:rsidRPr="00634232">
        <w:rPr>
          <w:rFonts w:ascii="Times New Roman" w:hAnsi="Times New Roman" w:cs="Times New Roman"/>
          <w:sz w:val="24"/>
          <w:szCs w:val="24"/>
          <w:lang w:val="en-US"/>
        </w:rPr>
        <w:t>Labo</w:t>
      </w:r>
      <w:proofErr w:type="spellEnd"/>
      <w:r w:rsidRPr="00634232">
        <w:rPr>
          <w:rFonts w:ascii="Times New Roman" w:hAnsi="Times New Roman" w:cs="Times New Roman"/>
          <w:sz w:val="24"/>
          <w:szCs w:val="24"/>
          <w:lang w:val="en-US"/>
        </w:rPr>
        <w:t xml:space="preserve"> (Sainte Foy la Grande, France). Sodium dodecyl sulfate (SDS) (98%, D = 1.01), tetraethylammonium tetrafluoroborate (C</w:t>
      </w:r>
      <w:r w:rsidRPr="00634232">
        <w:rPr>
          <w:rFonts w:ascii="Times New Roman" w:hAnsi="Times New Roman" w:cs="Times New Roman"/>
          <w:sz w:val="24"/>
          <w:szCs w:val="24"/>
          <w:vertAlign w:val="subscript"/>
          <w:lang w:val="en-US"/>
        </w:rPr>
        <w:t>2</w:t>
      </w:r>
      <w:r w:rsidRPr="00634232">
        <w:rPr>
          <w:rFonts w:ascii="Times New Roman" w:hAnsi="Times New Roman" w:cs="Times New Roman"/>
          <w:sz w:val="24"/>
          <w:szCs w:val="24"/>
          <w:lang w:val="en-US"/>
        </w:rPr>
        <w:t>H</w:t>
      </w:r>
      <w:r w:rsidRPr="00634232">
        <w:rPr>
          <w:rFonts w:ascii="Times New Roman" w:hAnsi="Times New Roman" w:cs="Times New Roman"/>
          <w:sz w:val="24"/>
          <w:szCs w:val="24"/>
          <w:vertAlign w:val="subscript"/>
          <w:lang w:val="en-US"/>
        </w:rPr>
        <w:t>5</w:t>
      </w:r>
      <w:r w:rsidRPr="00634232">
        <w:rPr>
          <w:rFonts w:ascii="Times New Roman" w:hAnsi="Times New Roman" w:cs="Times New Roman"/>
          <w:sz w:val="24"/>
          <w:szCs w:val="24"/>
          <w:lang w:val="en-US"/>
        </w:rPr>
        <w:t>)</w:t>
      </w:r>
      <w:r w:rsidRPr="00634232">
        <w:rPr>
          <w:rFonts w:ascii="Times New Roman" w:hAnsi="Times New Roman" w:cs="Times New Roman"/>
          <w:sz w:val="24"/>
          <w:szCs w:val="24"/>
          <w:vertAlign w:val="subscript"/>
          <w:lang w:val="en-US"/>
        </w:rPr>
        <w:t>4</w:t>
      </w:r>
      <w:r w:rsidRPr="00634232">
        <w:rPr>
          <w:rFonts w:ascii="Times New Roman" w:hAnsi="Times New Roman" w:cs="Times New Roman"/>
          <w:sz w:val="24"/>
          <w:szCs w:val="24"/>
          <w:lang w:val="en-US"/>
        </w:rPr>
        <w:t>N(BF</w:t>
      </w:r>
      <w:r w:rsidRPr="00634232">
        <w:rPr>
          <w:rFonts w:ascii="Times New Roman" w:hAnsi="Times New Roman" w:cs="Times New Roman"/>
          <w:sz w:val="24"/>
          <w:szCs w:val="24"/>
          <w:vertAlign w:val="subscript"/>
          <w:lang w:val="en-US"/>
        </w:rPr>
        <w:t>4</w:t>
      </w:r>
      <w:r w:rsidRPr="00634232">
        <w:rPr>
          <w:rFonts w:ascii="Times New Roman" w:hAnsi="Times New Roman" w:cs="Times New Roman"/>
          <w:sz w:val="24"/>
          <w:szCs w:val="24"/>
          <w:lang w:val="en-US"/>
        </w:rPr>
        <w:t>) (99% m/m) were also purchased from Sigma Aldrich. The distilled water used comes from the National Laboratory of Control of Drugs (Dakar). The physicochemical properties of dicofol and surfactant were presented in Table 1.</w:t>
      </w:r>
    </w:p>
    <w:p w14:paraId="46F559A5" w14:textId="77777777" w:rsidR="005529EC" w:rsidRPr="00634232" w:rsidRDefault="005529EC" w:rsidP="005529EC">
      <w:pPr>
        <w:spacing w:after="0" w:line="360" w:lineRule="auto"/>
        <w:jc w:val="both"/>
        <w:rPr>
          <w:rFonts w:ascii="Times New Roman" w:hAnsi="Times New Roman" w:cs="Times New Roman"/>
          <w:b/>
          <w:sz w:val="24"/>
          <w:szCs w:val="24"/>
          <w:lang w:val="en-US"/>
        </w:rPr>
      </w:pPr>
    </w:p>
    <w:p w14:paraId="4D7CF25F" w14:textId="77777777" w:rsidR="00FE2DAF" w:rsidRPr="00634232" w:rsidRDefault="00FE2DAF" w:rsidP="005529EC">
      <w:pPr>
        <w:spacing w:after="0" w:line="360" w:lineRule="auto"/>
        <w:jc w:val="both"/>
        <w:rPr>
          <w:rFonts w:ascii="Times New Roman" w:hAnsi="Times New Roman" w:cs="Times New Roman"/>
          <w:b/>
          <w:sz w:val="24"/>
          <w:szCs w:val="24"/>
          <w:lang w:val="en-US"/>
        </w:rPr>
      </w:pPr>
    </w:p>
    <w:p w14:paraId="4D6B01C6" w14:textId="77777777" w:rsidR="00FE2DAF" w:rsidRPr="00634232" w:rsidRDefault="00FE2DAF" w:rsidP="005529EC">
      <w:pPr>
        <w:spacing w:after="0" w:line="360" w:lineRule="auto"/>
        <w:jc w:val="both"/>
        <w:rPr>
          <w:rFonts w:ascii="Times New Roman" w:hAnsi="Times New Roman" w:cs="Times New Roman"/>
          <w:b/>
          <w:sz w:val="24"/>
          <w:szCs w:val="24"/>
          <w:lang w:val="en-US"/>
        </w:rPr>
      </w:pPr>
    </w:p>
    <w:p w14:paraId="1D2FEBEA" w14:textId="77777777" w:rsidR="00FE2DAF" w:rsidRPr="00634232" w:rsidRDefault="00FE2DAF" w:rsidP="005529EC">
      <w:pPr>
        <w:spacing w:after="0" w:line="360" w:lineRule="auto"/>
        <w:jc w:val="both"/>
        <w:rPr>
          <w:rFonts w:ascii="Times New Roman" w:hAnsi="Times New Roman" w:cs="Times New Roman"/>
          <w:b/>
          <w:sz w:val="24"/>
          <w:szCs w:val="24"/>
          <w:lang w:val="en-US"/>
        </w:rPr>
      </w:pPr>
    </w:p>
    <w:p w14:paraId="527A2176" w14:textId="77777777" w:rsidR="00FE2DAF" w:rsidRPr="00634232" w:rsidRDefault="00FE2DAF" w:rsidP="005529EC">
      <w:pPr>
        <w:spacing w:after="0" w:line="360" w:lineRule="auto"/>
        <w:jc w:val="both"/>
        <w:rPr>
          <w:rFonts w:ascii="Times New Roman" w:hAnsi="Times New Roman" w:cs="Times New Roman"/>
          <w:b/>
          <w:sz w:val="24"/>
          <w:szCs w:val="24"/>
          <w:lang w:val="en-US"/>
        </w:rPr>
      </w:pPr>
    </w:p>
    <w:p w14:paraId="32628136" w14:textId="77777777" w:rsidR="00FE2DAF" w:rsidRPr="00634232" w:rsidRDefault="00FE2DAF" w:rsidP="005529EC">
      <w:pPr>
        <w:spacing w:after="0" w:line="360" w:lineRule="auto"/>
        <w:jc w:val="both"/>
        <w:rPr>
          <w:rFonts w:ascii="Times New Roman" w:hAnsi="Times New Roman" w:cs="Times New Roman"/>
          <w:b/>
          <w:sz w:val="24"/>
          <w:szCs w:val="24"/>
          <w:lang w:val="en-US"/>
        </w:rPr>
      </w:pPr>
    </w:p>
    <w:p w14:paraId="0803CA30" w14:textId="77777777" w:rsidR="005529EC" w:rsidRPr="00634232" w:rsidRDefault="007E47A4" w:rsidP="005529EC">
      <w:pPr>
        <w:spacing w:after="0" w:line="360" w:lineRule="auto"/>
        <w:jc w:val="both"/>
        <w:rPr>
          <w:rFonts w:ascii="Times New Roman" w:hAnsi="Times New Roman" w:cs="Times New Roman"/>
          <w:b/>
          <w:sz w:val="24"/>
          <w:szCs w:val="24"/>
          <w:lang w:val="en-US"/>
        </w:rPr>
      </w:pPr>
      <w:r w:rsidRPr="00634232">
        <w:rPr>
          <w:rFonts w:ascii="Times New Roman" w:hAnsi="Times New Roman" w:cs="Times New Roman"/>
          <w:b/>
          <w:sz w:val="24"/>
          <w:szCs w:val="24"/>
          <w:lang w:val="en-US"/>
        </w:rPr>
        <w:t xml:space="preserve">Table 1. </w:t>
      </w:r>
      <w:r w:rsidR="005529EC" w:rsidRPr="00634232">
        <w:rPr>
          <w:rFonts w:ascii="Times New Roman" w:hAnsi="Times New Roman" w:cs="Times New Roman"/>
          <w:b/>
          <w:sz w:val="24"/>
          <w:szCs w:val="24"/>
          <w:lang w:val="en-US"/>
        </w:rPr>
        <w:t>Chemical properties of dicofol and surfactants</w:t>
      </w:r>
    </w:p>
    <w:tbl>
      <w:tblPr>
        <w:tblpPr w:leftFromText="141" w:rightFromText="141" w:bottomFromText="200" w:vertAnchor="text" w:tblpX="-426" w:tblpY="1"/>
        <w:tblOverlap w:val="never"/>
        <w:tblW w:w="9781" w:type="dxa"/>
        <w:tblBorders>
          <w:top w:val="single" w:sz="12" w:space="0" w:color="000000"/>
          <w:bottom w:val="single" w:sz="12" w:space="0" w:color="000000"/>
          <w:insideH w:val="nil"/>
          <w:insideV w:val="nil"/>
        </w:tblBorders>
        <w:tblLayout w:type="fixed"/>
        <w:tblCellMar>
          <w:left w:w="70" w:type="dxa"/>
          <w:right w:w="70" w:type="dxa"/>
        </w:tblCellMar>
        <w:tblLook w:val="00A0" w:firstRow="1" w:lastRow="0" w:firstColumn="1" w:lastColumn="0" w:noHBand="0" w:noVBand="0"/>
      </w:tblPr>
      <w:tblGrid>
        <w:gridCol w:w="1418"/>
        <w:gridCol w:w="4824"/>
        <w:gridCol w:w="2678"/>
        <w:gridCol w:w="861"/>
      </w:tblGrid>
      <w:tr w:rsidR="00634232" w:rsidRPr="00634232" w14:paraId="7CAB27C8" w14:textId="77777777" w:rsidTr="006C2A18">
        <w:tc>
          <w:tcPr>
            <w:tcW w:w="1418" w:type="dxa"/>
            <w:tcBorders>
              <w:top w:val="single" w:sz="12" w:space="0" w:color="000000"/>
              <w:left w:val="nil"/>
              <w:bottom w:val="single" w:sz="12" w:space="0" w:color="000000"/>
              <w:right w:val="nil"/>
            </w:tcBorders>
          </w:tcPr>
          <w:p w14:paraId="1470578D" w14:textId="77777777" w:rsidR="005529EC" w:rsidRPr="00634232" w:rsidRDefault="005529EC" w:rsidP="005529EC">
            <w:pPr>
              <w:spacing w:after="0" w:line="360" w:lineRule="auto"/>
              <w:rPr>
                <w:rFonts w:ascii="Times New Roman" w:hAnsi="Times New Roman" w:cs="Times New Roman"/>
                <w:sz w:val="24"/>
                <w:szCs w:val="24"/>
                <w:lang w:val="en-US"/>
              </w:rPr>
            </w:pPr>
          </w:p>
          <w:p w14:paraId="34DB73F8" w14:textId="77777777" w:rsidR="005529EC" w:rsidRPr="00634232" w:rsidRDefault="005529EC" w:rsidP="005529EC">
            <w:pPr>
              <w:spacing w:after="0" w:line="360" w:lineRule="auto"/>
              <w:rPr>
                <w:rFonts w:ascii="Times New Roman" w:hAnsi="Times New Roman" w:cs="Times New Roman"/>
                <w:sz w:val="24"/>
                <w:szCs w:val="24"/>
                <w:lang w:val="en-US"/>
              </w:rPr>
            </w:pPr>
          </w:p>
          <w:p w14:paraId="61FCD053" w14:textId="77777777" w:rsidR="005529EC" w:rsidRPr="00634232" w:rsidRDefault="005529EC" w:rsidP="005529EC">
            <w:pPr>
              <w:spacing w:after="0" w:line="360" w:lineRule="auto"/>
              <w:rPr>
                <w:rFonts w:ascii="Times New Roman" w:hAnsi="Times New Roman" w:cs="Times New Roman"/>
                <w:sz w:val="24"/>
                <w:szCs w:val="24"/>
                <w:lang w:val="en-US"/>
              </w:rPr>
            </w:pPr>
          </w:p>
          <w:p w14:paraId="3AD0FB2F" w14:textId="77777777" w:rsidR="005529EC" w:rsidRPr="00634232" w:rsidRDefault="005529EC" w:rsidP="005529EC">
            <w:pPr>
              <w:spacing w:after="0" w:line="360" w:lineRule="auto"/>
              <w:rPr>
                <w:rFonts w:ascii="Times New Roman" w:hAnsi="Times New Roman" w:cs="Times New Roman"/>
                <w:sz w:val="24"/>
                <w:szCs w:val="24"/>
                <w:lang w:val="en-US"/>
              </w:rPr>
            </w:pPr>
            <w:r w:rsidRPr="00634232">
              <w:rPr>
                <w:rFonts w:ascii="Times New Roman" w:hAnsi="Times New Roman" w:cs="Times New Roman"/>
                <w:sz w:val="24"/>
                <w:szCs w:val="24"/>
                <w:lang w:val="en-US"/>
              </w:rPr>
              <w:t>Dicofol</w:t>
            </w:r>
          </w:p>
          <w:p w14:paraId="7E411DA7" w14:textId="77777777" w:rsidR="005529EC" w:rsidRPr="00634232" w:rsidRDefault="005529EC" w:rsidP="005529EC">
            <w:pPr>
              <w:spacing w:after="0" w:line="360" w:lineRule="auto"/>
              <w:rPr>
                <w:rFonts w:ascii="Times New Roman" w:hAnsi="Times New Roman" w:cs="Times New Roman"/>
                <w:sz w:val="24"/>
                <w:szCs w:val="24"/>
                <w:lang w:val="en-US"/>
              </w:rPr>
            </w:pPr>
          </w:p>
          <w:p w14:paraId="231B78DF" w14:textId="77777777" w:rsidR="005529EC" w:rsidRPr="00634232" w:rsidRDefault="005529EC" w:rsidP="005529EC">
            <w:pPr>
              <w:spacing w:after="0" w:line="360" w:lineRule="auto"/>
              <w:rPr>
                <w:rFonts w:ascii="Times New Roman" w:hAnsi="Times New Roman" w:cs="Times New Roman"/>
                <w:sz w:val="24"/>
                <w:szCs w:val="24"/>
                <w:lang w:val="en-US"/>
              </w:rPr>
            </w:pPr>
          </w:p>
          <w:p w14:paraId="6FF8B762" w14:textId="77777777" w:rsidR="005529EC" w:rsidRPr="00634232" w:rsidRDefault="005529EC" w:rsidP="005529EC">
            <w:pPr>
              <w:spacing w:after="0" w:line="360" w:lineRule="auto"/>
              <w:rPr>
                <w:rFonts w:ascii="Times New Roman" w:hAnsi="Times New Roman" w:cs="Times New Roman"/>
                <w:sz w:val="24"/>
                <w:szCs w:val="24"/>
                <w:lang w:val="en-US"/>
              </w:rPr>
            </w:pPr>
          </w:p>
          <w:p w14:paraId="33A02988" w14:textId="77777777" w:rsidR="005529EC" w:rsidRPr="00634232" w:rsidRDefault="005529EC" w:rsidP="005529EC">
            <w:pPr>
              <w:spacing w:after="0" w:line="360" w:lineRule="auto"/>
              <w:rPr>
                <w:rFonts w:ascii="Times New Roman" w:hAnsi="Times New Roman" w:cs="Times New Roman"/>
                <w:sz w:val="24"/>
                <w:szCs w:val="24"/>
                <w:lang w:val="en-US"/>
              </w:rPr>
            </w:pPr>
          </w:p>
          <w:p w14:paraId="226614DC" w14:textId="77777777" w:rsidR="005529EC" w:rsidRPr="00634232" w:rsidRDefault="005529EC" w:rsidP="005529EC">
            <w:pPr>
              <w:spacing w:after="0" w:line="360" w:lineRule="auto"/>
              <w:rPr>
                <w:rFonts w:ascii="Times New Roman" w:hAnsi="Times New Roman" w:cs="Times New Roman"/>
                <w:sz w:val="24"/>
                <w:szCs w:val="24"/>
                <w:lang w:val="en-US"/>
              </w:rPr>
            </w:pPr>
          </w:p>
          <w:p w14:paraId="413AF637" w14:textId="77777777" w:rsidR="005529EC" w:rsidRPr="00634232" w:rsidRDefault="005529EC" w:rsidP="005529EC">
            <w:pPr>
              <w:spacing w:after="0" w:line="360" w:lineRule="auto"/>
              <w:rPr>
                <w:rFonts w:ascii="Times New Roman" w:hAnsi="Times New Roman" w:cs="Times New Roman"/>
                <w:sz w:val="24"/>
                <w:szCs w:val="24"/>
                <w:lang w:val="en-US"/>
              </w:rPr>
            </w:pPr>
            <w:r w:rsidRPr="00634232">
              <w:rPr>
                <w:rFonts w:ascii="Times New Roman" w:hAnsi="Times New Roman" w:cs="Times New Roman"/>
                <w:sz w:val="24"/>
                <w:szCs w:val="24"/>
                <w:lang w:val="en-US"/>
              </w:rPr>
              <w:t>SDS</w:t>
            </w:r>
          </w:p>
          <w:p w14:paraId="0E0481F6" w14:textId="77777777" w:rsidR="005529EC" w:rsidRPr="00634232" w:rsidRDefault="005529EC" w:rsidP="005529EC">
            <w:pPr>
              <w:spacing w:after="0" w:line="360" w:lineRule="auto"/>
              <w:rPr>
                <w:rFonts w:ascii="Times New Roman" w:hAnsi="Times New Roman" w:cs="Times New Roman"/>
                <w:sz w:val="24"/>
                <w:szCs w:val="24"/>
                <w:lang w:val="en-US"/>
              </w:rPr>
            </w:pPr>
          </w:p>
          <w:p w14:paraId="5DFA7602" w14:textId="77777777" w:rsidR="005529EC" w:rsidRPr="00634232" w:rsidRDefault="005529EC" w:rsidP="005529EC">
            <w:pPr>
              <w:spacing w:after="0" w:line="360" w:lineRule="auto"/>
              <w:rPr>
                <w:rFonts w:ascii="Times New Roman" w:hAnsi="Times New Roman" w:cs="Times New Roman"/>
                <w:sz w:val="24"/>
                <w:szCs w:val="24"/>
                <w:lang w:val="en-US"/>
              </w:rPr>
            </w:pPr>
          </w:p>
          <w:p w14:paraId="6C8E1B0B" w14:textId="77777777" w:rsidR="005529EC" w:rsidRPr="00634232" w:rsidRDefault="005529EC" w:rsidP="005529EC">
            <w:pPr>
              <w:spacing w:after="0" w:line="360" w:lineRule="auto"/>
              <w:rPr>
                <w:rFonts w:ascii="Times New Roman" w:hAnsi="Times New Roman" w:cs="Times New Roman"/>
                <w:sz w:val="24"/>
                <w:szCs w:val="24"/>
                <w:lang w:val="en-US"/>
              </w:rPr>
            </w:pPr>
          </w:p>
          <w:p w14:paraId="22B0598D" w14:textId="77777777" w:rsidR="005529EC" w:rsidRPr="00634232" w:rsidRDefault="005529EC" w:rsidP="005529EC">
            <w:pPr>
              <w:spacing w:after="0" w:line="360" w:lineRule="auto"/>
              <w:rPr>
                <w:rFonts w:ascii="Times New Roman" w:hAnsi="Times New Roman" w:cs="Times New Roman"/>
                <w:sz w:val="24"/>
                <w:szCs w:val="24"/>
                <w:lang w:val="en-US"/>
              </w:rPr>
            </w:pPr>
          </w:p>
          <w:p w14:paraId="62684712" w14:textId="77777777" w:rsidR="005529EC" w:rsidRPr="00634232" w:rsidRDefault="005529EC" w:rsidP="005529EC">
            <w:pPr>
              <w:spacing w:after="0" w:line="360" w:lineRule="auto"/>
              <w:rPr>
                <w:rFonts w:ascii="Times New Roman" w:hAnsi="Times New Roman" w:cs="Times New Roman"/>
                <w:sz w:val="24"/>
                <w:szCs w:val="24"/>
                <w:lang w:val="en-US"/>
              </w:rPr>
            </w:pPr>
          </w:p>
          <w:p w14:paraId="557B5701" w14:textId="77777777" w:rsidR="005529EC" w:rsidRPr="00634232" w:rsidRDefault="005529EC" w:rsidP="005529EC">
            <w:pPr>
              <w:spacing w:after="0" w:line="360" w:lineRule="auto"/>
              <w:rPr>
                <w:rFonts w:ascii="Times New Roman" w:hAnsi="Times New Roman" w:cs="Times New Roman"/>
                <w:sz w:val="24"/>
                <w:szCs w:val="24"/>
                <w:lang w:val="en-US"/>
              </w:rPr>
            </w:pPr>
          </w:p>
          <w:p w14:paraId="77C5968E" w14:textId="77777777" w:rsidR="00483008" w:rsidRPr="00634232" w:rsidRDefault="00483008" w:rsidP="005529EC">
            <w:pPr>
              <w:spacing w:after="0" w:line="360" w:lineRule="auto"/>
              <w:rPr>
                <w:rFonts w:ascii="Times New Roman" w:hAnsi="Times New Roman" w:cs="Times New Roman"/>
                <w:sz w:val="24"/>
                <w:szCs w:val="24"/>
                <w:lang w:val="en-US"/>
              </w:rPr>
            </w:pPr>
          </w:p>
          <w:p w14:paraId="722DB394" w14:textId="77777777" w:rsidR="005529EC" w:rsidRPr="00634232" w:rsidRDefault="005529EC" w:rsidP="005529EC">
            <w:pPr>
              <w:spacing w:after="0" w:line="360" w:lineRule="auto"/>
              <w:rPr>
                <w:rFonts w:ascii="Times New Roman" w:hAnsi="Times New Roman" w:cs="Times New Roman"/>
                <w:sz w:val="24"/>
                <w:szCs w:val="24"/>
                <w:lang w:val="en-US"/>
              </w:rPr>
            </w:pPr>
            <w:r w:rsidRPr="00634232">
              <w:rPr>
                <w:rFonts w:ascii="Times New Roman" w:hAnsi="Times New Roman" w:cs="Times New Roman"/>
                <w:sz w:val="24"/>
                <w:szCs w:val="24"/>
                <w:lang w:val="en-US"/>
              </w:rPr>
              <w:t>TMATFB</w:t>
            </w:r>
          </w:p>
          <w:p w14:paraId="5E4F277B" w14:textId="77777777" w:rsidR="005529EC" w:rsidRPr="00634232" w:rsidRDefault="005529EC" w:rsidP="005529EC">
            <w:pPr>
              <w:spacing w:after="0" w:line="360" w:lineRule="auto"/>
              <w:rPr>
                <w:rFonts w:ascii="Times New Roman" w:hAnsi="Times New Roman" w:cs="Times New Roman"/>
                <w:sz w:val="24"/>
                <w:szCs w:val="24"/>
                <w:lang w:val="en-US"/>
              </w:rPr>
            </w:pPr>
          </w:p>
        </w:tc>
        <w:tc>
          <w:tcPr>
            <w:tcW w:w="4824" w:type="dxa"/>
            <w:tcBorders>
              <w:top w:val="single" w:sz="12" w:space="0" w:color="000000"/>
              <w:left w:val="nil"/>
              <w:bottom w:val="single" w:sz="12" w:space="0" w:color="000000"/>
              <w:right w:val="nil"/>
            </w:tcBorders>
            <w:vAlign w:val="center"/>
          </w:tcPr>
          <w:p w14:paraId="1DAA771F" w14:textId="77777777" w:rsidR="005529EC" w:rsidRPr="00634232" w:rsidRDefault="005529EC" w:rsidP="005529EC">
            <w:pPr>
              <w:spacing w:after="0" w:line="360" w:lineRule="auto"/>
              <w:jc w:val="both"/>
              <w:rPr>
                <w:rFonts w:ascii="Times New Roman" w:eastAsia="Times New Roman" w:hAnsi="Times New Roman" w:cs="Times New Roman"/>
                <w:sz w:val="24"/>
                <w:szCs w:val="24"/>
                <w:lang w:val="es-ES_tradnl"/>
              </w:rPr>
            </w:pPr>
            <w:r w:rsidRPr="00634232">
              <w:rPr>
                <w:rFonts w:ascii="Times New Roman" w:hAnsi="Times New Roman" w:cs="Times New Roman"/>
                <w:sz w:val="24"/>
                <w:szCs w:val="24"/>
                <w:lang w:val="es-ES_tradnl"/>
              </w:rPr>
              <w:lastRenderedPageBreak/>
              <w:t>Formula                              C</w:t>
            </w:r>
            <w:r w:rsidRPr="00634232">
              <w:rPr>
                <w:rFonts w:ascii="Times New Roman" w:hAnsi="Times New Roman" w:cs="Times New Roman"/>
                <w:sz w:val="24"/>
                <w:szCs w:val="24"/>
                <w:vertAlign w:val="subscript"/>
                <w:lang w:val="es-ES_tradnl"/>
              </w:rPr>
              <w:t>14</w:t>
            </w:r>
            <w:r w:rsidRPr="00634232">
              <w:rPr>
                <w:rFonts w:ascii="Times New Roman" w:hAnsi="Times New Roman" w:cs="Times New Roman"/>
                <w:sz w:val="24"/>
                <w:szCs w:val="24"/>
                <w:lang w:val="es-ES_tradnl"/>
              </w:rPr>
              <w:t>H</w:t>
            </w:r>
            <w:r w:rsidRPr="00634232">
              <w:rPr>
                <w:rFonts w:ascii="Times New Roman" w:hAnsi="Times New Roman" w:cs="Times New Roman"/>
                <w:sz w:val="24"/>
                <w:szCs w:val="24"/>
                <w:vertAlign w:val="subscript"/>
                <w:lang w:val="es-ES_tradnl"/>
              </w:rPr>
              <w:t>9</w:t>
            </w:r>
            <w:r w:rsidRPr="00634232">
              <w:rPr>
                <w:rFonts w:ascii="Times New Roman" w:hAnsi="Times New Roman" w:cs="Times New Roman"/>
                <w:sz w:val="24"/>
                <w:szCs w:val="24"/>
                <w:lang w:val="es-ES_tradnl"/>
              </w:rPr>
              <w:t>Cl</w:t>
            </w:r>
            <w:r w:rsidRPr="00634232">
              <w:rPr>
                <w:rFonts w:ascii="Times New Roman" w:hAnsi="Times New Roman" w:cs="Times New Roman"/>
                <w:sz w:val="24"/>
                <w:szCs w:val="24"/>
                <w:vertAlign w:val="subscript"/>
                <w:lang w:val="es-ES_tradnl"/>
              </w:rPr>
              <w:t>5</w:t>
            </w:r>
            <w:r w:rsidRPr="00634232">
              <w:rPr>
                <w:rFonts w:ascii="Times New Roman" w:hAnsi="Times New Roman" w:cs="Times New Roman"/>
                <w:sz w:val="24"/>
                <w:szCs w:val="24"/>
                <w:lang w:val="es-ES_tradnl"/>
              </w:rPr>
              <w:t xml:space="preserve">O                   </w:t>
            </w:r>
          </w:p>
          <w:p w14:paraId="2FA8A725" w14:textId="77777777" w:rsidR="005529EC" w:rsidRPr="00634232" w:rsidRDefault="005529EC" w:rsidP="005529EC">
            <w:pPr>
              <w:spacing w:after="0" w:line="360" w:lineRule="auto"/>
              <w:jc w:val="both"/>
              <w:rPr>
                <w:rFonts w:ascii="Times New Roman" w:hAnsi="Times New Roman" w:cs="Times New Roman"/>
                <w:sz w:val="24"/>
                <w:szCs w:val="24"/>
                <w:lang w:val="es-ES_tradnl"/>
              </w:rPr>
            </w:pPr>
            <w:r w:rsidRPr="00634232">
              <w:rPr>
                <w:rFonts w:ascii="Times New Roman" w:hAnsi="Times New Roman" w:cs="Times New Roman"/>
                <w:sz w:val="24"/>
                <w:szCs w:val="24"/>
                <w:lang w:val="es-ES_tradnl"/>
              </w:rPr>
              <w:t>Molecular                           370.49 g mol</w:t>
            </w:r>
            <w:r w:rsidRPr="00634232">
              <w:rPr>
                <w:rFonts w:ascii="Times New Roman" w:hAnsi="Times New Roman" w:cs="Times New Roman"/>
                <w:sz w:val="24"/>
                <w:szCs w:val="24"/>
                <w:vertAlign w:val="superscript"/>
                <w:lang w:val="es-ES_tradnl"/>
              </w:rPr>
              <w:t>-1</w:t>
            </w:r>
          </w:p>
          <w:p w14:paraId="742109D5" w14:textId="77777777" w:rsidR="005529EC" w:rsidRPr="00634232" w:rsidRDefault="005529EC" w:rsidP="005529EC">
            <w:pPr>
              <w:spacing w:after="0" w:line="360" w:lineRule="auto"/>
              <w:jc w:val="both"/>
              <w:rPr>
                <w:rFonts w:ascii="Times New Roman" w:hAnsi="Times New Roman" w:cs="Times New Roman"/>
                <w:sz w:val="24"/>
                <w:szCs w:val="24"/>
                <w:lang w:val="en-US"/>
              </w:rPr>
            </w:pPr>
            <w:r w:rsidRPr="00634232">
              <w:rPr>
                <w:rFonts w:ascii="Times New Roman" w:hAnsi="Times New Roman" w:cs="Times New Roman"/>
                <w:sz w:val="24"/>
                <w:szCs w:val="24"/>
                <w:lang w:val="en-US"/>
              </w:rPr>
              <w:t>Water solubility (25°C)      0.8 mg L</w:t>
            </w:r>
            <w:r w:rsidRPr="00634232">
              <w:rPr>
                <w:rFonts w:ascii="Times New Roman" w:hAnsi="Times New Roman" w:cs="Times New Roman"/>
                <w:sz w:val="24"/>
                <w:szCs w:val="24"/>
                <w:vertAlign w:val="superscript"/>
                <w:lang w:val="en-US"/>
              </w:rPr>
              <w:t>-1</w:t>
            </w:r>
          </w:p>
          <w:p w14:paraId="328336F4" w14:textId="77777777" w:rsidR="005529EC" w:rsidRPr="00634232" w:rsidRDefault="005529EC" w:rsidP="005529EC">
            <w:pPr>
              <w:spacing w:after="0" w:line="360" w:lineRule="auto"/>
              <w:jc w:val="both"/>
              <w:rPr>
                <w:rFonts w:ascii="Times New Roman" w:hAnsi="Times New Roman" w:cs="Times New Roman"/>
                <w:sz w:val="24"/>
                <w:szCs w:val="24"/>
                <w:lang w:val="en-US"/>
              </w:rPr>
            </w:pPr>
            <w:r w:rsidRPr="00634232">
              <w:rPr>
                <w:rFonts w:ascii="Times New Roman" w:hAnsi="Times New Roman" w:cs="Times New Roman"/>
                <w:sz w:val="24"/>
                <w:szCs w:val="24"/>
                <w:lang w:val="en-US"/>
              </w:rPr>
              <w:t>Melting point                      78.5-79.5°C</w:t>
            </w:r>
          </w:p>
          <w:p w14:paraId="6EDFEACE" w14:textId="77777777" w:rsidR="005529EC" w:rsidRPr="00634232" w:rsidRDefault="005529EC" w:rsidP="005529EC">
            <w:pPr>
              <w:spacing w:after="0" w:line="360" w:lineRule="auto"/>
              <w:rPr>
                <w:rFonts w:ascii="Times New Roman" w:hAnsi="Times New Roman" w:cs="Times New Roman"/>
                <w:sz w:val="24"/>
                <w:szCs w:val="24"/>
                <w:lang w:val="en-US"/>
              </w:rPr>
            </w:pPr>
            <w:r w:rsidRPr="00634232">
              <w:rPr>
                <w:rFonts w:ascii="Times New Roman" w:hAnsi="Times New Roman" w:cs="Times New Roman"/>
                <w:sz w:val="24"/>
                <w:szCs w:val="24"/>
                <w:lang w:val="en-US"/>
              </w:rPr>
              <w:t xml:space="preserve">Boiling point                       </w:t>
            </w:r>
            <w:r w:rsidR="00BD06AD" w:rsidRPr="00634232">
              <w:rPr>
                <w:rFonts w:ascii="Times New Roman" w:hAnsi="Times New Roman" w:cs="Times New Roman"/>
                <w:sz w:val="24"/>
                <w:szCs w:val="24"/>
                <w:lang w:val="en-US"/>
              </w:rPr>
              <w:t xml:space="preserve">    NIA</w:t>
            </w:r>
          </w:p>
          <w:p w14:paraId="1F3FDB92" w14:textId="77777777" w:rsidR="005529EC" w:rsidRPr="00634232" w:rsidRDefault="005529EC" w:rsidP="005529EC">
            <w:pPr>
              <w:spacing w:after="0" w:line="360" w:lineRule="auto"/>
              <w:rPr>
                <w:rFonts w:ascii="Times New Roman" w:hAnsi="Times New Roman" w:cs="Times New Roman"/>
                <w:sz w:val="24"/>
                <w:szCs w:val="24"/>
                <w:lang w:val="en-US"/>
              </w:rPr>
            </w:pPr>
          </w:p>
          <w:p w14:paraId="6FD737E5" w14:textId="77777777" w:rsidR="005529EC" w:rsidRPr="00634232" w:rsidRDefault="005529EC" w:rsidP="005529EC">
            <w:pPr>
              <w:spacing w:after="0" w:line="360" w:lineRule="auto"/>
              <w:rPr>
                <w:rFonts w:ascii="Times New Roman" w:hAnsi="Times New Roman" w:cs="Times New Roman"/>
                <w:sz w:val="24"/>
                <w:szCs w:val="24"/>
                <w:lang w:val="en-US"/>
              </w:rPr>
            </w:pPr>
          </w:p>
          <w:p w14:paraId="2E882D73" w14:textId="77777777" w:rsidR="005529EC" w:rsidRPr="00634232" w:rsidRDefault="005529EC" w:rsidP="005529EC">
            <w:pPr>
              <w:spacing w:after="0" w:line="360" w:lineRule="auto"/>
              <w:jc w:val="both"/>
              <w:rPr>
                <w:rFonts w:ascii="Times New Roman" w:hAnsi="Times New Roman" w:cs="Times New Roman"/>
                <w:sz w:val="24"/>
                <w:szCs w:val="24"/>
                <w:lang w:val="en-US"/>
              </w:rPr>
            </w:pPr>
            <w:r w:rsidRPr="00634232">
              <w:rPr>
                <w:rFonts w:ascii="Times New Roman" w:hAnsi="Times New Roman" w:cs="Times New Roman"/>
                <w:sz w:val="24"/>
                <w:szCs w:val="24"/>
                <w:lang w:val="en-US"/>
              </w:rPr>
              <w:t>Formula                              NaC</w:t>
            </w:r>
            <w:r w:rsidRPr="00634232">
              <w:rPr>
                <w:rFonts w:ascii="Times New Roman" w:hAnsi="Times New Roman" w:cs="Times New Roman"/>
                <w:sz w:val="24"/>
                <w:szCs w:val="24"/>
                <w:vertAlign w:val="subscript"/>
                <w:lang w:val="en-US"/>
              </w:rPr>
              <w:t>12</w:t>
            </w:r>
            <w:r w:rsidRPr="00634232">
              <w:rPr>
                <w:rFonts w:ascii="Times New Roman" w:hAnsi="Times New Roman" w:cs="Times New Roman"/>
                <w:sz w:val="24"/>
                <w:szCs w:val="24"/>
                <w:lang w:val="en-US"/>
              </w:rPr>
              <w:t>H</w:t>
            </w:r>
            <w:r w:rsidRPr="00634232">
              <w:rPr>
                <w:rFonts w:ascii="Times New Roman" w:hAnsi="Times New Roman" w:cs="Times New Roman"/>
                <w:sz w:val="24"/>
                <w:szCs w:val="24"/>
                <w:vertAlign w:val="subscript"/>
                <w:lang w:val="en-US"/>
              </w:rPr>
              <w:t>25</w:t>
            </w:r>
            <w:r w:rsidRPr="00634232">
              <w:rPr>
                <w:rFonts w:ascii="Times New Roman" w:hAnsi="Times New Roman" w:cs="Times New Roman"/>
                <w:sz w:val="24"/>
                <w:szCs w:val="24"/>
                <w:lang w:val="en-US"/>
              </w:rPr>
              <w:t>SO</w:t>
            </w:r>
            <w:r w:rsidRPr="00634232">
              <w:rPr>
                <w:rFonts w:ascii="Times New Roman" w:hAnsi="Times New Roman" w:cs="Times New Roman"/>
                <w:sz w:val="24"/>
                <w:szCs w:val="24"/>
                <w:vertAlign w:val="subscript"/>
                <w:lang w:val="en-US"/>
              </w:rPr>
              <w:t>4</w:t>
            </w:r>
          </w:p>
          <w:p w14:paraId="394465ED" w14:textId="77777777" w:rsidR="005529EC" w:rsidRPr="00634232" w:rsidRDefault="005529EC" w:rsidP="005529EC">
            <w:pPr>
              <w:spacing w:after="0" w:line="360" w:lineRule="auto"/>
              <w:jc w:val="both"/>
              <w:rPr>
                <w:rFonts w:ascii="Times New Roman" w:hAnsi="Times New Roman" w:cs="Times New Roman"/>
                <w:sz w:val="24"/>
                <w:szCs w:val="24"/>
                <w:lang w:val="en-US"/>
              </w:rPr>
            </w:pPr>
            <w:r w:rsidRPr="00634232">
              <w:rPr>
                <w:rFonts w:ascii="Times New Roman" w:hAnsi="Times New Roman" w:cs="Times New Roman"/>
                <w:sz w:val="24"/>
                <w:szCs w:val="24"/>
                <w:lang w:val="en-US"/>
              </w:rPr>
              <w:t>Molecular                           288.372 g mol</w:t>
            </w:r>
            <w:r w:rsidRPr="00634232">
              <w:rPr>
                <w:rFonts w:ascii="Times New Roman" w:hAnsi="Times New Roman" w:cs="Times New Roman"/>
                <w:sz w:val="24"/>
                <w:szCs w:val="24"/>
                <w:vertAlign w:val="superscript"/>
                <w:lang w:val="en-US"/>
              </w:rPr>
              <w:t>-1</w:t>
            </w:r>
          </w:p>
          <w:p w14:paraId="10070413" w14:textId="77777777" w:rsidR="005529EC" w:rsidRPr="00634232" w:rsidRDefault="005529EC" w:rsidP="005529EC">
            <w:pPr>
              <w:spacing w:after="0" w:line="360" w:lineRule="auto"/>
              <w:jc w:val="both"/>
              <w:rPr>
                <w:rFonts w:ascii="Times New Roman" w:hAnsi="Times New Roman" w:cs="Times New Roman"/>
                <w:sz w:val="24"/>
                <w:szCs w:val="24"/>
                <w:lang w:val="en-US"/>
              </w:rPr>
            </w:pPr>
            <w:r w:rsidRPr="00634232">
              <w:rPr>
                <w:rFonts w:ascii="Times New Roman" w:hAnsi="Times New Roman" w:cs="Times New Roman"/>
                <w:sz w:val="24"/>
                <w:szCs w:val="24"/>
                <w:lang w:val="en-US"/>
              </w:rPr>
              <w:t>Water solubility (20°C)      200 mg mL</w:t>
            </w:r>
            <w:r w:rsidRPr="00634232">
              <w:rPr>
                <w:rFonts w:ascii="Times New Roman" w:hAnsi="Times New Roman" w:cs="Times New Roman"/>
                <w:sz w:val="24"/>
                <w:szCs w:val="24"/>
                <w:vertAlign w:val="superscript"/>
                <w:lang w:val="en-US"/>
              </w:rPr>
              <w:t>-1</w:t>
            </w:r>
          </w:p>
          <w:p w14:paraId="7834119C" w14:textId="77777777" w:rsidR="005529EC" w:rsidRPr="00634232" w:rsidRDefault="005529EC" w:rsidP="005529EC">
            <w:pPr>
              <w:spacing w:after="0" w:line="360" w:lineRule="auto"/>
              <w:jc w:val="both"/>
              <w:rPr>
                <w:rFonts w:ascii="Times New Roman" w:hAnsi="Times New Roman" w:cs="Times New Roman"/>
                <w:sz w:val="24"/>
                <w:szCs w:val="24"/>
                <w:lang w:val="en-US"/>
              </w:rPr>
            </w:pPr>
            <w:r w:rsidRPr="00634232">
              <w:rPr>
                <w:rFonts w:ascii="Times New Roman" w:hAnsi="Times New Roman" w:cs="Times New Roman"/>
                <w:sz w:val="24"/>
                <w:szCs w:val="24"/>
                <w:lang w:val="en-US"/>
              </w:rPr>
              <w:t xml:space="preserve">Melting point                  </w:t>
            </w:r>
            <w:r w:rsidR="00BD06AD" w:rsidRPr="00634232">
              <w:rPr>
                <w:rFonts w:ascii="Times New Roman" w:hAnsi="Times New Roman" w:cs="Times New Roman"/>
                <w:sz w:val="24"/>
                <w:szCs w:val="24"/>
                <w:lang w:val="en-US"/>
              </w:rPr>
              <w:t xml:space="preserve">   </w:t>
            </w:r>
            <w:r w:rsidRPr="00634232">
              <w:rPr>
                <w:rFonts w:ascii="Times New Roman" w:hAnsi="Times New Roman" w:cs="Times New Roman"/>
                <w:sz w:val="24"/>
                <w:szCs w:val="24"/>
                <w:lang w:val="en-US"/>
              </w:rPr>
              <w:t xml:space="preserve">    206°C</w:t>
            </w:r>
          </w:p>
          <w:p w14:paraId="00947D2B" w14:textId="77777777" w:rsidR="005529EC" w:rsidRPr="00634232" w:rsidRDefault="005A0EAF" w:rsidP="00BD06AD">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Boiling</w:t>
            </w:r>
            <w:r w:rsidR="005529EC" w:rsidRPr="00634232">
              <w:rPr>
                <w:rFonts w:ascii="Times New Roman" w:hAnsi="Times New Roman" w:cs="Times New Roman"/>
                <w:sz w:val="24"/>
                <w:szCs w:val="24"/>
                <w:lang w:val="en-US"/>
              </w:rPr>
              <w:t xml:space="preserve"> po</w:t>
            </w:r>
            <w:r w:rsidR="00BD06AD" w:rsidRPr="00634232">
              <w:rPr>
                <w:rFonts w:ascii="Times New Roman" w:hAnsi="Times New Roman" w:cs="Times New Roman"/>
                <w:sz w:val="24"/>
                <w:szCs w:val="24"/>
                <w:lang w:val="en-US"/>
              </w:rPr>
              <w:t>int                           NIA</w:t>
            </w:r>
            <w:r w:rsidR="00BD06AD" w:rsidRPr="00634232">
              <w:rPr>
                <w:rFonts w:ascii="Times New Roman" w:hAnsi="Times New Roman" w:cs="Times New Roman"/>
                <w:sz w:val="24"/>
                <w:szCs w:val="24"/>
                <w:lang w:val="es-ES_tradnl"/>
              </w:rPr>
              <w:t xml:space="preserve">       </w:t>
            </w:r>
          </w:p>
          <w:p w14:paraId="5B9298E3" w14:textId="77777777" w:rsidR="005529EC" w:rsidRPr="00634232" w:rsidRDefault="005529EC" w:rsidP="005529EC">
            <w:pPr>
              <w:spacing w:after="0" w:line="360" w:lineRule="auto"/>
              <w:rPr>
                <w:rFonts w:ascii="Times New Roman" w:hAnsi="Times New Roman" w:cs="Times New Roman"/>
                <w:sz w:val="24"/>
                <w:szCs w:val="24"/>
                <w:lang w:val="es-ES_tradnl"/>
              </w:rPr>
            </w:pPr>
          </w:p>
          <w:p w14:paraId="22001422" w14:textId="77777777" w:rsidR="005529EC" w:rsidRPr="00634232" w:rsidRDefault="005529EC" w:rsidP="005529EC">
            <w:pPr>
              <w:spacing w:after="0" w:line="360" w:lineRule="auto"/>
              <w:rPr>
                <w:rFonts w:ascii="Times New Roman" w:hAnsi="Times New Roman" w:cs="Times New Roman"/>
                <w:sz w:val="24"/>
                <w:szCs w:val="24"/>
                <w:lang w:val="es-ES_tradnl"/>
              </w:rPr>
            </w:pPr>
            <w:r w:rsidRPr="00634232">
              <w:rPr>
                <w:rFonts w:ascii="Times New Roman" w:hAnsi="Times New Roman" w:cs="Times New Roman"/>
                <w:sz w:val="24"/>
                <w:szCs w:val="24"/>
                <w:lang w:val="es-ES_tradnl"/>
              </w:rPr>
              <w:t>Formula</w:t>
            </w:r>
            <w:r w:rsidR="005A0EAF">
              <w:rPr>
                <w:rFonts w:ascii="Times New Roman" w:hAnsi="Times New Roman" w:cs="Times New Roman"/>
                <w:sz w:val="24"/>
                <w:szCs w:val="24"/>
                <w:lang w:val="es-ES_tradnl"/>
              </w:rPr>
              <w:t xml:space="preserve">                            </w:t>
            </w:r>
            <w:proofErr w:type="gramStart"/>
            <w:r w:rsidR="005A0EAF">
              <w:rPr>
                <w:rFonts w:ascii="Times New Roman" w:hAnsi="Times New Roman" w:cs="Times New Roman"/>
                <w:sz w:val="24"/>
                <w:szCs w:val="24"/>
                <w:lang w:val="es-ES_tradnl"/>
              </w:rPr>
              <w:t xml:space="preserve">  </w:t>
            </w:r>
            <w:r w:rsidR="00483008" w:rsidRPr="00634232">
              <w:rPr>
                <w:rFonts w:ascii="Times New Roman" w:hAnsi="Times New Roman" w:cs="Times New Roman"/>
                <w:sz w:val="24"/>
                <w:szCs w:val="24"/>
                <w:lang w:val="es-ES_tradnl"/>
              </w:rPr>
              <w:t xml:space="preserve"> </w:t>
            </w:r>
            <w:r w:rsidR="00483008" w:rsidRPr="00634232">
              <w:rPr>
                <w:rFonts w:ascii="Times New Roman" w:hAnsi="Times New Roman" w:cs="Times New Roman"/>
                <w:sz w:val="24"/>
                <w:szCs w:val="24"/>
                <w:lang w:val="en-US"/>
              </w:rPr>
              <w:t>(</w:t>
            </w:r>
            <w:proofErr w:type="gramEnd"/>
            <w:r w:rsidR="00483008" w:rsidRPr="00634232">
              <w:rPr>
                <w:rFonts w:ascii="Times New Roman" w:hAnsi="Times New Roman" w:cs="Times New Roman"/>
                <w:sz w:val="24"/>
                <w:szCs w:val="24"/>
                <w:lang w:val="en-US"/>
              </w:rPr>
              <w:t>C</w:t>
            </w:r>
            <w:r w:rsidR="00483008" w:rsidRPr="00634232">
              <w:rPr>
                <w:rFonts w:ascii="Times New Roman" w:hAnsi="Times New Roman" w:cs="Times New Roman"/>
                <w:sz w:val="24"/>
                <w:szCs w:val="24"/>
                <w:vertAlign w:val="subscript"/>
                <w:lang w:val="en-US"/>
              </w:rPr>
              <w:t>2</w:t>
            </w:r>
            <w:r w:rsidR="00483008" w:rsidRPr="00634232">
              <w:rPr>
                <w:rFonts w:ascii="Times New Roman" w:hAnsi="Times New Roman" w:cs="Times New Roman"/>
                <w:sz w:val="24"/>
                <w:szCs w:val="24"/>
                <w:lang w:val="en-US"/>
              </w:rPr>
              <w:t>H</w:t>
            </w:r>
            <w:r w:rsidR="00483008" w:rsidRPr="00634232">
              <w:rPr>
                <w:rFonts w:ascii="Times New Roman" w:hAnsi="Times New Roman" w:cs="Times New Roman"/>
                <w:sz w:val="24"/>
                <w:szCs w:val="24"/>
                <w:vertAlign w:val="subscript"/>
                <w:lang w:val="en-US"/>
              </w:rPr>
              <w:t>5</w:t>
            </w:r>
            <w:r w:rsidR="00483008" w:rsidRPr="00634232">
              <w:rPr>
                <w:rFonts w:ascii="Times New Roman" w:hAnsi="Times New Roman" w:cs="Times New Roman"/>
                <w:sz w:val="24"/>
                <w:szCs w:val="24"/>
                <w:lang w:val="en-US"/>
              </w:rPr>
              <w:t>)</w:t>
            </w:r>
            <w:r w:rsidR="00483008" w:rsidRPr="00634232">
              <w:rPr>
                <w:rFonts w:ascii="Times New Roman" w:hAnsi="Times New Roman" w:cs="Times New Roman"/>
                <w:sz w:val="24"/>
                <w:szCs w:val="24"/>
                <w:vertAlign w:val="subscript"/>
                <w:lang w:val="en-US"/>
              </w:rPr>
              <w:t>4</w:t>
            </w:r>
            <w:r w:rsidR="00483008" w:rsidRPr="00634232">
              <w:rPr>
                <w:rFonts w:ascii="Times New Roman" w:hAnsi="Times New Roman" w:cs="Times New Roman"/>
                <w:sz w:val="24"/>
                <w:szCs w:val="24"/>
                <w:lang w:val="en-US"/>
              </w:rPr>
              <w:t>N(BF</w:t>
            </w:r>
            <w:r w:rsidR="00483008" w:rsidRPr="00634232">
              <w:rPr>
                <w:rFonts w:ascii="Times New Roman" w:hAnsi="Times New Roman" w:cs="Times New Roman"/>
                <w:sz w:val="24"/>
                <w:szCs w:val="24"/>
                <w:vertAlign w:val="subscript"/>
                <w:lang w:val="en-US"/>
              </w:rPr>
              <w:t>4</w:t>
            </w:r>
            <w:r w:rsidR="00483008" w:rsidRPr="00634232">
              <w:rPr>
                <w:rFonts w:ascii="Times New Roman" w:hAnsi="Times New Roman" w:cs="Times New Roman"/>
                <w:sz w:val="24"/>
                <w:szCs w:val="24"/>
                <w:lang w:val="en-US"/>
              </w:rPr>
              <w:t xml:space="preserve">) </w:t>
            </w:r>
            <w:r w:rsidR="00483008" w:rsidRPr="00634232">
              <w:rPr>
                <w:rFonts w:ascii="Times New Roman" w:hAnsi="Times New Roman" w:cs="Times New Roman"/>
                <w:sz w:val="24"/>
                <w:szCs w:val="24"/>
                <w:lang w:val="es-ES_tradnl"/>
              </w:rPr>
              <w:t xml:space="preserve"> </w:t>
            </w:r>
          </w:p>
          <w:p w14:paraId="78112F38" w14:textId="77777777" w:rsidR="005529EC" w:rsidRPr="00634232" w:rsidRDefault="005529EC" w:rsidP="005529EC">
            <w:pPr>
              <w:spacing w:after="0" w:line="360" w:lineRule="auto"/>
              <w:rPr>
                <w:rFonts w:ascii="Times New Roman" w:hAnsi="Times New Roman" w:cs="Times New Roman"/>
                <w:sz w:val="24"/>
                <w:szCs w:val="24"/>
                <w:lang w:val="es-ES_tradnl"/>
              </w:rPr>
            </w:pPr>
            <w:r w:rsidRPr="00634232">
              <w:rPr>
                <w:rFonts w:ascii="Times New Roman" w:hAnsi="Times New Roman" w:cs="Times New Roman"/>
                <w:sz w:val="24"/>
                <w:szCs w:val="24"/>
                <w:lang w:val="es-ES_tradnl"/>
              </w:rPr>
              <w:t xml:space="preserve">Molecular                              </w:t>
            </w:r>
            <w:proofErr w:type="gramStart"/>
            <w:r w:rsidRPr="00634232">
              <w:rPr>
                <w:rFonts w:ascii="Times New Roman" w:hAnsi="Times New Roman" w:cs="Times New Roman"/>
                <w:sz w:val="24"/>
                <w:szCs w:val="24"/>
                <w:lang w:val="es-ES_tradnl"/>
              </w:rPr>
              <w:t>217.6  g</w:t>
            </w:r>
            <w:proofErr w:type="gramEnd"/>
            <w:r w:rsidRPr="00634232">
              <w:rPr>
                <w:rFonts w:ascii="Times New Roman" w:hAnsi="Times New Roman" w:cs="Times New Roman"/>
                <w:sz w:val="24"/>
                <w:szCs w:val="24"/>
                <w:lang w:val="es-ES_tradnl"/>
              </w:rPr>
              <w:t xml:space="preserve"> mol</w:t>
            </w:r>
            <w:r w:rsidRPr="00634232">
              <w:rPr>
                <w:rFonts w:ascii="Times New Roman" w:hAnsi="Times New Roman" w:cs="Times New Roman"/>
                <w:sz w:val="24"/>
                <w:szCs w:val="24"/>
                <w:vertAlign w:val="superscript"/>
                <w:lang w:val="es-ES_tradnl"/>
              </w:rPr>
              <w:t>-1</w:t>
            </w:r>
          </w:p>
          <w:p w14:paraId="464D7380" w14:textId="77777777" w:rsidR="005529EC" w:rsidRPr="00634232" w:rsidRDefault="005529EC" w:rsidP="005529EC">
            <w:pPr>
              <w:spacing w:after="0" w:line="360" w:lineRule="auto"/>
              <w:rPr>
                <w:rFonts w:ascii="Times New Roman" w:hAnsi="Times New Roman" w:cs="Times New Roman"/>
                <w:sz w:val="24"/>
                <w:szCs w:val="24"/>
                <w:lang w:val="en-US"/>
              </w:rPr>
            </w:pPr>
            <w:r w:rsidRPr="00634232">
              <w:rPr>
                <w:rFonts w:ascii="Times New Roman" w:hAnsi="Times New Roman" w:cs="Times New Roman"/>
                <w:sz w:val="24"/>
                <w:szCs w:val="24"/>
                <w:lang w:val="en-US"/>
              </w:rPr>
              <w:t>Water solubility (20°C)</w:t>
            </w:r>
            <w:r w:rsidR="005C7ECB" w:rsidRPr="00634232">
              <w:rPr>
                <w:rFonts w:ascii="Times New Roman" w:hAnsi="Times New Roman" w:cs="Times New Roman"/>
                <w:sz w:val="24"/>
                <w:szCs w:val="24"/>
                <w:lang w:val="en-US"/>
              </w:rPr>
              <w:t xml:space="preserve">      </w:t>
            </w:r>
            <w:proofErr w:type="spellStart"/>
            <w:r w:rsidR="005C7ECB" w:rsidRPr="00634232">
              <w:rPr>
                <w:rFonts w:ascii="Times New Roman" w:hAnsi="Times New Roman" w:cs="Times New Roman"/>
                <w:sz w:val="24"/>
                <w:szCs w:val="24"/>
              </w:rPr>
              <w:t>Highly</w:t>
            </w:r>
            <w:proofErr w:type="spellEnd"/>
            <w:r w:rsidR="005C7ECB" w:rsidRPr="00634232">
              <w:rPr>
                <w:rFonts w:ascii="Times New Roman" w:hAnsi="Times New Roman" w:cs="Times New Roman"/>
                <w:sz w:val="24"/>
                <w:szCs w:val="24"/>
              </w:rPr>
              <w:t xml:space="preserve"> soluble</w:t>
            </w:r>
          </w:p>
          <w:p w14:paraId="2454CE97" w14:textId="77777777" w:rsidR="005529EC" w:rsidRPr="00634232" w:rsidRDefault="005529EC" w:rsidP="005529EC">
            <w:pPr>
              <w:spacing w:after="0" w:line="360" w:lineRule="auto"/>
              <w:rPr>
                <w:rFonts w:ascii="Times New Roman" w:hAnsi="Times New Roman" w:cs="Times New Roman"/>
                <w:sz w:val="24"/>
                <w:szCs w:val="24"/>
                <w:lang w:val="en-US"/>
              </w:rPr>
            </w:pPr>
            <w:r w:rsidRPr="00634232">
              <w:rPr>
                <w:rFonts w:ascii="Times New Roman" w:hAnsi="Times New Roman" w:cs="Times New Roman"/>
                <w:sz w:val="24"/>
                <w:szCs w:val="24"/>
                <w:lang w:val="en-US"/>
              </w:rPr>
              <w:t>Melting point</w:t>
            </w:r>
            <w:r w:rsidR="005C7ECB" w:rsidRPr="00634232">
              <w:rPr>
                <w:rFonts w:ascii="Times New Roman" w:hAnsi="Times New Roman" w:cs="Times New Roman"/>
                <w:sz w:val="24"/>
                <w:szCs w:val="24"/>
                <w:lang w:val="en-US"/>
              </w:rPr>
              <w:t xml:space="preserve">                        370-380°C</w:t>
            </w:r>
          </w:p>
          <w:p w14:paraId="64864F92" w14:textId="77777777" w:rsidR="005529EC" w:rsidRPr="00634232" w:rsidRDefault="005529EC" w:rsidP="005C7ECB">
            <w:pPr>
              <w:spacing w:after="0" w:line="360" w:lineRule="auto"/>
              <w:rPr>
                <w:rFonts w:ascii="Times New Roman" w:hAnsi="Times New Roman" w:cs="Times New Roman"/>
                <w:sz w:val="24"/>
                <w:szCs w:val="24"/>
                <w:lang w:val="en-US"/>
              </w:rPr>
            </w:pPr>
            <w:r w:rsidRPr="00634232">
              <w:rPr>
                <w:rFonts w:ascii="Times New Roman" w:hAnsi="Times New Roman" w:cs="Times New Roman"/>
                <w:sz w:val="24"/>
                <w:szCs w:val="24"/>
                <w:lang w:val="en-US"/>
              </w:rPr>
              <w:t xml:space="preserve">Boiling point </w:t>
            </w:r>
            <w:r w:rsidR="005C7ECB" w:rsidRPr="00634232">
              <w:rPr>
                <w:rFonts w:ascii="Times New Roman" w:hAnsi="Times New Roman" w:cs="Times New Roman"/>
                <w:sz w:val="24"/>
                <w:szCs w:val="24"/>
                <w:lang w:val="en-US"/>
              </w:rPr>
              <w:t xml:space="preserve">                             NIA</w:t>
            </w:r>
          </w:p>
        </w:tc>
        <w:tc>
          <w:tcPr>
            <w:tcW w:w="2678" w:type="dxa"/>
            <w:tcBorders>
              <w:top w:val="single" w:sz="12" w:space="0" w:color="000000"/>
              <w:left w:val="nil"/>
              <w:bottom w:val="single" w:sz="12" w:space="0" w:color="000000"/>
              <w:right w:val="nil"/>
            </w:tcBorders>
          </w:tcPr>
          <w:p w14:paraId="0FA77047" w14:textId="77777777" w:rsidR="005529EC" w:rsidRPr="00634232" w:rsidRDefault="005529EC" w:rsidP="005529EC">
            <w:pPr>
              <w:spacing w:after="0" w:line="360" w:lineRule="auto"/>
              <w:rPr>
                <w:rFonts w:ascii="Times New Roman" w:hAnsi="Times New Roman" w:cs="Times New Roman"/>
                <w:sz w:val="24"/>
                <w:szCs w:val="24"/>
              </w:rPr>
            </w:pPr>
          </w:p>
          <w:p w14:paraId="258B1E46" w14:textId="77777777" w:rsidR="005529EC" w:rsidRPr="00634232" w:rsidRDefault="00483008" w:rsidP="005529EC">
            <w:pPr>
              <w:spacing w:after="0" w:line="360" w:lineRule="auto"/>
              <w:rPr>
                <w:rFonts w:ascii="Times New Roman" w:hAnsi="Times New Roman" w:cs="Times New Roman"/>
                <w:sz w:val="24"/>
                <w:szCs w:val="24"/>
              </w:rPr>
            </w:pPr>
            <w:r w:rsidRPr="00634232">
              <w:object w:dxaOrig="2341" w:dyaOrig="2418" w14:anchorId="6D4CD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5pt;height:108.5pt" o:ole="">
                  <v:imagedata r:id="rId8" o:title=""/>
                </v:shape>
                <o:OLEObject Type="Embed" ProgID="ChemDraw.Document.6.0" ShapeID="_x0000_i1025" DrawAspect="Content" ObjectID="_1833356229" r:id="rId9"/>
              </w:object>
            </w:r>
          </w:p>
          <w:p w14:paraId="65152C09" w14:textId="77777777" w:rsidR="005529EC" w:rsidRPr="00634232" w:rsidRDefault="005529EC" w:rsidP="005529EC">
            <w:pPr>
              <w:spacing w:after="0" w:line="360" w:lineRule="auto"/>
              <w:rPr>
                <w:rFonts w:ascii="Times New Roman" w:hAnsi="Times New Roman" w:cs="Times New Roman"/>
                <w:sz w:val="24"/>
                <w:szCs w:val="24"/>
              </w:rPr>
            </w:pPr>
          </w:p>
          <w:p w14:paraId="78472F7B" w14:textId="77777777" w:rsidR="005529EC" w:rsidRPr="00634232" w:rsidRDefault="005529EC" w:rsidP="005529EC">
            <w:pPr>
              <w:spacing w:after="0" w:line="360" w:lineRule="auto"/>
              <w:rPr>
                <w:rFonts w:ascii="Times New Roman" w:hAnsi="Times New Roman" w:cs="Times New Roman"/>
                <w:sz w:val="24"/>
                <w:szCs w:val="24"/>
              </w:rPr>
            </w:pPr>
          </w:p>
          <w:p w14:paraId="5DF57632" w14:textId="77777777" w:rsidR="005529EC" w:rsidRPr="00634232" w:rsidRDefault="005529EC" w:rsidP="005529EC">
            <w:pPr>
              <w:spacing w:after="0" w:line="360" w:lineRule="auto"/>
              <w:rPr>
                <w:rFonts w:ascii="Times New Roman" w:hAnsi="Times New Roman" w:cs="Times New Roman"/>
                <w:sz w:val="24"/>
                <w:szCs w:val="24"/>
              </w:rPr>
            </w:pPr>
            <w:r w:rsidRPr="00634232">
              <w:object w:dxaOrig="4132" w:dyaOrig="1215" w14:anchorId="388672A4">
                <v:shape id="_x0000_i1026" type="#_x0000_t75" style="width:133pt;height:58pt" o:ole="">
                  <v:imagedata r:id="rId10" o:title=""/>
                </v:shape>
                <o:OLEObject Type="Embed" ProgID="ChemDraw.Document.6.0" ShapeID="_x0000_i1026" DrawAspect="Content" ObjectID="_1833356230" r:id="rId11"/>
              </w:object>
            </w:r>
          </w:p>
          <w:p w14:paraId="2CC44763" w14:textId="77777777" w:rsidR="005529EC" w:rsidRPr="00634232" w:rsidRDefault="005529EC" w:rsidP="005529EC">
            <w:pPr>
              <w:spacing w:after="0" w:line="360" w:lineRule="auto"/>
              <w:rPr>
                <w:rFonts w:ascii="Times New Roman" w:hAnsi="Times New Roman" w:cs="Times New Roman"/>
                <w:sz w:val="24"/>
                <w:szCs w:val="24"/>
              </w:rPr>
            </w:pPr>
          </w:p>
          <w:p w14:paraId="00F37809" w14:textId="77777777" w:rsidR="005529EC" w:rsidRPr="00634232" w:rsidRDefault="005529EC" w:rsidP="005529EC">
            <w:pPr>
              <w:spacing w:after="0" w:line="360" w:lineRule="auto"/>
              <w:rPr>
                <w:rFonts w:ascii="Times New Roman" w:hAnsi="Times New Roman" w:cs="Times New Roman"/>
                <w:sz w:val="24"/>
                <w:szCs w:val="24"/>
              </w:rPr>
            </w:pPr>
          </w:p>
          <w:p w14:paraId="1750A74C" w14:textId="77777777" w:rsidR="005529EC" w:rsidRPr="00634232" w:rsidRDefault="005529EC" w:rsidP="005529EC">
            <w:pPr>
              <w:spacing w:after="0" w:line="360" w:lineRule="auto"/>
              <w:rPr>
                <w:rFonts w:ascii="Times New Roman" w:hAnsi="Times New Roman" w:cs="Times New Roman"/>
                <w:sz w:val="24"/>
                <w:szCs w:val="24"/>
              </w:rPr>
            </w:pPr>
          </w:p>
          <w:p w14:paraId="0C2EC0AB" w14:textId="77777777" w:rsidR="005529EC" w:rsidRPr="00634232" w:rsidRDefault="005529EC" w:rsidP="005529EC">
            <w:pPr>
              <w:spacing w:after="0" w:line="360" w:lineRule="auto"/>
              <w:rPr>
                <w:rFonts w:ascii="Times New Roman" w:hAnsi="Times New Roman" w:cs="Times New Roman"/>
                <w:sz w:val="24"/>
                <w:szCs w:val="24"/>
              </w:rPr>
            </w:pPr>
          </w:p>
          <w:p w14:paraId="78A2059F" w14:textId="77777777" w:rsidR="005529EC" w:rsidRPr="00634232" w:rsidRDefault="005529EC" w:rsidP="005529EC">
            <w:pPr>
              <w:spacing w:after="0" w:line="360" w:lineRule="auto"/>
              <w:rPr>
                <w:rFonts w:ascii="Times New Roman" w:hAnsi="Times New Roman" w:cs="Times New Roman"/>
                <w:sz w:val="24"/>
                <w:szCs w:val="24"/>
              </w:rPr>
            </w:pPr>
            <w:r w:rsidRPr="00634232">
              <w:rPr>
                <w:rFonts w:ascii="Times New Roman" w:hAnsi="Times New Roman" w:cs="Times New Roman"/>
                <w:sz w:val="24"/>
                <w:szCs w:val="24"/>
              </w:rPr>
              <w:t xml:space="preserve">  </w:t>
            </w:r>
            <w:r w:rsidRPr="00634232">
              <w:object w:dxaOrig="2315" w:dyaOrig="2330" w14:anchorId="18E8CAAF">
                <v:shape id="_x0000_i1027" type="#_x0000_t75" style="width:115pt;height:115pt" o:ole="">
                  <v:imagedata r:id="rId12" o:title=""/>
                </v:shape>
                <o:OLEObject Type="Embed" ProgID="ChemDraw.Document.6.0" ShapeID="_x0000_i1027" DrawAspect="Content" ObjectID="_1833356231" r:id="rId13"/>
              </w:object>
            </w:r>
          </w:p>
          <w:p w14:paraId="7ABE8E5F" w14:textId="77777777" w:rsidR="005529EC" w:rsidRPr="00634232" w:rsidRDefault="005529EC" w:rsidP="005529EC">
            <w:pPr>
              <w:spacing w:after="0" w:line="360" w:lineRule="auto"/>
              <w:rPr>
                <w:rFonts w:ascii="Times New Roman" w:hAnsi="Times New Roman" w:cs="Times New Roman"/>
                <w:sz w:val="24"/>
                <w:szCs w:val="24"/>
                <w:lang w:val="en-US"/>
              </w:rPr>
            </w:pPr>
            <w:r w:rsidRPr="00634232">
              <w:rPr>
                <w:rFonts w:ascii="Times New Roman" w:hAnsi="Times New Roman" w:cs="Times New Roman"/>
                <w:sz w:val="24"/>
                <w:szCs w:val="24"/>
              </w:rPr>
              <w:t xml:space="preserve"> </w:t>
            </w:r>
          </w:p>
        </w:tc>
        <w:tc>
          <w:tcPr>
            <w:tcW w:w="861" w:type="dxa"/>
            <w:tcBorders>
              <w:top w:val="single" w:sz="12" w:space="0" w:color="000000"/>
              <w:left w:val="nil"/>
              <w:bottom w:val="single" w:sz="12" w:space="0" w:color="000000"/>
              <w:right w:val="nil"/>
            </w:tcBorders>
          </w:tcPr>
          <w:p w14:paraId="7B68C06E" w14:textId="77777777" w:rsidR="005529EC" w:rsidRPr="00634232" w:rsidRDefault="005529EC" w:rsidP="005529EC">
            <w:pPr>
              <w:spacing w:after="0" w:line="360" w:lineRule="auto"/>
              <w:rPr>
                <w:rFonts w:ascii="Times New Roman" w:hAnsi="Times New Roman" w:cs="Times New Roman"/>
                <w:sz w:val="24"/>
                <w:szCs w:val="24"/>
                <w:lang w:val="en-US"/>
              </w:rPr>
            </w:pPr>
          </w:p>
        </w:tc>
      </w:tr>
    </w:tbl>
    <w:p w14:paraId="4D220C2E" w14:textId="77777777" w:rsidR="001822BA" w:rsidRDefault="005C7ECB" w:rsidP="00F47A36">
      <w:pPr>
        <w:autoSpaceDE w:val="0"/>
        <w:autoSpaceDN w:val="0"/>
        <w:adjustRightInd w:val="0"/>
        <w:spacing w:after="0" w:line="360" w:lineRule="auto"/>
        <w:jc w:val="both"/>
        <w:rPr>
          <w:rFonts w:ascii="Times New Roman" w:hAnsi="Times New Roman" w:cs="Times New Roman"/>
          <w:sz w:val="24"/>
          <w:szCs w:val="24"/>
          <w:lang w:val="en-US"/>
        </w:rPr>
      </w:pPr>
      <w:r w:rsidRPr="00634232">
        <w:rPr>
          <w:rFonts w:ascii="Times New Roman" w:hAnsi="Times New Roman" w:cs="Times New Roman"/>
          <w:sz w:val="24"/>
          <w:szCs w:val="24"/>
          <w:lang w:val="en-US"/>
        </w:rPr>
        <w:t>NIA = No information available</w:t>
      </w:r>
    </w:p>
    <w:p w14:paraId="2E3A2989" w14:textId="77777777" w:rsidR="00F47A36" w:rsidRDefault="00F47A36" w:rsidP="00F47A36">
      <w:pPr>
        <w:autoSpaceDE w:val="0"/>
        <w:autoSpaceDN w:val="0"/>
        <w:adjustRightInd w:val="0"/>
        <w:spacing w:after="0" w:line="360" w:lineRule="auto"/>
        <w:jc w:val="both"/>
        <w:rPr>
          <w:rFonts w:ascii="Times New Roman" w:hAnsi="Times New Roman" w:cs="Times New Roman"/>
          <w:sz w:val="24"/>
          <w:szCs w:val="24"/>
          <w:lang w:val="en-US"/>
        </w:rPr>
      </w:pPr>
    </w:p>
    <w:p w14:paraId="08584B08" w14:textId="77777777" w:rsidR="00F47A36" w:rsidRDefault="00F47A36" w:rsidP="00F47A36">
      <w:pPr>
        <w:autoSpaceDE w:val="0"/>
        <w:autoSpaceDN w:val="0"/>
        <w:adjustRightInd w:val="0"/>
        <w:spacing w:after="0" w:line="360" w:lineRule="auto"/>
        <w:jc w:val="both"/>
        <w:rPr>
          <w:rFonts w:ascii="Times New Roman" w:hAnsi="Times New Roman" w:cs="Times New Roman"/>
          <w:sz w:val="24"/>
          <w:szCs w:val="24"/>
          <w:lang w:val="en-US"/>
        </w:rPr>
      </w:pPr>
    </w:p>
    <w:p w14:paraId="3E4338B7" w14:textId="77777777" w:rsidR="00F47A36" w:rsidRDefault="00F47A36" w:rsidP="00F47A36">
      <w:pPr>
        <w:autoSpaceDE w:val="0"/>
        <w:autoSpaceDN w:val="0"/>
        <w:adjustRightInd w:val="0"/>
        <w:spacing w:after="0" w:line="360" w:lineRule="auto"/>
        <w:jc w:val="both"/>
        <w:rPr>
          <w:rFonts w:ascii="Times New Roman" w:hAnsi="Times New Roman" w:cs="Times New Roman"/>
          <w:sz w:val="24"/>
          <w:szCs w:val="24"/>
          <w:lang w:val="en-US"/>
        </w:rPr>
      </w:pPr>
    </w:p>
    <w:p w14:paraId="33E390E9" w14:textId="77777777" w:rsidR="00F47A36" w:rsidRDefault="00F47A36" w:rsidP="00F47A36">
      <w:pPr>
        <w:autoSpaceDE w:val="0"/>
        <w:autoSpaceDN w:val="0"/>
        <w:adjustRightInd w:val="0"/>
        <w:spacing w:after="0" w:line="360" w:lineRule="auto"/>
        <w:jc w:val="both"/>
        <w:rPr>
          <w:rFonts w:ascii="Times New Roman" w:hAnsi="Times New Roman" w:cs="Times New Roman"/>
          <w:sz w:val="24"/>
          <w:szCs w:val="24"/>
          <w:lang w:val="en-US"/>
        </w:rPr>
      </w:pPr>
    </w:p>
    <w:p w14:paraId="3C3AF89C" w14:textId="77777777" w:rsidR="00F47A36" w:rsidRDefault="00F47A36" w:rsidP="00F47A36">
      <w:pPr>
        <w:autoSpaceDE w:val="0"/>
        <w:autoSpaceDN w:val="0"/>
        <w:adjustRightInd w:val="0"/>
        <w:spacing w:after="0" w:line="360" w:lineRule="auto"/>
        <w:jc w:val="both"/>
        <w:rPr>
          <w:rFonts w:ascii="Times New Roman" w:hAnsi="Times New Roman" w:cs="Times New Roman"/>
          <w:sz w:val="24"/>
          <w:szCs w:val="24"/>
          <w:lang w:val="en-US"/>
        </w:rPr>
      </w:pPr>
    </w:p>
    <w:p w14:paraId="3D605AD4" w14:textId="77777777" w:rsidR="00F47A36" w:rsidRDefault="00F47A36" w:rsidP="00F47A36">
      <w:pPr>
        <w:autoSpaceDE w:val="0"/>
        <w:autoSpaceDN w:val="0"/>
        <w:adjustRightInd w:val="0"/>
        <w:spacing w:after="0" w:line="360" w:lineRule="auto"/>
        <w:jc w:val="both"/>
        <w:rPr>
          <w:rFonts w:ascii="Times New Roman" w:hAnsi="Times New Roman" w:cs="Times New Roman"/>
          <w:sz w:val="24"/>
          <w:szCs w:val="24"/>
          <w:lang w:val="en-US"/>
        </w:rPr>
      </w:pPr>
    </w:p>
    <w:p w14:paraId="34894EE8" w14:textId="77777777" w:rsidR="00F47A36" w:rsidRDefault="00F47A36" w:rsidP="00F47A36">
      <w:pPr>
        <w:autoSpaceDE w:val="0"/>
        <w:autoSpaceDN w:val="0"/>
        <w:adjustRightInd w:val="0"/>
        <w:spacing w:after="0" w:line="360" w:lineRule="auto"/>
        <w:jc w:val="both"/>
        <w:rPr>
          <w:rFonts w:ascii="Times New Roman" w:hAnsi="Times New Roman" w:cs="Times New Roman"/>
          <w:sz w:val="24"/>
          <w:szCs w:val="24"/>
          <w:lang w:val="en-US"/>
        </w:rPr>
      </w:pPr>
    </w:p>
    <w:p w14:paraId="12A4F699" w14:textId="77777777" w:rsidR="00F47A36" w:rsidRPr="00F47A36" w:rsidRDefault="00F47A36" w:rsidP="00F47A36">
      <w:pPr>
        <w:autoSpaceDE w:val="0"/>
        <w:autoSpaceDN w:val="0"/>
        <w:adjustRightInd w:val="0"/>
        <w:spacing w:after="0" w:line="360" w:lineRule="auto"/>
        <w:jc w:val="both"/>
        <w:rPr>
          <w:rFonts w:ascii="Times New Roman" w:hAnsi="Times New Roman" w:cs="Times New Roman"/>
          <w:sz w:val="24"/>
          <w:szCs w:val="24"/>
          <w:lang w:val="en-US"/>
        </w:rPr>
      </w:pPr>
    </w:p>
    <w:p w14:paraId="5D94F6AA" w14:textId="77777777" w:rsidR="005529EC" w:rsidRPr="00634232" w:rsidRDefault="005529EC" w:rsidP="005529EC">
      <w:pPr>
        <w:spacing w:line="360" w:lineRule="auto"/>
        <w:jc w:val="both"/>
        <w:rPr>
          <w:rFonts w:ascii="Times New Roman" w:hAnsi="Times New Roman" w:cs="Times New Roman"/>
          <w:sz w:val="24"/>
          <w:szCs w:val="24"/>
          <w:lang w:val="en-US"/>
        </w:rPr>
      </w:pPr>
      <w:r w:rsidRPr="00634232">
        <w:rPr>
          <w:rFonts w:ascii="Times New Roman" w:hAnsi="Times New Roman" w:cs="Times New Roman"/>
          <w:b/>
          <w:bCs/>
          <w:sz w:val="24"/>
          <w:szCs w:val="24"/>
          <w:lang w:val="en-US"/>
        </w:rPr>
        <w:t>2.3</w:t>
      </w:r>
      <w:r w:rsidRPr="00634232">
        <w:rPr>
          <w:rFonts w:ascii="Times New Roman" w:hAnsi="Times New Roman" w:cs="Times New Roman"/>
          <w:b/>
          <w:bCs/>
          <w:vanish/>
          <w:sz w:val="24"/>
          <w:szCs w:val="24"/>
          <w:lang w:val="en-US"/>
        </w:rPr>
        <w:t>¶</w:t>
      </w:r>
      <w:r w:rsidRPr="00634232">
        <w:rPr>
          <w:rFonts w:ascii="Times New Roman" w:hAnsi="Times New Roman" w:cs="Times New Roman"/>
          <w:b/>
          <w:bCs/>
          <w:sz w:val="24"/>
          <w:szCs w:val="24"/>
          <w:lang w:val="en-US"/>
        </w:rPr>
        <w:t xml:space="preserve">   </w:t>
      </w:r>
      <w:r w:rsidRPr="00634232">
        <w:rPr>
          <w:rFonts w:ascii="Times New Roman" w:hAnsi="Times New Roman" w:cs="Times New Roman"/>
          <w:b/>
          <w:bCs/>
          <w:sz w:val="24"/>
          <w:szCs w:val="24"/>
          <w:highlight w:val="white"/>
          <w:lang w:val="en-US"/>
        </w:rPr>
        <w:t>Solutions</w:t>
      </w:r>
      <w:r w:rsidRPr="00634232">
        <w:rPr>
          <w:rFonts w:ascii="Times New Roman" w:hAnsi="Times New Roman" w:cs="Times New Roman"/>
          <w:b/>
          <w:bCs/>
          <w:sz w:val="24"/>
          <w:szCs w:val="24"/>
          <w:lang w:val="en-US"/>
        </w:rPr>
        <w:t xml:space="preserve"> preparation</w:t>
      </w:r>
    </w:p>
    <w:p w14:paraId="36C7C29B" w14:textId="77777777" w:rsidR="005529EC" w:rsidRPr="00634232" w:rsidRDefault="005529EC" w:rsidP="005529EC">
      <w:pPr>
        <w:keepNext/>
        <w:keepLines/>
        <w:spacing w:before="200" w:after="0" w:line="360" w:lineRule="auto"/>
        <w:jc w:val="both"/>
        <w:outlineLvl w:val="2"/>
        <w:rPr>
          <w:rFonts w:ascii="Times New Roman" w:eastAsiaTheme="majorEastAsia" w:hAnsi="Times New Roman" w:cs="Times New Roman"/>
          <w:bCs/>
          <w:sz w:val="24"/>
          <w:szCs w:val="24"/>
          <w:lang w:val="en-US"/>
        </w:rPr>
      </w:pPr>
      <w:r w:rsidRPr="00634232">
        <w:rPr>
          <w:rFonts w:ascii="Times New Roman" w:eastAsiaTheme="majorEastAsia" w:hAnsi="Times New Roman" w:cs="Times New Roman"/>
          <w:bCs/>
          <w:sz w:val="24"/>
          <w:szCs w:val="24"/>
          <w:lang w:val="en-US"/>
        </w:rPr>
        <w:lastRenderedPageBreak/>
        <w:t>Stock solutions of dicofol (10</w:t>
      </w:r>
      <w:r w:rsidRPr="00634232">
        <w:rPr>
          <w:rFonts w:ascii="Times New Roman" w:eastAsiaTheme="majorEastAsia" w:hAnsi="Times New Roman" w:cs="Times New Roman"/>
          <w:bCs/>
          <w:sz w:val="24"/>
          <w:szCs w:val="24"/>
          <w:vertAlign w:val="superscript"/>
          <w:lang w:val="en-US"/>
        </w:rPr>
        <w:t xml:space="preserve">-3 </w:t>
      </w:r>
      <w:r w:rsidRPr="00634232">
        <w:rPr>
          <w:rFonts w:ascii="Times New Roman" w:eastAsiaTheme="majorEastAsia" w:hAnsi="Times New Roman" w:cs="Times New Roman"/>
          <w:bCs/>
          <w:sz w:val="24"/>
          <w:szCs w:val="24"/>
          <w:lang w:val="en-US"/>
        </w:rPr>
        <w:t>M) and surfactants (0.5 M) were prepared in distilled water.</w:t>
      </w:r>
      <w:r w:rsidR="009E0D6C" w:rsidRPr="00634232">
        <w:rPr>
          <w:rFonts w:ascii="Times New Roman" w:eastAsiaTheme="majorEastAsia" w:hAnsi="Times New Roman" w:cs="Times New Roman"/>
          <w:bCs/>
          <w:sz w:val="24"/>
          <w:szCs w:val="24"/>
          <w:lang w:val="en-US"/>
        </w:rPr>
        <w:t xml:space="preserve"> To prevent decomposition, all solutions were protected from light using aluminum foil and stored in a refrigerator</w:t>
      </w:r>
      <w:r w:rsidRPr="00634232">
        <w:rPr>
          <w:rFonts w:ascii="Times New Roman" w:eastAsiaTheme="majorEastAsia" w:hAnsi="Times New Roman" w:cs="Times New Roman"/>
          <w:bCs/>
          <w:sz w:val="24"/>
          <w:szCs w:val="24"/>
          <w:lang w:val="en-US"/>
        </w:rPr>
        <w:t xml:space="preserve">  </w:t>
      </w:r>
      <w:r w:rsidRPr="00634232">
        <w:rPr>
          <w:rFonts w:ascii="Times New Roman" w:eastAsiaTheme="majorEastAsia" w:hAnsi="Times New Roman" w:cs="Times New Roman"/>
          <w:bCs/>
          <w:vanish/>
          <w:sz w:val="24"/>
          <w:szCs w:val="24"/>
          <w:lang w:val="en-US"/>
        </w:rPr>
        <w:t>¶</w:t>
      </w:r>
      <w:r w:rsidRPr="00634232">
        <w:rPr>
          <w:rFonts w:ascii="Times New Roman" w:eastAsiaTheme="majorEastAsia" w:hAnsi="Times New Roman" w:cs="Times New Roman"/>
          <w:bCs/>
          <w:sz w:val="24"/>
          <w:szCs w:val="24"/>
          <w:lang w:val="en-US"/>
        </w:rPr>
        <w:t xml:space="preserve"> </w:t>
      </w:r>
    </w:p>
    <w:p w14:paraId="28818EE6" w14:textId="77777777" w:rsidR="008921A6" w:rsidRPr="00634232" w:rsidRDefault="005529EC" w:rsidP="005529EC">
      <w:pPr>
        <w:keepNext/>
        <w:keepLines/>
        <w:spacing w:before="200" w:after="0" w:line="360" w:lineRule="auto"/>
        <w:jc w:val="both"/>
        <w:outlineLvl w:val="2"/>
        <w:rPr>
          <w:rFonts w:ascii="Times New Roman" w:eastAsiaTheme="majorEastAsia" w:hAnsi="Times New Roman" w:cs="Times New Roman"/>
          <w:b/>
          <w:sz w:val="24"/>
          <w:szCs w:val="24"/>
          <w:lang w:val="en-US"/>
        </w:rPr>
      </w:pPr>
      <w:r w:rsidRPr="00634232">
        <w:rPr>
          <w:rFonts w:ascii="Times New Roman" w:eastAsiaTheme="majorEastAsia" w:hAnsi="Times New Roman" w:cs="Times New Roman"/>
          <w:b/>
          <w:sz w:val="24"/>
          <w:szCs w:val="24"/>
          <w:lang w:val="en-US"/>
        </w:rPr>
        <w:t>2.4</w:t>
      </w:r>
      <w:r w:rsidRPr="00634232">
        <w:rPr>
          <w:rFonts w:ascii="Times New Roman" w:eastAsiaTheme="majorEastAsia" w:hAnsi="Times New Roman" w:cs="Times New Roman"/>
          <w:b/>
          <w:vanish/>
          <w:sz w:val="24"/>
          <w:szCs w:val="24"/>
          <w:lang w:val="en-US"/>
        </w:rPr>
        <w:t>¶</w:t>
      </w:r>
      <w:r w:rsidRPr="00634232">
        <w:rPr>
          <w:rFonts w:ascii="Times New Roman" w:eastAsiaTheme="majorEastAsia" w:hAnsi="Times New Roman" w:cs="Times New Roman"/>
          <w:b/>
          <w:sz w:val="24"/>
          <w:szCs w:val="24"/>
          <w:lang w:val="en-US"/>
        </w:rPr>
        <w:t xml:space="preserve"> Methods measurement</w:t>
      </w:r>
    </w:p>
    <w:p w14:paraId="0D53D830" w14:textId="77777777" w:rsidR="005529EC" w:rsidRPr="00634232" w:rsidRDefault="008921A6" w:rsidP="008921A6">
      <w:pPr>
        <w:keepNext/>
        <w:keepLines/>
        <w:spacing w:after="120" w:line="360" w:lineRule="auto"/>
        <w:jc w:val="both"/>
        <w:outlineLvl w:val="2"/>
        <w:rPr>
          <w:rFonts w:ascii="Times New Roman" w:eastAsiaTheme="majorEastAsia" w:hAnsi="Times New Roman" w:cs="Times New Roman"/>
          <w:sz w:val="24"/>
          <w:szCs w:val="24"/>
          <w:lang w:val="en-US"/>
        </w:rPr>
      </w:pPr>
      <w:r w:rsidRPr="00634232">
        <w:rPr>
          <w:rFonts w:ascii="Times New Roman" w:eastAsiaTheme="majorEastAsia" w:hAnsi="Times New Roman" w:cs="Times New Roman"/>
          <w:sz w:val="24"/>
          <w:szCs w:val="24"/>
          <w:lang w:val="en-US"/>
        </w:rPr>
        <w:t>The measurement method consists of a direct titration of the dicofol solution with a surfactant solution at a constant temperature. The dicofol solution is then placed in a 100 mL beaker. The beaker is positioned on a magnetic stirrer, which stabilizes the solution and allows it to be heated. To ensure the best possible product efficacy, it is vital that the volume of dicofol solution in the beaker is enough to fully immerse the cell. The titration process involves the addition of a precise quantity of 0.2 mL of the surfactant solution, previously introduced into a burette, at each step. The solution is then homogenized by stirring, and its specific conductivity is measured.</w:t>
      </w:r>
      <w:r w:rsidR="005529EC" w:rsidRPr="00634232">
        <w:rPr>
          <w:rFonts w:ascii="Times New Roman" w:eastAsiaTheme="majorEastAsia" w:hAnsi="Times New Roman" w:cs="Times New Roman"/>
          <w:b/>
          <w:vanish/>
          <w:sz w:val="24"/>
          <w:szCs w:val="24"/>
          <w:lang w:val="en-US"/>
        </w:rPr>
        <w:t>¶</w:t>
      </w:r>
    </w:p>
    <w:p w14:paraId="6499599D" w14:textId="77777777" w:rsidR="008921A6" w:rsidRPr="00634232" w:rsidRDefault="008921A6" w:rsidP="008921A6">
      <w:pPr>
        <w:autoSpaceDE w:val="0"/>
        <w:autoSpaceDN w:val="0"/>
        <w:adjustRightInd w:val="0"/>
        <w:spacing w:after="120" w:line="360" w:lineRule="auto"/>
        <w:jc w:val="both"/>
        <w:rPr>
          <w:rFonts w:ascii="Times New Roman" w:hAnsi="Times New Roman" w:cs="Times New Roman"/>
          <w:vanish/>
          <w:sz w:val="24"/>
          <w:szCs w:val="24"/>
          <w:lang w:val="en-US"/>
        </w:rPr>
      </w:pPr>
    </w:p>
    <w:p w14:paraId="6A0FD45E" w14:textId="77777777" w:rsidR="008921A6" w:rsidRPr="00634232" w:rsidRDefault="008921A6" w:rsidP="008921A6">
      <w:pPr>
        <w:autoSpaceDE w:val="0"/>
        <w:autoSpaceDN w:val="0"/>
        <w:adjustRightInd w:val="0"/>
        <w:spacing w:after="120" w:line="360" w:lineRule="auto"/>
        <w:jc w:val="both"/>
        <w:rPr>
          <w:rFonts w:ascii="Times New Roman" w:hAnsi="Times New Roman" w:cs="Times New Roman"/>
          <w:vanish/>
          <w:sz w:val="24"/>
          <w:szCs w:val="24"/>
          <w:lang w:val="en-US"/>
        </w:rPr>
      </w:pPr>
    </w:p>
    <w:p w14:paraId="7C530F68" w14:textId="77777777" w:rsidR="005529EC" w:rsidRPr="00634232" w:rsidRDefault="005529EC" w:rsidP="008921A6">
      <w:pPr>
        <w:autoSpaceDE w:val="0"/>
        <w:autoSpaceDN w:val="0"/>
        <w:adjustRightInd w:val="0"/>
        <w:spacing w:after="120" w:line="360" w:lineRule="auto"/>
        <w:jc w:val="both"/>
        <w:rPr>
          <w:rFonts w:ascii="Times New Roman" w:hAnsi="Times New Roman" w:cs="Times New Roman"/>
          <w:b/>
          <w:bCs/>
          <w:sz w:val="24"/>
          <w:szCs w:val="24"/>
          <w:lang w:val="en-US"/>
        </w:rPr>
      </w:pPr>
      <w:r w:rsidRPr="00634232">
        <w:rPr>
          <w:rFonts w:ascii="Times New Roman" w:hAnsi="Times New Roman" w:cs="Times New Roman"/>
          <w:b/>
          <w:bCs/>
          <w:sz w:val="24"/>
          <w:szCs w:val="24"/>
          <w:lang w:val="en-US"/>
        </w:rPr>
        <w:t xml:space="preserve">2.5 Determination of the thermodynamic parameters </w:t>
      </w:r>
      <w:r w:rsidRPr="00634232">
        <w:rPr>
          <w:rFonts w:ascii="Times New Roman" w:hAnsi="Times New Roman" w:cs="Times New Roman"/>
          <w:b/>
          <w:bCs/>
          <w:vanish/>
          <w:sz w:val="24"/>
          <w:szCs w:val="24"/>
          <w:lang w:val="en-US"/>
        </w:rPr>
        <w:t>¶</w:t>
      </w:r>
    </w:p>
    <w:p w14:paraId="19831340" w14:textId="77777777" w:rsidR="009747D0" w:rsidRPr="00634232" w:rsidRDefault="009747D0" w:rsidP="008921A6">
      <w:pPr>
        <w:spacing w:after="0" w:line="360" w:lineRule="auto"/>
        <w:jc w:val="both"/>
        <w:rPr>
          <w:rFonts w:ascii="Times New Roman" w:hAnsi="Times New Roman" w:cs="Times New Roman"/>
          <w:sz w:val="24"/>
          <w:szCs w:val="24"/>
          <w:lang w:val="en-US"/>
        </w:rPr>
      </w:pPr>
      <w:r w:rsidRPr="00634232">
        <w:rPr>
          <w:rFonts w:ascii="Times New Roman" w:hAnsi="Times New Roman" w:cs="Times New Roman"/>
          <w:sz w:val="24"/>
          <w:szCs w:val="24"/>
          <w:lang w:val="en-US"/>
        </w:rPr>
        <w:t xml:space="preserve">The formation of a micellar phase, on the one hand, and the degree of spontaneity of the micellar association reaction, on the other, can be determined from the thermodynamic parameters of micellization. The Gibbs free energy </w:t>
      </w:r>
      <w:r w:rsidRPr="00634232">
        <w:rPr>
          <w:rFonts w:ascii="Times New Roman" w:hAnsi="Times New Roman" w:cs="Times New Roman"/>
          <w:sz w:val="24"/>
          <w:szCs w:val="24"/>
        </w:rPr>
        <w:t>(∆G°)</w:t>
      </w:r>
      <w:r w:rsidRPr="00634232">
        <w:rPr>
          <w:rFonts w:ascii="Times New Roman" w:hAnsi="Times New Roman" w:cs="Times New Roman"/>
          <w:sz w:val="24"/>
          <w:szCs w:val="24"/>
          <w:lang w:val="en-US"/>
        </w:rPr>
        <w:t xml:space="preserve">, enthalpy </w:t>
      </w:r>
      <w:r w:rsidRPr="00634232">
        <w:rPr>
          <w:rFonts w:ascii="Times New Roman" w:hAnsi="Times New Roman" w:cs="Times New Roman"/>
          <w:sz w:val="24"/>
          <w:szCs w:val="24"/>
        </w:rPr>
        <w:t xml:space="preserve">(∆H°) </w:t>
      </w:r>
      <w:r w:rsidRPr="00634232">
        <w:rPr>
          <w:rFonts w:ascii="Times New Roman" w:hAnsi="Times New Roman" w:cs="Times New Roman"/>
          <w:sz w:val="24"/>
          <w:szCs w:val="24"/>
          <w:lang w:val="en-US"/>
        </w:rPr>
        <w:t xml:space="preserve">and entropy </w:t>
      </w:r>
      <w:r w:rsidRPr="00634232">
        <w:rPr>
          <w:rFonts w:ascii="Times New Roman" w:hAnsi="Times New Roman" w:cs="Times New Roman"/>
          <w:sz w:val="24"/>
          <w:szCs w:val="24"/>
        </w:rPr>
        <w:t xml:space="preserve">(∆S°) </w:t>
      </w:r>
      <w:r w:rsidRPr="00634232">
        <w:rPr>
          <w:rFonts w:ascii="Times New Roman" w:hAnsi="Times New Roman" w:cs="Times New Roman"/>
          <w:sz w:val="24"/>
          <w:szCs w:val="24"/>
          <w:lang w:val="en-US"/>
        </w:rPr>
        <w:t>of micellization are determined by measuring the variation of the critical micellar concentration (CMC) and the degree of dissociation as a function of temperature.</w:t>
      </w:r>
    </w:p>
    <w:p w14:paraId="54864B80" w14:textId="77777777" w:rsidR="009747D0" w:rsidRPr="00634232" w:rsidRDefault="009747D0" w:rsidP="008921A6">
      <w:pPr>
        <w:spacing w:after="0" w:line="360" w:lineRule="auto"/>
        <w:jc w:val="both"/>
        <w:rPr>
          <w:rFonts w:ascii="Times New Roman" w:hAnsi="Times New Roman" w:cs="Times New Roman"/>
          <w:sz w:val="24"/>
          <w:szCs w:val="24"/>
          <w:lang w:val="en-US"/>
        </w:rPr>
      </w:pPr>
      <w:r w:rsidRPr="00634232">
        <w:rPr>
          <w:rFonts w:ascii="Times New Roman" w:hAnsi="Times New Roman" w:cs="Times New Roman"/>
          <w:sz w:val="24"/>
          <w:szCs w:val="24"/>
          <w:lang w:val="en-US"/>
        </w:rPr>
        <w:t>Equations 1, 2, 3 and 4 were used for the calculation of thermodynamic pa</w:t>
      </w:r>
      <w:r w:rsidR="00E17DAE" w:rsidRPr="00634232">
        <w:rPr>
          <w:rFonts w:ascii="Times New Roman" w:hAnsi="Times New Roman" w:cs="Times New Roman"/>
          <w:sz w:val="24"/>
          <w:szCs w:val="24"/>
          <w:lang w:val="en-US"/>
        </w:rPr>
        <w:t>rameters.</w:t>
      </w:r>
    </w:p>
    <w:p w14:paraId="3F0B51C1" w14:textId="77777777" w:rsidR="001F671C" w:rsidRPr="00634232" w:rsidRDefault="001F671C" w:rsidP="001F671C">
      <w:pPr>
        <w:spacing w:after="160" w:line="259" w:lineRule="auto"/>
        <w:rPr>
          <w:rFonts w:ascii="Times New Roman" w:hAnsi="Times New Roman" w:cs="Times New Roman"/>
          <w:sz w:val="24"/>
          <w:szCs w:val="24"/>
          <w:lang w:val="en-US"/>
        </w:rPr>
      </w:pPr>
      <m:oMath>
        <m:r>
          <w:rPr>
            <w:rFonts w:ascii="Cambria Math" w:hAnsi="Cambria Math" w:cs="Times New Roman"/>
            <w:sz w:val="24"/>
            <w:szCs w:val="24"/>
            <w:lang w:val="en-US"/>
          </w:rPr>
          <m:t>∆</m:t>
        </m:r>
        <m:r>
          <w:rPr>
            <w:rFonts w:ascii="Cambria Math" w:hAnsi="Cambria Math" w:cs="Times New Roman"/>
            <w:sz w:val="24"/>
            <w:szCs w:val="24"/>
          </w:rPr>
          <m:t>G</m:t>
        </m:r>
        <m:r>
          <w:rPr>
            <w:rFonts w:ascii="Cambria Math" w:hAnsi="Cambria Math" w:cs="Times New Roman"/>
            <w:sz w:val="24"/>
            <w:szCs w:val="24"/>
            <w:lang w:val="en-US"/>
          </w:rPr>
          <m:t xml:space="preserve">° </m:t>
        </m:r>
        <m:r>
          <w:rPr>
            <w:rFonts w:ascii="Cambria Math" w:eastAsiaTheme="minorEastAsia" w:hAnsi="Cambria Math" w:cs="Times New Roman"/>
            <w:sz w:val="24"/>
            <w:szCs w:val="24"/>
            <w:lang w:val="en-US"/>
          </w:rPr>
          <m:t>=(2-</m:t>
        </m:r>
        <m:r>
          <m:rPr>
            <m:sty m:val="p"/>
          </m:rPr>
          <w:rPr>
            <w:rFonts w:ascii="Cambria Math" w:hAnsi="Cambria Math" w:cs="Times New Roman"/>
            <w:sz w:val="24"/>
            <w:szCs w:val="24"/>
          </w:rPr>
          <m:t>α</m:t>
        </m:r>
        <m:r>
          <m:rPr>
            <m:sty m:val="p"/>
          </m:rPr>
          <w:rPr>
            <w:rFonts w:ascii="Cambria Math" w:hAnsi="Cambria Math" w:cs="Times New Roman"/>
            <w:sz w:val="24"/>
            <w:szCs w:val="24"/>
            <w:lang w:val="en-US"/>
          </w:rPr>
          <m:t>)</m:t>
        </m:r>
        <m:r>
          <w:rPr>
            <w:rFonts w:ascii="Cambria Math" w:hAnsi="Cambria Math" w:cs="Times New Roman"/>
            <w:sz w:val="24"/>
            <w:szCs w:val="24"/>
            <w:lang w:val="en-US"/>
          </w:rPr>
          <m:t>RTlnXcmc</m:t>
        </m:r>
      </m:oMath>
      <w:r w:rsidRPr="00634232">
        <w:rPr>
          <w:rFonts w:ascii="Times New Roman" w:eastAsiaTheme="minorEastAsia" w:hAnsi="Times New Roman" w:cs="Times New Roman"/>
          <w:sz w:val="24"/>
          <w:szCs w:val="24"/>
          <w:lang w:val="en-US"/>
        </w:rPr>
        <w:tab/>
      </w:r>
      <w:r w:rsidRPr="00634232">
        <w:rPr>
          <w:rFonts w:ascii="Times New Roman" w:eastAsiaTheme="minorEastAsia" w:hAnsi="Times New Roman" w:cs="Times New Roman"/>
          <w:sz w:val="24"/>
          <w:szCs w:val="24"/>
          <w:lang w:val="en-US"/>
        </w:rPr>
        <w:tab/>
      </w:r>
      <w:r w:rsidRPr="00634232">
        <w:rPr>
          <w:rFonts w:ascii="Times New Roman" w:hAnsi="Times New Roman" w:cs="Times New Roman"/>
          <w:b/>
          <w:sz w:val="24"/>
          <w:szCs w:val="24"/>
          <w:lang w:val="en-US"/>
        </w:rPr>
        <w:t>(</w:t>
      </w:r>
      <w:r w:rsidRPr="00634232">
        <w:rPr>
          <w:rFonts w:ascii="Times New Roman" w:hAnsi="Times New Roman" w:cs="Times New Roman"/>
          <w:sz w:val="24"/>
          <w:szCs w:val="24"/>
          <w:lang w:val="en-US"/>
        </w:rPr>
        <w:t>1)</w:t>
      </w:r>
    </w:p>
    <w:p w14:paraId="304C344D" w14:textId="77777777" w:rsidR="005529EC" w:rsidRPr="00634232" w:rsidRDefault="00DF3D87" w:rsidP="00DF3D87">
      <w:pPr>
        <w:spacing w:after="0" w:line="360" w:lineRule="auto"/>
        <w:jc w:val="both"/>
        <w:rPr>
          <w:rFonts w:ascii="Times New Roman" w:hAnsi="Times New Roman" w:cs="Times New Roman"/>
          <w:sz w:val="24"/>
          <w:szCs w:val="24"/>
          <w:lang w:val="en-US"/>
        </w:rPr>
      </w:pPr>
      <w:r w:rsidRPr="00634232">
        <w:rPr>
          <w:rFonts w:ascii="Times New Roman" w:hAnsi="Times New Roman" w:cs="Times New Roman"/>
          <w:sz w:val="24"/>
          <w:szCs w:val="24"/>
          <w:lang w:val="en-US"/>
        </w:rPr>
        <w:t>The degree of dissociation (</w:t>
      </w:r>
      <w:r w:rsidRPr="00634232">
        <w:rPr>
          <w:rFonts w:ascii="Times New Roman" w:hAnsi="Times New Roman" w:cs="Times New Roman"/>
          <w:sz w:val="24"/>
          <w:szCs w:val="24"/>
        </w:rPr>
        <w:t>α)</w:t>
      </w:r>
      <w:r w:rsidRPr="00634232">
        <w:rPr>
          <w:rFonts w:ascii="Times New Roman" w:hAnsi="Times New Roman" w:cs="Times New Roman"/>
          <w:sz w:val="24"/>
          <w:szCs w:val="24"/>
          <w:lang w:val="en-US"/>
        </w:rPr>
        <w:t xml:space="preserve"> is defined as being the fraction dissociated of the polar heads on the surface of micelles. </w:t>
      </w:r>
      <w:r w:rsidRPr="00634232">
        <w:rPr>
          <w:rFonts w:ascii="Times New Roman" w:hAnsi="Times New Roman" w:cs="Times New Roman"/>
          <w:vanish/>
          <w:sz w:val="24"/>
          <w:szCs w:val="24"/>
          <w:lang w:val="en-US"/>
        </w:rPr>
        <w:t>¶</w:t>
      </w:r>
      <w:r w:rsidRPr="00634232">
        <w:rPr>
          <w:rFonts w:ascii="Times New Roman" w:hAnsi="Times New Roman" w:cs="Times New Roman"/>
          <w:sz w:val="24"/>
          <w:szCs w:val="24"/>
          <w:lang w:val="en-US"/>
        </w:rPr>
        <w:t xml:space="preserve">This parameter is given starting from conduct metric measurements by using the method of Raoul Zana </w:t>
      </w:r>
      <w:r w:rsidR="00C96CB1">
        <w:rPr>
          <w:rFonts w:ascii="Times New Roman" w:hAnsi="Times New Roman" w:cs="Times New Roman"/>
          <w:color w:val="0000CC"/>
          <w:sz w:val="24"/>
          <w:szCs w:val="24"/>
          <w:lang w:val="en-US"/>
        </w:rPr>
        <w:t>(Sarr et al., 2017)</w:t>
      </w:r>
      <w:r w:rsidRPr="00634232">
        <w:rPr>
          <w:rFonts w:ascii="Times New Roman" w:hAnsi="Times New Roman" w:cs="Times New Roman"/>
          <w:color w:val="0000CC"/>
          <w:sz w:val="24"/>
          <w:szCs w:val="24"/>
          <w:lang w:val="en-US"/>
        </w:rPr>
        <w:t xml:space="preserve">. </w:t>
      </w:r>
      <w:r w:rsidR="005529EC" w:rsidRPr="00634232">
        <w:rPr>
          <w:rFonts w:ascii="Times New Roman" w:hAnsi="Times New Roman" w:cs="Times New Roman"/>
          <w:sz w:val="24"/>
          <w:szCs w:val="24"/>
          <w:lang w:val="en-US"/>
        </w:rPr>
        <w:t xml:space="preserve">T </w:t>
      </w:r>
      <w:r w:rsidR="00536C6A" w:rsidRPr="00634232">
        <w:rPr>
          <w:rFonts w:ascii="Times New Roman" w:hAnsi="Times New Roman" w:cs="Times New Roman"/>
          <w:sz w:val="24"/>
          <w:szCs w:val="24"/>
          <w:lang w:val="en-US"/>
        </w:rPr>
        <w:t xml:space="preserve">= absolute temperature, R = </w:t>
      </w:r>
      <w:r w:rsidR="005529EC" w:rsidRPr="00634232">
        <w:rPr>
          <w:rFonts w:ascii="Times New Roman" w:hAnsi="Times New Roman" w:cs="Times New Roman"/>
          <w:sz w:val="24"/>
          <w:szCs w:val="24"/>
          <w:lang w:val="en-US"/>
        </w:rPr>
        <w:t xml:space="preserve">perfect gases </w:t>
      </w:r>
      <w:r w:rsidR="00536C6A" w:rsidRPr="00634232">
        <w:rPr>
          <w:rFonts w:ascii="Times New Roman" w:hAnsi="Times New Roman" w:cs="Times New Roman"/>
          <w:sz w:val="24"/>
          <w:szCs w:val="24"/>
          <w:lang w:val="en-US"/>
        </w:rPr>
        <w:t xml:space="preserve">constant </w:t>
      </w:r>
      <w:r w:rsidR="005529EC" w:rsidRPr="00634232">
        <w:rPr>
          <w:rFonts w:ascii="Times New Roman" w:hAnsi="Times New Roman" w:cs="Times New Roman"/>
          <w:sz w:val="24"/>
          <w:szCs w:val="24"/>
          <w:lang w:val="en-US"/>
        </w:rPr>
        <w:t>and X</w:t>
      </w:r>
      <w:r w:rsidR="005529EC" w:rsidRPr="00634232">
        <w:rPr>
          <w:rFonts w:ascii="Times New Roman" w:hAnsi="Times New Roman" w:cs="Times New Roman"/>
          <w:sz w:val="24"/>
          <w:szCs w:val="24"/>
          <w:vertAlign w:val="subscript"/>
          <w:lang w:val="en-US"/>
        </w:rPr>
        <w:t>CMC</w:t>
      </w:r>
      <w:r w:rsidR="005529EC" w:rsidRPr="00634232">
        <w:rPr>
          <w:rFonts w:ascii="Times New Roman" w:hAnsi="Times New Roman" w:cs="Times New Roman"/>
          <w:sz w:val="24"/>
          <w:szCs w:val="24"/>
          <w:lang w:val="en-US"/>
        </w:rPr>
        <w:t xml:space="preserve"> </w:t>
      </w:r>
      <w:r w:rsidRPr="00634232">
        <w:rPr>
          <w:rFonts w:ascii="Times New Roman" w:hAnsi="Times New Roman" w:cs="Times New Roman"/>
          <w:sz w:val="24"/>
          <w:szCs w:val="24"/>
          <w:lang w:val="en-US"/>
        </w:rPr>
        <w:t xml:space="preserve">= </w:t>
      </w:r>
      <w:r w:rsidR="005529EC" w:rsidRPr="00634232">
        <w:rPr>
          <w:rFonts w:ascii="Times New Roman" w:hAnsi="Times New Roman" w:cs="Times New Roman"/>
          <w:sz w:val="24"/>
          <w:szCs w:val="24"/>
          <w:lang w:val="en-US"/>
        </w:rPr>
        <w:t>molar fraction to the CMC.</w:t>
      </w:r>
      <w:r w:rsidR="005529EC" w:rsidRPr="00634232">
        <w:rPr>
          <w:rFonts w:ascii="Times New Roman" w:hAnsi="Times New Roman" w:cs="Times New Roman"/>
          <w:vanish/>
          <w:sz w:val="24"/>
          <w:szCs w:val="24"/>
          <w:lang w:val="en-US"/>
        </w:rPr>
        <w:t>¶</w:t>
      </w:r>
      <w:r w:rsidR="005529EC" w:rsidRPr="00634232">
        <w:rPr>
          <w:rFonts w:ascii="Times New Roman" w:hAnsi="Times New Roman" w:cs="Times New Roman"/>
          <w:sz w:val="24"/>
          <w:szCs w:val="24"/>
          <w:lang w:val="en-US"/>
        </w:rPr>
        <w:t xml:space="preserve"> </w:t>
      </w:r>
      <w:r w:rsidR="005529EC" w:rsidRPr="00634232">
        <w:rPr>
          <w:rFonts w:ascii="Times New Roman" w:hAnsi="Times New Roman" w:cs="Times New Roman"/>
          <w:vanish/>
          <w:sz w:val="24"/>
          <w:szCs w:val="24"/>
          <w:lang w:val="en-US"/>
        </w:rPr>
        <w:t>¶</w:t>
      </w:r>
      <w:r w:rsidR="005529EC" w:rsidRPr="00634232">
        <w:rPr>
          <w:rFonts w:ascii="Times New Roman" w:hAnsi="Times New Roman" w:cs="Times New Roman"/>
          <w:sz w:val="24"/>
          <w:szCs w:val="24"/>
          <w:lang w:val="en-US"/>
        </w:rPr>
        <w:t xml:space="preserve">The </w:t>
      </w:r>
      <w:r w:rsidR="00536C6A" w:rsidRPr="00634232">
        <w:rPr>
          <w:rFonts w:ascii="Times New Roman" w:hAnsi="Times New Roman" w:cs="Times New Roman"/>
          <w:sz w:val="24"/>
          <w:szCs w:val="24"/>
        </w:rPr>
        <w:t xml:space="preserve">∆H° </w:t>
      </w:r>
      <w:r w:rsidR="005529EC" w:rsidRPr="00634232">
        <w:rPr>
          <w:rFonts w:ascii="Times New Roman" w:hAnsi="Times New Roman" w:cs="Times New Roman"/>
          <w:sz w:val="24"/>
          <w:szCs w:val="24"/>
          <w:lang w:val="en-US"/>
        </w:rPr>
        <w:t>of micelle for</w:t>
      </w:r>
      <w:r w:rsidR="00536C6A" w:rsidRPr="00634232">
        <w:rPr>
          <w:rFonts w:ascii="Times New Roman" w:hAnsi="Times New Roman" w:cs="Times New Roman"/>
          <w:sz w:val="24"/>
          <w:szCs w:val="24"/>
          <w:lang w:val="en-US"/>
        </w:rPr>
        <w:t xml:space="preserve">mation can be obtained from the </w:t>
      </w:r>
      <w:r w:rsidR="005529EC" w:rsidRPr="00634232">
        <w:rPr>
          <w:rFonts w:ascii="Times New Roman" w:hAnsi="Times New Roman" w:cs="Times New Roman"/>
          <w:sz w:val="24"/>
          <w:szCs w:val="24"/>
          <w:lang w:val="en-US"/>
        </w:rPr>
        <w:t>Gibbs-Helmholtz</w:t>
      </w:r>
      <w:r w:rsidR="00536C6A" w:rsidRPr="00634232">
        <w:rPr>
          <w:rFonts w:ascii="Times New Roman" w:hAnsi="Times New Roman" w:cs="Times New Roman"/>
          <w:sz w:val="24"/>
          <w:szCs w:val="24"/>
          <w:lang w:val="en-US"/>
        </w:rPr>
        <w:t xml:space="preserve"> equation</w:t>
      </w:r>
      <w:r w:rsidR="005529EC" w:rsidRPr="00634232">
        <w:rPr>
          <w:rFonts w:ascii="Times New Roman" w:hAnsi="Times New Roman" w:cs="Times New Roman"/>
          <w:sz w:val="24"/>
          <w:szCs w:val="24"/>
          <w:lang w:val="en-US"/>
        </w:rPr>
        <w:t>:</w:t>
      </w:r>
    </w:p>
    <w:p w14:paraId="767F49FB" w14:textId="77777777" w:rsidR="001F671C" w:rsidRPr="00634232" w:rsidRDefault="001F671C" w:rsidP="001F671C">
      <w:pPr>
        <w:autoSpaceDE w:val="0"/>
        <w:autoSpaceDN w:val="0"/>
        <w:adjustRightInd w:val="0"/>
        <w:spacing w:after="0" w:line="360" w:lineRule="auto"/>
        <w:rPr>
          <w:rFonts w:ascii="Times New Roman" w:hAnsi="Times New Roman" w:cs="Times New Roman"/>
          <w:sz w:val="24"/>
          <w:szCs w:val="24"/>
          <w:lang w:val="en-US"/>
        </w:rPr>
      </w:pPr>
      <m:oMath>
        <m:r>
          <w:rPr>
            <w:rFonts w:ascii="Cambria Math" w:hAnsi="Cambria Math" w:cs="Times New Roman"/>
            <w:sz w:val="24"/>
            <w:szCs w:val="24"/>
            <w:lang w:val="en-US"/>
          </w:rPr>
          <m:t>∆</m:t>
        </m:r>
        <m:r>
          <w:rPr>
            <w:rFonts w:ascii="Cambria Math" w:hAnsi="Cambria Math" w:cs="Times New Roman"/>
            <w:sz w:val="24"/>
            <w:szCs w:val="24"/>
          </w:rPr>
          <m:t>H</m:t>
        </m:r>
        <m:r>
          <w:rPr>
            <w:rFonts w:ascii="Cambria Math" w:hAnsi="Cambria Math" w:cs="Times New Roman"/>
            <w:sz w:val="24"/>
            <w:szCs w:val="24"/>
            <w:lang w:val="en-US"/>
          </w:rPr>
          <m:t>°</m:t>
        </m:r>
        <m:r>
          <w:rPr>
            <w:rFonts w:ascii="Cambria Math" w:eastAsiaTheme="minorEastAsia" w:hAnsi="Cambria Math" w:cs="Times New Roman"/>
            <w:sz w:val="24"/>
            <w:szCs w:val="24"/>
            <w:lang w:val="en-US"/>
          </w:rPr>
          <m:t>=-</m:t>
        </m:r>
        <m:r>
          <m:rPr>
            <m:sty m:val="p"/>
          </m:rPr>
          <w:rPr>
            <w:rFonts w:ascii="Cambria Math" w:eastAsiaTheme="minorEastAsia" w:hAnsi="Cambria Math" w:cs="Times New Roman"/>
            <w:sz w:val="24"/>
            <w:szCs w:val="24"/>
            <w:lang w:val="en-US"/>
          </w:rPr>
          <m:t>T</m:t>
        </m:r>
        <m:r>
          <m:rPr>
            <m:sty m:val="p"/>
          </m:rPr>
          <w:rPr>
            <w:rFonts w:ascii="Cambria Math" w:eastAsiaTheme="minorEastAsia" w:hAnsi="Cambria Math" w:cs="Times New Roman"/>
            <w:sz w:val="24"/>
            <w:szCs w:val="24"/>
            <w:vertAlign w:val="superscript"/>
            <w:lang w:val="en-US"/>
          </w:rPr>
          <m:t>²</m:t>
        </m:r>
        <m:f>
          <m:fPr>
            <m:ctrlPr>
              <w:rPr>
                <w:rFonts w:ascii="Cambria Math" w:eastAsiaTheme="minorEastAsia" w:hAnsi="Cambria Math" w:cs="Times New Roman"/>
                <w:i/>
                <w:sz w:val="24"/>
                <w:szCs w:val="24"/>
                <w:vertAlign w:val="superscript"/>
              </w:rPr>
            </m:ctrlPr>
          </m:fPr>
          <m:num>
            <m:r>
              <w:rPr>
                <w:rFonts w:ascii="Cambria Math" w:eastAsiaTheme="minorEastAsia" w:hAnsi="Cambria Math" w:cs="Times New Roman"/>
                <w:sz w:val="24"/>
                <w:szCs w:val="24"/>
                <w:vertAlign w:val="superscript"/>
              </w:rPr>
              <m:t>∂</m:t>
            </m:r>
          </m:num>
          <m:den>
            <m:r>
              <w:rPr>
                <w:rFonts w:ascii="Cambria Math" w:eastAsiaTheme="minorEastAsia" w:hAnsi="Cambria Math" w:cs="Times New Roman"/>
                <w:sz w:val="24"/>
                <w:szCs w:val="24"/>
                <w:vertAlign w:val="superscript"/>
              </w:rPr>
              <m:t>∂T</m:t>
            </m:r>
          </m:den>
        </m:f>
        <m:r>
          <w:rPr>
            <w:rFonts w:ascii="Cambria Math" w:eastAsiaTheme="minorEastAsia" w:hAnsi="Cambria Math" w:cs="Times New Roman"/>
            <w:sz w:val="24"/>
            <w:szCs w:val="24"/>
            <w:vertAlign w:val="superscript"/>
            <w:lang w:val="en-US"/>
          </w:rPr>
          <m:t>(</m:t>
        </m:r>
        <m:f>
          <m:fPr>
            <m:ctrlPr>
              <w:rPr>
                <w:rFonts w:ascii="Cambria Math" w:eastAsiaTheme="minorEastAsia" w:hAnsi="Cambria Math" w:cs="Times New Roman"/>
                <w:i/>
                <w:sz w:val="24"/>
                <w:szCs w:val="24"/>
                <w:vertAlign w:val="superscript"/>
              </w:rPr>
            </m:ctrlPr>
          </m:fPr>
          <m:num>
            <m:r>
              <w:rPr>
                <w:rFonts w:ascii="Cambria Math" w:eastAsiaTheme="minorEastAsia" w:hAnsi="Cambria Math" w:cs="Times New Roman"/>
                <w:sz w:val="24"/>
                <w:szCs w:val="24"/>
                <w:vertAlign w:val="superscript"/>
                <w:lang w:val="en-US"/>
              </w:rPr>
              <m:t>∆</m:t>
            </m:r>
            <m:r>
              <w:rPr>
                <w:rFonts w:ascii="Cambria Math" w:eastAsiaTheme="minorEastAsia" w:hAnsi="Cambria Math" w:cs="Times New Roman"/>
                <w:sz w:val="24"/>
                <w:szCs w:val="24"/>
                <w:vertAlign w:val="superscript"/>
              </w:rPr>
              <m:t>G</m:t>
            </m:r>
            <m:r>
              <w:rPr>
                <w:rFonts w:ascii="Cambria Math" w:eastAsiaTheme="minorEastAsia" w:hAnsi="Cambria Math" w:cs="Times New Roman"/>
                <w:sz w:val="24"/>
                <w:szCs w:val="24"/>
                <w:vertAlign w:val="superscript"/>
                <w:lang w:val="en-US"/>
              </w:rPr>
              <m:t>°</m:t>
            </m:r>
          </m:num>
          <m:den>
            <m:r>
              <w:rPr>
                <w:rFonts w:ascii="Cambria Math" w:eastAsiaTheme="minorEastAsia" w:hAnsi="Cambria Math" w:cs="Times New Roman"/>
                <w:sz w:val="24"/>
                <w:szCs w:val="24"/>
                <w:vertAlign w:val="superscript"/>
              </w:rPr>
              <m:t>T</m:t>
            </m:r>
          </m:den>
        </m:f>
        <m:r>
          <w:rPr>
            <w:rFonts w:ascii="Cambria Math" w:eastAsiaTheme="minorEastAsia" w:hAnsi="Cambria Math" w:cs="Times New Roman"/>
            <w:sz w:val="24"/>
            <w:szCs w:val="24"/>
            <w:vertAlign w:val="superscript"/>
            <w:lang w:val="en-US"/>
          </w:rPr>
          <m:t>)</m:t>
        </m:r>
      </m:oMath>
      <w:r w:rsidRPr="00634232">
        <w:rPr>
          <w:rFonts w:ascii="Times New Roman" w:hAnsi="Times New Roman" w:cs="Times New Roman"/>
          <w:sz w:val="24"/>
          <w:szCs w:val="24"/>
          <w:lang w:val="en-US"/>
        </w:rPr>
        <w:tab/>
      </w:r>
      <w:r w:rsidRPr="00634232">
        <w:rPr>
          <w:rFonts w:ascii="Times New Roman" w:hAnsi="Times New Roman" w:cs="Times New Roman"/>
          <w:sz w:val="24"/>
          <w:szCs w:val="24"/>
          <w:lang w:val="en-US"/>
        </w:rPr>
        <w:tab/>
      </w:r>
      <w:r w:rsidRPr="00634232">
        <w:rPr>
          <w:rFonts w:ascii="Times New Roman" w:hAnsi="Times New Roman" w:cs="Times New Roman"/>
          <w:sz w:val="24"/>
          <w:szCs w:val="24"/>
          <w:lang w:val="en-US"/>
        </w:rPr>
        <w:tab/>
      </w:r>
      <w:r w:rsidRPr="00634232">
        <w:rPr>
          <w:rFonts w:ascii="Times New Roman" w:eastAsiaTheme="minorEastAsia" w:hAnsi="Times New Roman" w:cs="Times New Roman"/>
          <w:sz w:val="24"/>
          <w:szCs w:val="24"/>
          <w:lang w:val="en-US"/>
        </w:rPr>
        <w:t>(2)</w:t>
      </w:r>
    </w:p>
    <w:p w14:paraId="0C46247D" w14:textId="77777777" w:rsidR="005529EC" w:rsidRPr="00634232" w:rsidRDefault="00536C6A" w:rsidP="008921A6">
      <w:pPr>
        <w:autoSpaceDE w:val="0"/>
        <w:autoSpaceDN w:val="0"/>
        <w:adjustRightInd w:val="0"/>
        <w:spacing w:after="0" w:line="360" w:lineRule="auto"/>
        <w:jc w:val="both"/>
        <w:rPr>
          <w:rFonts w:ascii="Times New Roman" w:hAnsi="Times New Roman" w:cs="Times New Roman"/>
          <w:sz w:val="24"/>
          <w:szCs w:val="24"/>
          <w:lang w:val="en-US"/>
        </w:rPr>
      </w:pPr>
      <w:r w:rsidRPr="00634232">
        <w:rPr>
          <w:rFonts w:ascii="Times New Roman" w:hAnsi="Times New Roman" w:cs="Times New Roman"/>
          <w:sz w:val="24"/>
          <w:szCs w:val="24"/>
          <w:lang w:val="en-US"/>
        </w:rPr>
        <w:t>By replacing (1) in (2</w:t>
      </w:r>
      <w:r w:rsidR="005529EC" w:rsidRPr="00634232">
        <w:rPr>
          <w:rFonts w:ascii="Times New Roman" w:hAnsi="Times New Roman" w:cs="Times New Roman"/>
          <w:sz w:val="24"/>
          <w:szCs w:val="24"/>
          <w:lang w:val="en-US"/>
        </w:rPr>
        <w:t xml:space="preserve">), the </w:t>
      </w:r>
      <w:r w:rsidRPr="00634232">
        <w:rPr>
          <w:rFonts w:ascii="Times New Roman" w:hAnsi="Times New Roman" w:cs="Times New Roman"/>
          <w:sz w:val="24"/>
          <w:szCs w:val="24"/>
        </w:rPr>
        <w:t xml:space="preserve">∆H° </w:t>
      </w:r>
      <w:r w:rsidR="005529EC" w:rsidRPr="00634232">
        <w:rPr>
          <w:rFonts w:ascii="Times New Roman" w:hAnsi="Times New Roman" w:cs="Times New Roman"/>
          <w:sz w:val="24"/>
          <w:szCs w:val="24"/>
          <w:lang w:val="en-US"/>
        </w:rPr>
        <w:t xml:space="preserve">of </w:t>
      </w:r>
      <w:r w:rsidR="008921A6" w:rsidRPr="00634232">
        <w:rPr>
          <w:rFonts w:ascii="Times New Roman" w:hAnsi="Times New Roman" w:cs="Times New Roman"/>
          <w:sz w:val="24"/>
          <w:szCs w:val="24"/>
          <w:lang w:val="en-US"/>
        </w:rPr>
        <w:t>micellization</w:t>
      </w:r>
      <w:r w:rsidR="005529EC" w:rsidRPr="00634232">
        <w:rPr>
          <w:rFonts w:ascii="Times New Roman" w:hAnsi="Times New Roman" w:cs="Times New Roman"/>
          <w:sz w:val="24"/>
          <w:szCs w:val="24"/>
          <w:lang w:val="en-US"/>
        </w:rPr>
        <w:t xml:space="preserve"> can be written as follows:</w:t>
      </w:r>
    </w:p>
    <w:p w14:paraId="79F27E16" w14:textId="77777777" w:rsidR="005F2E64" w:rsidRPr="00634232" w:rsidRDefault="005F2E64" w:rsidP="005F2E64">
      <w:pPr>
        <w:spacing w:after="160" w:line="259" w:lineRule="auto"/>
        <w:rPr>
          <w:rFonts w:eastAsiaTheme="minorEastAsia"/>
          <w:vertAlign w:val="subscript"/>
          <w:lang w:val="en-US"/>
        </w:rPr>
      </w:pPr>
      <m:oMath>
        <m:r>
          <w:rPr>
            <w:rFonts w:ascii="Cambria Math" w:hAnsi="Cambria Math" w:cs="Times New Roman"/>
            <w:sz w:val="24"/>
            <w:szCs w:val="24"/>
            <w:lang w:val="en-US"/>
          </w:rPr>
          <m:t>∆</m:t>
        </m:r>
        <m:r>
          <w:rPr>
            <w:rFonts w:ascii="Cambria Math" w:hAnsi="Cambria Math" w:cs="Times New Roman"/>
            <w:sz w:val="24"/>
            <w:szCs w:val="24"/>
          </w:rPr>
          <m:t>H</m:t>
        </m:r>
        <m:r>
          <w:rPr>
            <w:rFonts w:ascii="Cambria Math" w:hAnsi="Cambria Math" w:cs="Times New Roman"/>
            <w:sz w:val="24"/>
            <w:szCs w:val="24"/>
            <w:lang w:val="en-US"/>
          </w:rPr>
          <m:t xml:space="preserve">° </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RT</m:t>
        </m:r>
        <m:r>
          <m:rPr>
            <m:sty m:val="p"/>
          </m:rPr>
          <w:rPr>
            <w:rFonts w:ascii="Cambria Math" w:eastAsiaTheme="minorEastAsia" w:hAnsi="Cambria Math" w:cs="Times New Roman"/>
            <w:sz w:val="24"/>
            <w:szCs w:val="24"/>
            <w:vertAlign w:val="superscript"/>
            <w:lang w:val="en-US"/>
          </w:rPr>
          <m:t>²</m:t>
        </m:r>
        <m:r>
          <w:rPr>
            <w:rFonts w:ascii="Cambria Math" w:eastAsiaTheme="minorEastAsia" w:hAnsi="Cambria Math" w:cs="Times New Roman"/>
            <w:sz w:val="24"/>
            <w:szCs w:val="24"/>
            <w:lang w:val="en-US"/>
          </w:rPr>
          <m:t>(2-</m:t>
        </m:r>
        <m:r>
          <m:rPr>
            <m:sty m:val="p"/>
          </m:rPr>
          <w:rPr>
            <w:rFonts w:ascii="Cambria Math" w:hAnsi="Cambria Math"/>
          </w:rPr>
          <m:t>α</m:t>
        </m:r>
        <m:r>
          <m:rPr>
            <m:sty m:val="p"/>
          </m:rPr>
          <w:rPr>
            <w:rFonts w:ascii="Cambria Math"/>
            <w:lang w:val="en-US"/>
          </w:rPr>
          <m:t>)</m:t>
        </m:r>
        <m:f>
          <m:fPr>
            <m:ctrlPr>
              <w:rPr>
                <w:rFonts w:ascii="Cambria Math" w:eastAsiaTheme="minorEastAsia" w:hAnsi="Cambria Math" w:cs="Times New Roman"/>
                <w:i/>
                <w:sz w:val="24"/>
                <w:szCs w:val="24"/>
                <w:vertAlign w:val="superscript"/>
              </w:rPr>
            </m:ctrlPr>
          </m:fPr>
          <m:num>
            <m:r>
              <w:rPr>
                <w:rFonts w:ascii="Cambria Math" w:eastAsiaTheme="minorEastAsia" w:hAnsi="Cambria Math" w:cs="Times New Roman"/>
                <w:sz w:val="24"/>
                <w:szCs w:val="24"/>
                <w:vertAlign w:val="superscript"/>
              </w:rPr>
              <m:t>∂</m:t>
            </m:r>
          </m:num>
          <m:den>
            <m:r>
              <w:rPr>
                <w:rFonts w:ascii="Cambria Math" w:eastAsiaTheme="minorEastAsia" w:hAnsi="Cambria Math" w:cs="Times New Roman"/>
                <w:sz w:val="24"/>
                <w:szCs w:val="24"/>
                <w:vertAlign w:val="superscript"/>
              </w:rPr>
              <m:t>∂T</m:t>
            </m:r>
          </m:den>
        </m:f>
        <m:r>
          <w:rPr>
            <w:rFonts w:ascii="Cambria Math" w:hAnsi="Cambria Math"/>
            <w:lang w:val="en-US"/>
          </w:rPr>
          <m:t>(lnX</m:t>
        </m:r>
        <m:r>
          <w:rPr>
            <w:rFonts w:ascii="Cambria Math" w:hAnsi="Cambria Math"/>
            <w:vertAlign w:val="subscript"/>
            <w:lang w:val="en-US"/>
          </w:rPr>
          <m:t>CMC)</m:t>
        </m:r>
      </m:oMath>
      <w:r w:rsidRPr="00634232">
        <w:rPr>
          <w:rFonts w:eastAsiaTheme="minorEastAsia"/>
          <w:vertAlign w:val="subscript"/>
          <w:lang w:val="en-US"/>
        </w:rPr>
        <w:tab/>
      </w:r>
      <w:r w:rsidRPr="00634232">
        <w:rPr>
          <w:rFonts w:ascii="Times New Roman" w:eastAsiaTheme="minorEastAsia" w:hAnsi="Times New Roman" w:cs="Times New Roman"/>
          <w:sz w:val="24"/>
          <w:szCs w:val="24"/>
          <w:lang w:val="en-US"/>
        </w:rPr>
        <w:t>(3)</w:t>
      </w:r>
    </w:p>
    <w:p w14:paraId="66DC1869" w14:textId="77777777" w:rsidR="005529EC" w:rsidRPr="00634232" w:rsidRDefault="005F2E64" w:rsidP="005F2E64">
      <w:pPr>
        <w:autoSpaceDE w:val="0"/>
        <w:autoSpaceDN w:val="0"/>
        <w:adjustRightInd w:val="0"/>
        <w:spacing w:after="0" w:line="360" w:lineRule="auto"/>
        <w:jc w:val="both"/>
        <w:rPr>
          <w:rFonts w:ascii="Times New Roman" w:hAnsi="Times New Roman" w:cs="Times New Roman"/>
          <w:sz w:val="24"/>
          <w:szCs w:val="24"/>
          <w:lang w:val="en-US"/>
        </w:rPr>
      </w:pPr>
      <w:r w:rsidRPr="00634232">
        <w:rPr>
          <w:rFonts w:ascii="Times New Roman" w:hAnsi="Times New Roman" w:cs="Times New Roman"/>
          <w:sz w:val="24"/>
          <w:szCs w:val="24"/>
          <w:lang w:val="en-US"/>
        </w:rPr>
        <w:t xml:space="preserve">The term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num>
          <m:den>
            <m:r>
              <w:rPr>
                <w:rFonts w:ascii="Cambria Math" w:eastAsiaTheme="minorEastAsia" w:hAnsi="Cambria Math" w:cs="Times New Roman"/>
                <w:sz w:val="24"/>
                <w:szCs w:val="24"/>
                <w:lang w:val="en-US"/>
              </w:rPr>
              <m:t xml:space="preserve"> </m:t>
            </m:r>
            <m:r>
              <w:rPr>
                <w:rFonts w:ascii="Cambria Math" w:eastAsiaTheme="minorEastAsia" w:hAnsi="Cambria Math" w:cs="Times New Roman"/>
                <w:sz w:val="24"/>
                <w:szCs w:val="24"/>
              </w:rPr>
              <m:t>dT</m:t>
            </m:r>
          </m:den>
        </m:f>
        <m:r>
          <w:rPr>
            <w:rFonts w:ascii="Cambria Math" w:hAnsi="Cambria Math"/>
            <w:lang w:val="en-US"/>
          </w:rPr>
          <m:t>(lnX</m:t>
        </m:r>
        <m:r>
          <w:rPr>
            <w:rFonts w:ascii="Cambria Math" w:hAnsi="Cambria Math"/>
            <w:vertAlign w:val="subscript"/>
            <w:lang w:val="en-US"/>
          </w:rPr>
          <m:t>CMC)</m:t>
        </m:r>
      </m:oMath>
      <w:r w:rsidRPr="00634232">
        <w:rPr>
          <w:rFonts w:ascii="Times New Roman" w:eastAsiaTheme="minorEastAsia" w:hAnsi="Times New Roman" w:cs="Times New Roman"/>
          <w:vertAlign w:val="subscript"/>
          <w:lang w:val="en-US"/>
        </w:rPr>
        <w:t xml:space="preserve"> </w:t>
      </w:r>
      <w:r w:rsidRPr="00634232">
        <w:rPr>
          <w:rFonts w:ascii="Times New Roman" w:hAnsi="Times New Roman" w:cs="Times New Roman"/>
          <w:sz w:val="24"/>
          <w:szCs w:val="24"/>
          <w:lang w:val="en-US"/>
        </w:rPr>
        <w:t>corresponds</w:t>
      </w:r>
      <w:r w:rsidR="005529EC" w:rsidRPr="00634232">
        <w:rPr>
          <w:rFonts w:ascii="Times New Roman" w:hAnsi="Times New Roman" w:cs="Times New Roman"/>
          <w:sz w:val="24"/>
          <w:szCs w:val="24"/>
          <w:lang w:val="en-US"/>
        </w:rPr>
        <w:t xml:space="preserve"> to the slope of the </w:t>
      </w:r>
      <w:r w:rsidR="00302379" w:rsidRPr="00634232">
        <w:rPr>
          <w:rFonts w:ascii="Times New Roman" w:hAnsi="Times New Roman" w:cs="Times New Roman"/>
          <w:sz w:val="24"/>
          <w:szCs w:val="24"/>
          <w:lang w:val="en-US"/>
        </w:rPr>
        <w:t>linear curve</w:t>
      </w:r>
      <w:r w:rsidRPr="00634232">
        <w:rPr>
          <w:rFonts w:ascii="Times New Roman" w:hAnsi="Times New Roman" w:cs="Times New Roman"/>
          <w:sz w:val="24"/>
          <w:szCs w:val="24"/>
        </w:rPr>
        <w:t xml:space="preserve"> </w:t>
      </w:r>
      <w:r w:rsidRPr="00634232">
        <w:rPr>
          <w:rFonts w:ascii="Times New Roman" w:hAnsi="Times New Roman" w:cs="Times New Roman"/>
          <w:sz w:val="24"/>
          <w:szCs w:val="24"/>
          <w:lang w:val="en-US"/>
        </w:rPr>
        <w:t>line</w:t>
      </w:r>
      <m:oMath>
        <m:r>
          <w:rPr>
            <w:rFonts w:ascii="Cambria Math" w:hAnsi="Cambria Math"/>
            <w:lang w:val="en-US"/>
          </w:rPr>
          <m:t xml:space="preserve"> lnX</m:t>
        </m:r>
        <m:r>
          <w:rPr>
            <w:rFonts w:ascii="Cambria Math" w:hAnsi="Cambria Math"/>
            <w:vertAlign w:val="subscript"/>
            <w:lang w:val="en-US"/>
          </w:rPr>
          <m:t>CMC=f(T)</m:t>
        </m:r>
      </m:oMath>
      <w:r w:rsidR="005529EC" w:rsidRPr="00634232">
        <w:rPr>
          <w:rFonts w:ascii="Times New Roman" w:hAnsi="Times New Roman" w:cs="Times New Roman"/>
          <w:sz w:val="24"/>
          <w:szCs w:val="24"/>
          <w:lang w:val="en-US"/>
        </w:rPr>
        <w:t>.</w:t>
      </w:r>
    </w:p>
    <w:p w14:paraId="24A16F41" w14:textId="77777777" w:rsidR="005529EC" w:rsidRPr="00634232" w:rsidRDefault="005529EC" w:rsidP="005F2E64">
      <w:pPr>
        <w:spacing w:after="0" w:line="360" w:lineRule="auto"/>
        <w:jc w:val="both"/>
        <w:rPr>
          <w:lang w:val="en-US"/>
        </w:rPr>
      </w:pPr>
      <w:r w:rsidRPr="00634232">
        <w:rPr>
          <w:rFonts w:ascii="Times New Roman" w:hAnsi="Times New Roman" w:cs="Times New Roman"/>
          <w:sz w:val="24"/>
          <w:szCs w:val="24"/>
          <w:lang w:val="en-US"/>
        </w:rPr>
        <w:t xml:space="preserve">The </w:t>
      </w:r>
      <w:r w:rsidR="00302379" w:rsidRPr="00634232">
        <w:rPr>
          <w:rFonts w:ascii="Times New Roman" w:hAnsi="Times New Roman" w:cs="Times New Roman"/>
          <w:sz w:val="24"/>
          <w:szCs w:val="24"/>
        </w:rPr>
        <w:t xml:space="preserve">∆S° </w:t>
      </w:r>
      <w:r w:rsidR="00302379" w:rsidRPr="00634232">
        <w:rPr>
          <w:rFonts w:ascii="Times New Roman" w:hAnsi="Times New Roman" w:cs="Times New Roman"/>
          <w:sz w:val="24"/>
          <w:szCs w:val="24"/>
          <w:lang w:val="en-US"/>
        </w:rPr>
        <w:t>related to the</w:t>
      </w:r>
      <w:r w:rsidRPr="00634232">
        <w:rPr>
          <w:rFonts w:ascii="Times New Roman" w:hAnsi="Times New Roman" w:cs="Times New Roman"/>
          <w:sz w:val="24"/>
          <w:szCs w:val="24"/>
          <w:lang w:val="en-US"/>
        </w:rPr>
        <w:t xml:space="preserve"> </w:t>
      </w:r>
      <w:r w:rsidR="008921A6" w:rsidRPr="00634232">
        <w:rPr>
          <w:rFonts w:ascii="Times New Roman" w:hAnsi="Times New Roman" w:cs="Times New Roman"/>
          <w:sz w:val="24"/>
          <w:szCs w:val="24"/>
          <w:lang w:val="en-US"/>
        </w:rPr>
        <w:t>micellization</w:t>
      </w:r>
      <w:r w:rsidRPr="00634232">
        <w:rPr>
          <w:rFonts w:ascii="Times New Roman" w:hAnsi="Times New Roman" w:cs="Times New Roman"/>
          <w:sz w:val="24"/>
          <w:szCs w:val="24"/>
          <w:lang w:val="en-US"/>
        </w:rPr>
        <w:t xml:space="preserve"> </w:t>
      </w:r>
      <w:r w:rsidR="00302379" w:rsidRPr="00634232">
        <w:rPr>
          <w:rFonts w:ascii="Times New Roman" w:hAnsi="Times New Roman" w:cs="Times New Roman"/>
          <w:sz w:val="24"/>
          <w:szCs w:val="24"/>
          <w:lang w:val="en-US"/>
        </w:rPr>
        <w:t>process was</w:t>
      </w:r>
      <w:r w:rsidRPr="00634232">
        <w:rPr>
          <w:rFonts w:ascii="Times New Roman" w:hAnsi="Times New Roman" w:cs="Times New Roman"/>
          <w:sz w:val="24"/>
          <w:szCs w:val="24"/>
          <w:lang w:val="en-US"/>
        </w:rPr>
        <w:t xml:space="preserve"> obtained by the following equation:</w:t>
      </w:r>
      <w:r w:rsidRPr="00634232">
        <w:rPr>
          <w:rFonts w:ascii="Times New Roman" w:hAnsi="Times New Roman" w:cs="Times New Roman"/>
          <w:vanish/>
          <w:sz w:val="24"/>
          <w:szCs w:val="24"/>
          <w:highlight w:val="yellow"/>
          <w:lang w:val="en-US"/>
        </w:rPr>
        <w:t>¶</w:t>
      </w:r>
    </w:p>
    <w:p w14:paraId="6035D4CC" w14:textId="77777777" w:rsidR="005F2E64" w:rsidRPr="00634232" w:rsidRDefault="005F2E64" w:rsidP="005F2E64">
      <w:pPr>
        <w:pStyle w:val="Default"/>
        <w:spacing w:line="360" w:lineRule="auto"/>
        <w:jc w:val="both"/>
        <w:rPr>
          <w:rFonts w:eastAsiaTheme="minorEastAsia"/>
          <w:color w:val="auto"/>
          <w:lang w:val="en-US"/>
        </w:rPr>
      </w:pPr>
      <m:oMath>
        <m:r>
          <w:rPr>
            <w:rFonts w:ascii="Cambria Math" w:hAnsi="Cambria Math"/>
            <w:color w:val="auto"/>
            <w:lang w:val="en-US"/>
          </w:rPr>
          <m:t>∆</m:t>
        </m:r>
        <m:r>
          <w:rPr>
            <w:rFonts w:ascii="Cambria Math" w:hAnsi="Cambria Math"/>
            <w:color w:val="auto"/>
          </w:rPr>
          <m:t>S</m:t>
        </m:r>
        <m:r>
          <w:rPr>
            <w:rFonts w:ascii="Cambria Math" w:hAnsi="Cambria Math"/>
            <w:color w:val="auto"/>
            <w:lang w:val="en-US"/>
          </w:rPr>
          <m:t xml:space="preserve">° </m:t>
        </m:r>
        <m:r>
          <w:rPr>
            <w:rFonts w:ascii="Cambria Math" w:eastAsiaTheme="minorEastAsia" w:hAnsi="Cambria Math"/>
            <w:color w:val="auto"/>
            <w:lang w:val="en-US"/>
          </w:rPr>
          <m:t>=</m:t>
        </m:r>
        <m:f>
          <m:fPr>
            <m:ctrlPr>
              <w:rPr>
                <w:rFonts w:ascii="Cambria Math" w:eastAsiaTheme="minorEastAsia" w:hAnsi="Cambria Math"/>
                <w:i/>
                <w:color w:val="auto"/>
              </w:rPr>
            </m:ctrlPr>
          </m:fPr>
          <m:num>
            <m:r>
              <w:rPr>
                <w:rFonts w:ascii="Cambria Math" w:eastAsiaTheme="minorEastAsia" w:hAnsi="Cambria Math"/>
                <w:color w:val="auto"/>
                <w:lang w:val="en-US"/>
              </w:rPr>
              <m:t>1</m:t>
            </m:r>
          </m:num>
          <m:den>
            <m:r>
              <w:rPr>
                <w:rFonts w:ascii="Cambria Math" w:eastAsiaTheme="minorEastAsia" w:hAnsi="Cambria Math"/>
                <w:color w:val="auto"/>
              </w:rPr>
              <m:t>T</m:t>
            </m:r>
            <m:r>
              <w:rPr>
                <w:rFonts w:ascii="Cambria Math" w:eastAsiaTheme="minorEastAsia" w:hAnsi="Cambria Math"/>
                <w:color w:val="auto"/>
                <w:lang w:val="en-US"/>
              </w:rPr>
              <m:t xml:space="preserve"> </m:t>
            </m:r>
          </m:den>
        </m:f>
        <m:r>
          <w:rPr>
            <w:rFonts w:ascii="Cambria Math" w:eastAsiaTheme="minorEastAsia" w:hAnsi="Cambria Math"/>
            <w:color w:val="auto"/>
            <w:lang w:val="en-US"/>
          </w:rPr>
          <m:t>((∆</m:t>
        </m:r>
        <m:r>
          <w:rPr>
            <w:rFonts w:ascii="Cambria Math" w:eastAsiaTheme="minorEastAsia" w:hAnsi="Cambria Math"/>
            <w:color w:val="auto"/>
          </w:rPr>
          <m:t>H</m:t>
        </m:r>
        <m:r>
          <m:rPr>
            <m:sty m:val="p"/>
          </m:rPr>
          <w:rPr>
            <w:rFonts w:ascii="Cambria Math" w:eastAsiaTheme="minorEastAsia" w:hAnsi="Cambria Math"/>
            <w:color w:val="auto"/>
            <w:vertAlign w:val="superscript"/>
            <w:lang w:val="en-US"/>
          </w:rPr>
          <m:t>°</m:t>
        </m:r>
        <m:r>
          <w:rPr>
            <w:rFonts w:ascii="Cambria Math" w:eastAsiaTheme="minorEastAsia" w:hAnsi="Cambria Math"/>
            <w:color w:val="auto"/>
            <w:lang w:val="en-US"/>
          </w:rPr>
          <m:t>-∆</m:t>
        </m:r>
        <m:r>
          <w:rPr>
            <w:rFonts w:ascii="Cambria Math" w:eastAsiaTheme="minorEastAsia" w:hAnsi="Cambria Math"/>
            <w:color w:val="auto"/>
          </w:rPr>
          <m:t>G</m:t>
        </m:r>
        <m:r>
          <m:rPr>
            <m:sty m:val="p"/>
          </m:rPr>
          <w:rPr>
            <w:rFonts w:ascii="Cambria Math" w:eastAsiaTheme="minorEastAsia" w:hAnsi="Cambria Math"/>
            <w:color w:val="auto"/>
            <w:vertAlign w:val="superscript"/>
            <w:lang w:val="en-US"/>
          </w:rPr>
          <m:t>°</m:t>
        </m:r>
        <m:r>
          <m:rPr>
            <m:sty m:val="p"/>
          </m:rPr>
          <w:rPr>
            <w:rFonts w:ascii="Cambria Math"/>
            <w:color w:val="auto"/>
            <w:lang w:val="en-US"/>
          </w:rPr>
          <m:t>)</m:t>
        </m:r>
      </m:oMath>
      <w:r w:rsidRPr="00634232">
        <w:rPr>
          <w:rFonts w:eastAsiaTheme="minorEastAsia"/>
          <w:color w:val="auto"/>
          <w:lang w:val="en-US"/>
        </w:rPr>
        <w:tab/>
      </w:r>
      <w:r w:rsidRPr="00634232">
        <w:rPr>
          <w:rFonts w:eastAsiaTheme="minorEastAsia"/>
          <w:color w:val="auto"/>
          <w:lang w:val="en-US"/>
        </w:rPr>
        <w:tab/>
        <w:t>(4)</w:t>
      </w:r>
    </w:p>
    <w:p w14:paraId="0C317B31" w14:textId="77777777" w:rsidR="00C135BE" w:rsidRPr="00634232" w:rsidRDefault="00C135BE" w:rsidP="005529EC">
      <w:pPr>
        <w:spacing w:line="360" w:lineRule="auto"/>
        <w:rPr>
          <w:rFonts w:ascii="Times New Roman" w:hAnsi="Times New Roman" w:cs="Times New Roman"/>
          <w:b/>
          <w:sz w:val="24"/>
          <w:szCs w:val="24"/>
          <w:lang w:val="en-US"/>
        </w:rPr>
      </w:pPr>
    </w:p>
    <w:p w14:paraId="614FBB8C" w14:textId="77777777" w:rsidR="005529EC" w:rsidRPr="00634232" w:rsidRDefault="007E47A4" w:rsidP="005529EC">
      <w:pPr>
        <w:spacing w:line="360" w:lineRule="auto"/>
        <w:rPr>
          <w:rFonts w:ascii="Times New Roman" w:hAnsi="Times New Roman" w:cs="Times New Roman"/>
          <w:b/>
          <w:sz w:val="24"/>
          <w:szCs w:val="24"/>
          <w:lang w:val="en-US"/>
        </w:rPr>
      </w:pPr>
      <w:r w:rsidRPr="00634232">
        <w:rPr>
          <w:rFonts w:ascii="Times New Roman" w:hAnsi="Times New Roman" w:cs="Times New Roman"/>
          <w:b/>
          <w:sz w:val="24"/>
          <w:szCs w:val="24"/>
          <w:lang w:val="en-US"/>
        </w:rPr>
        <w:t xml:space="preserve">3. </w:t>
      </w:r>
      <w:r w:rsidR="00FA4D9D" w:rsidRPr="00634232">
        <w:rPr>
          <w:rFonts w:ascii="Times New Roman" w:hAnsi="Times New Roman" w:cs="Times New Roman"/>
          <w:b/>
          <w:sz w:val="24"/>
          <w:szCs w:val="24"/>
          <w:lang w:val="en-US"/>
        </w:rPr>
        <w:t xml:space="preserve">RESULTS AND DISCUSSION </w:t>
      </w:r>
    </w:p>
    <w:p w14:paraId="4ADAE544" w14:textId="77777777" w:rsidR="00082BAA" w:rsidRPr="00634232" w:rsidRDefault="00082BAA" w:rsidP="00082BAA">
      <w:pPr>
        <w:spacing w:after="0" w:line="360" w:lineRule="auto"/>
        <w:jc w:val="both"/>
        <w:rPr>
          <w:rFonts w:ascii="Times New Roman" w:hAnsi="Times New Roman" w:cs="Times New Roman"/>
          <w:b/>
          <w:sz w:val="24"/>
          <w:szCs w:val="24"/>
          <w:lang w:val="en-US"/>
        </w:rPr>
      </w:pPr>
      <w:r w:rsidRPr="00634232">
        <w:rPr>
          <w:rFonts w:ascii="Times New Roman" w:hAnsi="Times New Roman" w:cs="Times New Roman"/>
          <w:b/>
          <w:sz w:val="24"/>
          <w:szCs w:val="24"/>
          <w:lang w:val="en-US"/>
        </w:rPr>
        <w:t xml:space="preserve">3.1 Effect of dicofol concentration </w:t>
      </w:r>
    </w:p>
    <w:p w14:paraId="4A9A41C3" w14:textId="77777777" w:rsidR="0065059A" w:rsidRPr="00634232" w:rsidRDefault="00082BAA" w:rsidP="0065059A">
      <w:pPr>
        <w:spacing w:after="0" w:line="360" w:lineRule="auto"/>
        <w:jc w:val="both"/>
        <w:rPr>
          <w:rFonts w:ascii="Times New Roman" w:hAnsi="Times New Roman" w:cs="Times New Roman"/>
          <w:sz w:val="24"/>
          <w:szCs w:val="24"/>
        </w:rPr>
      </w:pPr>
      <w:r w:rsidRPr="00634232">
        <w:rPr>
          <w:rFonts w:ascii="Times New Roman" w:hAnsi="Times New Roman" w:cs="Times New Roman"/>
          <w:sz w:val="24"/>
          <w:szCs w:val="24"/>
        </w:rPr>
        <w:t xml:space="preserve">The </w:t>
      </w:r>
      <w:proofErr w:type="spellStart"/>
      <w:r w:rsidRPr="00634232">
        <w:rPr>
          <w:rFonts w:ascii="Times New Roman" w:hAnsi="Times New Roman" w:cs="Times New Roman"/>
          <w:sz w:val="24"/>
          <w:szCs w:val="24"/>
        </w:rPr>
        <w:t>assay</w:t>
      </w:r>
      <w:proofErr w:type="spellEnd"/>
      <w:r w:rsidRPr="00634232">
        <w:rPr>
          <w:rFonts w:ascii="Times New Roman" w:hAnsi="Times New Roman" w:cs="Times New Roman"/>
          <w:sz w:val="24"/>
          <w:szCs w:val="24"/>
        </w:rPr>
        <w:t xml:space="preserve"> process </w:t>
      </w:r>
      <w:proofErr w:type="spellStart"/>
      <w:r w:rsidRPr="00634232">
        <w:rPr>
          <w:rFonts w:ascii="Times New Roman" w:hAnsi="Times New Roman" w:cs="Times New Roman"/>
          <w:sz w:val="24"/>
          <w:szCs w:val="24"/>
        </w:rPr>
        <w:t>involves</w:t>
      </w:r>
      <w:proofErr w:type="spellEnd"/>
      <w:r w:rsidRPr="00634232">
        <w:rPr>
          <w:rFonts w:ascii="Times New Roman" w:hAnsi="Times New Roman" w:cs="Times New Roman"/>
          <w:sz w:val="24"/>
          <w:szCs w:val="24"/>
        </w:rPr>
        <w:t xml:space="preserve"> the </w:t>
      </w:r>
      <w:proofErr w:type="spellStart"/>
      <w:r w:rsidRPr="00634232">
        <w:rPr>
          <w:rFonts w:ascii="Times New Roman" w:hAnsi="Times New Roman" w:cs="Times New Roman"/>
          <w:sz w:val="24"/>
          <w:szCs w:val="24"/>
        </w:rPr>
        <w:t>gradual</w:t>
      </w:r>
      <w:proofErr w:type="spellEnd"/>
      <w:r w:rsidRPr="00634232">
        <w:rPr>
          <w:rFonts w:ascii="Times New Roman" w:hAnsi="Times New Roman" w:cs="Times New Roman"/>
          <w:sz w:val="24"/>
          <w:szCs w:val="24"/>
        </w:rPr>
        <w:t xml:space="preserve"> addition of the surfactant to a solution </w:t>
      </w:r>
      <w:proofErr w:type="spellStart"/>
      <w:r w:rsidRPr="00634232">
        <w:rPr>
          <w:rFonts w:ascii="Times New Roman" w:hAnsi="Times New Roman" w:cs="Times New Roman"/>
          <w:sz w:val="24"/>
          <w:szCs w:val="24"/>
        </w:rPr>
        <w:t>containing</w:t>
      </w:r>
      <w:proofErr w:type="spellEnd"/>
      <w:r w:rsidRPr="00634232">
        <w:rPr>
          <w:rFonts w:ascii="Times New Roman" w:hAnsi="Times New Roman" w:cs="Times New Roman"/>
          <w:sz w:val="24"/>
          <w:szCs w:val="24"/>
        </w:rPr>
        <w:t xml:space="preserve"> a </w:t>
      </w:r>
      <w:proofErr w:type="spellStart"/>
      <w:r w:rsidRPr="00634232">
        <w:rPr>
          <w:rFonts w:ascii="Times New Roman" w:hAnsi="Times New Roman" w:cs="Times New Roman"/>
          <w:sz w:val="24"/>
          <w:szCs w:val="24"/>
        </w:rPr>
        <w:t>fixed</w:t>
      </w:r>
      <w:proofErr w:type="spellEnd"/>
      <w:r w:rsidRPr="00634232">
        <w:rPr>
          <w:rFonts w:ascii="Times New Roman" w:hAnsi="Times New Roman" w:cs="Times New Roman"/>
          <w:sz w:val="24"/>
          <w:szCs w:val="24"/>
        </w:rPr>
        <w:t xml:space="preserve"> concentration of dicofol. This process </w:t>
      </w:r>
      <w:proofErr w:type="spellStart"/>
      <w:r w:rsidRPr="00634232">
        <w:rPr>
          <w:rFonts w:ascii="Times New Roman" w:hAnsi="Times New Roman" w:cs="Times New Roman"/>
          <w:sz w:val="24"/>
          <w:szCs w:val="24"/>
        </w:rPr>
        <w:t>is</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carried</w:t>
      </w:r>
      <w:proofErr w:type="spellEnd"/>
      <w:r w:rsidRPr="00634232">
        <w:rPr>
          <w:rFonts w:ascii="Times New Roman" w:hAnsi="Times New Roman" w:cs="Times New Roman"/>
          <w:sz w:val="24"/>
          <w:szCs w:val="24"/>
        </w:rPr>
        <w:t xml:space="preserve"> out </w:t>
      </w:r>
      <w:proofErr w:type="spellStart"/>
      <w:r w:rsidRPr="00634232">
        <w:rPr>
          <w:rFonts w:ascii="Times New Roman" w:hAnsi="Times New Roman" w:cs="Times New Roman"/>
          <w:sz w:val="24"/>
          <w:szCs w:val="24"/>
        </w:rPr>
        <w:t>using</w:t>
      </w:r>
      <w:proofErr w:type="spellEnd"/>
      <w:r w:rsidRPr="00634232">
        <w:rPr>
          <w:rFonts w:ascii="Times New Roman" w:hAnsi="Times New Roman" w:cs="Times New Roman"/>
          <w:sz w:val="24"/>
          <w:szCs w:val="24"/>
        </w:rPr>
        <w:t xml:space="preserve"> a micropipette at an </w:t>
      </w:r>
      <w:r w:rsidR="00C135BE" w:rsidRPr="00634232">
        <w:rPr>
          <w:rFonts w:ascii="Times New Roman" w:hAnsi="Times New Roman" w:cs="Times New Roman"/>
          <w:sz w:val="24"/>
          <w:szCs w:val="24"/>
        </w:rPr>
        <w:t>room</w:t>
      </w:r>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temperature</w:t>
      </w:r>
      <w:proofErr w:type="spellEnd"/>
      <w:r w:rsidRPr="00634232">
        <w:rPr>
          <w:rFonts w:ascii="Times New Roman" w:hAnsi="Times New Roman" w:cs="Times New Roman"/>
          <w:sz w:val="24"/>
          <w:szCs w:val="24"/>
        </w:rPr>
        <w:t xml:space="preserve"> of 303</w:t>
      </w:r>
      <w:r w:rsidR="00634232">
        <w:rPr>
          <w:rFonts w:ascii="Times New Roman" w:hAnsi="Times New Roman" w:cs="Times New Roman"/>
          <w:sz w:val="24"/>
          <w:szCs w:val="24"/>
        </w:rPr>
        <w:t>.</w:t>
      </w:r>
      <w:r w:rsidR="00C135BE" w:rsidRPr="00634232">
        <w:rPr>
          <w:rFonts w:ascii="Times New Roman" w:hAnsi="Times New Roman" w:cs="Times New Roman"/>
          <w:sz w:val="24"/>
          <w:szCs w:val="24"/>
        </w:rPr>
        <w:t>15</w:t>
      </w:r>
      <w:r w:rsidRPr="00634232">
        <w:rPr>
          <w:rFonts w:ascii="Times New Roman" w:hAnsi="Times New Roman" w:cs="Times New Roman"/>
          <w:sz w:val="24"/>
          <w:szCs w:val="24"/>
        </w:rPr>
        <w:t xml:space="preserve"> K. This </w:t>
      </w:r>
      <w:proofErr w:type="spellStart"/>
      <w:r w:rsidRPr="00634232">
        <w:rPr>
          <w:rFonts w:ascii="Times New Roman" w:hAnsi="Times New Roman" w:cs="Times New Roman"/>
          <w:sz w:val="24"/>
          <w:szCs w:val="24"/>
        </w:rPr>
        <w:t>assay</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was</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performed</w:t>
      </w:r>
      <w:proofErr w:type="spellEnd"/>
      <w:r w:rsidRPr="00634232">
        <w:rPr>
          <w:rFonts w:ascii="Times New Roman" w:hAnsi="Times New Roman" w:cs="Times New Roman"/>
          <w:sz w:val="24"/>
          <w:szCs w:val="24"/>
        </w:rPr>
        <w:t xml:space="preserve"> at </w:t>
      </w:r>
      <w:proofErr w:type="spellStart"/>
      <w:r w:rsidRPr="00634232">
        <w:rPr>
          <w:rFonts w:ascii="Times New Roman" w:hAnsi="Times New Roman" w:cs="Times New Roman"/>
          <w:sz w:val="24"/>
          <w:szCs w:val="24"/>
        </w:rPr>
        <w:t>various</w:t>
      </w:r>
      <w:proofErr w:type="spellEnd"/>
      <w:r w:rsidRPr="00634232">
        <w:rPr>
          <w:rFonts w:ascii="Times New Roman" w:hAnsi="Times New Roman" w:cs="Times New Roman"/>
          <w:sz w:val="24"/>
          <w:szCs w:val="24"/>
        </w:rPr>
        <w:t xml:space="preserve"> initial dicofol concentrat</w:t>
      </w:r>
      <w:r w:rsidR="00DF5B05" w:rsidRPr="00634232">
        <w:rPr>
          <w:rFonts w:ascii="Times New Roman" w:hAnsi="Times New Roman" w:cs="Times New Roman"/>
          <w:sz w:val="24"/>
          <w:szCs w:val="24"/>
        </w:rPr>
        <w:t xml:space="preserve">ions (0, 5, 10, 15, and 20 µmol </w:t>
      </w:r>
      <w:r w:rsidRPr="00634232">
        <w:rPr>
          <w:rFonts w:ascii="Times New Roman" w:hAnsi="Times New Roman" w:cs="Times New Roman"/>
          <w:sz w:val="24"/>
          <w:szCs w:val="24"/>
        </w:rPr>
        <w:t>L</w:t>
      </w:r>
      <w:r w:rsidR="00DF5B05" w:rsidRPr="00634232">
        <w:rPr>
          <w:rFonts w:ascii="Times New Roman" w:hAnsi="Times New Roman" w:cs="Times New Roman"/>
          <w:sz w:val="24"/>
          <w:szCs w:val="24"/>
          <w:vertAlign w:val="superscript"/>
        </w:rPr>
        <w:t>-1</w:t>
      </w:r>
      <w:r w:rsidRPr="00634232">
        <w:rPr>
          <w:rFonts w:ascii="Times New Roman" w:hAnsi="Times New Roman" w:cs="Times New Roman"/>
          <w:sz w:val="24"/>
          <w:szCs w:val="24"/>
        </w:rPr>
        <w:t xml:space="preserve">). For </w:t>
      </w:r>
      <w:proofErr w:type="spellStart"/>
      <w:r w:rsidRPr="00634232">
        <w:rPr>
          <w:rFonts w:ascii="Times New Roman" w:hAnsi="Times New Roman" w:cs="Times New Roman"/>
          <w:sz w:val="24"/>
          <w:szCs w:val="24"/>
        </w:rPr>
        <w:t>each</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fixed</w:t>
      </w:r>
      <w:proofErr w:type="spellEnd"/>
      <w:r w:rsidRPr="00634232">
        <w:rPr>
          <w:rFonts w:ascii="Times New Roman" w:hAnsi="Times New Roman" w:cs="Times New Roman"/>
          <w:sz w:val="24"/>
          <w:szCs w:val="24"/>
        </w:rPr>
        <w:t xml:space="preserve"> dosage of dicofol, the </w:t>
      </w:r>
      <w:r w:rsidR="00DF3D87" w:rsidRPr="00634232">
        <w:rPr>
          <w:rFonts w:ascii="Times New Roman" w:hAnsi="Times New Roman" w:cs="Times New Roman"/>
          <w:sz w:val="24"/>
          <w:szCs w:val="24"/>
        </w:rPr>
        <w:t>CMC</w:t>
      </w:r>
      <w:r w:rsidRPr="00634232">
        <w:rPr>
          <w:rFonts w:ascii="Times New Roman" w:hAnsi="Times New Roman" w:cs="Times New Roman"/>
          <w:sz w:val="24"/>
          <w:szCs w:val="24"/>
        </w:rPr>
        <w:t xml:space="preserve"> of</w:t>
      </w:r>
      <w:r w:rsidR="00C60B9E" w:rsidRPr="00634232">
        <w:rPr>
          <w:rFonts w:ascii="Times New Roman" w:hAnsi="Times New Roman" w:cs="Times New Roman"/>
          <w:sz w:val="24"/>
          <w:szCs w:val="24"/>
        </w:rPr>
        <w:t xml:space="preserve"> the surfactant </w:t>
      </w:r>
      <w:proofErr w:type="spellStart"/>
      <w:r w:rsidR="00C60B9E" w:rsidRPr="00634232">
        <w:rPr>
          <w:rFonts w:ascii="Times New Roman" w:hAnsi="Times New Roman" w:cs="Times New Roman"/>
          <w:sz w:val="24"/>
          <w:szCs w:val="24"/>
        </w:rPr>
        <w:t>was</w:t>
      </w:r>
      <w:proofErr w:type="spellEnd"/>
      <w:r w:rsidR="00C60B9E" w:rsidRPr="00634232">
        <w:rPr>
          <w:rFonts w:ascii="Times New Roman" w:hAnsi="Times New Roman" w:cs="Times New Roman"/>
          <w:sz w:val="24"/>
          <w:szCs w:val="24"/>
        </w:rPr>
        <w:t xml:space="preserve"> </w:t>
      </w:r>
      <w:proofErr w:type="spellStart"/>
      <w:r w:rsidR="00C60B9E" w:rsidRPr="00634232">
        <w:rPr>
          <w:rFonts w:ascii="Times New Roman" w:hAnsi="Times New Roman" w:cs="Times New Roman"/>
          <w:sz w:val="24"/>
          <w:szCs w:val="24"/>
        </w:rPr>
        <w:t>determined</w:t>
      </w:r>
      <w:proofErr w:type="spellEnd"/>
      <w:r w:rsidRPr="00634232">
        <w:rPr>
          <w:rFonts w:ascii="Times New Roman" w:hAnsi="Times New Roman" w:cs="Times New Roman"/>
          <w:sz w:val="24"/>
          <w:szCs w:val="24"/>
        </w:rPr>
        <w:t>.</w:t>
      </w:r>
      <w:r w:rsidR="00D0116E"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After</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conducting</w:t>
      </w:r>
      <w:proofErr w:type="spellEnd"/>
      <w:r w:rsidRPr="00634232">
        <w:rPr>
          <w:rFonts w:ascii="Times New Roman" w:hAnsi="Times New Roman" w:cs="Times New Roman"/>
          <w:sz w:val="24"/>
          <w:szCs w:val="24"/>
        </w:rPr>
        <w:t xml:space="preserve"> a </w:t>
      </w:r>
      <w:proofErr w:type="spellStart"/>
      <w:r w:rsidRPr="00634232">
        <w:rPr>
          <w:rFonts w:ascii="Times New Roman" w:hAnsi="Times New Roman" w:cs="Times New Roman"/>
          <w:sz w:val="24"/>
          <w:szCs w:val="24"/>
        </w:rPr>
        <w:t>thorough</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analysis</w:t>
      </w:r>
      <w:proofErr w:type="spellEnd"/>
      <w:r w:rsidRPr="00634232">
        <w:rPr>
          <w:rFonts w:ascii="Times New Roman" w:hAnsi="Times New Roman" w:cs="Times New Roman"/>
          <w:sz w:val="24"/>
          <w:szCs w:val="24"/>
        </w:rPr>
        <w:t xml:space="preserve"> of the </w:t>
      </w:r>
      <w:proofErr w:type="spellStart"/>
      <w:r w:rsidRPr="00634232">
        <w:rPr>
          <w:rFonts w:ascii="Times New Roman" w:hAnsi="Times New Roman" w:cs="Times New Roman"/>
          <w:sz w:val="24"/>
          <w:szCs w:val="24"/>
        </w:rPr>
        <w:t>conductivity</w:t>
      </w:r>
      <w:proofErr w:type="spellEnd"/>
      <w:r w:rsidRPr="00634232">
        <w:rPr>
          <w:rFonts w:ascii="Times New Roman" w:hAnsi="Times New Roman" w:cs="Times New Roman"/>
          <w:sz w:val="24"/>
          <w:szCs w:val="24"/>
        </w:rPr>
        <w:t xml:space="preserve"> variation </w:t>
      </w:r>
      <w:proofErr w:type="spellStart"/>
      <w:r w:rsidRPr="00634232">
        <w:rPr>
          <w:rFonts w:ascii="Times New Roman" w:hAnsi="Times New Roman" w:cs="Times New Roman"/>
          <w:sz w:val="24"/>
          <w:szCs w:val="24"/>
        </w:rPr>
        <w:t>curve</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we</w:t>
      </w:r>
      <w:proofErr w:type="spellEnd"/>
      <w:r w:rsidRPr="00634232">
        <w:rPr>
          <w:rFonts w:ascii="Times New Roman" w:hAnsi="Times New Roman" w:cs="Times New Roman"/>
          <w:sz w:val="24"/>
          <w:szCs w:val="24"/>
        </w:rPr>
        <w:t xml:space="preserve"> have </w:t>
      </w:r>
      <w:proofErr w:type="spellStart"/>
      <w:r w:rsidRPr="00634232">
        <w:rPr>
          <w:rFonts w:ascii="Times New Roman" w:hAnsi="Times New Roman" w:cs="Times New Roman"/>
          <w:sz w:val="24"/>
          <w:szCs w:val="24"/>
        </w:rPr>
        <w:t>arrived</w:t>
      </w:r>
      <w:proofErr w:type="spellEnd"/>
      <w:r w:rsidRPr="00634232">
        <w:rPr>
          <w:rFonts w:ascii="Times New Roman" w:hAnsi="Times New Roman" w:cs="Times New Roman"/>
          <w:sz w:val="24"/>
          <w:szCs w:val="24"/>
        </w:rPr>
        <w:t xml:space="preserve"> at </w:t>
      </w:r>
      <w:proofErr w:type="spellStart"/>
      <w:r w:rsidRPr="00634232">
        <w:rPr>
          <w:rFonts w:ascii="Times New Roman" w:hAnsi="Times New Roman" w:cs="Times New Roman"/>
          <w:sz w:val="24"/>
          <w:szCs w:val="24"/>
        </w:rPr>
        <w:t>our</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findings</w:t>
      </w:r>
      <w:proofErr w:type="spellEnd"/>
      <w:r w:rsidRPr="00634232">
        <w:rPr>
          <w:rFonts w:ascii="Times New Roman" w:hAnsi="Times New Roman" w:cs="Times New Roman"/>
          <w:sz w:val="24"/>
          <w:szCs w:val="24"/>
        </w:rPr>
        <w:t xml:space="preserve">. This </w:t>
      </w:r>
      <w:proofErr w:type="spellStart"/>
      <w:r w:rsidRPr="00634232">
        <w:rPr>
          <w:rFonts w:ascii="Times New Roman" w:hAnsi="Times New Roman" w:cs="Times New Roman"/>
          <w:sz w:val="24"/>
          <w:szCs w:val="24"/>
        </w:rPr>
        <w:t>is</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divided</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into</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three</w:t>
      </w:r>
      <w:proofErr w:type="spellEnd"/>
      <w:r w:rsidRPr="00634232">
        <w:rPr>
          <w:rFonts w:ascii="Times New Roman" w:hAnsi="Times New Roman" w:cs="Times New Roman"/>
          <w:sz w:val="24"/>
          <w:szCs w:val="24"/>
        </w:rPr>
        <w:t xml:space="preserve"> parts. First, </w:t>
      </w:r>
      <w:proofErr w:type="spellStart"/>
      <w:r w:rsidRPr="00634232">
        <w:rPr>
          <w:rFonts w:ascii="Times New Roman" w:hAnsi="Times New Roman" w:cs="Times New Roman"/>
          <w:sz w:val="24"/>
          <w:szCs w:val="24"/>
        </w:rPr>
        <w:t>we</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observed</w:t>
      </w:r>
      <w:proofErr w:type="spellEnd"/>
      <w:r w:rsidRPr="00634232">
        <w:rPr>
          <w:rFonts w:ascii="Times New Roman" w:hAnsi="Times New Roman" w:cs="Times New Roman"/>
          <w:sz w:val="24"/>
          <w:szCs w:val="24"/>
        </w:rPr>
        <w:t xml:space="preserve"> a </w:t>
      </w:r>
      <w:proofErr w:type="spellStart"/>
      <w:r w:rsidRPr="00634232">
        <w:rPr>
          <w:rFonts w:ascii="Times New Roman" w:hAnsi="Times New Roman" w:cs="Times New Roman"/>
          <w:sz w:val="24"/>
          <w:szCs w:val="24"/>
        </w:rPr>
        <w:t>slight</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increase</w:t>
      </w:r>
      <w:proofErr w:type="spellEnd"/>
      <w:r w:rsidRPr="00634232">
        <w:rPr>
          <w:rFonts w:ascii="Times New Roman" w:hAnsi="Times New Roman" w:cs="Times New Roman"/>
          <w:sz w:val="24"/>
          <w:szCs w:val="24"/>
        </w:rPr>
        <w:t xml:space="preserve"> in </w:t>
      </w:r>
      <w:proofErr w:type="spellStart"/>
      <w:r w:rsidRPr="00634232">
        <w:rPr>
          <w:rFonts w:ascii="Times New Roman" w:hAnsi="Times New Roman" w:cs="Times New Roman"/>
          <w:sz w:val="24"/>
          <w:szCs w:val="24"/>
        </w:rPr>
        <w:t>specific</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conductivity</w:t>
      </w:r>
      <w:proofErr w:type="spellEnd"/>
      <w:r w:rsidRPr="00634232">
        <w:rPr>
          <w:rFonts w:ascii="Times New Roman" w:hAnsi="Times New Roman" w:cs="Times New Roman"/>
          <w:sz w:val="24"/>
          <w:szCs w:val="24"/>
        </w:rPr>
        <w:t xml:space="preserve"> as a </w:t>
      </w:r>
      <w:proofErr w:type="spellStart"/>
      <w:r w:rsidRPr="00634232">
        <w:rPr>
          <w:rFonts w:ascii="Times New Roman" w:hAnsi="Times New Roman" w:cs="Times New Roman"/>
          <w:sz w:val="24"/>
          <w:szCs w:val="24"/>
        </w:rPr>
        <w:t>function</w:t>
      </w:r>
      <w:proofErr w:type="spellEnd"/>
      <w:r w:rsidRPr="00634232">
        <w:rPr>
          <w:rFonts w:ascii="Times New Roman" w:hAnsi="Times New Roman" w:cs="Times New Roman"/>
          <w:sz w:val="24"/>
          <w:szCs w:val="24"/>
        </w:rPr>
        <w:t xml:space="preserve"> of surfactant concentration. As part of the process of </w:t>
      </w:r>
      <w:proofErr w:type="spellStart"/>
      <w:r w:rsidRPr="00634232">
        <w:rPr>
          <w:rFonts w:ascii="Times New Roman" w:hAnsi="Times New Roman" w:cs="Times New Roman"/>
          <w:sz w:val="24"/>
          <w:szCs w:val="24"/>
        </w:rPr>
        <w:t>dissolving</w:t>
      </w:r>
      <w:proofErr w:type="spellEnd"/>
      <w:r w:rsidRPr="00634232">
        <w:rPr>
          <w:rFonts w:ascii="Times New Roman" w:hAnsi="Times New Roman" w:cs="Times New Roman"/>
          <w:sz w:val="24"/>
          <w:szCs w:val="24"/>
        </w:rPr>
        <w:t xml:space="preserve"> the surfactant in water, the formation of simple </w:t>
      </w:r>
      <w:proofErr w:type="spellStart"/>
      <w:r w:rsidRPr="00634232">
        <w:rPr>
          <w:rFonts w:ascii="Times New Roman" w:hAnsi="Times New Roman" w:cs="Times New Roman"/>
          <w:sz w:val="24"/>
          <w:szCs w:val="24"/>
        </w:rPr>
        <w:t>monomers</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is</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observed</w:t>
      </w:r>
      <w:proofErr w:type="spellEnd"/>
      <w:r w:rsidRPr="00634232">
        <w:rPr>
          <w:rFonts w:ascii="Times New Roman" w:hAnsi="Times New Roman" w:cs="Times New Roman"/>
          <w:sz w:val="24"/>
          <w:szCs w:val="24"/>
        </w:rPr>
        <w:t xml:space="preserve">. The latter are </w:t>
      </w:r>
      <w:proofErr w:type="spellStart"/>
      <w:r w:rsidRPr="00634232">
        <w:rPr>
          <w:rFonts w:ascii="Times New Roman" w:hAnsi="Times New Roman" w:cs="Times New Roman"/>
          <w:sz w:val="24"/>
          <w:szCs w:val="24"/>
        </w:rPr>
        <w:t>distinguished</w:t>
      </w:r>
      <w:proofErr w:type="spellEnd"/>
      <w:r w:rsidRPr="00634232">
        <w:rPr>
          <w:rFonts w:ascii="Times New Roman" w:hAnsi="Times New Roman" w:cs="Times New Roman"/>
          <w:sz w:val="24"/>
          <w:szCs w:val="24"/>
        </w:rPr>
        <w:t xml:space="preserve"> by an </w:t>
      </w:r>
      <w:proofErr w:type="spellStart"/>
      <w:r w:rsidRPr="00634232">
        <w:rPr>
          <w:rFonts w:ascii="Times New Roman" w:hAnsi="Times New Roman" w:cs="Times New Roman"/>
          <w:sz w:val="24"/>
          <w:szCs w:val="24"/>
        </w:rPr>
        <w:t>accumulated</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mobility</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compared</w:t>
      </w:r>
      <w:proofErr w:type="spellEnd"/>
      <w:r w:rsidRPr="00634232">
        <w:rPr>
          <w:rFonts w:ascii="Times New Roman" w:hAnsi="Times New Roman" w:cs="Times New Roman"/>
          <w:sz w:val="24"/>
          <w:szCs w:val="24"/>
        </w:rPr>
        <w:t xml:space="preserve"> to </w:t>
      </w:r>
      <w:proofErr w:type="spellStart"/>
      <w:r w:rsidRPr="00634232">
        <w:rPr>
          <w:rFonts w:ascii="Times New Roman" w:hAnsi="Times New Roman" w:cs="Times New Roman"/>
          <w:sz w:val="24"/>
          <w:szCs w:val="24"/>
        </w:rPr>
        <w:t>their</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aggregate</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form</w:t>
      </w:r>
      <w:proofErr w:type="spellEnd"/>
      <w:r w:rsidRPr="00634232">
        <w:rPr>
          <w:rFonts w:ascii="Times New Roman" w:hAnsi="Times New Roman" w:cs="Times New Roman"/>
          <w:sz w:val="24"/>
          <w:szCs w:val="24"/>
        </w:rPr>
        <w:t xml:space="preserve"> </w:t>
      </w:r>
      <w:r w:rsidR="00C96CB1">
        <w:rPr>
          <w:rFonts w:ascii="Times New Roman" w:hAnsi="Times New Roman" w:cs="Times New Roman"/>
          <w:color w:val="0000CC"/>
          <w:sz w:val="24"/>
          <w:szCs w:val="24"/>
        </w:rPr>
        <w:t>(</w:t>
      </w:r>
      <w:proofErr w:type="spellStart"/>
      <w:r w:rsidR="00C96CB1">
        <w:rPr>
          <w:rFonts w:ascii="Times New Roman" w:hAnsi="Times New Roman" w:cs="Times New Roman"/>
          <w:color w:val="0000CC"/>
          <w:sz w:val="24"/>
          <w:szCs w:val="24"/>
        </w:rPr>
        <w:t>Sambou</w:t>
      </w:r>
      <w:proofErr w:type="spellEnd"/>
      <w:r w:rsidR="00C96CB1">
        <w:rPr>
          <w:rFonts w:ascii="Times New Roman" w:hAnsi="Times New Roman" w:cs="Times New Roman"/>
          <w:color w:val="0000CC"/>
          <w:sz w:val="24"/>
          <w:szCs w:val="24"/>
        </w:rPr>
        <w:t xml:space="preserve"> et al., 2025)</w:t>
      </w:r>
      <w:r w:rsidRPr="00634232">
        <w:rPr>
          <w:rFonts w:ascii="Times New Roman" w:hAnsi="Times New Roman" w:cs="Times New Roman"/>
          <w:sz w:val="24"/>
          <w:szCs w:val="24"/>
        </w:rPr>
        <w:t>.</w:t>
      </w:r>
      <w:r w:rsidR="00DF3D87" w:rsidRPr="00634232">
        <w:rPr>
          <w:rFonts w:ascii="Times New Roman" w:hAnsi="Times New Roman" w:cs="Times New Roman"/>
          <w:sz w:val="24"/>
          <w:szCs w:val="24"/>
        </w:rPr>
        <w:t xml:space="preserve"> </w:t>
      </w:r>
      <w:r w:rsidRPr="00634232">
        <w:rPr>
          <w:rFonts w:ascii="Times New Roman" w:hAnsi="Times New Roman" w:cs="Times New Roman"/>
          <w:sz w:val="24"/>
          <w:szCs w:val="24"/>
        </w:rPr>
        <w:t xml:space="preserve">In the </w:t>
      </w:r>
      <w:proofErr w:type="spellStart"/>
      <w:r w:rsidRPr="00634232">
        <w:rPr>
          <w:rFonts w:ascii="Times New Roman" w:hAnsi="Times New Roman" w:cs="Times New Roman"/>
          <w:sz w:val="24"/>
          <w:szCs w:val="24"/>
        </w:rPr>
        <w:t>vicinity</w:t>
      </w:r>
      <w:proofErr w:type="spellEnd"/>
      <w:r w:rsidRPr="00634232">
        <w:rPr>
          <w:rFonts w:ascii="Times New Roman" w:hAnsi="Times New Roman" w:cs="Times New Roman"/>
          <w:sz w:val="24"/>
          <w:szCs w:val="24"/>
        </w:rPr>
        <w:t xml:space="preserve"> of the CMC, </w:t>
      </w:r>
      <w:proofErr w:type="spellStart"/>
      <w:r w:rsidRPr="00634232">
        <w:rPr>
          <w:rFonts w:ascii="Times New Roman" w:hAnsi="Times New Roman" w:cs="Times New Roman"/>
          <w:sz w:val="24"/>
          <w:szCs w:val="24"/>
        </w:rPr>
        <w:t>monomers</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gradually</w:t>
      </w:r>
      <w:proofErr w:type="spellEnd"/>
      <w:r w:rsidRPr="00634232">
        <w:rPr>
          <w:rFonts w:ascii="Times New Roman" w:hAnsi="Times New Roman" w:cs="Times New Roman"/>
          <w:sz w:val="24"/>
          <w:szCs w:val="24"/>
        </w:rPr>
        <w:t xml:space="preserve"> assemble to </w:t>
      </w:r>
      <w:proofErr w:type="spellStart"/>
      <w:r w:rsidRPr="00634232">
        <w:rPr>
          <w:rFonts w:ascii="Times New Roman" w:hAnsi="Times New Roman" w:cs="Times New Roman"/>
          <w:sz w:val="24"/>
          <w:szCs w:val="24"/>
        </w:rPr>
        <w:t>form</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micellar</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aggregates</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with</w:t>
      </w:r>
      <w:proofErr w:type="spellEnd"/>
      <w:r w:rsidRPr="00634232">
        <w:rPr>
          <w:rFonts w:ascii="Times New Roman" w:hAnsi="Times New Roman" w:cs="Times New Roman"/>
          <w:sz w:val="24"/>
          <w:szCs w:val="24"/>
        </w:rPr>
        <w:t xml:space="preserve"> an </w:t>
      </w:r>
      <w:proofErr w:type="spellStart"/>
      <w:r w:rsidRPr="00634232">
        <w:rPr>
          <w:rFonts w:ascii="Times New Roman" w:hAnsi="Times New Roman" w:cs="Times New Roman"/>
          <w:sz w:val="24"/>
          <w:szCs w:val="24"/>
        </w:rPr>
        <w:t>approximate</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spherical</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shape</w:t>
      </w:r>
      <w:proofErr w:type="spellEnd"/>
      <w:r w:rsidRPr="00634232">
        <w:rPr>
          <w:rFonts w:ascii="Times New Roman" w:hAnsi="Times New Roman" w:cs="Times New Roman"/>
          <w:sz w:val="24"/>
          <w:szCs w:val="24"/>
        </w:rPr>
        <w:t xml:space="preserve">. At CMC, </w:t>
      </w:r>
      <w:proofErr w:type="spellStart"/>
      <w:r w:rsidRPr="00634232">
        <w:rPr>
          <w:rFonts w:ascii="Times New Roman" w:hAnsi="Times New Roman" w:cs="Times New Roman"/>
          <w:sz w:val="24"/>
          <w:szCs w:val="24"/>
        </w:rPr>
        <w:t>we</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observed</w:t>
      </w:r>
      <w:proofErr w:type="spellEnd"/>
      <w:r w:rsidRPr="00634232">
        <w:rPr>
          <w:rFonts w:ascii="Times New Roman" w:hAnsi="Times New Roman" w:cs="Times New Roman"/>
          <w:sz w:val="24"/>
          <w:szCs w:val="24"/>
        </w:rPr>
        <w:t xml:space="preserve"> a </w:t>
      </w:r>
      <w:proofErr w:type="spellStart"/>
      <w:r w:rsidRPr="00634232">
        <w:rPr>
          <w:rFonts w:ascii="Times New Roman" w:hAnsi="Times New Roman" w:cs="Times New Roman"/>
          <w:sz w:val="24"/>
          <w:szCs w:val="24"/>
        </w:rPr>
        <w:t>significant</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increase</w:t>
      </w:r>
      <w:proofErr w:type="spellEnd"/>
      <w:r w:rsidRPr="00634232">
        <w:rPr>
          <w:rFonts w:ascii="Times New Roman" w:hAnsi="Times New Roman" w:cs="Times New Roman"/>
          <w:sz w:val="24"/>
          <w:szCs w:val="24"/>
        </w:rPr>
        <w:t xml:space="preserve"> in </w:t>
      </w:r>
      <w:proofErr w:type="spellStart"/>
      <w:r w:rsidRPr="00634232">
        <w:rPr>
          <w:rFonts w:ascii="Times New Roman" w:hAnsi="Times New Roman" w:cs="Times New Roman"/>
          <w:sz w:val="24"/>
          <w:szCs w:val="24"/>
        </w:rPr>
        <w:t>specific</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conductivity</w:t>
      </w:r>
      <w:proofErr w:type="spellEnd"/>
      <w:r w:rsidRPr="00634232">
        <w:rPr>
          <w:rFonts w:ascii="Times New Roman" w:hAnsi="Times New Roman" w:cs="Times New Roman"/>
          <w:sz w:val="24"/>
          <w:szCs w:val="24"/>
        </w:rPr>
        <w:t xml:space="preserve">. </w:t>
      </w:r>
      <w:proofErr w:type="spellStart"/>
      <w:r w:rsidR="00DF3D87" w:rsidRPr="00634232">
        <w:rPr>
          <w:rFonts w:ascii="Times New Roman" w:hAnsi="Times New Roman" w:cs="Times New Roman"/>
          <w:sz w:val="24"/>
          <w:szCs w:val="24"/>
        </w:rPr>
        <w:t>W</w:t>
      </w:r>
      <w:r w:rsidRPr="00634232">
        <w:rPr>
          <w:rFonts w:ascii="Times New Roman" w:hAnsi="Times New Roman" w:cs="Times New Roman"/>
          <w:sz w:val="24"/>
          <w:szCs w:val="24"/>
        </w:rPr>
        <w:t>e</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observed</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that</w:t>
      </w:r>
      <w:proofErr w:type="spellEnd"/>
      <w:r w:rsidRPr="00634232">
        <w:rPr>
          <w:rFonts w:ascii="Times New Roman" w:hAnsi="Times New Roman" w:cs="Times New Roman"/>
          <w:sz w:val="24"/>
          <w:szCs w:val="24"/>
        </w:rPr>
        <w:t xml:space="preserve"> the </w:t>
      </w:r>
      <w:proofErr w:type="spellStart"/>
      <w:r w:rsidRPr="00634232">
        <w:rPr>
          <w:rFonts w:ascii="Times New Roman" w:hAnsi="Times New Roman" w:cs="Times New Roman"/>
          <w:sz w:val="24"/>
          <w:szCs w:val="24"/>
        </w:rPr>
        <w:t>linear</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increase</w:t>
      </w:r>
      <w:proofErr w:type="spellEnd"/>
      <w:r w:rsidRPr="00634232">
        <w:rPr>
          <w:rFonts w:ascii="Times New Roman" w:hAnsi="Times New Roman" w:cs="Times New Roman"/>
          <w:sz w:val="24"/>
          <w:szCs w:val="24"/>
        </w:rPr>
        <w:t xml:space="preserve"> in </w:t>
      </w:r>
      <w:proofErr w:type="spellStart"/>
      <w:r w:rsidRPr="00634232">
        <w:rPr>
          <w:rFonts w:ascii="Times New Roman" w:hAnsi="Times New Roman" w:cs="Times New Roman"/>
          <w:sz w:val="24"/>
          <w:szCs w:val="24"/>
        </w:rPr>
        <w:t>specific</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conductivity</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with</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increasing</w:t>
      </w:r>
      <w:proofErr w:type="spellEnd"/>
      <w:r w:rsidRPr="00634232">
        <w:rPr>
          <w:rFonts w:ascii="Times New Roman" w:hAnsi="Times New Roman" w:cs="Times New Roman"/>
          <w:sz w:val="24"/>
          <w:szCs w:val="24"/>
        </w:rPr>
        <w:t xml:space="preserve"> surfactant concentration continues </w:t>
      </w:r>
      <w:proofErr w:type="spellStart"/>
      <w:r w:rsidRPr="00634232">
        <w:rPr>
          <w:rFonts w:ascii="Times New Roman" w:hAnsi="Times New Roman" w:cs="Times New Roman"/>
          <w:sz w:val="24"/>
          <w:szCs w:val="24"/>
        </w:rPr>
        <w:t>with</w:t>
      </w:r>
      <w:proofErr w:type="spellEnd"/>
      <w:r w:rsidRPr="00634232">
        <w:rPr>
          <w:rFonts w:ascii="Times New Roman" w:hAnsi="Times New Roman" w:cs="Times New Roman"/>
          <w:sz w:val="24"/>
          <w:szCs w:val="24"/>
        </w:rPr>
        <w:t xml:space="preserve"> a </w:t>
      </w:r>
      <w:proofErr w:type="spellStart"/>
      <w:r w:rsidRPr="00634232">
        <w:rPr>
          <w:rFonts w:ascii="Times New Roman" w:hAnsi="Times New Roman" w:cs="Times New Roman"/>
          <w:sz w:val="24"/>
          <w:szCs w:val="24"/>
        </w:rPr>
        <w:t>lower</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slope</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after</w:t>
      </w:r>
      <w:proofErr w:type="spellEnd"/>
      <w:r w:rsidRPr="00634232">
        <w:rPr>
          <w:rFonts w:ascii="Times New Roman" w:hAnsi="Times New Roman" w:cs="Times New Roman"/>
          <w:sz w:val="24"/>
          <w:szCs w:val="24"/>
        </w:rPr>
        <w:t xml:space="preserve"> CMC. This </w:t>
      </w:r>
      <w:proofErr w:type="spellStart"/>
      <w:r w:rsidRPr="00634232">
        <w:rPr>
          <w:rFonts w:ascii="Times New Roman" w:hAnsi="Times New Roman" w:cs="Times New Roman"/>
          <w:sz w:val="24"/>
          <w:szCs w:val="24"/>
        </w:rPr>
        <w:t>approach</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resulted</w:t>
      </w:r>
      <w:proofErr w:type="spellEnd"/>
      <w:r w:rsidRPr="00634232">
        <w:rPr>
          <w:rFonts w:ascii="Times New Roman" w:hAnsi="Times New Roman" w:cs="Times New Roman"/>
          <w:sz w:val="24"/>
          <w:szCs w:val="24"/>
        </w:rPr>
        <w:t xml:space="preserve"> in a </w:t>
      </w:r>
      <w:proofErr w:type="spellStart"/>
      <w:r w:rsidRPr="00634232">
        <w:rPr>
          <w:rFonts w:ascii="Times New Roman" w:hAnsi="Times New Roman" w:cs="Times New Roman"/>
          <w:sz w:val="24"/>
          <w:szCs w:val="24"/>
        </w:rPr>
        <w:t>moderate</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increase</w:t>
      </w:r>
      <w:proofErr w:type="spellEnd"/>
      <w:r w:rsidRPr="00634232">
        <w:rPr>
          <w:rFonts w:ascii="Times New Roman" w:hAnsi="Times New Roman" w:cs="Times New Roman"/>
          <w:sz w:val="24"/>
          <w:szCs w:val="24"/>
        </w:rPr>
        <w:t xml:space="preserve"> in </w:t>
      </w:r>
      <w:proofErr w:type="spellStart"/>
      <w:r w:rsidRPr="00634232">
        <w:rPr>
          <w:rFonts w:ascii="Times New Roman" w:hAnsi="Times New Roman" w:cs="Times New Roman"/>
          <w:sz w:val="24"/>
          <w:szCs w:val="24"/>
        </w:rPr>
        <w:t>specific</w:t>
      </w:r>
      <w:proofErr w:type="spellEnd"/>
      <w:r w:rsidRPr="00634232">
        <w:rPr>
          <w:rFonts w:ascii="Times New Roman" w:hAnsi="Times New Roman" w:cs="Times New Roman"/>
          <w:sz w:val="24"/>
          <w:szCs w:val="24"/>
        </w:rPr>
        <w:t xml:space="preserve"> </w:t>
      </w:r>
      <w:proofErr w:type="spellStart"/>
      <w:r w:rsidRPr="00634232">
        <w:rPr>
          <w:rFonts w:ascii="Times New Roman" w:hAnsi="Times New Roman" w:cs="Times New Roman"/>
          <w:sz w:val="24"/>
          <w:szCs w:val="24"/>
        </w:rPr>
        <w:t>conductivity</w:t>
      </w:r>
      <w:proofErr w:type="spellEnd"/>
      <w:r w:rsidRPr="00634232">
        <w:rPr>
          <w:rFonts w:ascii="Times New Roman" w:hAnsi="Times New Roman" w:cs="Times New Roman"/>
          <w:sz w:val="24"/>
          <w:szCs w:val="24"/>
        </w:rPr>
        <w:t>.</w:t>
      </w:r>
      <w:r w:rsidR="00064068" w:rsidRPr="00634232">
        <w:rPr>
          <w:rFonts w:ascii="Times New Roman" w:hAnsi="Times New Roman" w:cs="Times New Roman"/>
          <w:sz w:val="24"/>
          <w:szCs w:val="24"/>
        </w:rPr>
        <w:t xml:space="preserve"> </w:t>
      </w:r>
      <w:r w:rsidR="00C60B9E" w:rsidRPr="00634232">
        <w:rPr>
          <w:rFonts w:ascii="Times New Roman" w:hAnsi="Times New Roman" w:cs="Times New Roman"/>
          <w:sz w:val="24"/>
          <w:szCs w:val="24"/>
        </w:rPr>
        <w:t xml:space="preserve">Figure 1 </w:t>
      </w:r>
      <w:proofErr w:type="spellStart"/>
      <w:r w:rsidR="00C60B9E" w:rsidRPr="00634232">
        <w:rPr>
          <w:rFonts w:ascii="Times New Roman" w:hAnsi="Times New Roman" w:cs="Times New Roman"/>
          <w:sz w:val="24"/>
          <w:szCs w:val="24"/>
        </w:rPr>
        <w:t>illustrates</w:t>
      </w:r>
      <w:proofErr w:type="spellEnd"/>
      <w:r w:rsidR="00C60B9E" w:rsidRPr="00634232">
        <w:rPr>
          <w:rFonts w:ascii="Times New Roman" w:hAnsi="Times New Roman" w:cs="Times New Roman"/>
          <w:sz w:val="24"/>
          <w:szCs w:val="24"/>
        </w:rPr>
        <w:t xml:space="preserve"> the variation of the CMC of the surfactants as a </w:t>
      </w:r>
      <w:proofErr w:type="spellStart"/>
      <w:r w:rsidR="00C60B9E" w:rsidRPr="00634232">
        <w:rPr>
          <w:rFonts w:ascii="Times New Roman" w:hAnsi="Times New Roman" w:cs="Times New Roman"/>
          <w:sz w:val="24"/>
          <w:szCs w:val="24"/>
        </w:rPr>
        <w:t>function</w:t>
      </w:r>
      <w:proofErr w:type="spellEnd"/>
      <w:r w:rsidR="00C60B9E" w:rsidRPr="00634232">
        <w:rPr>
          <w:rFonts w:ascii="Times New Roman" w:hAnsi="Times New Roman" w:cs="Times New Roman"/>
          <w:sz w:val="24"/>
          <w:szCs w:val="24"/>
        </w:rPr>
        <w:t xml:space="preserve"> of the dicofol concentration. </w:t>
      </w:r>
      <w:r w:rsidR="00642A49" w:rsidRPr="00634232">
        <w:rPr>
          <w:rFonts w:ascii="Times New Roman" w:hAnsi="Times New Roman" w:cs="Times New Roman"/>
          <w:sz w:val="24"/>
          <w:szCs w:val="24"/>
        </w:rPr>
        <w:t xml:space="preserve">By </w:t>
      </w:r>
      <w:proofErr w:type="spellStart"/>
      <w:r w:rsidR="00642A49" w:rsidRPr="00634232">
        <w:rPr>
          <w:rFonts w:ascii="Times New Roman" w:hAnsi="Times New Roman" w:cs="Times New Roman"/>
          <w:sz w:val="24"/>
          <w:szCs w:val="24"/>
        </w:rPr>
        <w:t>varying</w:t>
      </w:r>
      <w:proofErr w:type="spellEnd"/>
      <w:r w:rsidR="00642A49" w:rsidRPr="00634232">
        <w:rPr>
          <w:rFonts w:ascii="Times New Roman" w:hAnsi="Times New Roman" w:cs="Times New Roman"/>
          <w:sz w:val="24"/>
          <w:szCs w:val="24"/>
        </w:rPr>
        <w:t xml:space="preserve"> the concentration of dicofol </w:t>
      </w:r>
      <w:proofErr w:type="spellStart"/>
      <w:r w:rsidR="00642A49" w:rsidRPr="00634232">
        <w:rPr>
          <w:rFonts w:ascii="Times New Roman" w:hAnsi="Times New Roman" w:cs="Times New Roman"/>
          <w:sz w:val="24"/>
          <w:szCs w:val="24"/>
        </w:rPr>
        <w:t>from</w:t>
      </w:r>
      <w:proofErr w:type="spellEnd"/>
      <w:r w:rsidR="00642A49" w:rsidRPr="00634232">
        <w:rPr>
          <w:rFonts w:ascii="Times New Roman" w:hAnsi="Times New Roman" w:cs="Times New Roman"/>
          <w:sz w:val="24"/>
          <w:szCs w:val="24"/>
        </w:rPr>
        <w:t xml:space="preserve"> 0 to 20 µmol L</w:t>
      </w:r>
      <w:r w:rsidR="00642A49" w:rsidRPr="00634232">
        <w:rPr>
          <w:rFonts w:ascii="Times New Roman" w:hAnsi="Times New Roman" w:cs="Times New Roman"/>
          <w:sz w:val="24"/>
          <w:szCs w:val="24"/>
          <w:vertAlign w:val="superscript"/>
        </w:rPr>
        <w:t>-1</w:t>
      </w:r>
      <w:r w:rsidR="00642A49" w:rsidRPr="00634232">
        <w:rPr>
          <w:rFonts w:ascii="Times New Roman" w:hAnsi="Times New Roman" w:cs="Times New Roman"/>
          <w:sz w:val="24"/>
          <w:szCs w:val="24"/>
        </w:rPr>
        <w:t xml:space="preserve">, </w:t>
      </w:r>
      <w:proofErr w:type="spellStart"/>
      <w:r w:rsidR="00642A49" w:rsidRPr="00634232">
        <w:rPr>
          <w:rFonts w:ascii="Times New Roman" w:hAnsi="Times New Roman" w:cs="Times New Roman"/>
          <w:sz w:val="24"/>
          <w:szCs w:val="24"/>
        </w:rPr>
        <w:t>a</w:t>
      </w:r>
      <w:proofErr w:type="spellEnd"/>
      <w:r w:rsidR="00642A49" w:rsidRPr="00634232">
        <w:rPr>
          <w:rFonts w:ascii="Times New Roman" w:hAnsi="Times New Roman" w:cs="Times New Roman"/>
          <w:sz w:val="24"/>
          <w:szCs w:val="24"/>
        </w:rPr>
        <w:t xml:space="preserve"> 21% change in the CMC of the </w:t>
      </w:r>
      <w:proofErr w:type="spellStart"/>
      <w:r w:rsidR="00642A49" w:rsidRPr="00634232">
        <w:rPr>
          <w:rFonts w:ascii="Times New Roman" w:hAnsi="Times New Roman" w:cs="Times New Roman"/>
          <w:sz w:val="24"/>
          <w:szCs w:val="24"/>
        </w:rPr>
        <w:t>anionic</w:t>
      </w:r>
      <w:proofErr w:type="spellEnd"/>
      <w:r w:rsidR="00642A49" w:rsidRPr="00634232">
        <w:rPr>
          <w:rFonts w:ascii="Times New Roman" w:hAnsi="Times New Roman" w:cs="Times New Roman"/>
          <w:sz w:val="24"/>
          <w:szCs w:val="24"/>
        </w:rPr>
        <w:t xml:space="preserve"> surfactant SDS </w:t>
      </w:r>
      <w:proofErr w:type="spellStart"/>
      <w:r w:rsidR="00642A49" w:rsidRPr="00634232">
        <w:rPr>
          <w:rFonts w:ascii="Times New Roman" w:hAnsi="Times New Roman" w:cs="Times New Roman"/>
          <w:sz w:val="24"/>
          <w:szCs w:val="24"/>
        </w:rPr>
        <w:t>is</w:t>
      </w:r>
      <w:proofErr w:type="spellEnd"/>
      <w:r w:rsidR="00642A49" w:rsidRPr="00634232">
        <w:rPr>
          <w:rFonts w:ascii="Times New Roman" w:hAnsi="Times New Roman" w:cs="Times New Roman"/>
          <w:sz w:val="24"/>
          <w:szCs w:val="24"/>
        </w:rPr>
        <w:t xml:space="preserve"> </w:t>
      </w:r>
      <w:proofErr w:type="spellStart"/>
      <w:r w:rsidR="00642A49" w:rsidRPr="00634232">
        <w:rPr>
          <w:rFonts w:ascii="Times New Roman" w:hAnsi="Times New Roman" w:cs="Times New Roman"/>
          <w:sz w:val="24"/>
          <w:szCs w:val="24"/>
        </w:rPr>
        <w:t>observed</w:t>
      </w:r>
      <w:proofErr w:type="spellEnd"/>
      <w:r w:rsidR="00642A49" w:rsidRPr="00634232">
        <w:rPr>
          <w:rFonts w:ascii="Times New Roman" w:hAnsi="Times New Roman" w:cs="Times New Roman"/>
          <w:sz w:val="24"/>
          <w:szCs w:val="24"/>
        </w:rPr>
        <w:t xml:space="preserve">. It </w:t>
      </w:r>
      <w:proofErr w:type="spellStart"/>
      <w:r w:rsidR="00642A49" w:rsidRPr="00634232">
        <w:rPr>
          <w:rFonts w:ascii="Times New Roman" w:hAnsi="Times New Roman" w:cs="Times New Roman"/>
          <w:sz w:val="24"/>
          <w:szCs w:val="24"/>
        </w:rPr>
        <w:t>is</w:t>
      </w:r>
      <w:proofErr w:type="spellEnd"/>
      <w:r w:rsidR="00642A49" w:rsidRPr="00634232">
        <w:rPr>
          <w:rFonts w:ascii="Times New Roman" w:hAnsi="Times New Roman" w:cs="Times New Roman"/>
          <w:sz w:val="24"/>
          <w:szCs w:val="24"/>
        </w:rPr>
        <w:t xml:space="preserve"> important to note </w:t>
      </w:r>
      <w:proofErr w:type="spellStart"/>
      <w:r w:rsidR="00642A49" w:rsidRPr="00634232">
        <w:rPr>
          <w:rFonts w:ascii="Times New Roman" w:hAnsi="Times New Roman" w:cs="Times New Roman"/>
          <w:sz w:val="24"/>
          <w:szCs w:val="24"/>
        </w:rPr>
        <w:t>that</w:t>
      </w:r>
      <w:proofErr w:type="spellEnd"/>
      <w:r w:rsidR="00642A49" w:rsidRPr="00634232">
        <w:rPr>
          <w:rFonts w:ascii="Times New Roman" w:hAnsi="Times New Roman" w:cs="Times New Roman"/>
          <w:sz w:val="24"/>
          <w:szCs w:val="24"/>
        </w:rPr>
        <w:t xml:space="preserve"> the CMC of </w:t>
      </w:r>
      <w:proofErr w:type="spellStart"/>
      <w:r w:rsidR="00642A49" w:rsidRPr="00634232">
        <w:rPr>
          <w:rFonts w:ascii="Times New Roman" w:hAnsi="Times New Roman" w:cs="Times New Roman"/>
          <w:sz w:val="24"/>
          <w:szCs w:val="24"/>
        </w:rPr>
        <w:t>cationic</w:t>
      </w:r>
      <w:proofErr w:type="spellEnd"/>
      <w:r w:rsidR="00642A49" w:rsidRPr="00634232">
        <w:rPr>
          <w:rFonts w:ascii="Times New Roman" w:hAnsi="Times New Roman" w:cs="Times New Roman"/>
          <w:sz w:val="24"/>
          <w:szCs w:val="24"/>
        </w:rPr>
        <w:t xml:space="preserve"> surfactant TMATFB varies </w:t>
      </w:r>
      <w:proofErr w:type="spellStart"/>
      <w:r w:rsidR="00642A49" w:rsidRPr="00634232">
        <w:rPr>
          <w:rFonts w:ascii="Times New Roman" w:hAnsi="Times New Roman" w:cs="Times New Roman"/>
          <w:sz w:val="24"/>
          <w:szCs w:val="24"/>
        </w:rPr>
        <w:t>from</w:t>
      </w:r>
      <w:proofErr w:type="spellEnd"/>
      <w:r w:rsidR="00642A49" w:rsidRPr="00634232">
        <w:rPr>
          <w:rFonts w:ascii="Times New Roman" w:hAnsi="Times New Roman" w:cs="Times New Roman"/>
          <w:sz w:val="24"/>
          <w:szCs w:val="24"/>
        </w:rPr>
        <w:t xml:space="preserve"> 57.61%. The variation in CMC </w:t>
      </w:r>
      <w:proofErr w:type="spellStart"/>
      <w:r w:rsidR="00642A49" w:rsidRPr="00634232">
        <w:rPr>
          <w:rFonts w:ascii="Times New Roman" w:hAnsi="Times New Roman" w:cs="Times New Roman"/>
          <w:sz w:val="24"/>
          <w:szCs w:val="24"/>
        </w:rPr>
        <w:t>observed</w:t>
      </w:r>
      <w:proofErr w:type="spellEnd"/>
      <w:r w:rsidR="00642A49" w:rsidRPr="00634232">
        <w:rPr>
          <w:rFonts w:ascii="Times New Roman" w:hAnsi="Times New Roman" w:cs="Times New Roman"/>
          <w:sz w:val="24"/>
          <w:szCs w:val="24"/>
        </w:rPr>
        <w:t xml:space="preserve"> </w:t>
      </w:r>
      <w:proofErr w:type="spellStart"/>
      <w:r w:rsidR="00642A49" w:rsidRPr="00634232">
        <w:rPr>
          <w:rFonts w:ascii="Times New Roman" w:hAnsi="Times New Roman" w:cs="Times New Roman"/>
          <w:sz w:val="24"/>
          <w:szCs w:val="24"/>
        </w:rPr>
        <w:t>with</w:t>
      </w:r>
      <w:proofErr w:type="spellEnd"/>
      <w:r w:rsidR="00642A49" w:rsidRPr="00634232">
        <w:rPr>
          <w:rFonts w:ascii="Times New Roman" w:hAnsi="Times New Roman" w:cs="Times New Roman"/>
          <w:sz w:val="24"/>
          <w:szCs w:val="24"/>
        </w:rPr>
        <w:t xml:space="preserve"> TMATFB </w:t>
      </w:r>
      <w:proofErr w:type="spellStart"/>
      <w:r w:rsidR="00642A49" w:rsidRPr="00634232">
        <w:rPr>
          <w:rFonts w:ascii="Times New Roman" w:hAnsi="Times New Roman" w:cs="Times New Roman"/>
          <w:sz w:val="24"/>
          <w:szCs w:val="24"/>
        </w:rPr>
        <w:t>is</w:t>
      </w:r>
      <w:proofErr w:type="spellEnd"/>
      <w:r w:rsidR="00642A49" w:rsidRPr="00634232">
        <w:rPr>
          <w:rFonts w:ascii="Times New Roman" w:hAnsi="Times New Roman" w:cs="Times New Roman"/>
          <w:sz w:val="24"/>
          <w:szCs w:val="24"/>
        </w:rPr>
        <w:t xml:space="preserve"> 2.74 times </w:t>
      </w:r>
      <w:proofErr w:type="spellStart"/>
      <w:r w:rsidR="00642A49" w:rsidRPr="00634232">
        <w:rPr>
          <w:rFonts w:ascii="Times New Roman" w:hAnsi="Times New Roman" w:cs="Times New Roman"/>
          <w:sz w:val="24"/>
          <w:szCs w:val="24"/>
        </w:rPr>
        <w:t>greater</w:t>
      </w:r>
      <w:proofErr w:type="spellEnd"/>
      <w:r w:rsidR="00642A49" w:rsidRPr="00634232">
        <w:rPr>
          <w:rFonts w:ascii="Times New Roman" w:hAnsi="Times New Roman" w:cs="Times New Roman"/>
          <w:sz w:val="24"/>
          <w:szCs w:val="24"/>
        </w:rPr>
        <w:t xml:space="preserve"> </w:t>
      </w:r>
      <w:proofErr w:type="spellStart"/>
      <w:r w:rsidR="00642A49" w:rsidRPr="00634232">
        <w:rPr>
          <w:rFonts w:ascii="Times New Roman" w:hAnsi="Times New Roman" w:cs="Times New Roman"/>
          <w:sz w:val="24"/>
          <w:szCs w:val="24"/>
        </w:rPr>
        <w:t>than</w:t>
      </w:r>
      <w:proofErr w:type="spellEnd"/>
      <w:r w:rsidR="00642A49" w:rsidRPr="00634232">
        <w:rPr>
          <w:rFonts w:ascii="Times New Roman" w:hAnsi="Times New Roman" w:cs="Times New Roman"/>
          <w:sz w:val="24"/>
          <w:szCs w:val="24"/>
        </w:rPr>
        <w:t xml:space="preserve"> </w:t>
      </w:r>
      <w:proofErr w:type="spellStart"/>
      <w:r w:rsidR="00642A49" w:rsidRPr="00634232">
        <w:rPr>
          <w:rFonts w:ascii="Times New Roman" w:hAnsi="Times New Roman" w:cs="Times New Roman"/>
          <w:sz w:val="24"/>
          <w:szCs w:val="24"/>
        </w:rPr>
        <w:t>that</w:t>
      </w:r>
      <w:proofErr w:type="spellEnd"/>
      <w:r w:rsidR="00642A49" w:rsidRPr="00634232">
        <w:rPr>
          <w:rFonts w:ascii="Times New Roman" w:hAnsi="Times New Roman" w:cs="Times New Roman"/>
          <w:sz w:val="24"/>
          <w:szCs w:val="24"/>
        </w:rPr>
        <w:t xml:space="preserve"> </w:t>
      </w:r>
      <w:proofErr w:type="spellStart"/>
      <w:r w:rsidR="00642A49" w:rsidRPr="00634232">
        <w:rPr>
          <w:rFonts w:ascii="Times New Roman" w:hAnsi="Times New Roman" w:cs="Times New Roman"/>
          <w:sz w:val="24"/>
          <w:szCs w:val="24"/>
        </w:rPr>
        <w:t>with</w:t>
      </w:r>
      <w:proofErr w:type="spellEnd"/>
      <w:r w:rsidR="00642A49" w:rsidRPr="00634232">
        <w:rPr>
          <w:rFonts w:ascii="Times New Roman" w:hAnsi="Times New Roman" w:cs="Times New Roman"/>
          <w:sz w:val="24"/>
          <w:szCs w:val="24"/>
        </w:rPr>
        <w:t xml:space="preserve"> SDS. This variation in interaction can </w:t>
      </w:r>
      <w:proofErr w:type="spellStart"/>
      <w:r w:rsidR="00642A49" w:rsidRPr="00634232">
        <w:rPr>
          <w:rFonts w:ascii="Times New Roman" w:hAnsi="Times New Roman" w:cs="Times New Roman"/>
          <w:sz w:val="24"/>
          <w:szCs w:val="24"/>
        </w:rPr>
        <w:t>be</w:t>
      </w:r>
      <w:proofErr w:type="spellEnd"/>
      <w:r w:rsidR="00642A49" w:rsidRPr="00634232">
        <w:rPr>
          <w:rFonts w:ascii="Times New Roman" w:hAnsi="Times New Roman" w:cs="Times New Roman"/>
          <w:sz w:val="24"/>
          <w:szCs w:val="24"/>
        </w:rPr>
        <w:t xml:space="preserve"> </w:t>
      </w:r>
      <w:proofErr w:type="spellStart"/>
      <w:r w:rsidR="00642A49" w:rsidRPr="00634232">
        <w:rPr>
          <w:rFonts w:ascii="Times New Roman" w:hAnsi="Times New Roman" w:cs="Times New Roman"/>
          <w:sz w:val="24"/>
          <w:szCs w:val="24"/>
        </w:rPr>
        <w:t>attributed</w:t>
      </w:r>
      <w:proofErr w:type="spellEnd"/>
      <w:r w:rsidR="00642A49" w:rsidRPr="00634232">
        <w:rPr>
          <w:rFonts w:ascii="Times New Roman" w:hAnsi="Times New Roman" w:cs="Times New Roman"/>
          <w:sz w:val="24"/>
          <w:szCs w:val="24"/>
        </w:rPr>
        <w:t xml:space="preserve"> to the distinct structures of the </w:t>
      </w:r>
      <w:proofErr w:type="spellStart"/>
      <w:r w:rsidR="00642A49" w:rsidRPr="00634232">
        <w:rPr>
          <w:rFonts w:ascii="Times New Roman" w:hAnsi="Times New Roman" w:cs="Times New Roman"/>
          <w:sz w:val="24"/>
          <w:szCs w:val="24"/>
        </w:rPr>
        <w:t>two</w:t>
      </w:r>
      <w:proofErr w:type="spellEnd"/>
      <w:r w:rsidR="00642A49" w:rsidRPr="00634232">
        <w:rPr>
          <w:rFonts w:ascii="Times New Roman" w:hAnsi="Times New Roman" w:cs="Times New Roman"/>
          <w:sz w:val="24"/>
          <w:szCs w:val="24"/>
        </w:rPr>
        <w:t xml:space="preserve"> surfactants. The dicofol </w:t>
      </w:r>
      <w:proofErr w:type="spellStart"/>
      <w:r w:rsidR="00642A49" w:rsidRPr="00634232">
        <w:rPr>
          <w:rFonts w:ascii="Times New Roman" w:hAnsi="Times New Roman" w:cs="Times New Roman"/>
          <w:sz w:val="24"/>
          <w:szCs w:val="24"/>
        </w:rPr>
        <w:t>molecule</w:t>
      </w:r>
      <w:proofErr w:type="spellEnd"/>
      <w:r w:rsidR="00642A49" w:rsidRPr="00634232">
        <w:rPr>
          <w:rFonts w:ascii="Times New Roman" w:hAnsi="Times New Roman" w:cs="Times New Roman"/>
          <w:sz w:val="24"/>
          <w:szCs w:val="24"/>
        </w:rPr>
        <w:t xml:space="preserve"> </w:t>
      </w:r>
      <w:proofErr w:type="spellStart"/>
      <w:r w:rsidR="00642A49" w:rsidRPr="00634232">
        <w:rPr>
          <w:rFonts w:ascii="Times New Roman" w:hAnsi="Times New Roman" w:cs="Times New Roman"/>
          <w:sz w:val="24"/>
          <w:szCs w:val="24"/>
        </w:rPr>
        <w:t>contains</w:t>
      </w:r>
      <w:proofErr w:type="spellEnd"/>
      <w:r w:rsidR="00642A49" w:rsidRPr="00634232">
        <w:rPr>
          <w:rFonts w:ascii="Times New Roman" w:hAnsi="Times New Roman" w:cs="Times New Roman"/>
          <w:sz w:val="24"/>
          <w:szCs w:val="24"/>
        </w:rPr>
        <w:t xml:space="preserve"> five </w:t>
      </w:r>
      <w:proofErr w:type="spellStart"/>
      <w:r w:rsidR="00642A49" w:rsidRPr="00634232">
        <w:rPr>
          <w:rFonts w:ascii="Times New Roman" w:hAnsi="Times New Roman" w:cs="Times New Roman"/>
          <w:sz w:val="24"/>
          <w:szCs w:val="24"/>
        </w:rPr>
        <w:t>chlorine</w:t>
      </w:r>
      <w:proofErr w:type="spellEnd"/>
      <w:r w:rsidR="00642A49" w:rsidRPr="00634232">
        <w:rPr>
          <w:rFonts w:ascii="Times New Roman" w:hAnsi="Times New Roman" w:cs="Times New Roman"/>
          <w:sz w:val="24"/>
          <w:szCs w:val="24"/>
        </w:rPr>
        <w:t xml:space="preserve"> </w:t>
      </w:r>
      <w:proofErr w:type="spellStart"/>
      <w:r w:rsidR="00642A49" w:rsidRPr="00634232">
        <w:rPr>
          <w:rFonts w:ascii="Times New Roman" w:hAnsi="Times New Roman" w:cs="Times New Roman"/>
          <w:sz w:val="24"/>
          <w:szCs w:val="24"/>
        </w:rPr>
        <w:t>atoms</w:t>
      </w:r>
      <w:proofErr w:type="spellEnd"/>
      <w:r w:rsidR="00642A49" w:rsidRPr="00634232">
        <w:rPr>
          <w:rFonts w:ascii="Times New Roman" w:hAnsi="Times New Roman" w:cs="Times New Roman"/>
          <w:sz w:val="24"/>
          <w:szCs w:val="24"/>
        </w:rPr>
        <w:t xml:space="preserve"> and a </w:t>
      </w:r>
      <w:proofErr w:type="spellStart"/>
      <w:r w:rsidR="00642A49" w:rsidRPr="00634232">
        <w:rPr>
          <w:rFonts w:ascii="Times New Roman" w:hAnsi="Times New Roman" w:cs="Times New Roman"/>
          <w:sz w:val="24"/>
          <w:szCs w:val="24"/>
        </w:rPr>
        <w:t>hydroxide</w:t>
      </w:r>
      <w:proofErr w:type="spellEnd"/>
      <w:r w:rsidR="00642A49" w:rsidRPr="00634232">
        <w:rPr>
          <w:rFonts w:ascii="Times New Roman" w:hAnsi="Times New Roman" w:cs="Times New Roman"/>
          <w:sz w:val="24"/>
          <w:szCs w:val="24"/>
        </w:rPr>
        <w:t xml:space="preserve"> (OH) group. SDS </w:t>
      </w:r>
      <w:proofErr w:type="spellStart"/>
      <w:r w:rsidR="00642A49" w:rsidRPr="00634232">
        <w:rPr>
          <w:rFonts w:ascii="Times New Roman" w:hAnsi="Times New Roman" w:cs="Times New Roman"/>
          <w:sz w:val="24"/>
          <w:szCs w:val="24"/>
        </w:rPr>
        <w:t>contains</w:t>
      </w:r>
      <w:proofErr w:type="spellEnd"/>
      <w:r w:rsidR="00642A49" w:rsidRPr="00634232">
        <w:rPr>
          <w:rFonts w:ascii="Times New Roman" w:hAnsi="Times New Roman" w:cs="Times New Roman"/>
          <w:sz w:val="24"/>
          <w:szCs w:val="24"/>
        </w:rPr>
        <w:t xml:space="preserve"> four </w:t>
      </w:r>
      <w:proofErr w:type="spellStart"/>
      <w:r w:rsidR="00642A49" w:rsidRPr="00634232">
        <w:rPr>
          <w:rFonts w:ascii="Times New Roman" w:hAnsi="Times New Roman" w:cs="Times New Roman"/>
          <w:sz w:val="24"/>
          <w:szCs w:val="24"/>
        </w:rPr>
        <w:t>oxygen</w:t>
      </w:r>
      <w:proofErr w:type="spellEnd"/>
      <w:r w:rsidR="00642A49" w:rsidRPr="00634232">
        <w:rPr>
          <w:rFonts w:ascii="Times New Roman" w:hAnsi="Times New Roman" w:cs="Times New Roman"/>
          <w:sz w:val="24"/>
          <w:szCs w:val="24"/>
        </w:rPr>
        <w:t xml:space="preserve"> </w:t>
      </w:r>
      <w:proofErr w:type="spellStart"/>
      <w:r w:rsidR="00642A49" w:rsidRPr="00634232">
        <w:rPr>
          <w:rFonts w:ascii="Times New Roman" w:hAnsi="Times New Roman" w:cs="Times New Roman"/>
          <w:sz w:val="24"/>
          <w:szCs w:val="24"/>
        </w:rPr>
        <w:t>atoms</w:t>
      </w:r>
      <w:proofErr w:type="spellEnd"/>
      <w:r w:rsidR="00642A49" w:rsidRPr="00634232">
        <w:rPr>
          <w:rFonts w:ascii="Times New Roman" w:hAnsi="Times New Roman" w:cs="Times New Roman"/>
          <w:sz w:val="24"/>
          <w:szCs w:val="24"/>
        </w:rPr>
        <w:t xml:space="preserve">, one of </w:t>
      </w:r>
      <w:proofErr w:type="spellStart"/>
      <w:r w:rsidR="00642A49" w:rsidRPr="00634232">
        <w:rPr>
          <w:rFonts w:ascii="Times New Roman" w:hAnsi="Times New Roman" w:cs="Times New Roman"/>
          <w:sz w:val="24"/>
          <w:szCs w:val="24"/>
        </w:rPr>
        <w:t>which</w:t>
      </w:r>
      <w:proofErr w:type="spellEnd"/>
      <w:r w:rsidR="00642A49" w:rsidRPr="00634232">
        <w:rPr>
          <w:rFonts w:ascii="Times New Roman" w:hAnsi="Times New Roman" w:cs="Times New Roman"/>
          <w:sz w:val="24"/>
          <w:szCs w:val="24"/>
        </w:rPr>
        <w:t xml:space="preserve"> carries a </w:t>
      </w:r>
      <w:proofErr w:type="spellStart"/>
      <w:r w:rsidR="00642A49" w:rsidRPr="00634232">
        <w:rPr>
          <w:rFonts w:ascii="Times New Roman" w:hAnsi="Times New Roman" w:cs="Times New Roman"/>
          <w:sz w:val="24"/>
          <w:szCs w:val="24"/>
        </w:rPr>
        <w:t>negative</w:t>
      </w:r>
      <w:proofErr w:type="spellEnd"/>
      <w:r w:rsidR="00642A49" w:rsidRPr="00634232">
        <w:rPr>
          <w:rFonts w:ascii="Times New Roman" w:hAnsi="Times New Roman" w:cs="Times New Roman"/>
          <w:sz w:val="24"/>
          <w:szCs w:val="24"/>
        </w:rPr>
        <w:t xml:space="preserve"> charge, and a </w:t>
      </w:r>
      <w:proofErr w:type="spellStart"/>
      <w:r w:rsidR="00642A49" w:rsidRPr="00634232">
        <w:rPr>
          <w:rFonts w:ascii="Times New Roman" w:hAnsi="Times New Roman" w:cs="Times New Roman"/>
          <w:sz w:val="24"/>
          <w:szCs w:val="24"/>
        </w:rPr>
        <w:t>sulfur</w:t>
      </w:r>
      <w:proofErr w:type="spellEnd"/>
      <w:r w:rsidR="00642A49" w:rsidRPr="00634232">
        <w:rPr>
          <w:rFonts w:ascii="Times New Roman" w:hAnsi="Times New Roman" w:cs="Times New Roman"/>
          <w:sz w:val="24"/>
          <w:szCs w:val="24"/>
        </w:rPr>
        <w:t xml:space="preserve"> </w:t>
      </w:r>
      <w:proofErr w:type="spellStart"/>
      <w:r w:rsidR="00642A49" w:rsidRPr="00634232">
        <w:rPr>
          <w:rFonts w:ascii="Times New Roman" w:hAnsi="Times New Roman" w:cs="Times New Roman"/>
          <w:sz w:val="24"/>
          <w:szCs w:val="24"/>
        </w:rPr>
        <w:t>atom</w:t>
      </w:r>
      <w:proofErr w:type="spellEnd"/>
      <w:r w:rsidR="00642A49" w:rsidRPr="00634232">
        <w:rPr>
          <w:rFonts w:ascii="Times New Roman" w:hAnsi="Times New Roman" w:cs="Times New Roman"/>
          <w:sz w:val="24"/>
          <w:szCs w:val="24"/>
        </w:rPr>
        <w:t xml:space="preserve">. TMATFB has an ammonium cation </w:t>
      </w:r>
      <w:proofErr w:type="spellStart"/>
      <w:r w:rsidR="00642A49" w:rsidRPr="00634232">
        <w:rPr>
          <w:rFonts w:ascii="Times New Roman" w:hAnsi="Times New Roman" w:cs="Times New Roman"/>
          <w:sz w:val="24"/>
          <w:szCs w:val="24"/>
        </w:rPr>
        <w:t>that</w:t>
      </w:r>
      <w:proofErr w:type="spellEnd"/>
      <w:r w:rsidR="00642A49" w:rsidRPr="00634232">
        <w:rPr>
          <w:rFonts w:ascii="Times New Roman" w:hAnsi="Times New Roman" w:cs="Times New Roman"/>
          <w:sz w:val="24"/>
          <w:szCs w:val="24"/>
        </w:rPr>
        <w:t xml:space="preserve"> can </w:t>
      </w:r>
      <w:proofErr w:type="spellStart"/>
      <w:r w:rsidR="00642A49" w:rsidRPr="00634232">
        <w:rPr>
          <w:rFonts w:ascii="Times New Roman" w:hAnsi="Times New Roman" w:cs="Times New Roman"/>
          <w:sz w:val="24"/>
          <w:szCs w:val="24"/>
        </w:rPr>
        <w:t>easily</w:t>
      </w:r>
      <w:proofErr w:type="spellEnd"/>
      <w:r w:rsidR="00642A49" w:rsidRPr="00634232">
        <w:rPr>
          <w:rFonts w:ascii="Times New Roman" w:hAnsi="Times New Roman" w:cs="Times New Roman"/>
          <w:sz w:val="24"/>
          <w:szCs w:val="24"/>
        </w:rPr>
        <w:t xml:space="preserve"> </w:t>
      </w:r>
      <w:proofErr w:type="spellStart"/>
      <w:r w:rsidR="00642A49" w:rsidRPr="00634232">
        <w:rPr>
          <w:rFonts w:ascii="Times New Roman" w:hAnsi="Times New Roman" w:cs="Times New Roman"/>
          <w:sz w:val="24"/>
          <w:szCs w:val="24"/>
        </w:rPr>
        <w:t>attract</w:t>
      </w:r>
      <w:proofErr w:type="spellEnd"/>
      <w:r w:rsidR="00642A49" w:rsidRPr="00634232">
        <w:rPr>
          <w:rFonts w:ascii="Times New Roman" w:hAnsi="Times New Roman" w:cs="Times New Roman"/>
          <w:sz w:val="24"/>
          <w:szCs w:val="24"/>
        </w:rPr>
        <w:t xml:space="preserve"> the </w:t>
      </w:r>
      <w:proofErr w:type="spellStart"/>
      <w:r w:rsidR="00642A49" w:rsidRPr="00634232">
        <w:rPr>
          <w:rFonts w:ascii="Times New Roman" w:hAnsi="Times New Roman" w:cs="Times New Roman"/>
          <w:sz w:val="24"/>
          <w:szCs w:val="24"/>
        </w:rPr>
        <w:t>hydroxide</w:t>
      </w:r>
      <w:proofErr w:type="spellEnd"/>
      <w:r w:rsidR="00642A49" w:rsidRPr="00634232">
        <w:rPr>
          <w:rFonts w:ascii="Times New Roman" w:hAnsi="Times New Roman" w:cs="Times New Roman"/>
          <w:sz w:val="24"/>
          <w:szCs w:val="24"/>
        </w:rPr>
        <w:t xml:space="preserve"> group of dicofol. This variation of the CMC </w:t>
      </w:r>
      <w:proofErr w:type="spellStart"/>
      <w:r w:rsidR="00642A49" w:rsidRPr="00634232">
        <w:rPr>
          <w:rFonts w:ascii="Times New Roman" w:hAnsi="Times New Roman" w:cs="Times New Roman"/>
          <w:sz w:val="24"/>
          <w:szCs w:val="24"/>
        </w:rPr>
        <w:t>with</w:t>
      </w:r>
      <w:proofErr w:type="spellEnd"/>
      <w:r w:rsidR="00642A49" w:rsidRPr="00634232">
        <w:rPr>
          <w:rFonts w:ascii="Times New Roman" w:hAnsi="Times New Roman" w:cs="Times New Roman"/>
          <w:sz w:val="24"/>
          <w:szCs w:val="24"/>
        </w:rPr>
        <w:t xml:space="preserve"> the concentration of the insecticide </w:t>
      </w:r>
      <w:proofErr w:type="spellStart"/>
      <w:r w:rsidR="00642A49" w:rsidRPr="00634232">
        <w:rPr>
          <w:rFonts w:ascii="Times New Roman" w:hAnsi="Times New Roman" w:cs="Times New Roman"/>
          <w:sz w:val="24"/>
          <w:szCs w:val="24"/>
        </w:rPr>
        <w:t>clearly</w:t>
      </w:r>
      <w:proofErr w:type="spellEnd"/>
      <w:r w:rsidR="00642A49" w:rsidRPr="00634232">
        <w:rPr>
          <w:rFonts w:ascii="Times New Roman" w:hAnsi="Times New Roman" w:cs="Times New Roman"/>
          <w:sz w:val="24"/>
          <w:szCs w:val="24"/>
        </w:rPr>
        <w:t xml:space="preserve"> shows a possible interaction </w:t>
      </w:r>
      <w:proofErr w:type="spellStart"/>
      <w:r w:rsidR="00642A49" w:rsidRPr="00634232">
        <w:rPr>
          <w:rFonts w:ascii="Times New Roman" w:hAnsi="Times New Roman" w:cs="Times New Roman"/>
          <w:sz w:val="24"/>
          <w:szCs w:val="24"/>
        </w:rPr>
        <w:t>between</w:t>
      </w:r>
      <w:proofErr w:type="spellEnd"/>
      <w:r w:rsidR="00642A49" w:rsidRPr="00634232">
        <w:rPr>
          <w:rFonts w:ascii="Times New Roman" w:hAnsi="Times New Roman" w:cs="Times New Roman"/>
          <w:sz w:val="24"/>
          <w:szCs w:val="24"/>
        </w:rPr>
        <w:t xml:space="preserve"> dicofol and surfactants in an </w:t>
      </w:r>
      <w:proofErr w:type="spellStart"/>
      <w:r w:rsidR="00642A49" w:rsidRPr="00634232">
        <w:rPr>
          <w:rFonts w:ascii="Times New Roman" w:hAnsi="Times New Roman" w:cs="Times New Roman"/>
          <w:sz w:val="24"/>
          <w:szCs w:val="24"/>
        </w:rPr>
        <w:t>aqueous</w:t>
      </w:r>
      <w:proofErr w:type="spellEnd"/>
      <w:r w:rsidR="00642A49" w:rsidRPr="00634232">
        <w:rPr>
          <w:rFonts w:ascii="Times New Roman" w:hAnsi="Times New Roman" w:cs="Times New Roman"/>
          <w:sz w:val="24"/>
          <w:szCs w:val="24"/>
        </w:rPr>
        <w:t xml:space="preserve"> medium.</w:t>
      </w:r>
      <w:r w:rsidR="0065059A" w:rsidRPr="00634232">
        <w:rPr>
          <w:rFonts w:ascii="Times New Roman" w:hAnsi="Times New Roman" w:cs="Times New Roman"/>
          <w:sz w:val="24"/>
          <w:szCs w:val="24"/>
        </w:rPr>
        <w:t xml:space="preserve"> This interaction </w:t>
      </w:r>
      <w:proofErr w:type="spellStart"/>
      <w:r w:rsidR="0065059A" w:rsidRPr="00634232">
        <w:rPr>
          <w:rFonts w:ascii="Times New Roman" w:hAnsi="Times New Roman" w:cs="Times New Roman"/>
          <w:sz w:val="24"/>
          <w:szCs w:val="24"/>
        </w:rPr>
        <w:t>is</w:t>
      </w:r>
      <w:proofErr w:type="spellEnd"/>
      <w:r w:rsidR="0065059A" w:rsidRPr="00634232">
        <w:rPr>
          <w:rFonts w:ascii="Times New Roman" w:hAnsi="Times New Roman" w:cs="Times New Roman"/>
          <w:sz w:val="24"/>
          <w:szCs w:val="24"/>
        </w:rPr>
        <w:t xml:space="preserve"> more </w:t>
      </w:r>
      <w:proofErr w:type="spellStart"/>
      <w:r w:rsidR="0065059A" w:rsidRPr="00634232">
        <w:rPr>
          <w:rFonts w:ascii="Times New Roman" w:hAnsi="Times New Roman" w:cs="Times New Roman"/>
          <w:sz w:val="24"/>
          <w:szCs w:val="24"/>
        </w:rPr>
        <w:t>pronounced</w:t>
      </w:r>
      <w:proofErr w:type="spellEnd"/>
      <w:r w:rsidR="0065059A" w:rsidRPr="00634232">
        <w:rPr>
          <w:rFonts w:ascii="Times New Roman" w:hAnsi="Times New Roman" w:cs="Times New Roman"/>
          <w:sz w:val="24"/>
          <w:szCs w:val="24"/>
        </w:rPr>
        <w:t xml:space="preserve"> </w:t>
      </w:r>
      <w:proofErr w:type="spellStart"/>
      <w:r w:rsidR="0065059A" w:rsidRPr="00634232">
        <w:rPr>
          <w:rFonts w:ascii="Times New Roman" w:hAnsi="Times New Roman" w:cs="Times New Roman"/>
          <w:sz w:val="24"/>
          <w:szCs w:val="24"/>
        </w:rPr>
        <w:t>with</w:t>
      </w:r>
      <w:proofErr w:type="spellEnd"/>
      <w:r w:rsidR="0065059A" w:rsidRPr="00634232">
        <w:rPr>
          <w:rFonts w:ascii="Times New Roman" w:hAnsi="Times New Roman" w:cs="Times New Roman"/>
          <w:sz w:val="24"/>
          <w:szCs w:val="24"/>
        </w:rPr>
        <w:t xml:space="preserve"> TMATFB. The </w:t>
      </w:r>
      <w:proofErr w:type="spellStart"/>
      <w:r w:rsidR="0065059A" w:rsidRPr="00634232">
        <w:rPr>
          <w:rFonts w:ascii="Times New Roman" w:hAnsi="Times New Roman" w:cs="Times New Roman"/>
          <w:sz w:val="24"/>
          <w:szCs w:val="24"/>
        </w:rPr>
        <w:t>reduction</w:t>
      </w:r>
      <w:proofErr w:type="spellEnd"/>
      <w:r w:rsidR="0065059A" w:rsidRPr="00634232">
        <w:rPr>
          <w:rFonts w:ascii="Times New Roman" w:hAnsi="Times New Roman" w:cs="Times New Roman"/>
          <w:sz w:val="24"/>
          <w:szCs w:val="24"/>
        </w:rPr>
        <w:t xml:space="preserve"> in the CMC of the surfactants leads to favorable </w:t>
      </w:r>
      <w:proofErr w:type="spellStart"/>
      <w:r w:rsidR="0065059A" w:rsidRPr="00634232">
        <w:rPr>
          <w:rFonts w:ascii="Times New Roman" w:hAnsi="Times New Roman" w:cs="Times New Roman"/>
          <w:sz w:val="24"/>
          <w:szCs w:val="24"/>
        </w:rPr>
        <w:t>micellization</w:t>
      </w:r>
      <w:proofErr w:type="spellEnd"/>
      <w:r w:rsidR="0065059A" w:rsidRPr="00634232">
        <w:rPr>
          <w:rFonts w:ascii="Times New Roman" w:hAnsi="Times New Roman" w:cs="Times New Roman"/>
          <w:sz w:val="24"/>
          <w:szCs w:val="24"/>
        </w:rPr>
        <w:t xml:space="preserve">, </w:t>
      </w:r>
      <w:proofErr w:type="spellStart"/>
      <w:r w:rsidR="0065059A" w:rsidRPr="00634232">
        <w:rPr>
          <w:rFonts w:ascii="Times New Roman" w:hAnsi="Times New Roman" w:cs="Times New Roman"/>
          <w:sz w:val="24"/>
          <w:szCs w:val="24"/>
        </w:rPr>
        <w:t>which</w:t>
      </w:r>
      <w:proofErr w:type="spellEnd"/>
      <w:r w:rsidR="0065059A" w:rsidRPr="00634232">
        <w:rPr>
          <w:rFonts w:ascii="Times New Roman" w:hAnsi="Times New Roman" w:cs="Times New Roman"/>
          <w:sz w:val="24"/>
          <w:szCs w:val="24"/>
        </w:rPr>
        <w:t xml:space="preserve"> </w:t>
      </w:r>
      <w:proofErr w:type="spellStart"/>
      <w:r w:rsidR="0065059A" w:rsidRPr="00634232">
        <w:rPr>
          <w:rFonts w:ascii="Times New Roman" w:hAnsi="Times New Roman" w:cs="Times New Roman"/>
          <w:sz w:val="24"/>
          <w:szCs w:val="24"/>
        </w:rPr>
        <w:t>is</w:t>
      </w:r>
      <w:proofErr w:type="spellEnd"/>
      <w:r w:rsidR="0065059A" w:rsidRPr="00634232">
        <w:rPr>
          <w:rFonts w:ascii="Times New Roman" w:hAnsi="Times New Roman" w:cs="Times New Roman"/>
          <w:sz w:val="24"/>
          <w:szCs w:val="24"/>
        </w:rPr>
        <w:t xml:space="preserve"> </w:t>
      </w:r>
      <w:proofErr w:type="spellStart"/>
      <w:r w:rsidR="0065059A" w:rsidRPr="00634232">
        <w:rPr>
          <w:rFonts w:ascii="Times New Roman" w:hAnsi="Times New Roman" w:cs="Times New Roman"/>
          <w:sz w:val="24"/>
          <w:szCs w:val="24"/>
        </w:rPr>
        <w:t>advantageous</w:t>
      </w:r>
      <w:proofErr w:type="spellEnd"/>
      <w:r w:rsidR="0065059A" w:rsidRPr="00634232">
        <w:rPr>
          <w:rFonts w:ascii="Times New Roman" w:hAnsi="Times New Roman" w:cs="Times New Roman"/>
          <w:sz w:val="24"/>
          <w:szCs w:val="24"/>
        </w:rPr>
        <w:t xml:space="preserve"> for the insecticide dicofol, </w:t>
      </w:r>
      <w:proofErr w:type="spellStart"/>
      <w:r w:rsidR="0065059A" w:rsidRPr="00634232">
        <w:rPr>
          <w:rFonts w:ascii="Times New Roman" w:hAnsi="Times New Roman" w:cs="Times New Roman"/>
          <w:sz w:val="24"/>
          <w:szCs w:val="24"/>
        </w:rPr>
        <w:t>enhancing</w:t>
      </w:r>
      <w:proofErr w:type="spellEnd"/>
      <w:r w:rsidR="0065059A" w:rsidRPr="00634232">
        <w:rPr>
          <w:rFonts w:ascii="Times New Roman" w:hAnsi="Times New Roman" w:cs="Times New Roman"/>
          <w:sz w:val="24"/>
          <w:szCs w:val="24"/>
        </w:rPr>
        <w:t xml:space="preserve"> </w:t>
      </w:r>
      <w:proofErr w:type="spellStart"/>
      <w:r w:rsidR="0065059A" w:rsidRPr="00634232">
        <w:rPr>
          <w:rFonts w:ascii="Times New Roman" w:hAnsi="Times New Roman" w:cs="Times New Roman"/>
          <w:sz w:val="24"/>
          <w:szCs w:val="24"/>
        </w:rPr>
        <w:t>its</w:t>
      </w:r>
      <w:proofErr w:type="spellEnd"/>
      <w:r w:rsidR="0065059A" w:rsidRPr="00634232">
        <w:rPr>
          <w:rFonts w:ascii="Times New Roman" w:hAnsi="Times New Roman" w:cs="Times New Roman"/>
          <w:sz w:val="24"/>
          <w:szCs w:val="24"/>
        </w:rPr>
        <w:t xml:space="preserve"> </w:t>
      </w:r>
      <w:proofErr w:type="spellStart"/>
      <w:r w:rsidR="0065059A" w:rsidRPr="00634232">
        <w:rPr>
          <w:rFonts w:ascii="Times New Roman" w:hAnsi="Times New Roman" w:cs="Times New Roman"/>
          <w:sz w:val="24"/>
          <w:szCs w:val="24"/>
        </w:rPr>
        <w:t>solubility</w:t>
      </w:r>
      <w:proofErr w:type="spellEnd"/>
      <w:r w:rsidR="0065059A" w:rsidRPr="00634232">
        <w:rPr>
          <w:rFonts w:ascii="Times New Roman" w:hAnsi="Times New Roman" w:cs="Times New Roman"/>
          <w:sz w:val="24"/>
          <w:szCs w:val="24"/>
        </w:rPr>
        <w:t xml:space="preserve"> in an </w:t>
      </w:r>
      <w:proofErr w:type="spellStart"/>
      <w:r w:rsidR="0065059A" w:rsidRPr="00634232">
        <w:rPr>
          <w:rFonts w:ascii="Times New Roman" w:hAnsi="Times New Roman" w:cs="Times New Roman"/>
          <w:sz w:val="24"/>
          <w:szCs w:val="24"/>
        </w:rPr>
        <w:t>aqueous</w:t>
      </w:r>
      <w:proofErr w:type="spellEnd"/>
      <w:r w:rsidR="0065059A" w:rsidRPr="00634232">
        <w:rPr>
          <w:rFonts w:ascii="Times New Roman" w:hAnsi="Times New Roman" w:cs="Times New Roman"/>
          <w:sz w:val="24"/>
          <w:szCs w:val="24"/>
        </w:rPr>
        <w:t xml:space="preserve"> medium. </w:t>
      </w:r>
    </w:p>
    <w:p w14:paraId="1AD9AA70" w14:textId="77777777" w:rsidR="00482FA9" w:rsidRDefault="00A90F6F" w:rsidP="00C60B9E">
      <w:pPr>
        <w:spacing w:after="0" w:line="360" w:lineRule="auto"/>
        <w:ind w:firstLine="708"/>
        <w:jc w:val="both"/>
      </w:pPr>
      <w:r>
        <w:object w:dxaOrig="25604" w:dyaOrig="18000" w14:anchorId="35B44B87">
          <v:shape id="_x0000_i1028" type="#_x0000_t75" style="width:379pt;height:264.5pt" o:ole="">
            <v:imagedata r:id="rId14" o:title=""/>
          </v:shape>
          <o:OLEObject Type="Embed" ProgID="Origin50.Graph" ShapeID="_x0000_i1028" DrawAspect="Content" ObjectID="_1833356232" r:id="rId15"/>
        </w:object>
      </w:r>
    </w:p>
    <w:p w14:paraId="2B6C40F0" w14:textId="77777777" w:rsidR="0065059A" w:rsidRDefault="007D1DD5" w:rsidP="0065059A">
      <w:pPr>
        <w:spacing w:after="0" w:line="360" w:lineRule="auto"/>
        <w:jc w:val="both"/>
        <w:rPr>
          <w:rFonts w:ascii="Times New Roman" w:hAnsi="Times New Roman" w:cs="Times New Roman"/>
          <w:b/>
          <w:sz w:val="24"/>
          <w:szCs w:val="24"/>
        </w:rPr>
      </w:pPr>
      <w:r w:rsidRPr="005A5672">
        <w:rPr>
          <w:rFonts w:ascii="Times New Roman" w:hAnsi="Times New Roman" w:cs="Times New Roman"/>
          <w:b/>
          <w:sz w:val="24"/>
          <w:szCs w:val="24"/>
        </w:rPr>
        <w:t>Fig.</w:t>
      </w:r>
      <w:r w:rsidR="0065059A" w:rsidRPr="005A5672">
        <w:rPr>
          <w:rFonts w:ascii="Times New Roman" w:hAnsi="Times New Roman" w:cs="Times New Roman"/>
          <w:b/>
          <w:sz w:val="24"/>
          <w:szCs w:val="24"/>
        </w:rPr>
        <w:t xml:space="preserve"> 1. CMC variation of TMATFB (■) and SDS (</w:t>
      </w:r>
      <w:r w:rsidR="0065059A" w:rsidRPr="005A5672">
        <w:rPr>
          <w:rFonts w:ascii="Times New Roman" w:hAnsi="Times New Roman" w:cs="Times New Roman"/>
          <w:b/>
          <w:color w:val="FF0000"/>
          <w:sz w:val="24"/>
          <w:szCs w:val="24"/>
        </w:rPr>
        <w:t>●</w:t>
      </w:r>
      <w:r w:rsidR="00A90F6F">
        <w:rPr>
          <w:rFonts w:ascii="Times New Roman" w:hAnsi="Times New Roman" w:cs="Times New Roman"/>
          <w:b/>
          <w:sz w:val="24"/>
          <w:szCs w:val="24"/>
        </w:rPr>
        <w:t xml:space="preserve">) as a </w:t>
      </w:r>
      <w:proofErr w:type="spellStart"/>
      <w:r w:rsidR="00A90F6F">
        <w:rPr>
          <w:rFonts w:ascii="Times New Roman" w:hAnsi="Times New Roman" w:cs="Times New Roman"/>
          <w:b/>
          <w:sz w:val="24"/>
          <w:szCs w:val="24"/>
        </w:rPr>
        <w:t>function</w:t>
      </w:r>
      <w:proofErr w:type="spellEnd"/>
      <w:r w:rsidR="00A90F6F">
        <w:rPr>
          <w:rFonts w:ascii="Times New Roman" w:hAnsi="Times New Roman" w:cs="Times New Roman"/>
          <w:b/>
          <w:sz w:val="24"/>
          <w:szCs w:val="24"/>
        </w:rPr>
        <w:t xml:space="preserve"> of dicofol</w:t>
      </w:r>
      <w:r w:rsidR="0065059A" w:rsidRPr="005A5672">
        <w:rPr>
          <w:rFonts w:ascii="Times New Roman" w:hAnsi="Times New Roman" w:cs="Times New Roman"/>
          <w:b/>
          <w:sz w:val="24"/>
          <w:szCs w:val="24"/>
        </w:rPr>
        <w:t xml:space="preserve"> concentration at 303</w:t>
      </w:r>
      <w:r w:rsidR="00634232">
        <w:rPr>
          <w:rFonts w:ascii="Times New Roman" w:hAnsi="Times New Roman" w:cs="Times New Roman"/>
          <w:b/>
          <w:sz w:val="24"/>
          <w:szCs w:val="24"/>
        </w:rPr>
        <w:t>.15</w:t>
      </w:r>
      <w:r w:rsidR="0065059A" w:rsidRPr="005A5672">
        <w:rPr>
          <w:rFonts w:ascii="Times New Roman" w:hAnsi="Times New Roman" w:cs="Times New Roman"/>
          <w:b/>
          <w:sz w:val="24"/>
          <w:szCs w:val="24"/>
        </w:rPr>
        <w:t xml:space="preserve"> K.</w:t>
      </w:r>
    </w:p>
    <w:p w14:paraId="7303FE24" w14:textId="77777777" w:rsidR="00FE76A6" w:rsidRDefault="00FE76A6" w:rsidP="0065059A">
      <w:pPr>
        <w:spacing w:after="0" w:line="360" w:lineRule="auto"/>
        <w:jc w:val="both"/>
        <w:rPr>
          <w:rFonts w:ascii="Times New Roman" w:hAnsi="Times New Roman" w:cs="Times New Roman"/>
          <w:sz w:val="24"/>
          <w:szCs w:val="24"/>
        </w:rPr>
      </w:pPr>
    </w:p>
    <w:p w14:paraId="7B39ABCD" w14:textId="77777777" w:rsidR="00634232" w:rsidRPr="00FE76A6" w:rsidRDefault="00FE76A6" w:rsidP="0065059A">
      <w:pPr>
        <w:spacing w:after="0" w:line="360" w:lineRule="auto"/>
        <w:jc w:val="both"/>
        <w:rPr>
          <w:rFonts w:ascii="Times New Roman" w:hAnsi="Times New Roman" w:cs="Times New Roman"/>
          <w:sz w:val="24"/>
          <w:szCs w:val="24"/>
        </w:rPr>
      </w:pPr>
      <w:r w:rsidRPr="00FE76A6">
        <w:rPr>
          <w:rFonts w:ascii="Times New Roman" w:hAnsi="Times New Roman" w:cs="Times New Roman"/>
          <w:sz w:val="24"/>
          <w:szCs w:val="24"/>
        </w:rPr>
        <w:t xml:space="preserve">As </w:t>
      </w:r>
      <w:proofErr w:type="spellStart"/>
      <w:r w:rsidRPr="00FE76A6">
        <w:rPr>
          <w:rFonts w:ascii="Times New Roman" w:hAnsi="Times New Roman" w:cs="Times New Roman"/>
          <w:sz w:val="24"/>
          <w:szCs w:val="24"/>
        </w:rPr>
        <w:t>illustrated</w:t>
      </w:r>
      <w:proofErr w:type="spellEnd"/>
      <w:r w:rsidRPr="00FE76A6">
        <w:rPr>
          <w:rFonts w:ascii="Times New Roman" w:hAnsi="Times New Roman" w:cs="Times New Roman"/>
          <w:sz w:val="24"/>
          <w:szCs w:val="24"/>
        </w:rPr>
        <w:t xml:space="preserve"> in Figure 2, a </w:t>
      </w:r>
      <w:proofErr w:type="spellStart"/>
      <w:r w:rsidRPr="00FE76A6">
        <w:rPr>
          <w:rFonts w:ascii="Times New Roman" w:hAnsi="Times New Roman" w:cs="Times New Roman"/>
          <w:sz w:val="24"/>
          <w:szCs w:val="24"/>
        </w:rPr>
        <w:t>decrease</w:t>
      </w:r>
      <w:proofErr w:type="spellEnd"/>
      <w:r w:rsidRPr="00FE76A6">
        <w:rPr>
          <w:rFonts w:ascii="Times New Roman" w:hAnsi="Times New Roman" w:cs="Times New Roman"/>
          <w:sz w:val="24"/>
          <w:szCs w:val="24"/>
        </w:rPr>
        <w:t xml:space="preserve"> in the </w:t>
      </w:r>
      <w:proofErr w:type="spellStart"/>
      <w:r w:rsidRPr="00FE76A6">
        <w:rPr>
          <w:rFonts w:ascii="Times New Roman" w:hAnsi="Times New Roman" w:cs="Times New Roman"/>
          <w:sz w:val="24"/>
          <w:szCs w:val="24"/>
        </w:rPr>
        <w:t>degree</w:t>
      </w:r>
      <w:proofErr w:type="spellEnd"/>
      <w:r w:rsidRPr="00FE76A6">
        <w:rPr>
          <w:rFonts w:ascii="Times New Roman" w:hAnsi="Times New Roman" w:cs="Times New Roman"/>
          <w:sz w:val="24"/>
          <w:szCs w:val="24"/>
        </w:rPr>
        <w:t xml:space="preserve"> of dissociation (α) </w:t>
      </w:r>
      <w:proofErr w:type="spellStart"/>
      <w:r w:rsidRPr="00FE76A6">
        <w:rPr>
          <w:rFonts w:ascii="Times New Roman" w:hAnsi="Times New Roman" w:cs="Times New Roman"/>
          <w:sz w:val="24"/>
          <w:szCs w:val="24"/>
        </w:rPr>
        <w:t>was</w:t>
      </w:r>
      <w:proofErr w:type="spellEnd"/>
      <w:r w:rsidRPr="00FE76A6">
        <w:rPr>
          <w:rFonts w:ascii="Times New Roman" w:hAnsi="Times New Roman" w:cs="Times New Roman"/>
          <w:sz w:val="24"/>
          <w:szCs w:val="24"/>
        </w:rPr>
        <w:t xml:space="preserve"> </w:t>
      </w:r>
      <w:proofErr w:type="spellStart"/>
      <w:r w:rsidRPr="00FE76A6">
        <w:rPr>
          <w:rFonts w:ascii="Times New Roman" w:hAnsi="Times New Roman" w:cs="Times New Roman"/>
          <w:sz w:val="24"/>
          <w:szCs w:val="24"/>
        </w:rPr>
        <w:t>observed</w:t>
      </w:r>
      <w:proofErr w:type="spellEnd"/>
      <w:r w:rsidRPr="00FE76A6">
        <w:rPr>
          <w:rFonts w:ascii="Times New Roman" w:hAnsi="Times New Roman" w:cs="Times New Roman"/>
          <w:sz w:val="24"/>
          <w:szCs w:val="24"/>
        </w:rPr>
        <w:t xml:space="preserve"> </w:t>
      </w:r>
      <w:proofErr w:type="spellStart"/>
      <w:r w:rsidRPr="00FE76A6">
        <w:rPr>
          <w:rFonts w:ascii="Times New Roman" w:hAnsi="Times New Roman" w:cs="Times New Roman"/>
          <w:sz w:val="24"/>
          <w:szCs w:val="24"/>
        </w:rPr>
        <w:t>with</w:t>
      </w:r>
      <w:proofErr w:type="spellEnd"/>
      <w:r w:rsidRPr="00FE76A6">
        <w:rPr>
          <w:rFonts w:ascii="Times New Roman" w:hAnsi="Times New Roman" w:cs="Times New Roman"/>
          <w:sz w:val="24"/>
          <w:szCs w:val="24"/>
        </w:rPr>
        <w:t xml:space="preserve"> </w:t>
      </w:r>
      <w:proofErr w:type="spellStart"/>
      <w:r w:rsidRPr="00FE76A6">
        <w:rPr>
          <w:rFonts w:ascii="Times New Roman" w:hAnsi="Times New Roman" w:cs="Times New Roman"/>
          <w:sz w:val="24"/>
          <w:szCs w:val="24"/>
        </w:rPr>
        <w:t>increasing</w:t>
      </w:r>
      <w:proofErr w:type="spellEnd"/>
      <w:r w:rsidRPr="00FE76A6">
        <w:rPr>
          <w:rFonts w:ascii="Times New Roman" w:hAnsi="Times New Roman" w:cs="Times New Roman"/>
          <w:sz w:val="24"/>
          <w:szCs w:val="24"/>
        </w:rPr>
        <w:t xml:space="preserve"> DCF concentration. For SDS, the α value </w:t>
      </w:r>
      <w:proofErr w:type="spellStart"/>
      <w:r w:rsidRPr="00FE76A6">
        <w:rPr>
          <w:rFonts w:ascii="Times New Roman" w:hAnsi="Times New Roman" w:cs="Times New Roman"/>
          <w:sz w:val="24"/>
          <w:szCs w:val="24"/>
        </w:rPr>
        <w:t>decreased</w:t>
      </w:r>
      <w:proofErr w:type="spellEnd"/>
      <w:r w:rsidRPr="00FE76A6">
        <w:rPr>
          <w:rFonts w:ascii="Times New Roman" w:hAnsi="Times New Roman" w:cs="Times New Roman"/>
          <w:sz w:val="24"/>
          <w:szCs w:val="24"/>
        </w:rPr>
        <w:t xml:space="preserve"> by </w:t>
      </w:r>
      <w:proofErr w:type="spellStart"/>
      <w:r w:rsidRPr="00FE76A6">
        <w:rPr>
          <w:rFonts w:ascii="Times New Roman" w:hAnsi="Times New Roman" w:cs="Times New Roman"/>
          <w:sz w:val="24"/>
          <w:szCs w:val="24"/>
        </w:rPr>
        <w:t>only</w:t>
      </w:r>
      <w:proofErr w:type="spellEnd"/>
      <w:r w:rsidRPr="00FE76A6">
        <w:rPr>
          <w:rFonts w:ascii="Times New Roman" w:hAnsi="Times New Roman" w:cs="Times New Roman"/>
          <w:sz w:val="24"/>
          <w:szCs w:val="24"/>
        </w:rPr>
        <w:t xml:space="preserve"> 6%. This </w:t>
      </w:r>
      <w:proofErr w:type="spellStart"/>
      <w:r w:rsidRPr="00FE76A6">
        <w:rPr>
          <w:rFonts w:ascii="Times New Roman" w:hAnsi="Times New Roman" w:cs="Times New Roman"/>
          <w:sz w:val="24"/>
          <w:szCs w:val="24"/>
        </w:rPr>
        <w:t>slight</w:t>
      </w:r>
      <w:proofErr w:type="spellEnd"/>
      <w:r w:rsidRPr="00FE76A6">
        <w:rPr>
          <w:rFonts w:ascii="Times New Roman" w:hAnsi="Times New Roman" w:cs="Times New Roman"/>
          <w:sz w:val="24"/>
          <w:szCs w:val="24"/>
        </w:rPr>
        <w:t xml:space="preserve"> variation </w:t>
      </w:r>
      <w:proofErr w:type="spellStart"/>
      <w:r w:rsidRPr="00FE76A6">
        <w:rPr>
          <w:rFonts w:ascii="Times New Roman" w:hAnsi="Times New Roman" w:cs="Times New Roman"/>
          <w:sz w:val="24"/>
          <w:szCs w:val="24"/>
        </w:rPr>
        <w:t>may</w:t>
      </w:r>
      <w:proofErr w:type="spellEnd"/>
      <w:r w:rsidRPr="00FE76A6">
        <w:rPr>
          <w:rFonts w:ascii="Times New Roman" w:hAnsi="Times New Roman" w:cs="Times New Roman"/>
          <w:sz w:val="24"/>
          <w:szCs w:val="24"/>
        </w:rPr>
        <w:t xml:space="preserve"> </w:t>
      </w:r>
      <w:proofErr w:type="spellStart"/>
      <w:r w:rsidRPr="00FE76A6">
        <w:rPr>
          <w:rFonts w:ascii="Times New Roman" w:hAnsi="Times New Roman" w:cs="Times New Roman"/>
          <w:sz w:val="24"/>
          <w:szCs w:val="24"/>
        </w:rPr>
        <w:t>be</w:t>
      </w:r>
      <w:proofErr w:type="spellEnd"/>
      <w:r w:rsidRPr="00FE76A6">
        <w:rPr>
          <w:rFonts w:ascii="Times New Roman" w:hAnsi="Times New Roman" w:cs="Times New Roman"/>
          <w:sz w:val="24"/>
          <w:szCs w:val="24"/>
        </w:rPr>
        <w:t xml:space="preserve"> </w:t>
      </w:r>
      <w:proofErr w:type="spellStart"/>
      <w:r w:rsidRPr="00FE76A6">
        <w:rPr>
          <w:rFonts w:ascii="Times New Roman" w:hAnsi="Times New Roman" w:cs="Times New Roman"/>
          <w:sz w:val="24"/>
          <w:szCs w:val="24"/>
        </w:rPr>
        <w:t>attributed</w:t>
      </w:r>
      <w:proofErr w:type="spellEnd"/>
      <w:r w:rsidRPr="00FE76A6">
        <w:rPr>
          <w:rFonts w:ascii="Times New Roman" w:hAnsi="Times New Roman" w:cs="Times New Roman"/>
          <w:sz w:val="24"/>
          <w:szCs w:val="24"/>
        </w:rPr>
        <w:t xml:space="preserve"> to the </w:t>
      </w:r>
      <w:proofErr w:type="spellStart"/>
      <w:r w:rsidRPr="00FE76A6">
        <w:rPr>
          <w:rFonts w:ascii="Times New Roman" w:hAnsi="Times New Roman" w:cs="Times New Roman"/>
          <w:sz w:val="24"/>
          <w:szCs w:val="24"/>
        </w:rPr>
        <w:t>positioning</w:t>
      </w:r>
      <w:proofErr w:type="spellEnd"/>
      <w:r w:rsidRPr="00FE76A6">
        <w:rPr>
          <w:rFonts w:ascii="Times New Roman" w:hAnsi="Times New Roman" w:cs="Times New Roman"/>
          <w:sz w:val="24"/>
          <w:szCs w:val="24"/>
        </w:rPr>
        <w:t xml:space="preserve"> of DCF </w:t>
      </w:r>
      <w:proofErr w:type="spellStart"/>
      <w:r w:rsidRPr="00FE76A6">
        <w:rPr>
          <w:rFonts w:ascii="Times New Roman" w:hAnsi="Times New Roman" w:cs="Times New Roman"/>
          <w:sz w:val="24"/>
          <w:szCs w:val="24"/>
        </w:rPr>
        <w:t>between</w:t>
      </w:r>
      <w:proofErr w:type="spellEnd"/>
      <w:r w:rsidRPr="00FE76A6">
        <w:rPr>
          <w:rFonts w:ascii="Times New Roman" w:hAnsi="Times New Roman" w:cs="Times New Roman"/>
          <w:sz w:val="24"/>
          <w:szCs w:val="24"/>
        </w:rPr>
        <w:t xml:space="preserve"> the </w:t>
      </w:r>
      <w:proofErr w:type="spellStart"/>
      <w:r w:rsidRPr="00FE76A6">
        <w:rPr>
          <w:rFonts w:ascii="Times New Roman" w:hAnsi="Times New Roman" w:cs="Times New Roman"/>
          <w:sz w:val="24"/>
          <w:szCs w:val="24"/>
        </w:rPr>
        <w:t>head</w:t>
      </w:r>
      <w:proofErr w:type="spellEnd"/>
      <w:r w:rsidRPr="00FE76A6">
        <w:rPr>
          <w:rFonts w:ascii="Times New Roman" w:hAnsi="Times New Roman" w:cs="Times New Roman"/>
          <w:sz w:val="24"/>
          <w:szCs w:val="24"/>
        </w:rPr>
        <w:t xml:space="preserve"> groups of the </w:t>
      </w:r>
      <w:proofErr w:type="spellStart"/>
      <w:r w:rsidRPr="00FE76A6">
        <w:rPr>
          <w:rFonts w:ascii="Times New Roman" w:hAnsi="Times New Roman" w:cs="Times New Roman"/>
          <w:sz w:val="24"/>
          <w:szCs w:val="24"/>
        </w:rPr>
        <w:t>anionic</w:t>
      </w:r>
      <w:proofErr w:type="spellEnd"/>
      <w:r w:rsidRPr="00FE76A6">
        <w:rPr>
          <w:rFonts w:ascii="Times New Roman" w:hAnsi="Times New Roman" w:cs="Times New Roman"/>
          <w:sz w:val="24"/>
          <w:szCs w:val="24"/>
        </w:rPr>
        <w:t xml:space="preserve"> micelles, </w:t>
      </w:r>
      <w:proofErr w:type="spellStart"/>
      <w:r w:rsidRPr="00FE76A6">
        <w:rPr>
          <w:rFonts w:ascii="Times New Roman" w:hAnsi="Times New Roman" w:cs="Times New Roman"/>
          <w:sz w:val="24"/>
          <w:szCs w:val="24"/>
        </w:rPr>
        <w:t>where</w:t>
      </w:r>
      <w:proofErr w:type="spellEnd"/>
      <w:r w:rsidRPr="00FE76A6">
        <w:rPr>
          <w:rFonts w:ascii="Times New Roman" w:hAnsi="Times New Roman" w:cs="Times New Roman"/>
          <w:sz w:val="24"/>
          <w:szCs w:val="24"/>
        </w:rPr>
        <w:t xml:space="preserve"> </w:t>
      </w:r>
      <w:proofErr w:type="spellStart"/>
      <w:r w:rsidRPr="00FE76A6">
        <w:rPr>
          <w:rFonts w:ascii="Times New Roman" w:hAnsi="Times New Roman" w:cs="Times New Roman"/>
          <w:sz w:val="24"/>
          <w:szCs w:val="24"/>
        </w:rPr>
        <w:t>it</w:t>
      </w:r>
      <w:proofErr w:type="spellEnd"/>
      <w:r w:rsidRPr="00FE76A6">
        <w:rPr>
          <w:rFonts w:ascii="Times New Roman" w:hAnsi="Times New Roman" w:cs="Times New Roman"/>
          <w:sz w:val="24"/>
          <w:szCs w:val="24"/>
        </w:rPr>
        <w:t xml:space="preserve"> </w:t>
      </w:r>
      <w:proofErr w:type="spellStart"/>
      <w:r w:rsidRPr="00FE76A6">
        <w:rPr>
          <w:rFonts w:ascii="Times New Roman" w:hAnsi="Times New Roman" w:cs="Times New Roman"/>
          <w:sz w:val="24"/>
          <w:szCs w:val="24"/>
        </w:rPr>
        <w:t>reduces</w:t>
      </w:r>
      <w:proofErr w:type="spellEnd"/>
      <w:r w:rsidRPr="00FE76A6">
        <w:rPr>
          <w:rFonts w:ascii="Times New Roman" w:hAnsi="Times New Roman" w:cs="Times New Roman"/>
          <w:sz w:val="24"/>
          <w:szCs w:val="24"/>
        </w:rPr>
        <w:t xml:space="preserve"> </w:t>
      </w:r>
      <w:proofErr w:type="spellStart"/>
      <w:r w:rsidRPr="00FE76A6">
        <w:rPr>
          <w:rFonts w:ascii="Times New Roman" w:hAnsi="Times New Roman" w:cs="Times New Roman"/>
          <w:sz w:val="24"/>
          <w:szCs w:val="24"/>
        </w:rPr>
        <w:t>electrostatic</w:t>
      </w:r>
      <w:proofErr w:type="spellEnd"/>
      <w:r w:rsidRPr="00FE76A6">
        <w:rPr>
          <w:rFonts w:ascii="Times New Roman" w:hAnsi="Times New Roman" w:cs="Times New Roman"/>
          <w:sz w:val="24"/>
          <w:szCs w:val="24"/>
        </w:rPr>
        <w:t xml:space="preserve"> </w:t>
      </w:r>
      <w:proofErr w:type="spellStart"/>
      <w:r w:rsidRPr="00FE76A6">
        <w:rPr>
          <w:rFonts w:ascii="Times New Roman" w:hAnsi="Times New Roman" w:cs="Times New Roman"/>
          <w:sz w:val="24"/>
          <w:szCs w:val="24"/>
        </w:rPr>
        <w:t>repulsion</w:t>
      </w:r>
      <w:proofErr w:type="spellEnd"/>
      <w:r w:rsidRPr="00FE76A6">
        <w:rPr>
          <w:rFonts w:ascii="Times New Roman" w:hAnsi="Times New Roman" w:cs="Times New Roman"/>
          <w:sz w:val="24"/>
          <w:szCs w:val="24"/>
        </w:rPr>
        <w:t xml:space="preserve"> </w:t>
      </w:r>
      <w:proofErr w:type="spellStart"/>
      <w:r w:rsidRPr="00FE76A6">
        <w:rPr>
          <w:rFonts w:ascii="Times New Roman" w:hAnsi="Times New Roman" w:cs="Times New Roman"/>
          <w:sz w:val="24"/>
          <w:szCs w:val="24"/>
        </w:rPr>
        <w:t>without</w:t>
      </w:r>
      <w:proofErr w:type="spellEnd"/>
      <w:r w:rsidRPr="00FE76A6">
        <w:rPr>
          <w:rFonts w:ascii="Times New Roman" w:hAnsi="Times New Roman" w:cs="Times New Roman"/>
          <w:sz w:val="24"/>
          <w:szCs w:val="24"/>
        </w:rPr>
        <w:t xml:space="preserve"> </w:t>
      </w:r>
      <w:proofErr w:type="spellStart"/>
      <w:r w:rsidRPr="00FE76A6">
        <w:rPr>
          <w:rFonts w:ascii="Times New Roman" w:hAnsi="Times New Roman" w:cs="Times New Roman"/>
          <w:sz w:val="24"/>
          <w:szCs w:val="24"/>
        </w:rPr>
        <w:t>significantly</w:t>
      </w:r>
      <w:proofErr w:type="spellEnd"/>
      <w:r w:rsidRPr="00FE76A6">
        <w:rPr>
          <w:rFonts w:ascii="Times New Roman" w:hAnsi="Times New Roman" w:cs="Times New Roman"/>
          <w:sz w:val="24"/>
          <w:szCs w:val="24"/>
        </w:rPr>
        <w:t xml:space="preserve"> </w:t>
      </w:r>
      <w:proofErr w:type="spellStart"/>
      <w:r w:rsidRPr="00FE76A6">
        <w:rPr>
          <w:rFonts w:ascii="Times New Roman" w:hAnsi="Times New Roman" w:cs="Times New Roman"/>
          <w:sz w:val="24"/>
          <w:szCs w:val="24"/>
        </w:rPr>
        <w:t>affecting</w:t>
      </w:r>
      <w:proofErr w:type="spellEnd"/>
      <w:r w:rsidRPr="00FE76A6">
        <w:rPr>
          <w:rFonts w:ascii="Times New Roman" w:hAnsi="Times New Roman" w:cs="Times New Roman"/>
          <w:sz w:val="24"/>
          <w:szCs w:val="24"/>
        </w:rPr>
        <w:t xml:space="preserve"> the </w:t>
      </w:r>
      <w:proofErr w:type="spellStart"/>
      <w:r w:rsidRPr="00FE76A6">
        <w:rPr>
          <w:rFonts w:ascii="Times New Roman" w:hAnsi="Times New Roman" w:cs="Times New Roman"/>
          <w:sz w:val="24"/>
          <w:szCs w:val="24"/>
        </w:rPr>
        <w:t>overall</w:t>
      </w:r>
      <w:proofErr w:type="spellEnd"/>
      <w:r w:rsidRPr="00FE76A6">
        <w:rPr>
          <w:rFonts w:ascii="Times New Roman" w:hAnsi="Times New Roman" w:cs="Times New Roman"/>
          <w:sz w:val="24"/>
          <w:szCs w:val="24"/>
        </w:rPr>
        <w:t xml:space="preserve"> </w:t>
      </w:r>
      <w:proofErr w:type="spellStart"/>
      <w:r>
        <w:rPr>
          <w:rFonts w:ascii="Times New Roman" w:hAnsi="Times New Roman" w:cs="Times New Roman"/>
          <w:sz w:val="24"/>
          <w:szCs w:val="24"/>
        </w:rPr>
        <w:t>degree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micellar</w:t>
      </w:r>
      <w:proofErr w:type="spellEnd"/>
      <w:r>
        <w:rPr>
          <w:rFonts w:ascii="Times New Roman" w:hAnsi="Times New Roman" w:cs="Times New Roman"/>
          <w:sz w:val="24"/>
          <w:szCs w:val="24"/>
        </w:rPr>
        <w:t xml:space="preserve"> dissociation</w:t>
      </w:r>
      <w:r w:rsidRPr="00FE76A6">
        <w:rPr>
          <w:rFonts w:ascii="Times New Roman" w:hAnsi="Times New Roman" w:cs="Times New Roman"/>
          <w:sz w:val="24"/>
          <w:szCs w:val="24"/>
        </w:rPr>
        <w:t xml:space="preserve">. In the case of TMATFB, α </w:t>
      </w:r>
      <w:proofErr w:type="spellStart"/>
      <w:r w:rsidRPr="00FE76A6">
        <w:rPr>
          <w:rFonts w:ascii="Times New Roman" w:hAnsi="Times New Roman" w:cs="Times New Roman"/>
          <w:sz w:val="24"/>
          <w:szCs w:val="24"/>
        </w:rPr>
        <w:t>decreases</w:t>
      </w:r>
      <w:proofErr w:type="spellEnd"/>
      <w:r w:rsidRPr="00FE76A6">
        <w:rPr>
          <w:rFonts w:ascii="Times New Roman" w:hAnsi="Times New Roman" w:cs="Times New Roman"/>
          <w:sz w:val="24"/>
          <w:szCs w:val="24"/>
        </w:rPr>
        <w:t xml:space="preserve"> by 57.6% as the dicofol concentration </w:t>
      </w:r>
      <w:proofErr w:type="spellStart"/>
      <w:r w:rsidRPr="00FE76A6">
        <w:rPr>
          <w:rFonts w:ascii="Times New Roman" w:hAnsi="Times New Roman" w:cs="Times New Roman"/>
          <w:sz w:val="24"/>
          <w:szCs w:val="24"/>
        </w:rPr>
        <w:t>increases</w:t>
      </w:r>
      <w:proofErr w:type="spellEnd"/>
      <w:r w:rsidRPr="00FE76A6">
        <w:rPr>
          <w:rFonts w:ascii="Times New Roman" w:hAnsi="Times New Roman" w:cs="Times New Roman"/>
          <w:sz w:val="24"/>
          <w:szCs w:val="24"/>
        </w:rPr>
        <w:t xml:space="preserve">. </w:t>
      </w:r>
      <w:proofErr w:type="spellStart"/>
      <w:r w:rsidRPr="00FE76A6">
        <w:rPr>
          <w:rFonts w:ascii="Times New Roman" w:hAnsi="Times New Roman" w:cs="Times New Roman"/>
          <w:sz w:val="24"/>
          <w:szCs w:val="24"/>
        </w:rPr>
        <w:t>These</w:t>
      </w:r>
      <w:proofErr w:type="spellEnd"/>
      <w:r w:rsidRPr="00FE76A6">
        <w:rPr>
          <w:rFonts w:ascii="Times New Roman" w:hAnsi="Times New Roman" w:cs="Times New Roman"/>
          <w:sz w:val="24"/>
          <w:szCs w:val="24"/>
        </w:rPr>
        <w:t xml:space="preserve"> </w:t>
      </w:r>
      <w:proofErr w:type="spellStart"/>
      <w:r w:rsidRPr="00FE76A6">
        <w:rPr>
          <w:rFonts w:ascii="Times New Roman" w:hAnsi="Times New Roman" w:cs="Times New Roman"/>
          <w:sz w:val="24"/>
          <w:szCs w:val="24"/>
        </w:rPr>
        <w:t>findings</w:t>
      </w:r>
      <w:proofErr w:type="spellEnd"/>
      <w:r w:rsidRPr="00FE76A6">
        <w:rPr>
          <w:rFonts w:ascii="Times New Roman" w:hAnsi="Times New Roman" w:cs="Times New Roman"/>
          <w:sz w:val="24"/>
          <w:szCs w:val="24"/>
        </w:rPr>
        <w:t xml:space="preserve"> </w:t>
      </w:r>
      <w:proofErr w:type="spellStart"/>
      <w:r w:rsidRPr="00FE76A6">
        <w:rPr>
          <w:rFonts w:ascii="Times New Roman" w:hAnsi="Times New Roman" w:cs="Times New Roman"/>
          <w:sz w:val="24"/>
          <w:szCs w:val="24"/>
        </w:rPr>
        <w:t>demonstrate</w:t>
      </w:r>
      <w:proofErr w:type="spellEnd"/>
      <w:r w:rsidRPr="00FE76A6">
        <w:rPr>
          <w:rFonts w:ascii="Times New Roman" w:hAnsi="Times New Roman" w:cs="Times New Roman"/>
          <w:sz w:val="24"/>
          <w:szCs w:val="24"/>
        </w:rPr>
        <w:t xml:space="preserve"> </w:t>
      </w:r>
      <w:proofErr w:type="spellStart"/>
      <w:r w:rsidRPr="00FE76A6">
        <w:rPr>
          <w:rFonts w:ascii="Times New Roman" w:hAnsi="Times New Roman" w:cs="Times New Roman"/>
          <w:sz w:val="24"/>
          <w:szCs w:val="24"/>
        </w:rPr>
        <w:t>that</w:t>
      </w:r>
      <w:proofErr w:type="spellEnd"/>
      <w:r w:rsidRPr="00FE76A6">
        <w:rPr>
          <w:rFonts w:ascii="Times New Roman" w:hAnsi="Times New Roman" w:cs="Times New Roman"/>
          <w:sz w:val="24"/>
          <w:szCs w:val="24"/>
        </w:rPr>
        <w:t xml:space="preserve"> dicofol not </w:t>
      </w:r>
      <w:proofErr w:type="spellStart"/>
      <w:r w:rsidRPr="00FE76A6">
        <w:rPr>
          <w:rFonts w:ascii="Times New Roman" w:hAnsi="Times New Roman" w:cs="Times New Roman"/>
          <w:sz w:val="24"/>
          <w:szCs w:val="24"/>
        </w:rPr>
        <w:t>only</w:t>
      </w:r>
      <w:proofErr w:type="spellEnd"/>
      <w:r w:rsidRPr="00FE76A6">
        <w:rPr>
          <w:rFonts w:ascii="Times New Roman" w:hAnsi="Times New Roman" w:cs="Times New Roman"/>
          <w:sz w:val="24"/>
          <w:szCs w:val="24"/>
        </w:rPr>
        <w:t xml:space="preserve"> </w:t>
      </w:r>
      <w:proofErr w:type="spellStart"/>
      <w:r w:rsidRPr="00FE76A6">
        <w:rPr>
          <w:rFonts w:ascii="Times New Roman" w:hAnsi="Times New Roman" w:cs="Times New Roman"/>
          <w:sz w:val="24"/>
          <w:szCs w:val="24"/>
        </w:rPr>
        <w:t>attenuates</w:t>
      </w:r>
      <w:proofErr w:type="spellEnd"/>
      <w:r w:rsidRPr="00FE76A6">
        <w:rPr>
          <w:rFonts w:ascii="Times New Roman" w:hAnsi="Times New Roman" w:cs="Times New Roman"/>
          <w:sz w:val="24"/>
          <w:szCs w:val="24"/>
        </w:rPr>
        <w:t xml:space="preserve"> the </w:t>
      </w:r>
      <w:proofErr w:type="spellStart"/>
      <w:r w:rsidRPr="00FE76A6">
        <w:rPr>
          <w:rFonts w:ascii="Times New Roman" w:hAnsi="Times New Roman" w:cs="Times New Roman"/>
          <w:sz w:val="24"/>
          <w:szCs w:val="24"/>
        </w:rPr>
        <w:t>electrostatic</w:t>
      </w:r>
      <w:proofErr w:type="spellEnd"/>
      <w:r w:rsidRPr="00FE76A6">
        <w:rPr>
          <w:rFonts w:ascii="Times New Roman" w:hAnsi="Times New Roman" w:cs="Times New Roman"/>
          <w:sz w:val="24"/>
          <w:szCs w:val="24"/>
        </w:rPr>
        <w:t xml:space="preserve"> </w:t>
      </w:r>
      <w:proofErr w:type="spellStart"/>
      <w:r w:rsidRPr="00FE76A6">
        <w:rPr>
          <w:rFonts w:ascii="Times New Roman" w:hAnsi="Times New Roman" w:cs="Times New Roman"/>
          <w:sz w:val="24"/>
          <w:szCs w:val="24"/>
        </w:rPr>
        <w:t>repulsion</w:t>
      </w:r>
      <w:proofErr w:type="spellEnd"/>
      <w:r w:rsidRPr="00FE76A6">
        <w:rPr>
          <w:rFonts w:ascii="Times New Roman" w:hAnsi="Times New Roman" w:cs="Times New Roman"/>
          <w:sz w:val="24"/>
          <w:szCs w:val="24"/>
        </w:rPr>
        <w:t xml:space="preserve"> </w:t>
      </w:r>
      <w:proofErr w:type="spellStart"/>
      <w:r w:rsidRPr="00FE76A6">
        <w:rPr>
          <w:rFonts w:ascii="Times New Roman" w:hAnsi="Times New Roman" w:cs="Times New Roman"/>
          <w:sz w:val="24"/>
          <w:szCs w:val="24"/>
        </w:rPr>
        <w:t>between</w:t>
      </w:r>
      <w:proofErr w:type="spellEnd"/>
      <w:r w:rsidRPr="00FE76A6">
        <w:rPr>
          <w:rFonts w:ascii="Times New Roman" w:hAnsi="Times New Roman" w:cs="Times New Roman"/>
          <w:sz w:val="24"/>
          <w:szCs w:val="24"/>
        </w:rPr>
        <w:t xml:space="preserve"> the polar </w:t>
      </w:r>
      <w:proofErr w:type="spellStart"/>
      <w:r w:rsidRPr="00FE76A6">
        <w:rPr>
          <w:rFonts w:ascii="Times New Roman" w:hAnsi="Times New Roman" w:cs="Times New Roman"/>
          <w:sz w:val="24"/>
          <w:szCs w:val="24"/>
        </w:rPr>
        <w:t>head</w:t>
      </w:r>
      <w:proofErr w:type="spellEnd"/>
      <w:r w:rsidRPr="00FE76A6">
        <w:rPr>
          <w:rFonts w:ascii="Times New Roman" w:hAnsi="Times New Roman" w:cs="Times New Roman"/>
          <w:sz w:val="24"/>
          <w:szCs w:val="24"/>
        </w:rPr>
        <w:t xml:space="preserve"> groups of the </w:t>
      </w:r>
      <w:proofErr w:type="spellStart"/>
      <w:r w:rsidRPr="00FE76A6">
        <w:rPr>
          <w:rFonts w:ascii="Times New Roman" w:hAnsi="Times New Roman" w:cs="Times New Roman"/>
          <w:sz w:val="24"/>
          <w:szCs w:val="24"/>
        </w:rPr>
        <w:t>cationic</w:t>
      </w:r>
      <w:proofErr w:type="spellEnd"/>
      <w:r w:rsidRPr="00FE76A6">
        <w:rPr>
          <w:rFonts w:ascii="Times New Roman" w:hAnsi="Times New Roman" w:cs="Times New Roman"/>
          <w:sz w:val="24"/>
          <w:szCs w:val="24"/>
        </w:rPr>
        <w:t xml:space="preserve"> micelles, but </w:t>
      </w:r>
      <w:proofErr w:type="spellStart"/>
      <w:r w:rsidRPr="00FE76A6">
        <w:rPr>
          <w:rFonts w:ascii="Times New Roman" w:hAnsi="Times New Roman" w:cs="Times New Roman"/>
          <w:sz w:val="24"/>
          <w:szCs w:val="24"/>
        </w:rPr>
        <w:t>also</w:t>
      </w:r>
      <w:proofErr w:type="spellEnd"/>
      <w:r w:rsidRPr="00FE76A6">
        <w:rPr>
          <w:rFonts w:ascii="Times New Roman" w:hAnsi="Times New Roman" w:cs="Times New Roman"/>
          <w:sz w:val="24"/>
          <w:szCs w:val="24"/>
        </w:rPr>
        <w:t xml:space="preserve"> </w:t>
      </w:r>
      <w:proofErr w:type="spellStart"/>
      <w:r w:rsidRPr="00FE76A6">
        <w:rPr>
          <w:rFonts w:ascii="Times New Roman" w:hAnsi="Times New Roman" w:cs="Times New Roman"/>
          <w:sz w:val="24"/>
          <w:szCs w:val="24"/>
        </w:rPr>
        <w:t>acts</w:t>
      </w:r>
      <w:proofErr w:type="spellEnd"/>
      <w:r w:rsidRPr="00FE76A6">
        <w:rPr>
          <w:rFonts w:ascii="Times New Roman" w:hAnsi="Times New Roman" w:cs="Times New Roman"/>
          <w:sz w:val="24"/>
          <w:szCs w:val="24"/>
        </w:rPr>
        <w:t xml:space="preserve"> as a </w:t>
      </w:r>
      <w:proofErr w:type="spellStart"/>
      <w:r w:rsidRPr="00FE76A6">
        <w:rPr>
          <w:rFonts w:ascii="Times New Roman" w:hAnsi="Times New Roman" w:cs="Times New Roman"/>
          <w:sz w:val="24"/>
          <w:szCs w:val="24"/>
        </w:rPr>
        <w:t>co</w:t>
      </w:r>
      <w:proofErr w:type="spellEnd"/>
      <w:r w:rsidRPr="00FE76A6">
        <w:rPr>
          <w:rFonts w:ascii="Times New Roman" w:hAnsi="Times New Roman" w:cs="Times New Roman"/>
          <w:sz w:val="24"/>
          <w:szCs w:val="24"/>
        </w:rPr>
        <w:t xml:space="preserve">-surfactant, </w:t>
      </w:r>
      <w:proofErr w:type="spellStart"/>
      <w:r w:rsidRPr="00FE76A6">
        <w:rPr>
          <w:rFonts w:ascii="Times New Roman" w:hAnsi="Times New Roman" w:cs="Times New Roman"/>
          <w:sz w:val="24"/>
          <w:szCs w:val="24"/>
        </w:rPr>
        <w:t>thereby</w:t>
      </w:r>
      <w:proofErr w:type="spellEnd"/>
      <w:r w:rsidRPr="00FE76A6">
        <w:rPr>
          <w:rFonts w:ascii="Times New Roman" w:hAnsi="Times New Roman" w:cs="Times New Roman"/>
          <w:sz w:val="24"/>
          <w:szCs w:val="24"/>
        </w:rPr>
        <w:t xml:space="preserve"> </w:t>
      </w:r>
      <w:proofErr w:type="spellStart"/>
      <w:r w:rsidRPr="00FE76A6">
        <w:rPr>
          <w:rFonts w:ascii="Times New Roman" w:hAnsi="Times New Roman" w:cs="Times New Roman"/>
          <w:sz w:val="24"/>
          <w:szCs w:val="24"/>
        </w:rPr>
        <w:t>promoting</w:t>
      </w:r>
      <w:proofErr w:type="spellEnd"/>
      <w:r w:rsidRPr="00FE76A6">
        <w:rPr>
          <w:rFonts w:ascii="Times New Roman" w:hAnsi="Times New Roman" w:cs="Times New Roman"/>
          <w:sz w:val="24"/>
          <w:szCs w:val="24"/>
        </w:rPr>
        <w:t xml:space="preserve"> and </w:t>
      </w:r>
      <w:proofErr w:type="spellStart"/>
      <w:r w:rsidRPr="00FE76A6">
        <w:rPr>
          <w:rFonts w:ascii="Times New Roman" w:hAnsi="Times New Roman" w:cs="Times New Roman"/>
          <w:sz w:val="24"/>
          <w:szCs w:val="24"/>
        </w:rPr>
        <w:t>stabilizing</w:t>
      </w:r>
      <w:proofErr w:type="spellEnd"/>
      <w:r w:rsidRPr="00FE76A6">
        <w:rPr>
          <w:rFonts w:ascii="Times New Roman" w:hAnsi="Times New Roman" w:cs="Times New Roman"/>
          <w:sz w:val="24"/>
          <w:szCs w:val="24"/>
        </w:rPr>
        <w:t xml:space="preserve"> the </w:t>
      </w:r>
      <w:proofErr w:type="spellStart"/>
      <w:r w:rsidRPr="00FE76A6">
        <w:rPr>
          <w:rFonts w:ascii="Times New Roman" w:hAnsi="Times New Roman" w:cs="Times New Roman"/>
          <w:sz w:val="24"/>
          <w:szCs w:val="24"/>
        </w:rPr>
        <w:t>micellization</w:t>
      </w:r>
      <w:proofErr w:type="spellEnd"/>
      <w:r w:rsidRPr="00FE76A6">
        <w:rPr>
          <w:rFonts w:ascii="Times New Roman" w:hAnsi="Times New Roman" w:cs="Times New Roman"/>
          <w:sz w:val="24"/>
          <w:szCs w:val="24"/>
        </w:rPr>
        <w:t xml:space="preserve"> process (</w:t>
      </w:r>
      <w:proofErr w:type="spellStart"/>
      <w:r w:rsidRPr="00FE76A6">
        <w:rPr>
          <w:rFonts w:ascii="Times New Roman" w:hAnsi="Times New Roman" w:cs="Times New Roman"/>
          <w:color w:val="0070C0"/>
          <w:sz w:val="24"/>
          <w:szCs w:val="24"/>
        </w:rPr>
        <w:t>Sarr</w:t>
      </w:r>
      <w:proofErr w:type="spellEnd"/>
      <w:r w:rsidRPr="00FE76A6">
        <w:rPr>
          <w:rFonts w:ascii="Times New Roman" w:hAnsi="Times New Roman" w:cs="Times New Roman"/>
          <w:color w:val="0070C0"/>
          <w:sz w:val="24"/>
          <w:szCs w:val="24"/>
        </w:rPr>
        <w:t xml:space="preserve"> et al., </w:t>
      </w:r>
      <w:proofErr w:type="gramStart"/>
      <w:r w:rsidRPr="00FE76A6">
        <w:rPr>
          <w:rFonts w:ascii="Times New Roman" w:hAnsi="Times New Roman" w:cs="Times New Roman"/>
          <w:color w:val="0070C0"/>
          <w:sz w:val="24"/>
          <w:szCs w:val="24"/>
        </w:rPr>
        <w:t>2017;</w:t>
      </w:r>
      <w:proofErr w:type="gramEnd"/>
      <w:r w:rsidRPr="00FE76A6">
        <w:rPr>
          <w:rFonts w:ascii="Times New Roman" w:hAnsi="Times New Roman" w:cs="Times New Roman"/>
          <w:color w:val="0070C0"/>
          <w:sz w:val="24"/>
          <w:szCs w:val="24"/>
        </w:rPr>
        <w:t xml:space="preserve"> </w:t>
      </w:r>
      <w:proofErr w:type="spellStart"/>
      <w:r w:rsidRPr="00FE76A6">
        <w:rPr>
          <w:rFonts w:ascii="Times New Roman" w:hAnsi="Times New Roman" w:cs="Times New Roman"/>
          <w:color w:val="0070C0"/>
          <w:sz w:val="24"/>
          <w:szCs w:val="24"/>
        </w:rPr>
        <w:t>Banjare</w:t>
      </w:r>
      <w:proofErr w:type="spellEnd"/>
      <w:r w:rsidRPr="00FE76A6">
        <w:rPr>
          <w:rFonts w:ascii="Times New Roman" w:hAnsi="Times New Roman" w:cs="Times New Roman"/>
          <w:color w:val="0070C0"/>
          <w:sz w:val="24"/>
          <w:szCs w:val="24"/>
        </w:rPr>
        <w:t xml:space="preserve"> et al., 2020</w:t>
      </w:r>
      <w:r w:rsidRPr="00FE76A6">
        <w:rPr>
          <w:rFonts w:ascii="Times New Roman" w:hAnsi="Times New Roman" w:cs="Times New Roman"/>
          <w:sz w:val="24"/>
          <w:szCs w:val="24"/>
        </w:rPr>
        <w:t>).</w:t>
      </w:r>
    </w:p>
    <w:p w14:paraId="6E80DA12" w14:textId="77777777" w:rsidR="00E9612D" w:rsidRDefault="009B35DD" w:rsidP="00D0116E">
      <w:pPr>
        <w:spacing w:after="0" w:line="360" w:lineRule="auto"/>
        <w:jc w:val="both"/>
        <w:rPr>
          <w:rFonts w:ascii="Times New Roman" w:hAnsi="Times New Roman" w:cs="Times New Roman"/>
          <w:color w:val="0000CC"/>
          <w:sz w:val="24"/>
          <w:szCs w:val="24"/>
        </w:rPr>
      </w:pPr>
      <w:r>
        <w:object w:dxaOrig="25604" w:dyaOrig="18000" w14:anchorId="60C25D79">
          <v:shape id="_x0000_i1029" type="#_x0000_t75" style="width:377.5pt;height:265.5pt" o:ole="">
            <v:imagedata r:id="rId16" o:title=""/>
          </v:shape>
          <o:OLEObject Type="Embed" ProgID="Origin50.Graph" ShapeID="_x0000_i1029" DrawAspect="Content" ObjectID="_1833356233" r:id="rId17"/>
        </w:object>
      </w:r>
    </w:p>
    <w:p w14:paraId="603AD574" w14:textId="77777777" w:rsidR="00C60B9E" w:rsidRPr="007D1DD5" w:rsidRDefault="007D1DD5" w:rsidP="00D0116E">
      <w:pPr>
        <w:spacing w:after="0" w:line="360" w:lineRule="auto"/>
        <w:jc w:val="both"/>
        <w:rPr>
          <w:rFonts w:ascii="Times New Roman" w:hAnsi="Times New Roman" w:cs="Times New Roman"/>
          <w:b/>
          <w:sz w:val="24"/>
          <w:szCs w:val="24"/>
        </w:rPr>
      </w:pPr>
      <w:r w:rsidRPr="00634232">
        <w:rPr>
          <w:rFonts w:ascii="Times New Roman" w:hAnsi="Times New Roman" w:cs="Times New Roman"/>
          <w:b/>
          <w:sz w:val="24"/>
          <w:szCs w:val="24"/>
        </w:rPr>
        <w:t xml:space="preserve">Fig. </w:t>
      </w:r>
      <w:r w:rsidR="00F3167D" w:rsidRPr="00634232">
        <w:rPr>
          <w:rFonts w:ascii="Times New Roman" w:hAnsi="Times New Roman" w:cs="Times New Roman"/>
          <w:b/>
          <w:sz w:val="24"/>
          <w:szCs w:val="24"/>
        </w:rPr>
        <w:t>2</w:t>
      </w:r>
      <w:r w:rsidR="00C60B9E" w:rsidRPr="00634232">
        <w:rPr>
          <w:rFonts w:ascii="Times New Roman" w:hAnsi="Times New Roman" w:cs="Times New Roman"/>
          <w:b/>
          <w:sz w:val="24"/>
          <w:szCs w:val="24"/>
        </w:rPr>
        <w:t xml:space="preserve">. </w:t>
      </w:r>
      <w:r w:rsidR="0065059A" w:rsidRPr="00634232">
        <w:rPr>
          <w:rFonts w:ascii="Times New Roman" w:hAnsi="Times New Roman" w:cs="Times New Roman"/>
          <w:b/>
          <w:sz w:val="24"/>
          <w:szCs w:val="24"/>
        </w:rPr>
        <w:t>Degree of dissociation variation</w:t>
      </w:r>
      <w:r w:rsidR="00237C70" w:rsidRPr="00634232">
        <w:rPr>
          <w:rFonts w:ascii="Times New Roman" w:hAnsi="Times New Roman" w:cs="Times New Roman"/>
          <w:b/>
          <w:sz w:val="24"/>
          <w:szCs w:val="24"/>
        </w:rPr>
        <w:t xml:space="preserve"> of TMATFB (■) and SDS (</w:t>
      </w:r>
      <w:r w:rsidR="00237C70" w:rsidRPr="00634232">
        <w:rPr>
          <w:rFonts w:ascii="Times New Roman" w:hAnsi="Times New Roman" w:cs="Times New Roman"/>
          <w:b/>
          <w:color w:val="FF0000"/>
          <w:sz w:val="24"/>
          <w:szCs w:val="24"/>
        </w:rPr>
        <w:t>●</w:t>
      </w:r>
      <w:r w:rsidR="00237C70" w:rsidRPr="00634232">
        <w:rPr>
          <w:rFonts w:ascii="Times New Roman" w:hAnsi="Times New Roman" w:cs="Times New Roman"/>
          <w:b/>
          <w:sz w:val="24"/>
          <w:szCs w:val="24"/>
        </w:rPr>
        <w:t xml:space="preserve">) as a </w:t>
      </w:r>
      <w:proofErr w:type="spellStart"/>
      <w:r w:rsidR="00237C70" w:rsidRPr="00634232">
        <w:rPr>
          <w:rFonts w:ascii="Times New Roman" w:hAnsi="Times New Roman" w:cs="Times New Roman"/>
          <w:b/>
          <w:sz w:val="24"/>
          <w:szCs w:val="24"/>
        </w:rPr>
        <w:t>functio</w:t>
      </w:r>
      <w:r w:rsidR="00A90F6F">
        <w:rPr>
          <w:rFonts w:ascii="Times New Roman" w:hAnsi="Times New Roman" w:cs="Times New Roman"/>
          <w:b/>
          <w:sz w:val="24"/>
          <w:szCs w:val="24"/>
        </w:rPr>
        <w:t>n</w:t>
      </w:r>
      <w:proofErr w:type="spellEnd"/>
      <w:r w:rsidR="00A90F6F">
        <w:rPr>
          <w:rFonts w:ascii="Times New Roman" w:hAnsi="Times New Roman" w:cs="Times New Roman"/>
          <w:b/>
          <w:sz w:val="24"/>
          <w:szCs w:val="24"/>
        </w:rPr>
        <w:t xml:space="preserve"> of dicofol</w:t>
      </w:r>
      <w:r w:rsidRPr="00634232">
        <w:rPr>
          <w:rFonts w:ascii="Times New Roman" w:hAnsi="Times New Roman" w:cs="Times New Roman"/>
          <w:b/>
          <w:sz w:val="24"/>
          <w:szCs w:val="24"/>
        </w:rPr>
        <w:t xml:space="preserve"> concentration at 303</w:t>
      </w:r>
      <w:r w:rsidR="00634232">
        <w:rPr>
          <w:rFonts w:ascii="Times New Roman" w:hAnsi="Times New Roman" w:cs="Times New Roman"/>
          <w:b/>
          <w:sz w:val="24"/>
          <w:szCs w:val="24"/>
        </w:rPr>
        <w:t>.15</w:t>
      </w:r>
      <w:r w:rsidRPr="00634232">
        <w:rPr>
          <w:rFonts w:ascii="Times New Roman" w:hAnsi="Times New Roman" w:cs="Times New Roman"/>
          <w:b/>
          <w:sz w:val="24"/>
          <w:szCs w:val="24"/>
        </w:rPr>
        <w:t xml:space="preserve"> K</w:t>
      </w:r>
    </w:p>
    <w:p w14:paraId="4C1BB927" w14:textId="77777777" w:rsidR="00C86B47" w:rsidRDefault="00C86B47" w:rsidP="00C86B47">
      <w:pPr>
        <w:spacing w:after="0" w:line="360" w:lineRule="auto"/>
        <w:jc w:val="both"/>
        <w:rPr>
          <w:rFonts w:ascii="Times New Roman" w:hAnsi="Times New Roman" w:cs="Times New Roman"/>
          <w:color w:val="FF0000"/>
          <w:sz w:val="24"/>
          <w:szCs w:val="24"/>
        </w:rPr>
      </w:pPr>
    </w:p>
    <w:p w14:paraId="5E9AEA3A" w14:textId="77777777" w:rsidR="0004258B" w:rsidRDefault="00EA6D99" w:rsidP="0004258B">
      <w:pPr>
        <w:spacing w:after="0" w:line="360" w:lineRule="auto"/>
        <w:ind w:firstLine="708"/>
        <w:jc w:val="both"/>
        <w:rPr>
          <w:rFonts w:ascii="Times New Roman" w:hAnsi="Times New Roman" w:cs="Times New Roman"/>
          <w:color w:val="0000CC"/>
          <w:sz w:val="24"/>
          <w:szCs w:val="24"/>
        </w:rPr>
      </w:pPr>
      <w:r w:rsidRPr="00EA6D99">
        <w:rPr>
          <w:rFonts w:ascii="Times New Roman" w:hAnsi="Times New Roman" w:cs="Times New Roman"/>
          <w:color w:val="000000" w:themeColor="text1"/>
          <w:sz w:val="24"/>
          <w:szCs w:val="24"/>
        </w:rPr>
        <w:t xml:space="preserve">The CMC and </w:t>
      </w:r>
      <w:proofErr w:type="spellStart"/>
      <w:r w:rsidRPr="00EA6D99">
        <w:rPr>
          <w:rFonts w:ascii="Times New Roman" w:hAnsi="Times New Roman" w:cs="Times New Roman"/>
          <w:color w:val="000000" w:themeColor="text1"/>
          <w:sz w:val="24"/>
          <w:szCs w:val="24"/>
        </w:rPr>
        <w:t>degree</w:t>
      </w:r>
      <w:proofErr w:type="spellEnd"/>
      <w:r w:rsidRPr="00EA6D99">
        <w:rPr>
          <w:rFonts w:ascii="Times New Roman" w:hAnsi="Times New Roman" w:cs="Times New Roman"/>
          <w:color w:val="000000" w:themeColor="text1"/>
          <w:sz w:val="24"/>
          <w:szCs w:val="24"/>
        </w:rPr>
        <w:t xml:space="preserve"> of dissociation (α) values </w:t>
      </w:r>
      <w:proofErr w:type="spellStart"/>
      <w:r w:rsidRPr="00EA6D99">
        <w:rPr>
          <w:rFonts w:ascii="Times New Roman" w:hAnsi="Times New Roman" w:cs="Times New Roman"/>
          <w:color w:val="000000" w:themeColor="text1"/>
          <w:sz w:val="24"/>
          <w:szCs w:val="24"/>
        </w:rPr>
        <w:t>obtained</w:t>
      </w:r>
      <w:proofErr w:type="spellEnd"/>
      <w:r w:rsidRPr="00EA6D99">
        <w:rPr>
          <w:rFonts w:ascii="Times New Roman" w:hAnsi="Times New Roman" w:cs="Times New Roman"/>
          <w:color w:val="000000" w:themeColor="text1"/>
          <w:sz w:val="24"/>
          <w:szCs w:val="24"/>
        </w:rPr>
        <w:t xml:space="preserve"> are </w:t>
      </w:r>
      <w:proofErr w:type="spellStart"/>
      <w:r w:rsidRPr="00EA6D99">
        <w:rPr>
          <w:rFonts w:ascii="Times New Roman" w:hAnsi="Times New Roman" w:cs="Times New Roman"/>
          <w:color w:val="000000" w:themeColor="text1"/>
          <w:sz w:val="24"/>
          <w:szCs w:val="24"/>
        </w:rPr>
        <w:t>presented</w:t>
      </w:r>
      <w:proofErr w:type="spellEnd"/>
      <w:r w:rsidRPr="00EA6D99">
        <w:rPr>
          <w:rFonts w:ascii="Times New Roman" w:hAnsi="Times New Roman" w:cs="Times New Roman"/>
          <w:color w:val="000000" w:themeColor="text1"/>
          <w:sz w:val="24"/>
          <w:szCs w:val="24"/>
        </w:rPr>
        <w:t xml:space="preserve"> in Table 2. </w:t>
      </w:r>
      <w:proofErr w:type="spellStart"/>
      <w:r w:rsidRPr="00EA6D99">
        <w:rPr>
          <w:rFonts w:ascii="Times New Roman" w:hAnsi="Times New Roman" w:cs="Times New Roman"/>
          <w:color w:val="000000" w:themeColor="text1"/>
          <w:sz w:val="24"/>
          <w:szCs w:val="24"/>
        </w:rPr>
        <w:t>Furthermore</w:t>
      </w:r>
      <w:proofErr w:type="spellEnd"/>
      <w:r w:rsidRPr="00EA6D99">
        <w:rPr>
          <w:rFonts w:ascii="Times New Roman" w:hAnsi="Times New Roman" w:cs="Times New Roman"/>
          <w:color w:val="000000" w:themeColor="text1"/>
          <w:sz w:val="24"/>
          <w:szCs w:val="24"/>
        </w:rPr>
        <w:t xml:space="preserve">, the </w:t>
      </w:r>
      <w:proofErr w:type="spellStart"/>
      <w:r w:rsidRPr="00EA6D99">
        <w:rPr>
          <w:rFonts w:ascii="Times New Roman" w:hAnsi="Times New Roman" w:cs="Times New Roman"/>
          <w:color w:val="000000" w:themeColor="text1"/>
          <w:sz w:val="24"/>
          <w:szCs w:val="24"/>
        </w:rPr>
        <w:t>negative</w:t>
      </w:r>
      <w:proofErr w:type="spellEnd"/>
      <w:r w:rsidRPr="00EA6D99">
        <w:rPr>
          <w:rFonts w:ascii="Times New Roman" w:hAnsi="Times New Roman" w:cs="Times New Roman"/>
          <w:color w:val="000000" w:themeColor="text1"/>
          <w:sz w:val="24"/>
          <w:szCs w:val="24"/>
        </w:rPr>
        <w:t xml:space="preserve"> values of the standard free </w:t>
      </w:r>
      <w:proofErr w:type="spellStart"/>
      <w:r w:rsidRPr="00EA6D99">
        <w:rPr>
          <w:rFonts w:ascii="Times New Roman" w:hAnsi="Times New Roman" w:cs="Times New Roman"/>
          <w:color w:val="000000" w:themeColor="text1"/>
          <w:sz w:val="24"/>
          <w:szCs w:val="24"/>
        </w:rPr>
        <w:t>energy</w:t>
      </w:r>
      <w:proofErr w:type="spellEnd"/>
      <w:r w:rsidRPr="00EA6D99">
        <w:rPr>
          <w:rFonts w:ascii="Times New Roman" w:hAnsi="Times New Roman" w:cs="Times New Roman"/>
          <w:color w:val="000000" w:themeColor="text1"/>
          <w:sz w:val="24"/>
          <w:szCs w:val="24"/>
        </w:rPr>
        <w:t xml:space="preserve"> of </w:t>
      </w:r>
      <w:proofErr w:type="spellStart"/>
      <w:r w:rsidRPr="00EA6D99">
        <w:rPr>
          <w:rFonts w:ascii="Times New Roman" w:hAnsi="Times New Roman" w:cs="Times New Roman"/>
          <w:color w:val="000000" w:themeColor="text1"/>
          <w:sz w:val="24"/>
          <w:szCs w:val="24"/>
        </w:rPr>
        <w:t>micellization</w:t>
      </w:r>
      <w:proofErr w:type="spellEnd"/>
      <w:r w:rsidRPr="00EA6D99">
        <w:rPr>
          <w:rFonts w:ascii="Times New Roman" w:hAnsi="Times New Roman" w:cs="Times New Roman"/>
          <w:color w:val="000000" w:themeColor="text1"/>
          <w:sz w:val="24"/>
          <w:szCs w:val="24"/>
        </w:rPr>
        <w:t xml:space="preserve"> (ΔG°) </w:t>
      </w:r>
      <w:proofErr w:type="spellStart"/>
      <w:r w:rsidRPr="00EA6D99">
        <w:rPr>
          <w:rFonts w:ascii="Times New Roman" w:hAnsi="Times New Roman" w:cs="Times New Roman"/>
          <w:color w:val="000000" w:themeColor="text1"/>
          <w:sz w:val="24"/>
          <w:szCs w:val="24"/>
        </w:rPr>
        <w:t>confirm</w:t>
      </w:r>
      <w:proofErr w:type="spellEnd"/>
      <w:r w:rsidRPr="00EA6D99">
        <w:rPr>
          <w:rFonts w:ascii="Times New Roman" w:hAnsi="Times New Roman" w:cs="Times New Roman"/>
          <w:color w:val="000000" w:themeColor="text1"/>
          <w:sz w:val="24"/>
          <w:szCs w:val="24"/>
        </w:rPr>
        <w:t xml:space="preserve"> </w:t>
      </w:r>
      <w:proofErr w:type="spellStart"/>
      <w:r w:rsidRPr="00EA6D99">
        <w:rPr>
          <w:rFonts w:ascii="Times New Roman" w:hAnsi="Times New Roman" w:cs="Times New Roman"/>
          <w:color w:val="000000" w:themeColor="text1"/>
          <w:sz w:val="24"/>
          <w:szCs w:val="24"/>
        </w:rPr>
        <w:t>that</w:t>
      </w:r>
      <w:proofErr w:type="spellEnd"/>
      <w:r w:rsidRPr="00EA6D99">
        <w:rPr>
          <w:rFonts w:ascii="Times New Roman" w:hAnsi="Times New Roman" w:cs="Times New Roman"/>
          <w:color w:val="000000" w:themeColor="text1"/>
          <w:sz w:val="24"/>
          <w:szCs w:val="24"/>
        </w:rPr>
        <w:t xml:space="preserve"> the </w:t>
      </w:r>
      <w:proofErr w:type="spellStart"/>
      <w:r w:rsidRPr="00EA6D99">
        <w:rPr>
          <w:rFonts w:ascii="Times New Roman" w:hAnsi="Times New Roman" w:cs="Times New Roman"/>
          <w:color w:val="000000" w:themeColor="text1"/>
          <w:sz w:val="24"/>
          <w:szCs w:val="24"/>
        </w:rPr>
        <w:t>micellization</w:t>
      </w:r>
      <w:proofErr w:type="spellEnd"/>
      <w:r w:rsidRPr="00EA6D99">
        <w:rPr>
          <w:rFonts w:ascii="Times New Roman" w:hAnsi="Times New Roman" w:cs="Times New Roman"/>
          <w:color w:val="000000" w:themeColor="text1"/>
          <w:sz w:val="24"/>
          <w:szCs w:val="24"/>
        </w:rPr>
        <w:t xml:space="preserve"> process </w:t>
      </w:r>
      <w:proofErr w:type="spellStart"/>
      <w:r w:rsidRPr="00EA6D99">
        <w:rPr>
          <w:rFonts w:ascii="Times New Roman" w:hAnsi="Times New Roman" w:cs="Times New Roman"/>
          <w:color w:val="000000" w:themeColor="text1"/>
          <w:sz w:val="24"/>
          <w:szCs w:val="24"/>
        </w:rPr>
        <w:t>is</w:t>
      </w:r>
      <w:proofErr w:type="spellEnd"/>
      <w:r w:rsidRPr="00EA6D99">
        <w:rPr>
          <w:rFonts w:ascii="Times New Roman" w:hAnsi="Times New Roman" w:cs="Times New Roman"/>
          <w:color w:val="000000" w:themeColor="text1"/>
          <w:sz w:val="24"/>
          <w:szCs w:val="24"/>
        </w:rPr>
        <w:t xml:space="preserve"> </w:t>
      </w:r>
      <w:proofErr w:type="spellStart"/>
      <w:r w:rsidRPr="00EA6D99">
        <w:rPr>
          <w:rFonts w:ascii="Times New Roman" w:hAnsi="Times New Roman" w:cs="Times New Roman"/>
          <w:color w:val="000000" w:themeColor="text1"/>
          <w:sz w:val="24"/>
          <w:szCs w:val="24"/>
        </w:rPr>
        <w:t>thermodynamically</w:t>
      </w:r>
      <w:proofErr w:type="spellEnd"/>
      <w:r w:rsidRPr="00EA6D99">
        <w:rPr>
          <w:rFonts w:ascii="Times New Roman" w:hAnsi="Times New Roman" w:cs="Times New Roman"/>
          <w:color w:val="000000" w:themeColor="text1"/>
          <w:sz w:val="24"/>
          <w:szCs w:val="24"/>
        </w:rPr>
        <w:t xml:space="preserve"> favorable, </w:t>
      </w:r>
      <w:proofErr w:type="spellStart"/>
      <w:r w:rsidRPr="00EA6D99">
        <w:rPr>
          <w:rFonts w:ascii="Times New Roman" w:hAnsi="Times New Roman" w:cs="Times New Roman"/>
          <w:color w:val="000000" w:themeColor="text1"/>
          <w:sz w:val="24"/>
          <w:szCs w:val="24"/>
        </w:rPr>
        <w:t>with</w:t>
      </w:r>
      <w:proofErr w:type="spellEnd"/>
      <w:r w:rsidRPr="00EA6D99">
        <w:rPr>
          <w:rFonts w:ascii="Times New Roman" w:hAnsi="Times New Roman" w:cs="Times New Roman"/>
          <w:color w:val="000000" w:themeColor="text1"/>
          <w:sz w:val="24"/>
          <w:szCs w:val="24"/>
        </w:rPr>
        <w:t xml:space="preserve"> ΔG° </w:t>
      </w:r>
      <w:proofErr w:type="spellStart"/>
      <w:r w:rsidRPr="00EA6D99">
        <w:rPr>
          <w:rFonts w:ascii="Times New Roman" w:hAnsi="Times New Roman" w:cs="Times New Roman"/>
          <w:color w:val="000000" w:themeColor="text1"/>
          <w:sz w:val="24"/>
          <w:szCs w:val="24"/>
        </w:rPr>
        <w:t>becoming</w:t>
      </w:r>
      <w:proofErr w:type="spellEnd"/>
      <w:r w:rsidRPr="00EA6D99">
        <w:rPr>
          <w:rFonts w:ascii="Times New Roman" w:hAnsi="Times New Roman" w:cs="Times New Roman"/>
          <w:color w:val="000000" w:themeColor="text1"/>
          <w:sz w:val="24"/>
          <w:szCs w:val="24"/>
        </w:rPr>
        <w:t xml:space="preserve"> </w:t>
      </w:r>
      <w:proofErr w:type="spellStart"/>
      <w:r w:rsidRPr="00EA6D99">
        <w:rPr>
          <w:rFonts w:ascii="Times New Roman" w:hAnsi="Times New Roman" w:cs="Times New Roman"/>
          <w:color w:val="000000" w:themeColor="text1"/>
          <w:sz w:val="24"/>
          <w:szCs w:val="24"/>
        </w:rPr>
        <w:t>increasingly</w:t>
      </w:r>
      <w:proofErr w:type="spellEnd"/>
      <w:r w:rsidRPr="00EA6D99">
        <w:rPr>
          <w:rFonts w:ascii="Times New Roman" w:hAnsi="Times New Roman" w:cs="Times New Roman"/>
          <w:color w:val="000000" w:themeColor="text1"/>
          <w:sz w:val="24"/>
          <w:szCs w:val="24"/>
        </w:rPr>
        <w:t xml:space="preserve"> </w:t>
      </w:r>
      <w:proofErr w:type="spellStart"/>
      <w:r w:rsidRPr="00EA6D99">
        <w:rPr>
          <w:rFonts w:ascii="Times New Roman" w:hAnsi="Times New Roman" w:cs="Times New Roman"/>
          <w:color w:val="000000" w:themeColor="text1"/>
          <w:sz w:val="24"/>
          <w:szCs w:val="24"/>
        </w:rPr>
        <w:t>negative</w:t>
      </w:r>
      <w:proofErr w:type="spellEnd"/>
      <w:r w:rsidRPr="00EA6D99">
        <w:rPr>
          <w:rFonts w:ascii="Times New Roman" w:hAnsi="Times New Roman" w:cs="Times New Roman"/>
          <w:color w:val="000000" w:themeColor="text1"/>
          <w:sz w:val="24"/>
          <w:szCs w:val="24"/>
        </w:rPr>
        <w:t xml:space="preserve"> as the insecticide concentration </w:t>
      </w:r>
      <w:proofErr w:type="spellStart"/>
      <w:r w:rsidRPr="00EA6D99">
        <w:rPr>
          <w:rFonts w:ascii="Times New Roman" w:hAnsi="Times New Roman" w:cs="Times New Roman"/>
          <w:color w:val="000000" w:themeColor="text1"/>
          <w:sz w:val="24"/>
          <w:szCs w:val="24"/>
        </w:rPr>
        <w:t>rises</w:t>
      </w:r>
      <w:proofErr w:type="spellEnd"/>
      <w:r w:rsidRPr="00EA6D99">
        <w:rPr>
          <w:rFonts w:ascii="Times New Roman" w:hAnsi="Times New Roman" w:cs="Times New Roman"/>
          <w:color w:val="000000" w:themeColor="text1"/>
          <w:sz w:val="24"/>
          <w:szCs w:val="24"/>
        </w:rPr>
        <w:t xml:space="preserve">. </w:t>
      </w:r>
      <w:proofErr w:type="spellStart"/>
      <w:r w:rsidRPr="00EA6D99">
        <w:rPr>
          <w:rFonts w:ascii="Times New Roman" w:hAnsi="Times New Roman" w:cs="Times New Roman"/>
          <w:color w:val="000000" w:themeColor="text1"/>
          <w:sz w:val="24"/>
          <w:szCs w:val="24"/>
        </w:rPr>
        <w:t>Similar</w:t>
      </w:r>
      <w:proofErr w:type="spellEnd"/>
      <w:r w:rsidRPr="00EA6D99">
        <w:rPr>
          <w:rFonts w:ascii="Times New Roman" w:hAnsi="Times New Roman" w:cs="Times New Roman"/>
          <w:color w:val="000000" w:themeColor="text1"/>
          <w:sz w:val="24"/>
          <w:szCs w:val="24"/>
        </w:rPr>
        <w:t xml:space="preserve"> trends have been </w:t>
      </w:r>
      <w:proofErr w:type="spellStart"/>
      <w:r w:rsidRPr="00EA6D99">
        <w:rPr>
          <w:rFonts w:ascii="Times New Roman" w:hAnsi="Times New Roman" w:cs="Times New Roman"/>
          <w:color w:val="000000" w:themeColor="text1"/>
          <w:sz w:val="24"/>
          <w:szCs w:val="24"/>
        </w:rPr>
        <w:t>reported</w:t>
      </w:r>
      <w:proofErr w:type="spellEnd"/>
      <w:r w:rsidRPr="00EA6D99">
        <w:rPr>
          <w:rFonts w:ascii="Times New Roman" w:hAnsi="Times New Roman" w:cs="Times New Roman"/>
          <w:color w:val="000000" w:themeColor="text1"/>
          <w:sz w:val="24"/>
          <w:szCs w:val="24"/>
        </w:rPr>
        <w:t xml:space="preserve"> in </w:t>
      </w:r>
      <w:proofErr w:type="spellStart"/>
      <w:r w:rsidRPr="00EA6D99">
        <w:rPr>
          <w:rFonts w:ascii="Times New Roman" w:hAnsi="Times New Roman" w:cs="Times New Roman"/>
          <w:color w:val="000000" w:themeColor="text1"/>
          <w:sz w:val="24"/>
          <w:szCs w:val="24"/>
        </w:rPr>
        <w:t>studies</w:t>
      </w:r>
      <w:proofErr w:type="spellEnd"/>
      <w:r w:rsidRPr="00EA6D99">
        <w:rPr>
          <w:rFonts w:ascii="Times New Roman" w:hAnsi="Times New Roman" w:cs="Times New Roman"/>
          <w:color w:val="000000" w:themeColor="text1"/>
          <w:sz w:val="24"/>
          <w:szCs w:val="24"/>
        </w:rPr>
        <w:t xml:space="preserve"> on the </w:t>
      </w:r>
      <w:proofErr w:type="spellStart"/>
      <w:r w:rsidRPr="00EA6D99">
        <w:rPr>
          <w:rFonts w:ascii="Times New Roman" w:hAnsi="Times New Roman" w:cs="Times New Roman"/>
          <w:color w:val="000000" w:themeColor="text1"/>
          <w:sz w:val="24"/>
          <w:szCs w:val="24"/>
        </w:rPr>
        <w:t>solubilization</w:t>
      </w:r>
      <w:proofErr w:type="spellEnd"/>
      <w:r w:rsidRPr="00EA6D99">
        <w:rPr>
          <w:rFonts w:ascii="Times New Roman" w:hAnsi="Times New Roman" w:cs="Times New Roman"/>
          <w:color w:val="000000" w:themeColor="text1"/>
          <w:sz w:val="24"/>
          <w:szCs w:val="24"/>
        </w:rPr>
        <w:t xml:space="preserve"> of </w:t>
      </w:r>
      <w:proofErr w:type="spellStart"/>
      <w:r w:rsidRPr="00EA6D99">
        <w:rPr>
          <w:rFonts w:ascii="Times New Roman" w:hAnsi="Times New Roman" w:cs="Times New Roman"/>
          <w:color w:val="000000" w:themeColor="text1"/>
          <w:sz w:val="24"/>
          <w:szCs w:val="24"/>
        </w:rPr>
        <w:t>chlorpyrifos</w:t>
      </w:r>
      <w:proofErr w:type="spellEnd"/>
      <w:r w:rsidRPr="00EA6D99">
        <w:rPr>
          <w:rFonts w:ascii="Times New Roman" w:hAnsi="Times New Roman" w:cs="Times New Roman"/>
          <w:color w:val="000000" w:themeColor="text1"/>
          <w:sz w:val="24"/>
          <w:szCs w:val="24"/>
        </w:rPr>
        <w:t xml:space="preserve"> and phosalone in </w:t>
      </w:r>
      <w:proofErr w:type="spellStart"/>
      <w:r w:rsidRPr="00EA6D99">
        <w:rPr>
          <w:rFonts w:ascii="Times New Roman" w:hAnsi="Times New Roman" w:cs="Times New Roman"/>
          <w:color w:val="000000" w:themeColor="text1"/>
          <w:sz w:val="24"/>
          <w:szCs w:val="24"/>
        </w:rPr>
        <w:t>anionic</w:t>
      </w:r>
      <w:proofErr w:type="spellEnd"/>
      <w:r w:rsidRPr="00EA6D99">
        <w:rPr>
          <w:rFonts w:ascii="Times New Roman" w:hAnsi="Times New Roman" w:cs="Times New Roman"/>
          <w:color w:val="000000" w:themeColor="text1"/>
          <w:sz w:val="24"/>
          <w:szCs w:val="24"/>
        </w:rPr>
        <w:t xml:space="preserve"> SDS and </w:t>
      </w:r>
      <w:proofErr w:type="spellStart"/>
      <w:r w:rsidRPr="00EA6D99">
        <w:rPr>
          <w:rFonts w:ascii="Times New Roman" w:hAnsi="Times New Roman" w:cs="Times New Roman"/>
          <w:color w:val="000000" w:themeColor="text1"/>
          <w:sz w:val="24"/>
          <w:szCs w:val="24"/>
        </w:rPr>
        <w:t>cationic</w:t>
      </w:r>
      <w:proofErr w:type="spellEnd"/>
      <w:r w:rsidRPr="00EA6D99">
        <w:rPr>
          <w:rFonts w:ascii="Times New Roman" w:hAnsi="Times New Roman" w:cs="Times New Roman"/>
          <w:color w:val="000000" w:themeColor="text1"/>
          <w:sz w:val="24"/>
          <w:szCs w:val="24"/>
        </w:rPr>
        <w:t xml:space="preserve"> CTAC </w:t>
      </w:r>
      <w:proofErr w:type="spellStart"/>
      <w:r w:rsidRPr="00EA6D99">
        <w:rPr>
          <w:rFonts w:ascii="Times New Roman" w:hAnsi="Times New Roman" w:cs="Times New Roman"/>
          <w:color w:val="000000" w:themeColor="text1"/>
          <w:sz w:val="24"/>
          <w:szCs w:val="24"/>
        </w:rPr>
        <w:t>micellar</w:t>
      </w:r>
      <w:proofErr w:type="spellEnd"/>
      <w:r w:rsidRPr="00EA6D99">
        <w:rPr>
          <w:rFonts w:ascii="Times New Roman" w:hAnsi="Times New Roman" w:cs="Times New Roman"/>
          <w:color w:val="000000" w:themeColor="text1"/>
          <w:sz w:val="24"/>
          <w:szCs w:val="24"/>
        </w:rPr>
        <w:t xml:space="preserve"> </w:t>
      </w:r>
      <w:proofErr w:type="spellStart"/>
      <w:r w:rsidRPr="00EA6D99">
        <w:rPr>
          <w:rFonts w:ascii="Times New Roman" w:hAnsi="Times New Roman" w:cs="Times New Roman"/>
          <w:color w:val="000000" w:themeColor="text1"/>
          <w:sz w:val="24"/>
          <w:szCs w:val="24"/>
        </w:rPr>
        <w:t>systems</w:t>
      </w:r>
      <w:proofErr w:type="spellEnd"/>
      <w:r w:rsidRPr="00EA6D99">
        <w:rPr>
          <w:rFonts w:ascii="Times New Roman" w:hAnsi="Times New Roman" w:cs="Times New Roman"/>
          <w:color w:val="000000" w:themeColor="text1"/>
          <w:sz w:val="24"/>
          <w:szCs w:val="24"/>
        </w:rPr>
        <w:t xml:space="preserve"> (</w:t>
      </w:r>
      <w:proofErr w:type="spellStart"/>
      <w:r w:rsidRPr="00EA6D99">
        <w:rPr>
          <w:rFonts w:ascii="Times New Roman" w:hAnsi="Times New Roman" w:cs="Times New Roman"/>
          <w:color w:val="0000CC"/>
          <w:sz w:val="24"/>
          <w:szCs w:val="24"/>
        </w:rPr>
        <w:t>Sarr</w:t>
      </w:r>
      <w:proofErr w:type="spellEnd"/>
      <w:r w:rsidRPr="00EA6D99">
        <w:rPr>
          <w:rFonts w:ascii="Times New Roman" w:hAnsi="Times New Roman" w:cs="Times New Roman"/>
          <w:color w:val="0000CC"/>
          <w:sz w:val="24"/>
          <w:szCs w:val="24"/>
        </w:rPr>
        <w:t xml:space="preserve"> et al., </w:t>
      </w:r>
      <w:proofErr w:type="gramStart"/>
      <w:r w:rsidRPr="00EA6D99">
        <w:rPr>
          <w:rFonts w:ascii="Times New Roman" w:hAnsi="Times New Roman" w:cs="Times New Roman"/>
          <w:color w:val="0000CC"/>
          <w:sz w:val="24"/>
          <w:szCs w:val="24"/>
        </w:rPr>
        <w:t>2022;</w:t>
      </w:r>
      <w:proofErr w:type="gramEnd"/>
      <w:r w:rsidRPr="00EA6D99">
        <w:rPr>
          <w:rFonts w:ascii="Times New Roman" w:hAnsi="Times New Roman" w:cs="Times New Roman"/>
          <w:color w:val="0000CC"/>
          <w:sz w:val="24"/>
          <w:szCs w:val="24"/>
        </w:rPr>
        <w:t xml:space="preserve"> Cissé et al., 2024</w:t>
      </w:r>
      <w:r w:rsidRPr="00EA6D99">
        <w:rPr>
          <w:rFonts w:ascii="Times New Roman" w:hAnsi="Times New Roman" w:cs="Times New Roman"/>
          <w:color w:val="000000" w:themeColor="text1"/>
          <w:sz w:val="24"/>
          <w:szCs w:val="24"/>
        </w:rPr>
        <w:t>).</w:t>
      </w:r>
    </w:p>
    <w:p w14:paraId="7818A3D6" w14:textId="77777777" w:rsidR="00634232" w:rsidRDefault="00634232" w:rsidP="0004258B">
      <w:pPr>
        <w:spacing w:after="0" w:line="360" w:lineRule="auto"/>
        <w:ind w:firstLine="708"/>
        <w:jc w:val="both"/>
        <w:rPr>
          <w:rFonts w:ascii="Times New Roman" w:hAnsi="Times New Roman" w:cs="Times New Roman"/>
          <w:color w:val="0000CC"/>
          <w:sz w:val="24"/>
          <w:szCs w:val="24"/>
        </w:rPr>
      </w:pPr>
    </w:p>
    <w:p w14:paraId="645230BE" w14:textId="77777777" w:rsidR="00634232" w:rsidRDefault="00634232" w:rsidP="0004258B">
      <w:pPr>
        <w:spacing w:after="0" w:line="360" w:lineRule="auto"/>
        <w:ind w:firstLine="708"/>
        <w:jc w:val="both"/>
        <w:rPr>
          <w:rFonts w:ascii="Times New Roman" w:hAnsi="Times New Roman" w:cs="Times New Roman"/>
          <w:color w:val="0000CC"/>
          <w:sz w:val="24"/>
          <w:szCs w:val="24"/>
        </w:rPr>
      </w:pPr>
    </w:p>
    <w:p w14:paraId="4024C75C" w14:textId="77777777" w:rsidR="00634232" w:rsidRDefault="00634232" w:rsidP="0004258B">
      <w:pPr>
        <w:spacing w:after="0" w:line="360" w:lineRule="auto"/>
        <w:ind w:firstLine="708"/>
        <w:jc w:val="both"/>
        <w:rPr>
          <w:rFonts w:ascii="Times New Roman" w:hAnsi="Times New Roman" w:cs="Times New Roman"/>
          <w:color w:val="0000CC"/>
          <w:sz w:val="24"/>
          <w:szCs w:val="24"/>
        </w:rPr>
      </w:pPr>
    </w:p>
    <w:p w14:paraId="5E00E232" w14:textId="77777777" w:rsidR="00634232" w:rsidRDefault="00634232" w:rsidP="0004258B">
      <w:pPr>
        <w:spacing w:after="0" w:line="360" w:lineRule="auto"/>
        <w:ind w:firstLine="708"/>
        <w:jc w:val="both"/>
        <w:rPr>
          <w:rFonts w:ascii="Times New Roman" w:hAnsi="Times New Roman" w:cs="Times New Roman"/>
          <w:color w:val="0000CC"/>
          <w:sz w:val="24"/>
          <w:szCs w:val="24"/>
        </w:rPr>
      </w:pPr>
    </w:p>
    <w:p w14:paraId="62F286D5" w14:textId="77777777" w:rsidR="00634232" w:rsidRDefault="00634232" w:rsidP="0004258B">
      <w:pPr>
        <w:spacing w:after="0" w:line="360" w:lineRule="auto"/>
        <w:ind w:firstLine="708"/>
        <w:jc w:val="both"/>
        <w:rPr>
          <w:rFonts w:ascii="Times New Roman" w:hAnsi="Times New Roman" w:cs="Times New Roman"/>
          <w:color w:val="0000CC"/>
          <w:sz w:val="24"/>
          <w:szCs w:val="24"/>
        </w:rPr>
      </w:pPr>
    </w:p>
    <w:p w14:paraId="0D2B7E16" w14:textId="77777777" w:rsidR="00634232" w:rsidRDefault="00634232" w:rsidP="0004258B">
      <w:pPr>
        <w:spacing w:after="0" w:line="360" w:lineRule="auto"/>
        <w:ind w:firstLine="708"/>
        <w:jc w:val="both"/>
        <w:rPr>
          <w:rFonts w:ascii="Times New Roman" w:hAnsi="Times New Roman" w:cs="Times New Roman"/>
          <w:color w:val="0000CC"/>
          <w:sz w:val="24"/>
          <w:szCs w:val="24"/>
        </w:rPr>
      </w:pPr>
    </w:p>
    <w:p w14:paraId="5890CA43" w14:textId="77777777" w:rsidR="00634232" w:rsidRDefault="00634232" w:rsidP="0004258B">
      <w:pPr>
        <w:spacing w:after="0" w:line="360" w:lineRule="auto"/>
        <w:ind w:firstLine="708"/>
        <w:jc w:val="both"/>
        <w:rPr>
          <w:rFonts w:ascii="Times New Roman" w:hAnsi="Times New Roman" w:cs="Times New Roman"/>
          <w:color w:val="0000CC"/>
          <w:sz w:val="24"/>
          <w:szCs w:val="24"/>
        </w:rPr>
      </w:pPr>
    </w:p>
    <w:p w14:paraId="45AC55FD" w14:textId="77777777" w:rsidR="00634232" w:rsidRDefault="00634232" w:rsidP="0004258B">
      <w:pPr>
        <w:spacing w:after="0" w:line="360" w:lineRule="auto"/>
        <w:ind w:firstLine="708"/>
        <w:jc w:val="both"/>
        <w:rPr>
          <w:rFonts w:ascii="Times New Roman" w:hAnsi="Times New Roman" w:cs="Times New Roman"/>
          <w:color w:val="0000CC"/>
          <w:sz w:val="24"/>
          <w:szCs w:val="24"/>
        </w:rPr>
      </w:pPr>
    </w:p>
    <w:p w14:paraId="7F6BA917" w14:textId="77777777" w:rsidR="00634232" w:rsidRDefault="00634232" w:rsidP="0004258B">
      <w:pPr>
        <w:spacing w:after="0" w:line="360" w:lineRule="auto"/>
        <w:ind w:firstLine="708"/>
        <w:jc w:val="both"/>
        <w:rPr>
          <w:rFonts w:ascii="Times New Roman" w:hAnsi="Times New Roman" w:cs="Times New Roman"/>
          <w:color w:val="0000CC"/>
          <w:sz w:val="24"/>
          <w:szCs w:val="24"/>
        </w:rPr>
      </w:pPr>
    </w:p>
    <w:p w14:paraId="6042E3EB" w14:textId="77777777" w:rsidR="000C1657" w:rsidRDefault="000C1657" w:rsidP="0004258B">
      <w:pPr>
        <w:spacing w:after="0" w:line="360" w:lineRule="auto"/>
        <w:ind w:firstLine="708"/>
        <w:jc w:val="both"/>
        <w:rPr>
          <w:rFonts w:ascii="Times New Roman" w:hAnsi="Times New Roman" w:cs="Times New Roman"/>
          <w:color w:val="0000CC"/>
          <w:sz w:val="24"/>
          <w:szCs w:val="24"/>
        </w:rPr>
      </w:pPr>
    </w:p>
    <w:p w14:paraId="012EA549" w14:textId="77777777" w:rsidR="000C1657" w:rsidRDefault="000C1657" w:rsidP="0004258B">
      <w:pPr>
        <w:spacing w:after="0" w:line="360" w:lineRule="auto"/>
        <w:ind w:firstLine="708"/>
        <w:jc w:val="both"/>
        <w:rPr>
          <w:rFonts w:ascii="Times New Roman" w:hAnsi="Times New Roman" w:cs="Times New Roman"/>
          <w:color w:val="0000CC"/>
          <w:sz w:val="24"/>
          <w:szCs w:val="24"/>
        </w:rPr>
      </w:pPr>
    </w:p>
    <w:p w14:paraId="75879F1C" w14:textId="77777777" w:rsidR="00634232" w:rsidRDefault="00634232" w:rsidP="0004258B">
      <w:pPr>
        <w:spacing w:after="0" w:line="360" w:lineRule="auto"/>
        <w:ind w:firstLine="708"/>
        <w:jc w:val="both"/>
        <w:rPr>
          <w:rFonts w:ascii="Times New Roman" w:hAnsi="Times New Roman" w:cs="Times New Roman"/>
          <w:color w:val="0000CC"/>
          <w:sz w:val="24"/>
          <w:szCs w:val="24"/>
        </w:rPr>
      </w:pPr>
    </w:p>
    <w:p w14:paraId="6EEFDAD9" w14:textId="77777777" w:rsidR="00642A49" w:rsidRPr="004D7104" w:rsidRDefault="00642A49" w:rsidP="00FE2DAF">
      <w:pPr>
        <w:spacing w:line="360" w:lineRule="auto"/>
        <w:rPr>
          <w:rFonts w:ascii="Times New Roman" w:hAnsi="Times New Roman" w:cs="Times New Roman"/>
          <w:b/>
          <w:sz w:val="24"/>
          <w:szCs w:val="24"/>
          <w:lang w:val="en-US"/>
        </w:rPr>
      </w:pPr>
      <w:r w:rsidRPr="00AA319E">
        <w:rPr>
          <w:rFonts w:ascii="Times New Roman" w:hAnsi="Times New Roman" w:cs="Times New Roman"/>
          <w:b/>
          <w:bCs/>
          <w:sz w:val="24"/>
          <w:szCs w:val="24"/>
          <w:lang w:val="en-US"/>
        </w:rPr>
        <w:lastRenderedPageBreak/>
        <w:t xml:space="preserve">Table </w:t>
      </w:r>
      <w:r w:rsidR="00BD06AD">
        <w:rPr>
          <w:rFonts w:ascii="Times New Roman" w:hAnsi="Times New Roman" w:cs="Times New Roman"/>
          <w:b/>
          <w:bCs/>
          <w:sz w:val="24"/>
          <w:szCs w:val="24"/>
          <w:lang w:val="en-US"/>
        </w:rPr>
        <w:t>2</w:t>
      </w:r>
      <w:r w:rsidRPr="00AA319E">
        <w:rPr>
          <w:rFonts w:ascii="Times New Roman" w:hAnsi="Times New Roman" w:cs="Times New Roman"/>
          <w:b/>
          <w:bCs/>
          <w:sz w:val="24"/>
          <w:szCs w:val="24"/>
          <w:lang w:val="en-US"/>
        </w:rPr>
        <w:t xml:space="preserve">. </w:t>
      </w:r>
      <w:r w:rsidRPr="00AA319E">
        <w:rPr>
          <w:rFonts w:ascii="Times New Roman" w:hAnsi="Times New Roman" w:cs="Times New Roman"/>
          <w:b/>
          <w:bCs/>
          <w:vanish/>
          <w:sz w:val="24"/>
          <w:szCs w:val="24"/>
          <w:lang w:val="en-US"/>
        </w:rPr>
        <w:t>¶</w:t>
      </w:r>
      <w:r w:rsidRPr="00E81ACA">
        <w:rPr>
          <w:rFonts w:ascii="Times New Roman" w:hAnsi="Times New Roman" w:cs="Times New Roman"/>
          <w:b/>
          <w:sz w:val="24"/>
          <w:szCs w:val="24"/>
          <w:lang w:val="en-US"/>
        </w:rPr>
        <w:t xml:space="preserve"> </w:t>
      </w:r>
      <w:proofErr w:type="spellStart"/>
      <w:r w:rsidR="00EA6D99">
        <w:rPr>
          <w:rFonts w:ascii="Times New Roman" w:hAnsi="Times New Roman" w:cs="Times New Roman"/>
          <w:b/>
          <w:sz w:val="24"/>
          <w:szCs w:val="24"/>
          <w:lang w:val="en-US"/>
        </w:rPr>
        <w:t>Micellis</w:t>
      </w:r>
      <w:r w:rsidRPr="001F675F">
        <w:rPr>
          <w:rFonts w:ascii="Times New Roman" w:hAnsi="Times New Roman" w:cs="Times New Roman"/>
          <w:b/>
          <w:sz w:val="24"/>
          <w:szCs w:val="24"/>
          <w:lang w:val="en-US"/>
        </w:rPr>
        <w:t>ation</w:t>
      </w:r>
      <w:proofErr w:type="spellEnd"/>
      <w:r w:rsidRPr="001F675F">
        <w:rPr>
          <w:rFonts w:ascii="Times New Roman" w:hAnsi="Times New Roman" w:cs="Times New Roman"/>
          <w:b/>
          <w:sz w:val="24"/>
          <w:szCs w:val="24"/>
          <w:lang w:val="en-US"/>
        </w:rPr>
        <w:t xml:space="preserve"> parameters </w:t>
      </w:r>
      <w:r w:rsidR="00FE754A" w:rsidRPr="008225CA">
        <w:rPr>
          <w:rFonts w:asciiTheme="majorBidi" w:eastAsia="Arial Bold" w:hAnsiTheme="majorBidi" w:cstheme="majorBidi"/>
          <w:b/>
          <w:bCs/>
          <w:sz w:val="24"/>
          <w:szCs w:val="24"/>
          <w:lang w:val="en-US"/>
        </w:rPr>
        <w:t xml:space="preserve">according to the </w:t>
      </w:r>
      <w:r w:rsidR="00FE754A">
        <w:rPr>
          <w:rFonts w:asciiTheme="majorBidi" w:eastAsia="Arial Bold" w:hAnsiTheme="majorBidi" w:cstheme="majorBidi"/>
          <w:b/>
          <w:bCs/>
          <w:sz w:val="24"/>
          <w:szCs w:val="24"/>
          <w:lang w:val="en-US"/>
        </w:rPr>
        <w:t xml:space="preserve">DCF </w:t>
      </w:r>
      <w:r w:rsidRPr="001F675F">
        <w:rPr>
          <w:rFonts w:ascii="Times New Roman" w:hAnsi="Times New Roman" w:cs="Times New Roman"/>
          <w:b/>
          <w:sz w:val="24"/>
          <w:szCs w:val="24"/>
          <w:lang w:val="en-US"/>
        </w:rPr>
        <w:t xml:space="preserve">concentration </w:t>
      </w:r>
      <w:r w:rsidRPr="00033B73">
        <w:rPr>
          <w:rFonts w:ascii="Times New Roman" w:hAnsi="Times New Roman" w:cs="Times New Roman"/>
          <w:b/>
          <w:sz w:val="24"/>
          <w:szCs w:val="24"/>
          <w:lang w:val="en-US"/>
        </w:rPr>
        <w:t>at 303</w:t>
      </w:r>
      <w:r w:rsidR="000C1657" w:rsidRPr="00033B73">
        <w:rPr>
          <w:rFonts w:ascii="Times New Roman" w:hAnsi="Times New Roman" w:cs="Times New Roman"/>
          <w:b/>
          <w:sz w:val="24"/>
          <w:szCs w:val="24"/>
          <w:lang w:val="en-US"/>
        </w:rPr>
        <w:t xml:space="preserve">.15 </w:t>
      </w:r>
      <w:r w:rsidRPr="001F675F">
        <w:rPr>
          <w:rFonts w:ascii="Times New Roman" w:hAnsi="Times New Roman" w:cs="Times New Roman"/>
          <w:b/>
          <w:sz w:val="24"/>
          <w:szCs w:val="24"/>
          <w:lang w:val="en-US"/>
        </w:rPr>
        <w:t>K</w:t>
      </w:r>
    </w:p>
    <w:tbl>
      <w:tblPr>
        <w:tblW w:w="5000" w:type="pct"/>
        <w:jc w:val="center"/>
        <w:tblBorders>
          <w:top w:val="single" w:sz="12" w:space="0" w:color="000000"/>
          <w:bottom w:val="single" w:sz="12" w:space="0" w:color="000000"/>
          <w:insideH w:val="nil"/>
          <w:insideV w:val="nil"/>
        </w:tblBorders>
        <w:tblCellMar>
          <w:left w:w="70" w:type="dxa"/>
          <w:right w:w="70" w:type="dxa"/>
        </w:tblCellMar>
        <w:tblLook w:val="00A0" w:firstRow="1" w:lastRow="0" w:firstColumn="1" w:lastColumn="0" w:noHBand="0" w:noVBand="0"/>
      </w:tblPr>
      <w:tblGrid>
        <w:gridCol w:w="1041"/>
        <w:gridCol w:w="1508"/>
        <w:gridCol w:w="1043"/>
        <w:gridCol w:w="809"/>
        <w:gridCol w:w="697"/>
        <w:gridCol w:w="577"/>
        <w:gridCol w:w="1043"/>
        <w:gridCol w:w="1045"/>
        <w:gridCol w:w="1276"/>
        <w:gridCol w:w="33"/>
      </w:tblGrid>
      <w:tr w:rsidR="00642A49" w:rsidRPr="00AA319E" w14:paraId="0E1A701F" w14:textId="77777777" w:rsidTr="007E4E80">
        <w:trPr>
          <w:jc w:val="center"/>
        </w:trPr>
        <w:tc>
          <w:tcPr>
            <w:tcW w:w="574" w:type="pct"/>
            <w:tcBorders>
              <w:top w:val="single" w:sz="12" w:space="0" w:color="000000"/>
              <w:left w:val="nil"/>
              <w:bottom w:val="single" w:sz="12" w:space="0" w:color="000000"/>
              <w:right w:val="nil"/>
            </w:tcBorders>
          </w:tcPr>
          <w:p w14:paraId="02ABAEF2" w14:textId="77777777" w:rsidR="00642A49" w:rsidRPr="00AA319E" w:rsidRDefault="00642A49" w:rsidP="006C2A18">
            <w:pPr>
              <w:spacing w:line="360" w:lineRule="auto"/>
              <w:jc w:val="center"/>
              <w:rPr>
                <w:rFonts w:ascii="Times New Roman" w:hAnsi="Times New Roman" w:cs="Times New Roman"/>
                <w:sz w:val="24"/>
                <w:szCs w:val="24"/>
                <w:lang w:val="en-US"/>
              </w:rPr>
            </w:pPr>
          </w:p>
        </w:tc>
        <w:tc>
          <w:tcPr>
            <w:tcW w:w="831" w:type="pct"/>
            <w:vMerge w:val="restart"/>
            <w:tcBorders>
              <w:top w:val="single" w:sz="12" w:space="0" w:color="000000"/>
              <w:left w:val="nil"/>
              <w:bottom w:val="single" w:sz="12" w:space="0" w:color="000000"/>
              <w:right w:val="nil"/>
            </w:tcBorders>
            <w:vAlign w:val="center"/>
            <w:hideMark/>
          </w:tcPr>
          <w:p w14:paraId="0F6333FD" w14:textId="77777777" w:rsidR="00642A49" w:rsidRDefault="00642A49" w:rsidP="006C2A18">
            <w:pPr>
              <w:spacing w:line="360" w:lineRule="auto"/>
              <w:jc w:val="center"/>
              <w:rPr>
                <w:rFonts w:ascii="Times New Roman" w:hAnsi="Times New Roman" w:cs="Times New Roman"/>
                <w:sz w:val="24"/>
                <w:szCs w:val="24"/>
                <w:lang w:val="en-US"/>
              </w:rPr>
            </w:pPr>
          </w:p>
          <w:p w14:paraId="6BCE1B9F" w14:textId="77777777" w:rsidR="004F5288" w:rsidRDefault="00642A49" w:rsidP="00646332">
            <w:pPr>
              <w:spacing w:line="360" w:lineRule="auto"/>
              <w:jc w:val="center"/>
              <w:rPr>
                <w:rFonts w:ascii="Times New Roman" w:hAnsi="Times New Roman" w:cs="Times New Roman"/>
                <w:sz w:val="24"/>
                <w:szCs w:val="24"/>
                <w:lang w:val="en-US"/>
              </w:rPr>
            </w:pPr>
            <w:r w:rsidRPr="00AA319E">
              <w:rPr>
                <w:rFonts w:ascii="Times New Roman" w:hAnsi="Times New Roman" w:cs="Times New Roman"/>
                <w:sz w:val="24"/>
                <w:szCs w:val="24"/>
                <w:lang w:val="en-US"/>
              </w:rPr>
              <w:t>[</w:t>
            </w:r>
            <w:r>
              <w:rPr>
                <w:rFonts w:ascii="Times New Roman" w:hAnsi="Times New Roman" w:cs="Times New Roman"/>
                <w:sz w:val="24"/>
                <w:szCs w:val="24"/>
                <w:lang w:val="en-US"/>
              </w:rPr>
              <w:t>DCF</w:t>
            </w:r>
            <w:r w:rsidRPr="00AA319E">
              <w:rPr>
                <w:rFonts w:ascii="Times New Roman" w:hAnsi="Times New Roman" w:cs="Times New Roman"/>
                <w:sz w:val="24"/>
                <w:szCs w:val="24"/>
                <w:lang w:val="en-US"/>
              </w:rPr>
              <w:t xml:space="preserve">] </w:t>
            </w:r>
          </w:p>
          <w:p w14:paraId="5D0681C5" w14:textId="77777777" w:rsidR="00642A49" w:rsidRPr="00646332" w:rsidRDefault="00642A49" w:rsidP="00646332">
            <w:pPr>
              <w:spacing w:line="360" w:lineRule="auto"/>
              <w:jc w:val="center"/>
              <w:rPr>
                <w:rFonts w:ascii="Times New Roman" w:hAnsi="Times New Roman" w:cs="Times New Roman"/>
                <w:sz w:val="24"/>
                <w:szCs w:val="24"/>
                <w:lang w:val="en-US"/>
              </w:rPr>
            </w:pPr>
            <w:r w:rsidRPr="00AA319E">
              <w:rPr>
                <w:rFonts w:ascii="Times New Roman" w:hAnsi="Times New Roman" w:cs="Times New Roman"/>
                <w:sz w:val="24"/>
                <w:szCs w:val="24"/>
                <w:lang w:val="en-US"/>
              </w:rPr>
              <w:t>(</w:t>
            </w:r>
            <w:r w:rsidR="00A6298C" w:rsidRPr="00634232">
              <w:rPr>
                <w:rFonts w:ascii="Times New Roman" w:hAnsi="Times New Roman" w:cs="Times New Roman"/>
                <w:sz w:val="24"/>
                <w:szCs w:val="24"/>
              </w:rPr>
              <w:t>µmol L</w:t>
            </w:r>
            <w:r w:rsidR="00A6298C" w:rsidRPr="00634232">
              <w:rPr>
                <w:rFonts w:ascii="Times New Roman" w:hAnsi="Times New Roman" w:cs="Times New Roman"/>
                <w:sz w:val="24"/>
                <w:szCs w:val="24"/>
                <w:vertAlign w:val="superscript"/>
              </w:rPr>
              <w:t>-1</w:t>
            </w:r>
            <w:r w:rsidRPr="00AA319E">
              <w:rPr>
                <w:rFonts w:ascii="Times New Roman" w:hAnsi="Times New Roman" w:cs="Times New Roman"/>
                <w:sz w:val="24"/>
                <w:szCs w:val="24"/>
                <w:lang w:val="en-US"/>
              </w:rPr>
              <w:t>)</w:t>
            </w:r>
          </w:p>
        </w:tc>
        <w:tc>
          <w:tcPr>
            <w:tcW w:w="575" w:type="pct"/>
            <w:tcBorders>
              <w:top w:val="single" w:sz="12" w:space="0" w:color="000000"/>
              <w:left w:val="nil"/>
              <w:bottom w:val="single" w:sz="12" w:space="0" w:color="000000"/>
              <w:right w:val="nil"/>
            </w:tcBorders>
          </w:tcPr>
          <w:p w14:paraId="5DAD48B1" w14:textId="77777777" w:rsidR="00642A49" w:rsidRPr="00AA319E" w:rsidRDefault="00642A49" w:rsidP="006C2A18">
            <w:pPr>
              <w:spacing w:line="360" w:lineRule="auto"/>
              <w:jc w:val="center"/>
              <w:rPr>
                <w:rFonts w:ascii="Times New Roman" w:eastAsia="Calibri" w:hAnsi="Times New Roman" w:cs="Times New Roman"/>
                <w:sz w:val="24"/>
                <w:szCs w:val="24"/>
                <w:lang w:val="en-US"/>
              </w:rPr>
            </w:pPr>
          </w:p>
        </w:tc>
        <w:tc>
          <w:tcPr>
            <w:tcW w:w="830" w:type="pct"/>
            <w:gridSpan w:val="2"/>
            <w:tcBorders>
              <w:top w:val="single" w:sz="12" w:space="0" w:color="000000"/>
              <w:left w:val="nil"/>
              <w:bottom w:val="single" w:sz="12" w:space="0" w:color="000000"/>
              <w:right w:val="nil"/>
            </w:tcBorders>
            <w:hideMark/>
          </w:tcPr>
          <w:p w14:paraId="5BCA9E3E" w14:textId="77777777" w:rsidR="00642A49" w:rsidRPr="00AA319E" w:rsidRDefault="00642A49" w:rsidP="006C2A18">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SDS</w:t>
            </w:r>
          </w:p>
        </w:tc>
        <w:tc>
          <w:tcPr>
            <w:tcW w:w="1469" w:type="pct"/>
            <w:gridSpan w:val="3"/>
            <w:tcBorders>
              <w:top w:val="single" w:sz="12" w:space="0" w:color="000000"/>
              <w:left w:val="nil"/>
              <w:bottom w:val="single" w:sz="12" w:space="0" w:color="000000"/>
              <w:right w:val="nil"/>
            </w:tcBorders>
            <w:vAlign w:val="center"/>
            <w:hideMark/>
          </w:tcPr>
          <w:p w14:paraId="0725989A" w14:textId="77777777" w:rsidR="00642A49" w:rsidRPr="00AA319E" w:rsidRDefault="00642A49" w:rsidP="006C2A18">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bookmarkStart w:id="1" w:name="_Hlk196689386"/>
            <w:r>
              <w:rPr>
                <w:rFonts w:ascii="Times New Roman" w:eastAsia="Calibri" w:hAnsi="Times New Roman" w:cs="Times New Roman"/>
                <w:sz w:val="24"/>
                <w:szCs w:val="24"/>
                <w:lang w:val="en-US"/>
              </w:rPr>
              <w:t>TMATFB</w:t>
            </w:r>
            <w:bookmarkEnd w:id="1"/>
          </w:p>
        </w:tc>
        <w:tc>
          <w:tcPr>
            <w:tcW w:w="721" w:type="pct"/>
            <w:gridSpan w:val="2"/>
            <w:tcBorders>
              <w:top w:val="single" w:sz="12" w:space="0" w:color="000000"/>
              <w:left w:val="nil"/>
              <w:bottom w:val="single" w:sz="12" w:space="0" w:color="000000"/>
              <w:right w:val="nil"/>
            </w:tcBorders>
          </w:tcPr>
          <w:p w14:paraId="485C0AE3" w14:textId="77777777" w:rsidR="00642A49" w:rsidRPr="00AA319E" w:rsidRDefault="00642A49" w:rsidP="006C2A18">
            <w:pPr>
              <w:spacing w:line="360" w:lineRule="auto"/>
              <w:jc w:val="center"/>
              <w:rPr>
                <w:rFonts w:ascii="Times New Roman" w:eastAsia="Calibri" w:hAnsi="Times New Roman" w:cs="Times New Roman"/>
                <w:sz w:val="24"/>
                <w:szCs w:val="24"/>
                <w:lang w:val="en-US"/>
              </w:rPr>
            </w:pPr>
          </w:p>
        </w:tc>
      </w:tr>
      <w:tr w:rsidR="00642A49" w:rsidRPr="00AA319E" w14:paraId="5E20F490" w14:textId="77777777" w:rsidTr="007E4E80">
        <w:trPr>
          <w:gridAfter w:val="1"/>
          <w:wAfter w:w="18" w:type="pct"/>
          <w:jc w:val="center"/>
        </w:trPr>
        <w:tc>
          <w:tcPr>
            <w:tcW w:w="574" w:type="pct"/>
            <w:tcBorders>
              <w:top w:val="single" w:sz="12" w:space="0" w:color="000000"/>
              <w:left w:val="nil"/>
              <w:bottom w:val="single" w:sz="12" w:space="0" w:color="000000"/>
              <w:right w:val="nil"/>
            </w:tcBorders>
          </w:tcPr>
          <w:p w14:paraId="274C1DF2" w14:textId="77777777" w:rsidR="00642A49" w:rsidRPr="00AA319E" w:rsidRDefault="00642A49" w:rsidP="006C2A18">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Pesticide </w:t>
            </w:r>
          </w:p>
        </w:tc>
        <w:tc>
          <w:tcPr>
            <w:tcW w:w="831" w:type="pct"/>
            <w:vMerge/>
            <w:tcBorders>
              <w:top w:val="single" w:sz="12" w:space="0" w:color="000000"/>
              <w:left w:val="nil"/>
              <w:bottom w:val="single" w:sz="12" w:space="0" w:color="000000"/>
              <w:right w:val="nil"/>
            </w:tcBorders>
            <w:vAlign w:val="center"/>
            <w:hideMark/>
          </w:tcPr>
          <w:p w14:paraId="2E2587BC" w14:textId="77777777" w:rsidR="00642A49" w:rsidRPr="00AA319E" w:rsidRDefault="00642A49" w:rsidP="006C2A18">
            <w:pPr>
              <w:jc w:val="center"/>
              <w:rPr>
                <w:rFonts w:ascii="Times New Roman" w:eastAsia="Calibri" w:hAnsi="Times New Roman" w:cs="Times New Roman"/>
                <w:sz w:val="24"/>
                <w:szCs w:val="24"/>
                <w:lang w:val="en-US"/>
              </w:rPr>
            </w:pPr>
          </w:p>
        </w:tc>
        <w:tc>
          <w:tcPr>
            <w:tcW w:w="575" w:type="pct"/>
            <w:tcBorders>
              <w:top w:val="nil"/>
              <w:left w:val="nil"/>
              <w:bottom w:val="single" w:sz="12" w:space="0" w:color="000000"/>
              <w:right w:val="nil"/>
            </w:tcBorders>
            <w:hideMark/>
          </w:tcPr>
          <w:p w14:paraId="70D50153" w14:textId="77777777" w:rsidR="00642A49" w:rsidRDefault="00642A49" w:rsidP="006C2A18">
            <w:pPr>
              <w:spacing w:line="360" w:lineRule="auto"/>
              <w:jc w:val="center"/>
              <w:rPr>
                <w:rFonts w:ascii="Times New Roman" w:eastAsia="Calibri" w:hAnsi="Times New Roman" w:cs="Times New Roman"/>
                <w:b/>
                <w:sz w:val="24"/>
                <w:szCs w:val="24"/>
                <w:lang w:val="en-US"/>
              </w:rPr>
            </w:pPr>
            <w:proofErr w:type="spellStart"/>
            <w:r w:rsidRPr="00AA319E">
              <w:rPr>
                <w:rFonts w:ascii="Times New Roman" w:eastAsia="Calibri" w:hAnsi="Times New Roman" w:cs="Times New Roman"/>
                <w:sz w:val="24"/>
                <w:szCs w:val="24"/>
                <w:lang w:val="en-US"/>
              </w:rPr>
              <w:t>CMC</w:t>
            </w:r>
            <w:r w:rsidRPr="00AA319E">
              <w:rPr>
                <w:rFonts w:ascii="Times New Roman" w:eastAsia="Calibri" w:hAnsi="Times New Roman" w:cs="Times New Roman"/>
                <w:b/>
                <w:sz w:val="24"/>
                <w:szCs w:val="24"/>
                <w:vertAlign w:val="superscript"/>
                <w:lang w:val="en-US"/>
              </w:rPr>
              <w:t>a</w:t>
            </w:r>
            <w:proofErr w:type="spellEnd"/>
          </w:p>
          <w:p w14:paraId="36A0B8AD" w14:textId="77777777" w:rsidR="004F5288" w:rsidRPr="004F5288" w:rsidRDefault="004F5288" w:rsidP="006C2A18">
            <w:pPr>
              <w:spacing w:line="360" w:lineRule="auto"/>
              <w:jc w:val="center"/>
              <w:rPr>
                <w:rFonts w:ascii="Times New Roman" w:eastAsia="Calibri" w:hAnsi="Times New Roman" w:cs="Times New Roman"/>
                <w:sz w:val="24"/>
                <w:szCs w:val="24"/>
                <w:lang w:val="en-US"/>
              </w:rPr>
            </w:pPr>
            <w:r w:rsidRPr="004F5288">
              <w:rPr>
                <w:rFonts w:ascii="Times New Roman" w:eastAsia="Calibri" w:hAnsi="Times New Roman" w:cs="Times New Roman"/>
                <w:sz w:val="24"/>
                <w:szCs w:val="24"/>
                <w:lang w:val="en-US"/>
              </w:rPr>
              <w:t>(mmol L</w:t>
            </w:r>
            <w:r w:rsidRPr="004F5288">
              <w:rPr>
                <w:rFonts w:ascii="Times New Roman" w:eastAsia="Calibri" w:hAnsi="Times New Roman" w:cs="Times New Roman"/>
                <w:sz w:val="24"/>
                <w:szCs w:val="24"/>
                <w:vertAlign w:val="superscript"/>
                <w:lang w:val="en-US"/>
              </w:rPr>
              <w:t>-1</w:t>
            </w:r>
            <w:r w:rsidRPr="004F5288">
              <w:rPr>
                <w:rFonts w:ascii="Times New Roman" w:eastAsia="Calibri" w:hAnsi="Times New Roman" w:cs="Times New Roman"/>
                <w:sz w:val="24"/>
                <w:szCs w:val="24"/>
                <w:lang w:val="en-US"/>
              </w:rPr>
              <w:t>)</w:t>
            </w:r>
          </w:p>
        </w:tc>
        <w:tc>
          <w:tcPr>
            <w:tcW w:w="446" w:type="pct"/>
            <w:tcBorders>
              <w:top w:val="nil"/>
              <w:left w:val="nil"/>
              <w:bottom w:val="single" w:sz="12" w:space="0" w:color="000000"/>
              <w:right w:val="nil"/>
            </w:tcBorders>
            <w:vAlign w:val="center"/>
            <w:hideMark/>
          </w:tcPr>
          <w:p w14:paraId="4ED99180" w14:textId="77777777" w:rsidR="00642A49" w:rsidRDefault="00642A49" w:rsidP="006C2A18">
            <w:pPr>
              <w:spacing w:line="360" w:lineRule="auto"/>
              <w:jc w:val="center"/>
              <w:rPr>
                <w:rFonts w:ascii="Times New Roman" w:eastAsia="Calibri" w:hAnsi="Times New Roman" w:cs="Times New Roman"/>
                <w:b/>
                <w:sz w:val="24"/>
                <w:szCs w:val="24"/>
                <w:lang w:val="en-US"/>
              </w:rPr>
            </w:pPr>
            <w:proofErr w:type="gramStart"/>
            <w:r w:rsidRPr="00AA319E">
              <w:rPr>
                <w:rFonts w:ascii="Times New Roman" w:hAnsi="Times New Roman" w:cs="Times New Roman"/>
                <w:sz w:val="24"/>
                <w:szCs w:val="24"/>
              </w:rPr>
              <w:t>α</w:t>
            </w:r>
            <w:proofErr w:type="gramEnd"/>
            <w:r w:rsidRPr="00AA319E">
              <w:rPr>
                <w:rFonts w:ascii="Times New Roman" w:hAnsi="Times New Roman" w:cs="Times New Roman"/>
                <w:sz w:val="24"/>
                <w:szCs w:val="24"/>
                <w:lang w:val="en-US"/>
              </w:rPr>
              <w:t xml:space="preserve"> (%)</w:t>
            </w:r>
            <w:r w:rsidRPr="00AA319E">
              <w:rPr>
                <w:rFonts w:ascii="Times New Roman" w:eastAsia="Calibri" w:hAnsi="Times New Roman" w:cs="Times New Roman"/>
                <w:sz w:val="24"/>
                <w:szCs w:val="24"/>
                <w:vertAlign w:val="subscript"/>
                <w:lang w:val="en-US"/>
              </w:rPr>
              <w:t xml:space="preserve"> </w:t>
            </w:r>
            <w:r w:rsidRPr="00AA319E">
              <w:rPr>
                <w:rFonts w:ascii="Times New Roman" w:eastAsia="Calibri" w:hAnsi="Times New Roman" w:cs="Times New Roman"/>
                <w:b/>
                <w:sz w:val="24"/>
                <w:szCs w:val="24"/>
                <w:vertAlign w:val="superscript"/>
                <w:lang w:val="en-US"/>
              </w:rPr>
              <w:t>b</w:t>
            </w:r>
          </w:p>
          <w:p w14:paraId="0BAFAE60" w14:textId="77777777" w:rsidR="004F5288" w:rsidRPr="004F5288" w:rsidRDefault="004F5288" w:rsidP="006C2A18">
            <w:pPr>
              <w:spacing w:line="360" w:lineRule="auto"/>
              <w:jc w:val="center"/>
              <w:rPr>
                <w:rFonts w:ascii="Times New Roman" w:eastAsia="Calibri" w:hAnsi="Times New Roman" w:cs="Times New Roman"/>
                <w:sz w:val="24"/>
                <w:szCs w:val="24"/>
                <w:lang w:val="en-US"/>
              </w:rPr>
            </w:pPr>
          </w:p>
        </w:tc>
        <w:tc>
          <w:tcPr>
            <w:tcW w:w="702" w:type="pct"/>
            <w:gridSpan w:val="2"/>
            <w:tcBorders>
              <w:top w:val="nil"/>
              <w:left w:val="nil"/>
              <w:bottom w:val="single" w:sz="12" w:space="0" w:color="000000"/>
              <w:right w:val="nil"/>
            </w:tcBorders>
            <w:vAlign w:val="center"/>
            <w:hideMark/>
          </w:tcPr>
          <w:p w14:paraId="6DC1484D" w14:textId="77777777" w:rsidR="004F5288" w:rsidRDefault="00642A49" w:rsidP="006C2A18">
            <w:pPr>
              <w:spacing w:line="360" w:lineRule="auto"/>
              <w:jc w:val="center"/>
              <w:rPr>
                <w:rFonts w:ascii="Times New Roman" w:hAnsi="Times New Roman" w:cs="Times New Roman"/>
                <w:sz w:val="24"/>
                <w:szCs w:val="24"/>
                <w:lang w:val="en-US"/>
              </w:rPr>
            </w:pPr>
            <w:bookmarkStart w:id="2" w:name="_Hlk196687913"/>
            <w:r w:rsidRPr="00AA319E">
              <w:rPr>
                <w:rFonts w:ascii="Times New Roman" w:hAnsi="Times New Roman" w:cs="Times New Roman"/>
                <w:sz w:val="24"/>
                <w:szCs w:val="24"/>
                <w:lang w:val="en-US"/>
              </w:rPr>
              <w:t>∆G</w:t>
            </w:r>
            <w:r w:rsidRPr="00AA319E">
              <w:rPr>
                <w:rFonts w:ascii="Times New Roman" w:hAnsi="Times New Roman" w:cs="Times New Roman"/>
                <w:sz w:val="24"/>
                <w:szCs w:val="24"/>
                <w:vertAlign w:val="superscript"/>
                <w:lang w:val="en-US"/>
              </w:rPr>
              <w:t>°</w:t>
            </w:r>
            <w:r w:rsidRPr="00AA319E">
              <w:rPr>
                <w:rFonts w:ascii="Times New Roman" w:hAnsi="Times New Roman" w:cs="Times New Roman"/>
                <w:sz w:val="24"/>
                <w:szCs w:val="24"/>
                <w:lang w:val="en-US"/>
              </w:rPr>
              <w:t xml:space="preserve"> </w:t>
            </w:r>
            <w:bookmarkEnd w:id="2"/>
          </w:p>
          <w:p w14:paraId="2AFFB15A" w14:textId="77777777" w:rsidR="00642A49" w:rsidRPr="00AA319E" w:rsidRDefault="00642A49" w:rsidP="006C2A18">
            <w:pPr>
              <w:spacing w:line="360" w:lineRule="auto"/>
              <w:jc w:val="center"/>
              <w:rPr>
                <w:rFonts w:ascii="Times New Roman" w:hAnsi="Times New Roman" w:cs="Times New Roman"/>
                <w:sz w:val="24"/>
                <w:szCs w:val="24"/>
                <w:lang w:val="en-US"/>
              </w:rPr>
            </w:pPr>
            <w:r w:rsidRPr="00AA319E">
              <w:rPr>
                <w:rFonts w:ascii="Times New Roman" w:hAnsi="Times New Roman" w:cs="Times New Roman"/>
                <w:sz w:val="24"/>
                <w:szCs w:val="24"/>
                <w:lang w:val="en-US"/>
              </w:rPr>
              <w:t>(kjmol</w:t>
            </w:r>
            <w:r w:rsidRPr="00AA319E">
              <w:rPr>
                <w:rFonts w:ascii="Times New Roman" w:hAnsi="Times New Roman" w:cs="Times New Roman"/>
                <w:sz w:val="24"/>
                <w:szCs w:val="24"/>
                <w:vertAlign w:val="superscript"/>
                <w:lang w:val="en-US"/>
              </w:rPr>
              <w:t>-</w:t>
            </w:r>
            <w:proofErr w:type="gramStart"/>
            <w:r w:rsidRPr="00AA319E">
              <w:rPr>
                <w:rFonts w:ascii="Times New Roman" w:hAnsi="Times New Roman" w:cs="Times New Roman"/>
                <w:sz w:val="24"/>
                <w:szCs w:val="24"/>
                <w:vertAlign w:val="superscript"/>
                <w:lang w:val="en-US"/>
              </w:rPr>
              <w:t>1</w:t>
            </w:r>
            <w:r w:rsidRPr="00AA319E">
              <w:rPr>
                <w:rFonts w:ascii="Times New Roman" w:hAnsi="Times New Roman" w:cs="Times New Roman"/>
                <w:sz w:val="24"/>
                <w:szCs w:val="24"/>
                <w:lang w:val="en-US"/>
              </w:rPr>
              <w:t>)</w:t>
            </w:r>
            <w:r w:rsidRPr="00AA319E">
              <w:rPr>
                <w:rFonts w:ascii="Times New Roman" w:hAnsi="Times New Roman" w:cs="Times New Roman"/>
                <w:b/>
                <w:sz w:val="24"/>
                <w:szCs w:val="24"/>
                <w:vertAlign w:val="superscript"/>
                <w:lang w:val="en-US"/>
              </w:rPr>
              <w:t>c</w:t>
            </w:r>
            <w:proofErr w:type="gramEnd"/>
          </w:p>
        </w:tc>
        <w:tc>
          <w:tcPr>
            <w:tcW w:w="575" w:type="pct"/>
            <w:tcBorders>
              <w:top w:val="nil"/>
              <w:left w:val="nil"/>
              <w:bottom w:val="single" w:sz="12" w:space="0" w:color="000000"/>
              <w:right w:val="nil"/>
            </w:tcBorders>
            <w:vAlign w:val="center"/>
            <w:hideMark/>
          </w:tcPr>
          <w:p w14:paraId="2E439B72" w14:textId="77777777" w:rsidR="00642A49" w:rsidRPr="004F5288" w:rsidRDefault="00642A49" w:rsidP="006C2A18">
            <w:pPr>
              <w:spacing w:line="360" w:lineRule="auto"/>
              <w:jc w:val="center"/>
              <w:rPr>
                <w:rFonts w:ascii="Times New Roman" w:eastAsia="Calibri" w:hAnsi="Times New Roman" w:cs="Times New Roman"/>
                <w:sz w:val="24"/>
                <w:szCs w:val="24"/>
                <w:lang w:val="en-US"/>
              </w:rPr>
            </w:pPr>
            <w:r w:rsidRPr="00AA319E">
              <w:rPr>
                <w:rFonts w:ascii="Times New Roman" w:eastAsia="Calibri" w:hAnsi="Times New Roman" w:cs="Times New Roman"/>
                <w:sz w:val="24"/>
                <w:szCs w:val="24"/>
                <w:lang w:val="en-US"/>
              </w:rPr>
              <w:t>CMC</w:t>
            </w:r>
            <w:r w:rsidRPr="00AA319E">
              <w:rPr>
                <w:rFonts w:ascii="Times New Roman" w:eastAsia="Calibri" w:hAnsi="Times New Roman" w:cs="Times New Roman"/>
                <w:sz w:val="24"/>
                <w:szCs w:val="24"/>
                <w:vertAlign w:val="subscript"/>
                <w:lang w:val="en-US"/>
              </w:rPr>
              <w:t xml:space="preserve"> </w:t>
            </w:r>
            <w:r w:rsidRPr="00AA319E">
              <w:rPr>
                <w:rFonts w:ascii="Times New Roman" w:eastAsia="Calibri" w:hAnsi="Times New Roman" w:cs="Times New Roman"/>
                <w:b/>
                <w:sz w:val="24"/>
                <w:szCs w:val="24"/>
                <w:vertAlign w:val="superscript"/>
                <w:lang w:val="en-US"/>
              </w:rPr>
              <w:t>a</w:t>
            </w:r>
            <w:r w:rsidR="004F5288">
              <w:rPr>
                <w:rFonts w:ascii="Times New Roman" w:eastAsia="Calibri" w:hAnsi="Times New Roman" w:cs="Times New Roman"/>
                <w:b/>
                <w:sz w:val="24"/>
                <w:szCs w:val="24"/>
                <w:lang w:val="en-US"/>
              </w:rPr>
              <w:t xml:space="preserve"> (</w:t>
            </w:r>
            <w:r w:rsidR="004F5288" w:rsidRPr="004F5288">
              <w:rPr>
                <w:rFonts w:ascii="Times New Roman" w:eastAsia="Calibri" w:hAnsi="Times New Roman" w:cs="Times New Roman"/>
                <w:sz w:val="24"/>
                <w:szCs w:val="24"/>
                <w:lang w:val="en-US"/>
              </w:rPr>
              <w:t>mmol L</w:t>
            </w:r>
            <w:r w:rsidR="004F5288" w:rsidRPr="004F5288">
              <w:rPr>
                <w:rFonts w:ascii="Times New Roman" w:eastAsia="Calibri" w:hAnsi="Times New Roman" w:cs="Times New Roman"/>
                <w:sz w:val="24"/>
                <w:szCs w:val="24"/>
                <w:vertAlign w:val="superscript"/>
                <w:lang w:val="en-US"/>
              </w:rPr>
              <w:t>-1</w:t>
            </w:r>
            <w:r w:rsidR="004F5288" w:rsidRPr="004F5288">
              <w:rPr>
                <w:rFonts w:ascii="Times New Roman" w:eastAsia="Calibri" w:hAnsi="Times New Roman" w:cs="Times New Roman"/>
                <w:sz w:val="24"/>
                <w:szCs w:val="24"/>
                <w:lang w:val="en-US"/>
              </w:rPr>
              <w:t>)</w:t>
            </w:r>
          </w:p>
        </w:tc>
        <w:tc>
          <w:tcPr>
            <w:tcW w:w="575" w:type="pct"/>
            <w:tcBorders>
              <w:top w:val="nil"/>
              <w:left w:val="nil"/>
              <w:bottom w:val="single" w:sz="12" w:space="0" w:color="000000"/>
              <w:right w:val="nil"/>
            </w:tcBorders>
            <w:hideMark/>
          </w:tcPr>
          <w:p w14:paraId="72AF1E68" w14:textId="77777777" w:rsidR="00642A49" w:rsidRPr="00AA319E" w:rsidRDefault="00642A49" w:rsidP="006C2A18">
            <w:pPr>
              <w:spacing w:line="360" w:lineRule="auto"/>
              <w:jc w:val="center"/>
              <w:rPr>
                <w:rFonts w:ascii="Times New Roman" w:hAnsi="Times New Roman" w:cs="Times New Roman"/>
                <w:sz w:val="24"/>
                <w:szCs w:val="24"/>
                <w:lang w:val="en-US"/>
              </w:rPr>
            </w:pPr>
            <w:proofErr w:type="gramStart"/>
            <w:r w:rsidRPr="00AA319E">
              <w:rPr>
                <w:rFonts w:ascii="Times New Roman" w:hAnsi="Times New Roman" w:cs="Times New Roman"/>
                <w:sz w:val="24"/>
                <w:szCs w:val="24"/>
              </w:rPr>
              <w:t>α</w:t>
            </w:r>
            <w:proofErr w:type="gramEnd"/>
            <w:r w:rsidRPr="00AA319E">
              <w:rPr>
                <w:rFonts w:ascii="Times New Roman" w:hAnsi="Times New Roman" w:cs="Times New Roman"/>
                <w:sz w:val="24"/>
                <w:szCs w:val="24"/>
                <w:lang w:val="en-US"/>
              </w:rPr>
              <w:t xml:space="preserve"> (%)</w:t>
            </w:r>
            <w:r w:rsidRPr="00AA319E">
              <w:rPr>
                <w:rFonts w:ascii="Times New Roman" w:eastAsia="Calibri" w:hAnsi="Times New Roman" w:cs="Times New Roman"/>
                <w:b/>
                <w:sz w:val="24"/>
                <w:szCs w:val="24"/>
                <w:vertAlign w:val="superscript"/>
                <w:lang w:val="en-US"/>
              </w:rPr>
              <w:t>b</w:t>
            </w:r>
          </w:p>
        </w:tc>
        <w:tc>
          <w:tcPr>
            <w:tcW w:w="703" w:type="pct"/>
            <w:tcBorders>
              <w:top w:val="nil"/>
              <w:left w:val="nil"/>
              <w:bottom w:val="single" w:sz="12" w:space="0" w:color="000000"/>
              <w:right w:val="nil"/>
            </w:tcBorders>
            <w:vAlign w:val="center"/>
            <w:hideMark/>
          </w:tcPr>
          <w:p w14:paraId="432E6C40" w14:textId="77777777" w:rsidR="004F5288" w:rsidRDefault="00642A49" w:rsidP="006C2A18">
            <w:pPr>
              <w:spacing w:line="360" w:lineRule="auto"/>
              <w:jc w:val="center"/>
              <w:rPr>
                <w:rFonts w:ascii="Times New Roman" w:hAnsi="Times New Roman" w:cs="Times New Roman"/>
                <w:sz w:val="24"/>
                <w:szCs w:val="24"/>
                <w:vertAlign w:val="superscript"/>
                <w:lang w:val="en-US"/>
              </w:rPr>
            </w:pPr>
            <w:r w:rsidRPr="00AA319E">
              <w:rPr>
                <w:rFonts w:ascii="Times New Roman" w:hAnsi="Times New Roman" w:cs="Times New Roman"/>
                <w:sz w:val="24"/>
                <w:szCs w:val="24"/>
                <w:lang w:val="en-US"/>
              </w:rPr>
              <w:t>∆G</w:t>
            </w:r>
            <w:r w:rsidRPr="00AA319E">
              <w:rPr>
                <w:rFonts w:ascii="Times New Roman" w:hAnsi="Times New Roman" w:cs="Times New Roman"/>
                <w:sz w:val="24"/>
                <w:szCs w:val="24"/>
                <w:vertAlign w:val="superscript"/>
                <w:lang w:val="en-US"/>
              </w:rPr>
              <w:t>°</w:t>
            </w:r>
          </w:p>
          <w:p w14:paraId="66FB9F73" w14:textId="77777777" w:rsidR="00642A49" w:rsidRPr="00AA319E" w:rsidRDefault="00642A49" w:rsidP="006C2A18">
            <w:pPr>
              <w:spacing w:line="360" w:lineRule="auto"/>
              <w:jc w:val="center"/>
              <w:rPr>
                <w:rFonts w:ascii="Times New Roman" w:hAnsi="Times New Roman" w:cs="Times New Roman"/>
                <w:sz w:val="24"/>
                <w:szCs w:val="24"/>
                <w:lang w:val="en-US"/>
              </w:rPr>
            </w:pPr>
            <w:r w:rsidRPr="00AA319E">
              <w:rPr>
                <w:rFonts w:ascii="Times New Roman" w:hAnsi="Times New Roman" w:cs="Times New Roman"/>
                <w:sz w:val="24"/>
                <w:szCs w:val="24"/>
                <w:lang w:val="en-US"/>
              </w:rPr>
              <w:t>(kjmol</w:t>
            </w:r>
            <w:r w:rsidRPr="00AA319E">
              <w:rPr>
                <w:rFonts w:ascii="Times New Roman" w:hAnsi="Times New Roman" w:cs="Times New Roman"/>
                <w:sz w:val="24"/>
                <w:szCs w:val="24"/>
                <w:vertAlign w:val="superscript"/>
                <w:lang w:val="en-US"/>
              </w:rPr>
              <w:t>-</w:t>
            </w:r>
            <w:proofErr w:type="gramStart"/>
            <w:r w:rsidRPr="00AA319E">
              <w:rPr>
                <w:rFonts w:ascii="Times New Roman" w:hAnsi="Times New Roman" w:cs="Times New Roman"/>
                <w:sz w:val="24"/>
                <w:szCs w:val="24"/>
                <w:vertAlign w:val="superscript"/>
                <w:lang w:val="en-US"/>
              </w:rPr>
              <w:t>1</w:t>
            </w:r>
            <w:r w:rsidRPr="00AA319E">
              <w:rPr>
                <w:rFonts w:ascii="Times New Roman" w:hAnsi="Times New Roman" w:cs="Times New Roman"/>
                <w:sz w:val="24"/>
                <w:szCs w:val="24"/>
                <w:lang w:val="en-US"/>
              </w:rPr>
              <w:t>)</w:t>
            </w:r>
            <w:r w:rsidRPr="00AA319E">
              <w:rPr>
                <w:rFonts w:ascii="Times New Roman" w:hAnsi="Times New Roman" w:cs="Times New Roman"/>
                <w:b/>
                <w:sz w:val="24"/>
                <w:szCs w:val="24"/>
                <w:vertAlign w:val="superscript"/>
                <w:lang w:val="en-US"/>
              </w:rPr>
              <w:t>c</w:t>
            </w:r>
            <w:proofErr w:type="gramEnd"/>
          </w:p>
        </w:tc>
      </w:tr>
      <w:tr w:rsidR="00642A49" w:rsidRPr="00AA319E" w14:paraId="04C5943D" w14:textId="77777777" w:rsidTr="007E4E80">
        <w:trPr>
          <w:gridAfter w:val="1"/>
          <w:wAfter w:w="18" w:type="pct"/>
          <w:trHeight w:val="2912"/>
          <w:jc w:val="center"/>
        </w:trPr>
        <w:tc>
          <w:tcPr>
            <w:tcW w:w="574" w:type="pct"/>
            <w:tcBorders>
              <w:top w:val="nil"/>
              <w:left w:val="nil"/>
              <w:bottom w:val="single" w:sz="12" w:space="0" w:color="000000"/>
              <w:right w:val="nil"/>
            </w:tcBorders>
          </w:tcPr>
          <w:p w14:paraId="315326D5" w14:textId="77777777" w:rsidR="00642A49" w:rsidRPr="00C96CB1" w:rsidRDefault="00642A49" w:rsidP="006C2A18">
            <w:pPr>
              <w:spacing w:line="360" w:lineRule="auto"/>
              <w:jc w:val="center"/>
              <w:rPr>
                <w:rFonts w:ascii="Times New Roman" w:eastAsia="Calibri" w:hAnsi="Times New Roman" w:cs="Times New Roman"/>
                <w:sz w:val="24"/>
                <w:szCs w:val="24"/>
                <w:lang w:val="en-US"/>
              </w:rPr>
            </w:pPr>
          </w:p>
          <w:p w14:paraId="5E059025" w14:textId="77777777" w:rsidR="00642A49" w:rsidRPr="00C96CB1" w:rsidRDefault="00642A49" w:rsidP="006C2A18">
            <w:pPr>
              <w:spacing w:line="360" w:lineRule="auto"/>
              <w:rPr>
                <w:rFonts w:ascii="Times New Roman" w:eastAsia="Calibri" w:hAnsi="Times New Roman" w:cs="Times New Roman"/>
                <w:sz w:val="24"/>
                <w:szCs w:val="24"/>
                <w:lang w:val="en-US"/>
              </w:rPr>
            </w:pPr>
          </w:p>
          <w:p w14:paraId="1677C252" w14:textId="77777777" w:rsidR="00642A49" w:rsidRPr="00C96CB1" w:rsidRDefault="00642A49" w:rsidP="006C2A18">
            <w:pPr>
              <w:spacing w:line="360" w:lineRule="auto"/>
              <w:jc w:val="center"/>
              <w:rPr>
                <w:rFonts w:ascii="Times New Roman" w:eastAsia="Calibri" w:hAnsi="Times New Roman" w:cs="Times New Roman"/>
                <w:sz w:val="24"/>
                <w:szCs w:val="24"/>
                <w:lang w:val="en-US"/>
              </w:rPr>
            </w:pPr>
            <w:r w:rsidRPr="00C96CB1">
              <w:rPr>
                <w:rFonts w:ascii="Times New Roman" w:eastAsia="Calibri" w:hAnsi="Times New Roman" w:cs="Times New Roman"/>
                <w:sz w:val="24"/>
                <w:szCs w:val="24"/>
                <w:lang w:val="en-US"/>
              </w:rPr>
              <w:t>DCF</w:t>
            </w:r>
          </w:p>
          <w:p w14:paraId="0B668654" w14:textId="77777777" w:rsidR="00642A49" w:rsidRPr="00C96CB1" w:rsidRDefault="00642A49" w:rsidP="006C2A18">
            <w:pPr>
              <w:spacing w:line="360" w:lineRule="auto"/>
              <w:rPr>
                <w:rFonts w:ascii="Times New Roman" w:eastAsia="Calibri" w:hAnsi="Times New Roman" w:cs="Times New Roman"/>
                <w:sz w:val="24"/>
                <w:szCs w:val="24"/>
                <w:lang w:val="en-US"/>
              </w:rPr>
            </w:pPr>
          </w:p>
        </w:tc>
        <w:tc>
          <w:tcPr>
            <w:tcW w:w="831" w:type="pct"/>
            <w:tcBorders>
              <w:top w:val="nil"/>
              <w:left w:val="nil"/>
              <w:bottom w:val="single" w:sz="12" w:space="0" w:color="000000"/>
              <w:right w:val="nil"/>
            </w:tcBorders>
            <w:vAlign w:val="center"/>
            <w:hideMark/>
          </w:tcPr>
          <w:p w14:paraId="773C0361" w14:textId="77777777" w:rsidR="00642A49" w:rsidRPr="00C96CB1" w:rsidRDefault="00642A49" w:rsidP="006C2A18">
            <w:pPr>
              <w:spacing w:line="360" w:lineRule="auto"/>
              <w:jc w:val="center"/>
              <w:rPr>
                <w:rFonts w:ascii="Times New Roman" w:hAnsi="Times New Roman" w:cs="Times New Roman"/>
                <w:sz w:val="24"/>
                <w:szCs w:val="24"/>
                <w:lang w:val="en-US"/>
              </w:rPr>
            </w:pPr>
            <w:r w:rsidRPr="00C96CB1">
              <w:rPr>
                <w:rFonts w:ascii="Times New Roman" w:hAnsi="Times New Roman" w:cs="Times New Roman"/>
                <w:sz w:val="24"/>
                <w:szCs w:val="24"/>
                <w:lang w:val="en-US"/>
              </w:rPr>
              <w:t>0</w:t>
            </w:r>
          </w:p>
          <w:p w14:paraId="545A8949" w14:textId="77777777" w:rsidR="00642A49" w:rsidRPr="00C96CB1" w:rsidRDefault="00642A49" w:rsidP="006C2A18">
            <w:pPr>
              <w:spacing w:line="360" w:lineRule="auto"/>
              <w:jc w:val="center"/>
              <w:rPr>
                <w:rFonts w:ascii="Times New Roman" w:hAnsi="Times New Roman" w:cs="Times New Roman"/>
                <w:sz w:val="24"/>
                <w:szCs w:val="24"/>
                <w:vertAlign w:val="superscript"/>
              </w:rPr>
            </w:pPr>
            <w:r w:rsidRPr="00C96CB1">
              <w:rPr>
                <w:rFonts w:ascii="Times New Roman" w:hAnsi="Times New Roman" w:cs="Times New Roman"/>
                <w:sz w:val="24"/>
                <w:szCs w:val="24"/>
              </w:rPr>
              <w:t>5</w:t>
            </w:r>
          </w:p>
          <w:p w14:paraId="3051A8D6" w14:textId="77777777" w:rsidR="00642A49" w:rsidRPr="00C96CB1" w:rsidRDefault="00642A49" w:rsidP="006C2A18">
            <w:pPr>
              <w:spacing w:line="360" w:lineRule="auto"/>
              <w:jc w:val="center"/>
              <w:rPr>
                <w:rFonts w:ascii="Times New Roman" w:hAnsi="Times New Roman" w:cs="Times New Roman"/>
                <w:sz w:val="24"/>
                <w:szCs w:val="24"/>
              </w:rPr>
            </w:pPr>
            <w:r w:rsidRPr="00C96CB1">
              <w:rPr>
                <w:rFonts w:ascii="Times New Roman" w:hAnsi="Times New Roman" w:cs="Times New Roman"/>
                <w:sz w:val="24"/>
                <w:szCs w:val="24"/>
              </w:rPr>
              <w:t>10</w:t>
            </w:r>
          </w:p>
          <w:p w14:paraId="47C6E21F" w14:textId="77777777" w:rsidR="00642A49" w:rsidRPr="00C96CB1" w:rsidRDefault="00642A49" w:rsidP="006C2A18">
            <w:pPr>
              <w:spacing w:line="360" w:lineRule="auto"/>
              <w:jc w:val="center"/>
              <w:rPr>
                <w:rFonts w:ascii="Times New Roman" w:hAnsi="Times New Roman" w:cs="Times New Roman"/>
                <w:sz w:val="24"/>
                <w:szCs w:val="24"/>
              </w:rPr>
            </w:pPr>
            <w:r w:rsidRPr="00C96CB1">
              <w:rPr>
                <w:rFonts w:ascii="Times New Roman" w:hAnsi="Times New Roman" w:cs="Times New Roman"/>
                <w:sz w:val="24"/>
                <w:szCs w:val="24"/>
              </w:rPr>
              <w:t>15</w:t>
            </w:r>
          </w:p>
          <w:p w14:paraId="33DDAAEF" w14:textId="77777777" w:rsidR="00642A49" w:rsidRPr="00C96CB1" w:rsidRDefault="00642A49" w:rsidP="006C2A18">
            <w:pPr>
              <w:spacing w:line="360" w:lineRule="auto"/>
              <w:jc w:val="center"/>
              <w:rPr>
                <w:rFonts w:ascii="Times New Roman" w:hAnsi="Times New Roman" w:cs="Times New Roman"/>
                <w:sz w:val="24"/>
                <w:szCs w:val="24"/>
              </w:rPr>
            </w:pPr>
            <w:r w:rsidRPr="00C96CB1">
              <w:rPr>
                <w:rFonts w:ascii="Times New Roman" w:hAnsi="Times New Roman" w:cs="Times New Roman"/>
                <w:sz w:val="24"/>
                <w:szCs w:val="24"/>
              </w:rPr>
              <w:t>20</w:t>
            </w:r>
          </w:p>
        </w:tc>
        <w:tc>
          <w:tcPr>
            <w:tcW w:w="575" w:type="pct"/>
            <w:tcBorders>
              <w:top w:val="nil"/>
              <w:left w:val="nil"/>
              <w:bottom w:val="single" w:sz="12" w:space="0" w:color="000000"/>
              <w:right w:val="nil"/>
            </w:tcBorders>
            <w:hideMark/>
          </w:tcPr>
          <w:p w14:paraId="59F36D56" w14:textId="77777777" w:rsidR="00642A49" w:rsidRPr="00C96CB1" w:rsidRDefault="00642A49" w:rsidP="006C2A18">
            <w:pPr>
              <w:spacing w:line="360" w:lineRule="auto"/>
              <w:jc w:val="center"/>
              <w:rPr>
                <w:rFonts w:ascii="Times New Roman" w:eastAsia="Calibri" w:hAnsi="Times New Roman" w:cs="Times New Roman"/>
                <w:sz w:val="24"/>
                <w:szCs w:val="24"/>
                <w:lang w:val="en-US"/>
              </w:rPr>
            </w:pPr>
            <w:r w:rsidRPr="00C96CB1">
              <w:rPr>
                <w:rFonts w:ascii="Times New Roman" w:eastAsia="Calibri" w:hAnsi="Times New Roman" w:cs="Times New Roman"/>
                <w:sz w:val="24"/>
                <w:szCs w:val="24"/>
                <w:lang w:val="en-US"/>
              </w:rPr>
              <w:t>13.62</w:t>
            </w:r>
          </w:p>
          <w:p w14:paraId="6AB66643" w14:textId="77777777" w:rsidR="00642A49" w:rsidRPr="00C96CB1" w:rsidRDefault="00642A49" w:rsidP="006C2A18">
            <w:pPr>
              <w:spacing w:line="360" w:lineRule="auto"/>
              <w:jc w:val="center"/>
              <w:rPr>
                <w:rFonts w:ascii="Times New Roman" w:eastAsia="Calibri" w:hAnsi="Times New Roman" w:cs="Times New Roman"/>
                <w:sz w:val="24"/>
                <w:szCs w:val="24"/>
                <w:lang w:val="en-US"/>
              </w:rPr>
            </w:pPr>
            <w:r w:rsidRPr="00C96CB1">
              <w:rPr>
                <w:rFonts w:ascii="Times New Roman" w:eastAsia="Calibri" w:hAnsi="Times New Roman" w:cs="Times New Roman"/>
                <w:sz w:val="24"/>
                <w:szCs w:val="24"/>
                <w:lang w:val="en-US"/>
              </w:rPr>
              <w:t>12.67</w:t>
            </w:r>
          </w:p>
          <w:p w14:paraId="727E195D" w14:textId="77777777" w:rsidR="00642A49" w:rsidRPr="00C96CB1" w:rsidRDefault="00642A49" w:rsidP="006C2A18">
            <w:pPr>
              <w:spacing w:line="360" w:lineRule="auto"/>
              <w:jc w:val="center"/>
              <w:rPr>
                <w:rFonts w:ascii="Times New Roman" w:eastAsia="Calibri" w:hAnsi="Times New Roman" w:cs="Times New Roman"/>
                <w:sz w:val="24"/>
                <w:szCs w:val="24"/>
                <w:lang w:val="en-US"/>
              </w:rPr>
            </w:pPr>
            <w:r w:rsidRPr="00C96CB1">
              <w:rPr>
                <w:rFonts w:ascii="Times New Roman" w:eastAsia="Calibri" w:hAnsi="Times New Roman" w:cs="Times New Roman"/>
                <w:sz w:val="24"/>
                <w:szCs w:val="24"/>
                <w:lang w:val="en-US"/>
              </w:rPr>
              <w:t>12.19</w:t>
            </w:r>
          </w:p>
          <w:p w14:paraId="6A9FFCBE" w14:textId="77777777" w:rsidR="00642A49" w:rsidRPr="00C96CB1" w:rsidRDefault="00642A49" w:rsidP="006C2A18">
            <w:pPr>
              <w:spacing w:line="360" w:lineRule="auto"/>
              <w:jc w:val="center"/>
              <w:rPr>
                <w:rFonts w:ascii="Times New Roman" w:eastAsia="Calibri" w:hAnsi="Times New Roman" w:cs="Times New Roman"/>
                <w:sz w:val="24"/>
                <w:szCs w:val="24"/>
                <w:lang w:val="en-US"/>
              </w:rPr>
            </w:pPr>
            <w:r w:rsidRPr="00C96CB1">
              <w:rPr>
                <w:rFonts w:ascii="Times New Roman" w:eastAsia="Calibri" w:hAnsi="Times New Roman" w:cs="Times New Roman"/>
                <w:sz w:val="24"/>
                <w:szCs w:val="24"/>
                <w:lang w:val="en-US"/>
              </w:rPr>
              <w:t>11.72</w:t>
            </w:r>
          </w:p>
          <w:p w14:paraId="16AFFDE3" w14:textId="77777777" w:rsidR="00642A49" w:rsidRPr="00C96CB1" w:rsidRDefault="00642A49" w:rsidP="006C2A18">
            <w:pPr>
              <w:spacing w:line="360" w:lineRule="auto"/>
              <w:jc w:val="center"/>
              <w:rPr>
                <w:rFonts w:ascii="Times New Roman" w:eastAsia="Calibri" w:hAnsi="Times New Roman" w:cs="Times New Roman"/>
                <w:sz w:val="24"/>
                <w:szCs w:val="24"/>
                <w:lang w:val="en-US"/>
              </w:rPr>
            </w:pPr>
            <w:r w:rsidRPr="00C96CB1">
              <w:rPr>
                <w:rFonts w:ascii="Times New Roman" w:eastAsia="Calibri" w:hAnsi="Times New Roman" w:cs="Times New Roman"/>
                <w:sz w:val="24"/>
                <w:szCs w:val="24"/>
                <w:lang w:val="en-US"/>
              </w:rPr>
              <w:t>10.76</w:t>
            </w:r>
          </w:p>
        </w:tc>
        <w:tc>
          <w:tcPr>
            <w:tcW w:w="446" w:type="pct"/>
            <w:tcBorders>
              <w:top w:val="nil"/>
              <w:left w:val="nil"/>
              <w:bottom w:val="single" w:sz="12" w:space="0" w:color="000000"/>
              <w:right w:val="nil"/>
            </w:tcBorders>
            <w:vAlign w:val="center"/>
            <w:hideMark/>
          </w:tcPr>
          <w:p w14:paraId="78ABA06A" w14:textId="77777777" w:rsidR="00642A49" w:rsidRPr="00C96CB1" w:rsidRDefault="00642A49" w:rsidP="006C2A18">
            <w:pPr>
              <w:spacing w:line="360" w:lineRule="auto"/>
              <w:jc w:val="center"/>
              <w:rPr>
                <w:rFonts w:ascii="Times New Roman" w:eastAsia="Calibri" w:hAnsi="Times New Roman" w:cs="Times New Roman"/>
                <w:sz w:val="24"/>
                <w:szCs w:val="24"/>
                <w:lang w:val="en-US"/>
              </w:rPr>
            </w:pPr>
            <w:r w:rsidRPr="00C96CB1">
              <w:rPr>
                <w:rFonts w:ascii="Times New Roman" w:eastAsia="Calibri" w:hAnsi="Times New Roman" w:cs="Times New Roman"/>
                <w:sz w:val="24"/>
                <w:szCs w:val="24"/>
                <w:lang w:val="en-US"/>
              </w:rPr>
              <w:t>22.43</w:t>
            </w:r>
          </w:p>
          <w:p w14:paraId="6B35F020" w14:textId="77777777" w:rsidR="00642A49" w:rsidRPr="00C96CB1" w:rsidRDefault="00642A49" w:rsidP="006C2A18">
            <w:pPr>
              <w:spacing w:line="360" w:lineRule="auto"/>
              <w:jc w:val="center"/>
              <w:rPr>
                <w:rFonts w:ascii="Times New Roman" w:eastAsia="Calibri" w:hAnsi="Times New Roman" w:cs="Times New Roman"/>
                <w:sz w:val="24"/>
                <w:szCs w:val="24"/>
                <w:lang w:val="en-US"/>
              </w:rPr>
            </w:pPr>
            <w:r w:rsidRPr="00C96CB1">
              <w:rPr>
                <w:rFonts w:ascii="Times New Roman" w:eastAsia="Calibri" w:hAnsi="Times New Roman" w:cs="Times New Roman"/>
                <w:sz w:val="24"/>
                <w:szCs w:val="24"/>
                <w:lang w:val="en-US"/>
              </w:rPr>
              <w:t>21.95</w:t>
            </w:r>
          </w:p>
          <w:p w14:paraId="0F49F1F1" w14:textId="77777777" w:rsidR="00642A49" w:rsidRPr="00C96CB1" w:rsidRDefault="00642A49" w:rsidP="006C2A18">
            <w:pPr>
              <w:spacing w:line="360" w:lineRule="auto"/>
              <w:jc w:val="center"/>
              <w:rPr>
                <w:rFonts w:ascii="Times New Roman" w:eastAsia="Calibri" w:hAnsi="Times New Roman" w:cs="Times New Roman"/>
                <w:sz w:val="24"/>
                <w:szCs w:val="24"/>
                <w:lang w:val="en-US"/>
              </w:rPr>
            </w:pPr>
            <w:r w:rsidRPr="00C96CB1">
              <w:rPr>
                <w:rFonts w:ascii="Times New Roman" w:eastAsia="Calibri" w:hAnsi="Times New Roman" w:cs="Times New Roman"/>
                <w:sz w:val="24"/>
                <w:szCs w:val="24"/>
                <w:lang w:val="en-US"/>
              </w:rPr>
              <w:t>21.91</w:t>
            </w:r>
          </w:p>
          <w:p w14:paraId="22D356D6" w14:textId="77777777" w:rsidR="00642A49" w:rsidRPr="00C96CB1" w:rsidRDefault="00642A49" w:rsidP="006C2A18">
            <w:pPr>
              <w:spacing w:line="360" w:lineRule="auto"/>
              <w:jc w:val="center"/>
              <w:rPr>
                <w:rFonts w:ascii="Times New Roman" w:eastAsia="Calibri" w:hAnsi="Times New Roman" w:cs="Times New Roman"/>
                <w:sz w:val="24"/>
                <w:szCs w:val="24"/>
                <w:lang w:val="en-US"/>
              </w:rPr>
            </w:pPr>
            <w:r w:rsidRPr="00C96CB1">
              <w:rPr>
                <w:rFonts w:ascii="Times New Roman" w:eastAsia="Calibri" w:hAnsi="Times New Roman" w:cs="Times New Roman"/>
                <w:sz w:val="24"/>
                <w:szCs w:val="24"/>
                <w:lang w:val="en-US"/>
              </w:rPr>
              <w:t>21.40</w:t>
            </w:r>
          </w:p>
          <w:p w14:paraId="20B710A2" w14:textId="77777777" w:rsidR="00642A49" w:rsidRPr="00C96CB1" w:rsidRDefault="00642A49" w:rsidP="006C2A18">
            <w:pPr>
              <w:spacing w:line="360" w:lineRule="auto"/>
              <w:jc w:val="center"/>
              <w:rPr>
                <w:rFonts w:ascii="Times New Roman" w:eastAsia="Calibri" w:hAnsi="Times New Roman" w:cs="Times New Roman"/>
                <w:sz w:val="24"/>
                <w:szCs w:val="24"/>
                <w:lang w:val="en-US"/>
              </w:rPr>
            </w:pPr>
            <w:r w:rsidRPr="00C96CB1">
              <w:rPr>
                <w:rFonts w:ascii="Times New Roman" w:eastAsia="Calibri" w:hAnsi="Times New Roman" w:cs="Times New Roman"/>
                <w:sz w:val="24"/>
                <w:szCs w:val="24"/>
                <w:lang w:val="en-US"/>
              </w:rPr>
              <w:t>21.07</w:t>
            </w:r>
          </w:p>
        </w:tc>
        <w:tc>
          <w:tcPr>
            <w:tcW w:w="702" w:type="pct"/>
            <w:gridSpan w:val="2"/>
            <w:tcBorders>
              <w:top w:val="nil"/>
              <w:left w:val="nil"/>
              <w:bottom w:val="single" w:sz="12" w:space="0" w:color="000000"/>
              <w:right w:val="nil"/>
            </w:tcBorders>
            <w:vAlign w:val="center"/>
            <w:hideMark/>
          </w:tcPr>
          <w:p w14:paraId="2A05D5DE" w14:textId="77777777" w:rsidR="00642A49" w:rsidRPr="00C96CB1" w:rsidRDefault="00642A49" w:rsidP="006C2A18">
            <w:pPr>
              <w:overflowPunct w:val="0"/>
              <w:autoSpaceDE w:val="0"/>
              <w:autoSpaceDN w:val="0"/>
              <w:adjustRightInd w:val="0"/>
              <w:spacing w:line="360" w:lineRule="auto"/>
              <w:jc w:val="center"/>
              <w:rPr>
                <w:rFonts w:ascii="Times New Roman" w:eastAsia="Calibri" w:hAnsi="Times New Roman" w:cs="Times New Roman"/>
                <w:position w:val="-10"/>
                <w:sz w:val="24"/>
                <w:szCs w:val="24"/>
                <w:lang w:val="en-US"/>
              </w:rPr>
            </w:pPr>
            <w:r w:rsidRPr="00C96CB1">
              <w:rPr>
                <w:rFonts w:ascii="Times New Roman" w:eastAsia="Calibri" w:hAnsi="Times New Roman" w:cs="Times New Roman"/>
                <w:position w:val="-10"/>
                <w:sz w:val="24"/>
                <w:szCs w:val="24"/>
                <w:lang w:val="en-US"/>
              </w:rPr>
              <w:t>-36.56</w:t>
            </w:r>
          </w:p>
          <w:p w14:paraId="3CEA7646" w14:textId="77777777" w:rsidR="00642A49" w:rsidRPr="00C96CB1" w:rsidRDefault="00642A49" w:rsidP="006C2A18">
            <w:pPr>
              <w:overflowPunct w:val="0"/>
              <w:autoSpaceDE w:val="0"/>
              <w:autoSpaceDN w:val="0"/>
              <w:adjustRightInd w:val="0"/>
              <w:spacing w:line="360" w:lineRule="auto"/>
              <w:jc w:val="center"/>
              <w:rPr>
                <w:rFonts w:ascii="Times New Roman" w:eastAsia="Calibri" w:hAnsi="Times New Roman" w:cs="Times New Roman"/>
                <w:position w:val="-10"/>
                <w:sz w:val="24"/>
                <w:szCs w:val="24"/>
                <w:lang w:val="en-US"/>
              </w:rPr>
            </w:pPr>
            <w:r w:rsidRPr="00C96CB1">
              <w:rPr>
                <w:rFonts w:ascii="Times New Roman" w:eastAsia="Calibri" w:hAnsi="Times New Roman" w:cs="Times New Roman"/>
                <w:position w:val="-10"/>
                <w:sz w:val="24"/>
                <w:szCs w:val="24"/>
                <w:lang w:val="en-US"/>
              </w:rPr>
              <w:t>-36.99</w:t>
            </w:r>
          </w:p>
          <w:p w14:paraId="09C81FFE" w14:textId="77777777" w:rsidR="00642A49" w:rsidRPr="00C96CB1" w:rsidRDefault="00642A49" w:rsidP="006C2A18">
            <w:pPr>
              <w:overflowPunct w:val="0"/>
              <w:autoSpaceDE w:val="0"/>
              <w:autoSpaceDN w:val="0"/>
              <w:adjustRightInd w:val="0"/>
              <w:spacing w:line="360" w:lineRule="auto"/>
              <w:jc w:val="center"/>
              <w:rPr>
                <w:rFonts w:ascii="Times New Roman" w:eastAsia="Calibri" w:hAnsi="Times New Roman" w:cs="Times New Roman"/>
                <w:position w:val="-10"/>
                <w:sz w:val="24"/>
                <w:szCs w:val="24"/>
                <w:lang w:val="en-US"/>
              </w:rPr>
            </w:pPr>
            <w:r w:rsidRPr="00C96CB1">
              <w:rPr>
                <w:rFonts w:ascii="Times New Roman" w:eastAsia="Calibri" w:hAnsi="Times New Roman" w:cs="Times New Roman"/>
                <w:position w:val="-10"/>
                <w:sz w:val="24"/>
                <w:szCs w:val="24"/>
                <w:lang w:val="en-US"/>
              </w:rPr>
              <w:t>-37.18</w:t>
            </w:r>
          </w:p>
          <w:p w14:paraId="5D800E77" w14:textId="77777777" w:rsidR="00642A49" w:rsidRPr="00C96CB1" w:rsidRDefault="00642A49" w:rsidP="006C2A18">
            <w:pPr>
              <w:overflowPunct w:val="0"/>
              <w:autoSpaceDE w:val="0"/>
              <w:autoSpaceDN w:val="0"/>
              <w:adjustRightInd w:val="0"/>
              <w:spacing w:line="360" w:lineRule="auto"/>
              <w:jc w:val="center"/>
              <w:rPr>
                <w:rFonts w:ascii="Times New Roman" w:eastAsia="Calibri" w:hAnsi="Times New Roman" w:cs="Times New Roman"/>
                <w:position w:val="-10"/>
                <w:sz w:val="24"/>
                <w:szCs w:val="24"/>
                <w:lang w:val="en-US"/>
              </w:rPr>
            </w:pPr>
            <w:r w:rsidRPr="00C96CB1">
              <w:rPr>
                <w:rFonts w:ascii="Times New Roman" w:eastAsia="Calibri" w:hAnsi="Times New Roman" w:cs="Times New Roman"/>
                <w:position w:val="-10"/>
                <w:sz w:val="24"/>
                <w:szCs w:val="24"/>
                <w:lang w:val="en-US"/>
              </w:rPr>
              <w:t>-37.42</w:t>
            </w:r>
          </w:p>
          <w:p w14:paraId="14B7D81B" w14:textId="77777777" w:rsidR="00642A49" w:rsidRPr="00C96CB1" w:rsidRDefault="00642A49" w:rsidP="006C2A18">
            <w:pPr>
              <w:overflowPunct w:val="0"/>
              <w:autoSpaceDE w:val="0"/>
              <w:autoSpaceDN w:val="0"/>
              <w:adjustRightInd w:val="0"/>
              <w:spacing w:line="360" w:lineRule="auto"/>
              <w:jc w:val="center"/>
              <w:rPr>
                <w:rFonts w:ascii="Times New Roman" w:eastAsia="Calibri" w:hAnsi="Times New Roman" w:cs="Times New Roman"/>
                <w:position w:val="-10"/>
                <w:sz w:val="24"/>
                <w:szCs w:val="24"/>
                <w:lang w:val="en-US"/>
              </w:rPr>
            </w:pPr>
            <w:r w:rsidRPr="00C96CB1">
              <w:rPr>
                <w:rFonts w:ascii="Times New Roman" w:eastAsia="Calibri" w:hAnsi="Times New Roman" w:cs="Times New Roman"/>
                <w:position w:val="-10"/>
                <w:sz w:val="24"/>
                <w:szCs w:val="24"/>
                <w:lang w:val="en-US"/>
              </w:rPr>
              <w:t>-37.80</w:t>
            </w:r>
          </w:p>
        </w:tc>
        <w:tc>
          <w:tcPr>
            <w:tcW w:w="575" w:type="pct"/>
            <w:tcBorders>
              <w:top w:val="nil"/>
              <w:left w:val="nil"/>
              <w:bottom w:val="single" w:sz="12" w:space="0" w:color="000000"/>
              <w:right w:val="nil"/>
            </w:tcBorders>
            <w:vAlign w:val="center"/>
            <w:hideMark/>
          </w:tcPr>
          <w:p w14:paraId="6BEA345C" w14:textId="77777777" w:rsidR="00642A49" w:rsidRPr="00C96CB1" w:rsidRDefault="00642A49" w:rsidP="006C2A18">
            <w:pPr>
              <w:spacing w:line="360" w:lineRule="auto"/>
              <w:jc w:val="center"/>
              <w:rPr>
                <w:rFonts w:ascii="Times New Roman" w:eastAsia="Calibri" w:hAnsi="Times New Roman" w:cs="Times New Roman"/>
                <w:sz w:val="24"/>
                <w:szCs w:val="24"/>
                <w:lang w:val="en-US"/>
              </w:rPr>
            </w:pPr>
            <w:r w:rsidRPr="00C96CB1">
              <w:rPr>
                <w:rFonts w:ascii="Times New Roman" w:eastAsia="Calibri" w:hAnsi="Times New Roman" w:cs="Times New Roman"/>
                <w:sz w:val="24"/>
                <w:szCs w:val="24"/>
                <w:lang w:val="en-US"/>
              </w:rPr>
              <w:t>19.69</w:t>
            </w:r>
          </w:p>
          <w:p w14:paraId="12E7A23D" w14:textId="77777777" w:rsidR="00642A49" w:rsidRPr="00C96CB1" w:rsidRDefault="00642A49" w:rsidP="006C2A18">
            <w:pPr>
              <w:spacing w:line="360" w:lineRule="auto"/>
              <w:jc w:val="center"/>
              <w:rPr>
                <w:rFonts w:ascii="Times New Roman" w:eastAsia="Calibri" w:hAnsi="Times New Roman" w:cs="Times New Roman"/>
                <w:sz w:val="24"/>
                <w:szCs w:val="24"/>
                <w:lang w:val="en-US"/>
              </w:rPr>
            </w:pPr>
            <w:r w:rsidRPr="00C96CB1">
              <w:rPr>
                <w:rFonts w:ascii="Times New Roman" w:eastAsia="Calibri" w:hAnsi="Times New Roman" w:cs="Times New Roman"/>
                <w:sz w:val="24"/>
                <w:szCs w:val="24"/>
                <w:lang w:val="en-US"/>
              </w:rPr>
              <w:t>17.85</w:t>
            </w:r>
          </w:p>
          <w:p w14:paraId="5B47B887" w14:textId="77777777" w:rsidR="00642A49" w:rsidRPr="00C96CB1" w:rsidRDefault="00642A49" w:rsidP="006C2A18">
            <w:pPr>
              <w:spacing w:line="360" w:lineRule="auto"/>
              <w:jc w:val="center"/>
              <w:rPr>
                <w:rFonts w:ascii="Times New Roman" w:eastAsia="Calibri" w:hAnsi="Times New Roman" w:cs="Times New Roman"/>
                <w:sz w:val="24"/>
                <w:szCs w:val="24"/>
                <w:lang w:val="en-US"/>
              </w:rPr>
            </w:pPr>
            <w:r w:rsidRPr="00C96CB1">
              <w:rPr>
                <w:rFonts w:ascii="Times New Roman" w:eastAsia="Calibri" w:hAnsi="Times New Roman" w:cs="Times New Roman"/>
                <w:sz w:val="24"/>
                <w:szCs w:val="24"/>
                <w:lang w:val="en-US"/>
              </w:rPr>
              <w:t>16.90</w:t>
            </w:r>
          </w:p>
          <w:p w14:paraId="697EFFFD" w14:textId="77777777" w:rsidR="00642A49" w:rsidRPr="00C96CB1" w:rsidRDefault="00642A49" w:rsidP="006C2A18">
            <w:pPr>
              <w:spacing w:line="360" w:lineRule="auto"/>
              <w:jc w:val="center"/>
              <w:rPr>
                <w:rFonts w:ascii="Times New Roman" w:eastAsia="Calibri" w:hAnsi="Times New Roman" w:cs="Times New Roman"/>
                <w:sz w:val="24"/>
                <w:szCs w:val="24"/>
                <w:lang w:val="en-US"/>
              </w:rPr>
            </w:pPr>
            <w:r w:rsidRPr="00C96CB1">
              <w:rPr>
                <w:rFonts w:ascii="Times New Roman" w:eastAsia="Calibri" w:hAnsi="Times New Roman" w:cs="Times New Roman"/>
                <w:sz w:val="24"/>
                <w:szCs w:val="24"/>
                <w:lang w:val="en-US"/>
              </w:rPr>
              <w:t>15.97</w:t>
            </w:r>
          </w:p>
          <w:p w14:paraId="482F6ACC" w14:textId="77777777" w:rsidR="00642A49" w:rsidRPr="00C96CB1" w:rsidRDefault="00642A49" w:rsidP="006C2A18">
            <w:pPr>
              <w:spacing w:line="360" w:lineRule="auto"/>
              <w:jc w:val="center"/>
              <w:rPr>
                <w:rFonts w:ascii="Times New Roman" w:eastAsia="Calibri" w:hAnsi="Times New Roman" w:cs="Times New Roman"/>
                <w:sz w:val="24"/>
                <w:szCs w:val="24"/>
                <w:lang w:val="en-US"/>
              </w:rPr>
            </w:pPr>
            <w:r w:rsidRPr="00C96CB1">
              <w:rPr>
                <w:rFonts w:ascii="Times New Roman" w:eastAsia="Calibri" w:hAnsi="Times New Roman" w:cs="Times New Roman"/>
                <w:sz w:val="24"/>
                <w:szCs w:val="24"/>
                <w:lang w:val="en-US"/>
              </w:rPr>
              <w:t>14.09</w:t>
            </w:r>
          </w:p>
        </w:tc>
        <w:tc>
          <w:tcPr>
            <w:tcW w:w="575" w:type="pct"/>
            <w:tcBorders>
              <w:top w:val="nil"/>
              <w:left w:val="nil"/>
              <w:bottom w:val="single" w:sz="12" w:space="0" w:color="000000"/>
              <w:right w:val="nil"/>
            </w:tcBorders>
            <w:vAlign w:val="center"/>
            <w:hideMark/>
          </w:tcPr>
          <w:p w14:paraId="5E20DE70" w14:textId="77777777" w:rsidR="00642A49" w:rsidRPr="00C96CB1" w:rsidRDefault="00642A49" w:rsidP="006C2A18">
            <w:pPr>
              <w:spacing w:line="360" w:lineRule="auto"/>
              <w:jc w:val="center"/>
              <w:rPr>
                <w:rFonts w:ascii="Times New Roman" w:eastAsia="Calibri" w:hAnsi="Times New Roman" w:cs="Times New Roman"/>
                <w:sz w:val="24"/>
                <w:szCs w:val="24"/>
                <w:lang w:val="en-US"/>
              </w:rPr>
            </w:pPr>
            <w:r w:rsidRPr="00C96CB1">
              <w:rPr>
                <w:rFonts w:ascii="Times New Roman" w:eastAsia="Calibri" w:hAnsi="Times New Roman" w:cs="Times New Roman"/>
                <w:sz w:val="24"/>
                <w:szCs w:val="24"/>
                <w:lang w:val="en-US"/>
              </w:rPr>
              <w:t>26.28</w:t>
            </w:r>
          </w:p>
          <w:p w14:paraId="2E024FB9" w14:textId="77777777" w:rsidR="00642A49" w:rsidRPr="00C96CB1" w:rsidRDefault="00642A49" w:rsidP="006C2A18">
            <w:pPr>
              <w:spacing w:line="360" w:lineRule="auto"/>
              <w:jc w:val="center"/>
              <w:rPr>
                <w:rFonts w:ascii="Times New Roman" w:eastAsia="Calibri" w:hAnsi="Times New Roman" w:cs="Times New Roman"/>
                <w:sz w:val="24"/>
                <w:szCs w:val="24"/>
                <w:lang w:val="en-US"/>
              </w:rPr>
            </w:pPr>
            <w:r w:rsidRPr="00C96CB1">
              <w:rPr>
                <w:rFonts w:ascii="Times New Roman" w:eastAsia="Calibri" w:hAnsi="Times New Roman" w:cs="Times New Roman"/>
                <w:sz w:val="24"/>
                <w:szCs w:val="24"/>
                <w:lang w:val="en-US"/>
              </w:rPr>
              <w:t>16.97</w:t>
            </w:r>
          </w:p>
          <w:p w14:paraId="29B9284D" w14:textId="77777777" w:rsidR="00642A49" w:rsidRPr="00C96CB1" w:rsidRDefault="00642A49" w:rsidP="006C2A18">
            <w:pPr>
              <w:spacing w:line="360" w:lineRule="auto"/>
              <w:jc w:val="center"/>
              <w:rPr>
                <w:rFonts w:ascii="Times New Roman" w:eastAsia="Calibri" w:hAnsi="Times New Roman" w:cs="Times New Roman"/>
                <w:sz w:val="24"/>
                <w:szCs w:val="24"/>
                <w:lang w:val="en-US"/>
              </w:rPr>
            </w:pPr>
            <w:r w:rsidRPr="00C96CB1">
              <w:rPr>
                <w:rFonts w:ascii="Times New Roman" w:eastAsia="Calibri" w:hAnsi="Times New Roman" w:cs="Times New Roman"/>
                <w:sz w:val="24"/>
                <w:szCs w:val="24"/>
                <w:lang w:val="en-US"/>
              </w:rPr>
              <w:t>17.91</w:t>
            </w:r>
          </w:p>
          <w:p w14:paraId="3F4BDF60" w14:textId="77777777" w:rsidR="00642A49" w:rsidRPr="00C96CB1" w:rsidRDefault="00642A49" w:rsidP="006C2A18">
            <w:pPr>
              <w:spacing w:line="360" w:lineRule="auto"/>
              <w:jc w:val="center"/>
              <w:rPr>
                <w:rFonts w:ascii="Times New Roman" w:eastAsia="Calibri" w:hAnsi="Times New Roman" w:cs="Times New Roman"/>
                <w:sz w:val="24"/>
                <w:szCs w:val="24"/>
                <w:lang w:val="en-US"/>
              </w:rPr>
            </w:pPr>
            <w:r w:rsidRPr="00C96CB1">
              <w:rPr>
                <w:rFonts w:ascii="Times New Roman" w:eastAsia="Calibri" w:hAnsi="Times New Roman" w:cs="Times New Roman"/>
                <w:sz w:val="24"/>
                <w:szCs w:val="24"/>
                <w:lang w:val="en-US"/>
              </w:rPr>
              <w:t>12.95</w:t>
            </w:r>
          </w:p>
          <w:p w14:paraId="5CC531B3" w14:textId="77777777" w:rsidR="00642A49" w:rsidRPr="00C96CB1" w:rsidRDefault="00642A49" w:rsidP="006C2A18">
            <w:pPr>
              <w:spacing w:line="360" w:lineRule="auto"/>
              <w:jc w:val="center"/>
              <w:rPr>
                <w:rFonts w:ascii="Times New Roman" w:eastAsia="Calibri" w:hAnsi="Times New Roman" w:cs="Times New Roman"/>
                <w:sz w:val="24"/>
                <w:szCs w:val="24"/>
                <w:lang w:val="en-US"/>
              </w:rPr>
            </w:pPr>
            <w:r w:rsidRPr="00C96CB1">
              <w:rPr>
                <w:rFonts w:ascii="Times New Roman" w:eastAsia="Calibri" w:hAnsi="Times New Roman" w:cs="Times New Roman"/>
                <w:sz w:val="24"/>
                <w:szCs w:val="24"/>
                <w:lang w:val="en-US"/>
              </w:rPr>
              <w:t>11.14</w:t>
            </w:r>
          </w:p>
        </w:tc>
        <w:tc>
          <w:tcPr>
            <w:tcW w:w="703" w:type="pct"/>
            <w:tcBorders>
              <w:top w:val="nil"/>
              <w:left w:val="nil"/>
              <w:bottom w:val="single" w:sz="12" w:space="0" w:color="000000"/>
              <w:right w:val="nil"/>
            </w:tcBorders>
            <w:vAlign w:val="center"/>
            <w:hideMark/>
          </w:tcPr>
          <w:p w14:paraId="14109957" w14:textId="77777777" w:rsidR="00642A49" w:rsidRPr="00C96CB1" w:rsidRDefault="00642A49" w:rsidP="006C2A18">
            <w:pPr>
              <w:overflowPunct w:val="0"/>
              <w:autoSpaceDE w:val="0"/>
              <w:autoSpaceDN w:val="0"/>
              <w:adjustRightInd w:val="0"/>
              <w:spacing w:line="360" w:lineRule="auto"/>
              <w:jc w:val="center"/>
              <w:rPr>
                <w:rFonts w:ascii="Times New Roman" w:eastAsia="Calibri" w:hAnsi="Times New Roman" w:cs="Times New Roman"/>
                <w:position w:val="-10"/>
                <w:sz w:val="24"/>
                <w:szCs w:val="24"/>
                <w:lang w:val="en-US"/>
              </w:rPr>
            </w:pPr>
            <w:r w:rsidRPr="00C96CB1">
              <w:rPr>
                <w:rFonts w:ascii="Times New Roman" w:eastAsia="Calibri" w:hAnsi="Times New Roman" w:cs="Times New Roman"/>
                <w:position w:val="-10"/>
                <w:sz w:val="24"/>
                <w:szCs w:val="24"/>
                <w:lang w:val="en-US"/>
              </w:rPr>
              <w:t>-34.29</w:t>
            </w:r>
          </w:p>
          <w:p w14:paraId="5BD75501" w14:textId="77777777" w:rsidR="00642A49" w:rsidRPr="00C96CB1" w:rsidRDefault="00642A49" w:rsidP="006C2A18">
            <w:pPr>
              <w:overflowPunct w:val="0"/>
              <w:autoSpaceDE w:val="0"/>
              <w:autoSpaceDN w:val="0"/>
              <w:adjustRightInd w:val="0"/>
              <w:spacing w:line="360" w:lineRule="auto"/>
              <w:jc w:val="center"/>
              <w:rPr>
                <w:rFonts w:ascii="Times New Roman" w:eastAsia="Calibri" w:hAnsi="Times New Roman" w:cs="Times New Roman"/>
                <w:position w:val="-10"/>
                <w:sz w:val="24"/>
                <w:szCs w:val="24"/>
                <w:lang w:val="en-US"/>
              </w:rPr>
            </w:pPr>
            <w:r w:rsidRPr="00C96CB1">
              <w:rPr>
                <w:rFonts w:ascii="Times New Roman" w:eastAsia="Calibri" w:hAnsi="Times New Roman" w:cs="Times New Roman"/>
                <w:position w:val="-10"/>
                <w:sz w:val="24"/>
                <w:szCs w:val="24"/>
                <w:lang w:val="en-US"/>
              </w:rPr>
              <w:t>-36.58</w:t>
            </w:r>
          </w:p>
          <w:p w14:paraId="6EE4DC41" w14:textId="77777777" w:rsidR="00642A49" w:rsidRPr="00C96CB1" w:rsidRDefault="00642A49" w:rsidP="006C2A18">
            <w:pPr>
              <w:overflowPunct w:val="0"/>
              <w:autoSpaceDE w:val="0"/>
              <w:autoSpaceDN w:val="0"/>
              <w:adjustRightInd w:val="0"/>
              <w:spacing w:line="360" w:lineRule="auto"/>
              <w:jc w:val="center"/>
              <w:rPr>
                <w:rFonts w:ascii="Times New Roman" w:eastAsia="Calibri" w:hAnsi="Times New Roman" w:cs="Times New Roman"/>
                <w:position w:val="-10"/>
                <w:sz w:val="24"/>
                <w:szCs w:val="24"/>
                <w:lang w:val="en-US"/>
              </w:rPr>
            </w:pPr>
            <w:r w:rsidRPr="00C96CB1">
              <w:rPr>
                <w:rFonts w:ascii="Times New Roman" w:eastAsia="Calibri" w:hAnsi="Times New Roman" w:cs="Times New Roman"/>
                <w:position w:val="-10"/>
                <w:sz w:val="24"/>
                <w:szCs w:val="24"/>
                <w:lang w:val="en-US"/>
              </w:rPr>
              <w:t>-36.52</w:t>
            </w:r>
          </w:p>
          <w:p w14:paraId="5CE2A219" w14:textId="77777777" w:rsidR="00642A49" w:rsidRPr="00C96CB1" w:rsidRDefault="00642A49" w:rsidP="006C2A18">
            <w:pPr>
              <w:overflowPunct w:val="0"/>
              <w:autoSpaceDE w:val="0"/>
              <w:autoSpaceDN w:val="0"/>
              <w:adjustRightInd w:val="0"/>
              <w:spacing w:line="360" w:lineRule="auto"/>
              <w:jc w:val="center"/>
              <w:rPr>
                <w:rFonts w:ascii="Times New Roman" w:eastAsia="Calibri" w:hAnsi="Times New Roman" w:cs="Times New Roman"/>
                <w:position w:val="-10"/>
                <w:sz w:val="24"/>
                <w:szCs w:val="24"/>
                <w:lang w:val="en-US"/>
              </w:rPr>
            </w:pPr>
            <w:r w:rsidRPr="00C96CB1">
              <w:rPr>
                <w:rFonts w:ascii="Times New Roman" w:eastAsia="Calibri" w:hAnsi="Times New Roman" w:cs="Times New Roman"/>
                <w:position w:val="-10"/>
                <w:sz w:val="24"/>
                <w:szCs w:val="24"/>
                <w:lang w:val="en-US"/>
              </w:rPr>
              <w:t>-37.61</w:t>
            </w:r>
          </w:p>
          <w:p w14:paraId="7D7175EA" w14:textId="77777777" w:rsidR="00642A49" w:rsidRPr="00C96CB1" w:rsidRDefault="00642A49" w:rsidP="006C2A18">
            <w:pPr>
              <w:overflowPunct w:val="0"/>
              <w:autoSpaceDE w:val="0"/>
              <w:autoSpaceDN w:val="0"/>
              <w:adjustRightInd w:val="0"/>
              <w:spacing w:line="360" w:lineRule="auto"/>
              <w:jc w:val="center"/>
              <w:rPr>
                <w:rFonts w:ascii="Times New Roman" w:eastAsia="Calibri" w:hAnsi="Times New Roman" w:cs="Times New Roman"/>
                <w:position w:val="-10"/>
                <w:sz w:val="24"/>
                <w:szCs w:val="24"/>
                <w:lang w:val="en-US"/>
              </w:rPr>
            </w:pPr>
            <w:r w:rsidRPr="00C96CB1">
              <w:rPr>
                <w:rFonts w:ascii="Times New Roman" w:eastAsia="Calibri" w:hAnsi="Times New Roman" w:cs="Times New Roman"/>
                <w:position w:val="-10"/>
                <w:sz w:val="24"/>
                <w:szCs w:val="24"/>
                <w:lang w:val="en-US"/>
              </w:rPr>
              <w:t>-38.26</w:t>
            </w:r>
          </w:p>
        </w:tc>
      </w:tr>
    </w:tbl>
    <w:p w14:paraId="2AD48FF3" w14:textId="77777777" w:rsidR="00642A49" w:rsidRPr="00EA6D99" w:rsidRDefault="00642A49" w:rsidP="00642A49">
      <w:pPr>
        <w:spacing w:after="0" w:line="240" w:lineRule="auto"/>
        <w:jc w:val="both"/>
        <w:rPr>
          <w:rFonts w:ascii="Times New Roman" w:hAnsi="Times New Roman" w:cs="Times New Roman"/>
          <w:bCs/>
          <w:sz w:val="24"/>
          <w:szCs w:val="24"/>
          <w:lang w:val="en-US"/>
        </w:rPr>
      </w:pPr>
      <w:r w:rsidRPr="00EA6D99">
        <w:rPr>
          <w:rFonts w:ascii="Times New Roman" w:hAnsi="Times New Roman" w:cs="Times New Roman"/>
          <w:bCs/>
          <w:sz w:val="24"/>
          <w:szCs w:val="24"/>
          <w:vertAlign w:val="superscript"/>
          <w:lang w:val="en-US"/>
        </w:rPr>
        <w:t xml:space="preserve">a </w:t>
      </w:r>
      <w:r w:rsidRPr="00EA6D99">
        <w:rPr>
          <w:rFonts w:ascii="Times New Roman" w:hAnsi="Times New Roman" w:cs="Times New Roman"/>
          <w:bCs/>
          <w:sz w:val="24"/>
          <w:szCs w:val="24"/>
          <w:lang w:val="en-US"/>
        </w:rPr>
        <w:t>Critical micellar concentration</w:t>
      </w:r>
    </w:p>
    <w:p w14:paraId="37A32210" w14:textId="77777777" w:rsidR="00642A49" w:rsidRPr="00EA6D99" w:rsidRDefault="00642A49" w:rsidP="00642A49">
      <w:pPr>
        <w:spacing w:after="0" w:line="240" w:lineRule="auto"/>
        <w:jc w:val="both"/>
        <w:rPr>
          <w:rFonts w:ascii="Times New Roman" w:hAnsi="Times New Roman" w:cs="Times New Roman"/>
          <w:bCs/>
          <w:sz w:val="24"/>
          <w:szCs w:val="24"/>
          <w:lang w:val="en-US"/>
        </w:rPr>
      </w:pPr>
      <w:r w:rsidRPr="00EA6D99">
        <w:rPr>
          <w:rFonts w:ascii="Times New Roman" w:hAnsi="Times New Roman" w:cs="Times New Roman"/>
          <w:bCs/>
          <w:sz w:val="24"/>
          <w:szCs w:val="24"/>
          <w:vertAlign w:val="superscript"/>
          <w:lang w:val="en-US"/>
        </w:rPr>
        <w:t xml:space="preserve">b </w:t>
      </w:r>
      <w:r w:rsidRPr="00EA6D99">
        <w:rPr>
          <w:rFonts w:ascii="Times New Roman" w:hAnsi="Times New Roman" w:cs="Times New Roman"/>
          <w:bCs/>
          <w:sz w:val="24"/>
          <w:szCs w:val="24"/>
          <w:lang w:val="en-US"/>
        </w:rPr>
        <w:t>Degree of dissociation</w:t>
      </w:r>
    </w:p>
    <w:p w14:paraId="085E8FEA" w14:textId="77777777" w:rsidR="00642A49" w:rsidRPr="00EA6D99" w:rsidRDefault="00642A49" w:rsidP="0046515F">
      <w:pPr>
        <w:spacing w:after="0" w:line="240" w:lineRule="auto"/>
        <w:jc w:val="both"/>
        <w:rPr>
          <w:rFonts w:ascii="Times New Roman" w:hAnsi="Times New Roman" w:cs="Times New Roman"/>
          <w:bCs/>
          <w:sz w:val="24"/>
          <w:szCs w:val="24"/>
          <w:lang w:val="en-US"/>
        </w:rPr>
      </w:pPr>
      <w:r w:rsidRPr="00EA6D99">
        <w:rPr>
          <w:rFonts w:ascii="Times New Roman" w:hAnsi="Times New Roman" w:cs="Times New Roman"/>
          <w:sz w:val="24"/>
          <w:szCs w:val="24"/>
          <w:highlight w:val="white"/>
          <w:vertAlign w:val="superscript"/>
          <w:lang w:val="en-US"/>
        </w:rPr>
        <w:t xml:space="preserve">c </w:t>
      </w:r>
      <w:r w:rsidRPr="00EA6D99">
        <w:rPr>
          <w:rFonts w:ascii="Times New Roman" w:hAnsi="Times New Roman" w:cs="Times New Roman"/>
          <w:sz w:val="24"/>
          <w:szCs w:val="24"/>
          <w:highlight w:val="white"/>
          <w:lang w:val="en-US"/>
        </w:rPr>
        <w:t>Gibbs free energy</w:t>
      </w:r>
    </w:p>
    <w:p w14:paraId="2EC3BE27" w14:textId="77777777" w:rsidR="0046515F" w:rsidRPr="0046515F" w:rsidRDefault="0046515F" w:rsidP="0046515F">
      <w:pPr>
        <w:spacing w:after="0" w:line="240" w:lineRule="auto"/>
        <w:jc w:val="both"/>
        <w:rPr>
          <w:rFonts w:ascii="Times New Roman" w:hAnsi="Times New Roman" w:cs="Times New Roman"/>
          <w:b/>
          <w:bCs/>
          <w:sz w:val="24"/>
          <w:szCs w:val="24"/>
          <w:lang w:val="en-US"/>
        </w:rPr>
      </w:pPr>
    </w:p>
    <w:p w14:paraId="2662B636" w14:textId="77777777" w:rsidR="005529EC" w:rsidRPr="005529EC" w:rsidRDefault="005529EC" w:rsidP="005529EC">
      <w:pPr>
        <w:spacing w:after="0" w:line="360" w:lineRule="auto"/>
        <w:jc w:val="both"/>
        <w:rPr>
          <w:rFonts w:ascii="Times New Roman" w:hAnsi="Times New Roman" w:cs="Times New Roman"/>
          <w:b/>
          <w:sz w:val="24"/>
          <w:szCs w:val="24"/>
          <w:lang w:val="en-US"/>
        </w:rPr>
      </w:pPr>
      <w:r w:rsidRPr="00491BCA">
        <w:rPr>
          <w:rFonts w:ascii="Times New Roman" w:hAnsi="Times New Roman" w:cs="Times New Roman"/>
          <w:b/>
          <w:sz w:val="24"/>
          <w:szCs w:val="24"/>
          <w:lang w:val="en-US"/>
        </w:rPr>
        <w:t>3.2. Effect of temperature on CMC</w:t>
      </w:r>
    </w:p>
    <w:p w14:paraId="33F4F981" w14:textId="77777777" w:rsidR="00E9612D" w:rsidRPr="00C96CB1" w:rsidRDefault="008D6C53" w:rsidP="008D6C53">
      <w:pPr>
        <w:spacing w:after="0" w:line="360" w:lineRule="auto"/>
        <w:jc w:val="both"/>
        <w:rPr>
          <w:rFonts w:ascii="Times New Roman" w:hAnsi="Times New Roman" w:cs="Times New Roman"/>
          <w:sz w:val="24"/>
          <w:szCs w:val="24"/>
        </w:rPr>
      </w:pPr>
      <w:r w:rsidRPr="008D6C53">
        <w:rPr>
          <w:rFonts w:ascii="Times New Roman" w:hAnsi="Times New Roman" w:cs="Times New Roman"/>
          <w:sz w:val="24"/>
          <w:szCs w:val="24"/>
        </w:rPr>
        <w:t xml:space="preserve">The </w:t>
      </w:r>
      <w:proofErr w:type="spellStart"/>
      <w:r w:rsidRPr="008D6C53">
        <w:rPr>
          <w:rFonts w:ascii="Times New Roman" w:hAnsi="Times New Roman" w:cs="Times New Roman"/>
          <w:sz w:val="24"/>
          <w:szCs w:val="24"/>
        </w:rPr>
        <w:t>same</w:t>
      </w:r>
      <w:proofErr w:type="spellEnd"/>
      <w:r w:rsidRPr="008D6C53">
        <w:rPr>
          <w:rFonts w:ascii="Times New Roman" w:hAnsi="Times New Roman" w:cs="Times New Roman"/>
          <w:sz w:val="24"/>
          <w:szCs w:val="24"/>
        </w:rPr>
        <w:t xml:space="preserve"> titration </w:t>
      </w:r>
      <w:proofErr w:type="spellStart"/>
      <w:r w:rsidRPr="008D6C53">
        <w:rPr>
          <w:rFonts w:ascii="Times New Roman" w:hAnsi="Times New Roman" w:cs="Times New Roman"/>
          <w:sz w:val="24"/>
          <w:szCs w:val="24"/>
        </w:rPr>
        <w:t>previously</w:t>
      </w:r>
      <w:proofErr w:type="spellEnd"/>
      <w:r w:rsidRPr="008D6C53">
        <w:rPr>
          <w:rFonts w:ascii="Times New Roman" w:hAnsi="Times New Roman" w:cs="Times New Roman"/>
          <w:sz w:val="24"/>
          <w:szCs w:val="24"/>
        </w:rPr>
        <w:t xml:space="preserve"> </w:t>
      </w:r>
      <w:proofErr w:type="spellStart"/>
      <w:r w:rsidRPr="008D6C53">
        <w:rPr>
          <w:rFonts w:ascii="Times New Roman" w:hAnsi="Times New Roman" w:cs="Times New Roman"/>
          <w:sz w:val="24"/>
          <w:szCs w:val="24"/>
        </w:rPr>
        <w:t>performed</w:t>
      </w:r>
      <w:proofErr w:type="spellEnd"/>
      <w:r w:rsidRPr="008D6C53">
        <w:rPr>
          <w:rFonts w:ascii="Times New Roman" w:hAnsi="Times New Roman" w:cs="Times New Roman"/>
          <w:sz w:val="24"/>
          <w:szCs w:val="24"/>
        </w:rPr>
        <w:t xml:space="preserve"> by </w:t>
      </w:r>
      <w:proofErr w:type="spellStart"/>
      <w:r w:rsidRPr="008D6C53">
        <w:rPr>
          <w:rFonts w:ascii="Times New Roman" w:hAnsi="Times New Roman" w:cs="Times New Roman"/>
          <w:sz w:val="24"/>
          <w:szCs w:val="24"/>
        </w:rPr>
        <w:t>conductometry</w:t>
      </w:r>
      <w:proofErr w:type="spellEnd"/>
      <w:r w:rsidRPr="008D6C53">
        <w:rPr>
          <w:rFonts w:ascii="Times New Roman" w:hAnsi="Times New Roman" w:cs="Times New Roman"/>
          <w:sz w:val="24"/>
          <w:szCs w:val="24"/>
        </w:rPr>
        <w:t xml:space="preserve"> </w:t>
      </w:r>
      <w:proofErr w:type="spellStart"/>
      <w:r w:rsidRPr="008D6C53">
        <w:rPr>
          <w:rFonts w:ascii="Times New Roman" w:hAnsi="Times New Roman" w:cs="Times New Roman"/>
          <w:sz w:val="24"/>
          <w:szCs w:val="24"/>
        </w:rPr>
        <w:t>was</w:t>
      </w:r>
      <w:proofErr w:type="spellEnd"/>
      <w:r w:rsidRPr="008D6C53">
        <w:rPr>
          <w:rFonts w:ascii="Times New Roman" w:hAnsi="Times New Roman" w:cs="Times New Roman"/>
          <w:sz w:val="24"/>
          <w:szCs w:val="24"/>
        </w:rPr>
        <w:t xml:space="preserve"> </w:t>
      </w:r>
      <w:proofErr w:type="spellStart"/>
      <w:r w:rsidRPr="008D6C53">
        <w:rPr>
          <w:rFonts w:ascii="Times New Roman" w:hAnsi="Times New Roman" w:cs="Times New Roman"/>
          <w:sz w:val="24"/>
          <w:szCs w:val="24"/>
        </w:rPr>
        <w:t>employed</w:t>
      </w:r>
      <w:proofErr w:type="spellEnd"/>
      <w:r w:rsidRPr="008D6C53">
        <w:rPr>
          <w:rFonts w:ascii="Times New Roman" w:hAnsi="Times New Roman" w:cs="Times New Roman"/>
          <w:sz w:val="24"/>
          <w:szCs w:val="24"/>
        </w:rPr>
        <w:t xml:space="preserve">, monitoring the change in </w:t>
      </w:r>
      <w:proofErr w:type="spellStart"/>
      <w:r w:rsidRPr="008D6C53">
        <w:rPr>
          <w:rFonts w:ascii="Times New Roman" w:hAnsi="Times New Roman" w:cs="Times New Roman"/>
          <w:sz w:val="24"/>
          <w:szCs w:val="24"/>
        </w:rPr>
        <w:t>specific</w:t>
      </w:r>
      <w:proofErr w:type="spellEnd"/>
      <w:r w:rsidRPr="008D6C53">
        <w:rPr>
          <w:rFonts w:ascii="Times New Roman" w:hAnsi="Times New Roman" w:cs="Times New Roman"/>
          <w:sz w:val="24"/>
          <w:szCs w:val="24"/>
        </w:rPr>
        <w:t xml:space="preserve"> </w:t>
      </w:r>
      <w:proofErr w:type="spellStart"/>
      <w:r w:rsidRPr="008D6C53">
        <w:rPr>
          <w:rFonts w:ascii="Times New Roman" w:hAnsi="Times New Roman" w:cs="Times New Roman"/>
          <w:sz w:val="24"/>
          <w:szCs w:val="24"/>
        </w:rPr>
        <w:t>conductivity</w:t>
      </w:r>
      <w:proofErr w:type="spellEnd"/>
      <w:r w:rsidRPr="008D6C53">
        <w:rPr>
          <w:rFonts w:ascii="Times New Roman" w:hAnsi="Times New Roman" w:cs="Times New Roman"/>
          <w:sz w:val="24"/>
          <w:szCs w:val="24"/>
        </w:rPr>
        <w:t xml:space="preserve"> as a </w:t>
      </w:r>
      <w:proofErr w:type="spellStart"/>
      <w:r w:rsidRPr="008D6C53">
        <w:rPr>
          <w:rFonts w:ascii="Times New Roman" w:hAnsi="Times New Roman" w:cs="Times New Roman"/>
          <w:sz w:val="24"/>
          <w:szCs w:val="24"/>
        </w:rPr>
        <w:t>function</w:t>
      </w:r>
      <w:proofErr w:type="spellEnd"/>
      <w:r w:rsidRPr="008D6C53">
        <w:rPr>
          <w:rFonts w:ascii="Times New Roman" w:hAnsi="Times New Roman" w:cs="Times New Roman"/>
          <w:sz w:val="24"/>
          <w:szCs w:val="24"/>
        </w:rPr>
        <w:t xml:space="preserve"> of surfactant concentration at </w:t>
      </w:r>
      <w:proofErr w:type="spellStart"/>
      <w:r w:rsidRPr="008D6C53">
        <w:rPr>
          <w:rFonts w:ascii="Times New Roman" w:hAnsi="Times New Roman" w:cs="Times New Roman"/>
          <w:sz w:val="24"/>
          <w:szCs w:val="24"/>
        </w:rPr>
        <w:t>different</w:t>
      </w:r>
      <w:proofErr w:type="spellEnd"/>
      <w:r w:rsidRPr="008D6C53">
        <w:rPr>
          <w:rFonts w:ascii="Times New Roman" w:hAnsi="Times New Roman" w:cs="Times New Roman"/>
          <w:sz w:val="24"/>
          <w:szCs w:val="24"/>
        </w:rPr>
        <w:t xml:space="preserve"> </w:t>
      </w:r>
      <w:proofErr w:type="spellStart"/>
      <w:r w:rsidRPr="008D6C53">
        <w:rPr>
          <w:rFonts w:ascii="Times New Roman" w:hAnsi="Times New Roman" w:cs="Times New Roman"/>
          <w:sz w:val="24"/>
          <w:szCs w:val="24"/>
        </w:rPr>
        <w:t>temperatures</w:t>
      </w:r>
      <w:proofErr w:type="spellEnd"/>
      <w:r w:rsidRPr="008D6C53">
        <w:rPr>
          <w:rFonts w:ascii="Times New Roman" w:hAnsi="Times New Roman" w:cs="Times New Roman"/>
          <w:sz w:val="24"/>
          <w:szCs w:val="24"/>
        </w:rPr>
        <w:t xml:space="preserve"> and in the </w:t>
      </w:r>
      <w:proofErr w:type="spellStart"/>
      <w:r w:rsidRPr="008D6C53">
        <w:rPr>
          <w:rFonts w:ascii="Times New Roman" w:hAnsi="Times New Roman" w:cs="Times New Roman"/>
          <w:sz w:val="24"/>
          <w:szCs w:val="24"/>
        </w:rPr>
        <w:t>presence</w:t>
      </w:r>
      <w:proofErr w:type="spellEnd"/>
      <w:r w:rsidRPr="008D6C53">
        <w:rPr>
          <w:rFonts w:ascii="Times New Roman" w:hAnsi="Times New Roman" w:cs="Times New Roman"/>
          <w:sz w:val="24"/>
          <w:szCs w:val="24"/>
        </w:rPr>
        <w:t xml:space="preserve"> of 1 µmol L⁻¹ of DCF. The </w:t>
      </w:r>
      <w:proofErr w:type="spellStart"/>
      <w:r w:rsidRPr="008D6C53">
        <w:rPr>
          <w:rFonts w:ascii="Times New Roman" w:hAnsi="Times New Roman" w:cs="Times New Roman"/>
          <w:sz w:val="24"/>
          <w:szCs w:val="24"/>
        </w:rPr>
        <w:t>thermodynamic</w:t>
      </w:r>
      <w:proofErr w:type="spellEnd"/>
      <w:r w:rsidRPr="008D6C53">
        <w:rPr>
          <w:rFonts w:ascii="Times New Roman" w:hAnsi="Times New Roman" w:cs="Times New Roman"/>
          <w:sz w:val="24"/>
          <w:szCs w:val="24"/>
        </w:rPr>
        <w:t xml:space="preserve"> </w:t>
      </w:r>
      <w:proofErr w:type="spellStart"/>
      <w:r w:rsidRPr="008D6C53">
        <w:rPr>
          <w:rFonts w:ascii="Times New Roman" w:hAnsi="Times New Roman" w:cs="Times New Roman"/>
          <w:sz w:val="24"/>
          <w:szCs w:val="24"/>
        </w:rPr>
        <w:t>parameters</w:t>
      </w:r>
      <w:proofErr w:type="spellEnd"/>
      <w:r w:rsidRPr="008D6C53">
        <w:rPr>
          <w:rFonts w:ascii="Times New Roman" w:hAnsi="Times New Roman" w:cs="Times New Roman"/>
          <w:sz w:val="24"/>
          <w:szCs w:val="24"/>
        </w:rPr>
        <w:t xml:space="preserve"> (ΔG°, ΔH°, and ΔS°) </w:t>
      </w:r>
      <w:proofErr w:type="spellStart"/>
      <w:r w:rsidRPr="008D6C53">
        <w:rPr>
          <w:rFonts w:ascii="Times New Roman" w:hAnsi="Times New Roman" w:cs="Times New Roman"/>
          <w:sz w:val="24"/>
          <w:szCs w:val="24"/>
        </w:rPr>
        <w:t>were</w:t>
      </w:r>
      <w:proofErr w:type="spellEnd"/>
      <w:r w:rsidRPr="008D6C53">
        <w:rPr>
          <w:rFonts w:ascii="Times New Roman" w:hAnsi="Times New Roman" w:cs="Times New Roman"/>
          <w:sz w:val="24"/>
          <w:szCs w:val="24"/>
        </w:rPr>
        <w:t xml:space="preserve"> </w:t>
      </w:r>
      <w:proofErr w:type="spellStart"/>
      <w:r w:rsidRPr="008D6C53">
        <w:rPr>
          <w:rFonts w:ascii="Times New Roman" w:hAnsi="Times New Roman" w:cs="Times New Roman"/>
          <w:sz w:val="24"/>
          <w:szCs w:val="24"/>
        </w:rPr>
        <w:t>calculated</w:t>
      </w:r>
      <w:proofErr w:type="spellEnd"/>
      <w:r w:rsidRPr="008D6C53">
        <w:rPr>
          <w:rFonts w:ascii="Times New Roman" w:hAnsi="Times New Roman" w:cs="Times New Roman"/>
          <w:sz w:val="24"/>
          <w:szCs w:val="24"/>
        </w:rPr>
        <w:t xml:space="preserve"> </w:t>
      </w:r>
      <w:proofErr w:type="spellStart"/>
      <w:r w:rsidRPr="008D6C53">
        <w:rPr>
          <w:rFonts w:ascii="Times New Roman" w:hAnsi="Times New Roman" w:cs="Times New Roman"/>
          <w:sz w:val="24"/>
          <w:szCs w:val="24"/>
        </w:rPr>
        <w:t>using</w:t>
      </w:r>
      <w:proofErr w:type="spellEnd"/>
      <w:r w:rsidRPr="008D6C53">
        <w:rPr>
          <w:rFonts w:ascii="Times New Roman" w:hAnsi="Times New Roman" w:cs="Times New Roman"/>
          <w:sz w:val="24"/>
          <w:szCs w:val="24"/>
        </w:rPr>
        <w:t xml:space="preserve"> Equations (1), (2), (3), and (4), </w:t>
      </w:r>
      <w:proofErr w:type="spellStart"/>
      <w:r w:rsidRPr="008D6C53">
        <w:rPr>
          <w:rFonts w:ascii="Times New Roman" w:hAnsi="Times New Roman" w:cs="Times New Roman"/>
          <w:sz w:val="24"/>
          <w:szCs w:val="24"/>
        </w:rPr>
        <w:t>respectively</w:t>
      </w:r>
      <w:proofErr w:type="spellEnd"/>
      <w:r w:rsidRPr="008D6C5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D6C53">
        <w:rPr>
          <w:rFonts w:ascii="Times New Roman" w:hAnsi="Times New Roman" w:cs="Times New Roman"/>
          <w:sz w:val="24"/>
          <w:szCs w:val="24"/>
        </w:rPr>
        <w:t>Analysis</w:t>
      </w:r>
      <w:proofErr w:type="spellEnd"/>
      <w:r w:rsidRPr="008D6C53">
        <w:rPr>
          <w:rFonts w:ascii="Times New Roman" w:hAnsi="Times New Roman" w:cs="Times New Roman"/>
          <w:sz w:val="24"/>
          <w:szCs w:val="24"/>
        </w:rPr>
        <w:t xml:space="preserve"> of Table 3 </w:t>
      </w:r>
      <w:proofErr w:type="spellStart"/>
      <w:r w:rsidRPr="008D6C53">
        <w:rPr>
          <w:rFonts w:ascii="Times New Roman" w:hAnsi="Times New Roman" w:cs="Times New Roman"/>
          <w:sz w:val="24"/>
          <w:szCs w:val="24"/>
        </w:rPr>
        <w:t>indicates</w:t>
      </w:r>
      <w:proofErr w:type="spellEnd"/>
      <w:r w:rsidRPr="008D6C53">
        <w:rPr>
          <w:rFonts w:ascii="Times New Roman" w:hAnsi="Times New Roman" w:cs="Times New Roman"/>
          <w:sz w:val="24"/>
          <w:szCs w:val="24"/>
        </w:rPr>
        <w:t xml:space="preserve"> </w:t>
      </w:r>
      <w:proofErr w:type="spellStart"/>
      <w:r w:rsidRPr="008D6C53">
        <w:rPr>
          <w:rFonts w:ascii="Times New Roman" w:hAnsi="Times New Roman" w:cs="Times New Roman"/>
          <w:sz w:val="24"/>
          <w:szCs w:val="24"/>
        </w:rPr>
        <w:t>that</w:t>
      </w:r>
      <w:proofErr w:type="spellEnd"/>
      <w:r w:rsidRPr="008D6C53">
        <w:rPr>
          <w:rFonts w:ascii="Times New Roman" w:hAnsi="Times New Roman" w:cs="Times New Roman"/>
          <w:sz w:val="24"/>
          <w:szCs w:val="24"/>
        </w:rPr>
        <w:t xml:space="preserve"> </w:t>
      </w:r>
      <w:proofErr w:type="spellStart"/>
      <w:r w:rsidRPr="008D6C53">
        <w:rPr>
          <w:rFonts w:ascii="Times New Roman" w:hAnsi="Times New Roman" w:cs="Times New Roman"/>
          <w:sz w:val="24"/>
          <w:szCs w:val="24"/>
        </w:rPr>
        <w:t>temperature</w:t>
      </w:r>
      <w:proofErr w:type="spellEnd"/>
      <w:r w:rsidRPr="008D6C53">
        <w:rPr>
          <w:rFonts w:ascii="Times New Roman" w:hAnsi="Times New Roman" w:cs="Times New Roman"/>
          <w:sz w:val="24"/>
          <w:szCs w:val="24"/>
        </w:rPr>
        <w:t xml:space="preserve"> </w:t>
      </w:r>
      <w:proofErr w:type="spellStart"/>
      <w:r w:rsidRPr="008D6C53">
        <w:rPr>
          <w:rFonts w:ascii="Times New Roman" w:hAnsi="Times New Roman" w:cs="Times New Roman"/>
          <w:sz w:val="24"/>
          <w:szCs w:val="24"/>
        </w:rPr>
        <w:t>significantly</w:t>
      </w:r>
      <w:proofErr w:type="spellEnd"/>
      <w:r w:rsidRPr="008D6C53">
        <w:rPr>
          <w:rFonts w:ascii="Times New Roman" w:hAnsi="Times New Roman" w:cs="Times New Roman"/>
          <w:sz w:val="24"/>
          <w:szCs w:val="24"/>
        </w:rPr>
        <w:t xml:space="preserve"> affects the CMC of </w:t>
      </w:r>
      <w:proofErr w:type="spellStart"/>
      <w:r w:rsidRPr="008D6C53">
        <w:rPr>
          <w:rFonts w:ascii="Times New Roman" w:hAnsi="Times New Roman" w:cs="Times New Roman"/>
          <w:sz w:val="24"/>
          <w:szCs w:val="24"/>
        </w:rPr>
        <w:t>both</w:t>
      </w:r>
      <w:proofErr w:type="spellEnd"/>
      <w:r w:rsidRPr="008D6C53">
        <w:rPr>
          <w:rFonts w:ascii="Times New Roman" w:hAnsi="Times New Roman" w:cs="Times New Roman"/>
          <w:sz w:val="24"/>
          <w:szCs w:val="24"/>
        </w:rPr>
        <w:t xml:space="preserve"> surfactants. </w:t>
      </w:r>
      <w:proofErr w:type="spellStart"/>
      <w:r w:rsidRPr="008D6C53">
        <w:rPr>
          <w:rFonts w:ascii="Times New Roman" w:hAnsi="Times New Roman" w:cs="Times New Roman"/>
          <w:sz w:val="24"/>
          <w:szCs w:val="24"/>
        </w:rPr>
        <w:t>Raising</w:t>
      </w:r>
      <w:proofErr w:type="spellEnd"/>
      <w:r w:rsidRPr="008D6C53">
        <w:rPr>
          <w:rFonts w:ascii="Times New Roman" w:hAnsi="Times New Roman" w:cs="Times New Roman"/>
          <w:sz w:val="24"/>
          <w:szCs w:val="24"/>
        </w:rPr>
        <w:t xml:space="preserve"> the </w:t>
      </w:r>
      <w:proofErr w:type="spellStart"/>
      <w:r w:rsidRPr="008D6C53">
        <w:rPr>
          <w:rFonts w:ascii="Times New Roman" w:hAnsi="Times New Roman" w:cs="Times New Roman"/>
          <w:sz w:val="24"/>
          <w:szCs w:val="24"/>
        </w:rPr>
        <w:t>temperature</w:t>
      </w:r>
      <w:proofErr w:type="spellEnd"/>
      <w:r w:rsidRPr="008D6C53">
        <w:rPr>
          <w:rFonts w:ascii="Times New Roman" w:hAnsi="Times New Roman" w:cs="Times New Roman"/>
          <w:sz w:val="24"/>
          <w:szCs w:val="24"/>
        </w:rPr>
        <w:t xml:space="preserve"> </w:t>
      </w:r>
      <w:proofErr w:type="spellStart"/>
      <w:r w:rsidRPr="008D6C53">
        <w:rPr>
          <w:rFonts w:ascii="Times New Roman" w:hAnsi="Times New Roman" w:cs="Times New Roman"/>
          <w:sz w:val="24"/>
          <w:szCs w:val="24"/>
        </w:rPr>
        <w:t>from</w:t>
      </w:r>
      <w:proofErr w:type="spellEnd"/>
      <w:r w:rsidRPr="008D6C53">
        <w:rPr>
          <w:rFonts w:ascii="Times New Roman" w:hAnsi="Times New Roman" w:cs="Times New Roman"/>
          <w:sz w:val="24"/>
          <w:szCs w:val="24"/>
        </w:rPr>
        <w:t xml:space="preserve"> 303.15 K to 331.15 K </w:t>
      </w:r>
      <w:proofErr w:type="spellStart"/>
      <w:r w:rsidRPr="008D6C53">
        <w:rPr>
          <w:rFonts w:ascii="Times New Roman" w:hAnsi="Times New Roman" w:cs="Times New Roman"/>
          <w:sz w:val="24"/>
          <w:szCs w:val="24"/>
        </w:rPr>
        <w:t>reduces</w:t>
      </w:r>
      <w:proofErr w:type="spellEnd"/>
      <w:r w:rsidRPr="008D6C53">
        <w:rPr>
          <w:rFonts w:ascii="Times New Roman" w:hAnsi="Times New Roman" w:cs="Times New Roman"/>
          <w:sz w:val="24"/>
          <w:szCs w:val="24"/>
        </w:rPr>
        <w:t xml:space="preserve"> the CMC of SDS by 33% and </w:t>
      </w:r>
      <w:proofErr w:type="spellStart"/>
      <w:r w:rsidRPr="008D6C53">
        <w:rPr>
          <w:rFonts w:ascii="Times New Roman" w:hAnsi="Times New Roman" w:cs="Times New Roman"/>
          <w:sz w:val="24"/>
          <w:szCs w:val="24"/>
        </w:rPr>
        <w:t>that</w:t>
      </w:r>
      <w:proofErr w:type="spellEnd"/>
      <w:r w:rsidRPr="008D6C53">
        <w:rPr>
          <w:rFonts w:ascii="Times New Roman" w:hAnsi="Times New Roman" w:cs="Times New Roman"/>
          <w:sz w:val="24"/>
          <w:szCs w:val="24"/>
        </w:rPr>
        <w:t xml:space="preserve"> of TMATFB by 21%. Overall, the CMC of the </w:t>
      </w:r>
      <w:proofErr w:type="spellStart"/>
      <w:r w:rsidRPr="008D6C53">
        <w:rPr>
          <w:rFonts w:ascii="Times New Roman" w:hAnsi="Times New Roman" w:cs="Times New Roman"/>
          <w:sz w:val="24"/>
          <w:szCs w:val="24"/>
        </w:rPr>
        <w:t>ionic</w:t>
      </w:r>
      <w:proofErr w:type="spellEnd"/>
      <w:r w:rsidRPr="008D6C53">
        <w:rPr>
          <w:rFonts w:ascii="Times New Roman" w:hAnsi="Times New Roman" w:cs="Times New Roman"/>
          <w:sz w:val="24"/>
          <w:szCs w:val="24"/>
        </w:rPr>
        <w:t xml:space="preserve"> surfactant </w:t>
      </w:r>
      <w:proofErr w:type="spellStart"/>
      <w:r w:rsidRPr="008D6C53">
        <w:rPr>
          <w:rFonts w:ascii="Times New Roman" w:hAnsi="Times New Roman" w:cs="Times New Roman"/>
          <w:sz w:val="24"/>
          <w:szCs w:val="24"/>
        </w:rPr>
        <w:t>decreases</w:t>
      </w:r>
      <w:proofErr w:type="spellEnd"/>
      <w:r w:rsidRPr="008D6C53">
        <w:rPr>
          <w:rFonts w:ascii="Times New Roman" w:hAnsi="Times New Roman" w:cs="Times New Roman"/>
          <w:sz w:val="24"/>
          <w:szCs w:val="24"/>
        </w:rPr>
        <w:t xml:space="preserve"> </w:t>
      </w:r>
      <w:proofErr w:type="spellStart"/>
      <w:r w:rsidRPr="008D6C53">
        <w:rPr>
          <w:rFonts w:ascii="Times New Roman" w:hAnsi="Times New Roman" w:cs="Times New Roman"/>
          <w:sz w:val="24"/>
          <w:szCs w:val="24"/>
        </w:rPr>
        <w:t>with</w:t>
      </w:r>
      <w:proofErr w:type="spellEnd"/>
      <w:r w:rsidRPr="008D6C53">
        <w:rPr>
          <w:rFonts w:ascii="Times New Roman" w:hAnsi="Times New Roman" w:cs="Times New Roman"/>
          <w:sz w:val="24"/>
          <w:szCs w:val="24"/>
        </w:rPr>
        <w:t xml:space="preserve"> </w:t>
      </w:r>
      <w:proofErr w:type="spellStart"/>
      <w:r w:rsidRPr="008D6C53">
        <w:rPr>
          <w:rFonts w:ascii="Times New Roman" w:hAnsi="Times New Roman" w:cs="Times New Roman"/>
          <w:sz w:val="24"/>
          <w:szCs w:val="24"/>
        </w:rPr>
        <w:t>increasing</w:t>
      </w:r>
      <w:proofErr w:type="spellEnd"/>
      <w:r w:rsidRPr="008D6C53">
        <w:rPr>
          <w:rFonts w:ascii="Times New Roman" w:hAnsi="Times New Roman" w:cs="Times New Roman"/>
          <w:sz w:val="24"/>
          <w:szCs w:val="24"/>
        </w:rPr>
        <w:t xml:space="preserve"> </w:t>
      </w:r>
      <w:proofErr w:type="spellStart"/>
      <w:r w:rsidRPr="008D6C53">
        <w:rPr>
          <w:rFonts w:ascii="Times New Roman" w:hAnsi="Times New Roman" w:cs="Times New Roman"/>
          <w:sz w:val="24"/>
          <w:szCs w:val="24"/>
        </w:rPr>
        <w:t>temperature</w:t>
      </w:r>
      <w:proofErr w:type="spellEnd"/>
      <w:r w:rsidRPr="008D6C53">
        <w:rPr>
          <w:rFonts w:ascii="Times New Roman" w:hAnsi="Times New Roman" w:cs="Times New Roman"/>
          <w:sz w:val="24"/>
          <w:szCs w:val="24"/>
        </w:rPr>
        <w:t xml:space="preserve">, as </w:t>
      </w:r>
      <w:proofErr w:type="spellStart"/>
      <w:r w:rsidRPr="008D6C53">
        <w:rPr>
          <w:rFonts w:ascii="Times New Roman" w:hAnsi="Times New Roman" w:cs="Times New Roman"/>
          <w:sz w:val="24"/>
          <w:szCs w:val="24"/>
        </w:rPr>
        <w:t>shown</w:t>
      </w:r>
      <w:proofErr w:type="spellEnd"/>
      <w:r w:rsidRPr="008D6C53">
        <w:rPr>
          <w:rFonts w:ascii="Times New Roman" w:hAnsi="Times New Roman" w:cs="Times New Roman"/>
          <w:sz w:val="24"/>
          <w:szCs w:val="24"/>
        </w:rPr>
        <w:t xml:space="preserve"> in Figure 2</w:t>
      </w:r>
      <w:r>
        <w:rPr>
          <w:rFonts w:ascii="Times New Roman" w:hAnsi="Times New Roman" w:cs="Times New Roman"/>
          <w:sz w:val="24"/>
          <w:szCs w:val="24"/>
        </w:rPr>
        <w:t>.</w:t>
      </w:r>
    </w:p>
    <w:p w14:paraId="58149311" w14:textId="77777777" w:rsidR="00E9612D" w:rsidRPr="00237C70" w:rsidRDefault="008D6C53" w:rsidP="00E9612D">
      <w:pPr>
        <w:spacing w:after="0" w:line="360" w:lineRule="auto"/>
        <w:jc w:val="both"/>
        <w:rPr>
          <w:rFonts w:ascii="Times New Roman" w:hAnsi="Times New Roman" w:cs="Times New Roman"/>
          <w:sz w:val="24"/>
          <w:szCs w:val="24"/>
        </w:rPr>
      </w:pPr>
      <w:r>
        <w:object w:dxaOrig="25604" w:dyaOrig="18000" w14:anchorId="1B88C639">
          <v:shape id="_x0000_i1030" type="#_x0000_t75" style="width:453pt;height:318.5pt" o:ole="">
            <v:imagedata r:id="rId18" o:title=""/>
          </v:shape>
          <o:OLEObject Type="Embed" ProgID="Origin50.Graph" ShapeID="_x0000_i1030" DrawAspect="Content" ObjectID="_1833356234" r:id="rId19"/>
        </w:object>
      </w:r>
      <w:r w:rsidR="00E9612D" w:rsidRPr="00E9612D">
        <w:rPr>
          <w:rFonts w:ascii="Times New Roman" w:hAnsi="Times New Roman" w:cs="Times New Roman"/>
          <w:sz w:val="24"/>
          <w:szCs w:val="24"/>
          <w:highlight w:val="yellow"/>
        </w:rPr>
        <w:t xml:space="preserve"> </w:t>
      </w:r>
      <w:r w:rsidR="007D1DD5" w:rsidRPr="00A6298C">
        <w:rPr>
          <w:rFonts w:ascii="Times New Roman" w:hAnsi="Times New Roman" w:cs="Times New Roman"/>
          <w:b/>
          <w:sz w:val="24"/>
          <w:szCs w:val="24"/>
        </w:rPr>
        <w:t xml:space="preserve">Fig. </w:t>
      </w:r>
      <w:r w:rsidR="00F3167D" w:rsidRPr="00A6298C">
        <w:rPr>
          <w:rFonts w:ascii="Times New Roman" w:hAnsi="Times New Roman" w:cs="Times New Roman"/>
          <w:b/>
          <w:sz w:val="24"/>
          <w:szCs w:val="24"/>
        </w:rPr>
        <w:t>3</w:t>
      </w:r>
      <w:r w:rsidR="00E9612D" w:rsidRPr="00A6298C">
        <w:rPr>
          <w:rFonts w:ascii="Times New Roman" w:hAnsi="Times New Roman" w:cs="Times New Roman"/>
          <w:b/>
          <w:sz w:val="24"/>
          <w:szCs w:val="24"/>
        </w:rPr>
        <w:t>. CMC variation of TMATFB (■) and SDS (</w:t>
      </w:r>
      <w:r w:rsidR="00E9612D" w:rsidRPr="00A6298C">
        <w:rPr>
          <w:rFonts w:ascii="Times New Roman" w:hAnsi="Times New Roman" w:cs="Times New Roman"/>
          <w:b/>
          <w:color w:val="FF0000"/>
          <w:sz w:val="24"/>
          <w:szCs w:val="24"/>
        </w:rPr>
        <w:t>●</w:t>
      </w:r>
      <w:r w:rsidR="00E9612D" w:rsidRPr="00A6298C">
        <w:rPr>
          <w:rFonts w:ascii="Times New Roman" w:hAnsi="Times New Roman" w:cs="Times New Roman"/>
          <w:b/>
          <w:sz w:val="24"/>
          <w:szCs w:val="24"/>
        </w:rPr>
        <w:t xml:space="preserve">) as a </w:t>
      </w:r>
      <w:proofErr w:type="spellStart"/>
      <w:r w:rsidR="00E9612D" w:rsidRPr="00A6298C">
        <w:rPr>
          <w:rFonts w:ascii="Times New Roman" w:hAnsi="Times New Roman" w:cs="Times New Roman"/>
          <w:b/>
          <w:sz w:val="24"/>
          <w:szCs w:val="24"/>
        </w:rPr>
        <w:t>function</w:t>
      </w:r>
      <w:proofErr w:type="spellEnd"/>
      <w:r w:rsidR="00E9612D" w:rsidRPr="00A6298C">
        <w:rPr>
          <w:rFonts w:ascii="Times New Roman" w:hAnsi="Times New Roman" w:cs="Times New Roman"/>
          <w:b/>
          <w:sz w:val="24"/>
          <w:szCs w:val="24"/>
        </w:rPr>
        <w:t xml:space="preserve"> of </w:t>
      </w:r>
      <w:proofErr w:type="spellStart"/>
      <w:r w:rsidR="00E9612D" w:rsidRPr="00A6298C">
        <w:rPr>
          <w:rFonts w:ascii="Times New Roman" w:hAnsi="Times New Roman" w:cs="Times New Roman"/>
          <w:b/>
          <w:sz w:val="24"/>
          <w:szCs w:val="24"/>
        </w:rPr>
        <w:t>temperature</w:t>
      </w:r>
      <w:proofErr w:type="spellEnd"/>
    </w:p>
    <w:p w14:paraId="285ADEC6" w14:textId="77777777" w:rsidR="00E9612D" w:rsidRDefault="00E9612D" w:rsidP="00E9612D">
      <w:pPr>
        <w:spacing w:after="0" w:line="360" w:lineRule="auto"/>
        <w:jc w:val="both"/>
        <w:rPr>
          <w:rFonts w:ascii="Times New Roman" w:hAnsi="Times New Roman" w:cs="Times New Roman"/>
          <w:color w:val="0000CC"/>
          <w:sz w:val="24"/>
          <w:szCs w:val="24"/>
        </w:rPr>
      </w:pPr>
    </w:p>
    <w:p w14:paraId="4121257A" w14:textId="77777777" w:rsidR="00A20F65" w:rsidRDefault="005529EC" w:rsidP="00A20F65">
      <w:pPr>
        <w:spacing w:after="0" w:line="360" w:lineRule="auto"/>
        <w:ind w:firstLine="708"/>
        <w:jc w:val="both"/>
        <w:rPr>
          <w:color w:val="0000CC"/>
        </w:rPr>
      </w:pPr>
      <w:r w:rsidRPr="00C96CB1">
        <w:rPr>
          <w:rFonts w:ascii="Times New Roman" w:hAnsi="Times New Roman" w:cs="Times New Roman"/>
          <w:sz w:val="24"/>
          <w:szCs w:val="24"/>
        </w:rPr>
        <w:t xml:space="preserve">This type of </w:t>
      </w:r>
      <w:proofErr w:type="spellStart"/>
      <w:r w:rsidRPr="00C96CB1">
        <w:rPr>
          <w:rFonts w:ascii="Times New Roman" w:hAnsi="Times New Roman" w:cs="Times New Roman"/>
          <w:sz w:val="24"/>
          <w:szCs w:val="24"/>
        </w:rPr>
        <w:t>temperature-dependent</w:t>
      </w:r>
      <w:proofErr w:type="spellEnd"/>
      <w:r w:rsidRPr="00C96CB1">
        <w:rPr>
          <w:rFonts w:ascii="Times New Roman" w:hAnsi="Times New Roman" w:cs="Times New Roman"/>
          <w:sz w:val="24"/>
          <w:szCs w:val="24"/>
        </w:rPr>
        <w:t xml:space="preserve"> variation in the CMC of </w:t>
      </w:r>
      <w:proofErr w:type="spellStart"/>
      <w:r w:rsidRPr="00C96CB1">
        <w:rPr>
          <w:rFonts w:ascii="Times New Roman" w:hAnsi="Times New Roman" w:cs="Times New Roman"/>
          <w:sz w:val="24"/>
          <w:szCs w:val="24"/>
        </w:rPr>
        <w:t>ionic</w:t>
      </w:r>
      <w:proofErr w:type="spellEnd"/>
      <w:r w:rsidRPr="00C96CB1">
        <w:rPr>
          <w:rFonts w:ascii="Times New Roman" w:hAnsi="Times New Roman" w:cs="Times New Roman"/>
          <w:sz w:val="24"/>
          <w:szCs w:val="24"/>
        </w:rPr>
        <w:t xml:space="preserve"> surfactants </w:t>
      </w:r>
      <w:proofErr w:type="spellStart"/>
      <w:r w:rsidRPr="00C96CB1">
        <w:rPr>
          <w:rFonts w:ascii="Times New Roman" w:hAnsi="Times New Roman" w:cs="Times New Roman"/>
          <w:sz w:val="24"/>
          <w:szCs w:val="24"/>
        </w:rPr>
        <w:t>is</w:t>
      </w:r>
      <w:proofErr w:type="spellEnd"/>
      <w:r w:rsidRPr="00C96CB1">
        <w:rPr>
          <w:rFonts w:ascii="Times New Roman" w:hAnsi="Times New Roman" w:cs="Times New Roman"/>
          <w:sz w:val="24"/>
          <w:szCs w:val="24"/>
        </w:rPr>
        <w:t xml:space="preserve"> </w:t>
      </w:r>
      <w:proofErr w:type="spellStart"/>
      <w:r w:rsidRPr="00C96CB1">
        <w:rPr>
          <w:rFonts w:ascii="Times New Roman" w:hAnsi="Times New Roman" w:cs="Times New Roman"/>
          <w:sz w:val="24"/>
          <w:szCs w:val="24"/>
        </w:rPr>
        <w:t>explained</w:t>
      </w:r>
      <w:proofErr w:type="spellEnd"/>
      <w:r w:rsidRPr="00C96CB1">
        <w:rPr>
          <w:rFonts w:ascii="Times New Roman" w:hAnsi="Times New Roman" w:cs="Times New Roman"/>
          <w:sz w:val="24"/>
          <w:szCs w:val="24"/>
        </w:rPr>
        <w:t xml:space="preserve"> by the </w:t>
      </w:r>
      <w:proofErr w:type="spellStart"/>
      <w:r w:rsidRPr="00C96CB1">
        <w:rPr>
          <w:rFonts w:ascii="Times New Roman" w:hAnsi="Times New Roman" w:cs="Times New Roman"/>
          <w:sz w:val="24"/>
          <w:szCs w:val="24"/>
        </w:rPr>
        <w:t>enhanced</w:t>
      </w:r>
      <w:proofErr w:type="spellEnd"/>
      <w:r w:rsidRPr="00C96CB1">
        <w:rPr>
          <w:rFonts w:ascii="Times New Roman" w:hAnsi="Times New Roman" w:cs="Times New Roman"/>
          <w:sz w:val="24"/>
          <w:szCs w:val="24"/>
        </w:rPr>
        <w:t xml:space="preserve"> </w:t>
      </w:r>
      <w:proofErr w:type="spellStart"/>
      <w:r w:rsidRPr="00C96CB1">
        <w:rPr>
          <w:rFonts w:ascii="Times New Roman" w:hAnsi="Times New Roman" w:cs="Times New Roman"/>
          <w:sz w:val="24"/>
          <w:szCs w:val="24"/>
        </w:rPr>
        <w:t>dehydration</w:t>
      </w:r>
      <w:proofErr w:type="spellEnd"/>
      <w:r w:rsidRPr="00C96CB1">
        <w:rPr>
          <w:rFonts w:ascii="Times New Roman" w:hAnsi="Times New Roman" w:cs="Times New Roman"/>
          <w:sz w:val="24"/>
          <w:szCs w:val="24"/>
        </w:rPr>
        <w:t xml:space="preserve"> of the </w:t>
      </w:r>
      <w:proofErr w:type="spellStart"/>
      <w:r w:rsidRPr="00C96CB1">
        <w:rPr>
          <w:rFonts w:ascii="Times New Roman" w:hAnsi="Times New Roman" w:cs="Times New Roman"/>
          <w:sz w:val="24"/>
          <w:szCs w:val="24"/>
        </w:rPr>
        <w:t>hydrophilic</w:t>
      </w:r>
      <w:proofErr w:type="spellEnd"/>
      <w:r w:rsidRPr="00C96CB1">
        <w:rPr>
          <w:rFonts w:ascii="Times New Roman" w:hAnsi="Times New Roman" w:cs="Times New Roman"/>
          <w:sz w:val="24"/>
          <w:szCs w:val="24"/>
        </w:rPr>
        <w:t xml:space="preserve"> </w:t>
      </w:r>
      <w:proofErr w:type="spellStart"/>
      <w:r w:rsidRPr="00C96CB1">
        <w:rPr>
          <w:rFonts w:ascii="Times New Roman" w:hAnsi="Times New Roman" w:cs="Times New Roman"/>
          <w:sz w:val="24"/>
          <w:szCs w:val="24"/>
        </w:rPr>
        <w:t>head</w:t>
      </w:r>
      <w:proofErr w:type="spellEnd"/>
      <w:r w:rsidRPr="00C96CB1">
        <w:rPr>
          <w:rFonts w:ascii="Times New Roman" w:hAnsi="Times New Roman" w:cs="Times New Roman"/>
          <w:sz w:val="24"/>
          <w:szCs w:val="24"/>
        </w:rPr>
        <w:t xml:space="preserve"> group </w:t>
      </w:r>
      <w:proofErr w:type="spellStart"/>
      <w:r w:rsidRPr="00C96CB1">
        <w:rPr>
          <w:rFonts w:ascii="Times New Roman" w:hAnsi="Times New Roman" w:cs="Times New Roman"/>
          <w:sz w:val="24"/>
          <w:szCs w:val="24"/>
        </w:rPr>
        <w:t>with</w:t>
      </w:r>
      <w:proofErr w:type="spellEnd"/>
      <w:r w:rsidRPr="00C96CB1">
        <w:rPr>
          <w:rFonts w:ascii="Times New Roman" w:hAnsi="Times New Roman" w:cs="Times New Roman"/>
          <w:sz w:val="24"/>
          <w:szCs w:val="24"/>
        </w:rPr>
        <w:t xml:space="preserve"> </w:t>
      </w:r>
      <w:proofErr w:type="spellStart"/>
      <w:r w:rsidRPr="00C96CB1">
        <w:rPr>
          <w:rFonts w:ascii="Times New Roman" w:hAnsi="Times New Roman" w:cs="Times New Roman"/>
          <w:sz w:val="24"/>
          <w:szCs w:val="24"/>
        </w:rPr>
        <w:t>increasing</w:t>
      </w:r>
      <w:proofErr w:type="spellEnd"/>
      <w:r w:rsidRPr="00C96CB1">
        <w:rPr>
          <w:rFonts w:ascii="Times New Roman" w:hAnsi="Times New Roman" w:cs="Times New Roman"/>
          <w:sz w:val="24"/>
          <w:szCs w:val="24"/>
        </w:rPr>
        <w:t xml:space="preserve"> </w:t>
      </w:r>
      <w:proofErr w:type="spellStart"/>
      <w:r w:rsidRPr="00C96CB1">
        <w:rPr>
          <w:rFonts w:ascii="Times New Roman" w:hAnsi="Times New Roman" w:cs="Times New Roman"/>
          <w:sz w:val="24"/>
          <w:szCs w:val="24"/>
        </w:rPr>
        <w:t>temperature</w:t>
      </w:r>
      <w:proofErr w:type="spellEnd"/>
      <w:r w:rsidRPr="00C96CB1">
        <w:rPr>
          <w:rFonts w:ascii="Times New Roman" w:hAnsi="Times New Roman" w:cs="Times New Roman"/>
          <w:sz w:val="24"/>
          <w:szCs w:val="24"/>
        </w:rPr>
        <w:t xml:space="preserve">, </w:t>
      </w:r>
      <w:proofErr w:type="spellStart"/>
      <w:r w:rsidRPr="00C96CB1">
        <w:rPr>
          <w:rFonts w:ascii="Times New Roman" w:hAnsi="Times New Roman" w:cs="Times New Roman"/>
          <w:sz w:val="24"/>
          <w:szCs w:val="24"/>
        </w:rPr>
        <w:t>which</w:t>
      </w:r>
      <w:proofErr w:type="spellEnd"/>
      <w:r w:rsidRPr="00C96CB1">
        <w:rPr>
          <w:rFonts w:ascii="Times New Roman" w:hAnsi="Times New Roman" w:cs="Times New Roman"/>
          <w:sz w:val="24"/>
          <w:szCs w:val="24"/>
        </w:rPr>
        <w:t xml:space="preserve"> </w:t>
      </w:r>
      <w:proofErr w:type="spellStart"/>
      <w:r w:rsidRPr="00C96CB1">
        <w:rPr>
          <w:rFonts w:ascii="Times New Roman" w:hAnsi="Times New Roman" w:cs="Times New Roman"/>
          <w:sz w:val="24"/>
          <w:szCs w:val="24"/>
        </w:rPr>
        <w:t>promotes</w:t>
      </w:r>
      <w:proofErr w:type="spellEnd"/>
      <w:r w:rsidRPr="00C96CB1">
        <w:rPr>
          <w:rFonts w:ascii="Times New Roman" w:hAnsi="Times New Roman" w:cs="Times New Roman"/>
          <w:sz w:val="24"/>
          <w:szCs w:val="24"/>
        </w:rPr>
        <w:t xml:space="preserve"> </w:t>
      </w:r>
      <w:proofErr w:type="spellStart"/>
      <w:r w:rsidRPr="00C96CB1">
        <w:rPr>
          <w:rFonts w:ascii="Times New Roman" w:hAnsi="Times New Roman" w:cs="Times New Roman"/>
          <w:sz w:val="24"/>
          <w:szCs w:val="24"/>
        </w:rPr>
        <w:t>micellization</w:t>
      </w:r>
      <w:proofErr w:type="spellEnd"/>
      <w:r w:rsidR="00A20F65">
        <w:rPr>
          <w:rFonts w:ascii="Times New Roman" w:hAnsi="Times New Roman" w:cs="Times New Roman"/>
          <w:color w:val="0000CC"/>
          <w:sz w:val="24"/>
          <w:szCs w:val="24"/>
        </w:rPr>
        <w:t xml:space="preserve"> </w:t>
      </w:r>
      <w:r w:rsidR="00C96CB1">
        <w:rPr>
          <w:rFonts w:ascii="Times New Roman" w:eastAsia="Times New Roman" w:hAnsi="Times New Roman" w:cs="Times New Roman"/>
          <w:iCs/>
          <w:sz w:val="24"/>
          <w:szCs w:val="24"/>
          <w:lang w:val="en-US" w:eastAsia="fr-FR"/>
        </w:rPr>
        <w:t>(</w:t>
      </w:r>
      <w:proofErr w:type="spellStart"/>
      <w:r w:rsidR="00C96CB1" w:rsidRPr="00634232">
        <w:rPr>
          <w:rFonts w:ascii="Times New Roman" w:hAnsi="Times New Roman" w:cs="Times New Roman"/>
          <w:color w:val="0000CC"/>
          <w:sz w:val="24"/>
          <w:szCs w:val="24"/>
          <w:lang w:val="en-US"/>
        </w:rPr>
        <w:t>Sarr</w:t>
      </w:r>
      <w:proofErr w:type="spellEnd"/>
      <w:r w:rsidR="00C96CB1" w:rsidRPr="00634232">
        <w:rPr>
          <w:rFonts w:ascii="Times New Roman" w:hAnsi="Times New Roman" w:cs="Times New Roman"/>
          <w:color w:val="0000CC"/>
          <w:sz w:val="24"/>
          <w:szCs w:val="24"/>
          <w:lang w:val="en-US"/>
        </w:rPr>
        <w:t xml:space="preserve"> et al.</w:t>
      </w:r>
      <w:r w:rsidR="00C96CB1">
        <w:rPr>
          <w:rFonts w:ascii="Times New Roman" w:hAnsi="Times New Roman" w:cs="Times New Roman"/>
          <w:color w:val="0000CC"/>
          <w:sz w:val="24"/>
          <w:szCs w:val="24"/>
          <w:lang w:val="en-US"/>
        </w:rPr>
        <w:t xml:space="preserve">, </w:t>
      </w:r>
      <w:proofErr w:type="gramStart"/>
      <w:r w:rsidR="00C96CB1">
        <w:rPr>
          <w:rFonts w:ascii="Times New Roman" w:hAnsi="Times New Roman" w:cs="Times New Roman"/>
          <w:color w:val="0000CC"/>
          <w:sz w:val="24"/>
          <w:szCs w:val="24"/>
          <w:lang w:val="en-US"/>
        </w:rPr>
        <w:t>2022</w:t>
      </w:r>
      <w:r w:rsidR="00C96CB1" w:rsidRPr="00634232">
        <w:rPr>
          <w:rFonts w:ascii="Times New Roman" w:hAnsi="Times New Roman" w:cs="Times New Roman"/>
          <w:color w:val="0000CC"/>
          <w:sz w:val="24"/>
          <w:szCs w:val="24"/>
          <w:lang w:val="en-US"/>
        </w:rPr>
        <w:t>;</w:t>
      </w:r>
      <w:proofErr w:type="gramEnd"/>
      <w:r w:rsidR="00C96CB1" w:rsidRPr="00634232">
        <w:rPr>
          <w:rFonts w:ascii="Times New Roman" w:hAnsi="Times New Roman" w:cs="Times New Roman"/>
          <w:color w:val="0000CC"/>
          <w:sz w:val="24"/>
          <w:szCs w:val="24"/>
          <w:lang w:val="en-US"/>
        </w:rPr>
        <w:t xml:space="preserve"> Cissé et al.</w:t>
      </w:r>
      <w:r w:rsidR="00C96CB1">
        <w:rPr>
          <w:rFonts w:ascii="Times New Roman" w:hAnsi="Times New Roman" w:cs="Times New Roman"/>
          <w:color w:val="0000CC"/>
          <w:sz w:val="24"/>
          <w:szCs w:val="24"/>
          <w:lang w:val="en-US"/>
        </w:rPr>
        <w:t>, 2024</w:t>
      </w:r>
      <w:r w:rsidR="00C96CB1">
        <w:rPr>
          <w:rFonts w:ascii="Times New Roman" w:eastAsia="Times New Roman" w:hAnsi="Times New Roman" w:cs="Times New Roman"/>
          <w:iCs/>
          <w:sz w:val="24"/>
          <w:szCs w:val="24"/>
          <w:lang w:val="en-US" w:eastAsia="fr-FR"/>
        </w:rPr>
        <w:t>)</w:t>
      </w:r>
      <w:r w:rsidRPr="00D0116E">
        <w:rPr>
          <w:rFonts w:ascii="Times New Roman" w:hAnsi="Times New Roman" w:cs="Times New Roman"/>
          <w:color w:val="0000CC"/>
          <w:sz w:val="24"/>
          <w:szCs w:val="24"/>
        </w:rPr>
        <w:t xml:space="preserve">. </w:t>
      </w:r>
      <w:r w:rsidRPr="00C96CB1">
        <w:rPr>
          <w:rFonts w:ascii="Times New Roman" w:hAnsi="Times New Roman" w:cs="Times New Roman"/>
          <w:sz w:val="24"/>
          <w:szCs w:val="24"/>
        </w:rPr>
        <w:t xml:space="preserve">It has </w:t>
      </w:r>
      <w:proofErr w:type="spellStart"/>
      <w:r w:rsidRPr="00C96CB1">
        <w:rPr>
          <w:rFonts w:ascii="Times New Roman" w:hAnsi="Times New Roman" w:cs="Times New Roman"/>
          <w:sz w:val="24"/>
          <w:szCs w:val="24"/>
        </w:rPr>
        <w:t>also</w:t>
      </w:r>
      <w:proofErr w:type="spellEnd"/>
      <w:r w:rsidRPr="00C96CB1">
        <w:rPr>
          <w:rFonts w:ascii="Times New Roman" w:hAnsi="Times New Roman" w:cs="Times New Roman"/>
          <w:sz w:val="24"/>
          <w:szCs w:val="24"/>
        </w:rPr>
        <w:t xml:space="preserve"> been </w:t>
      </w:r>
      <w:proofErr w:type="spellStart"/>
      <w:r w:rsidRPr="00C96CB1">
        <w:rPr>
          <w:rFonts w:ascii="Times New Roman" w:hAnsi="Times New Roman" w:cs="Times New Roman"/>
          <w:sz w:val="24"/>
          <w:szCs w:val="24"/>
        </w:rPr>
        <w:t>observed</w:t>
      </w:r>
      <w:proofErr w:type="spellEnd"/>
      <w:r w:rsidRPr="00C96CB1">
        <w:rPr>
          <w:rFonts w:ascii="Times New Roman" w:hAnsi="Times New Roman" w:cs="Times New Roman"/>
          <w:sz w:val="24"/>
          <w:szCs w:val="24"/>
        </w:rPr>
        <w:t xml:space="preserve"> to cause the rupture of water </w:t>
      </w:r>
      <w:proofErr w:type="spellStart"/>
      <w:r w:rsidRPr="00C96CB1">
        <w:rPr>
          <w:rFonts w:ascii="Times New Roman" w:hAnsi="Times New Roman" w:cs="Times New Roman"/>
          <w:sz w:val="24"/>
          <w:szCs w:val="24"/>
        </w:rPr>
        <w:t>molecules</w:t>
      </w:r>
      <w:proofErr w:type="spellEnd"/>
      <w:r w:rsidRPr="00C96CB1">
        <w:rPr>
          <w:rFonts w:ascii="Times New Roman" w:hAnsi="Times New Roman" w:cs="Times New Roman"/>
          <w:sz w:val="24"/>
          <w:szCs w:val="24"/>
        </w:rPr>
        <w:t xml:space="preserve"> </w:t>
      </w:r>
      <w:proofErr w:type="spellStart"/>
      <w:r w:rsidRPr="00C96CB1">
        <w:rPr>
          <w:rFonts w:ascii="Times New Roman" w:hAnsi="Times New Roman" w:cs="Times New Roman"/>
          <w:sz w:val="24"/>
          <w:szCs w:val="24"/>
        </w:rPr>
        <w:t>around</w:t>
      </w:r>
      <w:proofErr w:type="spellEnd"/>
      <w:r w:rsidRPr="00C96CB1">
        <w:rPr>
          <w:rFonts w:ascii="Times New Roman" w:hAnsi="Times New Roman" w:cs="Times New Roman"/>
          <w:sz w:val="24"/>
          <w:szCs w:val="24"/>
        </w:rPr>
        <w:t xml:space="preserve"> the </w:t>
      </w:r>
      <w:proofErr w:type="spellStart"/>
      <w:r w:rsidRPr="00C96CB1">
        <w:rPr>
          <w:rFonts w:ascii="Times New Roman" w:hAnsi="Times New Roman" w:cs="Times New Roman"/>
          <w:sz w:val="24"/>
          <w:szCs w:val="24"/>
        </w:rPr>
        <w:t>hydrophobic</w:t>
      </w:r>
      <w:proofErr w:type="spellEnd"/>
      <w:r w:rsidRPr="00C96CB1">
        <w:rPr>
          <w:rFonts w:ascii="Times New Roman" w:hAnsi="Times New Roman" w:cs="Times New Roman"/>
          <w:sz w:val="24"/>
          <w:szCs w:val="24"/>
        </w:rPr>
        <w:t xml:space="preserve"> groups of the </w:t>
      </w:r>
      <w:proofErr w:type="spellStart"/>
      <w:r w:rsidRPr="00C96CB1">
        <w:rPr>
          <w:rFonts w:ascii="Times New Roman" w:hAnsi="Times New Roman" w:cs="Times New Roman"/>
          <w:sz w:val="24"/>
          <w:szCs w:val="24"/>
        </w:rPr>
        <w:t>linear</w:t>
      </w:r>
      <w:proofErr w:type="spellEnd"/>
      <w:r w:rsidRPr="00C96CB1">
        <w:rPr>
          <w:rFonts w:ascii="Times New Roman" w:hAnsi="Times New Roman" w:cs="Times New Roman"/>
          <w:sz w:val="24"/>
          <w:szCs w:val="24"/>
        </w:rPr>
        <w:t xml:space="preserve"> </w:t>
      </w:r>
      <w:proofErr w:type="spellStart"/>
      <w:r w:rsidRPr="00C96CB1">
        <w:rPr>
          <w:rFonts w:ascii="Times New Roman" w:hAnsi="Times New Roman" w:cs="Times New Roman"/>
          <w:sz w:val="24"/>
          <w:szCs w:val="24"/>
        </w:rPr>
        <w:t>chains</w:t>
      </w:r>
      <w:proofErr w:type="spellEnd"/>
      <w:r w:rsidRPr="00C96CB1">
        <w:rPr>
          <w:rFonts w:ascii="Times New Roman" w:hAnsi="Times New Roman" w:cs="Times New Roman"/>
          <w:sz w:val="24"/>
          <w:szCs w:val="24"/>
        </w:rPr>
        <w:t xml:space="preserve"> of surfactants, </w:t>
      </w:r>
      <w:proofErr w:type="spellStart"/>
      <w:r w:rsidRPr="00C96CB1">
        <w:rPr>
          <w:rFonts w:ascii="Times New Roman" w:hAnsi="Times New Roman" w:cs="Times New Roman"/>
          <w:sz w:val="24"/>
          <w:szCs w:val="24"/>
        </w:rPr>
        <w:t>resulting</w:t>
      </w:r>
      <w:proofErr w:type="spellEnd"/>
      <w:r w:rsidRPr="00C96CB1">
        <w:rPr>
          <w:rFonts w:ascii="Times New Roman" w:hAnsi="Times New Roman" w:cs="Times New Roman"/>
          <w:sz w:val="24"/>
          <w:szCs w:val="24"/>
        </w:rPr>
        <w:t xml:space="preserve"> in </w:t>
      </w:r>
      <w:proofErr w:type="spellStart"/>
      <w:r w:rsidRPr="00C96CB1">
        <w:rPr>
          <w:rFonts w:ascii="Times New Roman" w:hAnsi="Times New Roman" w:cs="Times New Roman"/>
          <w:sz w:val="24"/>
          <w:szCs w:val="24"/>
        </w:rPr>
        <w:t>faster</w:t>
      </w:r>
      <w:proofErr w:type="spellEnd"/>
      <w:r w:rsidRPr="00C96CB1">
        <w:rPr>
          <w:rFonts w:ascii="Times New Roman" w:hAnsi="Times New Roman" w:cs="Times New Roman"/>
          <w:sz w:val="24"/>
          <w:szCs w:val="24"/>
        </w:rPr>
        <w:t xml:space="preserve"> </w:t>
      </w:r>
      <w:proofErr w:type="spellStart"/>
      <w:r w:rsidRPr="00C96CB1">
        <w:rPr>
          <w:rFonts w:ascii="Times New Roman" w:hAnsi="Times New Roman" w:cs="Times New Roman"/>
          <w:sz w:val="24"/>
          <w:szCs w:val="24"/>
        </w:rPr>
        <w:t>micellization</w:t>
      </w:r>
      <w:proofErr w:type="spellEnd"/>
      <w:r w:rsidRPr="00C96CB1">
        <w:rPr>
          <w:rFonts w:ascii="Times New Roman" w:hAnsi="Times New Roman" w:cs="Times New Roman"/>
          <w:sz w:val="24"/>
          <w:szCs w:val="24"/>
        </w:rPr>
        <w:t xml:space="preserve"> </w:t>
      </w:r>
      <w:r w:rsidR="00C96CB1">
        <w:rPr>
          <w:rFonts w:ascii="Times New Roman" w:eastAsia="Times New Roman" w:hAnsi="Times New Roman" w:cs="Times New Roman"/>
          <w:iCs/>
          <w:sz w:val="24"/>
          <w:szCs w:val="24"/>
          <w:lang w:val="en-US" w:eastAsia="fr-FR"/>
        </w:rPr>
        <w:t>(</w:t>
      </w:r>
      <w:r w:rsidR="00C96CB1" w:rsidRPr="00634232">
        <w:rPr>
          <w:rFonts w:ascii="Times New Roman" w:hAnsi="Times New Roman" w:cs="Times New Roman"/>
          <w:color w:val="0000CC"/>
          <w:sz w:val="24"/>
          <w:szCs w:val="24"/>
          <w:lang w:val="en-US"/>
        </w:rPr>
        <w:t>Sarr et al.</w:t>
      </w:r>
      <w:r w:rsidR="00C96CB1">
        <w:rPr>
          <w:rFonts w:ascii="Times New Roman" w:hAnsi="Times New Roman" w:cs="Times New Roman"/>
          <w:color w:val="0000CC"/>
          <w:sz w:val="24"/>
          <w:szCs w:val="24"/>
          <w:lang w:val="en-US"/>
        </w:rPr>
        <w:t xml:space="preserve">, </w:t>
      </w:r>
      <w:proofErr w:type="gramStart"/>
      <w:r w:rsidR="00C96CB1">
        <w:rPr>
          <w:rFonts w:ascii="Times New Roman" w:hAnsi="Times New Roman" w:cs="Times New Roman"/>
          <w:color w:val="0000CC"/>
          <w:sz w:val="24"/>
          <w:szCs w:val="24"/>
          <w:lang w:val="en-US"/>
        </w:rPr>
        <w:t>2022</w:t>
      </w:r>
      <w:r w:rsidR="00C96CB1" w:rsidRPr="00634232">
        <w:rPr>
          <w:rFonts w:ascii="Times New Roman" w:hAnsi="Times New Roman" w:cs="Times New Roman"/>
          <w:color w:val="0000CC"/>
          <w:sz w:val="24"/>
          <w:szCs w:val="24"/>
          <w:lang w:val="en-US"/>
        </w:rPr>
        <w:t>;</w:t>
      </w:r>
      <w:proofErr w:type="gramEnd"/>
      <w:r w:rsidR="00C96CB1" w:rsidRPr="00634232">
        <w:rPr>
          <w:rFonts w:ascii="Times New Roman" w:hAnsi="Times New Roman" w:cs="Times New Roman"/>
          <w:color w:val="0000CC"/>
          <w:sz w:val="24"/>
          <w:szCs w:val="24"/>
          <w:lang w:val="en-US"/>
        </w:rPr>
        <w:t xml:space="preserve"> Cissé et al.</w:t>
      </w:r>
      <w:r w:rsidR="00C96CB1">
        <w:rPr>
          <w:rFonts w:ascii="Times New Roman" w:hAnsi="Times New Roman" w:cs="Times New Roman"/>
          <w:color w:val="0000CC"/>
          <w:sz w:val="24"/>
          <w:szCs w:val="24"/>
          <w:lang w:val="en-US"/>
        </w:rPr>
        <w:t>, 2024</w:t>
      </w:r>
      <w:r w:rsidR="00C96CB1">
        <w:rPr>
          <w:rFonts w:ascii="Times New Roman" w:eastAsia="Times New Roman" w:hAnsi="Times New Roman" w:cs="Times New Roman"/>
          <w:iCs/>
          <w:sz w:val="24"/>
          <w:szCs w:val="24"/>
          <w:lang w:val="en-US" w:eastAsia="fr-FR"/>
        </w:rPr>
        <w:t>)</w:t>
      </w:r>
      <w:r w:rsidRPr="00D0116E">
        <w:rPr>
          <w:rFonts w:ascii="Times New Roman" w:hAnsi="Times New Roman" w:cs="Times New Roman"/>
          <w:color w:val="0000CC"/>
          <w:sz w:val="24"/>
          <w:szCs w:val="24"/>
        </w:rPr>
        <w:t xml:space="preserve">. </w:t>
      </w:r>
      <w:r w:rsidRPr="00646332">
        <w:rPr>
          <w:rFonts w:ascii="Times New Roman" w:hAnsi="Times New Roman" w:cs="Times New Roman"/>
          <w:sz w:val="24"/>
          <w:szCs w:val="24"/>
        </w:rPr>
        <w:t xml:space="preserve">This </w:t>
      </w:r>
      <w:proofErr w:type="spellStart"/>
      <w:r w:rsidRPr="00646332">
        <w:rPr>
          <w:rFonts w:ascii="Times New Roman" w:hAnsi="Times New Roman" w:cs="Times New Roman"/>
          <w:sz w:val="24"/>
          <w:szCs w:val="24"/>
        </w:rPr>
        <w:t>decrease</w:t>
      </w:r>
      <w:proofErr w:type="spellEnd"/>
      <w:r w:rsidRPr="00646332">
        <w:rPr>
          <w:rFonts w:ascii="Times New Roman" w:hAnsi="Times New Roman" w:cs="Times New Roman"/>
          <w:sz w:val="24"/>
          <w:szCs w:val="24"/>
        </w:rPr>
        <w:t xml:space="preserve"> in CMC </w:t>
      </w:r>
      <w:proofErr w:type="spellStart"/>
      <w:r w:rsidRPr="00646332">
        <w:rPr>
          <w:rFonts w:ascii="Times New Roman" w:hAnsi="Times New Roman" w:cs="Times New Roman"/>
          <w:sz w:val="24"/>
          <w:szCs w:val="24"/>
        </w:rPr>
        <w:t>with</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increasing</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temperature</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may</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result</w:t>
      </w:r>
      <w:proofErr w:type="spellEnd"/>
      <w:r w:rsidRPr="00646332">
        <w:rPr>
          <w:rFonts w:ascii="Times New Roman" w:hAnsi="Times New Roman" w:cs="Times New Roman"/>
          <w:sz w:val="24"/>
          <w:szCs w:val="24"/>
        </w:rPr>
        <w:t xml:space="preserve"> in a </w:t>
      </w:r>
      <w:proofErr w:type="spellStart"/>
      <w:r w:rsidRPr="00646332">
        <w:rPr>
          <w:rFonts w:ascii="Times New Roman" w:hAnsi="Times New Roman" w:cs="Times New Roman"/>
          <w:sz w:val="24"/>
          <w:szCs w:val="24"/>
        </w:rPr>
        <w:t>reduction</w:t>
      </w:r>
      <w:proofErr w:type="spellEnd"/>
      <w:r w:rsidRPr="00646332">
        <w:rPr>
          <w:rFonts w:ascii="Times New Roman" w:hAnsi="Times New Roman" w:cs="Times New Roman"/>
          <w:sz w:val="24"/>
          <w:szCs w:val="24"/>
        </w:rPr>
        <w:t xml:space="preserve"> of the </w:t>
      </w:r>
      <w:proofErr w:type="spellStart"/>
      <w:r w:rsidRPr="00646332">
        <w:rPr>
          <w:rFonts w:ascii="Times New Roman" w:hAnsi="Times New Roman" w:cs="Times New Roman"/>
          <w:sz w:val="24"/>
          <w:szCs w:val="24"/>
        </w:rPr>
        <w:t>repulsive</w:t>
      </w:r>
      <w:proofErr w:type="spellEnd"/>
      <w:r w:rsidRPr="00646332">
        <w:rPr>
          <w:rFonts w:ascii="Times New Roman" w:hAnsi="Times New Roman" w:cs="Times New Roman"/>
          <w:sz w:val="24"/>
          <w:szCs w:val="24"/>
        </w:rPr>
        <w:t xml:space="preserve"> forces </w:t>
      </w:r>
      <w:proofErr w:type="spellStart"/>
      <w:r w:rsidRPr="00646332">
        <w:rPr>
          <w:rFonts w:ascii="Times New Roman" w:hAnsi="Times New Roman" w:cs="Times New Roman"/>
          <w:sz w:val="24"/>
          <w:szCs w:val="24"/>
        </w:rPr>
        <w:t>between</w:t>
      </w:r>
      <w:proofErr w:type="spellEnd"/>
      <w:r w:rsidRPr="00646332">
        <w:rPr>
          <w:rFonts w:ascii="Times New Roman" w:hAnsi="Times New Roman" w:cs="Times New Roman"/>
          <w:sz w:val="24"/>
          <w:szCs w:val="24"/>
        </w:rPr>
        <w:t xml:space="preserve"> the </w:t>
      </w:r>
      <w:proofErr w:type="spellStart"/>
      <w:r w:rsidRPr="00646332">
        <w:rPr>
          <w:rFonts w:ascii="Times New Roman" w:hAnsi="Times New Roman" w:cs="Times New Roman"/>
          <w:sz w:val="24"/>
          <w:szCs w:val="24"/>
        </w:rPr>
        <w:t>hydrophilic</w:t>
      </w:r>
      <w:proofErr w:type="spellEnd"/>
      <w:r w:rsidRPr="00646332">
        <w:rPr>
          <w:rFonts w:ascii="Times New Roman" w:hAnsi="Times New Roman" w:cs="Times New Roman"/>
          <w:sz w:val="24"/>
          <w:szCs w:val="24"/>
        </w:rPr>
        <w:t xml:space="preserve"> groups of </w:t>
      </w:r>
      <w:proofErr w:type="spellStart"/>
      <w:r w:rsidRPr="00646332">
        <w:rPr>
          <w:rFonts w:ascii="Times New Roman" w:hAnsi="Times New Roman" w:cs="Times New Roman"/>
          <w:sz w:val="24"/>
          <w:szCs w:val="24"/>
        </w:rPr>
        <w:t>neighboring</w:t>
      </w:r>
      <w:proofErr w:type="spellEnd"/>
      <w:r w:rsidRPr="00646332">
        <w:rPr>
          <w:rFonts w:ascii="Times New Roman" w:hAnsi="Times New Roman" w:cs="Times New Roman"/>
          <w:sz w:val="24"/>
          <w:szCs w:val="24"/>
        </w:rPr>
        <w:t xml:space="preserve"> surface agent </w:t>
      </w:r>
      <w:proofErr w:type="spellStart"/>
      <w:r w:rsidRPr="00646332">
        <w:rPr>
          <w:rFonts w:ascii="Times New Roman" w:hAnsi="Times New Roman" w:cs="Times New Roman"/>
          <w:sz w:val="24"/>
          <w:szCs w:val="24"/>
        </w:rPr>
        <w:t>molecules</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leading</w:t>
      </w:r>
      <w:proofErr w:type="spellEnd"/>
      <w:r w:rsidRPr="00646332">
        <w:rPr>
          <w:rFonts w:ascii="Times New Roman" w:hAnsi="Times New Roman" w:cs="Times New Roman"/>
          <w:sz w:val="24"/>
          <w:szCs w:val="24"/>
        </w:rPr>
        <w:t xml:space="preserve"> to a </w:t>
      </w:r>
      <w:proofErr w:type="spellStart"/>
      <w:r w:rsidRPr="00646332">
        <w:rPr>
          <w:rFonts w:ascii="Times New Roman" w:hAnsi="Times New Roman" w:cs="Times New Roman"/>
          <w:sz w:val="24"/>
          <w:szCs w:val="24"/>
        </w:rPr>
        <w:t>decrease</w:t>
      </w:r>
      <w:proofErr w:type="spellEnd"/>
      <w:r w:rsidRPr="00646332">
        <w:rPr>
          <w:rFonts w:ascii="Times New Roman" w:hAnsi="Times New Roman" w:cs="Times New Roman"/>
          <w:sz w:val="24"/>
          <w:szCs w:val="24"/>
        </w:rPr>
        <w:t xml:space="preserve"> in the </w:t>
      </w:r>
      <w:proofErr w:type="spellStart"/>
      <w:r w:rsidRPr="00646332">
        <w:rPr>
          <w:rFonts w:ascii="Times New Roman" w:hAnsi="Times New Roman" w:cs="Times New Roman"/>
          <w:sz w:val="24"/>
          <w:szCs w:val="24"/>
        </w:rPr>
        <w:t>energy</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required</w:t>
      </w:r>
      <w:proofErr w:type="spellEnd"/>
      <w:r w:rsidRPr="00646332">
        <w:rPr>
          <w:rFonts w:ascii="Times New Roman" w:hAnsi="Times New Roman" w:cs="Times New Roman"/>
          <w:sz w:val="24"/>
          <w:szCs w:val="24"/>
        </w:rPr>
        <w:t xml:space="preserve"> for micelle formation. This </w:t>
      </w:r>
      <w:proofErr w:type="spellStart"/>
      <w:r w:rsidRPr="00646332">
        <w:rPr>
          <w:rFonts w:ascii="Times New Roman" w:hAnsi="Times New Roman" w:cs="Times New Roman"/>
          <w:sz w:val="24"/>
          <w:szCs w:val="24"/>
        </w:rPr>
        <w:t>phenomenon</w:t>
      </w:r>
      <w:proofErr w:type="spellEnd"/>
      <w:r w:rsidRPr="00646332">
        <w:rPr>
          <w:rFonts w:ascii="Times New Roman" w:hAnsi="Times New Roman" w:cs="Times New Roman"/>
          <w:sz w:val="24"/>
          <w:szCs w:val="24"/>
        </w:rPr>
        <w:t xml:space="preserve"> </w:t>
      </w:r>
      <w:proofErr w:type="spellStart"/>
      <w:r w:rsidR="00EB361E" w:rsidRPr="00646332">
        <w:rPr>
          <w:rFonts w:ascii="Times New Roman" w:hAnsi="Times New Roman" w:cs="Times New Roman"/>
          <w:sz w:val="24"/>
          <w:szCs w:val="24"/>
        </w:rPr>
        <w:t>was</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attri</w:t>
      </w:r>
      <w:r w:rsidR="00A20F65" w:rsidRPr="00646332">
        <w:rPr>
          <w:rFonts w:ascii="Times New Roman" w:hAnsi="Times New Roman" w:cs="Times New Roman"/>
          <w:sz w:val="24"/>
          <w:szCs w:val="24"/>
        </w:rPr>
        <w:t>buted</w:t>
      </w:r>
      <w:proofErr w:type="spellEnd"/>
      <w:r w:rsidR="00A20F65" w:rsidRPr="00646332">
        <w:rPr>
          <w:rFonts w:ascii="Times New Roman" w:hAnsi="Times New Roman" w:cs="Times New Roman"/>
          <w:sz w:val="24"/>
          <w:szCs w:val="24"/>
        </w:rPr>
        <w:t xml:space="preserve"> to the formation of inverse</w:t>
      </w:r>
      <w:r w:rsidRPr="00646332">
        <w:rPr>
          <w:rFonts w:ascii="Times New Roman" w:hAnsi="Times New Roman" w:cs="Times New Roman"/>
          <w:sz w:val="24"/>
          <w:szCs w:val="24"/>
        </w:rPr>
        <w:t xml:space="preserve"> micelles </w:t>
      </w:r>
      <w:proofErr w:type="spellStart"/>
      <w:r w:rsidRPr="00646332">
        <w:rPr>
          <w:rFonts w:ascii="Times New Roman" w:hAnsi="Times New Roman" w:cs="Times New Roman"/>
          <w:sz w:val="24"/>
          <w:szCs w:val="24"/>
        </w:rPr>
        <w:t>with</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increasing</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tempera</w:t>
      </w:r>
      <w:r w:rsidR="00A20F65" w:rsidRPr="00646332">
        <w:rPr>
          <w:rFonts w:ascii="Times New Roman" w:hAnsi="Times New Roman" w:cs="Times New Roman"/>
          <w:sz w:val="24"/>
          <w:szCs w:val="24"/>
        </w:rPr>
        <w:t>ture</w:t>
      </w:r>
      <w:proofErr w:type="spellEnd"/>
      <w:r w:rsidR="00A20F65" w:rsidRPr="00646332">
        <w:rPr>
          <w:rFonts w:ascii="Times New Roman" w:hAnsi="Times New Roman" w:cs="Times New Roman"/>
          <w:sz w:val="24"/>
          <w:szCs w:val="24"/>
        </w:rPr>
        <w:t>.</w:t>
      </w:r>
      <w:r w:rsidRPr="00646332">
        <w:rPr>
          <w:rFonts w:ascii="Times New Roman" w:hAnsi="Times New Roman" w:cs="Times New Roman"/>
          <w:sz w:val="24"/>
          <w:szCs w:val="24"/>
        </w:rPr>
        <w:t xml:space="preserve"> </w:t>
      </w:r>
      <w:proofErr w:type="spellStart"/>
      <w:r w:rsidR="00EB361E" w:rsidRPr="00646332">
        <w:rPr>
          <w:rFonts w:ascii="Times New Roman" w:hAnsi="Times New Roman" w:cs="Times New Roman"/>
          <w:sz w:val="24"/>
          <w:szCs w:val="24"/>
        </w:rPr>
        <w:t>Thiaré</w:t>
      </w:r>
      <w:proofErr w:type="spellEnd"/>
      <w:r w:rsidR="00EB361E" w:rsidRPr="00646332">
        <w:rPr>
          <w:rFonts w:ascii="Times New Roman" w:hAnsi="Times New Roman" w:cs="Times New Roman"/>
          <w:sz w:val="24"/>
          <w:szCs w:val="24"/>
        </w:rPr>
        <w:t xml:space="preserve"> et al. </w:t>
      </w:r>
      <w:proofErr w:type="spellStart"/>
      <w:proofErr w:type="gramStart"/>
      <w:r w:rsidR="001632D6" w:rsidRPr="00646332">
        <w:rPr>
          <w:rFonts w:ascii="Times New Roman" w:hAnsi="Times New Roman" w:cs="Times New Roman"/>
          <w:sz w:val="24"/>
          <w:szCs w:val="24"/>
        </w:rPr>
        <w:t>observed</w:t>
      </w:r>
      <w:proofErr w:type="spellEnd"/>
      <w:proofErr w:type="gramEnd"/>
      <w:r w:rsidR="00EB361E" w:rsidRPr="00646332">
        <w:rPr>
          <w:rFonts w:ascii="Times New Roman" w:hAnsi="Times New Roman" w:cs="Times New Roman"/>
          <w:sz w:val="24"/>
          <w:szCs w:val="24"/>
        </w:rPr>
        <w:t xml:space="preserve"> </w:t>
      </w:r>
      <w:proofErr w:type="spellStart"/>
      <w:r w:rsidR="00EB361E" w:rsidRPr="00646332">
        <w:rPr>
          <w:rFonts w:ascii="Times New Roman" w:hAnsi="Times New Roman" w:cs="Times New Roman"/>
          <w:sz w:val="24"/>
          <w:szCs w:val="24"/>
        </w:rPr>
        <w:t>this</w:t>
      </w:r>
      <w:proofErr w:type="spellEnd"/>
      <w:r w:rsidR="00EB361E" w:rsidRPr="00646332">
        <w:rPr>
          <w:rFonts w:ascii="Times New Roman" w:hAnsi="Times New Roman" w:cs="Times New Roman"/>
          <w:sz w:val="24"/>
          <w:szCs w:val="24"/>
        </w:rPr>
        <w:t xml:space="preserve"> </w:t>
      </w:r>
      <w:proofErr w:type="spellStart"/>
      <w:r w:rsidR="00EB361E" w:rsidRPr="00646332">
        <w:rPr>
          <w:rFonts w:ascii="Times New Roman" w:hAnsi="Times New Roman" w:cs="Times New Roman"/>
          <w:sz w:val="24"/>
          <w:szCs w:val="24"/>
        </w:rPr>
        <w:t>phenomenon</w:t>
      </w:r>
      <w:proofErr w:type="spellEnd"/>
      <w:r w:rsidR="00EB361E" w:rsidRPr="00646332">
        <w:rPr>
          <w:rFonts w:ascii="Times New Roman" w:hAnsi="Times New Roman" w:cs="Times New Roman"/>
          <w:sz w:val="24"/>
          <w:szCs w:val="24"/>
        </w:rPr>
        <w:t xml:space="preserve"> </w:t>
      </w:r>
      <w:proofErr w:type="spellStart"/>
      <w:r w:rsidR="00EB361E" w:rsidRPr="00646332">
        <w:rPr>
          <w:rFonts w:ascii="Times New Roman" w:hAnsi="Times New Roman" w:cs="Times New Roman"/>
          <w:sz w:val="24"/>
          <w:szCs w:val="24"/>
        </w:rPr>
        <w:t>during</w:t>
      </w:r>
      <w:proofErr w:type="spellEnd"/>
      <w:r w:rsidR="00EB361E" w:rsidRPr="00646332">
        <w:rPr>
          <w:rFonts w:ascii="Times New Roman" w:hAnsi="Times New Roman" w:cs="Times New Roman"/>
          <w:sz w:val="24"/>
          <w:szCs w:val="24"/>
        </w:rPr>
        <w:t xml:space="preserve"> the </w:t>
      </w:r>
      <w:proofErr w:type="spellStart"/>
      <w:r w:rsidR="00EB361E" w:rsidRPr="00646332">
        <w:rPr>
          <w:rFonts w:ascii="Times New Roman" w:hAnsi="Times New Roman" w:cs="Times New Roman"/>
          <w:sz w:val="24"/>
          <w:szCs w:val="24"/>
        </w:rPr>
        <w:t>analysis</w:t>
      </w:r>
      <w:proofErr w:type="spellEnd"/>
      <w:r w:rsidR="00EB361E" w:rsidRPr="00646332">
        <w:rPr>
          <w:rFonts w:ascii="Times New Roman" w:hAnsi="Times New Roman" w:cs="Times New Roman"/>
          <w:sz w:val="24"/>
          <w:szCs w:val="24"/>
        </w:rPr>
        <w:t xml:space="preserve"> of </w:t>
      </w:r>
      <w:proofErr w:type="spellStart"/>
      <w:r w:rsidR="00EB361E" w:rsidRPr="00646332">
        <w:rPr>
          <w:rFonts w:ascii="Times New Roman" w:hAnsi="Times New Roman" w:cs="Times New Roman"/>
          <w:sz w:val="24"/>
          <w:szCs w:val="24"/>
        </w:rPr>
        <w:t>fenvalerate</w:t>
      </w:r>
      <w:proofErr w:type="spellEnd"/>
      <w:r w:rsidR="00EB361E" w:rsidRPr="00646332">
        <w:rPr>
          <w:rFonts w:ascii="Times New Roman" w:hAnsi="Times New Roman" w:cs="Times New Roman"/>
          <w:sz w:val="24"/>
          <w:szCs w:val="24"/>
        </w:rPr>
        <w:t xml:space="preserve"> in a reverse </w:t>
      </w:r>
      <w:proofErr w:type="spellStart"/>
      <w:r w:rsidR="00EB361E" w:rsidRPr="00646332">
        <w:rPr>
          <w:rFonts w:ascii="Times New Roman" w:hAnsi="Times New Roman" w:cs="Times New Roman"/>
          <w:sz w:val="24"/>
          <w:szCs w:val="24"/>
        </w:rPr>
        <w:t>micellar</w:t>
      </w:r>
      <w:proofErr w:type="spellEnd"/>
      <w:r w:rsidR="00EB361E" w:rsidRPr="00646332">
        <w:rPr>
          <w:rFonts w:ascii="Times New Roman" w:hAnsi="Times New Roman" w:cs="Times New Roman"/>
          <w:sz w:val="24"/>
          <w:szCs w:val="24"/>
        </w:rPr>
        <w:t xml:space="preserve"> medium </w:t>
      </w:r>
      <w:proofErr w:type="spellStart"/>
      <w:r w:rsidR="00EB361E" w:rsidRPr="00646332">
        <w:rPr>
          <w:rFonts w:ascii="Times New Roman" w:hAnsi="Times New Roman" w:cs="Times New Roman"/>
          <w:sz w:val="24"/>
          <w:szCs w:val="24"/>
        </w:rPr>
        <w:t>using</w:t>
      </w:r>
      <w:proofErr w:type="spellEnd"/>
      <w:r w:rsidR="00EB361E" w:rsidRPr="00646332">
        <w:rPr>
          <w:rFonts w:ascii="Times New Roman" w:hAnsi="Times New Roman" w:cs="Times New Roman"/>
          <w:sz w:val="24"/>
          <w:szCs w:val="24"/>
        </w:rPr>
        <w:t xml:space="preserve"> photo-</w:t>
      </w:r>
      <w:proofErr w:type="spellStart"/>
      <w:r w:rsidR="00EB361E" w:rsidRPr="00646332">
        <w:rPr>
          <w:rFonts w:ascii="Times New Roman" w:hAnsi="Times New Roman" w:cs="Times New Roman"/>
          <w:sz w:val="24"/>
          <w:szCs w:val="24"/>
        </w:rPr>
        <w:t>induced</w:t>
      </w:r>
      <w:proofErr w:type="spellEnd"/>
      <w:r w:rsidR="00EB361E" w:rsidRPr="00646332">
        <w:rPr>
          <w:rFonts w:ascii="Times New Roman" w:hAnsi="Times New Roman" w:cs="Times New Roman"/>
          <w:sz w:val="24"/>
          <w:szCs w:val="24"/>
        </w:rPr>
        <w:t xml:space="preserve"> fluorescence </w:t>
      </w:r>
      <w:r w:rsidR="00646332">
        <w:rPr>
          <w:rFonts w:ascii="Times New Roman" w:hAnsi="Times New Roman" w:cs="Times New Roman"/>
          <w:color w:val="0000CC"/>
          <w:sz w:val="24"/>
          <w:szCs w:val="24"/>
        </w:rPr>
        <w:t>(</w:t>
      </w:r>
      <w:proofErr w:type="spellStart"/>
      <w:r w:rsidR="00646332">
        <w:rPr>
          <w:rFonts w:ascii="Times New Roman" w:hAnsi="Times New Roman" w:cs="Times New Roman"/>
          <w:color w:val="0000CC"/>
          <w:sz w:val="24"/>
          <w:szCs w:val="24"/>
        </w:rPr>
        <w:t>Thiaré</w:t>
      </w:r>
      <w:proofErr w:type="spellEnd"/>
      <w:r w:rsidR="00646332">
        <w:rPr>
          <w:rFonts w:ascii="Times New Roman" w:hAnsi="Times New Roman" w:cs="Times New Roman"/>
          <w:color w:val="0000CC"/>
          <w:sz w:val="24"/>
          <w:szCs w:val="24"/>
        </w:rPr>
        <w:t xml:space="preserve"> et al., 2024</w:t>
      </w:r>
      <w:r w:rsidR="00C96CB1">
        <w:rPr>
          <w:rFonts w:ascii="Times New Roman" w:hAnsi="Times New Roman" w:cs="Times New Roman"/>
          <w:color w:val="0000CC"/>
          <w:sz w:val="24"/>
          <w:szCs w:val="24"/>
        </w:rPr>
        <w:t>)</w:t>
      </w:r>
      <w:r w:rsidR="00B622B8">
        <w:rPr>
          <w:rFonts w:ascii="Times New Roman" w:hAnsi="Times New Roman" w:cs="Times New Roman"/>
          <w:color w:val="0000CC"/>
          <w:sz w:val="24"/>
          <w:szCs w:val="24"/>
        </w:rPr>
        <w:t>.</w:t>
      </w:r>
    </w:p>
    <w:p w14:paraId="2FA7811A" w14:textId="77777777" w:rsidR="005529EC" w:rsidRPr="00D0116E" w:rsidRDefault="005529EC" w:rsidP="001632D6">
      <w:pPr>
        <w:spacing w:after="0" w:line="360" w:lineRule="auto"/>
        <w:ind w:firstLine="708"/>
        <w:jc w:val="both"/>
        <w:rPr>
          <w:rFonts w:ascii="Times New Roman" w:hAnsi="Times New Roman" w:cs="Times New Roman"/>
          <w:color w:val="0000CC"/>
          <w:sz w:val="24"/>
          <w:szCs w:val="24"/>
        </w:rPr>
      </w:pPr>
      <w:proofErr w:type="spellStart"/>
      <w:r w:rsidRPr="00646332">
        <w:rPr>
          <w:rFonts w:ascii="Times New Roman" w:hAnsi="Times New Roman" w:cs="Times New Roman"/>
          <w:sz w:val="24"/>
          <w:szCs w:val="24"/>
        </w:rPr>
        <w:t>Additionally</w:t>
      </w:r>
      <w:proofErr w:type="spellEnd"/>
      <w:r w:rsidRPr="00646332">
        <w:rPr>
          <w:rFonts w:ascii="Times New Roman" w:hAnsi="Times New Roman" w:cs="Times New Roman"/>
          <w:sz w:val="24"/>
          <w:szCs w:val="24"/>
        </w:rPr>
        <w:t xml:space="preserve">, </w:t>
      </w:r>
      <w:r w:rsidR="00A20F65" w:rsidRPr="00646332">
        <w:rPr>
          <w:rFonts w:ascii="Times New Roman" w:hAnsi="Times New Roman" w:cs="Times New Roman"/>
          <w:sz w:val="24"/>
          <w:szCs w:val="24"/>
        </w:rPr>
        <w:t xml:space="preserve">the </w:t>
      </w:r>
      <w:proofErr w:type="spellStart"/>
      <w:r w:rsidR="00A20F65" w:rsidRPr="00646332">
        <w:rPr>
          <w:rFonts w:ascii="Times New Roman" w:hAnsi="Times New Roman" w:cs="Times New Roman"/>
          <w:sz w:val="24"/>
          <w:szCs w:val="24"/>
        </w:rPr>
        <w:t>negative</w:t>
      </w:r>
      <w:proofErr w:type="spellEnd"/>
      <w:r w:rsidR="00A20F65" w:rsidRPr="00646332">
        <w:rPr>
          <w:rFonts w:ascii="Times New Roman" w:hAnsi="Times New Roman" w:cs="Times New Roman"/>
          <w:sz w:val="24"/>
          <w:szCs w:val="24"/>
        </w:rPr>
        <w:t xml:space="preserve"> values of ΔG°</w:t>
      </w:r>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indicate</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that</w:t>
      </w:r>
      <w:proofErr w:type="spellEnd"/>
      <w:r w:rsidRPr="00646332">
        <w:rPr>
          <w:rFonts w:ascii="Times New Roman" w:hAnsi="Times New Roman" w:cs="Times New Roman"/>
          <w:sz w:val="24"/>
          <w:szCs w:val="24"/>
        </w:rPr>
        <w:t xml:space="preserve"> the </w:t>
      </w:r>
      <w:proofErr w:type="spellStart"/>
      <w:r w:rsidRPr="00646332">
        <w:rPr>
          <w:rFonts w:ascii="Times New Roman" w:hAnsi="Times New Roman" w:cs="Times New Roman"/>
          <w:sz w:val="24"/>
          <w:szCs w:val="24"/>
        </w:rPr>
        <w:t>micellization</w:t>
      </w:r>
      <w:proofErr w:type="spellEnd"/>
      <w:r w:rsidRPr="00646332">
        <w:rPr>
          <w:rFonts w:ascii="Times New Roman" w:hAnsi="Times New Roman" w:cs="Times New Roman"/>
          <w:sz w:val="24"/>
          <w:szCs w:val="24"/>
        </w:rPr>
        <w:t xml:space="preserve"> process </w:t>
      </w:r>
      <w:proofErr w:type="spellStart"/>
      <w:r w:rsidRPr="00646332">
        <w:rPr>
          <w:rFonts w:ascii="Times New Roman" w:hAnsi="Times New Roman" w:cs="Times New Roman"/>
          <w:sz w:val="24"/>
          <w:szCs w:val="24"/>
        </w:rPr>
        <w:t>is</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spontaneous</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meaning</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it</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is</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thermodyn</w:t>
      </w:r>
      <w:r w:rsidR="001632D6" w:rsidRPr="00646332">
        <w:rPr>
          <w:rFonts w:ascii="Times New Roman" w:hAnsi="Times New Roman" w:cs="Times New Roman"/>
          <w:sz w:val="24"/>
          <w:szCs w:val="24"/>
        </w:rPr>
        <w:t>amically</w:t>
      </w:r>
      <w:proofErr w:type="spellEnd"/>
      <w:r w:rsidR="001632D6" w:rsidRPr="00646332">
        <w:rPr>
          <w:rFonts w:ascii="Times New Roman" w:hAnsi="Times New Roman" w:cs="Times New Roman"/>
          <w:sz w:val="24"/>
          <w:szCs w:val="24"/>
        </w:rPr>
        <w:t xml:space="preserve"> favorable. T</w:t>
      </w:r>
      <w:r w:rsidRPr="00646332">
        <w:rPr>
          <w:rFonts w:ascii="Times New Roman" w:hAnsi="Times New Roman" w:cs="Times New Roman"/>
          <w:sz w:val="24"/>
          <w:szCs w:val="24"/>
        </w:rPr>
        <w:t>he</w:t>
      </w:r>
      <w:r w:rsidR="004C04DD" w:rsidRPr="00646332">
        <w:rPr>
          <w:rFonts w:ascii="Times New Roman" w:hAnsi="Times New Roman" w:cs="Times New Roman"/>
          <w:sz w:val="24"/>
          <w:szCs w:val="24"/>
        </w:rPr>
        <w:t xml:space="preserve"> ΔG° values</w:t>
      </w:r>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decreases</w:t>
      </w:r>
      <w:proofErr w:type="spellEnd"/>
      <w:r w:rsidRPr="00646332">
        <w:rPr>
          <w:rFonts w:ascii="Times New Roman" w:hAnsi="Times New Roman" w:cs="Times New Roman"/>
          <w:sz w:val="24"/>
          <w:szCs w:val="24"/>
        </w:rPr>
        <w:t xml:space="preserve"> as the </w:t>
      </w:r>
      <w:proofErr w:type="spellStart"/>
      <w:r w:rsidRPr="00646332">
        <w:rPr>
          <w:rFonts w:ascii="Times New Roman" w:hAnsi="Times New Roman" w:cs="Times New Roman"/>
          <w:sz w:val="24"/>
          <w:szCs w:val="24"/>
        </w:rPr>
        <w:t>temperature</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rises</w:t>
      </w:r>
      <w:proofErr w:type="spellEnd"/>
      <w:r w:rsidRPr="00646332">
        <w:rPr>
          <w:rFonts w:ascii="Times New Roman" w:hAnsi="Times New Roman" w:cs="Times New Roman"/>
          <w:sz w:val="24"/>
          <w:szCs w:val="24"/>
        </w:rPr>
        <w:t xml:space="preserve">. This </w:t>
      </w:r>
      <w:proofErr w:type="spellStart"/>
      <w:r w:rsidRPr="00646332">
        <w:rPr>
          <w:rFonts w:ascii="Times New Roman" w:hAnsi="Times New Roman" w:cs="Times New Roman"/>
          <w:sz w:val="24"/>
          <w:szCs w:val="24"/>
        </w:rPr>
        <w:t>clearly</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demonstrates</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that</w:t>
      </w:r>
      <w:proofErr w:type="spellEnd"/>
      <w:r w:rsidRPr="00646332">
        <w:rPr>
          <w:rFonts w:ascii="Times New Roman" w:hAnsi="Times New Roman" w:cs="Times New Roman"/>
          <w:sz w:val="24"/>
          <w:szCs w:val="24"/>
        </w:rPr>
        <w:t xml:space="preserve"> the </w:t>
      </w:r>
      <w:proofErr w:type="spellStart"/>
      <w:r w:rsidRPr="00646332">
        <w:rPr>
          <w:rFonts w:ascii="Times New Roman" w:hAnsi="Times New Roman" w:cs="Times New Roman"/>
          <w:sz w:val="24"/>
          <w:szCs w:val="24"/>
        </w:rPr>
        <w:t>solubility</w:t>
      </w:r>
      <w:proofErr w:type="spellEnd"/>
      <w:r w:rsidRPr="00646332">
        <w:rPr>
          <w:rFonts w:ascii="Times New Roman" w:hAnsi="Times New Roman" w:cs="Times New Roman"/>
          <w:sz w:val="24"/>
          <w:szCs w:val="24"/>
        </w:rPr>
        <w:t xml:space="preserve"> of dicofol </w:t>
      </w:r>
      <w:proofErr w:type="spellStart"/>
      <w:r w:rsidRPr="00646332">
        <w:rPr>
          <w:rFonts w:ascii="Times New Roman" w:hAnsi="Times New Roman" w:cs="Times New Roman"/>
          <w:sz w:val="24"/>
          <w:szCs w:val="24"/>
        </w:rPr>
        <w:t>increases</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with</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temperature</w:t>
      </w:r>
      <w:proofErr w:type="spellEnd"/>
      <w:r w:rsidRPr="00646332">
        <w:rPr>
          <w:rFonts w:ascii="Times New Roman" w:hAnsi="Times New Roman" w:cs="Times New Roman"/>
          <w:sz w:val="24"/>
          <w:szCs w:val="24"/>
        </w:rPr>
        <w:t xml:space="preserve">. The process </w:t>
      </w:r>
      <w:proofErr w:type="spellStart"/>
      <w:r w:rsidR="004C04DD" w:rsidRPr="00646332">
        <w:rPr>
          <w:rFonts w:ascii="Times New Roman" w:hAnsi="Times New Roman" w:cs="Times New Roman"/>
          <w:sz w:val="24"/>
          <w:szCs w:val="24"/>
        </w:rPr>
        <w:t>was</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identified</w:t>
      </w:r>
      <w:proofErr w:type="spellEnd"/>
      <w:r w:rsidRPr="00646332">
        <w:rPr>
          <w:rFonts w:ascii="Times New Roman" w:hAnsi="Times New Roman" w:cs="Times New Roman"/>
          <w:sz w:val="24"/>
          <w:szCs w:val="24"/>
        </w:rPr>
        <w:t xml:space="preserve"> as </w:t>
      </w:r>
      <w:proofErr w:type="spellStart"/>
      <w:r w:rsidRPr="00646332">
        <w:rPr>
          <w:rFonts w:ascii="Times New Roman" w:hAnsi="Times New Roman" w:cs="Times New Roman"/>
          <w:sz w:val="24"/>
          <w:szCs w:val="24"/>
        </w:rPr>
        <w:t>endothermic</w:t>
      </w:r>
      <w:proofErr w:type="spellEnd"/>
      <w:r w:rsidR="004C04DD" w:rsidRPr="00646332">
        <w:rPr>
          <w:rFonts w:ascii="Times New Roman" w:hAnsi="Times New Roman" w:cs="Times New Roman"/>
          <w:sz w:val="24"/>
          <w:szCs w:val="24"/>
        </w:rPr>
        <w:t xml:space="preserve">, as </w:t>
      </w:r>
      <w:proofErr w:type="spellStart"/>
      <w:r w:rsidR="004C04DD" w:rsidRPr="00646332">
        <w:rPr>
          <w:rFonts w:ascii="Times New Roman" w:hAnsi="Times New Roman" w:cs="Times New Roman"/>
          <w:sz w:val="24"/>
          <w:szCs w:val="24"/>
        </w:rPr>
        <w:t>indicated</w:t>
      </w:r>
      <w:proofErr w:type="spellEnd"/>
      <w:r w:rsidR="004C04DD" w:rsidRPr="00646332">
        <w:rPr>
          <w:rFonts w:ascii="Times New Roman" w:hAnsi="Times New Roman" w:cs="Times New Roman"/>
          <w:sz w:val="24"/>
          <w:szCs w:val="24"/>
        </w:rPr>
        <w:t xml:space="preserve"> by values of ΔH°&gt;</w:t>
      </w:r>
      <w:r w:rsidRPr="00646332">
        <w:rPr>
          <w:rFonts w:ascii="Times New Roman" w:hAnsi="Times New Roman" w:cs="Times New Roman"/>
          <w:sz w:val="24"/>
          <w:szCs w:val="24"/>
        </w:rPr>
        <w:t xml:space="preserve">0. </w:t>
      </w:r>
      <w:proofErr w:type="spellStart"/>
      <w:r w:rsidRPr="00646332">
        <w:rPr>
          <w:rFonts w:ascii="Times New Roman" w:hAnsi="Times New Roman" w:cs="Times New Roman"/>
          <w:sz w:val="24"/>
          <w:szCs w:val="24"/>
        </w:rPr>
        <w:t>According</w:t>
      </w:r>
      <w:proofErr w:type="spellEnd"/>
      <w:r w:rsidRPr="00646332">
        <w:rPr>
          <w:rFonts w:ascii="Times New Roman" w:hAnsi="Times New Roman" w:cs="Times New Roman"/>
          <w:sz w:val="24"/>
          <w:szCs w:val="24"/>
        </w:rPr>
        <w:t xml:space="preserve"> to the </w:t>
      </w:r>
      <w:proofErr w:type="spellStart"/>
      <w:r w:rsidRPr="00646332">
        <w:rPr>
          <w:rFonts w:ascii="Times New Roman" w:hAnsi="Times New Roman" w:cs="Times New Roman"/>
          <w:sz w:val="24"/>
          <w:szCs w:val="24"/>
        </w:rPr>
        <w:t>laws</w:t>
      </w:r>
      <w:proofErr w:type="spellEnd"/>
      <w:r w:rsidRPr="00646332">
        <w:rPr>
          <w:rFonts w:ascii="Times New Roman" w:hAnsi="Times New Roman" w:cs="Times New Roman"/>
          <w:sz w:val="24"/>
          <w:szCs w:val="24"/>
        </w:rPr>
        <w:t xml:space="preserve"> of </w:t>
      </w:r>
      <w:proofErr w:type="spellStart"/>
      <w:r w:rsidRPr="00646332">
        <w:rPr>
          <w:rFonts w:ascii="Times New Roman" w:hAnsi="Times New Roman" w:cs="Times New Roman"/>
          <w:sz w:val="24"/>
          <w:szCs w:val="24"/>
        </w:rPr>
        <w:t>thermodynamics</w:t>
      </w:r>
      <w:proofErr w:type="spellEnd"/>
      <w:r w:rsidRPr="00646332">
        <w:rPr>
          <w:rFonts w:ascii="Times New Roman" w:hAnsi="Times New Roman" w:cs="Times New Roman"/>
          <w:sz w:val="24"/>
          <w:szCs w:val="24"/>
        </w:rPr>
        <w:t xml:space="preserve">, for a process to </w:t>
      </w:r>
      <w:proofErr w:type="spellStart"/>
      <w:r w:rsidRPr="00646332">
        <w:rPr>
          <w:rFonts w:ascii="Times New Roman" w:hAnsi="Times New Roman" w:cs="Times New Roman"/>
          <w:sz w:val="24"/>
          <w:szCs w:val="24"/>
        </w:rPr>
        <w:t>occur</w:t>
      </w:r>
      <w:proofErr w:type="spellEnd"/>
      <w:r w:rsidRPr="00646332">
        <w:rPr>
          <w:rFonts w:ascii="Times New Roman" w:hAnsi="Times New Roman" w:cs="Times New Roman"/>
          <w:sz w:val="24"/>
          <w:szCs w:val="24"/>
        </w:rPr>
        <w:t>, t</w:t>
      </w:r>
      <w:r w:rsidR="00EB361E" w:rsidRPr="00646332">
        <w:rPr>
          <w:rFonts w:ascii="Times New Roman" w:hAnsi="Times New Roman" w:cs="Times New Roman"/>
          <w:sz w:val="24"/>
          <w:szCs w:val="24"/>
        </w:rPr>
        <w:t>he change in ΔG°</w:t>
      </w:r>
      <w:r w:rsidRPr="00646332">
        <w:rPr>
          <w:rFonts w:ascii="Times New Roman" w:hAnsi="Times New Roman" w:cs="Times New Roman"/>
          <w:sz w:val="24"/>
          <w:szCs w:val="24"/>
        </w:rPr>
        <w:t xml:space="preserve"> must </w:t>
      </w:r>
      <w:proofErr w:type="spellStart"/>
      <w:r w:rsidRPr="00646332">
        <w:rPr>
          <w:rFonts w:ascii="Times New Roman" w:hAnsi="Times New Roman" w:cs="Times New Roman"/>
          <w:sz w:val="24"/>
          <w:szCs w:val="24"/>
        </w:rPr>
        <w:t>be</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lastRenderedPageBreak/>
        <w:t>negative</w:t>
      </w:r>
      <w:proofErr w:type="spellEnd"/>
      <w:r w:rsidRPr="00646332">
        <w:rPr>
          <w:rFonts w:ascii="Times New Roman" w:hAnsi="Times New Roman" w:cs="Times New Roman"/>
          <w:sz w:val="24"/>
          <w:szCs w:val="24"/>
        </w:rPr>
        <w:t xml:space="preserve">. The </w:t>
      </w:r>
      <w:proofErr w:type="spellStart"/>
      <w:r w:rsidRPr="00646332">
        <w:rPr>
          <w:rFonts w:ascii="Times New Roman" w:hAnsi="Times New Roman" w:cs="Times New Roman"/>
          <w:sz w:val="24"/>
          <w:szCs w:val="24"/>
        </w:rPr>
        <w:t>outcome</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is</w:t>
      </w:r>
      <w:proofErr w:type="spellEnd"/>
      <w:r w:rsidRPr="00646332">
        <w:rPr>
          <w:rFonts w:ascii="Times New Roman" w:hAnsi="Times New Roman" w:cs="Times New Roman"/>
          <w:sz w:val="24"/>
          <w:szCs w:val="24"/>
        </w:rPr>
        <w:t xml:space="preserve"> c</w:t>
      </w:r>
      <w:r w:rsidR="00EB361E" w:rsidRPr="00646332">
        <w:rPr>
          <w:rFonts w:ascii="Times New Roman" w:hAnsi="Times New Roman" w:cs="Times New Roman"/>
          <w:sz w:val="24"/>
          <w:szCs w:val="24"/>
        </w:rPr>
        <w:t xml:space="preserve">ontingent </w:t>
      </w:r>
      <w:proofErr w:type="spellStart"/>
      <w:r w:rsidR="00EB361E" w:rsidRPr="00646332">
        <w:rPr>
          <w:rFonts w:ascii="Times New Roman" w:hAnsi="Times New Roman" w:cs="Times New Roman"/>
          <w:sz w:val="24"/>
          <w:szCs w:val="24"/>
        </w:rPr>
        <w:t>upon</w:t>
      </w:r>
      <w:proofErr w:type="spellEnd"/>
      <w:r w:rsidR="00EB361E" w:rsidRPr="00646332">
        <w:rPr>
          <w:rFonts w:ascii="Times New Roman" w:hAnsi="Times New Roman" w:cs="Times New Roman"/>
          <w:sz w:val="24"/>
          <w:szCs w:val="24"/>
        </w:rPr>
        <w:t xml:space="preserve"> the ΔH°</w:t>
      </w:r>
      <w:r w:rsidRPr="00646332">
        <w:rPr>
          <w:rFonts w:ascii="Times New Roman" w:hAnsi="Times New Roman" w:cs="Times New Roman"/>
          <w:sz w:val="24"/>
          <w:szCs w:val="24"/>
        </w:rPr>
        <w:t xml:space="preserve"> a</w:t>
      </w:r>
      <w:r w:rsidR="00EB361E" w:rsidRPr="00646332">
        <w:rPr>
          <w:rFonts w:ascii="Times New Roman" w:hAnsi="Times New Roman" w:cs="Times New Roman"/>
          <w:sz w:val="24"/>
          <w:szCs w:val="24"/>
        </w:rPr>
        <w:t xml:space="preserve">nd </w:t>
      </w:r>
      <w:r w:rsidR="001632D6" w:rsidRPr="00646332">
        <w:rPr>
          <w:rFonts w:ascii="Times New Roman" w:hAnsi="Times New Roman" w:cs="Times New Roman"/>
          <w:sz w:val="24"/>
          <w:szCs w:val="24"/>
        </w:rPr>
        <w:t xml:space="preserve">TΔS° </w:t>
      </w:r>
      <w:proofErr w:type="spellStart"/>
      <w:r w:rsidR="00A20F65" w:rsidRPr="00646332">
        <w:rPr>
          <w:rFonts w:ascii="Times New Roman" w:hAnsi="Times New Roman" w:cs="Times New Roman"/>
          <w:sz w:val="24"/>
          <w:szCs w:val="24"/>
        </w:rPr>
        <w:t>factors</w:t>
      </w:r>
      <w:proofErr w:type="spellEnd"/>
      <w:r w:rsidR="00A20F65">
        <w:rPr>
          <w:rFonts w:ascii="Times New Roman" w:hAnsi="Times New Roman" w:cs="Times New Roman"/>
          <w:color w:val="0000CC"/>
          <w:sz w:val="24"/>
          <w:szCs w:val="24"/>
        </w:rPr>
        <w:t xml:space="preserve"> </w:t>
      </w:r>
      <w:r w:rsidR="00646332">
        <w:rPr>
          <w:rFonts w:ascii="Times New Roman" w:eastAsia="Times New Roman" w:hAnsi="Times New Roman" w:cs="Times New Roman"/>
          <w:iCs/>
          <w:sz w:val="24"/>
          <w:szCs w:val="24"/>
          <w:lang w:val="en-US" w:eastAsia="fr-FR"/>
        </w:rPr>
        <w:t>(</w:t>
      </w:r>
      <w:proofErr w:type="spellStart"/>
      <w:r w:rsidR="00646332" w:rsidRPr="00634232">
        <w:rPr>
          <w:rFonts w:ascii="Times New Roman" w:hAnsi="Times New Roman" w:cs="Times New Roman"/>
          <w:color w:val="0000CC"/>
          <w:sz w:val="24"/>
          <w:szCs w:val="24"/>
          <w:lang w:val="en-US"/>
        </w:rPr>
        <w:t>Sarr</w:t>
      </w:r>
      <w:proofErr w:type="spellEnd"/>
      <w:r w:rsidR="00646332" w:rsidRPr="00634232">
        <w:rPr>
          <w:rFonts w:ascii="Times New Roman" w:hAnsi="Times New Roman" w:cs="Times New Roman"/>
          <w:color w:val="0000CC"/>
          <w:sz w:val="24"/>
          <w:szCs w:val="24"/>
          <w:lang w:val="en-US"/>
        </w:rPr>
        <w:t xml:space="preserve"> et al.</w:t>
      </w:r>
      <w:r w:rsidR="00646332">
        <w:rPr>
          <w:rFonts w:ascii="Times New Roman" w:hAnsi="Times New Roman" w:cs="Times New Roman"/>
          <w:color w:val="0000CC"/>
          <w:sz w:val="24"/>
          <w:szCs w:val="24"/>
          <w:lang w:val="en-US"/>
        </w:rPr>
        <w:t>, 2022</w:t>
      </w:r>
      <w:r w:rsidR="00646332">
        <w:rPr>
          <w:rFonts w:ascii="Times New Roman" w:eastAsia="Times New Roman" w:hAnsi="Times New Roman" w:cs="Times New Roman"/>
          <w:iCs/>
          <w:sz w:val="24"/>
          <w:szCs w:val="24"/>
          <w:lang w:val="en-US" w:eastAsia="fr-FR"/>
        </w:rPr>
        <w:t>)</w:t>
      </w:r>
      <w:r w:rsidRPr="00D0116E">
        <w:rPr>
          <w:rFonts w:ascii="Times New Roman" w:hAnsi="Times New Roman" w:cs="Times New Roman"/>
          <w:color w:val="0000CC"/>
          <w:sz w:val="24"/>
          <w:szCs w:val="24"/>
        </w:rPr>
        <w:t>.</w:t>
      </w:r>
      <w:r w:rsidR="00EB361E">
        <w:rPr>
          <w:rFonts w:ascii="Times New Roman" w:hAnsi="Times New Roman" w:cs="Times New Roman"/>
          <w:color w:val="0000CC"/>
          <w:sz w:val="24"/>
          <w:szCs w:val="24"/>
        </w:rPr>
        <w:t xml:space="preserve"> </w:t>
      </w:r>
      <w:r w:rsidR="001632D6" w:rsidRPr="00646332">
        <w:rPr>
          <w:rFonts w:ascii="Times New Roman" w:hAnsi="Times New Roman" w:cs="Times New Roman"/>
          <w:sz w:val="24"/>
          <w:szCs w:val="24"/>
        </w:rPr>
        <w:t>ΔH</w:t>
      </w:r>
      <w:proofErr w:type="gramStart"/>
      <w:r w:rsidR="001632D6" w:rsidRPr="00646332">
        <w:rPr>
          <w:rFonts w:ascii="Times New Roman" w:hAnsi="Times New Roman" w:cs="Times New Roman"/>
          <w:sz w:val="24"/>
          <w:szCs w:val="24"/>
        </w:rPr>
        <w:t xml:space="preserve">° </w:t>
      </w:r>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is</w:t>
      </w:r>
      <w:proofErr w:type="spellEnd"/>
      <w:proofErr w:type="gramEnd"/>
      <w:r w:rsidRPr="00646332">
        <w:rPr>
          <w:rFonts w:ascii="Times New Roman" w:hAnsi="Times New Roman" w:cs="Times New Roman"/>
          <w:sz w:val="24"/>
          <w:szCs w:val="24"/>
        </w:rPr>
        <w:t xml:space="preserve"> a </w:t>
      </w:r>
      <w:proofErr w:type="spellStart"/>
      <w:r w:rsidRPr="00646332">
        <w:rPr>
          <w:rFonts w:ascii="Times New Roman" w:hAnsi="Times New Roman" w:cs="Times New Roman"/>
          <w:sz w:val="24"/>
          <w:szCs w:val="24"/>
        </w:rPr>
        <w:t>measure</w:t>
      </w:r>
      <w:proofErr w:type="spellEnd"/>
      <w:r w:rsidRPr="00646332">
        <w:rPr>
          <w:rFonts w:ascii="Times New Roman" w:hAnsi="Times New Roman" w:cs="Times New Roman"/>
          <w:sz w:val="24"/>
          <w:szCs w:val="24"/>
        </w:rPr>
        <w:t xml:space="preserve"> of </w:t>
      </w:r>
      <w:proofErr w:type="spellStart"/>
      <w:r w:rsidRPr="00646332">
        <w:rPr>
          <w:rFonts w:ascii="Times New Roman" w:hAnsi="Times New Roman" w:cs="Times New Roman"/>
          <w:sz w:val="24"/>
          <w:szCs w:val="24"/>
        </w:rPr>
        <w:t>energy</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while</w:t>
      </w:r>
      <w:proofErr w:type="spellEnd"/>
      <w:r w:rsidRPr="00646332">
        <w:rPr>
          <w:rFonts w:ascii="Times New Roman" w:hAnsi="Times New Roman" w:cs="Times New Roman"/>
          <w:sz w:val="24"/>
          <w:szCs w:val="24"/>
        </w:rPr>
        <w:t xml:space="preserve"> </w:t>
      </w:r>
      <w:r w:rsidR="001632D6" w:rsidRPr="00646332">
        <w:rPr>
          <w:rFonts w:ascii="Times New Roman" w:hAnsi="Times New Roman" w:cs="Times New Roman"/>
          <w:sz w:val="24"/>
          <w:szCs w:val="24"/>
        </w:rPr>
        <w:t>ΔS°</w:t>
      </w:r>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is</w:t>
      </w:r>
      <w:proofErr w:type="spellEnd"/>
      <w:r w:rsidRPr="00646332">
        <w:rPr>
          <w:rFonts w:ascii="Times New Roman" w:hAnsi="Times New Roman" w:cs="Times New Roman"/>
          <w:sz w:val="24"/>
          <w:szCs w:val="24"/>
        </w:rPr>
        <w:t xml:space="preserve"> a </w:t>
      </w:r>
      <w:proofErr w:type="spellStart"/>
      <w:r w:rsidRPr="00646332">
        <w:rPr>
          <w:rFonts w:ascii="Times New Roman" w:hAnsi="Times New Roman" w:cs="Times New Roman"/>
          <w:sz w:val="24"/>
          <w:szCs w:val="24"/>
        </w:rPr>
        <w:t>measure</w:t>
      </w:r>
      <w:proofErr w:type="spellEnd"/>
      <w:r w:rsidRPr="00646332">
        <w:rPr>
          <w:rFonts w:ascii="Times New Roman" w:hAnsi="Times New Roman" w:cs="Times New Roman"/>
          <w:sz w:val="24"/>
          <w:szCs w:val="24"/>
        </w:rPr>
        <w:t xml:space="preserve"> of </w:t>
      </w:r>
      <w:proofErr w:type="spellStart"/>
      <w:r w:rsidRPr="00646332">
        <w:rPr>
          <w:rFonts w:ascii="Times New Roman" w:hAnsi="Times New Roman" w:cs="Times New Roman"/>
          <w:sz w:val="24"/>
          <w:szCs w:val="24"/>
        </w:rPr>
        <w:t>disorder</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that</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occurs</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during</w:t>
      </w:r>
      <w:proofErr w:type="spellEnd"/>
      <w:r w:rsidRPr="00646332">
        <w:rPr>
          <w:rFonts w:ascii="Times New Roman" w:hAnsi="Times New Roman" w:cs="Times New Roman"/>
          <w:sz w:val="24"/>
          <w:szCs w:val="24"/>
        </w:rPr>
        <w:t xml:space="preserve"> a process. As </w:t>
      </w:r>
      <w:proofErr w:type="spellStart"/>
      <w:r w:rsidRPr="00646332">
        <w:rPr>
          <w:rFonts w:ascii="Times New Roman" w:hAnsi="Times New Roman" w:cs="Times New Roman"/>
          <w:sz w:val="24"/>
          <w:szCs w:val="24"/>
        </w:rPr>
        <w:t>demonstrated</w:t>
      </w:r>
      <w:proofErr w:type="spellEnd"/>
      <w:r w:rsidRPr="00646332">
        <w:rPr>
          <w:rFonts w:ascii="Times New Roman" w:hAnsi="Times New Roman" w:cs="Times New Roman"/>
          <w:sz w:val="24"/>
          <w:szCs w:val="24"/>
        </w:rPr>
        <w:t xml:space="preserve"> in </w:t>
      </w:r>
      <w:proofErr w:type="spellStart"/>
      <w:r w:rsidRPr="00646332">
        <w:rPr>
          <w:rFonts w:ascii="Times New Roman" w:hAnsi="Times New Roman" w:cs="Times New Roman"/>
          <w:sz w:val="24"/>
          <w:szCs w:val="24"/>
        </w:rPr>
        <w:t>equation</w:t>
      </w:r>
      <w:proofErr w:type="spellEnd"/>
      <w:r w:rsidRPr="00646332">
        <w:rPr>
          <w:rFonts w:ascii="Times New Roman" w:hAnsi="Times New Roman" w:cs="Times New Roman"/>
          <w:sz w:val="24"/>
          <w:szCs w:val="24"/>
        </w:rPr>
        <w:t xml:space="preserve"> (4), if the </w:t>
      </w:r>
      <w:r w:rsidR="001632D6" w:rsidRPr="00646332">
        <w:rPr>
          <w:rFonts w:ascii="Times New Roman" w:hAnsi="Times New Roman" w:cs="Times New Roman"/>
          <w:sz w:val="24"/>
          <w:szCs w:val="24"/>
        </w:rPr>
        <w:t>ΔH°</w:t>
      </w:r>
      <w:r w:rsidRPr="00646332">
        <w:rPr>
          <w:rFonts w:ascii="Times New Roman" w:hAnsi="Times New Roman" w:cs="Times New Roman"/>
          <w:sz w:val="24"/>
          <w:szCs w:val="24"/>
        </w:rPr>
        <w:t xml:space="preserve"> change of a process </w:t>
      </w:r>
      <w:proofErr w:type="spellStart"/>
      <w:r w:rsidRPr="00646332">
        <w:rPr>
          <w:rFonts w:ascii="Times New Roman" w:hAnsi="Times New Roman" w:cs="Times New Roman"/>
          <w:sz w:val="24"/>
          <w:szCs w:val="24"/>
        </w:rPr>
        <w:t>is</w:t>
      </w:r>
      <w:proofErr w:type="spellEnd"/>
      <w:r w:rsidRPr="00646332">
        <w:rPr>
          <w:rFonts w:ascii="Times New Roman" w:hAnsi="Times New Roman" w:cs="Times New Roman"/>
          <w:sz w:val="24"/>
          <w:szCs w:val="24"/>
        </w:rPr>
        <w:t xml:space="preserve"> positive, </w:t>
      </w:r>
      <w:proofErr w:type="spellStart"/>
      <w:r w:rsidRPr="00646332">
        <w:rPr>
          <w:rFonts w:ascii="Times New Roman" w:hAnsi="Times New Roman" w:cs="Times New Roman"/>
          <w:sz w:val="24"/>
          <w:szCs w:val="24"/>
        </w:rPr>
        <w:t>its</w:t>
      </w:r>
      <w:proofErr w:type="spellEnd"/>
      <w:r w:rsidRPr="00646332">
        <w:rPr>
          <w:rFonts w:ascii="Times New Roman" w:hAnsi="Times New Roman" w:cs="Times New Roman"/>
          <w:sz w:val="24"/>
          <w:szCs w:val="24"/>
        </w:rPr>
        <w:t xml:space="preserve"> </w:t>
      </w:r>
      <w:r w:rsidR="001632D6" w:rsidRPr="00646332">
        <w:rPr>
          <w:rFonts w:ascii="Times New Roman" w:hAnsi="Times New Roman" w:cs="Times New Roman"/>
          <w:sz w:val="24"/>
          <w:szCs w:val="24"/>
        </w:rPr>
        <w:t xml:space="preserve">ΔS° </w:t>
      </w:r>
      <w:r w:rsidRPr="00646332">
        <w:rPr>
          <w:rFonts w:ascii="Times New Roman" w:hAnsi="Times New Roman" w:cs="Times New Roman"/>
          <w:sz w:val="24"/>
          <w:szCs w:val="24"/>
        </w:rPr>
        <w:t xml:space="preserve">must </w:t>
      </w:r>
      <w:proofErr w:type="spellStart"/>
      <w:r w:rsidRPr="00646332">
        <w:rPr>
          <w:rFonts w:ascii="Times New Roman" w:hAnsi="Times New Roman" w:cs="Times New Roman"/>
          <w:sz w:val="24"/>
          <w:szCs w:val="24"/>
        </w:rPr>
        <w:t>n</w:t>
      </w:r>
      <w:r w:rsidR="001632D6" w:rsidRPr="00646332">
        <w:rPr>
          <w:rFonts w:ascii="Times New Roman" w:hAnsi="Times New Roman" w:cs="Times New Roman"/>
          <w:sz w:val="24"/>
          <w:szCs w:val="24"/>
        </w:rPr>
        <w:t>ecessarily</w:t>
      </w:r>
      <w:proofErr w:type="spellEnd"/>
      <w:r w:rsidR="001632D6" w:rsidRPr="00646332">
        <w:rPr>
          <w:rFonts w:ascii="Times New Roman" w:hAnsi="Times New Roman" w:cs="Times New Roman"/>
          <w:sz w:val="24"/>
          <w:szCs w:val="24"/>
        </w:rPr>
        <w:t xml:space="preserve"> </w:t>
      </w:r>
      <w:proofErr w:type="spellStart"/>
      <w:r w:rsidR="001632D6" w:rsidRPr="00646332">
        <w:rPr>
          <w:rFonts w:ascii="Times New Roman" w:hAnsi="Times New Roman" w:cs="Times New Roman"/>
          <w:sz w:val="24"/>
          <w:szCs w:val="24"/>
        </w:rPr>
        <w:t>be</w:t>
      </w:r>
      <w:proofErr w:type="spellEnd"/>
      <w:r w:rsidR="001632D6" w:rsidRPr="00646332">
        <w:rPr>
          <w:rFonts w:ascii="Times New Roman" w:hAnsi="Times New Roman" w:cs="Times New Roman"/>
          <w:sz w:val="24"/>
          <w:szCs w:val="24"/>
        </w:rPr>
        <w:t xml:space="preserve"> positive</w:t>
      </w:r>
      <w:r w:rsidRPr="00646332">
        <w:rPr>
          <w:rFonts w:ascii="Times New Roman" w:hAnsi="Times New Roman" w:cs="Times New Roman"/>
          <w:sz w:val="24"/>
          <w:szCs w:val="24"/>
        </w:rPr>
        <w:t xml:space="preserve">. The </w:t>
      </w:r>
      <w:proofErr w:type="spellStart"/>
      <w:r w:rsidRPr="00646332">
        <w:rPr>
          <w:rFonts w:ascii="Times New Roman" w:hAnsi="Times New Roman" w:cs="Times New Roman"/>
          <w:sz w:val="24"/>
          <w:szCs w:val="24"/>
        </w:rPr>
        <w:t>greater</w:t>
      </w:r>
      <w:proofErr w:type="spellEnd"/>
      <w:r w:rsidRPr="00646332">
        <w:rPr>
          <w:rFonts w:ascii="Times New Roman" w:hAnsi="Times New Roman" w:cs="Times New Roman"/>
          <w:sz w:val="24"/>
          <w:szCs w:val="24"/>
        </w:rPr>
        <w:t xml:space="preserve"> value of |TΔS°| </w:t>
      </w:r>
      <w:proofErr w:type="spellStart"/>
      <w:r w:rsidRPr="00646332">
        <w:rPr>
          <w:rFonts w:ascii="Times New Roman" w:hAnsi="Times New Roman" w:cs="Times New Roman"/>
          <w:sz w:val="24"/>
          <w:szCs w:val="24"/>
        </w:rPr>
        <w:t>compared</w:t>
      </w:r>
      <w:proofErr w:type="spellEnd"/>
      <w:r w:rsidRPr="00646332">
        <w:rPr>
          <w:rFonts w:ascii="Times New Roman" w:hAnsi="Times New Roman" w:cs="Times New Roman"/>
          <w:sz w:val="24"/>
          <w:szCs w:val="24"/>
        </w:rPr>
        <w:t xml:space="preserve"> to |ΔH°| </w:t>
      </w:r>
      <w:proofErr w:type="spellStart"/>
      <w:r w:rsidRPr="00646332">
        <w:rPr>
          <w:rFonts w:ascii="Times New Roman" w:hAnsi="Times New Roman" w:cs="Times New Roman"/>
          <w:sz w:val="24"/>
          <w:szCs w:val="24"/>
        </w:rPr>
        <w:t>indicates</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that</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micellization</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is</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entropic</w:t>
      </w:r>
      <w:proofErr w:type="spellEnd"/>
      <w:r w:rsidRPr="00646332">
        <w:rPr>
          <w:rFonts w:ascii="Times New Roman" w:hAnsi="Times New Roman" w:cs="Times New Roman"/>
          <w:sz w:val="24"/>
          <w:szCs w:val="24"/>
        </w:rPr>
        <w:t>.</w:t>
      </w:r>
      <w:r w:rsidR="001632D6" w:rsidRPr="00646332">
        <w:rPr>
          <w:rFonts w:ascii="Times New Roman" w:hAnsi="Times New Roman" w:cs="Times New Roman"/>
          <w:sz w:val="24"/>
          <w:szCs w:val="24"/>
        </w:rPr>
        <w:t xml:space="preserve"> </w:t>
      </w:r>
      <w:r w:rsidRPr="00646332">
        <w:rPr>
          <w:rFonts w:ascii="Times New Roman" w:hAnsi="Times New Roman" w:cs="Times New Roman"/>
          <w:sz w:val="24"/>
          <w:szCs w:val="24"/>
        </w:rPr>
        <w:t xml:space="preserve">This </w:t>
      </w:r>
      <w:proofErr w:type="spellStart"/>
      <w:r w:rsidRPr="00646332">
        <w:rPr>
          <w:rFonts w:ascii="Times New Roman" w:hAnsi="Times New Roman" w:cs="Times New Roman"/>
          <w:sz w:val="24"/>
          <w:szCs w:val="24"/>
        </w:rPr>
        <w:t>indicates</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that</w:t>
      </w:r>
      <w:proofErr w:type="spellEnd"/>
      <w:r w:rsidRPr="00646332">
        <w:rPr>
          <w:rFonts w:ascii="Times New Roman" w:hAnsi="Times New Roman" w:cs="Times New Roman"/>
          <w:sz w:val="24"/>
          <w:szCs w:val="24"/>
        </w:rPr>
        <w:t xml:space="preserve"> the </w:t>
      </w:r>
      <w:proofErr w:type="spellStart"/>
      <w:r w:rsidRPr="00646332">
        <w:rPr>
          <w:rFonts w:ascii="Times New Roman" w:hAnsi="Times New Roman" w:cs="Times New Roman"/>
          <w:sz w:val="24"/>
          <w:szCs w:val="24"/>
        </w:rPr>
        <w:t>rise</w:t>
      </w:r>
      <w:proofErr w:type="spellEnd"/>
      <w:r w:rsidRPr="00646332">
        <w:rPr>
          <w:rFonts w:ascii="Times New Roman" w:hAnsi="Times New Roman" w:cs="Times New Roman"/>
          <w:sz w:val="24"/>
          <w:szCs w:val="24"/>
        </w:rPr>
        <w:t xml:space="preserve"> in</w:t>
      </w:r>
      <w:r w:rsidR="001632D6" w:rsidRPr="00646332">
        <w:rPr>
          <w:rFonts w:ascii="Times New Roman" w:hAnsi="Times New Roman" w:cs="Times New Roman"/>
          <w:sz w:val="24"/>
          <w:szCs w:val="24"/>
        </w:rPr>
        <w:t xml:space="preserve"> ΔH°</w:t>
      </w:r>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during</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micellization</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is</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counterbalanced</w:t>
      </w:r>
      <w:proofErr w:type="spellEnd"/>
      <w:r w:rsidRPr="00646332">
        <w:rPr>
          <w:rFonts w:ascii="Times New Roman" w:hAnsi="Times New Roman" w:cs="Times New Roman"/>
          <w:sz w:val="24"/>
          <w:szCs w:val="24"/>
        </w:rPr>
        <w:t xml:space="preserve"> by the </w:t>
      </w:r>
      <w:proofErr w:type="spellStart"/>
      <w:r w:rsidRPr="00646332">
        <w:rPr>
          <w:rFonts w:ascii="Times New Roman" w:hAnsi="Times New Roman" w:cs="Times New Roman"/>
          <w:sz w:val="24"/>
          <w:szCs w:val="24"/>
        </w:rPr>
        <w:t>rise</w:t>
      </w:r>
      <w:proofErr w:type="spellEnd"/>
      <w:r w:rsidRPr="00646332">
        <w:rPr>
          <w:rFonts w:ascii="Times New Roman" w:hAnsi="Times New Roman" w:cs="Times New Roman"/>
          <w:sz w:val="24"/>
          <w:szCs w:val="24"/>
        </w:rPr>
        <w:t xml:space="preserve"> in </w:t>
      </w:r>
      <w:proofErr w:type="spellStart"/>
      <w:r w:rsidRPr="00646332">
        <w:rPr>
          <w:rFonts w:ascii="Times New Roman" w:hAnsi="Times New Roman" w:cs="Times New Roman"/>
          <w:sz w:val="24"/>
          <w:szCs w:val="24"/>
        </w:rPr>
        <w:t>disorder</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within</w:t>
      </w:r>
      <w:proofErr w:type="spellEnd"/>
      <w:r w:rsidRPr="00646332">
        <w:rPr>
          <w:rFonts w:ascii="Times New Roman" w:hAnsi="Times New Roman" w:cs="Times New Roman"/>
          <w:sz w:val="24"/>
          <w:szCs w:val="24"/>
        </w:rPr>
        <w:t xml:space="preserve"> </w:t>
      </w:r>
      <w:r w:rsidR="001632D6" w:rsidRPr="00646332">
        <w:rPr>
          <w:rFonts w:ascii="Times New Roman" w:hAnsi="Times New Roman" w:cs="Times New Roman"/>
          <w:sz w:val="24"/>
          <w:szCs w:val="24"/>
        </w:rPr>
        <w:t>the system</w:t>
      </w:r>
      <w:r w:rsidRPr="00646332">
        <w:rPr>
          <w:rFonts w:ascii="Times New Roman" w:hAnsi="Times New Roman" w:cs="Times New Roman"/>
          <w:sz w:val="24"/>
          <w:szCs w:val="24"/>
        </w:rPr>
        <w:t>. This process of self-</w:t>
      </w:r>
      <w:proofErr w:type="spellStart"/>
      <w:r w:rsidRPr="00646332">
        <w:rPr>
          <w:rFonts w:ascii="Times New Roman" w:hAnsi="Times New Roman" w:cs="Times New Roman"/>
          <w:sz w:val="24"/>
          <w:szCs w:val="24"/>
        </w:rPr>
        <w:t>assembly</w:t>
      </w:r>
      <w:proofErr w:type="spellEnd"/>
      <w:r w:rsidRPr="00646332">
        <w:rPr>
          <w:rFonts w:ascii="Times New Roman" w:hAnsi="Times New Roman" w:cs="Times New Roman"/>
          <w:sz w:val="24"/>
          <w:szCs w:val="24"/>
        </w:rPr>
        <w:t xml:space="preserve"> leads to the formation of </w:t>
      </w:r>
      <w:proofErr w:type="spellStart"/>
      <w:r w:rsidRPr="00646332">
        <w:rPr>
          <w:rFonts w:ascii="Times New Roman" w:hAnsi="Times New Roman" w:cs="Times New Roman"/>
          <w:sz w:val="24"/>
          <w:szCs w:val="24"/>
        </w:rPr>
        <w:t>hydrophobic</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chains</w:t>
      </w:r>
      <w:proofErr w:type="spellEnd"/>
      <w:r w:rsidRPr="00646332">
        <w:rPr>
          <w:rFonts w:ascii="Times New Roman" w:hAnsi="Times New Roman" w:cs="Times New Roman"/>
          <w:sz w:val="24"/>
          <w:szCs w:val="24"/>
        </w:rPr>
        <w:t xml:space="preserve"> and the release of </w:t>
      </w:r>
      <w:proofErr w:type="spellStart"/>
      <w:r w:rsidRPr="00646332">
        <w:rPr>
          <w:rFonts w:ascii="Times New Roman" w:hAnsi="Times New Roman" w:cs="Times New Roman"/>
          <w:sz w:val="24"/>
          <w:szCs w:val="24"/>
        </w:rPr>
        <w:t>counter</w:t>
      </w:r>
      <w:proofErr w:type="spellEnd"/>
      <w:r w:rsidRPr="00646332">
        <w:rPr>
          <w:rFonts w:ascii="Times New Roman" w:hAnsi="Times New Roman" w:cs="Times New Roman"/>
          <w:sz w:val="24"/>
          <w:szCs w:val="24"/>
        </w:rPr>
        <w:t xml:space="preserve">-ions, </w:t>
      </w:r>
      <w:proofErr w:type="spellStart"/>
      <w:r w:rsidRPr="00646332">
        <w:rPr>
          <w:rFonts w:ascii="Times New Roman" w:hAnsi="Times New Roman" w:cs="Times New Roman"/>
          <w:sz w:val="24"/>
          <w:szCs w:val="24"/>
        </w:rPr>
        <w:t>resulting</w:t>
      </w:r>
      <w:proofErr w:type="spellEnd"/>
      <w:r w:rsidRPr="00646332">
        <w:rPr>
          <w:rFonts w:ascii="Times New Roman" w:hAnsi="Times New Roman" w:cs="Times New Roman"/>
          <w:sz w:val="24"/>
          <w:szCs w:val="24"/>
        </w:rPr>
        <w:t xml:space="preserve"> in the </w:t>
      </w:r>
      <w:proofErr w:type="spellStart"/>
      <w:r w:rsidRPr="00646332">
        <w:rPr>
          <w:rFonts w:ascii="Times New Roman" w:hAnsi="Times New Roman" w:cs="Times New Roman"/>
          <w:sz w:val="24"/>
          <w:szCs w:val="24"/>
        </w:rPr>
        <w:t>observed</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increase</w:t>
      </w:r>
      <w:proofErr w:type="spellEnd"/>
      <w:r w:rsidRPr="00646332">
        <w:rPr>
          <w:rFonts w:ascii="Times New Roman" w:hAnsi="Times New Roman" w:cs="Times New Roman"/>
          <w:sz w:val="24"/>
          <w:szCs w:val="24"/>
        </w:rPr>
        <w:t xml:space="preserve"> in </w:t>
      </w:r>
      <w:proofErr w:type="spellStart"/>
      <w:r w:rsidRPr="00646332">
        <w:rPr>
          <w:rFonts w:ascii="Times New Roman" w:hAnsi="Times New Roman" w:cs="Times New Roman"/>
          <w:sz w:val="24"/>
          <w:szCs w:val="24"/>
        </w:rPr>
        <w:t>entropy</w:t>
      </w:r>
      <w:proofErr w:type="spellEnd"/>
      <w:r w:rsidRPr="00646332">
        <w:rPr>
          <w:rFonts w:ascii="Times New Roman" w:hAnsi="Times New Roman" w:cs="Times New Roman"/>
          <w:sz w:val="24"/>
          <w:szCs w:val="24"/>
        </w:rPr>
        <w:t xml:space="preserve">. It </w:t>
      </w:r>
      <w:proofErr w:type="spellStart"/>
      <w:r w:rsidRPr="00646332">
        <w:rPr>
          <w:rFonts w:ascii="Times New Roman" w:hAnsi="Times New Roman" w:cs="Times New Roman"/>
          <w:sz w:val="24"/>
          <w:szCs w:val="24"/>
        </w:rPr>
        <w:t>is</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also</w:t>
      </w:r>
      <w:proofErr w:type="spellEnd"/>
      <w:r w:rsidRPr="00646332">
        <w:rPr>
          <w:rFonts w:ascii="Times New Roman" w:hAnsi="Times New Roman" w:cs="Times New Roman"/>
          <w:sz w:val="24"/>
          <w:szCs w:val="24"/>
        </w:rPr>
        <w:t xml:space="preserve"> important to note </w:t>
      </w:r>
      <w:proofErr w:type="spellStart"/>
      <w:r w:rsidRPr="00646332">
        <w:rPr>
          <w:rFonts w:ascii="Times New Roman" w:hAnsi="Times New Roman" w:cs="Times New Roman"/>
          <w:sz w:val="24"/>
          <w:szCs w:val="24"/>
        </w:rPr>
        <w:t>that</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micellization</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is</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controlled</w:t>
      </w:r>
      <w:proofErr w:type="spellEnd"/>
      <w:r w:rsidRPr="00646332">
        <w:rPr>
          <w:rFonts w:ascii="Times New Roman" w:hAnsi="Times New Roman" w:cs="Times New Roman"/>
          <w:sz w:val="24"/>
          <w:szCs w:val="24"/>
        </w:rPr>
        <w:t xml:space="preserve"> by the </w:t>
      </w:r>
      <w:proofErr w:type="spellStart"/>
      <w:r w:rsidRPr="00646332">
        <w:rPr>
          <w:rFonts w:ascii="Times New Roman" w:hAnsi="Times New Roman" w:cs="Times New Roman"/>
          <w:sz w:val="24"/>
          <w:szCs w:val="24"/>
        </w:rPr>
        <w:t>aggregation</w:t>
      </w:r>
      <w:proofErr w:type="spellEnd"/>
      <w:r w:rsidRPr="00646332">
        <w:rPr>
          <w:rFonts w:ascii="Times New Roman" w:hAnsi="Times New Roman" w:cs="Times New Roman"/>
          <w:sz w:val="24"/>
          <w:szCs w:val="24"/>
        </w:rPr>
        <w:t xml:space="preserve"> of the surfactant, </w:t>
      </w:r>
      <w:proofErr w:type="spellStart"/>
      <w:r w:rsidRPr="00646332">
        <w:rPr>
          <w:rFonts w:ascii="Times New Roman" w:hAnsi="Times New Roman" w:cs="Times New Roman"/>
          <w:sz w:val="24"/>
          <w:szCs w:val="24"/>
        </w:rPr>
        <w:t>leading</w:t>
      </w:r>
      <w:proofErr w:type="spellEnd"/>
      <w:r w:rsidRPr="00646332">
        <w:rPr>
          <w:rFonts w:ascii="Times New Roman" w:hAnsi="Times New Roman" w:cs="Times New Roman"/>
          <w:sz w:val="24"/>
          <w:szCs w:val="24"/>
        </w:rPr>
        <w:t xml:space="preserve"> to the </w:t>
      </w:r>
      <w:proofErr w:type="spellStart"/>
      <w:r w:rsidRPr="00646332">
        <w:rPr>
          <w:rFonts w:ascii="Times New Roman" w:hAnsi="Times New Roman" w:cs="Times New Roman"/>
          <w:sz w:val="24"/>
          <w:szCs w:val="24"/>
        </w:rPr>
        <w:t>solubilization</w:t>
      </w:r>
      <w:proofErr w:type="spellEnd"/>
      <w:r w:rsidRPr="00646332">
        <w:rPr>
          <w:rFonts w:ascii="Times New Roman" w:hAnsi="Times New Roman" w:cs="Times New Roman"/>
          <w:sz w:val="24"/>
          <w:szCs w:val="24"/>
        </w:rPr>
        <w:t xml:space="preserve"> of </w:t>
      </w:r>
      <w:r w:rsidR="001632D6" w:rsidRPr="00646332">
        <w:rPr>
          <w:rFonts w:ascii="Times New Roman" w:hAnsi="Times New Roman" w:cs="Times New Roman"/>
          <w:sz w:val="24"/>
          <w:szCs w:val="24"/>
        </w:rPr>
        <w:t>DCF</w:t>
      </w:r>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within</w:t>
      </w:r>
      <w:proofErr w:type="spellEnd"/>
      <w:r w:rsidRPr="00646332">
        <w:rPr>
          <w:rFonts w:ascii="Times New Roman" w:hAnsi="Times New Roman" w:cs="Times New Roman"/>
          <w:sz w:val="24"/>
          <w:szCs w:val="24"/>
        </w:rPr>
        <w:t xml:space="preserve"> the micelles</w:t>
      </w:r>
      <w:r w:rsidR="00646332">
        <w:rPr>
          <w:rFonts w:ascii="Times New Roman" w:hAnsi="Times New Roman" w:cs="Times New Roman"/>
          <w:color w:val="0000CC"/>
          <w:sz w:val="24"/>
          <w:szCs w:val="24"/>
        </w:rPr>
        <w:t xml:space="preserve"> </w:t>
      </w:r>
      <w:r w:rsidR="00646332">
        <w:rPr>
          <w:rFonts w:ascii="Times New Roman" w:eastAsia="Times New Roman" w:hAnsi="Times New Roman" w:cs="Times New Roman"/>
          <w:iCs/>
          <w:sz w:val="24"/>
          <w:szCs w:val="24"/>
          <w:lang w:val="en-US" w:eastAsia="fr-FR"/>
        </w:rPr>
        <w:t>(</w:t>
      </w:r>
      <w:r w:rsidR="00646332" w:rsidRPr="00634232">
        <w:rPr>
          <w:rFonts w:ascii="Times New Roman" w:hAnsi="Times New Roman" w:cs="Times New Roman"/>
          <w:color w:val="0000CC"/>
          <w:sz w:val="24"/>
          <w:szCs w:val="24"/>
          <w:lang w:val="en-US"/>
        </w:rPr>
        <w:t>Sarr et al.</w:t>
      </w:r>
      <w:r w:rsidR="00646332">
        <w:rPr>
          <w:rFonts w:ascii="Times New Roman" w:hAnsi="Times New Roman" w:cs="Times New Roman"/>
          <w:color w:val="0000CC"/>
          <w:sz w:val="24"/>
          <w:szCs w:val="24"/>
          <w:lang w:val="en-US"/>
        </w:rPr>
        <w:t xml:space="preserve">, </w:t>
      </w:r>
      <w:proofErr w:type="gramStart"/>
      <w:r w:rsidR="00646332">
        <w:rPr>
          <w:rFonts w:ascii="Times New Roman" w:hAnsi="Times New Roman" w:cs="Times New Roman"/>
          <w:color w:val="0000CC"/>
          <w:sz w:val="24"/>
          <w:szCs w:val="24"/>
          <w:lang w:val="en-US"/>
        </w:rPr>
        <w:t>2022</w:t>
      </w:r>
      <w:r w:rsidR="00646332" w:rsidRPr="00634232">
        <w:rPr>
          <w:rFonts w:ascii="Times New Roman" w:hAnsi="Times New Roman" w:cs="Times New Roman"/>
          <w:color w:val="0000CC"/>
          <w:sz w:val="24"/>
          <w:szCs w:val="24"/>
          <w:lang w:val="en-US"/>
        </w:rPr>
        <w:t>;</w:t>
      </w:r>
      <w:proofErr w:type="gramEnd"/>
      <w:r w:rsidR="00646332" w:rsidRPr="00634232">
        <w:rPr>
          <w:rFonts w:ascii="Times New Roman" w:hAnsi="Times New Roman" w:cs="Times New Roman"/>
          <w:color w:val="0000CC"/>
          <w:sz w:val="24"/>
          <w:szCs w:val="24"/>
          <w:lang w:val="en-US"/>
        </w:rPr>
        <w:t xml:space="preserve"> Cissé et al.</w:t>
      </w:r>
      <w:r w:rsidR="00646332">
        <w:rPr>
          <w:rFonts w:ascii="Times New Roman" w:hAnsi="Times New Roman" w:cs="Times New Roman"/>
          <w:color w:val="0000CC"/>
          <w:sz w:val="24"/>
          <w:szCs w:val="24"/>
          <w:lang w:val="en-US"/>
        </w:rPr>
        <w:t>, 2024</w:t>
      </w:r>
      <w:r w:rsidR="00646332">
        <w:rPr>
          <w:rFonts w:ascii="Times New Roman" w:eastAsia="Times New Roman" w:hAnsi="Times New Roman" w:cs="Times New Roman"/>
          <w:iCs/>
          <w:sz w:val="24"/>
          <w:szCs w:val="24"/>
          <w:lang w:val="en-US" w:eastAsia="fr-FR"/>
        </w:rPr>
        <w:t>)</w:t>
      </w:r>
      <w:r w:rsidRPr="00D0116E">
        <w:rPr>
          <w:rFonts w:ascii="Times New Roman" w:hAnsi="Times New Roman" w:cs="Times New Roman"/>
          <w:color w:val="0000CC"/>
          <w:sz w:val="24"/>
          <w:szCs w:val="24"/>
        </w:rPr>
        <w:t>.</w:t>
      </w:r>
    </w:p>
    <w:p w14:paraId="48109CBC" w14:textId="77777777" w:rsidR="00FE2DAF" w:rsidRDefault="00FE2DAF" w:rsidP="005529EC">
      <w:pPr>
        <w:tabs>
          <w:tab w:val="left" w:pos="2658"/>
        </w:tabs>
        <w:jc w:val="both"/>
        <w:rPr>
          <w:rFonts w:ascii="Times New Roman" w:hAnsi="Times New Roman" w:cs="Times New Roman"/>
          <w:b/>
          <w:bCs/>
          <w:sz w:val="24"/>
          <w:szCs w:val="24"/>
          <w:lang w:val="en-US"/>
        </w:rPr>
      </w:pPr>
    </w:p>
    <w:p w14:paraId="4059AD6A" w14:textId="6B1140B6" w:rsidR="00D93A5B" w:rsidRPr="00C634B0" w:rsidRDefault="005529EC" w:rsidP="005529EC">
      <w:pPr>
        <w:tabs>
          <w:tab w:val="left" w:pos="2658"/>
        </w:tabs>
        <w:jc w:val="both"/>
        <w:rPr>
          <w:rFonts w:asciiTheme="majorBidi" w:eastAsia="Arial Bold" w:hAnsiTheme="majorBidi" w:cstheme="majorBidi"/>
          <w:b/>
          <w:bCs/>
          <w:sz w:val="24"/>
          <w:szCs w:val="24"/>
          <w:lang w:val="en-US"/>
        </w:rPr>
      </w:pPr>
      <w:r w:rsidRPr="008225CA">
        <w:rPr>
          <w:rFonts w:ascii="Times New Roman" w:hAnsi="Times New Roman" w:cs="Times New Roman"/>
          <w:b/>
          <w:bCs/>
          <w:sz w:val="24"/>
          <w:szCs w:val="24"/>
          <w:lang w:val="en-US"/>
        </w:rPr>
        <w:t>Table 3</w:t>
      </w:r>
      <w:r w:rsidR="007E47A4">
        <w:rPr>
          <w:rFonts w:ascii="Times New Roman" w:hAnsi="Times New Roman" w:cs="Times New Roman"/>
          <w:b/>
          <w:sz w:val="24"/>
          <w:szCs w:val="24"/>
          <w:lang w:val="en-US"/>
        </w:rPr>
        <w:t>.</w:t>
      </w:r>
      <w:r w:rsidRPr="008225CA">
        <w:rPr>
          <w:rFonts w:asciiTheme="majorBidi" w:eastAsia="Arial Bold" w:hAnsiTheme="majorBidi" w:cstheme="majorBidi"/>
          <w:b/>
          <w:bCs/>
          <w:sz w:val="24"/>
          <w:szCs w:val="24"/>
          <w:lang w:val="en-US"/>
        </w:rPr>
        <w:t xml:space="preserve"> </w:t>
      </w:r>
      <w:r w:rsidR="00FE754A">
        <w:rPr>
          <w:rFonts w:asciiTheme="majorBidi" w:eastAsia="Arial Bold" w:hAnsiTheme="majorBidi" w:cstheme="majorBidi"/>
          <w:b/>
          <w:bCs/>
          <w:sz w:val="24"/>
          <w:szCs w:val="24"/>
          <w:lang w:val="en-US"/>
        </w:rPr>
        <w:t>Micellization parameters</w:t>
      </w:r>
      <w:r w:rsidRPr="008225CA">
        <w:rPr>
          <w:rFonts w:asciiTheme="majorBidi" w:eastAsia="Arial Bold" w:hAnsiTheme="majorBidi" w:cstheme="majorBidi"/>
          <w:b/>
          <w:bCs/>
          <w:sz w:val="24"/>
          <w:szCs w:val="24"/>
          <w:lang w:val="en-US"/>
        </w:rPr>
        <w:t xml:space="preserve"> according to the</w:t>
      </w:r>
      <w:r w:rsidR="00FE754A">
        <w:rPr>
          <w:rFonts w:asciiTheme="majorBidi" w:eastAsia="Arial Bold" w:hAnsiTheme="majorBidi" w:cstheme="majorBidi"/>
          <w:b/>
          <w:bCs/>
          <w:sz w:val="24"/>
          <w:szCs w:val="24"/>
          <w:lang w:val="en-US"/>
        </w:rPr>
        <w:t xml:space="preserve"> </w:t>
      </w:r>
      <w:r w:rsidRPr="008225CA">
        <w:rPr>
          <w:rFonts w:asciiTheme="majorBidi" w:eastAsia="Arial Bold" w:hAnsiTheme="majorBidi" w:cstheme="majorBidi"/>
          <w:b/>
          <w:bCs/>
          <w:sz w:val="24"/>
          <w:szCs w:val="24"/>
          <w:lang w:val="en-US"/>
        </w:rPr>
        <w:t xml:space="preserve">temperature </w:t>
      </w:r>
    </w:p>
    <w:tbl>
      <w:tblPr>
        <w:tblW w:w="5000" w:type="pct"/>
        <w:jc w:val="center"/>
        <w:tblBorders>
          <w:top w:val="single" w:sz="12" w:space="0" w:color="000000"/>
          <w:bottom w:val="single" w:sz="12" w:space="0" w:color="000000"/>
          <w:insideH w:val="nil"/>
          <w:insideV w:val="nil"/>
        </w:tblBorders>
        <w:tblCellMar>
          <w:left w:w="70" w:type="dxa"/>
          <w:right w:w="70" w:type="dxa"/>
        </w:tblCellMar>
        <w:tblLook w:val="00A0" w:firstRow="1" w:lastRow="0" w:firstColumn="1" w:lastColumn="0" w:noHBand="0" w:noVBand="0"/>
      </w:tblPr>
      <w:tblGrid>
        <w:gridCol w:w="1127"/>
        <w:gridCol w:w="1076"/>
        <w:gridCol w:w="733"/>
        <w:gridCol w:w="1193"/>
        <w:gridCol w:w="147"/>
        <w:gridCol w:w="1461"/>
        <w:gridCol w:w="235"/>
        <w:gridCol w:w="1463"/>
        <w:gridCol w:w="235"/>
        <w:gridCol w:w="1004"/>
        <w:gridCol w:w="146"/>
        <w:gridCol w:w="106"/>
        <w:gridCol w:w="146"/>
      </w:tblGrid>
      <w:tr w:rsidR="005529EC" w:rsidRPr="00AA319E" w14:paraId="411586FD" w14:textId="77777777" w:rsidTr="00137B37">
        <w:trPr>
          <w:gridAfter w:val="2"/>
          <w:wAfter w:w="135" w:type="pct"/>
          <w:jc w:val="center"/>
        </w:trPr>
        <w:tc>
          <w:tcPr>
            <w:tcW w:w="599" w:type="pct"/>
            <w:tcBorders>
              <w:top w:val="single" w:sz="12" w:space="0" w:color="000000"/>
              <w:left w:val="nil"/>
              <w:bottom w:val="single" w:sz="12" w:space="0" w:color="000000"/>
              <w:right w:val="nil"/>
            </w:tcBorders>
          </w:tcPr>
          <w:p w14:paraId="4B5EA289" w14:textId="77777777" w:rsidR="005529EC" w:rsidRPr="00AA319E" w:rsidRDefault="005529EC" w:rsidP="007E4E80">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Surfactant</w:t>
            </w:r>
          </w:p>
        </w:tc>
        <w:tc>
          <w:tcPr>
            <w:tcW w:w="599" w:type="pct"/>
            <w:tcBorders>
              <w:top w:val="single" w:sz="12" w:space="0" w:color="000000"/>
              <w:left w:val="nil"/>
              <w:bottom w:val="single" w:sz="12" w:space="0" w:color="000000"/>
              <w:right w:val="nil"/>
            </w:tcBorders>
            <w:hideMark/>
          </w:tcPr>
          <w:p w14:paraId="088E323F" w14:textId="77777777" w:rsidR="005529EC" w:rsidRPr="00AA319E" w:rsidRDefault="005529EC" w:rsidP="007E4E80">
            <w:pPr>
              <w:spacing w:after="120" w:line="360" w:lineRule="auto"/>
              <w:jc w:val="center"/>
              <w:rPr>
                <w:rFonts w:ascii="Times New Roman" w:hAnsi="Times New Roman" w:cs="Times New Roman"/>
                <w:sz w:val="24"/>
                <w:szCs w:val="24"/>
                <w:lang w:val="en-US"/>
              </w:rPr>
            </w:pPr>
            <w:r w:rsidRPr="00AA319E">
              <w:rPr>
                <w:rFonts w:ascii="Times New Roman" w:hAnsi="Times New Roman" w:cs="Times New Roman"/>
                <w:sz w:val="24"/>
                <w:szCs w:val="24"/>
                <w:lang w:val="en-US"/>
              </w:rPr>
              <w:t>T (K)</w:t>
            </w:r>
          </w:p>
        </w:tc>
        <w:tc>
          <w:tcPr>
            <w:tcW w:w="1073" w:type="pct"/>
            <w:gridSpan w:val="2"/>
            <w:tcBorders>
              <w:top w:val="single" w:sz="12" w:space="0" w:color="000000"/>
              <w:left w:val="nil"/>
              <w:bottom w:val="single" w:sz="12" w:space="0" w:color="000000"/>
              <w:right w:val="nil"/>
            </w:tcBorders>
            <w:vAlign w:val="center"/>
            <w:hideMark/>
          </w:tcPr>
          <w:p w14:paraId="522A5182" w14:textId="77777777" w:rsidR="005529EC" w:rsidRPr="00AA319E" w:rsidRDefault="005529EC" w:rsidP="007E4E80">
            <w:pPr>
              <w:spacing w:after="120"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Pr="00AA319E">
              <w:rPr>
                <w:rFonts w:ascii="Times New Roman" w:eastAsia="Calibri" w:hAnsi="Times New Roman" w:cs="Times New Roman"/>
                <w:sz w:val="24"/>
                <w:szCs w:val="24"/>
                <w:lang w:val="en-US"/>
              </w:rPr>
              <w:t xml:space="preserve">CMC </w:t>
            </w:r>
            <w:r w:rsidR="004F5288">
              <w:rPr>
                <w:rFonts w:ascii="Times New Roman" w:eastAsia="Calibri" w:hAnsi="Times New Roman" w:cs="Times New Roman"/>
                <w:b/>
                <w:sz w:val="24"/>
                <w:szCs w:val="24"/>
                <w:lang w:val="en-US"/>
              </w:rPr>
              <w:t>(</w:t>
            </w:r>
            <w:r w:rsidR="004F5288" w:rsidRPr="004F5288">
              <w:rPr>
                <w:rFonts w:ascii="Times New Roman" w:eastAsia="Calibri" w:hAnsi="Times New Roman" w:cs="Times New Roman"/>
                <w:sz w:val="24"/>
                <w:szCs w:val="24"/>
                <w:lang w:val="en-US"/>
              </w:rPr>
              <w:t>mmol L</w:t>
            </w:r>
            <w:r w:rsidR="004F5288" w:rsidRPr="004F5288">
              <w:rPr>
                <w:rFonts w:ascii="Times New Roman" w:eastAsia="Calibri" w:hAnsi="Times New Roman" w:cs="Times New Roman"/>
                <w:sz w:val="24"/>
                <w:szCs w:val="24"/>
                <w:vertAlign w:val="superscript"/>
                <w:lang w:val="en-US"/>
              </w:rPr>
              <w:t>-1</w:t>
            </w:r>
            <w:r w:rsidR="004F5288" w:rsidRPr="004F5288">
              <w:rPr>
                <w:rFonts w:ascii="Times New Roman" w:eastAsia="Calibri" w:hAnsi="Times New Roman" w:cs="Times New Roman"/>
                <w:sz w:val="24"/>
                <w:szCs w:val="24"/>
                <w:lang w:val="en-US"/>
              </w:rPr>
              <w:t>)</w:t>
            </w:r>
          </w:p>
        </w:tc>
        <w:tc>
          <w:tcPr>
            <w:tcW w:w="882" w:type="pct"/>
            <w:gridSpan w:val="2"/>
            <w:tcBorders>
              <w:top w:val="single" w:sz="12" w:space="0" w:color="000000"/>
              <w:left w:val="nil"/>
              <w:bottom w:val="single" w:sz="12" w:space="0" w:color="000000"/>
              <w:right w:val="nil"/>
            </w:tcBorders>
            <w:hideMark/>
          </w:tcPr>
          <w:p w14:paraId="3C85D207" w14:textId="77777777" w:rsidR="005529EC" w:rsidRPr="00AA319E" w:rsidRDefault="005529EC" w:rsidP="007E4E80">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A319E">
              <w:rPr>
                <w:rFonts w:ascii="Times New Roman" w:hAnsi="Times New Roman" w:cs="Times New Roman"/>
                <w:sz w:val="24"/>
                <w:szCs w:val="24"/>
                <w:lang w:val="en-US"/>
              </w:rPr>
              <w:t>∆G</w:t>
            </w:r>
            <w:r w:rsidRPr="00AA319E">
              <w:rPr>
                <w:rFonts w:ascii="Times New Roman" w:hAnsi="Times New Roman" w:cs="Times New Roman"/>
                <w:sz w:val="24"/>
                <w:szCs w:val="24"/>
                <w:vertAlign w:val="superscript"/>
                <w:lang w:val="en-US"/>
              </w:rPr>
              <w:t>0</w:t>
            </w:r>
            <w:r w:rsidRPr="00AA319E">
              <w:rPr>
                <w:rFonts w:ascii="Times New Roman" w:hAnsi="Times New Roman" w:cs="Times New Roman"/>
                <w:sz w:val="24"/>
                <w:szCs w:val="24"/>
                <w:lang w:val="en-US"/>
              </w:rPr>
              <w:t xml:space="preserve"> (kjmol</w:t>
            </w:r>
            <w:r w:rsidRPr="00AA319E">
              <w:rPr>
                <w:rFonts w:ascii="Times New Roman" w:hAnsi="Times New Roman" w:cs="Times New Roman"/>
                <w:sz w:val="24"/>
                <w:szCs w:val="24"/>
                <w:vertAlign w:val="superscript"/>
                <w:lang w:val="en-US"/>
              </w:rPr>
              <w:t>-1</w:t>
            </w:r>
            <w:r w:rsidRPr="00AA319E">
              <w:rPr>
                <w:rFonts w:ascii="Times New Roman" w:hAnsi="Times New Roman" w:cs="Times New Roman"/>
                <w:sz w:val="24"/>
                <w:szCs w:val="24"/>
                <w:lang w:val="en-US"/>
              </w:rPr>
              <w:t>)</w:t>
            </w:r>
          </w:p>
        </w:tc>
        <w:tc>
          <w:tcPr>
            <w:tcW w:w="947" w:type="pct"/>
            <w:gridSpan w:val="2"/>
            <w:tcBorders>
              <w:top w:val="single" w:sz="12" w:space="0" w:color="000000"/>
              <w:left w:val="nil"/>
              <w:bottom w:val="single" w:sz="12" w:space="0" w:color="000000"/>
              <w:right w:val="nil"/>
            </w:tcBorders>
            <w:hideMark/>
          </w:tcPr>
          <w:p w14:paraId="74D71C4C" w14:textId="77777777" w:rsidR="005529EC" w:rsidRPr="00AA319E" w:rsidRDefault="005529EC" w:rsidP="007E4E80">
            <w:pPr>
              <w:spacing w:after="120" w:line="360" w:lineRule="auto"/>
              <w:jc w:val="center"/>
              <w:rPr>
                <w:rFonts w:ascii="Times New Roman" w:hAnsi="Times New Roman" w:cs="Times New Roman"/>
                <w:sz w:val="24"/>
                <w:szCs w:val="24"/>
                <w:lang w:val="en-US"/>
              </w:rPr>
            </w:pPr>
            <w:r w:rsidRPr="00AA319E">
              <w:rPr>
                <w:rFonts w:ascii="Times New Roman" w:hAnsi="Times New Roman" w:cs="Times New Roman"/>
                <w:sz w:val="24"/>
                <w:szCs w:val="24"/>
                <w:lang w:val="en-US"/>
              </w:rPr>
              <w:t>∆H</w:t>
            </w:r>
            <w:r w:rsidRPr="00AA319E">
              <w:rPr>
                <w:rFonts w:ascii="Times New Roman" w:hAnsi="Times New Roman" w:cs="Times New Roman"/>
                <w:sz w:val="24"/>
                <w:szCs w:val="24"/>
                <w:vertAlign w:val="superscript"/>
                <w:lang w:val="en-US"/>
              </w:rPr>
              <w:t xml:space="preserve">0 </w:t>
            </w:r>
            <w:r w:rsidRPr="00AA319E">
              <w:rPr>
                <w:rFonts w:ascii="Times New Roman" w:hAnsi="Times New Roman" w:cs="Times New Roman"/>
                <w:sz w:val="24"/>
                <w:szCs w:val="24"/>
                <w:lang w:val="en-US"/>
              </w:rPr>
              <w:t>(kjmol</w:t>
            </w:r>
            <w:r w:rsidRPr="00AA319E">
              <w:rPr>
                <w:rFonts w:ascii="Times New Roman" w:hAnsi="Times New Roman" w:cs="Times New Roman"/>
                <w:sz w:val="24"/>
                <w:szCs w:val="24"/>
                <w:vertAlign w:val="superscript"/>
                <w:lang w:val="en-US"/>
              </w:rPr>
              <w:t>-1</w:t>
            </w:r>
            <w:r w:rsidRPr="00AA319E">
              <w:rPr>
                <w:rFonts w:ascii="Times New Roman" w:hAnsi="Times New Roman" w:cs="Times New Roman"/>
                <w:sz w:val="24"/>
                <w:szCs w:val="24"/>
                <w:lang w:val="en-US"/>
              </w:rPr>
              <w:t xml:space="preserve">) </w:t>
            </w:r>
            <w:r w:rsidRPr="00AA319E">
              <w:rPr>
                <w:rFonts w:ascii="Times New Roman" w:hAnsi="Times New Roman" w:cs="Times New Roman"/>
                <w:b/>
                <w:sz w:val="24"/>
                <w:szCs w:val="24"/>
                <w:vertAlign w:val="superscript"/>
                <w:lang w:val="en-US"/>
              </w:rPr>
              <w:t>d</w:t>
            </w:r>
          </w:p>
        </w:tc>
        <w:tc>
          <w:tcPr>
            <w:tcW w:w="694" w:type="pct"/>
            <w:gridSpan w:val="2"/>
            <w:tcBorders>
              <w:top w:val="single" w:sz="12" w:space="0" w:color="000000"/>
              <w:left w:val="nil"/>
              <w:bottom w:val="single" w:sz="12" w:space="0" w:color="000000"/>
              <w:right w:val="nil"/>
            </w:tcBorders>
            <w:hideMark/>
          </w:tcPr>
          <w:p w14:paraId="7B6593EE" w14:textId="77777777" w:rsidR="005529EC" w:rsidRPr="00AA319E" w:rsidRDefault="005529EC" w:rsidP="007E4E80">
            <w:pPr>
              <w:spacing w:after="120" w:line="360" w:lineRule="auto"/>
              <w:jc w:val="center"/>
              <w:rPr>
                <w:rFonts w:ascii="Times New Roman" w:hAnsi="Times New Roman" w:cs="Times New Roman"/>
                <w:sz w:val="24"/>
                <w:szCs w:val="24"/>
                <w:lang w:val="en-US"/>
              </w:rPr>
            </w:pPr>
            <w:r w:rsidRPr="00AA319E">
              <w:rPr>
                <w:rFonts w:ascii="Times New Roman" w:hAnsi="Times New Roman" w:cs="Times New Roman"/>
                <w:sz w:val="24"/>
                <w:szCs w:val="24"/>
                <w:lang w:val="en-US"/>
              </w:rPr>
              <w:t>∆S</w:t>
            </w:r>
            <w:r w:rsidRPr="00AA319E">
              <w:rPr>
                <w:rFonts w:ascii="Times New Roman" w:hAnsi="Times New Roman" w:cs="Times New Roman"/>
                <w:sz w:val="24"/>
                <w:szCs w:val="24"/>
                <w:vertAlign w:val="superscript"/>
                <w:lang w:val="en-US"/>
              </w:rPr>
              <w:t xml:space="preserve">0 </w:t>
            </w:r>
            <w:r w:rsidRPr="00AA319E">
              <w:rPr>
                <w:rFonts w:ascii="Times New Roman" w:hAnsi="Times New Roman" w:cs="Times New Roman"/>
                <w:sz w:val="24"/>
                <w:szCs w:val="24"/>
                <w:lang w:val="en-US"/>
              </w:rPr>
              <w:t>(kjmol</w:t>
            </w:r>
            <w:r w:rsidRPr="00AA319E">
              <w:rPr>
                <w:rFonts w:ascii="Times New Roman" w:hAnsi="Times New Roman" w:cs="Times New Roman"/>
                <w:sz w:val="24"/>
                <w:szCs w:val="24"/>
                <w:vertAlign w:val="superscript"/>
                <w:lang w:val="en-US"/>
              </w:rPr>
              <w:t>-1</w:t>
            </w:r>
            <w:r w:rsidRPr="00AA319E">
              <w:rPr>
                <w:rFonts w:ascii="Times New Roman" w:hAnsi="Times New Roman" w:cs="Times New Roman"/>
                <w:sz w:val="24"/>
                <w:szCs w:val="24"/>
                <w:lang w:val="en-US"/>
              </w:rPr>
              <w:t>)</w:t>
            </w:r>
            <w:r w:rsidRPr="00AA319E">
              <w:rPr>
                <w:rFonts w:ascii="Times New Roman" w:hAnsi="Times New Roman" w:cs="Times New Roman"/>
                <w:sz w:val="24"/>
                <w:szCs w:val="24"/>
                <w:vertAlign w:val="superscript"/>
                <w:lang w:val="en-US"/>
              </w:rPr>
              <w:t xml:space="preserve"> </w:t>
            </w:r>
            <w:r w:rsidRPr="00AA319E">
              <w:rPr>
                <w:rFonts w:ascii="Times New Roman" w:hAnsi="Times New Roman" w:cs="Times New Roman"/>
                <w:b/>
                <w:sz w:val="24"/>
                <w:szCs w:val="24"/>
                <w:vertAlign w:val="superscript"/>
                <w:lang w:val="en-US"/>
              </w:rPr>
              <w:t>e</w:t>
            </w:r>
          </w:p>
        </w:tc>
        <w:tc>
          <w:tcPr>
            <w:tcW w:w="71" w:type="pct"/>
            <w:tcBorders>
              <w:top w:val="single" w:sz="12" w:space="0" w:color="000000"/>
              <w:left w:val="nil"/>
              <w:bottom w:val="single" w:sz="12" w:space="0" w:color="000000"/>
              <w:right w:val="nil"/>
            </w:tcBorders>
          </w:tcPr>
          <w:p w14:paraId="02E90946" w14:textId="77777777" w:rsidR="005529EC" w:rsidRPr="00AA319E" w:rsidRDefault="005529EC" w:rsidP="007E4E80">
            <w:pPr>
              <w:spacing w:line="360" w:lineRule="auto"/>
              <w:jc w:val="center"/>
              <w:rPr>
                <w:rFonts w:ascii="Times New Roman" w:hAnsi="Times New Roman" w:cs="Times New Roman"/>
                <w:sz w:val="24"/>
                <w:szCs w:val="24"/>
                <w:lang w:val="en-US"/>
              </w:rPr>
            </w:pPr>
          </w:p>
        </w:tc>
      </w:tr>
      <w:tr w:rsidR="005529EC" w:rsidRPr="00AA319E" w14:paraId="70952737" w14:textId="77777777" w:rsidTr="00137B37">
        <w:trPr>
          <w:jc w:val="center"/>
        </w:trPr>
        <w:tc>
          <w:tcPr>
            <w:tcW w:w="599" w:type="pct"/>
            <w:tcBorders>
              <w:top w:val="nil"/>
              <w:left w:val="nil"/>
              <w:bottom w:val="nil"/>
              <w:right w:val="nil"/>
            </w:tcBorders>
          </w:tcPr>
          <w:p w14:paraId="71E87977" w14:textId="77777777" w:rsidR="005529EC" w:rsidRPr="00AA319E" w:rsidRDefault="005529EC" w:rsidP="007E4E80">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SDS</w:t>
            </w:r>
          </w:p>
        </w:tc>
        <w:tc>
          <w:tcPr>
            <w:tcW w:w="599" w:type="pct"/>
            <w:tcBorders>
              <w:top w:val="nil"/>
              <w:left w:val="nil"/>
              <w:bottom w:val="nil"/>
              <w:right w:val="nil"/>
            </w:tcBorders>
            <w:hideMark/>
          </w:tcPr>
          <w:p w14:paraId="7E88CE1A" w14:textId="77777777" w:rsidR="005529EC" w:rsidRPr="00AA319E" w:rsidRDefault="005529EC" w:rsidP="007E4E80">
            <w:pPr>
              <w:spacing w:after="120" w:line="360" w:lineRule="auto"/>
              <w:jc w:val="center"/>
              <w:rPr>
                <w:rFonts w:ascii="Times New Roman" w:hAnsi="Times New Roman" w:cs="Times New Roman"/>
                <w:sz w:val="24"/>
                <w:szCs w:val="24"/>
                <w:lang w:val="en-US"/>
              </w:rPr>
            </w:pPr>
            <w:r w:rsidRPr="00AA319E">
              <w:rPr>
                <w:rFonts w:ascii="Times New Roman" w:hAnsi="Times New Roman" w:cs="Times New Roman"/>
                <w:sz w:val="24"/>
                <w:szCs w:val="24"/>
                <w:lang w:val="en-US"/>
              </w:rPr>
              <w:t>30</w:t>
            </w:r>
            <w:r>
              <w:rPr>
                <w:rFonts w:ascii="Times New Roman" w:hAnsi="Times New Roman" w:cs="Times New Roman"/>
                <w:sz w:val="24"/>
                <w:szCs w:val="24"/>
                <w:lang w:val="en-US"/>
              </w:rPr>
              <w:t>3</w:t>
            </w:r>
            <w:r w:rsidR="00D93A5B">
              <w:rPr>
                <w:rFonts w:ascii="Times New Roman" w:hAnsi="Times New Roman" w:cs="Times New Roman"/>
                <w:sz w:val="24"/>
                <w:szCs w:val="24"/>
                <w:lang w:val="en-US"/>
              </w:rPr>
              <w:t>.15</w:t>
            </w:r>
          </w:p>
        </w:tc>
        <w:tc>
          <w:tcPr>
            <w:tcW w:w="410" w:type="pct"/>
            <w:tcBorders>
              <w:top w:val="nil"/>
              <w:left w:val="nil"/>
              <w:bottom w:val="nil"/>
              <w:right w:val="nil"/>
            </w:tcBorders>
            <w:hideMark/>
          </w:tcPr>
          <w:p w14:paraId="6157AFA8" w14:textId="77777777" w:rsidR="005529EC" w:rsidRPr="00AA319E" w:rsidRDefault="005529EC" w:rsidP="007E4E80">
            <w:pPr>
              <w:spacing w:after="120" w:line="360" w:lineRule="auto"/>
              <w:jc w:val="center"/>
              <w:rPr>
                <w:rFonts w:ascii="Times New Roman" w:hAnsi="Times New Roman" w:cs="Times New Roman"/>
                <w:sz w:val="24"/>
                <w:szCs w:val="24"/>
                <w:lang w:val="en-US"/>
              </w:rPr>
            </w:pPr>
          </w:p>
        </w:tc>
        <w:tc>
          <w:tcPr>
            <w:tcW w:w="663" w:type="pct"/>
            <w:tcBorders>
              <w:top w:val="nil"/>
              <w:left w:val="nil"/>
              <w:bottom w:val="nil"/>
              <w:right w:val="nil"/>
            </w:tcBorders>
            <w:hideMark/>
          </w:tcPr>
          <w:p w14:paraId="7BFAB5BE" w14:textId="77777777" w:rsidR="005529EC" w:rsidRPr="00AA319E" w:rsidRDefault="005529EC" w:rsidP="007E4E80">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5.93</w:t>
            </w:r>
          </w:p>
        </w:tc>
        <w:tc>
          <w:tcPr>
            <w:tcW w:w="71" w:type="pct"/>
            <w:tcBorders>
              <w:top w:val="nil"/>
              <w:left w:val="nil"/>
              <w:bottom w:val="nil"/>
              <w:right w:val="nil"/>
            </w:tcBorders>
            <w:hideMark/>
          </w:tcPr>
          <w:p w14:paraId="5C1B2193" w14:textId="77777777" w:rsidR="005529EC" w:rsidRPr="00AA319E" w:rsidRDefault="005529EC" w:rsidP="007E4E80">
            <w:pPr>
              <w:spacing w:after="120" w:line="360" w:lineRule="auto"/>
              <w:jc w:val="center"/>
              <w:rPr>
                <w:rFonts w:ascii="Times New Roman" w:hAnsi="Times New Roman" w:cs="Times New Roman"/>
                <w:sz w:val="24"/>
                <w:szCs w:val="24"/>
                <w:lang w:val="en-US"/>
              </w:rPr>
            </w:pPr>
          </w:p>
        </w:tc>
        <w:tc>
          <w:tcPr>
            <w:tcW w:w="946" w:type="pct"/>
            <w:gridSpan w:val="2"/>
            <w:tcBorders>
              <w:top w:val="nil"/>
              <w:left w:val="nil"/>
              <w:bottom w:val="nil"/>
              <w:right w:val="nil"/>
            </w:tcBorders>
            <w:hideMark/>
          </w:tcPr>
          <w:p w14:paraId="17E3DF71" w14:textId="77777777" w:rsidR="005529EC" w:rsidRPr="00AA319E" w:rsidRDefault="005529EC" w:rsidP="007E4E80">
            <w:pPr>
              <w:spacing w:after="120" w:line="360" w:lineRule="auto"/>
              <w:jc w:val="center"/>
              <w:rPr>
                <w:rFonts w:ascii="Times New Roman" w:hAnsi="Times New Roman" w:cs="Times New Roman"/>
                <w:sz w:val="24"/>
                <w:szCs w:val="24"/>
                <w:lang w:val="en-US"/>
              </w:rPr>
            </w:pPr>
            <w:r w:rsidRPr="00AA319E">
              <w:rPr>
                <w:rFonts w:ascii="Times New Roman" w:hAnsi="Times New Roman" w:cs="Times New Roman"/>
                <w:sz w:val="24"/>
                <w:szCs w:val="24"/>
                <w:lang w:val="en-US"/>
              </w:rPr>
              <w:t>-</w:t>
            </w:r>
            <w:r>
              <w:rPr>
                <w:rFonts w:ascii="Times New Roman" w:hAnsi="Times New Roman" w:cs="Times New Roman"/>
                <w:sz w:val="24"/>
                <w:szCs w:val="24"/>
                <w:lang w:val="en-US"/>
              </w:rPr>
              <w:t>39.74</w:t>
            </w:r>
          </w:p>
        </w:tc>
        <w:tc>
          <w:tcPr>
            <w:tcW w:w="947" w:type="pct"/>
            <w:gridSpan w:val="2"/>
            <w:tcBorders>
              <w:top w:val="nil"/>
              <w:left w:val="nil"/>
              <w:bottom w:val="nil"/>
              <w:right w:val="nil"/>
            </w:tcBorders>
            <w:hideMark/>
          </w:tcPr>
          <w:p w14:paraId="1BFFC021" w14:textId="77777777" w:rsidR="005529EC" w:rsidRPr="00AA319E" w:rsidRDefault="005529EC" w:rsidP="007E4E80">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18.33</w:t>
            </w:r>
          </w:p>
        </w:tc>
        <w:tc>
          <w:tcPr>
            <w:tcW w:w="694" w:type="pct"/>
            <w:gridSpan w:val="3"/>
            <w:tcBorders>
              <w:top w:val="nil"/>
              <w:left w:val="nil"/>
              <w:bottom w:val="nil"/>
              <w:right w:val="nil"/>
            </w:tcBorders>
            <w:hideMark/>
          </w:tcPr>
          <w:p w14:paraId="3D7A6FCE" w14:textId="77777777" w:rsidR="005529EC" w:rsidRPr="00AA319E" w:rsidRDefault="005529EC" w:rsidP="007E4E80">
            <w:pPr>
              <w:spacing w:after="120" w:line="360" w:lineRule="auto"/>
              <w:jc w:val="center"/>
              <w:rPr>
                <w:rFonts w:ascii="Times New Roman" w:hAnsi="Times New Roman" w:cs="Times New Roman"/>
                <w:sz w:val="24"/>
                <w:szCs w:val="24"/>
                <w:lang w:val="en-US"/>
              </w:rPr>
            </w:pPr>
            <w:r w:rsidRPr="00AA319E">
              <w:rPr>
                <w:rFonts w:ascii="Times New Roman" w:hAnsi="Times New Roman" w:cs="Times New Roman"/>
                <w:sz w:val="24"/>
                <w:szCs w:val="24"/>
                <w:lang w:val="en-US"/>
              </w:rPr>
              <w:t>0.1</w:t>
            </w:r>
            <w:r>
              <w:rPr>
                <w:rFonts w:ascii="Times New Roman" w:hAnsi="Times New Roman" w:cs="Times New Roman"/>
                <w:sz w:val="24"/>
                <w:szCs w:val="24"/>
                <w:lang w:val="en-US"/>
              </w:rPr>
              <w:t>92</w:t>
            </w:r>
          </w:p>
        </w:tc>
        <w:tc>
          <w:tcPr>
            <w:tcW w:w="71" w:type="pct"/>
            <w:tcBorders>
              <w:top w:val="nil"/>
              <w:left w:val="nil"/>
              <w:bottom w:val="nil"/>
              <w:right w:val="nil"/>
            </w:tcBorders>
          </w:tcPr>
          <w:p w14:paraId="1D20060F" w14:textId="77777777" w:rsidR="005529EC" w:rsidRPr="00AA319E" w:rsidRDefault="005529EC" w:rsidP="007E4E80">
            <w:pPr>
              <w:spacing w:line="360" w:lineRule="auto"/>
              <w:jc w:val="center"/>
              <w:rPr>
                <w:rFonts w:ascii="Times New Roman" w:hAnsi="Times New Roman" w:cs="Times New Roman"/>
                <w:sz w:val="24"/>
                <w:szCs w:val="24"/>
                <w:lang w:val="en-US"/>
              </w:rPr>
            </w:pPr>
          </w:p>
        </w:tc>
      </w:tr>
      <w:tr w:rsidR="005529EC" w:rsidRPr="00AA319E" w14:paraId="33086CB2" w14:textId="77777777" w:rsidTr="00137B37">
        <w:trPr>
          <w:trHeight w:val="2116"/>
          <w:jc w:val="center"/>
        </w:trPr>
        <w:tc>
          <w:tcPr>
            <w:tcW w:w="599" w:type="pct"/>
            <w:tcBorders>
              <w:top w:val="nil"/>
              <w:left w:val="nil"/>
              <w:bottom w:val="single" w:sz="12" w:space="0" w:color="000000"/>
              <w:right w:val="nil"/>
            </w:tcBorders>
          </w:tcPr>
          <w:p w14:paraId="250E6AE8" w14:textId="77777777" w:rsidR="005529EC" w:rsidRPr="00646332" w:rsidRDefault="005529EC" w:rsidP="007E4E80">
            <w:pPr>
              <w:spacing w:after="120" w:line="360" w:lineRule="auto"/>
              <w:jc w:val="center"/>
              <w:rPr>
                <w:rFonts w:ascii="Times New Roman" w:hAnsi="Times New Roman" w:cs="Times New Roman"/>
                <w:sz w:val="24"/>
                <w:szCs w:val="24"/>
                <w:lang w:val="en-US"/>
              </w:rPr>
            </w:pPr>
          </w:p>
          <w:p w14:paraId="35281EEC" w14:textId="77777777" w:rsidR="005529EC" w:rsidRPr="00646332" w:rsidRDefault="005529EC" w:rsidP="007E4E80">
            <w:pPr>
              <w:spacing w:after="120" w:line="360" w:lineRule="auto"/>
              <w:rPr>
                <w:rFonts w:ascii="Times New Roman" w:hAnsi="Times New Roman" w:cs="Times New Roman"/>
                <w:sz w:val="24"/>
                <w:szCs w:val="24"/>
                <w:lang w:val="en-US"/>
              </w:rPr>
            </w:pPr>
          </w:p>
          <w:p w14:paraId="5F371900" w14:textId="77777777" w:rsidR="005529EC" w:rsidRPr="00646332" w:rsidRDefault="005529EC" w:rsidP="007E4E80">
            <w:pPr>
              <w:spacing w:after="120" w:line="360" w:lineRule="auto"/>
              <w:jc w:val="center"/>
              <w:rPr>
                <w:rFonts w:ascii="Times New Roman" w:hAnsi="Times New Roman" w:cs="Times New Roman"/>
                <w:sz w:val="24"/>
                <w:szCs w:val="24"/>
                <w:lang w:val="en-US"/>
              </w:rPr>
            </w:pPr>
          </w:p>
          <w:p w14:paraId="5FC709F6" w14:textId="77777777" w:rsidR="005529EC" w:rsidRPr="00646332" w:rsidRDefault="005529EC" w:rsidP="007E4E80">
            <w:pPr>
              <w:spacing w:after="120" w:line="360" w:lineRule="auto"/>
              <w:jc w:val="center"/>
              <w:rPr>
                <w:rFonts w:ascii="Times New Roman" w:hAnsi="Times New Roman" w:cs="Times New Roman"/>
                <w:sz w:val="24"/>
                <w:szCs w:val="24"/>
                <w:lang w:val="en-US"/>
              </w:rPr>
            </w:pPr>
          </w:p>
          <w:p w14:paraId="71D610F5"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TMATFB</w:t>
            </w:r>
          </w:p>
          <w:p w14:paraId="3C558B1A" w14:textId="77777777" w:rsidR="005529EC" w:rsidRPr="00646332" w:rsidRDefault="005529EC" w:rsidP="007E4E80">
            <w:pPr>
              <w:spacing w:after="120" w:line="360" w:lineRule="auto"/>
              <w:jc w:val="center"/>
              <w:rPr>
                <w:rFonts w:ascii="Times New Roman" w:hAnsi="Times New Roman" w:cs="Times New Roman"/>
                <w:sz w:val="24"/>
                <w:szCs w:val="24"/>
                <w:lang w:val="en-US"/>
              </w:rPr>
            </w:pPr>
          </w:p>
          <w:p w14:paraId="38C64747" w14:textId="77777777" w:rsidR="005529EC" w:rsidRPr="00646332" w:rsidRDefault="005529EC" w:rsidP="007E4E80">
            <w:pPr>
              <w:spacing w:after="120" w:line="360" w:lineRule="auto"/>
              <w:jc w:val="center"/>
              <w:rPr>
                <w:rFonts w:ascii="Times New Roman" w:hAnsi="Times New Roman" w:cs="Times New Roman"/>
                <w:sz w:val="24"/>
                <w:szCs w:val="24"/>
                <w:lang w:val="en-US"/>
              </w:rPr>
            </w:pPr>
          </w:p>
          <w:p w14:paraId="29A938AD" w14:textId="77777777" w:rsidR="005529EC" w:rsidRPr="00646332" w:rsidRDefault="005529EC" w:rsidP="007E4E80">
            <w:pPr>
              <w:spacing w:after="120" w:line="360" w:lineRule="auto"/>
              <w:rPr>
                <w:rFonts w:ascii="Times New Roman" w:hAnsi="Times New Roman" w:cs="Times New Roman"/>
                <w:sz w:val="24"/>
                <w:szCs w:val="24"/>
                <w:lang w:val="en-US"/>
              </w:rPr>
            </w:pPr>
          </w:p>
        </w:tc>
        <w:tc>
          <w:tcPr>
            <w:tcW w:w="599" w:type="pct"/>
            <w:tcBorders>
              <w:top w:val="nil"/>
              <w:left w:val="nil"/>
              <w:bottom w:val="single" w:sz="12" w:space="0" w:color="000000"/>
              <w:right w:val="nil"/>
            </w:tcBorders>
            <w:hideMark/>
          </w:tcPr>
          <w:p w14:paraId="5BEFFC12"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310</w:t>
            </w:r>
            <w:r w:rsidR="00D93A5B" w:rsidRPr="00646332">
              <w:rPr>
                <w:rFonts w:ascii="Times New Roman" w:hAnsi="Times New Roman" w:cs="Times New Roman"/>
                <w:sz w:val="24"/>
                <w:szCs w:val="24"/>
                <w:lang w:val="en-US"/>
              </w:rPr>
              <w:t>.15</w:t>
            </w:r>
          </w:p>
          <w:p w14:paraId="20A6135C"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317</w:t>
            </w:r>
            <w:r w:rsidR="00D93A5B" w:rsidRPr="00646332">
              <w:rPr>
                <w:rFonts w:ascii="Times New Roman" w:hAnsi="Times New Roman" w:cs="Times New Roman"/>
                <w:sz w:val="24"/>
                <w:szCs w:val="24"/>
                <w:lang w:val="en-US"/>
              </w:rPr>
              <w:t>.15</w:t>
            </w:r>
          </w:p>
          <w:p w14:paraId="1E417B94"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324</w:t>
            </w:r>
            <w:r w:rsidR="00D93A5B" w:rsidRPr="00646332">
              <w:rPr>
                <w:rFonts w:ascii="Times New Roman" w:hAnsi="Times New Roman" w:cs="Times New Roman"/>
                <w:sz w:val="24"/>
                <w:szCs w:val="24"/>
                <w:lang w:val="en-US"/>
              </w:rPr>
              <w:t>.15</w:t>
            </w:r>
          </w:p>
          <w:p w14:paraId="512E975C"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331</w:t>
            </w:r>
            <w:r w:rsidR="00D93A5B" w:rsidRPr="00646332">
              <w:rPr>
                <w:rFonts w:ascii="Times New Roman" w:hAnsi="Times New Roman" w:cs="Times New Roman"/>
                <w:sz w:val="24"/>
                <w:szCs w:val="24"/>
                <w:lang w:val="en-US"/>
              </w:rPr>
              <w:t>.15</w:t>
            </w:r>
          </w:p>
          <w:p w14:paraId="03717FEA" w14:textId="77777777" w:rsidR="005529EC" w:rsidRPr="00646332" w:rsidRDefault="005529EC" w:rsidP="007E4E80">
            <w:pPr>
              <w:spacing w:after="120" w:line="360" w:lineRule="auto"/>
              <w:jc w:val="center"/>
              <w:rPr>
                <w:rFonts w:ascii="Times New Roman" w:eastAsia="Calibri" w:hAnsi="Times New Roman" w:cs="Times New Roman"/>
                <w:position w:val="-10"/>
                <w:sz w:val="24"/>
                <w:szCs w:val="24"/>
                <w:lang w:val="en-US"/>
              </w:rPr>
            </w:pPr>
            <w:r w:rsidRPr="00646332">
              <w:rPr>
                <w:rFonts w:ascii="Times New Roman" w:eastAsia="Calibri" w:hAnsi="Times New Roman" w:cs="Times New Roman"/>
                <w:position w:val="-10"/>
                <w:sz w:val="24"/>
                <w:szCs w:val="24"/>
                <w:lang w:val="en-US"/>
              </w:rPr>
              <w:t>303</w:t>
            </w:r>
            <w:r w:rsidR="00D93A5B" w:rsidRPr="00646332">
              <w:rPr>
                <w:rFonts w:ascii="Times New Roman" w:eastAsia="Calibri" w:hAnsi="Times New Roman" w:cs="Times New Roman"/>
                <w:position w:val="-10"/>
                <w:sz w:val="24"/>
                <w:szCs w:val="24"/>
                <w:lang w:val="en-US"/>
              </w:rPr>
              <w:t>.15</w:t>
            </w:r>
          </w:p>
          <w:p w14:paraId="3444DF2B" w14:textId="77777777" w:rsidR="005529EC" w:rsidRPr="00646332" w:rsidRDefault="005529EC" w:rsidP="007E4E80">
            <w:pPr>
              <w:spacing w:after="120" w:line="360" w:lineRule="auto"/>
              <w:jc w:val="center"/>
              <w:rPr>
                <w:rFonts w:ascii="Times New Roman" w:eastAsia="Calibri" w:hAnsi="Times New Roman" w:cs="Times New Roman"/>
                <w:position w:val="-10"/>
                <w:sz w:val="24"/>
                <w:szCs w:val="24"/>
                <w:lang w:val="en-US"/>
              </w:rPr>
            </w:pPr>
            <w:r w:rsidRPr="00646332">
              <w:rPr>
                <w:rFonts w:ascii="Times New Roman" w:eastAsia="Calibri" w:hAnsi="Times New Roman" w:cs="Times New Roman"/>
                <w:position w:val="-10"/>
                <w:sz w:val="24"/>
                <w:szCs w:val="24"/>
                <w:lang w:val="en-US"/>
              </w:rPr>
              <w:t>310</w:t>
            </w:r>
            <w:r w:rsidR="00D93A5B" w:rsidRPr="00646332">
              <w:rPr>
                <w:rFonts w:ascii="Times New Roman" w:eastAsia="Calibri" w:hAnsi="Times New Roman" w:cs="Times New Roman"/>
                <w:position w:val="-10"/>
                <w:sz w:val="24"/>
                <w:szCs w:val="24"/>
                <w:lang w:val="en-US"/>
              </w:rPr>
              <w:t>.15</w:t>
            </w:r>
          </w:p>
          <w:p w14:paraId="51324013" w14:textId="77777777" w:rsidR="005529EC" w:rsidRPr="00646332" w:rsidRDefault="005529EC" w:rsidP="007E4E80">
            <w:pPr>
              <w:spacing w:after="120" w:line="360" w:lineRule="auto"/>
              <w:jc w:val="center"/>
              <w:rPr>
                <w:rFonts w:ascii="Times New Roman" w:eastAsia="Calibri" w:hAnsi="Times New Roman" w:cs="Times New Roman"/>
                <w:position w:val="-10"/>
                <w:sz w:val="24"/>
                <w:szCs w:val="24"/>
                <w:lang w:val="en-US"/>
              </w:rPr>
            </w:pPr>
            <w:r w:rsidRPr="00646332">
              <w:rPr>
                <w:rFonts w:ascii="Times New Roman" w:eastAsia="Calibri" w:hAnsi="Times New Roman" w:cs="Times New Roman"/>
                <w:position w:val="-10"/>
                <w:sz w:val="24"/>
                <w:szCs w:val="24"/>
                <w:lang w:val="en-US"/>
              </w:rPr>
              <w:t>317</w:t>
            </w:r>
            <w:r w:rsidR="00D93A5B" w:rsidRPr="00646332">
              <w:rPr>
                <w:rFonts w:ascii="Times New Roman" w:eastAsia="Calibri" w:hAnsi="Times New Roman" w:cs="Times New Roman"/>
                <w:position w:val="-10"/>
                <w:sz w:val="24"/>
                <w:szCs w:val="24"/>
                <w:lang w:val="en-US"/>
              </w:rPr>
              <w:t>.15</w:t>
            </w:r>
          </w:p>
          <w:p w14:paraId="0FD0EF5F" w14:textId="77777777" w:rsidR="005529EC" w:rsidRPr="00646332" w:rsidRDefault="005529EC" w:rsidP="007E4E80">
            <w:pPr>
              <w:spacing w:after="120" w:line="360" w:lineRule="auto"/>
              <w:jc w:val="center"/>
              <w:rPr>
                <w:rFonts w:ascii="Times New Roman" w:eastAsia="Calibri" w:hAnsi="Times New Roman" w:cs="Times New Roman"/>
                <w:position w:val="-10"/>
                <w:sz w:val="24"/>
                <w:szCs w:val="24"/>
                <w:lang w:val="en-US"/>
              </w:rPr>
            </w:pPr>
            <w:r w:rsidRPr="00646332">
              <w:rPr>
                <w:rFonts w:ascii="Times New Roman" w:eastAsia="Calibri" w:hAnsi="Times New Roman" w:cs="Times New Roman"/>
                <w:position w:val="-10"/>
                <w:sz w:val="24"/>
                <w:szCs w:val="24"/>
                <w:lang w:val="en-US"/>
              </w:rPr>
              <w:t>324</w:t>
            </w:r>
            <w:r w:rsidR="00D93A5B" w:rsidRPr="00646332">
              <w:rPr>
                <w:rFonts w:ascii="Times New Roman" w:eastAsia="Calibri" w:hAnsi="Times New Roman" w:cs="Times New Roman"/>
                <w:position w:val="-10"/>
                <w:sz w:val="24"/>
                <w:szCs w:val="24"/>
                <w:lang w:val="en-US"/>
              </w:rPr>
              <w:t>.15</w:t>
            </w:r>
          </w:p>
          <w:p w14:paraId="5D7BDA83" w14:textId="77777777" w:rsidR="005529EC" w:rsidRPr="00646332" w:rsidRDefault="005529EC" w:rsidP="007E4E80">
            <w:pPr>
              <w:spacing w:after="120" w:line="360" w:lineRule="auto"/>
              <w:jc w:val="center"/>
              <w:rPr>
                <w:rFonts w:ascii="Times New Roman" w:eastAsia="Calibri" w:hAnsi="Times New Roman" w:cs="Times New Roman"/>
                <w:position w:val="-10"/>
                <w:sz w:val="24"/>
                <w:szCs w:val="24"/>
                <w:lang w:val="en-US"/>
              </w:rPr>
            </w:pPr>
            <w:r w:rsidRPr="00646332">
              <w:rPr>
                <w:rFonts w:ascii="Times New Roman" w:eastAsia="Calibri" w:hAnsi="Times New Roman" w:cs="Times New Roman"/>
                <w:position w:val="-10"/>
                <w:sz w:val="24"/>
                <w:szCs w:val="24"/>
                <w:lang w:val="en-US"/>
              </w:rPr>
              <w:t>331</w:t>
            </w:r>
            <w:r w:rsidR="00D93A5B" w:rsidRPr="00646332">
              <w:rPr>
                <w:rFonts w:ascii="Times New Roman" w:eastAsia="Calibri" w:hAnsi="Times New Roman" w:cs="Times New Roman"/>
                <w:position w:val="-10"/>
                <w:sz w:val="24"/>
                <w:szCs w:val="24"/>
                <w:lang w:val="en-US"/>
              </w:rPr>
              <w:t>.15</w:t>
            </w:r>
          </w:p>
        </w:tc>
        <w:tc>
          <w:tcPr>
            <w:tcW w:w="410" w:type="pct"/>
            <w:tcBorders>
              <w:top w:val="nil"/>
              <w:left w:val="nil"/>
              <w:bottom w:val="single" w:sz="12" w:space="0" w:color="000000"/>
              <w:right w:val="nil"/>
            </w:tcBorders>
            <w:hideMark/>
          </w:tcPr>
          <w:p w14:paraId="737ACCF9" w14:textId="77777777" w:rsidR="005529EC" w:rsidRPr="00646332" w:rsidRDefault="005529EC" w:rsidP="007E4E80">
            <w:pPr>
              <w:spacing w:after="120" w:line="360" w:lineRule="auto"/>
              <w:jc w:val="center"/>
              <w:rPr>
                <w:rFonts w:ascii="Times New Roman" w:hAnsi="Times New Roman" w:cs="Times New Roman"/>
                <w:sz w:val="24"/>
                <w:szCs w:val="24"/>
                <w:lang w:val="en-US"/>
              </w:rPr>
            </w:pPr>
          </w:p>
        </w:tc>
        <w:tc>
          <w:tcPr>
            <w:tcW w:w="663" w:type="pct"/>
            <w:tcBorders>
              <w:top w:val="nil"/>
              <w:left w:val="nil"/>
              <w:bottom w:val="single" w:sz="12" w:space="0" w:color="000000"/>
              <w:right w:val="nil"/>
            </w:tcBorders>
            <w:hideMark/>
          </w:tcPr>
          <w:p w14:paraId="49165030"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4.95</w:t>
            </w:r>
          </w:p>
          <w:p w14:paraId="780F1248"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4.70</w:t>
            </w:r>
          </w:p>
          <w:p w14:paraId="753D53FB"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4.46</w:t>
            </w:r>
          </w:p>
          <w:p w14:paraId="4CCBBFE4"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3.97</w:t>
            </w:r>
          </w:p>
          <w:p w14:paraId="3F8D6379"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8.12</w:t>
            </w:r>
          </w:p>
          <w:p w14:paraId="2E2DE409"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7.39</w:t>
            </w:r>
          </w:p>
          <w:p w14:paraId="31920742"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7.15</w:t>
            </w:r>
          </w:p>
          <w:p w14:paraId="4A2D4E96"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6.90</w:t>
            </w:r>
          </w:p>
          <w:p w14:paraId="472CA1A4"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6.42</w:t>
            </w:r>
          </w:p>
        </w:tc>
        <w:tc>
          <w:tcPr>
            <w:tcW w:w="71" w:type="pct"/>
            <w:tcBorders>
              <w:top w:val="nil"/>
              <w:left w:val="nil"/>
              <w:bottom w:val="single" w:sz="12" w:space="0" w:color="000000"/>
              <w:right w:val="nil"/>
            </w:tcBorders>
            <w:hideMark/>
          </w:tcPr>
          <w:p w14:paraId="1641DF8E" w14:textId="77777777" w:rsidR="005529EC" w:rsidRPr="00646332" w:rsidRDefault="005529EC" w:rsidP="007E4E80">
            <w:pPr>
              <w:spacing w:after="120" w:line="360" w:lineRule="auto"/>
              <w:jc w:val="center"/>
              <w:rPr>
                <w:rFonts w:ascii="Times New Roman" w:hAnsi="Times New Roman" w:cs="Times New Roman"/>
                <w:sz w:val="24"/>
                <w:szCs w:val="24"/>
                <w:lang w:val="en-US"/>
              </w:rPr>
            </w:pPr>
          </w:p>
        </w:tc>
        <w:tc>
          <w:tcPr>
            <w:tcW w:w="946" w:type="pct"/>
            <w:gridSpan w:val="2"/>
            <w:tcBorders>
              <w:top w:val="nil"/>
              <w:left w:val="nil"/>
              <w:bottom w:val="single" w:sz="12" w:space="0" w:color="000000"/>
              <w:right w:val="nil"/>
            </w:tcBorders>
            <w:hideMark/>
          </w:tcPr>
          <w:p w14:paraId="782A0F4B"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-41.72</w:t>
            </w:r>
          </w:p>
          <w:p w14:paraId="00999FBE"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-43.28</w:t>
            </w:r>
          </w:p>
          <w:p w14:paraId="2091FA4B"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-44.65</w:t>
            </w:r>
          </w:p>
          <w:p w14:paraId="1B3BC08D"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-46.52</w:t>
            </w:r>
          </w:p>
          <w:p w14:paraId="5E56B421"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-40.59</w:t>
            </w:r>
          </w:p>
          <w:p w14:paraId="3F494273"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-42.75</w:t>
            </w:r>
          </w:p>
          <w:p w14:paraId="7886F982"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-44.35</w:t>
            </w:r>
          </w:p>
          <w:p w14:paraId="6D1EF838"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-45.65</w:t>
            </w:r>
          </w:p>
          <w:p w14:paraId="58257042"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-51.42</w:t>
            </w:r>
          </w:p>
        </w:tc>
        <w:tc>
          <w:tcPr>
            <w:tcW w:w="947" w:type="pct"/>
            <w:gridSpan w:val="2"/>
            <w:tcBorders>
              <w:top w:val="nil"/>
              <w:left w:val="nil"/>
              <w:bottom w:val="single" w:sz="12" w:space="0" w:color="000000"/>
              <w:right w:val="nil"/>
            </w:tcBorders>
            <w:hideMark/>
          </w:tcPr>
          <w:p w14:paraId="2F506DD1"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19.30</w:t>
            </w:r>
          </w:p>
          <w:p w14:paraId="3B91BC99"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20.34</w:t>
            </w:r>
          </w:p>
          <w:p w14:paraId="60FD12F8"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21.34</w:t>
            </w:r>
          </w:p>
          <w:p w14:paraId="67CDA8AE"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22.45</w:t>
            </w:r>
          </w:p>
          <w:p w14:paraId="57CD0D53"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10.47</w:t>
            </w:r>
          </w:p>
          <w:p w14:paraId="70851B7E"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11.43</w:t>
            </w:r>
          </w:p>
          <w:p w14:paraId="3D7C91A8"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11.81</w:t>
            </w:r>
          </w:p>
          <w:p w14:paraId="6EECAE9F"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12.37</w:t>
            </w:r>
          </w:p>
          <w:p w14:paraId="08F40CBD"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12.78</w:t>
            </w:r>
          </w:p>
        </w:tc>
        <w:tc>
          <w:tcPr>
            <w:tcW w:w="694" w:type="pct"/>
            <w:gridSpan w:val="3"/>
            <w:tcBorders>
              <w:top w:val="nil"/>
              <w:left w:val="nil"/>
              <w:bottom w:val="single" w:sz="12" w:space="0" w:color="000000"/>
              <w:right w:val="nil"/>
            </w:tcBorders>
            <w:hideMark/>
          </w:tcPr>
          <w:p w14:paraId="1599759F"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0.197</w:t>
            </w:r>
          </w:p>
          <w:p w14:paraId="3B4208C3"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0.198</w:t>
            </w:r>
          </w:p>
          <w:p w14:paraId="6F56FCED"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0.204</w:t>
            </w:r>
          </w:p>
          <w:p w14:paraId="7731F300"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0.208</w:t>
            </w:r>
          </w:p>
          <w:p w14:paraId="52443E36"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0.168</w:t>
            </w:r>
          </w:p>
          <w:p w14:paraId="1F137729"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0.175</w:t>
            </w:r>
          </w:p>
          <w:p w14:paraId="48CF15B1"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0.177</w:t>
            </w:r>
          </w:p>
          <w:p w14:paraId="4B80112D"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0.179</w:t>
            </w:r>
          </w:p>
          <w:p w14:paraId="0B1FB814" w14:textId="77777777" w:rsidR="005529EC" w:rsidRPr="00646332" w:rsidRDefault="005529EC" w:rsidP="007E4E80">
            <w:pPr>
              <w:spacing w:after="120" w:line="360" w:lineRule="auto"/>
              <w:jc w:val="center"/>
              <w:rPr>
                <w:rFonts w:ascii="Times New Roman" w:hAnsi="Times New Roman" w:cs="Times New Roman"/>
                <w:sz w:val="24"/>
                <w:szCs w:val="24"/>
                <w:lang w:val="en-US"/>
              </w:rPr>
            </w:pPr>
            <w:r w:rsidRPr="00646332">
              <w:rPr>
                <w:rFonts w:ascii="Times New Roman" w:hAnsi="Times New Roman" w:cs="Times New Roman"/>
                <w:sz w:val="24"/>
                <w:szCs w:val="24"/>
                <w:lang w:val="en-US"/>
              </w:rPr>
              <w:t>0.1</w:t>
            </w:r>
            <w:r w:rsidR="00055DB6" w:rsidRPr="00646332">
              <w:rPr>
                <w:rFonts w:ascii="Times New Roman" w:hAnsi="Times New Roman" w:cs="Times New Roman"/>
                <w:sz w:val="24"/>
                <w:szCs w:val="24"/>
                <w:lang w:val="en-US"/>
              </w:rPr>
              <w:t>8</w:t>
            </w:r>
            <w:r w:rsidRPr="00646332">
              <w:rPr>
                <w:rFonts w:ascii="Times New Roman" w:hAnsi="Times New Roman" w:cs="Times New Roman"/>
                <w:sz w:val="24"/>
                <w:szCs w:val="24"/>
                <w:lang w:val="en-US"/>
              </w:rPr>
              <w:t>4</w:t>
            </w:r>
          </w:p>
        </w:tc>
        <w:tc>
          <w:tcPr>
            <w:tcW w:w="71" w:type="pct"/>
            <w:tcBorders>
              <w:top w:val="nil"/>
              <w:left w:val="nil"/>
              <w:bottom w:val="single" w:sz="12" w:space="0" w:color="000000"/>
              <w:right w:val="nil"/>
            </w:tcBorders>
          </w:tcPr>
          <w:p w14:paraId="5AE58ABD" w14:textId="77777777" w:rsidR="005529EC" w:rsidRPr="00AA319E" w:rsidRDefault="005529EC" w:rsidP="007E4E80">
            <w:pPr>
              <w:spacing w:line="360" w:lineRule="auto"/>
              <w:jc w:val="center"/>
              <w:rPr>
                <w:rFonts w:ascii="Times New Roman" w:hAnsi="Times New Roman" w:cs="Times New Roman"/>
                <w:sz w:val="24"/>
                <w:szCs w:val="24"/>
                <w:lang w:val="en-US"/>
              </w:rPr>
            </w:pPr>
          </w:p>
        </w:tc>
      </w:tr>
    </w:tbl>
    <w:p w14:paraId="653EC20D" w14:textId="77777777" w:rsidR="005529EC" w:rsidRDefault="005529EC" w:rsidP="00082BAA">
      <w:pPr>
        <w:spacing w:line="360" w:lineRule="auto"/>
        <w:jc w:val="both"/>
        <w:rPr>
          <w:rFonts w:ascii="Times New Roman" w:hAnsi="Times New Roman" w:cs="Times New Roman"/>
          <w:sz w:val="24"/>
          <w:szCs w:val="24"/>
        </w:rPr>
      </w:pPr>
    </w:p>
    <w:p w14:paraId="33A76150" w14:textId="77777777" w:rsidR="008B63B3" w:rsidRDefault="008B63B3" w:rsidP="00082BAA">
      <w:pPr>
        <w:spacing w:line="360" w:lineRule="auto"/>
        <w:jc w:val="both"/>
        <w:rPr>
          <w:rFonts w:ascii="Times New Roman" w:hAnsi="Times New Roman" w:cs="Times New Roman"/>
          <w:b/>
          <w:sz w:val="24"/>
          <w:szCs w:val="24"/>
        </w:rPr>
      </w:pPr>
    </w:p>
    <w:p w14:paraId="374D05D1" w14:textId="77777777" w:rsidR="008B63B3" w:rsidRDefault="008B63B3" w:rsidP="00082BAA">
      <w:pPr>
        <w:spacing w:line="360" w:lineRule="auto"/>
        <w:jc w:val="both"/>
        <w:rPr>
          <w:rFonts w:ascii="Times New Roman" w:hAnsi="Times New Roman" w:cs="Times New Roman"/>
          <w:b/>
          <w:sz w:val="24"/>
          <w:szCs w:val="24"/>
        </w:rPr>
      </w:pPr>
    </w:p>
    <w:p w14:paraId="20E4EEE8" w14:textId="77777777" w:rsidR="008B63B3" w:rsidRDefault="008B63B3" w:rsidP="00082BAA">
      <w:pPr>
        <w:spacing w:line="360" w:lineRule="auto"/>
        <w:jc w:val="both"/>
        <w:rPr>
          <w:rFonts w:ascii="Times New Roman" w:hAnsi="Times New Roman" w:cs="Times New Roman"/>
          <w:b/>
          <w:sz w:val="24"/>
          <w:szCs w:val="24"/>
        </w:rPr>
      </w:pPr>
    </w:p>
    <w:p w14:paraId="09ADF4CE" w14:textId="77777777" w:rsidR="007E47A4" w:rsidRDefault="007E47A4" w:rsidP="00082BAA">
      <w:pPr>
        <w:spacing w:line="360" w:lineRule="auto"/>
        <w:jc w:val="both"/>
        <w:rPr>
          <w:rFonts w:ascii="Times New Roman" w:hAnsi="Times New Roman" w:cs="Times New Roman"/>
          <w:b/>
          <w:sz w:val="24"/>
          <w:szCs w:val="24"/>
        </w:rPr>
      </w:pPr>
    </w:p>
    <w:p w14:paraId="719530FD" w14:textId="77777777" w:rsidR="00C20067" w:rsidRPr="00EE271F" w:rsidRDefault="007E47A4" w:rsidP="00082BAA">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FA4D9D">
        <w:rPr>
          <w:rFonts w:ascii="Times New Roman" w:hAnsi="Times New Roman" w:cs="Times New Roman"/>
          <w:b/>
          <w:sz w:val="24"/>
          <w:szCs w:val="24"/>
        </w:rPr>
        <w:t xml:space="preserve">. </w:t>
      </w:r>
      <w:r w:rsidR="00FA4D9D" w:rsidRPr="00EE271F">
        <w:rPr>
          <w:rFonts w:ascii="Times New Roman" w:hAnsi="Times New Roman" w:cs="Times New Roman"/>
          <w:b/>
          <w:sz w:val="24"/>
          <w:szCs w:val="24"/>
        </w:rPr>
        <w:t xml:space="preserve">CONCLUSION </w:t>
      </w:r>
    </w:p>
    <w:p w14:paraId="038555EC" w14:textId="77777777" w:rsidR="00C20067" w:rsidRDefault="00EE271F" w:rsidP="00FE2DAF">
      <w:pPr>
        <w:spacing w:after="120" w:line="360" w:lineRule="auto"/>
        <w:jc w:val="both"/>
        <w:rPr>
          <w:rFonts w:ascii="Times New Roman" w:hAnsi="Times New Roman" w:cs="Times New Roman"/>
          <w:iCs/>
          <w:sz w:val="24"/>
          <w:szCs w:val="24"/>
          <w:lang w:val="en-US"/>
        </w:rPr>
      </w:pPr>
      <w:r w:rsidRPr="00EE271F">
        <w:rPr>
          <w:rFonts w:ascii="Times New Roman" w:hAnsi="Times New Roman" w:cs="Times New Roman"/>
          <w:iCs/>
          <w:sz w:val="24"/>
          <w:szCs w:val="24"/>
          <w:lang w:val="en-US"/>
        </w:rPr>
        <w:t>In this work, we optimized the solubility of dicofol in cationic and anionic micellar media using conductometry. The critical micelle concentration (CMC) and the dissociation coefficient of the surfactants decrease with increasing dicofol concentration. Furthermore, the free enthalpy of micellization decreases in parallel with increasing insecticide concentration. These phenomena highlight the fact that the insecticide promotes micellization by solubilizing within the micelles core.</w:t>
      </w:r>
      <w:r w:rsidR="008B63B3" w:rsidRPr="008B63B3">
        <w:t xml:space="preserve"> </w:t>
      </w:r>
      <w:r w:rsidR="008B63B3" w:rsidRPr="008B63B3">
        <w:rPr>
          <w:rFonts w:ascii="Times New Roman" w:hAnsi="Times New Roman" w:cs="Times New Roman"/>
          <w:iCs/>
          <w:sz w:val="24"/>
          <w:szCs w:val="24"/>
          <w:lang w:val="en-US"/>
        </w:rPr>
        <w:t>In addition, it has been noted that the solubility of the insecticide is enhanced by elevated temperatures. This temperature increase leads to a decrease in CMC, alpha, and free enthalpy.</w:t>
      </w:r>
      <w:r w:rsidR="00013140" w:rsidRPr="00013140">
        <w:t xml:space="preserve"> </w:t>
      </w:r>
      <w:r w:rsidR="00013140" w:rsidRPr="00013140">
        <w:rPr>
          <w:rFonts w:ascii="Times New Roman" w:hAnsi="Times New Roman" w:cs="Times New Roman"/>
          <w:iCs/>
          <w:sz w:val="24"/>
          <w:szCs w:val="24"/>
          <w:lang w:val="en-US"/>
        </w:rPr>
        <w:t xml:space="preserve">This study is very important because most organophosphates don't dissolve well in water. So, no studies have been done on </w:t>
      </w:r>
      <w:proofErr w:type="spellStart"/>
      <w:r w:rsidR="00013140" w:rsidRPr="00013140">
        <w:rPr>
          <w:rFonts w:ascii="Times New Roman" w:hAnsi="Times New Roman" w:cs="Times New Roman"/>
          <w:iCs/>
          <w:sz w:val="24"/>
          <w:szCs w:val="24"/>
          <w:lang w:val="en-US"/>
        </w:rPr>
        <w:t>analysing</w:t>
      </w:r>
      <w:proofErr w:type="spellEnd"/>
      <w:r w:rsidR="00013140" w:rsidRPr="00013140">
        <w:rPr>
          <w:rFonts w:ascii="Times New Roman" w:hAnsi="Times New Roman" w:cs="Times New Roman"/>
          <w:iCs/>
          <w:sz w:val="24"/>
          <w:szCs w:val="24"/>
          <w:lang w:val="en-US"/>
        </w:rPr>
        <w:t xml:space="preserve"> these pesticides directly using methods like UV-visible and fluorescence spectroscopy. The results of this work suggest that we can use these spectroscopic methods to </w:t>
      </w:r>
      <w:proofErr w:type="spellStart"/>
      <w:r w:rsidR="00013140" w:rsidRPr="00013140">
        <w:rPr>
          <w:rFonts w:ascii="Times New Roman" w:hAnsi="Times New Roman" w:cs="Times New Roman"/>
          <w:iCs/>
          <w:sz w:val="24"/>
          <w:szCs w:val="24"/>
          <w:lang w:val="en-US"/>
        </w:rPr>
        <w:t>analyse</w:t>
      </w:r>
      <w:proofErr w:type="spellEnd"/>
      <w:r w:rsidR="00013140" w:rsidRPr="00013140">
        <w:rPr>
          <w:rFonts w:ascii="Times New Roman" w:hAnsi="Times New Roman" w:cs="Times New Roman"/>
          <w:iCs/>
          <w:sz w:val="24"/>
          <w:szCs w:val="24"/>
          <w:lang w:val="en-US"/>
        </w:rPr>
        <w:t xml:space="preserve"> dicofol and other organophosphate pesticides.</w:t>
      </w:r>
    </w:p>
    <w:p w14:paraId="2D3DE387" w14:textId="77777777" w:rsidR="00634ADA" w:rsidRPr="00013140" w:rsidRDefault="00634ADA" w:rsidP="00FE2DAF">
      <w:pPr>
        <w:spacing w:after="120" w:line="360" w:lineRule="auto"/>
        <w:jc w:val="both"/>
        <w:rPr>
          <w:rFonts w:ascii="Times New Roman" w:hAnsi="Times New Roman" w:cs="Times New Roman"/>
          <w:iCs/>
          <w:sz w:val="24"/>
          <w:szCs w:val="24"/>
          <w:lang w:val="en-US"/>
        </w:rPr>
      </w:pPr>
    </w:p>
    <w:p w14:paraId="3494165E" w14:textId="19B31458" w:rsidR="004F5288" w:rsidRPr="00C96EAF" w:rsidRDefault="004F5288" w:rsidP="00C96EAF">
      <w:pPr>
        <w:spacing w:after="160" w:line="360" w:lineRule="auto"/>
        <w:rPr>
          <w:rFonts w:ascii="Times New Roman" w:hAnsi="Times New Roman" w:cs="Times New Roman"/>
          <w:b/>
          <w:sz w:val="24"/>
          <w:szCs w:val="24"/>
          <w:lang w:val="en-US"/>
        </w:rPr>
      </w:pPr>
      <w:bookmarkStart w:id="3" w:name="_GoBack"/>
      <w:bookmarkEnd w:id="3"/>
    </w:p>
    <w:p w14:paraId="302AD3D7" w14:textId="77777777" w:rsidR="002475F6" w:rsidRPr="00205ADB" w:rsidRDefault="00FA4D9D" w:rsidP="00FE2DAF">
      <w:pPr>
        <w:spacing w:after="120" w:line="360" w:lineRule="auto"/>
        <w:jc w:val="both"/>
        <w:rPr>
          <w:rFonts w:ascii="Times New Roman" w:hAnsi="Times New Roman" w:cs="Times New Roman"/>
          <w:b/>
          <w:iCs/>
          <w:sz w:val="24"/>
          <w:szCs w:val="24"/>
          <w:lang w:val="en-US"/>
        </w:rPr>
      </w:pPr>
      <w:r w:rsidRPr="00013140">
        <w:rPr>
          <w:rFonts w:ascii="Times New Roman" w:hAnsi="Times New Roman" w:cs="Times New Roman"/>
          <w:b/>
          <w:iCs/>
          <w:sz w:val="24"/>
          <w:szCs w:val="24"/>
          <w:lang w:val="en-US"/>
        </w:rPr>
        <w:t xml:space="preserve">REFERENCES </w:t>
      </w:r>
    </w:p>
    <w:p w14:paraId="760DA1B7" w14:textId="77777777" w:rsidR="00033B73" w:rsidRDefault="00033B73" w:rsidP="009F7035">
      <w:pPr>
        <w:autoSpaceDE w:val="0"/>
        <w:autoSpaceDN w:val="0"/>
        <w:adjustRightInd w:val="0"/>
        <w:spacing w:after="0" w:line="360" w:lineRule="auto"/>
        <w:jc w:val="both"/>
        <w:rPr>
          <w:rFonts w:ascii="Times New Roman" w:hAnsi="Times New Roman" w:cs="Times New Roman"/>
          <w:bCs/>
          <w:iCs/>
          <w:sz w:val="24"/>
          <w:szCs w:val="24"/>
          <w:lang w:val="en-US"/>
        </w:rPr>
      </w:pPr>
      <w:proofErr w:type="spellStart"/>
      <w:r w:rsidRPr="00033B73">
        <w:rPr>
          <w:rFonts w:ascii="Times New Roman" w:hAnsi="Times New Roman" w:cs="Times New Roman"/>
          <w:bCs/>
          <w:iCs/>
          <w:sz w:val="24"/>
          <w:szCs w:val="24"/>
          <w:lang w:val="en-US"/>
        </w:rPr>
        <w:t>Banjare</w:t>
      </w:r>
      <w:proofErr w:type="spellEnd"/>
      <w:r w:rsidRPr="00033B73">
        <w:rPr>
          <w:rFonts w:ascii="Times New Roman" w:hAnsi="Times New Roman" w:cs="Times New Roman"/>
          <w:bCs/>
          <w:iCs/>
          <w:sz w:val="24"/>
          <w:szCs w:val="24"/>
          <w:lang w:val="en-US"/>
        </w:rPr>
        <w:t>, R. K</w:t>
      </w:r>
      <w:r>
        <w:rPr>
          <w:rFonts w:ascii="Times New Roman" w:hAnsi="Times New Roman" w:cs="Times New Roman"/>
          <w:bCs/>
          <w:iCs/>
          <w:sz w:val="24"/>
          <w:szCs w:val="24"/>
          <w:lang w:val="en-US"/>
        </w:rPr>
        <w:t>.</w:t>
      </w:r>
      <w:r w:rsidRPr="00033B73">
        <w:rPr>
          <w:rFonts w:ascii="Times New Roman" w:hAnsi="Times New Roman" w:cs="Times New Roman"/>
          <w:bCs/>
          <w:iCs/>
          <w:sz w:val="24"/>
          <w:szCs w:val="24"/>
          <w:lang w:val="en-US"/>
        </w:rPr>
        <w:t xml:space="preserve">, </w:t>
      </w:r>
      <w:proofErr w:type="spellStart"/>
      <w:r w:rsidRPr="00033B73">
        <w:rPr>
          <w:rFonts w:ascii="Times New Roman" w:hAnsi="Times New Roman" w:cs="Times New Roman"/>
          <w:bCs/>
          <w:iCs/>
          <w:sz w:val="24"/>
          <w:szCs w:val="24"/>
          <w:lang w:val="en-US"/>
        </w:rPr>
        <w:t>Banjare</w:t>
      </w:r>
      <w:proofErr w:type="spellEnd"/>
      <w:r w:rsidRPr="00033B73">
        <w:rPr>
          <w:rFonts w:ascii="Times New Roman" w:hAnsi="Times New Roman" w:cs="Times New Roman"/>
          <w:bCs/>
          <w:iCs/>
          <w:sz w:val="24"/>
          <w:szCs w:val="24"/>
          <w:lang w:val="en-US"/>
        </w:rPr>
        <w:t>, M. K</w:t>
      </w:r>
      <w:r>
        <w:rPr>
          <w:rFonts w:ascii="Times New Roman" w:hAnsi="Times New Roman" w:cs="Times New Roman"/>
          <w:bCs/>
          <w:iCs/>
          <w:sz w:val="24"/>
          <w:szCs w:val="24"/>
          <w:lang w:val="en-US"/>
        </w:rPr>
        <w:t>.</w:t>
      </w:r>
      <w:r w:rsidRPr="00033B73">
        <w:rPr>
          <w:rFonts w:ascii="Times New Roman" w:hAnsi="Times New Roman" w:cs="Times New Roman"/>
          <w:bCs/>
          <w:iCs/>
          <w:sz w:val="24"/>
          <w:szCs w:val="24"/>
          <w:lang w:val="en-US"/>
        </w:rPr>
        <w:t xml:space="preserve">, </w:t>
      </w:r>
      <w:r w:rsidRPr="004F5288">
        <w:rPr>
          <w:rFonts w:ascii="Times New Roman" w:hAnsi="Times New Roman" w:cs="Times New Roman"/>
          <w:iCs/>
          <w:sz w:val="24"/>
          <w:szCs w:val="24"/>
          <w:lang w:val="en-US"/>
        </w:rPr>
        <w:t>&amp;</w:t>
      </w:r>
      <w:r>
        <w:rPr>
          <w:rFonts w:ascii="Times New Roman" w:hAnsi="Times New Roman" w:cs="Times New Roman"/>
          <w:iCs/>
          <w:sz w:val="24"/>
          <w:szCs w:val="24"/>
          <w:lang w:val="en-US"/>
        </w:rPr>
        <w:t xml:space="preserve"> </w:t>
      </w:r>
      <w:r w:rsidRPr="00033B73">
        <w:rPr>
          <w:rFonts w:ascii="Times New Roman" w:hAnsi="Times New Roman" w:cs="Times New Roman"/>
          <w:bCs/>
          <w:iCs/>
          <w:sz w:val="24"/>
          <w:szCs w:val="24"/>
          <w:lang w:val="en-US"/>
        </w:rPr>
        <w:t>Panda, S. (2020). Effect of Acetonitrile on the Colloidal Behavior of Conventional Cationic Surfactants: A Combined Conductivity, Surface Tension, Fluorescence and FTIR Study. Journal of Solution Chemistry, 49, 34-51.</w:t>
      </w:r>
    </w:p>
    <w:p w14:paraId="0401D5AE" w14:textId="77777777" w:rsidR="00033B73" w:rsidRDefault="00E13761" w:rsidP="00033B73">
      <w:pPr>
        <w:autoSpaceDE w:val="0"/>
        <w:autoSpaceDN w:val="0"/>
        <w:adjustRightInd w:val="0"/>
        <w:spacing w:after="120" w:line="360" w:lineRule="auto"/>
        <w:jc w:val="both"/>
        <w:rPr>
          <w:rFonts w:ascii="Times New Roman" w:hAnsi="Times New Roman" w:cs="Times New Roman"/>
          <w:bCs/>
          <w:iCs/>
          <w:sz w:val="24"/>
          <w:szCs w:val="24"/>
          <w:lang w:val="en-US"/>
        </w:rPr>
      </w:pPr>
      <w:hyperlink r:id="rId20" w:history="1">
        <w:r w:rsidR="00033B73" w:rsidRPr="00033B73">
          <w:rPr>
            <w:rStyle w:val="Hyperlink"/>
            <w:rFonts w:ascii="Times New Roman" w:hAnsi="Times New Roman" w:cs="Times New Roman"/>
            <w:bCs/>
            <w:iCs/>
            <w:color w:val="0000CC"/>
            <w:sz w:val="24"/>
            <w:szCs w:val="24"/>
            <w:lang w:val="en-US"/>
          </w:rPr>
          <w:t>https://doi.org/10.1007/s10953-019-00937-4</w:t>
        </w:r>
      </w:hyperlink>
      <w:r w:rsidR="00033B73">
        <w:rPr>
          <w:rFonts w:ascii="Times New Roman" w:hAnsi="Times New Roman" w:cs="Times New Roman"/>
          <w:bCs/>
          <w:iCs/>
          <w:sz w:val="24"/>
          <w:szCs w:val="24"/>
          <w:lang w:val="en-US"/>
        </w:rPr>
        <w:t xml:space="preserve"> </w:t>
      </w:r>
    </w:p>
    <w:p w14:paraId="556F32C6" w14:textId="77777777" w:rsidR="009F7035" w:rsidRDefault="00250950" w:rsidP="009F7035">
      <w:pPr>
        <w:autoSpaceDE w:val="0"/>
        <w:autoSpaceDN w:val="0"/>
        <w:adjustRightInd w:val="0"/>
        <w:spacing w:after="0" w:line="360" w:lineRule="auto"/>
        <w:jc w:val="both"/>
        <w:rPr>
          <w:rFonts w:ascii="Times New Roman" w:hAnsi="Times New Roman" w:cs="Times New Roman"/>
          <w:bCs/>
          <w:iCs/>
          <w:sz w:val="24"/>
          <w:szCs w:val="24"/>
          <w:lang w:val="en-US"/>
        </w:rPr>
      </w:pPr>
      <w:r w:rsidRPr="000D5C7A">
        <w:rPr>
          <w:rFonts w:ascii="Times New Roman" w:hAnsi="Times New Roman" w:cs="Times New Roman"/>
          <w:bCs/>
          <w:iCs/>
          <w:sz w:val="24"/>
          <w:szCs w:val="24"/>
          <w:lang w:val="en-US"/>
        </w:rPr>
        <w:t>Bodian</w:t>
      </w:r>
      <w:r>
        <w:rPr>
          <w:rFonts w:ascii="Times New Roman" w:hAnsi="Times New Roman" w:cs="Times New Roman"/>
          <w:bCs/>
          <w:iCs/>
          <w:sz w:val="24"/>
          <w:szCs w:val="24"/>
          <w:lang w:val="en-US"/>
        </w:rPr>
        <w:t>,</w:t>
      </w:r>
      <w:r w:rsidRPr="00250950">
        <w:rPr>
          <w:rFonts w:ascii="Times New Roman" w:hAnsi="Times New Roman" w:cs="Times New Roman"/>
          <w:bCs/>
          <w:iCs/>
          <w:sz w:val="24"/>
          <w:szCs w:val="24"/>
          <w:lang w:val="en-US"/>
        </w:rPr>
        <w:t xml:space="preserve"> </w:t>
      </w:r>
      <w:r w:rsidR="00FE2DAF" w:rsidRPr="00250950">
        <w:rPr>
          <w:rFonts w:ascii="Times New Roman" w:hAnsi="Times New Roman" w:cs="Times New Roman"/>
          <w:bCs/>
          <w:iCs/>
          <w:sz w:val="24"/>
          <w:szCs w:val="24"/>
          <w:lang w:val="en-US"/>
        </w:rPr>
        <w:t>E.</w:t>
      </w:r>
      <w:r w:rsidR="009F7035">
        <w:rPr>
          <w:rFonts w:ascii="Times New Roman" w:hAnsi="Times New Roman" w:cs="Times New Roman"/>
          <w:bCs/>
          <w:iCs/>
          <w:sz w:val="24"/>
          <w:szCs w:val="24"/>
          <w:lang w:val="en-US"/>
        </w:rPr>
        <w:t xml:space="preserve"> </w:t>
      </w:r>
      <w:r w:rsidR="00FE2DAF" w:rsidRPr="00250950">
        <w:rPr>
          <w:rFonts w:ascii="Times New Roman" w:hAnsi="Times New Roman" w:cs="Times New Roman"/>
          <w:bCs/>
          <w:iCs/>
          <w:sz w:val="24"/>
          <w:szCs w:val="24"/>
          <w:lang w:val="en-US"/>
        </w:rPr>
        <w:t>T</w:t>
      </w:r>
      <w:r w:rsidR="00FE2DAF" w:rsidRPr="004F5288">
        <w:rPr>
          <w:rFonts w:ascii="Times New Roman" w:hAnsi="Times New Roman" w:cs="Times New Roman"/>
          <w:bCs/>
          <w:iCs/>
          <w:sz w:val="24"/>
          <w:szCs w:val="24"/>
          <w:lang w:val="en-US"/>
        </w:rPr>
        <w:t xml:space="preserve">., </w:t>
      </w:r>
      <w:proofErr w:type="spellStart"/>
      <w:r w:rsidRPr="004F5288">
        <w:rPr>
          <w:rFonts w:ascii="Times New Roman" w:hAnsi="Times New Roman" w:cs="Times New Roman"/>
          <w:bCs/>
          <w:iCs/>
          <w:sz w:val="24"/>
          <w:szCs w:val="24"/>
          <w:lang w:val="en-US"/>
        </w:rPr>
        <w:t>Thiaré</w:t>
      </w:r>
      <w:proofErr w:type="spellEnd"/>
      <w:r w:rsidRPr="004F5288">
        <w:rPr>
          <w:rFonts w:ascii="Times New Roman" w:hAnsi="Times New Roman" w:cs="Times New Roman"/>
          <w:bCs/>
          <w:iCs/>
          <w:sz w:val="24"/>
          <w:szCs w:val="24"/>
          <w:lang w:val="en-US"/>
        </w:rPr>
        <w:t xml:space="preserve">, </w:t>
      </w:r>
      <w:r w:rsidR="00FE2DAF" w:rsidRPr="004F5288">
        <w:rPr>
          <w:rFonts w:ascii="Times New Roman" w:hAnsi="Times New Roman" w:cs="Times New Roman"/>
          <w:bCs/>
          <w:iCs/>
          <w:sz w:val="24"/>
          <w:szCs w:val="24"/>
          <w:lang w:val="en-US"/>
        </w:rPr>
        <w:t xml:space="preserve">D.D., </w:t>
      </w:r>
      <w:proofErr w:type="spellStart"/>
      <w:r w:rsidRPr="000D5C7A">
        <w:rPr>
          <w:rFonts w:ascii="Times New Roman" w:hAnsi="Times New Roman" w:cs="Times New Roman"/>
          <w:bCs/>
          <w:iCs/>
          <w:sz w:val="24"/>
          <w:szCs w:val="24"/>
          <w:lang w:val="en-US"/>
        </w:rPr>
        <w:t>Bakhoum</w:t>
      </w:r>
      <w:proofErr w:type="spellEnd"/>
      <w:r>
        <w:rPr>
          <w:rFonts w:ascii="Times New Roman" w:hAnsi="Times New Roman" w:cs="Times New Roman"/>
          <w:bCs/>
          <w:iCs/>
          <w:sz w:val="24"/>
          <w:szCs w:val="24"/>
          <w:lang w:val="en-US"/>
        </w:rPr>
        <w:t>,</w:t>
      </w:r>
      <w:r w:rsidRPr="000D5C7A">
        <w:rPr>
          <w:rFonts w:ascii="Times New Roman" w:hAnsi="Times New Roman" w:cs="Times New Roman"/>
          <w:bCs/>
          <w:iCs/>
          <w:sz w:val="24"/>
          <w:szCs w:val="24"/>
          <w:lang w:val="en-US"/>
        </w:rPr>
        <w:t xml:space="preserve"> </w:t>
      </w:r>
      <w:r w:rsidR="00FE2DAF" w:rsidRPr="000D5C7A">
        <w:rPr>
          <w:rFonts w:ascii="Times New Roman" w:hAnsi="Times New Roman" w:cs="Times New Roman"/>
          <w:bCs/>
          <w:iCs/>
          <w:sz w:val="24"/>
          <w:szCs w:val="24"/>
          <w:lang w:val="en-US"/>
        </w:rPr>
        <w:t>J.</w:t>
      </w:r>
      <w:r w:rsidR="009F7035">
        <w:rPr>
          <w:rFonts w:ascii="Times New Roman" w:hAnsi="Times New Roman" w:cs="Times New Roman"/>
          <w:bCs/>
          <w:iCs/>
          <w:sz w:val="24"/>
          <w:szCs w:val="24"/>
          <w:lang w:val="en-US"/>
        </w:rPr>
        <w:t xml:space="preserve"> </w:t>
      </w:r>
      <w:r w:rsidR="00FE2DAF" w:rsidRPr="000D5C7A">
        <w:rPr>
          <w:rFonts w:ascii="Times New Roman" w:hAnsi="Times New Roman" w:cs="Times New Roman"/>
          <w:bCs/>
          <w:iCs/>
          <w:sz w:val="24"/>
          <w:szCs w:val="24"/>
          <w:lang w:val="en-US"/>
        </w:rPr>
        <w:t xml:space="preserve">P., </w:t>
      </w:r>
      <w:r w:rsidRPr="000D5C7A">
        <w:rPr>
          <w:rFonts w:ascii="Times New Roman" w:hAnsi="Times New Roman" w:cs="Times New Roman"/>
          <w:bCs/>
          <w:iCs/>
          <w:sz w:val="24"/>
          <w:szCs w:val="24"/>
          <w:lang w:val="en-US"/>
        </w:rPr>
        <w:t>Mbaye</w:t>
      </w:r>
      <w:r>
        <w:rPr>
          <w:rFonts w:ascii="Times New Roman" w:hAnsi="Times New Roman" w:cs="Times New Roman"/>
          <w:bCs/>
          <w:iCs/>
          <w:sz w:val="24"/>
          <w:szCs w:val="24"/>
          <w:lang w:val="en-US"/>
        </w:rPr>
        <w:t>,</w:t>
      </w:r>
      <w:r w:rsidRPr="000D5C7A">
        <w:rPr>
          <w:rFonts w:ascii="Times New Roman" w:hAnsi="Times New Roman" w:cs="Times New Roman"/>
          <w:bCs/>
          <w:iCs/>
          <w:sz w:val="24"/>
          <w:szCs w:val="24"/>
          <w:lang w:val="en-US"/>
        </w:rPr>
        <w:t xml:space="preserve"> </w:t>
      </w:r>
      <w:r w:rsidR="00FE2DAF" w:rsidRPr="000D5C7A">
        <w:rPr>
          <w:rFonts w:ascii="Times New Roman" w:hAnsi="Times New Roman" w:cs="Times New Roman"/>
          <w:bCs/>
          <w:iCs/>
          <w:sz w:val="24"/>
          <w:szCs w:val="24"/>
          <w:lang w:val="en-US"/>
        </w:rPr>
        <w:t>O.</w:t>
      </w:r>
      <w:r w:rsidR="009F7035">
        <w:rPr>
          <w:rFonts w:ascii="Times New Roman" w:hAnsi="Times New Roman" w:cs="Times New Roman"/>
          <w:bCs/>
          <w:iCs/>
          <w:sz w:val="24"/>
          <w:szCs w:val="24"/>
          <w:lang w:val="en-US"/>
        </w:rPr>
        <w:t xml:space="preserve"> </w:t>
      </w:r>
      <w:r w:rsidR="00FE2DAF" w:rsidRPr="000D5C7A">
        <w:rPr>
          <w:rFonts w:ascii="Times New Roman" w:hAnsi="Times New Roman" w:cs="Times New Roman"/>
          <w:bCs/>
          <w:iCs/>
          <w:sz w:val="24"/>
          <w:szCs w:val="24"/>
          <w:lang w:val="en-US"/>
        </w:rPr>
        <w:t>M.</w:t>
      </w:r>
      <w:r w:rsidR="009F7035">
        <w:rPr>
          <w:rFonts w:ascii="Times New Roman" w:hAnsi="Times New Roman" w:cs="Times New Roman"/>
          <w:bCs/>
          <w:iCs/>
          <w:sz w:val="24"/>
          <w:szCs w:val="24"/>
          <w:lang w:val="en-US"/>
        </w:rPr>
        <w:t xml:space="preserve"> </w:t>
      </w:r>
      <w:r w:rsidR="00FE2DAF" w:rsidRPr="000D5C7A">
        <w:rPr>
          <w:rFonts w:ascii="Times New Roman" w:hAnsi="Times New Roman" w:cs="Times New Roman"/>
          <w:bCs/>
          <w:iCs/>
          <w:sz w:val="24"/>
          <w:szCs w:val="24"/>
          <w:lang w:val="en-US"/>
        </w:rPr>
        <w:t xml:space="preserve">A., </w:t>
      </w:r>
      <w:r w:rsidR="009F7035" w:rsidRPr="000D5C7A">
        <w:rPr>
          <w:rFonts w:ascii="Times New Roman" w:hAnsi="Times New Roman" w:cs="Times New Roman"/>
          <w:bCs/>
          <w:iCs/>
          <w:sz w:val="24"/>
          <w:szCs w:val="24"/>
          <w:lang w:val="en-US"/>
        </w:rPr>
        <w:t>Diop</w:t>
      </w:r>
      <w:r w:rsidR="009F7035">
        <w:rPr>
          <w:rFonts w:ascii="Times New Roman" w:hAnsi="Times New Roman" w:cs="Times New Roman"/>
          <w:bCs/>
          <w:iCs/>
          <w:sz w:val="24"/>
          <w:szCs w:val="24"/>
          <w:lang w:val="en-US"/>
        </w:rPr>
        <w:t>,</w:t>
      </w:r>
      <w:r w:rsidR="009F7035" w:rsidRPr="000D5C7A">
        <w:rPr>
          <w:rFonts w:ascii="Times New Roman" w:hAnsi="Times New Roman" w:cs="Times New Roman"/>
          <w:bCs/>
          <w:iCs/>
          <w:sz w:val="24"/>
          <w:szCs w:val="24"/>
          <w:lang w:val="en-US"/>
        </w:rPr>
        <w:t xml:space="preserve"> </w:t>
      </w:r>
      <w:r w:rsidR="00FE2DAF" w:rsidRPr="000D5C7A">
        <w:rPr>
          <w:rFonts w:ascii="Times New Roman" w:hAnsi="Times New Roman" w:cs="Times New Roman"/>
          <w:bCs/>
          <w:iCs/>
          <w:sz w:val="24"/>
          <w:szCs w:val="24"/>
          <w:lang w:val="en-US"/>
        </w:rPr>
        <w:t>N.</w:t>
      </w:r>
      <w:r w:rsidR="009F7035">
        <w:rPr>
          <w:rFonts w:ascii="Times New Roman" w:hAnsi="Times New Roman" w:cs="Times New Roman"/>
          <w:bCs/>
          <w:iCs/>
          <w:sz w:val="24"/>
          <w:szCs w:val="24"/>
          <w:lang w:val="en-US"/>
        </w:rPr>
        <w:t xml:space="preserve"> </w:t>
      </w:r>
      <w:r w:rsidR="00FE2DAF" w:rsidRPr="000D5C7A">
        <w:rPr>
          <w:rFonts w:ascii="Times New Roman" w:hAnsi="Times New Roman" w:cs="Times New Roman"/>
          <w:bCs/>
          <w:iCs/>
          <w:sz w:val="24"/>
          <w:szCs w:val="24"/>
          <w:lang w:val="en-US"/>
        </w:rPr>
        <w:t xml:space="preserve">A., </w:t>
      </w:r>
      <w:r w:rsidR="009F7035" w:rsidRPr="000D5C7A">
        <w:rPr>
          <w:rFonts w:ascii="Times New Roman" w:hAnsi="Times New Roman" w:cs="Times New Roman"/>
          <w:bCs/>
          <w:iCs/>
          <w:sz w:val="24"/>
          <w:szCs w:val="24"/>
          <w:lang w:val="en-US"/>
        </w:rPr>
        <w:t>Diaw</w:t>
      </w:r>
      <w:r w:rsidR="009F7035">
        <w:rPr>
          <w:rFonts w:ascii="Times New Roman" w:hAnsi="Times New Roman" w:cs="Times New Roman"/>
          <w:bCs/>
          <w:iCs/>
          <w:sz w:val="24"/>
          <w:szCs w:val="24"/>
          <w:lang w:val="en-US"/>
        </w:rPr>
        <w:t xml:space="preserve">, </w:t>
      </w:r>
      <w:r w:rsidR="00FE2DAF" w:rsidRPr="000D5C7A">
        <w:rPr>
          <w:rFonts w:ascii="Times New Roman" w:hAnsi="Times New Roman" w:cs="Times New Roman"/>
          <w:bCs/>
          <w:iCs/>
          <w:sz w:val="24"/>
          <w:szCs w:val="24"/>
          <w:lang w:val="en-US"/>
        </w:rPr>
        <w:t>P.</w:t>
      </w:r>
      <w:r w:rsidR="009F7035">
        <w:rPr>
          <w:rFonts w:ascii="Times New Roman" w:hAnsi="Times New Roman" w:cs="Times New Roman"/>
          <w:bCs/>
          <w:iCs/>
          <w:sz w:val="24"/>
          <w:szCs w:val="24"/>
          <w:lang w:val="en-US"/>
        </w:rPr>
        <w:t xml:space="preserve"> </w:t>
      </w:r>
      <w:r w:rsidR="00FE2DAF" w:rsidRPr="000D5C7A">
        <w:rPr>
          <w:rFonts w:ascii="Times New Roman" w:hAnsi="Times New Roman" w:cs="Times New Roman"/>
          <w:bCs/>
          <w:iCs/>
          <w:sz w:val="24"/>
          <w:szCs w:val="24"/>
          <w:lang w:val="en-US"/>
        </w:rPr>
        <w:t xml:space="preserve">A., </w:t>
      </w:r>
      <w:r w:rsidR="009F7035" w:rsidRPr="000D5C7A">
        <w:rPr>
          <w:rFonts w:ascii="Times New Roman" w:hAnsi="Times New Roman" w:cs="Times New Roman"/>
          <w:bCs/>
          <w:iCs/>
          <w:sz w:val="24"/>
          <w:szCs w:val="24"/>
          <w:lang w:val="en-US"/>
        </w:rPr>
        <w:t>Le Jeune</w:t>
      </w:r>
      <w:r w:rsidR="009F7035">
        <w:rPr>
          <w:rFonts w:ascii="Times New Roman" w:hAnsi="Times New Roman" w:cs="Times New Roman"/>
          <w:bCs/>
          <w:iCs/>
          <w:sz w:val="24"/>
          <w:szCs w:val="24"/>
          <w:lang w:val="en-US"/>
        </w:rPr>
        <w:t>,</w:t>
      </w:r>
      <w:r w:rsidR="009F7035" w:rsidRPr="000D5C7A">
        <w:rPr>
          <w:rFonts w:ascii="Times New Roman" w:hAnsi="Times New Roman" w:cs="Times New Roman"/>
          <w:bCs/>
          <w:iCs/>
          <w:sz w:val="24"/>
          <w:szCs w:val="24"/>
          <w:lang w:val="en-US"/>
        </w:rPr>
        <w:t xml:space="preserve"> </w:t>
      </w:r>
      <w:r w:rsidR="00FE2DAF" w:rsidRPr="000D5C7A">
        <w:rPr>
          <w:rFonts w:ascii="Times New Roman" w:hAnsi="Times New Roman" w:cs="Times New Roman"/>
          <w:bCs/>
          <w:iCs/>
          <w:sz w:val="24"/>
          <w:szCs w:val="24"/>
          <w:lang w:val="en-US"/>
        </w:rPr>
        <w:t xml:space="preserve">B., </w:t>
      </w:r>
      <w:r w:rsidR="009F7035" w:rsidRPr="000D5C7A">
        <w:rPr>
          <w:rFonts w:ascii="Times New Roman" w:hAnsi="Times New Roman" w:cs="Times New Roman"/>
          <w:bCs/>
          <w:iCs/>
          <w:sz w:val="24"/>
          <w:szCs w:val="24"/>
          <w:lang w:val="en-US"/>
        </w:rPr>
        <w:t>Coly</w:t>
      </w:r>
      <w:r w:rsidR="009F7035">
        <w:rPr>
          <w:rFonts w:ascii="Times New Roman" w:hAnsi="Times New Roman" w:cs="Times New Roman"/>
          <w:bCs/>
          <w:iCs/>
          <w:sz w:val="24"/>
          <w:szCs w:val="24"/>
          <w:lang w:val="en-US"/>
        </w:rPr>
        <w:t>,</w:t>
      </w:r>
      <w:r w:rsidR="009F7035" w:rsidRPr="000D5C7A">
        <w:rPr>
          <w:rFonts w:ascii="Times New Roman" w:hAnsi="Times New Roman" w:cs="Times New Roman"/>
          <w:bCs/>
          <w:iCs/>
          <w:sz w:val="24"/>
          <w:szCs w:val="24"/>
          <w:lang w:val="en-US"/>
        </w:rPr>
        <w:t xml:space="preserve"> </w:t>
      </w:r>
      <w:r w:rsidR="00FE2DAF" w:rsidRPr="000D5C7A">
        <w:rPr>
          <w:rFonts w:ascii="Times New Roman" w:hAnsi="Times New Roman" w:cs="Times New Roman"/>
          <w:bCs/>
          <w:iCs/>
          <w:sz w:val="24"/>
          <w:szCs w:val="24"/>
          <w:lang w:val="en-US"/>
        </w:rPr>
        <w:t xml:space="preserve">A., </w:t>
      </w:r>
      <w:r w:rsidR="009F7035" w:rsidRPr="004F5288">
        <w:rPr>
          <w:rFonts w:ascii="Times New Roman" w:hAnsi="Times New Roman" w:cs="Times New Roman"/>
          <w:iCs/>
          <w:sz w:val="24"/>
          <w:szCs w:val="24"/>
          <w:lang w:val="en-US"/>
        </w:rPr>
        <w:t xml:space="preserve">&amp; </w:t>
      </w:r>
      <w:proofErr w:type="spellStart"/>
      <w:r w:rsidR="009F7035" w:rsidRPr="000D5C7A">
        <w:rPr>
          <w:rFonts w:ascii="Times New Roman" w:hAnsi="Times New Roman" w:cs="Times New Roman"/>
          <w:iCs/>
          <w:sz w:val="24"/>
          <w:szCs w:val="24"/>
          <w:lang w:val="en-US"/>
        </w:rPr>
        <w:t>Giamarchi</w:t>
      </w:r>
      <w:proofErr w:type="spellEnd"/>
      <w:r w:rsidR="009F7035" w:rsidRPr="000D5C7A">
        <w:rPr>
          <w:rFonts w:ascii="Times New Roman" w:hAnsi="Times New Roman" w:cs="Times New Roman"/>
          <w:bCs/>
          <w:iCs/>
          <w:sz w:val="24"/>
          <w:szCs w:val="24"/>
          <w:lang w:val="en-US"/>
        </w:rPr>
        <w:t xml:space="preserve">, </w:t>
      </w:r>
      <w:r w:rsidR="00FE2DAF" w:rsidRPr="000D5C7A">
        <w:rPr>
          <w:rFonts w:ascii="Times New Roman" w:hAnsi="Times New Roman" w:cs="Times New Roman"/>
          <w:iCs/>
          <w:sz w:val="24"/>
          <w:szCs w:val="24"/>
          <w:lang w:val="en-US"/>
        </w:rPr>
        <w:t>P.</w:t>
      </w:r>
      <w:r w:rsidR="009F7035">
        <w:rPr>
          <w:rFonts w:ascii="Times New Roman" w:hAnsi="Times New Roman" w:cs="Times New Roman"/>
          <w:iCs/>
          <w:sz w:val="24"/>
          <w:szCs w:val="24"/>
          <w:lang w:val="en-US"/>
        </w:rPr>
        <w:t xml:space="preserve"> (2022).</w:t>
      </w:r>
      <w:r w:rsidR="00FE2DAF" w:rsidRPr="000D5C7A">
        <w:rPr>
          <w:rFonts w:ascii="Times New Roman" w:hAnsi="Times New Roman" w:cs="Times New Roman"/>
          <w:iCs/>
          <w:sz w:val="24"/>
          <w:szCs w:val="24"/>
          <w:lang w:val="en-US"/>
        </w:rPr>
        <w:t xml:space="preserve"> </w:t>
      </w:r>
      <w:r w:rsidR="00FE2DAF" w:rsidRPr="000D5C7A">
        <w:rPr>
          <w:rFonts w:ascii="Times New Roman" w:hAnsi="Times New Roman" w:cs="Times New Roman"/>
          <w:bCs/>
          <w:iCs/>
          <w:sz w:val="24"/>
          <w:szCs w:val="24"/>
          <w:lang w:val="en-US"/>
        </w:rPr>
        <w:t xml:space="preserve">Determination of </w:t>
      </w:r>
      <w:proofErr w:type="spellStart"/>
      <w:r w:rsidR="00FE2DAF" w:rsidRPr="000D5C7A">
        <w:rPr>
          <w:rFonts w:ascii="Times New Roman" w:hAnsi="Times New Roman" w:cs="Times New Roman"/>
          <w:bCs/>
          <w:iCs/>
          <w:sz w:val="24"/>
          <w:szCs w:val="24"/>
          <w:lang w:val="en-US"/>
        </w:rPr>
        <w:t>Flumethrin</w:t>
      </w:r>
      <w:proofErr w:type="spellEnd"/>
      <w:r w:rsidR="00FE2DAF" w:rsidRPr="000D5C7A">
        <w:rPr>
          <w:rFonts w:ascii="Times New Roman" w:hAnsi="Times New Roman" w:cs="Times New Roman"/>
          <w:bCs/>
          <w:iCs/>
          <w:sz w:val="24"/>
          <w:szCs w:val="24"/>
          <w:lang w:val="en-US"/>
        </w:rPr>
        <w:t xml:space="preserve"> and Tau-Fluvalinate Pyrethroid Insecticides in Surface and Groundwater by Photochemic</w:t>
      </w:r>
      <w:r w:rsidR="009F7035">
        <w:rPr>
          <w:rFonts w:ascii="Times New Roman" w:hAnsi="Times New Roman" w:cs="Times New Roman"/>
          <w:bCs/>
          <w:iCs/>
          <w:sz w:val="24"/>
          <w:szCs w:val="24"/>
          <w:lang w:val="en-US"/>
        </w:rPr>
        <w:t>ally Induced Fluorescence (PIF).</w:t>
      </w:r>
      <w:r w:rsidR="00FE2DAF" w:rsidRPr="000D5C7A">
        <w:rPr>
          <w:rFonts w:ascii="Times New Roman" w:hAnsi="Times New Roman" w:cs="Times New Roman"/>
          <w:bCs/>
          <w:iCs/>
          <w:sz w:val="24"/>
          <w:szCs w:val="24"/>
          <w:lang w:val="en-US"/>
        </w:rPr>
        <w:t xml:space="preserve"> </w:t>
      </w:r>
      <w:r w:rsidR="009F7035">
        <w:rPr>
          <w:rFonts w:ascii="Times New Roman" w:hAnsi="Times New Roman" w:cs="Times New Roman"/>
          <w:bCs/>
          <w:iCs/>
          <w:sz w:val="24"/>
          <w:szCs w:val="24"/>
          <w:lang w:val="en-US"/>
        </w:rPr>
        <w:t>Analytical Letter, 55,</w:t>
      </w:r>
      <w:r w:rsidR="00FE2DAF" w:rsidRPr="000D5C7A">
        <w:rPr>
          <w:rFonts w:ascii="Times New Roman" w:hAnsi="Times New Roman" w:cs="Times New Roman"/>
          <w:bCs/>
          <w:iCs/>
          <w:sz w:val="24"/>
          <w:szCs w:val="24"/>
          <w:lang w:val="en-US"/>
        </w:rPr>
        <w:t xml:space="preserve"> 1980-1996.</w:t>
      </w:r>
    </w:p>
    <w:p w14:paraId="25FBC979" w14:textId="77777777" w:rsidR="00FE2DAF" w:rsidRPr="000D5C7A" w:rsidRDefault="00FE2DAF" w:rsidP="00FE2DAF">
      <w:pPr>
        <w:autoSpaceDE w:val="0"/>
        <w:autoSpaceDN w:val="0"/>
        <w:adjustRightInd w:val="0"/>
        <w:spacing w:after="120" w:line="360" w:lineRule="auto"/>
        <w:jc w:val="both"/>
        <w:rPr>
          <w:rFonts w:ascii="Times New Roman" w:hAnsi="Times New Roman" w:cs="Times New Roman"/>
          <w:bCs/>
          <w:iCs/>
          <w:sz w:val="24"/>
          <w:szCs w:val="24"/>
          <w:lang w:val="en-US"/>
        </w:rPr>
      </w:pPr>
      <w:r w:rsidRPr="000D5C7A">
        <w:rPr>
          <w:rFonts w:ascii="Times New Roman" w:hAnsi="Times New Roman" w:cs="Times New Roman"/>
          <w:sz w:val="24"/>
          <w:szCs w:val="24"/>
          <w:lang w:val="en-US"/>
        </w:rPr>
        <w:t xml:space="preserve"> </w:t>
      </w:r>
      <w:hyperlink r:id="rId21" w:history="1">
        <w:r w:rsidRPr="000D5C7A">
          <w:rPr>
            <w:rFonts w:ascii="Times New Roman" w:hAnsi="Times New Roman" w:cs="Times New Roman"/>
            <w:color w:val="0000FF"/>
            <w:sz w:val="24"/>
            <w:szCs w:val="24"/>
            <w:u w:val="single"/>
            <w:lang w:val="en-US"/>
          </w:rPr>
          <w:t>https://doi.org/10.1080/00032719.2022.2040524</w:t>
        </w:r>
      </w:hyperlink>
    </w:p>
    <w:p w14:paraId="476CDDE1" w14:textId="77777777" w:rsidR="00C35CEA" w:rsidRDefault="00C35CEA" w:rsidP="00C35CEA">
      <w:pPr>
        <w:spacing w:after="0" w:line="360" w:lineRule="auto"/>
        <w:jc w:val="both"/>
        <w:rPr>
          <w:rFonts w:ascii="Times New Roman" w:eastAsia="Times New Roman" w:hAnsi="Times New Roman" w:cs="Times New Roman"/>
          <w:sz w:val="24"/>
          <w:szCs w:val="24"/>
          <w:lang w:eastAsia="fr-FR"/>
        </w:rPr>
      </w:pPr>
      <w:r w:rsidRPr="00952F51">
        <w:rPr>
          <w:rFonts w:ascii="Times New Roman" w:eastAsia="Times New Roman" w:hAnsi="Times New Roman" w:cs="Times New Roman"/>
          <w:bCs/>
          <w:iCs/>
          <w:sz w:val="24"/>
          <w:szCs w:val="24"/>
          <w:lang w:val="en-US" w:eastAsia="fr-FR"/>
        </w:rPr>
        <w:t>Cissé,</w:t>
      </w:r>
      <w:r w:rsidRPr="0024624B">
        <w:rPr>
          <w:rFonts w:ascii="Times New Roman" w:eastAsia="Times New Roman" w:hAnsi="Times New Roman" w:cs="Times New Roman"/>
          <w:bCs/>
          <w:iCs/>
          <w:sz w:val="24"/>
          <w:szCs w:val="24"/>
          <w:lang w:val="en-US" w:eastAsia="fr-FR"/>
        </w:rPr>
        <w:t xml:space="preserve"> </w:t>
      </w:r>
      <w:r w:rsidRPr="00952F51">
        <w:rPr>
          <w:rFonts w:ascii="Times New Roman" w:eastAsia="Times New Roman" w:hAnsi="Times New Roman" w:cs="Times New Roman"/>
          <w:bCs/>
          <w:iCs/>
          <w:sz w:val="24"/>
          <w:szCs w:val="24"/>
          <w:lang w:val="en-US" w:eastAsia="fr-FR"/>
        </w:rPr>
        <w:t>A.K.</w:t>
      </w:r>
      <w:r>
        <w:rPr>
          <w:rFonts w:ascii="Times New Roman" w:eastAsia="Times New Roman" w:hAnsi="Times New Roman" w:cs="Times New Roman"/>
          <w:bCs/>
          <w:iCs/>
          <w:sz w:val="24"/>
          <w:szCs w:val="24"/>
          <w:lang w:val="en-US" w:eastAsia="fr-FR"/>
        </w:rPr>
        <w:t>,</w:t>
      </w:r>
      <w:r w:rsidRPr="00952F51">
        <w:rPr>
          <w:rFonts w:ascii="Times New Roman" w:eastAsia="Times New Roman" w:hAnsi="Times New Roman" w:cs="Times New Roman"/>
          <w:bCs/>
          <w:iCs/>
          <w:sz w:val="24"/>
          <w:szCs w:val="24"/>
          <w:lang w:val="en-US" w:eastAsia="fr-FR"/>
        </w:rPr>
        <w:t xml:space="preserve"> Diouf,</w:t>
      </w:r>
      <w:r w:rsidRPr="0024624B">
        <w:rPr>
          <w:rFonts w:ascii="Times New Roman" w:eastAsia="Times New Roman" w:hAnsi="Times New Roman" w:cs="Times New Roman"/>
          <w:bCs/>
          <w:iCs/>
          <w:sz w:val="24"/>
          <w:szCs w:val="24"/>
          <w:lang w:val="en-US" w:eastAsia="fr-FR"/>
        </w:rPr>
        <w:t xml:space="preserve"> </w:t>
      </w:r>
      <w:r w:rsidRPr="00952F51">
        <w:rPr>
          <w:rFonts w:ascii="Times New Roman" w:eastAsia="Times New Roman" w:hAnsi="Times New Roman" w:cs="Times New Roman"/>
          <w:bCs/>
          <w:iCs/>
          <w:sz w:val="24"/>
          <w:szCs w:val="24"/>
          <w:lang w:val="en-US" w:eastAsia="fr-FR"/>
        </w:rPr>
        <w:t>N.</w:t>
      </w:r>
      <w:r>
        <w:rPr>
          <w:rFonts w:ascii="Times New Roman" w:eastAsia="Times New Roman" w:hAnsi="Times New Roman" w:cs="Times New Roman"/>
          <w:bCs/>
          <w:iCs/>
          <w:sz w:val="24"/>
          <w:szCs w:val="24"/>
          <w:lang w:val="en-US" w:eastAsia="fr-FR"/>
        </w:rPr>
        <w:t>,</w:t>
      </w:r>
      <w:r w:rsidRPr="00952F51">
        <w:rPr>
          <w:rFonts w:ascii="Times New Roman" w:eastAsia="Times New Roman" w:hAnsi="Times New Roman" w:cs="Times New Roman"/>
          <w:bCs/>
          <w:iCs/>
          <w:sz w:val="24"/>
          <w:szCs w:val="24"/>
          <w:lang w:val="en-US" w:eastAsia="fr-FR"/>
        </w:rPr>
        <w:t xml:space="preserve"> Faye,</w:t>
      </w:r>
      <w:r w:rsidRPr="0024624B">
        <w:rPr>
          <w:rFonts w:ascii="Times New Roman" w:eastAsia="Times New Roman" w:hAnsi="Times New Roman" w:cs="Times New Roman"/>
          <w:bCs/>
          <w:iCs/>
          <w:sz w:val="24"/>
          <w:szCs w:val="24"/>
          <w:lang w:val="en-US" w:eastAsia="fr-FR"/>
        </w:rPr>
        <w:t xml:space="preserve"> </w:t>
      </w:r>
      <w:r w:rsidRPr="00952F51">
        <w:rPr>
          <w:rFonts w:ascii="Times New Roman" w:eastAsia="Times New Roman" w:hAnsi="Times New Roman" w:cs="Times New Roman"/>
          <w:bCs/>
          <w:iCs/>
          <w:sz w:val="24"/>
          <w:szCs w:val="24"/>
          <w:lang w:val="en-US" w:eastAsia="fr-FR"/>
        </w:rPr>
        <w:t>C.</w:t>
      </w:r>
      <w:r>
        <w:rPr>
          <w:rFonts w:ascii="Times New Roman" w:eastAsia="Times New Roman" w:hAnsi="Times New Roman" w:cs="Times New Roman"/>
          <w:bCs/>
          <w:iCs/>
          <w:sz w:val="24"/>
          <w:szCs w:val="24"/>
          <w:lang w:val="en-US" w:eastAsia="fr-FR"/>
        </w:rPr>
        <w:t>,</w:t>
      </w:r>
      <w:r w:rsidRPr="00952F51">
        <w:rPr>
          <w:rFonts w:ascii="Times New Roman" w:eastAsia="Times New Roman" w:hAnsi="Times New Roman" w:cs="Times New Roman"/>
          <w:bCs/>
          <w:iCs/>
          <w:sz w:val="24"/>
          <w:szCs w:val="24"/>
          <w:lang w:val="en-US" w:eastAsia="fr-FR"/>
        </w:rPr>
        <w:t xml:space="preserve"> Sarr,</w:t>
      </w:r>
      <w:r w:rsidRPr="0024624B">
        <w:rPr>
          <w:rFonts w:ascii="Times New Roman" w:eastAsia="Times New Roman" w:hAnsi="Times New Roman" w:cs="Times New Roman"/>
          <w:bCs/>
          <w:iCs/>
          <w:sz w:val="24"/>
          <w:szCs w:val="24"/>
          <w:lang w:val="en-US" w:eastAsia="fr-FR"/>
        </w:rPr>
        <w:t xml:space="preserve"> </w:t>
      </w:r>
      <w:r w:rsidRPr="00952F51">
        <w:rPr>
          <w:rFonts w:ascii="Times New Roman" w:eastAsia="Times New Roman" w:hAnsi="Times New Roman" w:cs="Times New Roman"/>
          <w:bCs/>
          <w:iCs/>
          <w:sz w:val="24"/>
          <w:szCs w:val="24"/>
          <w:lang w:val="en-US" w:eastAsia="fr-FR"/>
        </w:rPr>
        <w:t>I.</w:t>
      </w:r>
      <w:r>
        <w:rPr>
          <w:rFonts w:ascii="Times New Roman" w:eastAsia="Times New Roman" w:hAnsi="Times New Roman" w:cs="Times New Roman"/>
          <w:bCs/>
          <w:iCs/>
          <w:sz w:val="24"/>
          <w:szCs w:val="24"/>
          <w:lang w:val="en-US" w:eastAsia="fr-FR"/>
        </w:rPr>
        <w:t>,</w:t>
      </w:r>
      <w:r w:rsidRPr="00952F51">
        <w:rPr>
          <w:rFonts w:ascii="Times New Roman" w:eastAsia="Times New Roman" w:hAnsi="Times New Roman" w:cs="Times New Roman"/>
          <w:bCs/>
          <w:iCs/>
          <w:sz w:val="24"/>
          <w:szCs w:val="24"/>
          <w:lang w:val="en-US" w:eastAsia="fr-FR"/>
        </w:rPr>
        <w:t xml:space="preserve"> Sambou, S.</w:t>
      </w:r>
      <w:r>
        <w:rPr>
          <w:rFonts w:ascii="Times New Roman" w:eastAsia="Times New Roman" w:hAnsi="Times New Roman" w:cs="Times New Roman"/>
          <w:bCs/>
          <w:iCs/>
          <w:sz w:val="24"/>
          <w:szCs w:val="24"/>
          <w:lang w:val="en-US" w:eastAsia="fr-FR"/>
        </w:rPr>
        <w:t>,</w:t>
      </w:r>
      <w:r w:rsidRPr="00952F51">
        <w:rPr>
          <w:rFonts w:ascii="Times New Roman" w:eastAsia="Times New Roman" w:hAnsi="Times New Roman" w:cs="Times New Roman"/>
          <w:bCs/>
          <w:iCs/>
          <w:sz w:val="24"/>
          <w:szCs w:val="24"/>
          <w:lang w:val="en-US" w:eastAsia="fr-FR"/>
        </w:rPr>
        <w:t xml:space="preserve"> Cissé,</w:t>
      </w:r>
      <w:r w:rsidRPr="0024624B">
        <w:rPr>
          <w:rFonts w:ascii="Times New Roman" w:eastAsia="Times New Roman" w:hAnsi="Times New Roman" w:cs="Times New Roman"/>
          <w:bCs/>
          <w:iCs/>
          <w:sz w:val="24"/>
          <w:szCs w:val="24"/>
          <w:lang w:val="en-US" w:eastAsia="fr-FR"/>
        </w:rPr>
        <w:t xml:space="preserve"> </w:t>
      </w:r>
      <w:r w:rsidRPr="00952F51">
        <w:rPr>
          <w:rFonts w:ascii="Times New Roman" w:eastAsia="Times New Roman" w:hAnsi="Times New Roman" w:cs="Times New Roman"/>
          <w:bCs/>
          <w:iCs/>
          <w:sz w:val="24"/>
          <w:szCs w:val="24"/>
          <w:lang w:val="en-US" w:eastAsia="fr-FR"/>
        </w:rPr>
        <w:t>A.</w:t>
      </w:r>
      <w:r>
        <w:rPr>
          <w:rFonts w:ascii="Times New Roman" w:eastAsia="Times New Roman" w:hAnsi="Times New Roman" w:cs="Times New Roman"/>
          <w:bCs/>
          <w:iCs/>
          <w:sz w:val="24"/>
          <w:szCs w:val="24"/>
          <w:lang w:val="en-US" w:eastAsia="fr-FR"/>
        </w:rPr>
        <w:t>,</w:t>
      </w:r>
      <w:r w:rsidRPr="00952F51">
        <w:rPr>
          <w:rFonts w:ascii="Times New Roman" w:eastAsia="Times New Roman" w:hAnsi="Times New Roman" w:cs="Times New Roman"/>
          <w:bCs/>
          <w:iCs/>
          <w:sz w:val="24"/>
          <w:szCs w:val="24"/>
          <w:lang w:val="en-US" w:eastAsia="fr-FR"/>
        </w:rPr>
        <w:t xml:space="preserve"> Sidibé, B.</w:t>
      </w:r>
      <w:r>
        <w:rPr>
          <w:rFonts w:ascii="Times New Roman" w:eastAsia="Times New Roman" w:hAnsi="Times New Roman" w:cs="Times New Roman"/>
          <w:bCs/>
          <w:iCs/>
          <w:sz w:val="24"/>
          <w:szCs w:val="24"/>
          <w:lang w:val="en-US" w:eastAsia="fr-FR"/>
        </w:rPr>
        <w:t>,</w:t>
      </w:r>
      <w:r w:rsidRPr="00952F51">
        <w:rPr>
          <w:rFonts w:ascii="Times New Roman" w:eastAsia="Times New Roman" w:hAnsi="Times New Roman" w:cs="Times New Roman"/>
          <w:bCs/>
          <w:iCs/>
          <w:sz w:val="24"/>
          <w:szCs w:val="24"/>
          <w:lang w:val="en-US" w:eastAsia="fr-FR"/>
        </w:rPr>
        <w:t xml:space="preserve"> Ndiaye,</w:t>
      </w:r>
      <w:r w:rsidRPr="0024624B">
        <w:rPr>
          <w:rFonts w:ascii="Times New Roman" w:eastAsia="Times New Roman" w:hAnsi="Times New Roman" w:cs="Times New Roman"/>
          <w:bCs/>
          <w:iCs/>
          <w:sz w:val="24"/>
          <w:szCs w:val="24"/>
          <w:lang w:val="en-US" w:eastAsia="fr-FR"/>
        </w:rPr>
        <w:t xml:space="preserve"> </w:t>
      </w:r>
      <w:r w:rsidRPr="00952F51">
        <w:rPr>
          <w:rFonts w:ascii="Times New Roman" w:eastAsia="Times New Roman" w:hAnsi="Times New Roman" w:cs="Times New Roman"/>
          <w:bCs/>
          <w:iCs/>
          <w:sz w:val="24"/>
          <w:szCs w:val="24"/>
          <w:lang w:val="en-US" w:eastAsia="fr-FR"/>
        </w:rPr>
        <w:t>A.</w:t>
      </w:r>
      <w:r>
        <w:rPr>
          <w:rFonts w:ascii="Times New Roman" w:eastAsia="Times New Roman" w:hAnsi="Times New Roman" w:cs="Times New Roman"/>
          <w:bCs/>
          <w:iCs/>
          <w:sz w:val="24"/>
          <w:szCs w:val="24"/>
          <w:lang w:val="en-US" w:eastAsia="fr-FR"/>
        </w:rPr>
        <w:t>,</w:t>
      </w:r>
      <w:r w:rsidRPr="00952F51">
        <w:rPr>
          <w:rFonts w:ascii="Times New Roman" w:eastAsia="Times New Roman" w:hAnsi="Times New Roman" w:cs="Times New Roman"/>
          <w:bCs/>
          <w:iCs/>
          <w:sz w:val="24"/>
          <w:szCs w:val="24"/>
          <w:lang w:val="en-US" w:eastAsia="fr-FR"/>
        </w:rPr>
        <w:t xml:space="preserve"> Bodian, E.</w:t>
      </w:r>
      <w:r>
        <w:rPr>
          <w:rFonts w:ascii="Times New Roman" w:eastAsia="Times New Roman" w:hAnsi="Times New Roman" w:cs="Times New Roman"/>
          <w:bCs/>
          <w:iCs/>
          <w:sz w:val="24"/>
          <w:szCs w:val="24"/>
          <w:lang w:val="en-US" w:eastAsia="fr-FR"/>
        </w:rPr>
        <w:t xml:space="preserve"> </w:t>
      </w:r>
      <w:r w:rsidRPr="00952F51">
        <w:rPr>
          <w:rFonts w:ascii="Times New Roman" w:eastAsia="Times New Roman" w:hAnsi="Times New Roman" w:cs="Times New Roman"/>
          <w:bCs/>
          <w:iCs/>
          <w:sz w:val="24"/>
          <w:szCs w:val="24"/>
          <w:lang w:val="en-US" w:eastAsia="fr-FR"/>
        </w:rPr>
        <w:t>T.</w:t>
      </w:r>
      <w:r>
        <w:rPr>
          <w:rFonts w:ascii="Times New Roman" w:eastAsia="Times New Roman" w:hAnsi="Times New Roman" w:cs="Times New Roman"/>
          <w:bCs/>
          <w:iCs/>
          <w:sz w:val="24"/>
          <w:szCs w:val="24"/>
          <w:lang w:val="en-US" w:eastAsia="fr-FR"/>
        </w:rPr>
        <w:t>,</w:t>
      </w:r>
      <w:r w:rsidRPr="00952F51">
        <w:rPr>
          <w:rFonts w:ascii="Times New Roman" w:eastAsia="Times New Roman" w:hAnsi="Times New Roman" w:cs="Times New Roman"/>
          <w:bCs/>
          <w:iCs/>
          <w:sz w:val="24"/>
          <w:szCs w:val="24"/>
          <w:lang w:val="en-US" w:eastAsia="fr-FR"/>
        </w:rPr>
        <w:t xml:space="preserve"> </w:t>
      </w:r>
      <w:proofErr w:type="spellStart"/>
      <w:r w:rsidRPr="0024624B">
        <w:rPr>
          <w:rFonts w:ascii="Times New Roman" w:eastAsia="Times New Roman" w:hAnsi="Times New Roman" w:cs="Times New Roman"/>
          <w:iCs/>
          <w:sz w:val="24"/>
          <w:szCs w:val="24"/>
          <w:lang w:val="en-US" w:eastAsia="fr-FR"/>
        </w:rPr>
        <w:t>Thiaré</w:t>
      </w:r>
      <w:proofErr w:type="spellEnd"/>
      <w:r w:rsidRPr="00952F51">
        <w:rPr>
          <w:rFonts w:ascii="Times New Roman" w:eastAsia="Times New Roman" w:hAnsi="Times New Roman" w:cs="Times New Roman"/>
          <w:bCs/>
          <w:iCs/>
          <w:sz w:val="24"/>
          <w:szCs w:val="24"/>
          <w:lang w:val="en-US" w:eastAsia="fr-FR"/>
        </w:rPr>
        <w:t xml:space="preserve">, </w:t>
      </w:r>
      <w:r w:rsidRPr="0024624B">
        <w:rPr>
          <w:rFonts w:ascii="Times New Roman" w:eastAsia="Times New Roman" w:hAnsi="Times New Roman" w:cs="Times New Roman"/>
          <w:iCs/>
          <w:sz w:val="24"/>
          <w:szCs w:val="24"/>
          <w:lang w:val="en-US" w:eastAsia="fr-FR"/>
        </w:rPr>
        <w:t>D.D.</w:t>
      </w:r>
      <w:r>
        <w:rPr>
          <w:rFonts w:ascii="Times New Roman" w:eastAsia="Times New Roman" w:hAnsi="Times New Roman" w:cs="Times New Roman"/>
          <w:iCs/>
          <w:sz w:val="24"/>
          <w:szCs w:val="24"/>
          <w:lang w:val="en-US" w:eastAsia="fr-FR"/>
        </w:rPr>
        <w:t>,</w:t>
      </w:r>
      <w:r w:rsidRPr="0024624B">
        <w:rPr>
          <w:rFonts w:ascii="Times New Roman" w:eastAsia="Times New Roman" w:hAnsi="Times New Roman" w:cs="Times New Roman"/>
          <w:iCs/>
          <w:sz w:val="24"/>
          <w:szCs w:val="24"/>
          <w:lang w:val="en-US" w:eastAsia="fr-FR"/>
        </w:rPr>
        <w:t xml:space="preserve"> </w:t>
      </w:r>
      <w:r w:rsidRPr="008036AF">
        <w:rPr>
          <w:rFonts w:ascii="Times New Roman" w:hAnsi="Times New Roman" w:cs="Times New Roman"/>
          <w:iCs/>
          <w:sz w:val="24"/>
          <w:szCs w:val="24"/>
          <w:lang w:val="en-US"/>
        </w:rPr>
        <w:t>&amp;</w:t>
      </w:r>
      <w:r>
        <w:rPr>
          <w:rFonts w:ascii="Times New Roman" w:hAnsi="Times New Roman" w:cs="Times New Roman"/>
          <w:iCs/>
          <w:sz w:val="24"/>
          <w:szCs w:val="24"/>
          <w:lang w:val="en-US"/>
        </w:rPr>
        <w:t xml:space="preserve"> </w:t>
      </w:r>
      <w:r w:rsidRPr="00952F51">
        <w:rPr>
          <w:rFonts w:ascii="Times New Roman" w:eastAsia="Times New Roman" w:hAnsi="Times New Roman" w:cs="Times New Roman"/>
          <w:bCs/>
          <w:iCs/>
          <w:sz w:val="24"/>
          <w:szCs w:val="24"/>
          <w:lang w:val="en-US" w:eastAsia="fr-FR"/>
        </w:rPr>
        <w:t xml:space="preserve">Coly, A. </w:t>
      </w:r>
      <w:r>
        <w:rPr>
          <w:rFonts w:ascii="Times New Roman" w:eastAsia="Times New Roman" w:hAnsi="Times New Roman" w:cs="Times New Roman"/>
          <w:bCs/>
          <w:iCs/>
          <w:sz w:val="24"/>
          <w:szCs w:val="24"/>
          <w:lang w:val="en-US" w:eastAsia="fr-FR"/>
        </w:rPr>
        <w:t xml:space="preserve">(2024). </w:t>
      </w:r>
      <w:r w:rsidRPr="00952F51">
        <w:rPr>
          <w:rFonts w:ascii="Times New Roman" w:eastAsia="Times New Roman" w:hAnsi="Times New Roman" w:cs="Times New Roman"/>
          <w:bCs/>
          <w:iCs/>
          <w:sz w:val="24"/>
          <w:szCs w:val="24"/>
          <w:lang w:val="en-US" w:eastAsia="fr-FR"/>
        </w:rPr>
        <w:t xml:space="preserve">Enhanced </w:t>
      </w:r>
      <w:proofErr w:type="spellStart"/>
      <w:r w:rsidRPr="00952F51">
        <w:rPr>
          <w:rFonts w:ascii="Times New Roman" w:eastAsia="Times New Roman" w:hAnsi="Times New Roman" w:cs="Times New Roman"/>
          <w:bCs/>
          <w:iCs/>
          <w:sz w:val="24"/>
          <w:szCs w:val="24"/>
          <w:lang w:val="en-US" w:eastAsia="fr-FR"/>
        </w:rPr>
        <w:t>Solubilisation</w:t>
      </w:r>
      <w:proofErr w:type="spellEnd"/>
      <w:r w:rsidRPr="00952F51">
        <w:rPr>
          <w:rFonts w:ascii="Times New Roman" w:eastAsia="Times New Roman" w:hAnsi="Times New Roman" w:cs="Times New Roman"/>
          <w:bCs/>
          <w:iCs/>
          <w:sz w:val="24"/>
          <w:szCs w:val="24"/>
          <w:lang w:val="en-US" w:eastAsia="fr-FR"/>
        </w:rPr>
        <w:t xml:space="preserve"> of Insecticide </w:t>
      </w:r>
      <w:proofErr w:type="spellStart"/>
      <w:r w:rsidRPr="00952F51">
        <w:rPr>
          <w:rFonts w:ascii="Times New Roman" w:eastAsia="Times New Roman" w:hAnsi="Times New Roman" w:cs="Times New Roman"/>
          <w:bCs/>
          <w:iCs/>
          <w:sz w:val="24"/>
          <w:szCs w:val="24"/>
          <w:lang w:val="en-US" w:eastAsia="fr-FR"/>
        </w:rPr>
        <w:t>Phosalone</w:t>
      </w:r>
      <w:proofErr w:type="spellEnd"/>
      <w:r w:rsidRPr="00952F51">
        <w:rPr>
          <w:rFonts w:ascii="Times New Roman" w:eastAsia="Times New Roman" w:hAnsi="Times New Roman" w:cs="Times New Roman"/>
          <w:bCs/>
          <w:iCs/>
          <w:sz w:val="24"/>
          <w:szCs w:val="24"/>
          <w:lang w:val="en-US" w:eastAsia="fr-FR"/>
        </w:rPr>
        <w:t xml:space="preserve"> by Using Anionic and Cationic Surfactants in Aqueous Solution by </w:t>
      </w:r>
      <w:proofErr w:type="spellStart"/>
      <w:r w:rsidRPr="00952F51">
        <w:rPr>
          <w:rFonts w:ascii="Times New Roman" w:eastAsia="Times New Roman" w:hAnsi="Times New Roman" w:cs="Times New Roman"/>
          <w:bCs/>
          <w:iCs/>
          <w:sz w:val="24"/>
          <w:szCs w:val="24"/>
          <w:lang w:val="en-US" w:eastAsia="fr-FR"/>
        </w:rPr>
        <w:t>Micellisation</w:t>
      </w:r>
      <w:proofErr w:type="spellEnd"/>
      <w:r w:rsidRPr="00952F51">
        <w:rPr>
          <w:rFonts w:ascii="Times New Roman" w:eastAsia="Times New Roman" w:hAnsi="Times New Roman" w:cs="Times New Roman"/>
          <w:bCs/>
          <w:iCs/>
          <w:sz w:val="24"/>
          <w:szCs w:val="24"/>
          <w:lang w:val="en-US" w:eastAsia="fr-FR"/>
        </w:rPr>
        <w:t xml:space="preserve">, </w:t>
      </w:r>
      <w:r>
        <w:rPr>
          <w:rFonts w:ascii="Times New Roman" w:eastAsia="Times New Roman" w:hAnsi="Times New Roman" w:cs="Times New Roman"/>
          <w:bCs/>
          <w:sz w:val="24"/>
          <w:szCs w:val="24"/>
          <w:lang w:val="en-US" w:eastAsia="fr-FR"/>
        </w:rPr>
        <w:t>Asian Journal of Chemical</w:t>
      </w:r>
      <w:r w:rsidRPr="007207E9">
        <w:rPr>
          <w:rFonts w:ascii="Times New Roman" w:eastAsia="Times New Roman" w:hAnsi="Times New Roman" w:cs="Times New Roman"/>
          <w:bCs/>
          <w:sz w:val="24"/>
          <w:szCs w:val="24"/>
          <w:lang w:val="en-US" w:eastAsia="fr-FR"/>
        </w:rPr>
        <w:t xml:space="preserve"> Sci</w:t>
      </w:r>
      <w:r>
        <w:rPr>
          <w:rFonts w:ascii="Times New Roman" w:eastAsia="Times New Roman" w:hAnsi="Times New Roman" w:cs="Times New Roman"/>
          <w:bCs/>
          <w:iCs/>
          <w:sz w:val="24"/>
          <w:szCs w:val="24"/>
          <w:lang w:val="en-US" w:eastAsia="fr-FR"/>
        </w:rPr>
        <w:t xml:space="preserve">ence 14(6), </w:t>
      </w:r>
      <w:r w:rsidRPr="00952F51">
        <w:rPr>
          <w:rFonts w:ascii="Times New Roman" w:eastAsia="Times New Roman" w:hAnsi="Times New Roman" w:cs="Times New Roman"/>
          <w:bCs/>
          <w:iCs/>
          <w:sz w:val="24"/>
          <w:szCs w:val="24"/>
          <w:lang w:val="en-US" w:eastAsia="fr-FR"/>
        </w:rPr>
        <w:t>137-147.</w:t>
      </w:r>
    </w:p>
    <w:p w14:paraId="3688E00C" w14:textId="77777777" w:rsidR="00C35CEA" w:rsidRPr="007207E9" w:rsidRDefault="00C35CEA" w:rsidP="00C35CEA">
      <w:pPr>
        <w:spacing w:after="0" w:line="360" w:lineRule="auto"/>
        <w:jc w:val="both"/>
        <w:rPr>
          <w:rFonts w:ascii="Times New Roman" w:eastAsia="Times New Roman" w:hAnsi="Times New Roman" w:cs="Times New Roman"/>
          <w:sz w:val="24"/>
          <w:szCs w:val="24"/>
          <w:lang w:eastAsia="fr-FR"/>
        </w:rPr>
      </w:pPr>
      <w:r w:rsidRPr="00952F51">
        <w:rPr>
          <w:rFonts w:ascii="Times New Roman" w:eastAsia="Times New Roman" w:hAnsi="Times New Roman" w:cs="Times New Roman"/>
          <w:color w:val="0000CC"/>
          <w:sz w:val="24"/>
          <w:szCs w:val="24"/>
          <w:u w:val="single"/>
          <w:lang w:eastAsia="fr-FR"/>
        </w:rPr>
        <w:t>https://doi.org/</w:t>
      </w:r>
      <w:hyperlink r:id="rId22" w:history="1">
        <w:r w:rsidRPr="000D5C7A">
          <w:rPr>
            <w:rFonts w:ascii="Times New Roman" w:eastAsia="Times New Roman" w:hAnsi="Times New Roman" w:cs="Times New Roman"/>
            <w:color w:val="0000CC"/>
            <w:sz w:val="24"/>
            <w:szCs w:val="24"/>
            <w:u w:val="single"/>
            <w:lang w:eastAsia="fr-FR"/>
          </w:rPr>
          <w:t xml:space="preserve">10.9734/ajocs/2024/v14i6340 </w:t>
        </w:r>
      </w:hyperlink>
    </w:p>
    <w:p w14:paraId="3C0807FF" w14:textId="77777777" w:rsidR="00C35CEA" w:rsidRPr="00C35CEA" w:rsidRDefault="00C35CEA" w:rsidP="00C35CEA">
      <w:pPr>
        <w:autoSpaceDE w:val="0"/>
        <w:autoSpaceDN w:val="0"/>
        <w:adjustRightInd w:val="0"/>
        <w:spacing w:after="120" w:line="360" w:lineRule="auto"/>
        <w:jc w:val="both"/>
        <w:rPr>
          <w:rFonts w:ascii="Times New Roman" w:eastAsia="GulliverRM" w:hAnsi="Times New Roman" w:cs="Times New Roman"/>
          <w:sz w:val="24"/>
          <w:szCs w:val="24"/>
          <w:lang w:val="en-US"/>
        </w:rPr>
      </w:pPr>
      <w:r w:rsidRPr="00952F51">
        <w:rPr>
          <w:rFonts w:ascii="Times New Roman" w:eastAsia="GulliverRM" w:hAnsi="Times New Roman" w:cs="Times New Roman"/>
          <w:sz w:val="24"/>
          <w:szCs w:val="24"/>
          <w:lang w:val="en-US"/>
        </w:rPr>
        <w:lastRenderedPageBreak/>
        <w:t>Dang, J.</w:t>
      </w:r>
      <w:r>
        <w:rPr>
          <w:rFonts w:ascii="Times New Roman" w:eastAsia="GulliverRM" w:hAnsi="Times New Roman" w:cs="Times New Roman"/>
          <w:sz w:val="24"/>
          <w:szCs w:val="24"/>
          <w:lang w:val="en-US"/>
        </w:rPr>
        <w:t>,</w:t>
      </w:r>
      <w:r w:rsidRPr="00952F51">
        <w:rPr>
          <w:rFonts w:ascii="Times New Roman" w:eastAsia="GulliverRM" w:hAnsi="Times New Roman" w:cs="Times New Roman"/>
          <w:sz w:val="24"/>
          <w:szCs w:val="24"/>
          <w:lang w:val="en-US"/>
        </w:rPr>
        <w:t xml:space="preserve"> Tian, S.</w:t>
      </w:r>
      <w:r>
        <w:rPr>
          <w:rFonts w:ascii="Times New Roman" w:eastAsia="GulliverRM" w:hAnsi="Times New Roman" w:cs="Times New Roman"/>
          <w:sz w:val="24"/>
          <w:szCs w:val="24"/>
          <w:lang w:val="en-US"/>
        </w:rPr>
        <w:t>,</w:t>
      </w:r>
      <w:r w:rsidRPr="00952F51">
        <w:rPr>
          <w:rFonts w:ascii="Times New Roman" w:eastAsia="GulliverRM" w:hAnsi="Times New Roman" w:cs="Times New Roman"/>
          <w:sz w:val="24"/>
          <w:szCs w:val="24"/>
          <w:lang w:val="en-US"/>
        </w:rPr>
        <w:t xml:space="preserve"> </w:t>
      </w:r>
      <w:r w:rsidRPr="004F5288">
        <w:rPr>
          <w:rFonts w:ascii="Times New Roman" w:hAnsi="Times New Roman" w:cs="Times New Roman"/>
          <w:iCs/>
          <w:sz w:val="24"/>
          <w:szCs w:val="24"/>
          <w:lang w:val="en-US"/>
        </w:rPr>
        <w:t xml:space="preserve">&amp; </w:t>
      </w:r>
      <w:r w:rsidRPr="00952F51">
        <w:rPr>
          <w:rFonts w:ascii="Times New Roman" w:eastAsia="GulliverRM" w:hAnsi="Times New Roman" w:cs="Times New Roman"/>
          <w:sz w:val="24"/>
          <w:szCs w:val="24"/>
          <w:lang w:val="en-US"/>
        </w:rPr>
        <w:t xml:space="preserve">Zhang, </w:t>
      </w:r>
      <w:r>
        <w:rPr>
          <w:rFonts w:ascii="Times New Roman" w:eastAsia="GulliverRM" w:hAnsi="Times New Roman" w:cs="Times New Roman"/>
          <w:sz w:val="24"/>
          <w:szCs w:val="24"/>
          <w:lang w:val="en-US"/>
        </w:rPr>
        <w:t>Q</w:t>
      </w:r>
      <w:r w:rsidRPr="00952F51">
        <w:rPr>
          <w:rFonts w:ascii="Times New Roman" w:eastAsia="GulliverRM" w:hAnsi="Times New Roman" w:cs="Times New Roman"/>
          <w:sz w:val="24"/>
          <w:szCs w:val="24"/>
          <w:lang w:val="en-US"/>
        </w:rPr>
        <w:t>.</w:t>
      </w:r>
      <w:r>
        <w:rPr>
          <w:rFonts w:ascii="Times New Roman" w:eastAsia="GulliverRM" w:hAnsi="Times New Roman" w:cs="Times New Roman"/>
          <w:sz w:val="24"/>
          <w:szCs w:val="24"/>
          <w:lang w:val="en-US"/>
        </w:rPr>
        <w:t xml:space="preserve"> (2015). </w:t>
      </w:r>
      <w:r w:rsidRPr="008314CA">
        <w:rPr>
          <w:rFonts w:ascii="Times New Roman" w:eastAsia="GulliverRM" w:hAnsi="Times New Roman" w:cs="Times New Roman"/>
          <w:sz w:val="24"/>
          <w:szCs w:val="24"/>
          <w:lang w:val="en-US"/>
        </w:rPr>
        <w:t xml:space="preserve">Mechanism and kinetics studies of the atmospheric oxidation of </w:t>
      </w:r>
      <w:proofErr w:type="spellStart"/>
      <w:proofErr w:type="gramStart"/>
      <w:r w:rsidRPr="008314CA">
        <w:rPr>
          <w:rFonts w:ascii="Times New Roman" w:eastAsia="GulliverRM" w:hAnsi="Times New Roman" w:cs="Times New Roman"/>
          <w:sz w:val="24"/>
          <w:szCs w:val="24"/>
          <w:lang w:val="en-US"/>
        </w:rPr>
        <w:t>p,p</w:t>
      </w:r>
      <w:proofErr w:type="spellEnd"/>
      <w:proofErr w:type="gramEnd"/>
      <w:r w:rsidRPr="008314CA">
        <w:rPr>
          <w:rFonts w:ascii="Times New Roman" w:eastAsia="GulliverRM" w:hAnsi="Times New Roman" w:cs="Times New Roman"/>
          <w:sz w:val="24"/>
          <w:szCs w:val="24"/>
          <w:lang w:val="en-US"/>
        </w:rPr>
        <w:t>'-Dicofol by OH and NO</w:t>
      </w:r>
      <w:r w:rsidRPr="008314CA">
        <w:rPr>
          <w:rFonts w:ascii="Times New Roman" w:eastAsia="GulliverRM" w:hAnsi="Times New Roman" w:cs="Times New Roman"/>
          <w:sz w:val="24"/>
          <w:szCs w:val="24"/>
          <w:vertAlign w:val="subscript"/>
          <w:lang w:val="en-US"/>
        </w:rPr>
        <w:t>3</w:t>
      </w:r>
      <w:r w:rsidRPr="008314CA">
        <w:rPr>
          <w:rFonts w:ascii="Times New Roman" w:eastAsia="GulliverRM" w:hAnsi="Times New Roman" w:cs="Times New Roman"/>
          <w:sz w:val="24"/>
          <w:szCs w:val="24"/>
          <w:lang w:val="en-US"/>
        </w:rPr>
        <w:t xml:space="preserve"> radicals</w:t>
      </w:r>
      <w:r>
        <w:rPr>
          <w:rFonts w:ascii="Times New Roman" w:eastAsia="GulliverRM" w:hAnsi="Times New Roman" w:cs="Times New Roman"/>
          <w:sz w:val="24"/>
          <w:szCs w:val="24"/>
          <w:lang w:val="en-US"/>
        </w:rPr>
        <w:t>.</w:t>
      </w:r>
      <w:r w:rsidRPr="00952F51">
        <w:rPr>
          <w:rFonts w:ascii="Times New Roman" w:eastAsia="GulliverRM" w:hAnsi="Times New Roman" w:cs="Times New Roman"/>
          <w:sz w:val="24"/>
          <w:szCs w:val="24"/>
          <w:lang w:val="en-US"/>
        </w:rPr>
        <w:t xml:space="preserve"> </w:t>
      </w:r>
      <w:r w:rsidRPr="008314CA">
        <w:rPr>
          <w:rFonts w:ascii="Times New Roman" w:eastAsia="GulliverRM" w:hAnsi="Times New Roman" w:cs="Times New Roman"/>
          <w:iCs/>
          <w:sz w:val="24"/>
          <w:szCs w:val="24"/>
          <w:lang w:val="en-US"/>
        </w:rPr>
        <w:t>Chemosphere</w:t>
      </w:r>
      <w:r w:rsidRPr="008314CA">
        <w:rPr>
          <w:rFonts w:ascii="Times New Roman" w:eastAsia="GulliverRM" w:hAnsi="Times New Roman" w:cs="Times New Roman"/>
          <w:sz w:val="24"/>
          <w:szCs w:val="24"/>
          <w:lang w:val="en-US"/>
        </w:rPr>
        <w:t>,</w:t>
      </w:r>
      <w:r>
        <w:rPr>
          <w:rFonts w:ascii="Times New Roman" w:eastAsia="GulliverRM" w:hAnsi="Times New Roman" w:cs="Times New Roman"/>
          <w:sz w:val="24"/>
          <w:szCs w:val="24"/>
          <w:lang w:val="en-US"/>
        </w:rPr>
        <w:t xml:space="preserve"> 219</w:t>
      </w:r>
      <w:r w:rsidRPr="00952F51">
        <w:rPr>
          <w:rFonts w:ascii="Times New Roman" w:eastAsia="GulliverRM" w:hAnsi="Times New Roman" w:cs="Times New Roman"/>
          <w:sz w:val="24"/>
          <w:szCs w:val="24"/>
          <w:lang w:val="en-US"/>
        </w:rPr>
        <w:t>,</w:t>
      </w:r>
      <w:r>
        <w:rPr>
          <w:rFonts w:ascii="Times New Roman" w:eastAsia="GulliverRM" w:hAnsi="Times New Roman" w:cs="Times New Roman"/>
          <w:sz w:val="24"/>
          <w:szCs w:val="24"/>
          <w:lang w:val="en-US"/>
        </w:rPr>
        <w:t xml:space="preserve"> </w:t>
      </w:r>
      <w:r w:rsidRPr="00952F51">
        <w:rPr>
          <w:rFonts w:ascii="Times New Roman" w:eastAsia="GulliverRM" w:hAnsi="Times New Roman" w:cs="Times New Roman"/>
          <w:sz w:val="24"/>
          <w:szCs w:val="24"/>
          <w:lang w:val="en-US"/>
        </w:rPr>
        <w:t>645-654</w:t>
      </w:r>
      <w:r>
        <w:rPr>
          <w:rFonts w:ascii="Times New Roman" w:eastAsia="GulliverRM" w:hAnsi="Times New Roman" w:cs="Times New Roman"/>
          <w:sz w:val="24"/>
          <w:szCs w:val="24"/>
          <w:lang w:val="en-US"/>
        </w:rPr>
        <w:t>.</w:t>
      </w:r>
      <w:r w:rsidRPr="008314CA">
        <w:t xml:space="preserve"> </w:t>
      </w:r>
      <w:hyperlink r:id="rId23" w:tgtFrame="_blank" w:tooltip="Persistent link using digital object identifier" w:history="1">
        <w:r w:rsidRPr="00691CD2">
          <w:rPr>
            <w:rStyle w:val="anchor-text"/>
            <w:rFonts w:ascii="Times New Roman" w:hAnsi="Times New Roman" w:cs="Times New Roman"/>
            <w:color w:val="0000FF"/>
            <w:sz w:val="24"/>
            <w:szCs w:val="24"/>
            <w:u w:val="single"/>
          </w:rPr>
          <w:t>https://doi.org/10.1016/j.chemosphere.2018.12.048</w:t>
        </w:r>
      </w:hyperlink>
    </w:p>
    <w:p w14:paraId="1B27A119" w14:textId="77777777" w:rsidR="00C35CEA" w:rsidRDefault="00C35CEA" w:rsidP="00C35CEA">
      <w:pPr>
        <w:spacing w:after="0" w:line="360" w:lineRule="auto"/>
        <w:jc w:val="both"/>
        <w:rPr>
          <w:rFonts w:ascii="Times New Roman" w:hAnsi="Times New Roman" w:cs="Times New Roman"/>
          <w:bCs/>
          <w:sz w:val="24"/>
          <w:szCs w:val="24"/>
          <w:lang w:val="en-US"/>
        </w:rPr>
      </w:pPr>
      <w:r w:rsidRPr="000D5C7A">
        <w:rPr>
          <w:rFonts w:ascii="Times New Roman" w:hAnsi="Times New Roman" w:cs="Times New Roman"/>
          <w:bCs/>
          <w:sz w:val="24"/>
          <w:szCs w:val="24"/>
          <w:lang w:val="en-US"/>
        </w:rPr>
        <w:t>Diop-Seck</w:t>
      </w:r>
      <w:r>
        <w:rPr>
          <w:rFonts w:ascii="Times New Roman" w:hAnsi="Times New Roman" w:cs="Times New Roman"/>
          <w:bCs/>
          <w:sz w:val="24"/>
          <w:szCs w:val="24"/>
          <w:lang w:val="en-US"/>
        </w:rPr>
        <w:t>,</w:t>
      </w:r>
      <w:r w:rsidRPr="00156CB0">
        <w:rPr>
          <w:rFonts w:ascii="Times New Roman" w:hAnsi="Times New Roman" w:cs="Times New Roman"/>
          <w:bCs/>
          <w:sz w:val="24"/>
          <w:szCs w:val="24"/>
          <w:lang w:val="en-US"/>
        </w:rPr>
        <w:t xml:space="preserve"> N.</w:t>
      </w:r>
      <w:r>
        <w:rPr>
          <w:rFonts w:ascii="Times New Roman" w:hAnsi="Times New Roman" w:cs="Times New Roman"/>
          <w:bCs/>
          <w:sz w:val="24"/>
          <w:szCs w:val="24"/>
          <w:lang w:val="en-US"/>
        </w:rPr>
        <w:t xml:space="preserve"> </w:t>
      </w:r>
      <w:r w:rsidRPr="00156CB0">
        <w:rPr>
          <w:rFonts w:ascii="Times New Roman" w:hAnsi="Times New Roman" w:cs="Times New Roman"/>
          <w:bCs/>
          <w:sz w:val="24"/>
          <w:szCs w:val="24"/>
          <w:lang w:val="en-US"/>
        </w:rPr>
        <w:t>A</w:t>
      </w:r>
      <w:r w:rsidRPr="000D5C7A">
        <w:rPr>
          <w:rFonts w:ascii="Times New Roman" w:hAnsi="Times New Roman" w:cs="Times New Roman"/>
          <w:bCs/>
          <w:sz w:val="24"/>
          <w:szCs w:val="24"/>
          <w:lang w:val="en-US"/>
        </w:rPr>
        <w:t>., Diouf</w:t>
      </w:r>
      <w:r>
        <w:rPr>
          <w:rFonts w:ascii="Times New Roman" w:hAnsi="Times New Roman" w:cs="Times New Roman"/>
          <w:bCs/>
          <w:sz w:val="24"/>
          <w:szCs w:val="24"/>
          <w:lang w:val="en-US"/>
        </w:rPr>
        <w:t>,</w:t>
      </w:r>
      <w:r w:rsidRPr="000D5C7A">
        <w:rPr>
          <w:rFonts w:ascii="Times New Roman" w:hAnsi="Times New Roman" w:cs="Times New Roman"/>
          <w:bCs/>
          <w:sz w:val="24"/>
          <w:szCs w:val="24"/>
          <w:lang w:val="en-US"/>
        </w:rPr>
        <w:t xml:space="preserve"> D., Bodian</w:t>
      </w:r>
      <w:r>
        <w:rPr>
          <w:rFonts w:ascii="Times New Roman" w:hAnsi="Times New Roman" w:cs="Times New Roman"/>
          <w:bCs/>
          <w:sz w:val="24"/>
          <w:szCs w:val="24"/>
          <w:lang w:val="en-US"/>
        </w:rPr>
        <w:t>,</w:t>
      </w:r>
      <w:r w:rsidRPr="000D5C7A">
        <w:rPr>
          <w:rFonts w:ascii="Times New Roman" w:hAnsi="Times New Roman" w:cs="Times New Roman"/>
          <w:bCs/>
          <w:sz w:val="24"/>
          <w:szCs w:val="24"/>
          <w:lang w:val="en-US"/>
        </w:rPr>
        <w:t xml:space="preserve"> E.</w:t>
      </w:r>
      <w:r>
        <w:rPr>
          <w:rFonts w:ascii="Times New Roman" w:hAnsi="Times New Roman" w:cs="Times New Roman"/>
          <w:bCs/>
          <w:sz w:val="24"/>
          <w:szCs w:val="24"/>
          <w:lang w:val="en-US"/>
        </w:rPr>
        <w:t xml:space="preserve"> </w:t>
      </w:r>
      <w:r w:rsidRPr="000D5C7A">
        <w:rPr>
          <w:rFonts w:ascii="Times New Roman" w:hAnsi="Times New Roman" w:cs="Times New Roman"/>
          <w:bCs/>
          <w:sz w:val="24"/>
          <w:szCs w:val="24"/>
          <w:lang w:val="en-US"/>
        </w:rPr>
        <w:t>T., Faye</w:t>
      </w:r>
      <w:r>
        <w:rPr>
          <w:rFonts w:ascii="Times New Roman" w:hAnsi="Times New Roman" w:cs="Times New Roman"/>
          <w:bCs/>
          <w:sz w:val="24"/>
          <w:szCs w:val="24"/>
          <w:lang w:val="en-US"/>
        </w:rPr>
        <w:t>,</w:t>
      </w:r>
      <w:r w:rsidRPr="000D5C7A">
        <w:rPr>
          <w:rFonts w:ascii="Times New Roman" w:hAnsi="Times New Roman" w:cs="Times New Roman"/>
          <w:bCs/>
          <w:sz w:val="24"/>
          <w:szCs w:val="24"/>
          <w:lang w:val="en-US"/>
        </w:rPr>
        <w:t xml:space="preserve"> C., Bakhoum</w:t>
      </w:r>
      <w:r>
        <w:rPr>
          <w:rFonts w:ascii="Times New Roman" w:hAnsi="Times New Roman" w:cs="Times New Roman"/>
          <w:bCs/>
          <w:sz w:val="24"/>
          <w:szCs w:val="24"/>
          <w:lang w:val="en-US"/>
        </w:rPr>
        <w:t>,</w:t>
      </w:r>
      <w:r w:rsidRPr="000D5C7A">
        <w:rPr>
          <w:rFonts w:ascii="Times New Roman" w:hAnsi="Times New Roman" w:cs="Times New Roman"/>
          <w:bCs/>
          <w:sz w:val="24"/>
          <w:szCs w:val="24"/>
          <w:lang w:val="en-US"/>
        </w:rPr>
        <w:t xml:space="preserve"> J.</w:t>
      </w:r>
      <w:r>
        <w:rPr>
          <w:rFonts w:ascii="Times New Roman" w:hAnsi="Times New Roman" w:cs="Times New Roman"/>
          <w:bCs/>
          <w:sz w:val="24"/>
          <w:szCs w:val="24"/>
          <w:lang w:val="en-US"/>
        </w:rPr>
        <w:t xml:space="preserve"> </w:t>
      </w:r>
      <w:r w:rsidRPr="000D5C7A">
        <w:rPr>
          <w:rFonts w:ascii="Times New Roman" w:hAnsi="Times New Roman" w:cs="Times New Roman"/>
          <w:bCs/>
          <w:sz w:val="24"/>
          <w:szCs w:val="24"/>
          <w:lang w:val="en-US"/>
        </w:rPr>
        <w:t>P.,</w:t>
      </w:r>
      <w:r w:rsidRPr="00250950">
        <w:rPr>
          <w:rFonts w:ascii="Times New Roman" w:hAnsi="Times New Roman" w:cs="Times New Roman"/>
          <w:bCs/>
          <w:color w:val="009900"/>
          <w:sz w:val="24"/>
          <w:szCs w:val="24"/>
          <w:lang w:val="en-US"/>
        </w:rPr>
        <w:t xml:space="preserve"> </w:t>
      </w:r>
      <w:r w:rsidRPr="004F5288">
        <w:rPr>
          <w:rFonts w:ascii="Times New Roman" w:hAnsi="Times New Roman" w:cs="Times New Roman"/>
          <w:bCs/>
          <w:sz w:val="24"/>
          <w:szCs w:val="24"/>
          <w:lang w:val="en-US"/>
        </w:rPr>
        <w:t xml:space="preserve">Thiaré, D. D., </w:t>
      </w:r>
      <w:r w:rsidRPr="000D5C7A">
        <w:rPr>
          <w:rFonts w:ascii="Times New Roman" w:hAnsi="Times New Roman" w:cs="Times New Roman"/>
          <w:bCs/>
          <w:sz w:val="24"/>
          <w:szCs w:val="24"/>
          <w:lang w:val="en-US"/>
        </w:rPr>
        <w:t>Diaw</w:t>
      </w:r>
      <w:r>
        <w:rPr>
          <w:rFonts w:ascii="Times New Roman" w:hAnsi="Times New Roman" w:cs="Times New Roman"/>
          <w:bCs/>
          <w:sz w:val="24"/>
          <w:szCs w:val="24"/>
          <w:lang w:val="en-US"/>
        </w:rPr>
        <w:t>,</w:t>
      </w:r>
      <w:r w:rsidRPr="000D5C7A">
        <w:rPr>
          <w:rFonts w:ascii="Times New Roman" w:hAnsi="Times New Roman" w:cs="Times New Roman"/>
          <w:bCs/>
          <w:sz w:val="24"/>
          <w:szCs w:val="24"/>
          <w:lang w:val="en-US"/>
        </w:rPr>
        <w:t xml:space="preserve"> P.</w:t>
      </w:r>
      <w:r>
        <w:rPr>
          <w:rFonts w:ascii="Times New Roman" w:hAnsi="Times New Roman" w:cs="Times New Roman"/>
          <w:bCs/>
          <w:sz w:val="24"/>
          <w:szCs w:val="24"/>
          <w:lang w:val="en-US"/>
        </w:rPr>
        <w:t xml:space="preserve"> </w:t>
      </w:r>
      <w:r w:rsidRPr="000D5C7A">
        <w:rPr>
          <w:rFonts w:ascii="Times New Roman" w:hAnsi="Times New Roman" w:cs="Times New Roman"/>
          <w:bCs/>
          <w:sz w:val="24"/>
          <w:szCs w:val="24"/>
          <w:lang w:val="en-US"/>
        </w:rPr>
        <w:t>A., Gaye-Seye</w:t>
      </w:r>
      <w:r>
        <w:rPr>
          <w:rFonts w:ascii="Times New Roman" w:hAnsi="Times New Roman" w:cs="Times New Roman"/>
          <w:bCs/>
          <w:sz w:val="24"/>
          <w:szCs w:val="24"/>
          <w:lang w:val="en-US"/>
        </w:rPr>
        <w:t>,</w:t>
      </w:r>
      <w:r w:rsidRPr="000D5C7A">
        <w:rPr>
          <w:rFonts w:ascii="Times New Roman" w:hAnsi="Times New Roman" w:cs="Times New Roman"/>
          <w:bCs/>
          <w:sz w:val="24"/>
          <w:szCs w:val="24"/>
          <w:lang w:val="en-US"/>
        </w:rPr>
        <w:t xml:space="preserve"> M.</w:t>
      </w:r>
      <w:r>
        <w:rPr>
          <w:rFonts w:ascii="Times New Roman" w:hAnsi="Times New Roman" w:cs="Times New Roman"/>
          <w:bCs/>
          <w:sz w:val="24"/>
          <w:szCs w:val="24"/>
          <w:lang w:val="en-US"/>
        </w:rPr>
        <w:t xml:space="preserve"> </w:t>
      </w:r>
      <w:r w:rsidRPr="000D5C7A">
        <w:rPr>
          <w:rFonts w:ascii="Times New Roman" w:hAnsi="Times New Roman" w:cs="Times New Roman"/>
          <w:bCs/>
          <w:sz w:val="24"/>
          <w:szCs w:val="24"/>
          <w:lang w:val="en-US"/>
        </w:rPr>
        <w:t>D., Coly</w:t>
      </w:r>
      <w:r>
        <w:rPr>
          <w:rFonts w:ascii="Times New Roman" w:hAnsi="Times New Roman" w:cs="Times New Roman"/>
          <w:bCs/>
          <w:sz w:val="24"/>
          <w:szCs w:val="24"/>
          <w:lang w:val="en-US"/>
        </w:rPr>
        <w:t>,</w:t>
      </w:r>
      <w:r w:rsidRPr="000D5C7A">
        <w:rPr>
          <w:rFonts w:ascii="Times New Roman" w:hAnsi="Times New Roman" w:cs="Times New Roman"/>
          <w:bCs/>
          <w:sz w:val="24"/>
          <w:szCs w:val="24"/>
          <w:lang w:val="en-US"/>
        </w:rPr>
        <w:t xml:space="preserve"> A., Le Jeune</w:t>
      </w:r>
      <w:r>
        <w:rPr>
          <w:rFonts w:ascii="Times New Roman" w:hAnsi="Times New Roman" w:cs="Times New Roman"/>
          <w:bCs/>
          <w:sz w:val="24"/>
          <w:szCs w:val="24"/>
          <w:lang w:val="en-US"/>
        </w:rPr>
        <w:t>,</w:t>
      </w:r>
      <w:r w:rsidRPr="000D5C7A">
        <w:rPr>
          <w:rFonts w:ascii="Times New Roman" w:hAnsi="Times New Roman" w:cs="Times New Roman"/>
          <w:bCs/>
          <w:sz w:val="24"/>
          <w:szCs w:val="24"/>
          <w:lang w:val="en-US"/>
        </w:rPr>
        <w:t xml:space="preserve"> B., </w:t>
      </w:r>
      <w:r w:rsidRPr="004F5288">
        <w:rPr>
          <w:rFonts w:ascii="Times New Roman" w:hAnsi="Times New Roman" w:cs="Times New Roman"/>
          <w:iCs/>
          <w:sz w:val="24"/>
          <w:szCs w:val="24"/>
          <w:lang w:val="en-US"/>
        </w:rPr>
        <w:t xml:space="preserve">&amp; </w:t>
      </w:r>
      <w:proofErr w:type="spellStart"/>
      <w:r w:rsidRPr="00250950">
        <w:rPr>
          <w:rFonts w:ascii="Times New Roman" w:hAnsi="Times New Roman" w:cs="Times New Roman"/>
          <w:sz w:val="24"/>
          <w:szCs w:val="24"/>
          <w:lang w:val="en-US"/>
        </w:rPr>
        <w:t>Giamarchi</w:t>
      </w:r>
      <w:proofErr w:type="spellEnd"/>
      <w:r>
        <w:rPr>
          <w:rFonts w:ascii="Times New Roman" w:hAnsi="Times New Roman" w:cs="Times New Roman"/>
          <w:sz w:val="24"/>
          <w:szCs w:val="24"/>
          <w:lang w:val="en-US"/>
        </w:rPr>
        <w:t>,</w:t>
      </w:r>
      <w:r w:rsidRPr="00250950">
        <w:rPr>
          <w:rFonts w:ascii="Times New Roman" w:hAnsi="Times New Roman" w:cs="Times New Roman"/>
          <w:sz w:val="24"/>
          <w:szCs w:val="24"/>
          <w:lang w:val="en-US"/>
        </w:rPr>
        <w:t xml:space="preserve"> P.</w:t>
      </w:r>
      <w:r>
        <w:rPr>
          <w:rFonts w:ascii="Times New Roman" w:hAnsi="Times New Roman" w:cs="Times New Roman"/>
          <w:bCs/>
          <w:sz w:val="24"/>
          <w:szCs w:val="24"/>
          <w:lang w:val="en-US"/>
        </w:rPr>
        <w:t xml:space="preserve"> (2023). </w:t>
      </w:r>
      <w:r w:rsidRPr="000D5C7A">
        <w:rPr>
          <w:rFonts w:ascii="Times New Roman" w:hAnsi="Times New Roman" w:cs="Times New Roman"/>
          <w:bCs/>
          <w:sz w:val="24"/>
          <w:szCs w:val="24"/>
          <w:lang w:val="en-US"/>
        </w:rPr>
        <w:t xml:space="preserve">High Sensitivity </w:t>
      </w:r>
      <w:proofErr w:type="gramStart"/>
      <w:r w:rsidRPr="000D5C7A">
        <w:rPr>
          <w:rFonts w:ascii="Times New Roman" w:hAnsi="Times New Roman" w:cs="Times New Roman"/>
          <w:bCs/>
          <w:sz w:val="24"/>
          <w:szCs w:val="24"/>
          <w:lang w:val="en-US"/>
        </w:rPr>
        <w:t>on-Site</w:t>
      </w:r>
      <w:proofErr w:type="gramEnd"/>
      <w:r w:rsidRPr="000D5C7A">
        <w:rPr>
          <w:rFonts w:ascii="Times New Roman" w:hAnsi="Times New Roman" w:cs="Times New Roman"/>
          <w:bCs/>
          <w:sz w:val="24"/>
          <w:szCs w:val="24"/>
          <w:lang w:val="en-US"/>
        </w:rPr>
        <w:t xml:space="preserve"> Early Warning System Monitoring of Pesticide</w:t>
      </w:r>
      <w:r>
        <w:rPr>
          <w:rFonts w:ascii="Times New Roman" w:hAnsi="Times New Roman" w:cs="Times New Roman"/>
          <w:bCs/>
          <w:sz w:val="24"/>
          <w:szCs w:val="24"/>
          <w:lang w:val="en-US"/>
        </w:rPr>
        <w:t>s by Photo-Induced Fluorescence.</w:t>
      </w:r>
      <w:r w:rsidRPr="000D5C7A">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Analytica </w:t>
      </w:r>
      <w:proofErr w:type="spellStart"/>
      <w:r>
        <w:rPr>
          <w:rFonts w:ascii="Times New Roman" w:hAnsi="Times New Roman" w:cs="Times New Roman"/>
          <w:bCs/>
          <w:sz w:val="24"/>
          <w:szCs w:val="24"/>
          <w:lang w:val="en-US"/>
        </w:rPr>
        <w:t>Chimica</w:t>
      </w:r>
      <w:proofErr w:type="spellEnd"/>
      <w:r>
        <w:rPr>
          <w:rFonts w:ascii="Times New Roman" w:hAnsi="Times New Roman" w:cs="Times New Roman"/>
          <w:bCs/>
          <w:sz w:val="24"/>
          <w:szCs w:val="24"/>
          <w:lang w:val="en-US"/>
        </w:rPr>
        <w:t xml:space="preserve"> </w:t>
      </w:r>
      <w:r w:rsidRPr="00250950">
        <w:rPr>
          <w:rFonts w:ascii="Times New Roman" w:hAnsi="Times New Roman" w:cs="Times New Roman"/>
          <w:bCs/>
          <w:sz w:val="24"/>
          <w:szCs w:val="24"/>
          <w:lang w:val="en-US"/>
        </w:rPr>
        <w:t>Acta</w:t>
      </w:r>
      <w:r>
        <w:rPr>
          <w:rFonts w:ascii="Times New Roman" w:hAnsi="Times New Roman" w:cs="Times New Roman"/>
          <w:bCs/>
          <w:sz w:val="24"/>
          <w:szCs w:val="24"/>
          <w:lang w:val="en-US"/>
        </w:rPr>
        <w:t xml:space="preserve">, 1250, 340969. </w:t>
      </w:r>
    </w:p>
    <w:p w14:paraId="5A5BFF4B" w14:textId="77777777" w:rsidR="00C35CEA" w:rsidRPr="000D5C7A" w:rsidRDefault="00E13761" w:rsidP="00C35CEA">
      <w:pPr>
        <w:spacing w:after="120" w:line="360" w:lineRule="auto"/>
        <w:jc w:val="both"/>
        <w:rPr>
          <w:rFonts w:ascii="Times New Roman" w:hAnsi="Times New Roman" w:cs="Times New Roman"/>
          <w:bCs/>
          <w:sz w:val="24"/>
          <w:szCs w:val="24"/>
          <w:lang w:val="en-US"/>
        </w:rPr>
      </w:pPr>
      <w:hyperlink r:id="rId24" w:tgtFrame="_blank" w:tooltip="Persistent link using digital object identifier" w:history="1">
        <w:r w:rsidR="00C35CEA" w:rsidRPr="000D5C7A">
          <w:rPr>
            <w:rFonts w:ascii="Times New Roman" w:hAnsi="Times New Roman" w:cs="Times New Roman"/>
            <w:color w:val="0000FF"/>
            <w:sz w:val="24"/>
            <w:szCs w:val="24"/>
            <w:u w:val="single"/>
            <w:lang w:val="en-US"/>
          </w:rPr>
          <w:t>https://doi.org/10.1016/j.aca.2023.340969</w:t>
        </w:r>
      </w:hyperlink>
    </w:p>
    <w:p w14:paraId="165DB777" w14:textId="77777777" w:rsidR="00C35CEA" w:rsidRDefault="00C35CEA" w:rsidP="00C35CEA">
      <w:pPr>
        <w:autoSpaceDE w:val="0"/>
        <w:autoSpaceDN w:val="0"/>
        <w:adjustRightInd w:val="0"/>
        <w:spacing w:after="0" w:line="360" w:lineRule="auto"/>
        <w:jc w:val="both"/>
      </w:pPr>
      <w:r>
        <w:rPr>
          <w:rFonts w:ascii="Times New Roman" w:hAnsi="Times New Roman" w:cs="Times New Roman"/>
          <w:color w:val="000000"/>
          <w:sz w:val="24"/>
          <w:szCs w:val="24"/>
          <w:lang w:val="es-ES_tradnl"/>
        </w:rPr>
        <w:t>Fujii</w:t>
      </w:r>
      <w:r w:rsidRPr="00952F51">
        <w:rPr>
          <w:rFonts w:ascii="Times New Roman" w:hAnsi="Times New Roman" w:cs="Times New Roman"/>
          <w:color w:val="000000"/>
          <w:sz w:val="24"/>
          <w:szCs w:val="24"/>
          <w:lang w:val="es-ES_tradnl"/>
        </w:rPr>
        <w:t xml:space="preserve">, </w:t>
      </w:r>
      <w:r>
        <w:rPr>
          <w:rFonts w:ascii="Times New Roman" w:hAnsi="Times New Roman" w:cs="Times New Roman"/>
          <w:color w:val="000000"/>
          <w:sz w:val="24"/>
          <w:szCs w:val="24"/>
          <w:lang w:val="es-ES_tradnl"/>
        </w:rPr>
        <w:t>Y., Haraguchi</w:t>
      </w:r>
      <w:r w:rsidRPr="00952F51">
        <w:rPr>
          <w:rFonts w:ascii="Times New Roman" w:hAnsi="Times New Roman" w:cs="Times New Roman"/>
          <w:color w:val="000000"/>
          <w:sz w:val="24"/>
          <w:szCs w:val="24"/>
          <w:lang w:val="es-ES_tradnl"/>
        </w:rPr>
        <w:t xml:space="preserve">, </w:t>
      </w:r>
      <w:r>
        <w:rPr>
          <w:rFonts w:ascii="Times New Roman" w:hAnsi="Times New Roman" w:cs="Times New Roman"/>
          <w:color w:val="000000"/>
          <w:sz w:val="24"/>
          <w:szCs w:val="24"/>
          <w:lang w:val="es-ES_tradnl"/>
        </w:rPr>
        <w:t>K., Harada</w:t>
      </w:r>
      <w:r w:rsidRPr="00952F51">
        <w:rPr>
          <w:rFonts w:ascii="Times New Roman" w:hAnsi="Times New Roman" w:cs="Times New Roman"/>
          <w:color w:val="000000"/>
          <w:sz w:val="24"/>
          <w:szCs w:val="24"/>
          <w:lang w:val="es-ES_tradnl"/>
        </w:rPr>
        <w:t>,</w:t>
      </w:r>
      <w:r w:rsidRPr="008036AF">
        <w:rPr>
          <w:rFonts w:ascii="Times New Roman" w:hAnsi="Times New Roman" w:cs="Times New Roman"/>
          <w:color w:val="000000"/>
          <w:sz w:val="24"/>
          <w:szCs w:val="24"/>
          <w:lang w:val="es-ES_tradnl"/>
        </w:rPr>
        <w:t xml:space="preserve"> </w:t>
      </w:r>
      <w:r w:rsidRPr="00952F51">
        <w:rPr>
          <w:rFonts w:ascii="Times New Roman" w:hAnsi="Times New Roman" w:cs="Times New Roman"/>
          <w:color w:val="000000"/>
          <w:sz w:val="24"/>
          <w:szCs w:val="24"/>
          <w:lang w:val="es-ES_tradnl"/>
        </w:rPr>
        <w:t>K. H.</w:t>
      </w:r>
      <w:r>
        <w:rPr>
          <w:rFonts w:ascii="Times New Roman" w:hAnsi="Times New Roman" w:cs="Times New Roman"/>
          <w:color w:val="000000"/>
          <w:sz w:val="24"/>
          <w:szCs w:val="24"/>
          <w:lang w:val="es-ES_tradnl"/>
        </w:rPr>
        <w:t>,</w:t>
      </w:r>
      <w:r w:rsidRPr="00952F51">
        <w:rPr>
          <w:rFonts w:ascii="Times New Roman" w:hAnsi="Times New Roman" w:cs="Times New Roman"/>
          <w:color w:val="000000"/>
          <w:sz w:val="24"/>
          <w:szCs w:val="24"/>
          <w:lang w:val="es-ES_tradnl"/>
        </w:rPr>
        <w:t xml:space="preserve"> </w:t>
      </w:r>
      <w:r>
        <w:rPr>
          <w:rFonts w:ascii="Times New Roman" w:hAnsi="Times New Roman" w:cs="Times New Roman"/>
          <w:color w:val="000000"/>
          <w:sz w:val="24"/>
          <w:szCs w:val="24"/>
          <w:lang w:val="es-ES_tradnl"/>
        </w:rPr>
        <w:t>Hitomi</w:t>
      </w:r>
      <w:r w:rsidRPr="00952F51">
        <w:rPr>
          <w:rFonts w:ascii="Times New Roman" w:hAnsi="Times New Roman" w:cs="Times New Roman"/>
          <w:color w:val="000000"/>
          <w:sz w:val="24"/>
          <w:szCs w:val="24"/>
          <w:lang w:val="es-ES_tradnl"/>
        </w:rPr>
        <w:t>, T.</w:t>
      </w:r>
      <w:r>
        <w:rPr>
          <w:rFonts w:ascii="Times New Roman" w:hAnsi="Times New Roman" w:cs="Times New Roman"/>
          <w:color w:val="000000"/>
          <w:sz w:val="24"/>
          <w:szCs w:val="24"/>
          <w:lang w:val="es-ES_tradnl"/>
        </w:rPr>
        <w:t>,</w:t>
      </w:r>
      <w:r w:rsidRPr="00952F51">
        <w:rPr>
          <w:rFonts w:ascii="Times New Roman" w:hAnsi="Times New Roman" w:cs="Times New Roman"/>
          <w:color w:val="000000"/>
          <w:sz w:val="24"/>
          <w:szCs w:val="24"/>
          <w:lang w:val="es-ES_tradnl"/>
        </w:rPr>
        <w:t xml:space="preserve"> </w:t>
      </w:r>
      <w:r>
        <w:rPr>
          <w:rFonts w:ascii="Times New Roman" w:hAnsi="Times New Roman" w:cs="Times New Roman"/>
          <w:color w:val="000000"/>
          <w:sz w:val="24"/>
          <w:szCs w:val="24"/>
          <w:lang w:val="es-ES_tradnl"/>
        </w:rPr>
        <w:t>Inoue</w:t>
      </w:r>
      <w:r w:rsidRPr="00952F51">
        <w:rPr>
          <w:rFonts w:ascii="Times New Roman" w:hAnsi="Times New Roman" w:cs="Times New Roman"/>
          <w:color w:val="000000"/>
          <w:sz w:val="24"/>
          <w:szCs w:val="24"/>
          <w:lang w:val="es-ES_tradnl"/>
        </w:rPr>
        <w:t>,</w:t>
      </w:r>
      <w:r w:rsidRPr="008036AF">
        <w:rPr>
          <w:rFonts w:ascii="Times New Roman" w:hAnsi="Times New Roman" w:cs="Times New Roman"/>
          <w:color w:val="000000"/>
          <w:sz w:val="24"/>
          <w:szCs w:val="24"/>
          <w:lang w:val="es-ES_tradnl"/>
        </w:rPr>
        <w:t xml:space="preserve"> </w:t>
      </w:r>
      <w:r w:rsidRPr="00952F51">
        <w:rPr>
          <w:rFonts w:ascii="Times New Roman" w:hAnsi="Times New Roman" w:cs="Times New Roman"/>
          <w:color w:val="000000"/>
          <w:sz w:val="24"/>
          <w:szCs w:val="24"/>
          <w:lang w:val="es-ES_tradnl"/>
        </w:rPr>
        <w:t>K.</w:t>
      </w:r>
      <w:r>
        <w:rPr>
          <w:rFonts w:ascii="Times New Roman" w:hAnsi="Times New Roman" w:cs="Times New Roman"/>
          <w:color w:val="000000"/>
          <w:sz w:val="24"/>
          <w:szCs w:val="24"/>
          <w:lang w:val="es-ES_tradnl"/>
        </w:rPr>
        <w:t>,</w:t>
      </w:r>
      <w:r w:rsidRPr="00952F51">
        <w:rPr>
          <w:rFonts w:ascii="Times New Roman" w:hAnsi="Times New Roman" w:cs="Times New Roman"/>
          <w:color w:val="000000"/>
          <w:sz w:val="24"/>
          <w:szCs w:val="24"/>
          <w:lang w:val="es-ES_tradnl"/>
        </w:rPr>
        <w:t xml:space="preserve"> </w:t>
      </w:r>
      <w:r>
        <w:rPr>
          <w:rFonts w:ascii="Times New Roman" w:hAnsi="Times New Roman" w:cs="Times New Roman"/>
          <w:color w:val="000000"/>
          <w:sz w:val="24"/>
          <w:szCs w:val="24"/>
          <w:lang w:val="es-ES_tradnl"/>
        </w:rPr>
        <w:t>Itoh</w:t>
      </w:r>
      <w:r w:rsidRPr="00952F51">
        <w:rPr>
          <w:rFonts w:ascii="Times New Roman" w:hAnsi="Times New Roman" w:cs="Times New Roman"/>
          <w:color w:val="000000"/>
          <w:sz w:val="24"/>
          <w:szCs w:val="24"/>
          <w:lang w:val="es-ES_tradnl"/>
        </w:rPr>
        <w:t>,</w:t>
      </w:r>
      <w:r w:rsidRPr="008036AF">
        <w:rPr>
          <w:rFonts w:ascii="Times New Roman" w:hAnsi="Times New Roman" w:cs="Times New Roman"/>
          <w:color w:val="000000"/>
          <w:sz w:val="24"/>
          <w:szCs w:val="24"/>
          <w:lang w:val="es-ES_tradnl"/>
        </w:rPr>
        <w:t xml:space="preserve"> </w:t>
      </w:r>
      <w:r w:rsidRPr="00952F51">
        <w:rPr>
          <w:rFonts w:ascii="Times New Roman" w:hAnsi="Times New Roman" w:cs="Times New Roman"/>
          <w:color w:val="000000"/>
          <w:sz w:val="24"/>
          <w:szCs w:val="24"/>
          <w:lang w:val="es-ES_tradnl"/>
        </w:rPr>
        <w:t>Y.</w:t>
      </w:r>
      <w:proofErr w:type="gramStart"/>
      <w:r>
        <w:rPr>
          <w:rFonts w:ascii="Times New Roman" w:hAnsi="Times New Roman" w:cs="Times New Roman"/>
          <w:color w:val="000000"/>
          <w:sz w:val="24"/>
          <w:szCs w:val="24"/>
          <w:lang w:val="es-ES_tradnl"/>
        </w:rPr>
        <w:t>,</w:t>
      </w:r>
      <w:r w:rsidRPr="00952F51">
        <w:rPr>
          <w:rFonts w:ascii="Times New Roman" w:hAnsi="Times New Roman" w:cs="Times New Roman"/>
          <w:color w:val="000000"/>
          <w:sz w:val="24"/>
          <w:szCs w:val="24"/>
          <w:lang w:val="es-ES_tradnl"/>
        </w:rPr>
        <w:t xml:space="preserve"> </w:t>
      </w:r>
      <w:r>
        <w:rPr>
          <w:rFonts w:ascii="Times New Roman" w:hAnsi="Times New Roman" w:cs="Times New Roman"/>
          <w:color w:val="000000"/>
          <w:sz w:val="24"/>
          <w:szCs w:val="24"/>
          <w:lang w:val="es-ES_tradnl"/>
        </w:rPr>
        <w:t xml:space="preserve"> Watanabe</w:t>
      </w:r>
      <w:proofErr w:type="gramEnd"/>
      <w:r w:rsidRPr="00952F51">
        <w:rPr>
          <w:rFonts w:ascii="Times New Roman" w:hAnsi="Times New Roman" w:cs="Times New Roman"/>
          <w:color w:val="000000"/>
          <w:sz w:val="24"/>
          <w:szCs w:val="24"/>
          <w:lang w:val="es-ES_tradnl"/>
        </w:rPr>
        <w:t>, T.</w:t>
      </w:r>
      <w:r>
        <w:rPr>
          <w:rFonts w:ascii="Times New Roman" w:hAnsi="Times New Roman" w:cs="Times New Roman"/>
          <w:color w:val="000000"/>
          <w:sz w:val="24"/>
          <w:szCs w:val="24"/>
          <w:lang w:val="es-ES_tradnl"/>
        </w:rPr>
        <w:t>,</w:t>
      </w:r>
      <w:r w:rsidRPr="00952F51">
        <w:rPr>
          <w:rFonts w:ascii="Times New Roman" w:hAnsi="Times New Roman" w:cs="Times New Roman"/>
          <w:color w:val="000000"/>
          <w:sz w:val="24"/>
          <w:szCs w:val="24"/>
          <w:lang w:val="es-ES_tradnl"/>
        </w:rPr>
        <w:t xml:space="preserve"> </w:t>
      </w:r>
      <w:r>
        <w:rPr>
          <w:rFonts w:ascii="Times New Roman" w:hAnsi="Times New Roman" w:cs="Times New Roman"/>
          <w:color w:val="000000"/>
          <w:sz w:val="24"/>
          <w:szCs w:val="24"/>
          <w:lang w:val="es-ES_tradnl"/>
        </w:rPr>
        <w:t>Takenaka</w:t>
      </w:r>
      <w:r w:rsidRPr="00952F51">
        <w:rPr>
          <w:rFonts w:ascii="Times New Roman" w:hAnsi="Times New Roman" w:cs="Times New Roman"/>
          <w:color w:val="000000"/>
          <w:sz w:val="24"/>
          <w:szCs w:val="24"/>
          <w:lang w:val="es-ES_tradnl"/>
        </w:rPr>
        <w:t>, K.</w:t>
      </w:r>
      <w:r>
        <w:rPr>
          <w:rFonts w:ascii="Times New Roman" w:hAnsi="Times New Roman" w:cs="Times New Roman"/>
          <w:color w:val="000000"/>
          <w:sz w:val="24"/>
          <w:szCs w:val="24"/>
          <w:lang w:val="es-ES_tradnl"/>
        </w:rPr>
        <w:t>,</w:t>
      </w:r>
      <w:r w:rsidRPr="00952F51">
        <w:rPr>
          <w:rFonts w:ascii="Times New Roman" w:hAnsi="Times New Roman" w:cs="Times New Roman"/>
          <w:color w:val="000000"/>
          <w:sz w:val="24"/>
          <w:szCs w:val="24"/>
          <w:lang w:val="es-ES_tradnl"/>
        </w:rPr>
        <w:t xml:space="preserve"> </w:t>
      </w:r>
      <w:r>
        <w:rPr>
          <w:rFonts w:ascii="Times New Roman" w:hAnsi="Times New Roman" w:cs="Times New Roman"/>
          <w:color w:val="000000"/>
          <w:sz w:val="24"/>
          <w:szCs w:val="24"/>
          <w:lang w:val="es-ES_tradnl"/>
        </w:rPr>
        <w:t>Uehara</w:t>
      </w:r>
      <w:r w:rsidRPr="00952F51">
        <w:rPr>
          <w:rFonts w:ascii="Times New Roman" w:hAnsi="Times New Roman" w:cs="Times New Roman"/>
          <w:color w:val="000000"/>
          <w:sz w:val="24"/>
          <w:szCs w:val="24"/>
          <w:lang w:val="es-ES_tradnl"/>
        </w:rPr>
        <w:t>, S.</w:t>
      </w:r>
      <w:r>
        <w:rPr>
          <w:rFonts w:ascii="Times New Roman" w:hAnsi="Times New Roman" w:cs="Times New Roman"/>
          <w:color w:val="000000"/>
          <w:sz w:val="24"/>
          <w:szCs w:val="24"/>
          <w:lang w:val="es-ES_tradnl"/>
        </w:rPr>
        <w:t>,</w:t>
      </w:r>
      <w:r w:rsidRPr="00952F51">
        <w:rPr>
          <w:rFonts w:ascii="Times New Roman" w:hAnsi="Times New Roman" w:cs="Times New Roman"/>
          <w:color w:val="000000"/>
          <w:sz w:val="24"/>
          <w:szCs w:val="24"/>
          <w:lang w:val="es-ES_tradnl"/>
        </w:rPr>
        <w:t xml:space="preserve"> </w:t>
      </w:r>
      <w:r>
        <w:rPr>
          <w:rFonts w:ascii="Times New Roman" w:hAnsi="Times New Roman" w:cs="Times New Roman"/>
          <w:color w:val="000000"/>
          <w:sz w:val="24"/>
          <w:szCs w:val="24"/>
          <w:lang w:val="en-US"/>
        </w:rPr>
        <w:t>Yang</w:t>
      </w:r>
      <w:r w:rsidRPr="00952F51">
        <w:rPr>
          <w:rFonts w:ascii="Times New Roman" w:hAnsi="Times New Roman" w:cs="Times New Roman"/>
          <w:color w:val="000000"/>
          <w:sz w:val="24"/>
          <w:szCs w:val="24"/>
          <w:lang w:val="en-US"/>
        </w:rPr>
        <w:t xml:space="preserve">, </w:t>
      </w:r>
      <w:r w:rsidRPr="00952F51">
        <w:rPr>
          <w:rFonts w:ascii="Times New Roman" w:hAnsi="Times New Roman" w:cs="Times New Roman"/>
          <w:color w:val="000000"/>
          <w:sz w:val="24"/>
          <w:szCs w:val="24"/>
          <w:lang w:val="es-ES_tradnl"/>
        </w:rPr>
        <w:t>H-R.</w:t>
      </w:r>
      <w:r>
        <w:rPr>
          <w:rFonts w:ascii="Times New Roman" w:hAnsi="Times New Roman" w:cs="Times New Roman"/>
          <w:color w:val="000000"/>
          <w:sz w:val="24"/>
          <w:szCs w:val="24"/>
          <w:lang w:val="es-ES_tradnl"/>
        </w:rPr>
        <w:t>,</w:t>
      </w:r>
      <w:r w:rsidRPr="00952F51">
        <w:rPr>
          <w:rFonts w:ascii="Times New Roman" w:hAnsi="Times New Roman" w:cs="Times New Roman"/>
          <w:color w:val="000000"/>
          <w:sz w:val="24"/>
          <w:szCs w:val="24"/>
          <w:lang w:val="es-ES_tradnl"/>
        </w:rPr>
        <w:t xml:space="preserve"> </w:t>
      </w:r>
      <w:r>
        <w:rPr>
          <w:rFonts w:ascii="Times New Roman" w:hAnsi="Times New Roman" w:cs="Times New Roman"/>
          <w:color w:val="000000"/>
          <w:sz w:val="24"/>
          <w:szCs w:val="24"/>
          <w:lang w:val="en-US"/>
        </w:rPr>
        <w:t>Kim</w:t>
      </w:r>
      <w:r w:rsidRPr="00952F51">
        <w:rPr>
          <w:rFonts w:ascii="Times New Roman" w:hAnsi="Times New Roman" w:cs="Times New Roman"/>
          <w:color w:val="000000"/>
          <w:sz w:val="24"/>
          <w:szCs w:val="24"/>
          <w:lang w:val="en-US"/>
        </w:rPr>
        <w:t>,</w:t>
      </w:r>
      <w:r w:rsidRPr="008036AF">
        <w:rPr>
          <w:rFonts w:ascii="Times New Roman" w:hAnsi="Times New Roman" w:cs="Times New Roman"/>
          <w:color w:val="000000"/>
          <w:sz w:val="24"/>
          <w:szCs w:val="24"/>
          <w:lang w:val="en-US"/>
        </w:rPr>
        <w:t xml:space="preserve"> </w:t>
      </w:r>
      <w:r w:rsidRPr="00952F51">
        <w:rPr>
          <w:rFonts w:ascii="Times New Roman" w:hAnsi="Times New Roman" w:cs="Times New Roman"/>
          <w:color w:val="000000"/>
          <w:sz w:val="24"/>
          <w:szCs w:val="24"/>
          <w:lang w:val="en-US"/>
        </w:rPr>
        <w:t>M-Y.</w:t>
      </w:r>
      <w:r>
        <w:rPr>
          <w:rFonts w:ascii="Times New Roman" w:hAnsi="Times New Roman" w:cs="Times New Roman"/>
          <w:color w:val="000000"/>
          <w:sz w:val="24"/>
          <w:szCs w:val="24"/>
          <w:lang w:val="en-US"/>
        </w:rPr>
        <w:t>, Moon</w:t>
      </w:r>
      <w:r w:rsidRPr="00952F51">
        <w:rPr>
          <w:rFonts w:ascii="Times New Roman" w:hAnsi="Times New Roman" w:cs="Times New Roman"/>
          <w:color w:val="000000"/>
          <w:sz w:val="24"/>
          <w:szCs w:val="24"/>
          <w:lang w:val="en-US"/>
        </w:rPr>
        <w:t>, C-S.</w:t>
      </w:r>
      <w:r>
        <w:rPr>
          <w:rFonts w:ascii="Times New Roman" w:hAnsi="Times New Roman" w:cs="Times New Roman"/>
          <w:color w:val="000000"/>
          <w:sz w:val="24"/>
          <w:szCs w:val="24"/>
          <w:lang w:val="en-US"/>
        </w:rPr>
        <w:t>,</w:t>
      </w:r>
      <w:r w:rsidRPr="00952F51">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Kim</w:t>
      </w:r>
      <w:r w:rsidRPr="00952F51">
        <w:rPr>
          <w:rFonts w:ascii="Times New Roman" w:hAnsi="Times New Roman" w:cs="Times New Roman"/>
          <w:color w:val="000000"/>
          <w:sz w:val="24"/>
          <w:szCs w:val="24"/>
          <w:lang w:val="en-US"/>
        </w:rPr>
        <w:t>, H-S.</w:t>
      </w:r>
      <w:r>
        <w:rPr>
          <w:rFonts w:ascii="Times New Roman" w:hAnsi="Times New Roman" w:cs="Times New Roman"/>
          <w:color w:val="000000"/>
          <w:sz w:val="24"/>
          <w:szCs w:val="24"/>
          <w:lang w:val="en-US"/>
        </w:rPr>
        <w:t>,</w:t>
      </w:r>
      <w:r w:rsidRPr="00952F51">
        <w:rPr>
          <w:rFonts w:ascii="Times New Roman" w:hAnsi="Times New Roman" w:cs="Times New Roman"/>
          <w:color w:val="000000"/>
          <w:sz w:val="24"/>
          <w:szCs w:val="24"/>
          <w:lang w:val="en-US"/>
        </w:rPr>
        <w:t xml:space="preserve"> Wang</w:t>
      </w:r>
      <w:r w:rsidRPr="00952F51">
        <w:rPr>
          <w:rFonts w:ascii="Times New Roman" w:hAnsi="Times New Roman" w:cs="Times New Roman"/>
          <w:color w:val="000066"/>
          <w:sz w:val="24"/>
          <w:szCs w:val="24"/>
          <w:lang w:val="en-US"/>
        </w:rPr>
        <w:t>i</w:t>
      </w:r>
      <w:r w:rsidRPr="00952F51">
        <w:rPr>
          <w:rFonts w:ascii="Times New Roman" w:hAnsi="Times New Roman" w:cs="Times New Roman"/>
          <w:color w:val="000000"/>
          <w:sz w:val="24"/>
          <w:szCs w:val="24"/>
          <w:lang w:val="en-US"/>
        </w:rPr>
        <w:t>,</w:t>
      </w:r>
      <w:r w:rsidRPr="008036AF">
        <w:rPr>
          <w:rFonts w:ascii="Times New Roman" w:hAnsi="Times New Roman" w:cs="Times New Roman"/>
          <w:color w:val="000000"/>
          <w:sz w:val="24"/>
          <w:szCs w:val="24"/>
          <w:lang w:val="en-US"/>
        </w:rPr>
        <w:t xml:space="preserve"> </w:t>
      </w:r>
      <w:r w:rsidRPr="00952F51">
        <w:rPr>
          <w:rFonts w:ascii="Times New Roman" w:hAnsi="Times New Roman" w:cs="Times New Roman"/>
          <w:color w:val="000000"/>
          <w:sz w:val="24"/>
          <w:szCs w:val="24"/>
          <w:lang w:val="en-US"/>
        </w:rPr>
        <w:t>P.</w:t>
      </w:r>
      <w:r>
        <w:rPr>
          <w:rFonts w:ascii="Times New Roman" w:hAnsi="Times New Roman" w:cs="Times New Roman"/>
          <w:color w:val="000000"/>
          <w:sz w:val="24"/>
          <w:szCs w:val="24"/>
          <w:lang w:val="en-US"/>
        </w:rPr>
        <w:t>,</w:t>
      </w:r>
      <w:r w:rsidRPr="00952F51">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Liu</w:t>
      </w:r>
      <w:r w:rsidRPr="00952F51">
        <w:rPr>
          <w:rFonts w:ascii="Times New Roman" w:hAnsi="Times New Roman" w:cs="Times New Roman"/>
          <w:color w:val="000000"/>
          <w:sz w:val="24"/>
          <w:szCs w:val="24"/>
          <w:lang w:val="en-US"/>
        </w:rPr>
        <w:t>, A.</w:t>
      </w:r>
      <w:r>
        <w:rPr>
          <w:rFonts w:ascii="Times New Roman" w:hAnsi="Times New Roman" w:cs="Times New Roman"/>
          <w:color w:val="000000"/>
          <w:sz w:val="24"/>
          <w:szCs w:val="24"/>
          <w:lang w:val="en-US"/>
        </w:rPr>
        <w:t>,</w:t>
      </w:r>
      <w:r w:rsidRPr="00952F51">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Hung</w:t>
      </w:r>
      <w:r w:rsidRPr="00952F51">
        <w:rPr>
          <w:rFonts w:ascii="Times New Roman" w:hAnsi="Times New Roman" w:cs="Times New Roman"/>
          <w:color w:val="000000"/>
          <w:sz w:val="24"/>
          <w:szCs w:val="24"/>
          <w:lang w:val="en-US"/>
        </w:rPr>
        <w:t>, N. N.</w:t>
      </w:r>
      <w:r>
        <w:rPr>
          <w:rFonts w:ascii="Times New Roman" w:hAnsi="Times New Roman" w:cs="Times New Roman"/>
          <w:color w:val="000000"/>
          <w:sz w:val="24"/>
          <w:szCs w:val="24"/>
          <w:lang w:val="en-US"/>
        </w:rPr>
        <w:t>,</w:t>
      </w:r>
      <w:r w:rsidRPr="00952F51">
        <w:rPr>
          <w:rFonts w:ascii="Times New Roman" w:hAnsi="Times New Roman" w:cs="Times New Roman"/>
          <w:color w:val="000000"/>
          <w:sz w:val="24"/>
          <w:szCs w:val="24"/>
          <w:lang w:val="en-US"/>
        </w:rPr>
        <w:t xml:space="preserve"> </w:t>
      </w:r>
      <w:r w:rsidRPr="008036AF">
        <w:rPr>
          <w:rFonts w:ascii="Times New Roman" w:hAnsi="Times New Roman" w:cs="Times New Roman"/>
          <w:iCs/>
          <w:sz w:val="24"/>
          <w:szCs w:val="24"/>
          <w:lang w:val="en-US"/>
        </w:rPr>
        <w:t xml:space="preserve">&amp; </w:t>
      </w:r>
      <w:r w:rsidRPr="00952F51">
        <w:rPr>
          <w:rFonts w:ascii="Times New Roman" w:hAnsi="Times New Roman" w:cs="Times New Roman"/>
          <w:color w:val="000000"/>
          <w:sz w:val="24"/>
          <w:szCs w:val="24"/>
          <w:lang w:val="en-US"/>
        </w:rPr>
        <w:t>Koizumi</w:t>
      </w:r>
      <w:r w:rsidRPr="00952F51">
        <w:rPr>
          <w:rFonts w:ascii="Times New Roman" w:hAnsi="Times New Roman" w:cs="Times New Roman"/>
          <w:sz w:val="24"/>
          <w:szCs w:val="24"/>
          <w:lang w:val="en-US"/>
        </w:rPr>
        <w:t>,</w:t>
      </w:r>
      <w:r w:rsidRPr="008036AF">
        <w:rPr>
          <w:rFonts w:ascii="Times New Roman" w:hAnsi="Times New Roman" w:cs="Times New Roman"/>
          <w:color w:val="000000"/>
          <w:sz w:val="24"/>
          <w:szCs w:val="24"/>
          <w:lang w:val="en-US"/>
        </w:rPr>
        <w:t xml:space="preserve"> </w:t>
      </w:r>
      <w:r w:rsidRPr="00952F51">
        <w:rPr>
          <w:rFonts w:ascii="Times New Roman" w:hAnsi="Times New Roman" w:cs="Times New Roman"/>
          <w:color w:val="000000"/>
          <w:sz w:val="24"/>
          <w:szCs w:val="24"/>
          <w:lang w:val="en-US"/>
        </w:rPr>
        <w:t xml:space="preserve">A. </w:t>
      </w:r>
      <w:r>
        <w:rPr>
          <w:rFonts w:ascii="Times New Roman" w:hAnsi="Times New Roman" w:cs="Times New Roman"/>
          <w:color w:val="000000"/>
          <w:sz w:val="24"/>
          <w:szCs w:val="24"/>
          <w:lang w:val="en-US"/>
        </w:rPr>
        <w:t>(2011).</w:t>
      </w:r>
      <w:r w:rsidRPr="00952F51">
        <w:rPr>
          <w:rFonts w:ascii="Times New Roman" w:hAnsi="Times New Roman" w:cs="Times New Roman"/>
          <w:sz w:val="24"/>
          <w:szCs w:val="24"/>
          <w:lang w:val="en-US"/>
        </w:rPr>
        <w:t xml:space="preserve"> </w:t>
      </w:r>
      <w:r w:rsidRPr="00952F51">
        <w:rPr>
          <w:rFonts w:ascii="Times New Roman" w:hAnsi="Times New Roman" w:cs="Times New Roman"/>
          <w:color w:val="000000"/>
          <w:sz w:val="24"/>
          <w:szCs w:val="24"/>
          <w:lang w:val="en-US"/>
        </w:rPr>
        <w:t>Detection of Dicofol and related pesticides in human breast m</w:t>
      </w:r>
      <w:r>
        <w:rPr>
          <w:rFonts w:ascii="Times New Roman" w:hAnsi="Times New Roman" w:cs="Times New Roman"/>
          <w:color w:val="000000"/>
          <w:sz w:val="24"/>
          <w:szCs w:val="24"/>
          <w:lang w:val="en-US"/>
        </w:rPr>
        <w:t>ilk from China, Korea and Japan.</w:t>
      </w:r>
      <w:r w:rsidRPr="00952F51">
        <w:rPr>
          <w:rFonts w:ascii="Times New Roman" w:hAnsi="Times New Roman" w:cs="Times New Roman"/>
          <w:color w:val="000000"/>
          <w:sz w:val="24"/>
          <w:szCs w:val="24"/>
          <w:lang w:val="en-US"/>
        </w:rPr>
        <w:t xml:space="preserve"> </w:t>
      </w:r>
      <w:r w:rsidRPr="008036AF">
        <w:rPr>
          <w:rFonts w:ascii="Times New Roman" w:hAnsi="Times New Roman" w:cs="Times New Roman"/>
          <w:iCs/>
          <w:sz w:val="24"/>
          <w:szCs w:val="24"/>
          <w:lang w:val="en-US"/>
        </w:rPr>
        <w:t>Chemosphere,</w:t>
      </w:r>
      <w:r>
        <w:rPr>
          <w:rFonts w:ascii="Times New Roman" w:hAnsi="Times New Roman" w:cs="Times New Roman"/>
          <w:sz w:val="24"/>
          <w:szCs w:val="24"/>
          <w:lang w:val="en-US"/>
        </w:rPr>
        <w:t xml:space="preserve"> 82</w:t>
      </w:r>
      <w:r w:rsidRPr="00952F51">
        <w:rPr>
          <w:rFonts w:ascii="Times New Roman" w:hAnsi="Times New Roman" w:cs="Times New Roman"/>
          <w:sz w:val="24"/>
          <w:szCs w:val="24"/>
          <w:lang w:val="en-US"/>
        </w:rPr>
        <w:t>, 25-31</w:t>
      </w:r>
      <w:r>
        <w:rPr>
          <w:rFonts w:ascii="Times New Roman" w:hAnsi="Times New Roman" w:cs="Times New Roman"/>
          <w:sz w:val="24"/>
          <w:szCs w:val="24"/>
          <w:lang w:val="en-US"/>
        </w:rPr>
        <w:t>.</w:t>
      </w:r>
      <w:r w:rsidRPr="008036AF">
        <w:t xml:space="preserve"> </w:t>
      </w:r>
    </w:p>
    <w:p w14:paraId="24541431" w14:textId="77777777" w:rsidR="00C35CEA" w:rsidRPr="008036AF" w:rsidRDefault="00E13761" w:rsidP="00C35CEA">
      <w:pPr>
        <w:autoSpaceDE w:val="0"/>
        <w:autoSpaceDN w:val="0"/>
        <w:adjustRightInd w:val="0"/>
        <w:spacing w:after="120" w:line="360" w:lineRule="auto"/>
        <w:jc w:val="both"/>
        <w:rPr>
          <w:rFonts w:ascii="Times New Roman" w:hAnsi="Times New Roman" w:cs="Times New Roman"/>
          <w:color w:val="000000"/>
          <w:sz w:val="24"/>
          <w:szCs w:val="24"/>
          <w:lang w:val="en-US"/>
        </w:rPr>
      </w:pPr>
      <w:hyperlink r:id="rId25" w:tgtFrame="_blank" w:tooltip="Persistent link using digital object identifier" w:history="1">
        <w:r w:rsidR="00C35CEA" w:rsidRPr="008036AF">
          <w:rPr>
            <w:rStyle w:val="anchor-text"/>
            <w:rFonts w:ascii="Times New Roman" w:hAnsi="Times New Roman" w:cs="Times New Roman"/>
            <w:color w:val="0000FF"/>
            <w:sz w:val="24"/>
            <w:szCs w:val="24"/>
            <w:u w:val="single"/>
          </w:rPr>
          <w:t>https://doi.org/10.1016/j.chemosphere.2010.10.036</w:t>
        </w:r>
      </w:hyperlink>
    </w:p>
    <w:p w14:paraId="48976BF9" w14:textId="77777777" w:rsidR="00C35CEA" w:rsidRPr="008314CA" w:rsidRDefault="00C35CEA" w:rsidP="00C35CEA">
      <w:pPr>
        <w:autoSpaceDE w:val="0"/>
        <w:autoSpaceDN w:val="0"/>
        <w:adjustRightInd w:val="0"/>
        <w:spacing w:after="120" w:line="360" w:lineRule="auto"/>
        <w:jc w:val="both"/>
        <w:rPr>
          <w:rFonts w:ascii="Times New Roman" w:eastAsia="GulliverRM" w:hAnsi="Times New Roman" w:cs="Times New Roman"/>
          <w:sz w:val="24"/>
          <w:szCs w:val="24"/>
          <w:lang w:val="en-US"/>
        </w:rPr>
      </w:pPr>
      <w:r w:rsidRPr="00952F51">
        <w:rPr>
          <w:rFonts w:ascii="Times New Roman" w:eastAsia="GulliverRM" w:hAnsi="Times New Roman" w:cs="Times New Roman"/>
          <w:sz w:val="24"/>
          <w:szCs w:val="24"/>
          <w:lang w:val="en-US"/>
        </w:rPr>
        <w:t>Huang</w:t>
      </w:r>
      <w:r>
        <w:rPr>
          <w:rFonts w:ascii="Times New Roman" w:eastAsia="GulliverRM" w:hAnsi="Times New Roman" w:cs="Times New Roman"/>
          <w:sz w:val="24"/>
          <w:szCs w:val="24"/>
          <w:lang w:val="en-US"/>
        </w:rPr>
        <w:t>,</w:t>
      </w:r>
      <w:r w:rsidRPr="00952F51">
        <w:rPr>
          <w:rFonts w:ascii="Times New Roman" w:eastAsia="GulliverRM" w:hAnsi="Times New Roman" w:cs="Times New Roman"/>
          <w:sz w:val="24"/>
          <w:szCs w:val="24"/>
          <w:lang w:val="en-US"/>
        </w:rPr>
        <w:t xml:space="preserve"> H., Zhang</w:t>
      </w:r>
      <w:r>
        <w:rPr>
          <w:rFonts w:ascii="Times New Roman" w:eastAsia="GulliverRM" w:hAnsi="Times New Roman" w:cs="Times New Roman"/>
          <w:sz w:val="24"/>
          <w:szCs w:val="24"/>
          <w:lang w:val="en-US"/>
        </w:rPr>
        <w:t>,</w:t>
      </w:r>
      <w:r w:rsidRPr="00952F51">
        <w:rPr>
          <w:rFonts w:ascii="Times New Roman" w:eastAsia="GulliverRM" w:hAnsi="Times New Roman" w:cs="Times New Roman"/>
          <w:sz w:val="24"/>
          <w:szCs w:val="24"/>
          <w:lang w:val="en-US"/>
        </w:rPr>
        <w:t xml:space="preserve"> Y., Chen</w:t>
      </w:r>
      <w:r>
        <w:rPr>
          <w:rFonts w:ascii="Times New Roman" w:eastAsia="GulliverRM" w:hAnsi="Times New Roman" w:cs="Times New Roman"/>
          <w:sz w:val="24"/>
          <w:szCs w:val="24"/>
          <w:lang w:val="en-US"/>
        </w:rPr>
        <w:t>,</w:t>
      </w:r>
      <w:r w:rsidRPr="00952F51">
        <w:rPr>
          <w:rFonts w:ascii="Times New Roman" w:eastAsia="GulliverRM" w:hAnsi="Times New Roman" w:cs="Times New Roman"/>
          <w:sz w:val="24"/>
          <w:szCs w:val="24"/>
          <w:lang w:val="en-US"/>
        </w:rPr>
        <w:t xml:space="preserve"> W., Yuen</w:t>
      </w:r>
      <w:r>
        <w:rPr>
          <w:rFonts w:ascii="Times New Roman" w:eastAsia="GulliverRM" w:hAnsi="Times New Roman" w:cs="Times New Roman"/>
          <w:sz w:val="24"/>
          <w:szCs w:val="24"/>
          <w:lang w:val="en-US"/>
        </w:rPr>
        <w:t>,</w:t>
      </w:r>
      <w:r w:rsidRPr="00952F51">
        <w:rPr>
          <w:rFonts w:ascii="Times New Roman" w:eastAsia="GulliverRM" w:hAnsi="Times New Roman" w:cs="Times New Roman"/>
          <w:sz w:val="24"/>
          <w:szCs w:val="24"/>
          <w:lang w:val="en-US"/>
        </w:rPr>
        <w:t xml:space="preserve"> D. A., Ding</w:t>
      </w:r>
      <w:r>
        <w:rPr>
          <w:rFonts w:ascii="Times New Roman" w:eastAsia="GulliverRM" w:hAnsi="Times New Roman" w:cs="Times New Roman"/>
          <w:sz w:val="24"/>
          <w:szCs w:val="24"/>
          <w:lang w:val="en-US"/>
        </w:rPr>
        <w:t>,</w:t>
      </w:r>
      <w:r w:rsidRPr="00952F51">
        <w:rPr>
          <w:rFonts w:ascii="Times New Roman" w:eastAsia="GulliverRM" w:hAnsi="Times New Roman" w:cs="Times New Roman"/>
          <w:sz w:val="24"/>
          <w:szCs w:val="24"/>
          <w:lang w:val="en-US"/>
        </w:rPr>
        <w:t xml:space="preserve"> Y., Chen</w:t>
      </w:r>
      <w:r>
        <w:rPr>
          <w:rFonts w:ascii="Times New Roman" w:eastAsia="GulliverRM" w:hAnsi="Times New Roman" w:cs="Times New Roman"/>
          <w:sz w:val="24"/>
          <w:szCs w:val="24"/>
          <w:lang w:val="en-US"/>
        </w:rPr>
        <w:t>,</w:t>
      </w:r>
      <w:r w:rsidRPr="00952F51">
        <w:rPr>
          <w:rFonts w:ascii="Times New Roman" w:eastAsia="GulliverRM" w:hAnsi="Times New Roman" w:cs="Times New Roman"/>
          <w:sz w:val="24"/>
          <w:szCs w:val="24"/>
          <w:lang w:val="en-US"/>
        </w:rPr>
        <w:t xml:space="preserve"> Y., Mao</w:t>
      </w:r>
      <w:r>
        <w:rPr>
          <w:rFonts w:ascii="Times New Roman" w:eastAsia="GulliverRM" w:hAnsi="Times New Roman" w:cs="Times New Roman"/>
          <w:sz w:val="24"/>
          <w:szCs w:val="24"/>
          <w:lang w:val="en-US"/>
        </w:rPr>
        <w:t>,</w:t>
      </w:r>
      <w:r w:rsidRPr="00952F51">
        <w:rPr>
          <w:rFonts w:ascii="Times New Roman" w:eastAsia="GulliverRM" w:hAnsi="Times New Roman" w:cs="Times New Roman"/>
          <w:sz w:val="24"/>
          <w:szCs w:val="24"/>
          <w:lang w:val="en-US"/>
        </w:rPr>
        <w:t xml:space="preserve"> Y., </w:t>
      </w:r>
      <w:r w:rsidRPr="004F5288">
        <w:rPr>
          <w:rFonts w:ascii="Times New Roman" w:hAnsi="Times New Roman" w:cs="Times New Roman"/>
          <w:iCs/>
          <w:sz w:val="24"/>
          <w:szCs w:val="24"/>
          <w:lang w:val="en-US"/>
        </w:rPr>
        <w:t>&amp;</w:t>
      </w:r>
      <w:r w:rsidRPr="004F5288">
        <w:rPr>
          <w:rFonts w:ascii="Times New Roman" w:eastAsia="GulliverRM" w:hAnsi="Times New Roman" w:cs="Times New Roman"/>
          <w:sz w:val="24"/>
          <w:szCs w:val="24"/>
          <w:lang w:val="en-US"/>
        </w:rPr>
        <w:t xml:space="preserve"> </w:t>
      </w:r>
      <w:r w:rsidRPr="00952F51">
        <w:rPr>
          <w:rFonts w:ascii="Times New Roman" w:eastAsia="GulliverRM" w:hAnsi="Times New Roman" w:cs="Times New Roman"/>
          <w:sz w:val="24"/>
          <w:szCs w:val="24"/>
          <w:lang w:val="en-US"/>
        </w:rPr>
        <w:t>Qi</w:t>
      </w:r>
      <w:r>
        <w:rPr>
          <w:rFonts w:ascii="Times New Roman" w:eastAsia="GulliverRM" w:hAnsi="Times New Roman" w:cs="Times New Roman"/>
          <w:sz w:val="24"/>
          <w:szCs w:val="24"/>
          <w:lang w:val="en-US"/>
        </w:rPr>
        <w:t>,</w:t>
      </w:r>
      <w:r w:rsidRPr="00952F51">
        <w:rPr>
          <w:rFonts w:ascii="Times New Roman" w:eastAsia="GulliverRM" w:hAnsi="Times New Roman" w:cs="Times New Roman"/>
          <w:sz w:val="24"/>
          <w:szCs w:val="24"/>
          <w:lang w:val="en-US"/>
        </w:rPr>
        <w:t xml:space="preserve"> S.</w:t>
      </w:r>
      <w:r>
        <w:rPr>
          <w:rFonts w:ascii="Times New Roman" w:eastAsia="GulliverRM" w:hAnsi="Times New Roman" w:cs="Times New Roman"/>
          <w:sz w:val="24"/>
          <w:szCs w:val="24"/>
          <w:lang w:val="en-US"/>
        </w:rPr>
        <w:t xml:space="preserve"> (2018).</w:t>
      </w:r>
      <w:r w:rsidRPr="00952F51">
        <w:rPr>
          <w:rFonts w:ascii="Times New Roman" w:eastAsia="GulliverRM" w:hAnsi="Times New Roman" w:cs="Times New Roman"/>
          <w:sz w:val="24"/>
          <w:szCs w:val="24"/>
          <w:lang w:val="en-US"/>
        </w:rPr>
        <w:t xml:space="preserve"> Sources and transformation pathways for dichlorodiphenyltrichloroethane</w:t>
      </w:r>
      <w:r>
        <w:rPr>
          <w:rFonts w:ascii="Times New Roman" w:eastAsia="GulliverRM" w:hAnsi="Times New Roman" w:cs="Times New Roman"/>
          <w:sz w:val="24"/>
          <w:szCs w:val="24"/>
          <w:lang w:val="en-US"/>
        </w:rPr>
        <w:t xml:space="preserve"> (DDT) </w:t>
      </w:r>
      <w:r w:rsidRPr="00952F51">
        <w:rPr>
          <w:rFonts w:ascii="Times New Roman" w:eastAsia="GulliverRM" w:hAnsi="Times New Roman" w:cs="Times New Roman"/>
          <w:sz w:val="24"/>
          <w:szCs w:val="24"/>
          <w:lang w:val="en-US"/>
        </w:rPr>
        <w:t>and metabolites in so</w:t>
      </w:r>
      <w:r>
        <w:rPr>
          <w:rFonts w:ascii="Times New Roman" w:eastAsia="GulliverRM" w:hAnsi="Times New Roman" w:cs="Times New Roman"/>
          <w:sz w:val="24"/>
          <w:szCs w:val="24"/>
          <w:lang w:val="en-US"/>
        </w:rPr>
        <w:t xml:space="preserve">ils from </w:t>
      </w:r>
      <w:proofErr w:type="spellStart"/>
      <w:r>
        <w:rPr>
          <w:rFonts w:ascii="Times New Roman" w:eastAsia="GulliverRM" w:hAnsi="Times New Roman" w:cs="Times New Roman"/>
          <w:sz w:val="24"/>
          <w:szCs w:val="24"/>
          <w:lang w:val="en-US"/>
        </w:rPr>
        <w:t>nothwest</w:t>
      </w:r>
      <w:proofErr w:type="spellEnd"/>
      <w:r>
        <w:rPr>
          <w:rFonts w:ascii="Times New Roman" w:eastAsia="GulliverRM" w:hAnsi="Times New Roman" w:cs="Times New Roman"/>
          <w:sz w:val="24"/>
          <w:szCs w:val="24"/>
          <w:lang w:val="en-US"/>
        </w:rPr>
        <w:t xml:space="preserve"> Fujian, China.</w:t>
      </w:r>
      <w:r w:rsidRPr="00952F51">
        <w:rPr>
          <w:rFonts w:ascii="Times New Roman" w:eastAsia="GulliverRM" w:hAnsi="Times New Roman" w:cs="Times New Roman"/>
          <w:sz w:val="24"/>
          <w:szCs w:val="24"/>
          <w:lang w:val="en-US"/>
        </w:rPr>
        <w:t xml:space="preserve"> </w:t>
      </w:r>
      <w:r>
        <w:rPr>
          <w:rFonts w:ascii="Times New Roman" w:eastAsia="GulliverRM" w:hAnsi="Times New Roman" w:cs="Times New Roman"/>
          <w:iCs/>
          <w:sz w:val="24"/>
          <w:szCs w:val="24"/>
          <w:lang w:val="en-US"/>
        </w:rPr>
        <w:t>Environmental</w:t>
      </w:r>
      <w:r w:rsidRPr="006C2A18">
        <w:rPr>
          <w:rFonts w:ascii="Times New Roman" w:eastAsia="GulliverRM" w:hAnsi="Times New Roman" w:cs="Times New Roman"/>
          <w:iCs/>
          <w:sz w:val="24"/>
          <w:szCs w:val="24"/>
          <w:lang w:val="en-US"/>
        </w:rPr>
        <w:t xml:space="preserve"> </w:t>
      </w:r>
      <w:proofErr w:type="spellStart"/>
      <w:r w:rsidRPr="006C2A18">
        <w:rPr>
          <w:rFonts w:ascii="Times New Roman" w:eastAsia="GulliverRM" w:hAnsi="Times New Roman" w:cs="Times New Roman"/>
          <w:iCs/>
          <w:sz w:val="24"/>
          <w:szCs w:val="24"/>
          <w:lang w:val="en-US"/>
        </w:rPr>
        <w:t>Polllution</w:t>
      </w:r>
      <w:proofErr w:type="spellEnd"/>
      <w:r>
        <w:rPr>
          <w:rFonts w:ascii="Times New Roman" w:eastAsia="GulliverRM" w:hAnsi="Times New Roman" w:cs="Times New Roman"/>
          <w:sz w:val="24"/>
          <w:szCs w:val="24"/>
          <w:lang w:val="en-US"/>
        </w:rPr>
        <w:t>, 23</w:t>
      </w:r>
      <w:r w:rsidRPr="00952F51">
        <w:rPr>
          <w:rFonts w:ascii="Times New Roman" w:eastAsia="GulliverRM" w:hAnsi="Times New Roman" w:cs="Times New Roman"/>
          <w:sz w:val="24"/>
          <w:szCs w:val="24"/>
          <w:lang w:val="en-US"/>
        </w:rPr>
        <w:t>, 560-570</w:t>
      </w:r>
      <w:r>
        <w:rPr>
          <w:rFonts w:ascii="Times New Roman" w:eastAsia="GulliverRM" w:hAnsi="Times New Roman" w:cs="Times New Roman"/>
          <w:sz w:val="24"/>
          <w:szCs w:val="24"/>
          <w:lang w:val="en-US"/>
        </w:rPr>
        <w:t>.</w:t>
      </w:r>
      <w:r w:rsidRPr="008314CA">
        <w:t xml:space="preserve"> </w:t>
      </w:r>
      <w:hyperlink r:id="rId26" w:tgtFrame="_blank" w:tooltip="Persistent link using digital object identifier" w:history="1">
        <w:r w:rsidRPr="008314CA">
          <w:rPr>
            <w:rStyle w:val="anchor-text"/>
            <w:rFonts w:ascii="Times New Roman" w:hAnsi="Times New Roman" w:cs="Times New Roman"/>
            <w:color w:val="0000FF"/>
            <w:sz w:val="24"/>
            <w:szCs w:val="24"/>
            <w:u w:val="single"/>
          </w:rPr>
          <w:t>https://doi.org/10.1016/j.envpol.2017.12.071</w:t>
        </w:r>
      </w:hyperlink>
    </w:p>
    <w:p w14:paraId="741616EE" w14:textId="77777777" w:rsidR="00C35CEA" w:rsidRPr="00C35CEA" w:rsidRDefault="00C35CEA" w:rsidP="00C35CEA">
      <w:pPr>
        <w:keepNext/>
        <w:keepLines/>
        <w:spacing w:after="0" w:line="360" w:lineRule="auto"/>
        <w:jc w:val="both"/>
        <w:outlineLvl w:val="1"/>
        <w:rPr>
          <w:rFonts w:ascii="Times New Roman" w:eastAsia="Times New Roman" w:hAnsi="Times New Roman" w:cs="Times New Roman"/>
          <w:bCs/>
          <w:i/>
          <w:sz w:val="24"/>
          <w:szCs w:val="24"/>
          <w:lang w:val="en-US" w:eastAsia="fr-FR"/>
        </w:rPr>
      </w:pPr>
      <w:r>
        <w:rPr>
          <w:rFonts w:ascii="Times New Roman" w:hAnsi="Times New Roman" w:cs="Times New Roman"/>
          <w:sz w:val="24"/>
          <w:szCs w:val="24"/>
        </w:rPr>
        <w:t xml:space="preserve">Panda, D., </w:t>
      </w:r>
      <w:r w:rsidRPr="008036AF">
        <w:rPr>
          <w:rFonts w:ascii="Times New Roman" w:hAnsi="Times New Roman" w:cs="Times New Roman"/>
          <w:iCs/>
          <w:sz w:val="24"/>
          <w:szCs w:val="24"/>
          <w:lang w:val="en-US"/>
        </w:rPr>
        <w:t>&amp;</w:t>
      </w:r>
      <w:r>
        <w:rPr>
          <w:rFonts w:ascii="Times New Roman" w:hAnsi="Times New Roman" w:cs="Times New Roman"/>
          <w:iCs/>
          <w:sz w:val="24"/>
          <w:szCs w:val="24"/>
          <w:lang w:val="en-US"/>
        </w:rPr>
        <w:t xml:space="preserve"> </w:t>
      </w:r>
      <w:r>
        <w:rPr>
          <w:rFonts w:ascii="Times New Roman" w:hAnsi="Times New Roman" w:cs="Times New Roman"/>
          <w:sz w:val="24"/>
          <w:szCs w:val="24"/>
        </w:rPr>
        <w:t>Manickam, S.</w:t>
      </w:r>
      <w:r w:rsidRPr="000A5D98">
        <w:t xml:space="preserve"> </w:t>
      </w:r>
      <w:r>
        <w:rPr>
          <w:rFonts w:ascii="Times New Roman" w:eastAsiaTheme="majorEastAsia" w:hAnsi="Times New Roman" w:cs="Times New Roman"/>
          <w:sz w:val="24"/>
          <w:szCs w:val="24"/>
          <w:lang w:val="en-US"/>
        </w:rPr>
        <w:t>(2019).</w:t>
      </w:r>
      <w:r w:rsidRPr="00952F51">
        <w:rPr>
          <w:rFonts w:ascii="Times New Roman" w:eastAsiaTheme="majorEastAsia" w:hAnsi="Times New Roman" w:cs="Times New Roman"/>
          <w:sz w:val="24"/>
          <w:szCs w:val="24"/>
          <w:lang w:val="en-US"/>
        </w:rPr>
        <w:t xml:space="preserve"> </w:t>
      </w:r>
      <w:hyperlink r:id="rId27" w:history="1">
        <w:r w:rsidRPr="00952F51">
          <w:rPr>
            <w:rFonts w:ascii="Times New Roman" w:eastAsia="Times New Roman" w:hAnsi="Times New Roman" w:cs="Times New Roman"/>
            <w:bCs/>
            <w:kern w:val="36"/>
            <w:sz w:val="24"/>
            <w:szCs w:val="24"/>
            <w:lang w:val="en-US" w:eastAsia="fr-FR"/>
          </w:rPr>
          <w:t>Hydrodynamic cavitation assisted degradation of persistent endocrine</w:t>
        </w:r>
      </w:hyperlink>
      <w:r w:rsidRPr="00952F51">
        <w:rPr>
          <w:rFonts w:ascii="Times New Roman" w:eastAsia="Times New Roman" w:hAnsi="Times New Roman" w:cs="Times New Roman"/>
          <w:bCs/>
          <w:kern w:val="36"/>
          <w:sz w:val="24"/>
          <w:szCs w:val="24"/>
          <w:lang w:val="en-US" w:eastAsia="fr-FR"/>
        </w:rPr>
        <w:t>-</w:t>
      </w:r>
      <w:hyperlink r:id="rId28" w:history="1">
        <w:r w:rsidRPr="00952F51">
          <w:rPr>
            <w:rFonts w:ascii="Times New Roman" w:eastAsia="Times New Roman" w:hAnsi="Times New Roman" w:cs="Times New Roman"/>
            <w:bCs/>
            <w:kern w:val="36"/>
            <w:sz w:val="24"/>
            <w:szCs w:val="24"/>
            <w:lang w:val="en-US" w:eastAsia="fr-FR"/>
          </w:rPr>
          <w:t>disrupting organochlorine pesticide Dicofol</w:t>
        </w:r>
      </w:hyperlink>
      <w:r w:rsidRPr="00952F51">
        <w:rPr>
          <w:rFonts w:ascii="Times New Roman" w:eastAsia="Times New Roman" w:hAnsi="Times New Roman" w:cs="Times New Roman"/>
          <w:bCs/>
          <w:kern w:val="36"/>
          <w:sz w:val="24"/>
          <w:szCs w:val="24"/>
          <w:lang w:val="en-US" w:eastAsia="fr-FR"/>
        </w:rPr>
        <w:t>: </w:t>
      </w:r>
      <w:hyperlink r:id="rId29" w:history="1">
        <w:r w:rsidRPr="00952F51">
          <w:rPr>
            <w:rFonts w:ascii="Times New Roman" w:eastAsia="Times New Roman" w:hAnsi="Times New Roman" w:cs="Times New Roman"/>
            <w:bCs/>
            <w:kern w:val="36"/>
            <w:sz w:val="24"/>
            <w:szCs w:val="24"/>
            <w:lang w:val="en-US" w:eastAsia="fr-FR"/>
          </w:rPr>
          <w:t>optimization of operating parameters and investigations on the mechanism of intensification</w:t>
        </w:r>
      </w:hyperlink>
      <w:r w:rsidRPr="00952F51">
        <w:rPr>
          <w:rFonts w:ascii="Times New Roman" w:eastAsia="Times New Roman" w:hAnsi="Times New Roman" w:cs="Times New Roman"/>
          <w:bCs/>
          <w:kern w:val="36"/>
          <w:sz w:val="24"/>
          <w:szCs w:val="24"/>
          <w:lang w:val="en-US" w:eastAsia="fr-FR"/>
        </w:rPr>
        <w:t xml:space="preserve"> , </w:t>
      </w:r>
      <w:hyperlink r:id="rId30" w:tooltip="Go to Ultrasonics Sonochemistry on ScienceDirect" w:history="1">
        <w:r w:rsidRPr="000A5D98">
          <w:rPr>
            <w:rFonts w:ascii="Times New Roman" w:eastAsia="Times New Roman" w:hAnsi="Times New Roman" w:cs="Times New Roman"/>
            <w:bCs/>
            <w:sz w:val="24"/>
            <w:szCs w:val="24"/>
            <w:lang w:val="en-US" w:eastAsia="fr-FR"/>
          </w:rPr>
          <w:t>Ultrasonics Sonochemistry</w:t>
        </w:r>
      </w:hyperlink>
      <w:r>
        <w:rPr>
          <w:rFonts w:ascii="Times New Roman" w:eastAsia="Times New Roman" w:hAnsi="Times New Roman" w:cs="Times New Roman"/>
          <w:bCs/>
          <w:sz w:val="24"/>
          <w:szCs w:val="24"/>
          <w:lang w:val="en-US" w:eastAsia="fr-FR"/>
        </w:rPr>
        <w:t xml:space="preserve">, 51, </w:t>
      </w:r>
      <w:r w:rsidRPr="00952F51">
        <w:rPr>
          <w:rFonts w:ascii="Times New Roman" w:eastAsia="Times New Roman" w:hAnsi="Times New Roman" w:cs="Times New Roman"/>
          <w:sz w:val="24"/>
          <w:szCs w:val="24"/>
          <w:lang w:val="en-US" w:eastAsia="fr-FR"/>
        </w:rPr>
        <w:t>526-532</w:t>
      </w:r>
      <w:r>
        <w:rPr>
          <w:rFonts w:ascii="Times New Roman" w:eastAsia="Times New Roman" w:hAnsi="Times New Roman" w:cs="Times New Roman"/>
          <w:sz w:val="24"/>
          <w:szCs w:val="24"/>
          <w:lang w:val="en-US" w:eastAsia="fr-FR"/>
        </w:rPr>
        <w:t>.</w:t>
      </w:r>
      <w:r w:rsidRPr="000A5D98">
        <w:t xml:space="preserve"> </w:t>
      </w:r>
      <w:hyperlink r:id="rId31" w:tgtFrame="_blank" w:tooltip="Persistent link using digital object identifier" w:history="1">
        <w:r w:rsidRPr="000A5D98">
          <w:rPr>
            <w:rStyle w:val="anchor-text"/>
            <w:rFonts w:ascii="Times New Roman" w:hAnsi="Times New Roman" w:cs="Times New Roman"/>
            <w:color w:val="0000FF"/>
            <w:sz w:val="24"/>
            <w:szCs w:val="24"/>
            <w:u w:val="single"/>
          </w:rPr>
          <w:t>https://doi.org/10.1016/j.ultsonch.2018.04.003</w:t>
        </w:r>
      </w:hyperlink>
    </w:p>
    <w:p w14:paraId="0E7AA2BF" w14:textId="77777777" w:rsidR="00FE2DAF" w:rsidRPr="00D93A5B" w:rsidRDefault="009F7035" w:rsidP="00D93A5B">
      <w:pPr>
        <w:spacing w:after="120" w:line="360" w:lineRule="auto"/>
        <w:jc w:val="both"/>
        <w:rPr>
          <w:rFonts w:ascii="Times New Roman" w:eastAsia="GulliverRM" w:hAnsi="Times New Roman" w:cs="Times New Roman"/>
          <w:color w:val="00B050"/>
          <w:sz w:val="24"/>
          <w:szCs w:val="24"/>
          <w:lang w:val="en-US"/>
        </w:rPr>
      </w:pPr>
      <w:r w:rsidRPr="00952F51">
        <w:rPr>
          <w:rFonts w:ascii="Times New Roman" w:eastAsia="GulliverRM" w:hAnsi="Times New Roman" w:cs="Times New Roman"/>
          <w:bCs/>
          <w:sz w:val="24"/>
          <w:szCs w:val="24"/>
          <w:lang w:val="en-US"/>
        </w:rPr>
        <w:t>Qiu</w:t>
      </w:r>
      <w:r>
        <w:rPr>
          <w:rFonts w:ascii="Times New Roman" w:eastAsia="GulliverRM" w:hAnsi="Times New Roman" w:cs="Times New Roman"/>
          <w:bCs/>
          <w:sz w:val="24"/>
          <w:szCs w:val="24"/>
          <w:lang w:val="en-US"/>
        </w:rPr>
        <w:t>,</w:t>
      </w:r>
      <w:r w:rsidRPr="00952F51">
        <w:rPr>
          <w:rFonts w:ascii="Times New Roman" w:eastAsia="GulliverRM" w:hAnsi="Times New Roman" w:cs="Times New Roman"/>
          <w:bCs/>
          <w:sz w:val="24"/>
          <w:szCs w:val="24"/>
          <w:lang w:val="en-US"/>
        </w:rPr>
        <w:t xml:space="preserve"> </w:t>
      </w:r>
      <w:r w:rsidR="00FE2DAF" w:rsidRPr="00952F51">
        <w:rPr>
          <w:rFonts w:ascii="Times New Roman" w:eastAsia="GulliverRM" w:hAnsi="Times New Roman" w:cs="Times New Roman"/>
          <w:bCs/>
          <w:sz w:val="24"/>
          <w:szCs w:val="24"/>
          <w:lang w:val="en-US"/>
        </w:rPr>
        <w:t xml:space="preserve">X., </w:t>
      </w:r>
      <w:r w:rsidRPr="00952F51">
        <w:rPr>
          <w:rFonts w:ascii="Times New Roman" w:eastAsia="GulliverRM" w:hAnsi="Times New Roman" w:cs="Times New Roman"/>
          <w:bCs/>
          <w:sz w:val="24"/>
          <w:szCs w:val="24"/>
          <w:lang w:val="en-US"/>
        </w:rPr>
        <w:t>Zhu</w:t>
      </w:r>
      <w:r>
        <w:rPr>
          <w:rFonts w:ascii="Times New Roman" w:eastAsia="GulliverRM" w:hAnsi="Times New Roman" w:cs="Times New Roman"/>
          <w:bCs/>
          <w:sz w:val="24"/>
          <w:szCs w:val="24"/>
          <w:lang w:val="en-US"/>
        </w:rPr>
        <w:t>,</w:t>
      </w:r>
      <w:r w:rsidRPr="00952F51">
        <w:rPr>
          <w:rFonts w:ascii="Times New Roman" w:eastAsia="GulliverRM" w:hAnsi="Times New Roman" w:cs="Times New Roman"/>
          <w:bCs/>
          <w:sz w:val="24"/>
          <w:szCs w:val="24"/>
          <w:lang w:val="en-US"/>
        </w:rPr>
        <w:t xml:space="preserve"> </w:t>
      </w:r>
      <w:r w:rsidR="00FE2DAF" w:rsidRPr="00952F51">
        <w:rPr>
          <w:rFonts w:ascii="Times New Roman" w:eastAsia="GulliverRM" w:hAnsi="Times New Roman" w:cs="Times New Roman"/>
          <w:bCs/>
          <w:sz w:val="24"/>
          <w:szCs w:val="24"/>
          <w:lang w:val="en-US"/>
        </w:rPr>
        <w:t xml:space="preserve">T., </w:t>
      </w:r>
      <w:r w:rsidRPr="00952F51">
        <w:rPr>
          <w:rFonts w:ascii="Times New Roman" w:eastAsia="GulliverRM" w:hAnsi="Times New Roman" w:cs="Times New Roman"/>
          <w:bCs/>
          <w:sz w:val="24"/>
          <w:szCs w:val="24"/>
          <w:lang w:val="en-US"/>
        </w:rPr>
        <w:t>Yao</w:t>
      </w:r>
      <w:r>
        <w:rPr>
          <w:rFonts w:ascii="Times New Roman" w:eastAsia="GulliverRM" w:hAnsi="Times New Roman" w:cs="Times New Roman"/>
          <w:bCs/>
          <w:sz w:val="24"/>
          <w:szCs w:val="24"/>
          <w:lang w:val="en-US"/>
        </w:rPr>
        <w:t>,</w:t>
      </w:r>
      <w:r w:rsidRPr="00952F51">
        <w:rPr>
          <w:rFonts w:ascii="Times New Roman" w:eastAsia="GulliverRM" w:hAnsi="Times New Roman" w:cs="Times New Roman"/>
          <w:bCs/>
          <w:sz w:val="24"/>
          <w:szCs w:val="24"/>
          <w:lang w:val="en-US"/>
        </w:rPr>
        <w:t xml:space="preserve"> </w:t>
      </w:r>
      <w:r w:rsidR="00FE2DAF" w:rsidRPr="00952F51">
        <w:rPr>
          <w:rFonts w:ascii="Times New Roman" w:eastAsia="GulliverRM" w:hAnsi="Times New Roman" w:cs="Times New Roman"/>
          <w:bCs/>
          <w:sz w:val="24"/>
          <w:szCs w:val="24"/>
          <w:lang w:val="en-US"/>
        </w:rPr>
        <w:t xml:space="preserve">B., </w:t>
      </w:r>
      <w:r w:rsidRPr="00952F51">
        <w:rPr>
          <w:rFonts w:ascii="Times New Roman" w:eastAsia="GulliverRM" w:hAnsi="Times New Roman" w:cs="Times New Roman"/>
          <w:bCs/>
          <w:sz w:val="24"/>
          <w:szCs w:val="24"/>
          <w:lang w:val="en-US"/>
        </w:rPr>
        <w:t>Hu</w:t>
      </w:r>
      <w:r>
        <w:rPr>
          <w:rFonts w:ascii="Times New Roman" w:eastAsia="GulliverRM" w:hAnsi="Times New Roman" w:cs="Times New Roman"/>
          <w:bCs/>
          <w:sz w:val="24"/>
          <w:szCs w:val="24"/>
          <w:lang w:val="en-US"/>
        </w:rPr>
        <w:t>,</w:t>
      </w:r>
      <w:r w:rsidRPr="00952F51">
        <w:rPr>
          <w:rFonts w:ascii="Times New Roman" w:eastAsia="GulliverRM" w:hAnsi="Times New Roman" w:cs="Times New Roman"/>
          <w:bCs/>
          <w:sz w:val="24"/>
          <w:szCs w:val="24"/>
          <w:lang w:val="en-US"/>
        </w:rPr>
        <w:t xml:space="preserve"> </w:t>
      </w:r>
      <w:r w:rsidR="00FE2DAF" w:rsidRPr="00952F51">
        <w:rPr>
          <w:rFonts w:ascii="Times New Roman" w:eastAsia="GulliverRM" w:hAnsi="Times New Roman" w:cs="Times New Roman"/>
          <w:bCs/>
          <w:sz w:val="24"/>
          <w:szCs w:val="24"/>
          <w:lang w:val="en-US"/>
        </w:rPr>
        <w:t xml:space="preserve">J., </w:t>
      </w:r>
      <w:r w:rsidRPr="004F5288">
        <w:rPr>
          <w:rFonts w:ascii="Times New Roman" w:hAnsi="Times New Roman" w:cs="Times New Roman"/>
          <w:iCs/>
          <w:sz w:val="24"/>
          <w:szCs w:val="24"/>
          <w:lang w:val="en-US"/>
        </w:rPr>
        <w:t xml:space="preserve">&amp; </w:t>
      </w:r>
      <w:r w:rsidRPr="00952F51">
        <w:rPr>
          <w:rFonts w:ascii="Times New Roman" w:eastAsia="GulliverRM" w:hAnsi="Times New Roman" w:cs="Times New Roman"/>
          <w:bCs/>
          <w:sz w:val="24"/>
          <w:szCs w:val="24"/>
          <w:lang w:val="en-US"/>
        </w:rPr>
        <w:t>Hu</w:t>
      </w:r>
      <w:r>
        <w:rPr>
          <w:rFonts w:ascii="Times New Roman" w:eastAsia="GulliverRM" w:hAnsi="Times New Roman" w:cs="Times New Roman"/>
          <w:bCs/>
          <w:sz w:val="24"/>
          <w:szCs w:val="24"/>
          <w:lang w:val="en-US"/>
        </w:rPr>
        <w:t>,</w:t>
      </w:r>
      <w:r w:rsidRPr="00952F51">
        <w:rPr>
          <w:rFonts w:ascii="Times New Roman" w:eastAsia="GulliverRM" w:hAnsi="Times New Roman" w:cs="Times New Roman"/>
          <w:bCs/>
          <w:sz w:val="24"/>
          <w:szCs w:val="24"/>
          <w:lang w:val="en-US"/>
        </w:rPr>
        <w:t xml:space="preserve"> </w:t>
      </w:r>
      <w:r w:rsidR="00FE2DAF" w:rsidRPr="00952F51">
        <w:rPr>
          <w:rFonts w:ascii="Times New Roman" w:eastAsia="GulliverRM" w:hAnsi="Times New Roman" w:cs="Times New Roman"/>
          <w:bCs/>
          <w:sz w:val="24"/>
          <w:szCs w:val="24"/>
          <w:lang w:val="en-US"/>
        </w:rPr>
        <w:t>S.</w:t>
      </w:r>
      <w:r>
        <w:rPr>
          <w:rFonts w:ascii="Times New Roman" w:eastAsia="GulliverRM" w:hAnsi="Times New Roman" w:cs="Times New Roman"/>
          <w:bCs/>
          <w:sz w:val="24"/>
          <w:szCs w:val="24"/>
          <w:lang w:val="en-US"/>
        </w:rPr>
        <w:t xml:space="preserve"> (2005).</w:t>
      </w:r>
      <w:r>
        <w:rPr>
          <w:rFonts w:ascii="Times New Roman" w:eastAsia="Times New Roman" w:hAnsi="Times New Roman" w:cs="Times New Roman"/>
          <w:bCs/>
          <w:kern w:val="36"/>
          <w:sz w:val="24"/>
          <w:szCs w:val="24"/>
          <w:lang w:val="en-US" w:eastAsia="fr-FR"/>
        </w:rPr>
        <w:t xml:space="preserve"> Contribution of </w:t>
      </w:r>
      <w:r w:rsidR="00FE2DAF" w:rsidRPr="00952F51">
        <w:rPr>
          <w:rFonts w:ascii="Times New Roman" w:eastAsia="Times New Roman" w:hAnsi="Times New Roman" w:cs="Times New Roman"/>
          <w:bCs/>
          <w:kern w:val="36"/>
          <w:sz w:val="24"/>
          <w:szCs w:val="24"/>
          <w:lang w:val="en-US" w:eastAsia="fr-FR"/>
        </w:rPr>
        <w:t>Dicofol to the</w:t>
      </w:r>
      <w:r w:rsidR="006C2A18">
        <w:rPr>
          <w:rFonts w:ascii="Times New Roman" w:eastAsia="Times New Roman" w:hAnsi="Times New Roman" w:cs="Times New Roman"/>
          <w:bCs/>
          <w:kern w:val="36"/>
          <w:sz w:val="24"/>
          <w:szCs w:val="24"/>
          <w:lang w:val="en-US" w:eastAsia="fr-FR"/>
        </w:rPr>
        <w:t xml:space="preserve"> current DDT pollution in China.</w:t>
      </w:r>
      <w:r w:rsidR="00FE2DAF" w:rsidRPr="00952F51">
        <w:rPr>
          <w:rFonts w:ascii="Times New Roman" w:eastAsia="Times New Roman" w:hAnsi="Times New Roman" w:cs="Times New Roman"/>
          <w:bCs/>
          <w:kern w:val="36"/>
          <w:sz w:val="24"/>
          <w:szCs w:val="24"/>
          <w:lang w:val="en-US" w:eastAsia="fr-FR"/>
        </w:rPr>
        <w:t xml:space="preserve"> </w:t>
      </w:r>
      <w:r w:rsidR="00205ADB" w:rsidRPr="00205ADB">
        <w:rPr>
          <w:rFonts w:ascii="Times New Roman" w:eastAsia="GulliverRM" w:hAnsi="Times New Roman" w:cs="Times New Roman"/>
          <w:bCs/>
          <w:sz w:val="24"/>
          <w:szCs w:val="24"/>
          <w:lang w:val="en-US"/>
        </w:rPr>
        <w:t>Environmental Science &amp; Technology</w:t>
      </w:r>
      <w:r w:rsidR="006C2A18">
        <w:rPr>
          <w:rFonts w:ascii="Times New Roman" w:eastAsia="GulliverRM" w:hAnsi="Times New Roman" w:cs="Times New Roman"/>
          <w:bCs/>
          <w:sz w:val="24"/>
          <w:szCs w:val="24"/>
          <w:lang w:val="en-US"/>
        </w:rPr>
        <w:t>, 39</w:t>
      </w:r>
      <w:r w:rsidR="00205ADB">
        <w:rPr>
          <w:rFonts w:ascii="Times New Roman" w:eastAsia="GulliverRM" w:hAnsi="Times New Roman" w:cs="Times New Roman"/>
          <w:bCs/>
          <w:sz w:val="24"/>
          <w:szCs w:val="24"/>
          <w:lang w:val="en-US"/>
        </w:rPr>
        <w:t>(12)</w:t>
      </w:r>
      <w:r w:rsidR="00FE2DAF" w:rsidRPr="00952F51">
        <w:rPr>
          <w:rFonts w:ascii="Times New Roman" w:eastAsia="GulliverRM" w:hAnsi="Times New Roman" w:cs="Times New Roman"/>
          <w:bCs/>
          <w:sz w:val="24"/>
          <w:szCs w:val="24"/>
          <w:lang w:val="en-US"/>
        </w:rPr>
        <w:t>,</w:t>
      </w:r>
      <w:r w:rsidR="006C2A18">
        <w:rPr>
          <w:rFonts w:ascii="Times New Roman" w:eastAsia="GulliverRM" w:hAnsi="Times New Roman" w:cs="Times New Roman"/>
          <w:bCs/>
          <w:sz w:val="24"/>
          <w:szCs w:val="24"/>
          <w:lang w:val="en-US"/>
        </w:rPr>
        <w:t xml:space="preserve"> </w:t>
      </w:r>
      <w:r w:rsidR="00FE2DAF" w:rsidRPr="00952F51">
        <w:rPr>
          <w:rFonts w:ascii="Times New Roman" w:eastAsia="GulliverRM" w:hAnsi="Times New Roman" w:cs="Times New Roman"/>
          <w:bCs/>
          <w:sz w:val="24"/>
          <w:szCs w:val="24"/>
          <w:lang w:val="en-US"/>
        </w:rPr>
        <w:t>4385-4390.</w:t>
      </w:r>
      <w:r w:rsidR="007E727F">
        <w:rPr>
          <w:rFonts w:ascii="Times New Roman" w:eastAsia="GulliverRM" w:hAnsi="Times New Roman" w:cs="Times New Roman"/>
          <w:bCs/>
          <w:sz w:val="24"/>
          <w:szCs w:val="24"/>
          <w:lang w:val="en-US"/>
        </w:rPr>
        <w:t xml:space="preserve">  </w:t>
      </w:r>
      <w:hyperlink r:id="rId32" w:tooltip="DOI URL" w:history="1">
        <w:r w:rsidR="00D93A5B" w:rsidRPr="00D93A5B">
          <w:rPr>
            <w:rFonts w:ascii="Times New Roman" w:hAnsi="Times New Roman" w:cs="Times New Roman"/>
            <w:color w:val="0000FF"/>
            <w:sz w:val="24"/>
            <w:szCs w:val="24"/>
            <w:u w:val="single"/>
          </w:rPr>
          <w:t>https://doi.org/10.1021/es050342a</w:t>
        </w:r>
      </w:hyperlink>
      <w:r w:rsidR="007E727F" w:rsidRPr="00D93A5B">
        <w:rPr>
          <w:rFonts w:ascii="Times New Roman" w:eastAsia="GulliverRM" w:hAnsi="Times New Roman" w:cs="Times New Roman"/>
          <w:bCs/>
          <w:sz w:val="24"/>
          <w:szCs w:val="24"/>
          <w:lang w:val="en-US"/>
        </w:rPr>
        <w:t xml:space="preserve">  </w:t>
      </w:r>
      <w:r w:rsidR="007E727F" w:rsidRPr="00D93A5B">
        <w:rPr>
          <w:rFonts w:ascii="Times New Roman" w:eastAsia="GulliverRM" w:hAnsi="Times New Roman" w:cs="Times New Roman"/>
          <w:color w:val="00B050"/>
          <w:sz w:val="24"/>
          <w:szCs w:val="24"/>
          <w:lang w:val="en-US"/>
        </w:rPr>
        <w:t xml:space="preserve">                                                                                                                                         </w:t>
      </w:r>
      <w:r w:rsidR="00205ADB" w:rsidRPr="00D93A5B">
        <w:rPr>
          <w:rFonts w:ascii="Times New Roman" w:eastAsia="GulliverRM" w:hAnsi="Times New Roman" w:cs="Times New Roman"/>
          <w:color w:val="00B050"/>
          <w:sz w:val="24"/>
          <w:szCs w:val="24"/>
          <w:lang w:val="en-US"/>
        </w:rPr>
        <w:t xml:space="preserve">                            </w:t>
      </w:r>
    </w:p>
    <w:p w14:paraId="11C23DA6" w14:textId="77777777" w:rsidR="00C35CEA" w:rsidRDefault="00C35CEA" w:rsidP="00C35CEA">
      <w:pPr>
        <w:autoSpaceDE w:val="0"/>
        <w:autoSpaceDN w:val="0"/>
        <w:adjustRightInd w:val="0"/>
        <w:spacing w:after="120" w:line="360" w:lineRule="auto"/>
        <w:jc w:val="both"/>
        <w:rPr>
          <w:rFonts w:ascii="Times New Roman" w:hAnsi="Times New Roman" w:cs="Times New Roman"/>
          <w:sz w:val="24"/>
          <w:szCs w:val="24"/>
        </w:rPr>
      </w:pPr>
      <w:bookmarkStart w:id="4" w:name="bau0025"/>
      <w:proofErr w:type="spellStart"/>
      <w:r w:rsidRPr="00F76BD4">
        <w:rPr>
          <w:rFonts w:ascii="Times New Roman" w:hAnsi="Times New Roman" w:cs="Times New Roman"/>
          <w:iCs/>
          <w:sz w:val="24"/>
          <w:szCs w:val="24"/>
          <w:lang w:val="en-US"/>
        </w:rPr>
        <w:t>Saleck</w:t>
      </w:r>
      <w:proofErr w:type="spellEnd"/>
      <w:r w:rsidRPr="00F76BD4">
        <w:rPr>
          <w:rFonts w:ascii="Times New Roman" w:hAnsi="Times New Roman" w:cs="Times New Roman"/>
          <w:iCs/>
          <w:sz w:val="24"/>
          <w:szCs w:val="24"/>
          <w:lang w:val="en-US"/>
        </w:rPr>
        <w:t>,</w:t>
      </w:r>
      <w:r>
        <w:rPr>
          <w:rFonts w:ascii="Times New Roman" w:hAnsi="Times New Roman" w:cs="Times New Roman"/>
          <w:i/>
          <w:iCs/>
          <w:sz w:val="24"/>
          <w:szCs w:val="24"/>
          <w:lang w:val="en-US"/>
        </w:rPr>
        <w:t xml:space="preserve"> </w:t>
      </w:r>
      <w:r w:rsidRPr="00F76BD4">
        <w:rPr>
          <w:rFonts w:ascii="Times New Roman" w:hAnsi="Times New Roman" w:cs="Times New Roman"/>
          <w:sz w:val="24"/>
          <w:szCs w:val="24"/>
          <w:lang w:val="en-US"/>
        </w:rPr>
        <w:t>M. L. O</w:t>
      </w:r>
      <w:r>
        <w:rPr>
          <w:rFonts w:ascii="Times New Roman" w:hAnsi="Times New Roman" w:cs="Times New Roman"/>
          <w:sz w:val="24"/>
          <w:szCs w:val="24"/>
          <w:lang w:val="en-US"/>
        </w:rPr>
        <w:t>.</w:t>
      </w:r>
      <w:r w:rsidRPr="000D5C7A">
        <w:rPr>
          <w:rFonts w:ascii="Times New Roman" w:hAnsi="Times New Roman" w:cs="Times New Roman"/>
          <w:sz w:val="24"/>
          <w:szCs w:val="24"/>
          <w:lang w:val="en-US"/>
        </w:rPr>
        <w:t xml:space="preserve">, </w:t>
      </w:r>
      <w:r w:rsidRPr="004F5288">
        <w:rPr>
          <w:rFonts w:ascii="Times New Roman" w:hAnsi="Times New Roman" w:cs="Times New Roman"/>
          <w:sz w:val="24"/>
          <w:szCs w:val="24"/>
          <w:lang w:val="en-US"/>
        </w:rPr>
        <w:t xml:space="preserve">Thiaré, D. D., </w:t>
      </w:r>
      <w:r w:rsidRPr="000D5C7A">
        <w:rPr>
          <w:rFonts w:ascii="Times New Roman" w:hAnsi="Times New Roman" w:cs="Times New Roman"/>
          <w:sz w:val="24"/>
          <w:szCs w:val="24"/>
          <w:lang w:val="en-US"/>
        </w:rPr>
        <w:t>Sambou</w:t>
      </w:r>
      <w:r>
        <w:rPr>
          <w:rFonts w:ascii="Times New Roman" w:hAnsi="Times New Roman" w:cs="Times New Roman"/>
          <w:sz w:val="24"/>
          <w:szCs w:val="24"/>
          <w:lang w:val="en-US"/>
        </w:rPr>
        <w:t>,</w:t>
      </w:r>
      <w:r w:rsidRPr="000D5C7A">
        <w:rPr>
          <w:rFonts w:ascii="Times New Roman" w:hAnsi="Times New Roman" w:cs="Times New Roman"/>
          <w:sz w:val="24"/>
          <w:szCs w:val="24"/>
          <w:lang w:val="en-US"/>
        </w:rPr>
        <w:t xml:space="preserve"> S., Bodian</w:t>
      </w:r>
      <w:r>
        <w:rPr>
          <w:rFonts w:ascii="Times New Roman" w:hAnsi="Times New Roman" w:cs="Times New Roman"/>
          <w:sz w:val="24"/>
          <w:szCs w:val="24"/>
          <w:lang w:val="en-US"/>
        </w:rPr>
        <w:t>,</w:t>
      </w:r>
      <w:r w:rsidRPr="000D5C7A">
        <w:rPr>
          <w:rFonts w:ascii="Times New Roman" w:hAnsi="Times New Roman" w:cs="Times New Roman"/>
          <w:sz w:val="24"/>
          <w:szCs w:val="24"/>
          <w:lang w:val="en-US"/>
        </w:rPr>
        <w:t xml:space="preserve"> E.</w:t>
      </w:r>
      <w:r>
        <w:rPr>
          <w:rFonts w:ascii="Times New Roman" w:hAnsi="Times New Roman" w:cs="Times New Roman"/>
          <w:sz w:val="24"/>
          <w:szCs w:val="24"/>
          <w:lang w:val="en-US"/>
        </w:rPr>
        <w:t xml:space="preserve"> </w:t>
      </w:r>
      <w:r w:rsidRPr="000D5C7A">
        <w:rPr>
          <w:rFonts w:ascii="Times New Roman" w:hAnsi="Times New Roman" w:cs="Times New Roman"/>
          <w:sz w:val="24"/>
          <w:szCs w:val="24"/>
          <w:lang w:val="en-US"/>
        </w:rPr>
        <w:t>T., Sarr</w:t>
      </w:r>
      <w:r>
        <w:rPr>
          <w:rFonts w:ascii="Times New Roman" w:hAnsi="Times New Roman" w:cs="Times New Roman"/>
          <w:sz w:val="24"/>
          <w:szCs w:val="24"/>
          <w:lang w:val="en-US"/>
        </w:rPr>
        <w:t>,</w:t>
      </w:r>
      <w:r w:rsidRPr="000D5C7A">
        <w:rPr>
          <w:rFonts w:ascii="Times New Roman" w:hAnsi="Times New Roman" w:cs="Times New Roman"/>
          <w:sz w:val="24"/>
          <w:szCs w:val="24"/>
          <w:lang w:val="en-US"/>
        </w:rPr>
        <w:t xml:space="preserve"> I.,</w:t>
      </w:r>
      <w:r w:rsidRPr="00F76BD4">
        <w:rPr>
          <w:rFonts w:ascii="Times New Roman" w:hAnsi="Times New Roman" w:cs="Times New Roman"/>
          <w:sz w:val="24"/>
          <w:szCs w:val="24"/>
          <w:lang w:val="en-US"/>
        </w:rPr>
        <w:t xml:space="preserve"> </w:t>
      </w:r>
      <w:r w:rsidRPr="000D5C7A">
        <w:rPr>
          <w:rFonts w:ascii="Times New Roman" w:hAnsi="Times New Roman" w:cs="Times New Roman"/>
          <w:sz w:val="24"/>
          <w:szCs w:val="24"/>
          <w:lang w:val="en-US"/>
        </w:rPr>
        <w:t>Sarr</w:t>
      </w:r>
      <w:r>
        <w:rPr>
          <w:rFonts w:ascii="Times New Roman" w:hAnsi="Times New Roman" w:cs="Times New Roman"/>
          <w:sz w:val="24"/>
          <w:szCs w:val="24"/>
          <w:lang w:val="en-US"/>
        </w:rPr>
        <w:t>,</w:t>
      </w:r>
      <w:r w:rsidRPr="000D5C7A">
        <w:rPr>
          <w:rFonts w:ascii="Times New Roman" w:hAnsi="Times New Roman" w:cs="Times New Roman"/>
          <w:sz w:val="24"/>
          <w:szCs w:val="24"/>
          <w:lang w:val="en-US"/>
        </w:rPr>
        <w:t xml:space="preserve"> D., Diop</w:t>
      </w:r>
      <w:r>
        <w:rPr>
          <w:rFonts w:ascii="Times New Roman" w:hAnsi="Times New Roman" w:cs="Times New Roman"/>
          <w:sz w:val="24"/>
          <w:szCs w:val="24"/>
          <w:lang w:val="en-US"/>
        </w:rPr>
        <w:t>,</w:t>
      </w:r>
      <w:r w:rsidRPr="000D5C7A">
        <w:rPr>
          <w:rFonts w:ascii="Times New Roman" w:hAnsi="Times New Roman" w:cs="Times New Roman"/>
          <w:sz w:val="24"/>
          <w:szCs w:val="24"/>
          <w:lang w:val="en-US"/>
        </w:rPr>
        <w:t xml:space="preserve"> C., Gaye-Seye</w:t>
      </w:r>
      <w:r>
        <w:rPr>
          <w:rFonts w:ascii="Times New Roman" w:hAnsi="Times New Roman" w:cs="Times New Roman"/>
          <w:sz w:val="24"/>
          <w:szCs w:val="24"/>
          <w:lang w:val="en-US"/>
        </w:rPr>
        <w:t>,</w:t>
      </w:r>
      <w:r w:rsidRPr="000D5C7A">
        <w:rPr>
          <w:rFonts w:ascii="Times New Roman" w:hAnsi="Times New Roman" w:cs="Times New Roman"/>
          <w:sz w:val="24"/>
          <w:szCs w:val="24"/>
          <w:lang w:val="en-US"/>
        </w:rPr>
        <w:t xml:space="preserve"> M.</w:t>
      </w:r>
      <w:r>
        <w:rPr>
          <w:rFonts w:ascii="Times New Roman" w:hAnsi="Times New Roman" w:cs="Times New Roman"/>
          <w:sz w:val="24"/>
          <w:szCs w:val="24"/>
          <w:lang w:val="en-US"/>
        </w:rPr>
        <w:t xml:space="preserve"> </w:t>
      </w:r>
      <w:r w:rsidRPr="000D5C7A">
        <w:rPr>
          <w:rFonts w:ascii="Times New Roman" w:hAnsi="Times New Roman" w:cs="Times New Roman"/>
          <w:sz w:val="24"/>
          <w:szCs w:val="24"/>
          <w:lang w:val="en-US"/>
        </w:rPr>
        <w:t>D., Fall</w:t>
      </w:r>
      <w:r>
        <w:rPr>
          <w:rFonts w:ascii="Times New Roman" w:hAnsi="Times New Roman" w:cs="Times New Roman"/>
          <w:sz w:val="24"/>
          <w:szCs w:val="24"/>
          <w:lang w:val="en-US"/>
        </w:rPr>
        <w:t>,</w:t>
      </w:r>
      <w:r w:rsidRPr="000D5C7A">
        <w:rPr>
          <w:rFonts w:ascii="Times New Roman" w:hAnsi="Times New Roman" w:cs="Times New Roman"/>
          <w:sz w:val="24"/>
          <w:szCs w:val="24"/>
          <w:lang w:val="en-US"/>
        </w:rPr>
        <w:t xml:space="preserve"> M</w:t>
      </w:r>
      <w:r w:rsidRPr="004F5288">
        <w:rPr>
          <w:rFonts w:ascii="Times New Roman" w:hAnsi="Times New Roman" w:cs="Times New Roman"/>
          <w:sz w:val="24"/>
          <w:szCs w:val="24"/>
          <w:lang w:val="en-US"/>
        </w:rPr>
        <w:t xml:space="preserve">., </w:t>
      </w:r>
      <w:r w:rsidRPr="004F5288">
        <w:rPr>
          <w:rFonts w:ascii="Times New Roman" w:hAnsi="Times New Roman" w:cs="Times New Roman"/>
          <w:iCs/>
          <w:sz w:val="24"/>
          <w:szCs w:val="24"/>
          <w:lang w:val="en-US"/>
        </w:rPr>
        <w:t>&amp;</w:t>
      </w:r>
      <w:r w:rsidRPr="004F5288">
        <w:rPr>
          <w:rFonts w:ascii="Times New Roman" w:hAnsi="Times New Roman" w:cs="Times New Roman"/>
          <w:b/>
          <w:iCs/>
          <w:sz w:val="24"/>
          <w:szCs w:val="24"/>
          <w:lang w:val="en-US"/>
        </w:rPr>
        <w:t xml:space="preserve"> </w:t>
      </w:r>
      <w:r w:rsidRPr="000D5C7A">
        <w:rPr>
          <w:rFonts w:ascii="Times New Roman" w:hAnsi="Times New Roman" w:cs="Times New Roman"/>
          <w:sz w:val="24"/>
          <w:szCs w:val="24"/>
          <w:lang w:val="en-US"/>
        </w:rPr>
        <w:t>Coly</w:t>
      </w:r>
      <w:r>
        <w:rPr>
          <w:rFonts w:ascii="Times New Roman" w:hAnsi="Times New Roman" w:cs="Times New Roman"/>
          <w:sz w:val="24"/>
          <w:szCs w:val="24"/>
          <w:lang w:val="en-US"/>
        </w:rPr>
        <w:t>,</w:t>
      </w:r>
      <w:r w:rsidRPr="000D5C7A">
        <w:rPr>
          <w:rFonts w:ascii="Times New Roman" w:hAnsi="Times New Roman" w:cs="Times New Roman"/>
          <w:sz w:val="24"/>
          <w:szCs w:val="24"/>
          <w:lang w:val="en-US"/>
        </w:rPr>
        <w:t xml:space="preserve"> A</w:t>
      </w:r>
      <w:r>
        <w:rPr>
          <w:rFonts w:ascii="Times New Roman" w:hAnsi="Times New Roman" w:cs="Times New Roman"/>
          <w:sz w:val="24"/>
          <w:szCs w:val="24"/>
          <w:lang w:val="en-US"/>
        </w:rPr>
        <w:t>. (2019)</w:t>
      </w:r>
      <w:r w:rsidRPr="000D5C7A">
        <w:rPr>
          <w:rFonts w:ascii="Times New Roman" w:hAnsi="Times New Roman" w:cs="Times New Roman"/>
          <w:sz w:val="24"/>
          <w:szCs w:val="24"/>
          <w:lang w:val="en-US"/>
        </w:rPr>
        <w:t>.</w:t>
      </w:r>
      <w:r w:rsidRPr="000D5C7A">
        <w:rPr>
          <w:rFonts w:ascii="Times New Roman" w:hAnsi="Times New Roman" w:cs="Times New Roman"/>
          <w:sz w:val="24"/>
          <w:szCs w:val="24"/>
          <w:lang w:val="en-GB"/>
        </w:rPr>
        <w:t xml:space="preserve"> Photochemically-Induced Fluorescence (PIF) and UV-vis Absorption Determination of Diuron and </w:t>
      </w:r>
      <w:proofErr w:type="spellStart"/>
      <w:r w:rsidRPr="000D5C7A">
        <w:rPr>
          <w:rFonts w:ascii="Times New Roman" w:hAnsi="Times New Roman" w:cs="Times New Roman"/>
          <w:sz w:val="24"/>
          <w:szCs w:val="24"/>
          <w:lang w:val="en-GB"/>
        </w:rPr>
        <w:t>Metalaxyl</w:t>
      </w:r>
      <w:proofErr w:type="spellEnd"/>
      <w:r w:rsidRPr="000D5C7A">
        <w:rPr>
          <w:rFonts w:ascii="Times New Roman" w:hAnsi="Times New Roman" w:cs="Times New Roman"/>
          <w:sz w:val="24"/>
          <w:szCs w:val="24"/>
          <w:lang w:val="en-GB"/>
        </w:rPr>
        <w:t xml:space="preserve"> in Well Water, Kinetic of Photodegradation and</w:t>
      </w:r>
      <w:r>
        <w:rPr>
          <w:rFonts w:ascii="Times New Roman" w:hAnsi="Times New Roman" w:cs="Times New Roman"/>
          <w:sz w:val="24"/>
          <w:szCs w:val="24"/>
          <w:lang w:val="en-GB"/>
        </w:rPr>
        <w:t xml:space="preserve"> Rate of Leach Ability in Soils.</w:t>
      </w:r>
      <w:r w:rsidRPr="000D5C7A">
        <w:rPr>
          <w:rFonts w:ascii="Times New Roman" w:hAnsi="Times New Roman" w:cs="Times New Roman"/>
          <w:sz w:val="24"/>
          <w:szCs w:val="24"/>
          <w:lang w:val="en-US"/>
        </w:rPr>
        <w:t xml:space="preserve"> </w:t>
      </w:r>
      <w:r>
        <w:rPr>
          <w:rFonts w:ascii="Times New Roman" w:hAnsi="Times New Roman" w:cs="Times New Roman"/>
          <w:bCs/>
          <w:sz w:val="24"/>
          <w:szCs w:val="24"/>
          <w:lang w:val="en-US"/>
        </w:rPr>
        <w:t>Analytical Chemistry Letters,</w:t>
      </w:r>
      <w:r>
        <w:rPr>
          <w:rFonts w:ascii="Times New Roman" w:hAnsi="Times New Roman" w:cs="Times New Roman"/>
          <w:sz w:val="24"/>
          <w:szCs w:val="24"/>
          <w:lang w:val="en-GB"/>
        </w:rPr>
        <w:t xml:space="preserve"> 9, </w:t>
      </w:r>
      <w:r w:rsidRPr="000D5C7A">
        <w:rPr>
          <w:rFonts w:ascii="Times New Roman" w:hAnsi="Times New Roman" w:cs="Times New Roman"/>
          <w:bCs/>
          <w:iCs/>
          <w:color w:val="000000"/>
          <w:sz w:val="24"/>
          <w:szCs w:val="24"/>
          <w:lang w:val="en-US"/>
        </w:rPr>
        <w:t>806-815.</w:t>
      </w:r>
      <w:r w:rsidRPr="000D5C7A">
        <w:rPr>
          <w:rFonts w:ascii="Times New Roman" w:hAnsi="Times New Roman" w:cs="Times New Roman"/>
          <w:color w:val="0000FF"/>
          <w:sz w:val="24"/>
          <w:szCs w:val="24"/>
          <w:u w:val="single"/>
          <w:lang w:val="en-US"/>
        </w:rPr>
        <w:t xml:space="preserve"> </w:t>
      </w:r>
      <w:hyperlink r:id="rId33" w:history="1">
        <w:r w:rsidRPr="000D5C7A">
          <w:rPr>
            <w:rFonts w:ascii="Times New Roman" w:hAnsi="Times New Roman" w:cs="Times New Roman"/>
            <w:color w:val="0000FF"/>
            <w:sz w:val="24"/>
            <w:szCs w:val="24"/>
            <w:u w:val="single"/>
            <w:lang w:val="en-US"/>
          </w:rPr>
          <w:t>https://doi.org/10.1080/22297928.2020.1712237</w:t>
        </w:r>
      </w:hyperlink>
    </w:p>
    <w:p w14:paraId="63C3CEFC" w14:textId="77777777" w:rsidR="00C35CEA" w:rsidRDefault="00C35CEA" w:rsidP="00C35CEA">
      <w:pPr>
        <w:autoSpaceDE w:val="0"/>
        <w:autoSpaceDN w:val="0"/>
        <w:adjustRightInd w:val="0"/>
        <w:spacing w:after="120" w:line="360" w:lineRule="auto"/>
        <w:jc w:val="both"/>
        <w:rPr>
          <w:rFonts w:ascii="Times New Roman" w:hAnsi="Times New Roman" w:cs="Times New Roman"/>
          <w:sz w:val="24"/>
          <w:szCs w:val="24"/>
          <w:lang w:val="en-US"/>
        </w:rPr>
      </w:pPr>
      <w:r w:rsidRPr="00646332">
        <w:rPr>
          <w:rFonts w:ascii="Times New Roman" w:hAnsi="Times New Roman" w:cs="Times New Roman"/>
          <w:sz w:val="24"/>
          <w:szCs w:val="24"/>
        </w:rPr>
        <w:t>Sambou, S., Sarr, I., Diouf, N., Faye, C., Cisse, A. K., Sidibe, B., Cisse,</w:t>
      </w:r>
      <w:r w:rsidR="00EA6D99">
        <w:rPr>
          <w:rFonts w:ascii="Times New Roman" w:hAnsi="Times New Roman" w:cs="Times New Roman"/>
          <w:sz w:val="24"/>
          <w:szCs w:val="24"/>
        </w:rPr>
        <w:t xml:space="preserve"> A.</w:t>
      </w:r>
      <w:proofErr w:type="gramStart"/>
      <w:r w:rsidR="00EA6D99">
        <w:rPr>
          <w:rFonts w:ascii="Times New Roman" w:hAnsi="Times New Roman" w:cs="Times New Roman"/>
          <w:sz w:val="24"/>
          <w:szCs w:val="24"/>
        </w:rPr>
        <w:t>,  Diongue</w:t>
      </w:r>
      <w:proofErr w:type="gramEnd"/>
      <w:r w:rsidR="00EA6D99">
        <w:rPr>
          <w:rFonts w:ascii="Times New Roman" w:hAnsi="Times New Roman" w:cs="Times New Roman"/>
          <w:sz w:val="24"/>
          <w:szCs w:val="24"/>
        </w:rPr>
        <w:t>, K., Bodian, E.</w:t>
      </w:r>
      <w:r w:rsidRPr="00646332">
        <w:rPr>
          <w:rFonts w:ascii="Times New Roman" w:hAnsi="Times New Roman" w:cs="Times New Roman"/>
          <w:sz w:val="24"/>
          <w:szCs w:val="24"/>
        </w:rPr>
        <w:t xml:space="preserve"> T., Thiare, D. D., </w:t>
      </w:r>
      <w:r w:rsidRPr="00646332">
        <w:rPr>
          <w:rFonts w:ascii="Times New Roman" w:hAnsi="Times New Roman" w:cs="Times New Roman"/>
          <w:iCs/>
          <w:sz w:val="24"/>
          <w:szCs w:val="24"/>
          <w:lang w:val="en-US"/>
        </w:rPr>
        <w:t xml:space="preserve">&amp; </w:t>
      </w:r>
      <w:r w:rsidRPr="00646332">
        <w:rPr>
          <w:rFonts w:ascii="Times New Roman" w:hAnsi="Times New Roman" w:cs="Times New Roman"/>
          <w:sz w:val="24"/>
          <w:szCs w:val="24"/>
        </w:rPr>
        <w:t xml:space="preserve">Coly, A. (2025). </w:t>
      </w:r>
      <w:proofErr w:type="spellStart"/>
      <w:r w:rsidRPr="00646332">
        <w:rPr>
          <w:rFonts w:ascii="Times New Roman" w:hAnsi="Times New Roman" w:cs="Times New Roman"/>
          <w:sz w:val="24"/>
          <w:szCs w:val="24"/>
        </w:rPr>
        <w:t>Enhanced</w:t>
      </w:r>
      <w:proofErr w:type="spellEnd"/>
      <w:r w:rsidRPr="00646332">
        <w:rPr>
          <w:rFonts w:ascii="Times New Roman" w:hAnsi="Times New Roman" w:cs="Times New Roman"/>
          <w:sz w:val="24"/>
          <w:szCs w:val="24"/>
        </w:rPr>
        <w:t xml:space="preserve"> </w:t>
      </w:r>
      <w:proofErr w:type="spellStart"/>
      <w:r w:rsidRPr="00646332">
        <w:rPr>
          <w:rFonts w:ascii="Times New Roman" w:hAnsi="Times New Roman" w:cs="Times New Roman"/>
          <w:sz w:val="24"/>
          <w:szCs w:val="24"/>
        </w:rPr>
        <w:t>Solubility</w:t>
      </w:r>
      <w:proofErr w:type="spellEnd"/>
      <w:r w:rsidRPr="00646332">
        <w:rPr>
          <w:rFonts w:ascii="Times New Roman" w:hAnsi="Times New Roman" w:cs="Times New Roman"/>
          <w:sz w:val="24"/>
          <w:szCs w:val="24"/>
        </w:rPr>
        <w:t xml:space="preserve"> of Herbicide Diuron in </w:t>
      </w:r>
      <w:proofErr w:type="spellStart"/>
      <w:r w:rsidRPr="00646332">
        <w:rPr>
          <w:rFonts w:ascii="Times New Roman" w:hAnsi="Times New Roman" w:cs="Times New Roman"/>
          <w:sz w:val="24"/>
          <w:szCs w:val="24"/>
        </w:rPr>
        <w:lastRenderedPageBreak/>
        <w:t>Aqueous</w:t>
      </w:r>
      <w:proofErr w:type="spellEnd"/>
      <w:r w:rsidRPr="00646332">
        <w:rPr>
          <w:rFonts w:ascii="Times New Roman" w:hAnsi="Times New Roman" w:cs="Times New Roman"/>
          <w:sz w:val="24"/>
          <w:szCs w:val="24"/>
        </w:rPr>
        <w:t xml:space="preserve"> Solution by </w:t>
      </w:r>
      <w:proofErr w:type="spellStart"/>
      <w:r w:rsidRPr="00646332">
        <w:rPr>
          <w:rFonts w:ascii="Times New Roman" w:hAnsi="Times New Roman" w:cs="Times New Roman"/>
          <w:sz w:val="24"/>
          <w:szCs w:val="24"/>
        </w:rPr>
        <w:t>Micellisation</w:t>
      </w:r>
      <w:proofErr w:type="spellEnd"/>
      <w:r w:rsidRPr="00646332">
        <w:rPr>
          <w:rFonts w:ascii="Times New Roman" w:hAnsi="Times New Roman" w:cs="Times New Roman"/>
          <w:sz w:val="24"/>
          <w:szCs w:val="24"/>
        </w:rPr>
        <w:t xml:space="preserve">, American Journal of Physical Chemistry, 14(4) (2025) 100-109. </w:t>
      </w:r>
      <w:hyperlink r:id="rId34" w:history="1">
        <w:r w:rsidRPr="00DF5B05">
          <w:rPr>
            <w:rStyle w:val="Hyperlink"/>
            <w:rFonts w:ascii="Times New Roman" w:hAnsi="Times New Roman" w:cs="Times New Roman"/>
            <w:color w:val="0000CC"/>
            <w:sz w:val="24"/>
            <w:szCs w:val="24"/>
          </w:rPr>
          <w:t>https://doi.org/10.11648/j.ajpc.20251404.12</w:t>
        </w:r>
      </w:hyperlink>
    </w:p>
    <w:p w14:paraId="69E896E6" w14:textId="77777777" w:rsidR="00C35CEA" w:rsidRPr="00316CFE" w:rsidRDefault="00C35CEA" w:rsidP="00C35CEA">
      <w:pPr>
        <w:autoSpaceDE w:val="0"/>
        <w:autoSpaceDN w:val="0"/>
        <w:adjustRightInd w:val="0"/>
        <w:spacing w:after="120" w:line="360" w:lineRule="auto"/>
        <w:jc w:val="both"/>
        <w:rPr>
          <w:rFonts w:ascii="Times New Roman" w:hAnsi="Times New Roman" w:cs="Times New Roman"/>
          <w:sz w:val="24"/>
          <w:szCs w:val="24"/>
          <w:lang w:val="en-US"/>
        </w:rPr>
      </w:pPr>
      <w:r w:rsidRPr="00316CFE">
        <w:rPr>
          <w:rFonts w:ascii="Times New Roman" w:hAnsi="Times New Roman" w:cs="Times New Roman"/>
          <w:sz w:val="24"/>
          <w:szCs w:val="24"/>
          <w:lang w:val="en-US"/>
        </w:rPr>
        <w:t xml:space="preserve">Sánchez, A. I., Hernando, M. D., Vaquero, J. J., García, E., </w:t>
      </w:r>
      <w:r w:rsidRPr="008036AF">
        <w:rPr>
          <w:rFonts w:ascii="Times New Roman" w:hAnsi="Times New Roman" w:cs="Times New Roman"/>
          <w:iCs/>
          <w:sz w:val="24"/>
          <w:szCs w:val="24"/>
          <w:lang w:val="en-US"/>
        </w:rPr>
        <w:t xml:space="preserve">&amp; </w:t>
      </w:r>
      <w:r w:rsidRPr="00316CFE">
        <w:rPr>
          <w:rFonts w:ascii="Times New Roman" w:hAnsi="Times New Roman" w:cs="Times New Roman"/>
          <w:sz w:val="24"/>
          <w:szCs w:val="24"/>
          <w:lang w:val="en-US"/>
        </w:rPr>
        <w:t>Navas, J. M.</w:t>
      </w:r>
      <w:r>
        <w:rPr>
          <w:rFonts w:ascii="Times New Roman" w:hAnsi="Times New Roman" w:cs="Times New Roman"/>
          <w:sz w:val="24"/>
          <w:szCs w:val="24"/>
          <w:lang w:val="en-US"/>
        </w:rPr>
        <w:t xml:space="preserve"> (2010). </w:t>
      </w:r>
      <w:r w:rsidRPr="00952F51">
        <w:rPr>
          <w:rFonts w:ascii="Times New Roman" w:eastAsia="Times New Roman" w:hAnsi="Times New Roman" w:cs="Times New Roman"/>
          <w:kern w:val="36"/>
          <w:sz w:val="24"/>
          <w:szCs w:val="24"/>
          <w:lang w:val="en-US" w:eastAsia="fr-FR"/>
        </w:rPr>
        <w:t>Hazard Assess</w:t>
      </w:r>
      <w:r>
        <w:rPr>
          <w:rFonts w:ascii="Times New Roman" w:eastAsia="Times New Roman" w:hAnsi="Times New Roman" w:cs="Times New Roman"/>
          <w:kern w:val="36"/>
          <w:sz w:val="24"/>
          <w:szCs w:val="24"/>
          <w:lang w:val="en-US" w:eastAsia="fr-FR"/>
        </w:rPr>
        <w:t>ment of Alternatives to Dicofol.</w:t>
      </w:r>
      <w:r w:rsidRPr="00952F51">
        <w:rPr>
          <w:rFonts w:ascii="Times New Roman" w:eastAsia="Times New Roman" w:hAnsi="Times New Roman" w:cs="Times New Roman"/>
          <w:kern w:val="36"/>
          <w:sz w:val="24"/>
          <w:szCs w:val="24"/>
          <w:lang w:val="en-US" w:eastAsia="fr-FR"/>
        </w:rPr>
        <w:t xml:space="preserve"> </w:t>
      </w:r>
      <w:hyperlink r:id="rId35" w:tgtFrame="_blank" w:history="1">
        <w:r w:rsidRPr="00523E3C">
          <w:rPr>
            <w:rFonts w:ascii="Times New Roman" w:hAnsi="Times New Roman" w:cs="Times New Roman"/>
            <w:sz w:val="24"/>
            <w:szCs w:val="24"/>
            <w:bdr w:val="none" w:sz="0" w:space="0" w:color="auto" w:frame="1"/>
            <w:lang w:val="en-US"/>
          </w:rPr>
          <w:t>Journal of Environmental Protection</w:t>
        </w:r>
      </w:hyperlink>
      <w:r>
        <w:rPr>
          <w:rFonts w:ascii="Times New Roman" w:hAnsi="Times New Roman" w:cs="Times New Roman"/>
          <w:sz w:val="24"/>
          <w:szCs w:val="24"/>
          <w:lang w:val="en-US"/>
        </w:rPr>
        <w:t>, 1(03)</w:t>
      </w:r>
      <w:r w:rsidRPr="00952F5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52F51">
        <w:rPr>
          <w:rFonts w:ascii="Times New Roman" w:hAnsi="Times New Roman" w:cs="Times New Roman"/>
          <w:sz w:val="24"/>
          <w:szCs w:val="24"/>
          <w:lang w:val="en-US"/>
        </w:rPr>
        <w:t>231-241</w:t>
      </w:r>
      <w:r>
        <w:rPr>
          <w:rFonts w:ascii="Times New Roman" w:hAnsi="Times New Roman" w:cs="Times New Roman"/>
          <w:sz w:val="24"/>
          <w:szCs w:val="24"/>
          <w:lang w:val="en-US"/>
        </w:rPr>
        <w:t>.</w:t>
      </w:r>
      <w:r w:rsidRPr="00316CFE">
        <w:t xml:space="preserve"> </w:t>
      </w:r>
      <w:hyperlink r:id="rId36" w:history="1">
        <w:r w:rsidRPr="00316CFE">
          <w:rPr>
            <w:rStyle w:val="Hyperlink"/>
            <w:rFonts w:ascii="Times New Roman" w:hAnsi="Times New Roman" w:cs="Times New Roman"/>
            <w:color w:val="0000CC"/>
            <w:sz w:val="24"/>
            <w:szCs w:val="24"/>
          </w:rPr>
          <w:t>https://doi.org/</w:t>
        </w:r>
        <w:r w:rsidRPr="00316CFE">
          <w:rPr>
            <w:rStyle w:val="Hyperlink"/>
            <w:rFonts w:ascii="Times New Roman" w:hAnsi="Times New Roman" w:cs="Times New Roman"/>
            <w:color w:val="0000CC"/>
            <w:sz w:val="24"/>
            <w:szCs w:val="24"/>
            <w:lang w:val="en-US"/>
          </w:rPr>
          <w:t>10.4236/jep.2010.13028</w:t>
        </w:r>
      </w:hyperlink>
      <w:r>
        <w:rPr>
          <w:rFonts w:ascii="Times New Roman" w:hAnsi="Times New Roman" w:cs="Times New Roman"/>
          <w:sz w:val="24"/>
          <w:szCs w:val="24"/>
          <w:lang w:val="en-US"/>
        </w:rPr>
        <w:t xml:space="preserve"> </w:t>
      </w:r>
    </w:p>
    <w:p w14:paraId="1AF1F157" w14:textId="77777777" w:rsidR="00C35CEA" w:rsidRPr="00C35CEA" w:rsidRDefault="00C35CEA" w:rsidP="00C35CEA">
      <w:pPr>
        <w:autoSpaceDE w:val="0"/>
        <w:autoSpaceDN w:val="0"/>
        <w:adjustRightInd w:val="0"/>
        <w:spacing w:after="120" w:line="360" w:lineRule="auto"/>
        <w:jc w:val="both"/>
        <w:rPr>
          <w:rFonts w:ascii="Times New Roman" w:eastAsia="Times New Roman" w:hAnsi="Times New Roman" w:cs="Times New Roman"/>
          <w:bCs/>
          <w:iCs/>
          <w:color w:val="000000" w:themeColor="text1"/>
          <w:sz w:val="24"/>
          <w:szCs w:val="24"/>
          <w:lang w:val="en-US" w:eastAsia="fr-FR"/>
        </w:rPr>
      </w:pPr>
      <w:r w:rsidRPr="00952F51">
        <w:rPr>
          <w:rFonts w:ascii="Times New Roman" w:eastAsia="Times New Roman" w:hAnsi="Times New Roman" w:cs="Times New Roman"/>
          <w:bCs/>
          <w:iCs/>
          <w:color w:val="000000" w:themeColor="text1"/>
          <w:sz w:val="24"/>
          <w:szCs w:val="24"/>
          <w:lang w:val="en-US" w:eastAsia="fr-FR"/>
        </w:rPr>
        <w:t>Sarr,</w:t>
      </w:r>
      <w:r w:rsidRPr="00C66D16">
        <w:rPr>
          <w:rFonts w:ascii="Times New Roman" w:eastAsia="Times New Roman" w:hAnsi="Times New Roman" w:cs="Times New Roman"/>
          <w:bCs/>
          <w:iCs/>
          <w:color w:val="000000" w:themeColor="text1"/>
          <w:sz w:val="24"/>
          <w:szCs w:val="24"/>
          <w:lang w:val="en-US" w:eastAsia="fr-FR"/>
        </w:rPr>
        <w:t xml:space="preserve"> </w:t>
      </w:r>
      <w:r w:rsidRPr="00952F51">
        <w:rPr>
          <w:rFonts w:ascii="Times New Roman" w:eastAsia="Times New Roman" w:hAnsi="Times New Roman" w:cs="Times New Roman"/>
          <w:bCs/>
          <w:iCs/>
          <w:color w:val="000000" w:themeColor="text1"/>
          <w:sz w:val="24"/>
          <w:szCs w:val="24"/>
          <w:lang w:val="en-US" w:eastAsia="fr-FR"/>
        </w:rPr>
        <w:t>I.</w:t>
      </w:r>
      <w:r>
        <w:rPr>
          <w:rFonts w:ascii="Times New Roman" w:eastAsia="Times New Roman" w:hAnsi="Times New Roman" w:cs="Times New Roman"/>
          <w:bCs/>
          <w:iCs/>
          <w:color w:val="000000" w:themeColor="text1"/>
          <w:sz w:val="24"/>
          <w:szCs w:val="24"/>
          <w:lang w:val="en-US" w:eastAsia="fr-FR"/>
        </w:rPr>
        <w:t>,</w:t>
      </w:r>
      <w:r w:rsidRPr="00952F51">
        <w:rPr>
          <w:rFonts w:ascii="Times New Roman" w:eastAsia="Times New Roman" w:hAnsi="Times New Roman" w:cs="Times New Roman"/>
          <w:bCs/>
          <w:iCs/>
          <w:color w:val="000000" w:themeColor="text1"/>
          <w:sz w:val="24"/>
          <w:szCs w:val="24"/>
          <w:lang w:val="en-US" w:eastAsia="fr-FR"/>
        </w:rPr>
        <w:t xml:space="preserve"> </w:t>
      </w:r>
      <w:proofErr w:type="spellStart"/>
      <w:r w:rsidRPr="00C66D16">
        <w:rPr>
          <w:rFonts w:ascii="Times New Roman" w:eastAsia="Times New Roman" w:hAnsi="Times New Roman" w:cs="Times New Roman"/>
          <w:iCs/>
          <w:color w:val="000000" w:themeColor="text1"/>
          <w:sz w:val="24"/>
          <w:szCs w:val="24"/>
          <w:lang w:val="en-US" w:eastAsia="fr-FR"/>
        </w:rPr>
        <w:t>Thiaré</w:t>
      </w:r>
      <w:proofErr w:type="spellEnd"/>
      <w:r w:rsidRPr="00952F51">
        <w:rPr>
          <w:rFonts w:ascii="Times New Roman" w:eastAsia="Times New Roman" w:hAnsi="Times New Roman" w:cs="Times New Roman"/>
          <w:bCs/>
          <w:iCs/>
          <w:color w:val="000000" w:themeColor="text1"/>
          <w:sz w:val="24"/>
          <w:szCs w:val="24"/>
          <w:lang w:val="en-US" w:eastAsia="fr-FR"/>
        </w:rPr>
        <w:t xml:space="preserve">, </w:t>
      </w:r>
      <w:r w:rsidRPr="00C66D16">
        <w:rPr>
          <w:rFonts w:ascii="Times New Roman" w:eastAsia="Times New Roman" w:hAnsi="Times New Roman" w:cs="Times New Roman"/>
          <w:iCs/>
          <w:color w:val="000000" w:themeColor="text1"/>
          <w:sz w:val="24"/>
          <w:szCs w:val="24"/>
          <w:lang w:val="en-US" w:eastAsia="fr-FR"/>
        </w:rPr>
        <w:t>D.</w:t>
      </w:r>
      <w:r>
        <w:rPr>
          <w:rFonts w:ascii="Times New Roman" w:eastAsia="Times New Roman" w:hAnsi="Times New Roman" w:cs="Times New Roman"/>
          <w:iCs/>
          <w:color w:val="000000" w:themeColor="text1"/>
          <w:sz w:val="24"/>
          <w:szCs w:val="24"/>
          <w:lang w:val="en-US" w:eastAsia="fr-FR"/>
        </w:rPr>
        <w:t xml:space="preserve"> </w:t>
      </w:r>
      <w:r w:rsidRPr="00C66D16">
        <w:rPr>
          <w:rFonts w:ascii="Times New Roman" w:eastAsia="Times New Roman" w:hAnsi="Times New Roman" w:cs="Times New Roman"/>
          <w:iCs/>
          <w:color w:val="000000" w:themeColor="text1"/>
          <w:sz w:val="24"/>
          <w:szCs w:val="24"/>
          <w:lang w:val="en-US" w:eastAsia="fr-FR"/>
        </w:rPr>
        <w:t>D.</w:t>
      </w:r>
      <w:r>
        <w:rPr>
          <w:rFonts w:ascii="Times New Roman" w:eastAsia="Times New Roman" w:hAnsi="Times New Roman" w:cs="Times New Roman"/>
          <w:iCs/>
          <w:color w:val="000000" w:themeColor="text1"/>
          <w:sz w:val="24"/>
          <w:szCs w:val="24"/>
          <w:lang w:val="en-US" w:eastAsia="fr-FR"/>
        </w:rPr>
        <w:t>,</w:t>
      </w:r>
      <w:r w:rsidRPr="00C66D16">
        <w:rPr>
          <w:rFonts w:ascii="Times New Roman" w:eastAsia="Times New Roman" w:hAnsi="Times New Roman" w:cs="Times New Roman"/>
          <w:iCs/>
          <w:color w:val="000000" w:themeColor="text1"/>
          <w:sz w:val="24"/>
          <w:szCs w:val="24"/>
          <w:lang w:val="en-US" w:eastAsia="fr-FR"/>
        </w:rPr>
        <w:t xml:space="preserve"> </w:t>
      </w:r>
      <w:r w:rsidRPr="00952F51">
        <w:rPr>
          <w:rFonts w:ascii="Times New Roman" w:eastAsia="Times New Roman" w:hAnsi="Times New Roman" w:cs="Times New Roman"/>
          <w:bCs/>
          <w:iCs/>
          <w:color w:val="000000" w:themeColor="text1"/>
          <w:sz w:val="24"/>
          <w:szCs w:val="24"/>
          <w:lang w:val="en-US" w:eastAsia="fr-FR"/>
        </w:rPr>
        <w:t>Diaw</w:t>
      </w:r>
      <w:r>
        <w:rPr>
          <w:rFonts w:ascii="Times New Roman" w:eastAsia="Times New Roman" w:hAnsi="Times New Roman" w:cs="Times New Roman"/>
          <w:bCs/>
          <w:iCs/>
          <w:color w:val="000000" w:themeColor="text1"/>
          <w:sz w:val="24"/>
          <w:szCs w:val="24"/>
          <w:lang w:val="en-US" w:eastAsia="fr-FR"/>
        </w:rPr>
        <w:t>,</w:t>
      </w:r>
      <w:r w:rsidRPr="00C66D16">
        <w:rPr>
          <w:rFonts w:ascii="Times New Roman" w:eastAsia="Times New Roman" w:hAnsi="Times New Roman" w:cs="Times New Roman"/>
          <w:bCs/>
          <w:iCs/>
          <w:color w:val="000000" w:themeColor="text1"/>
          <w:sz w:val="24"/>
          <w:szCs w:val="24"/>
          <w:lang w:val="en-US" w:eastAsia="fr-FR"/>
        </w:rPr>
        <w:t xml:space="preserve"> </w:t>
      </w:r>
      <w:r w:rsidRPr="00952F51">
        <w:rPr>
          <w:rFonts w:ascii="Times New Roman" w:eastAsia="Times New Roman" w:hAnsi="Times New Roman" w:cs="Times New Roman"/>
          <w:bCs/>
          <w:iCs/>
          <w:color w:val="000000" w:themeColor="text1"/>
          <w:sz w:val="24"/>
          <w:szCs w:val="24"/>
          <w:lang w:val="en-US" w:eastAsia="fr-FR"/>
        </w:rPr>
        <w:t>P.A., Bodian, E.</w:t>
      </w:r>
      <w:r>
        <w:rPr>
          <w:rFonts w:ascii="Times New Roman" w:eastAsia="Times New Roman" w:hAnsi="Times New Roman" w:cs="Times New Roman"/>
          <w:bCs/>
          <w:iCs/>
          <w:color w:val="000000" w:themeColor="text1"/>
          <w:sz w:val="24"/>
          <w:szCs w:val="24"/>
          <w:lang w:val="en-US" w:eastAsia="fr-FR"/>
        </w:rPr>
        <w:t xml:space="preserve"> </w:t>
      </w:r>
      <w:r w:rsidRPr="00952F51">
        <w:rPr>
          <w:rFonts w:ascii="Times New Roman" w:eastAsia="Times New Roman" w:hAnsi="Times New Roman" w:cs="Times New Roman"/>
          <w:bCs/>
          <w:iCs/>
          <w:color w:val="000000" w:themeColor="text1"/>
          <w:sz w:val="24"/>
          <w:szCs w:val="24"/>
          <w:lang w:val="en-US" w:eastAsia="fr-FR"/>
        </w:rPr>
        <w:t>T.</w:t>
      </w:r>
      <w:r>
        <w:rPr>
          <w:rFonts w:ascii="Times New Roman" w:eastAsia="Times New Roman" w:hAnsi="Times New Roman" w:cs="Times New Roman"/>
          <w:bCs/>
          <w:iCs/>
          <w:color w:val="000000" w:themeColor="text1"/>
          <w:sz w:val="24"/>
          <w:szCs w:val="24"/>
          <w:lang w:val="en-US" w:eastAsia="fr-FR"/>
        </w:rPr>
        <w:t>,</w:t>
      </w:r>
      <w:r w:rsidRPr="00952F51">
        <w:rPr>
          <w:rFonts w:ascii="Times New Roman" w:eastAsia="Times New Roman" w:hAnsi="Times New Roman" w:cs="Times New Roman"/>
          <w:bCs/>
          <w:iCs/>
          <w:color w:val="000000" w:themeColor="text1"/>
          <w:sz w:val="24"/>
          <w:szCs w:val="24"/>
          <w:lang w:val="en-US" w:eastAsia="fr-FR"/>
        </w:rPr>
        <w:t xml:space="preserve"> Sambou, S.</w:t>
      </w:r>
      <w:r>
        <w:rPr>
          <w:rFonts w:ascii="Times New Roman" w:eastAsia="Times New Roman" w:hAnsi="Times New Roman" w:cs="Times New Roman"/>
          <w:bCs/>
          <w:iCs/>
          <w:color w:val="000000" w:themeColor="text1"/>
          <w:sz w:val="24"/>
          <w:szCs w:val="24"/>
          <w:lang w:val="en-US" w:eastAsia="fr-FR"/>
        </w:rPr>
        <w:t>,</w:t>
      </w:r>
      <w:r w:rsidRPr="00952F51">
        <w:rPr>
          <w:rFonts w:ascii="Times New Roman" w:eastAsia="Times New Roman" w:hAnsi="Times New Roman" w:cs="Times New Roman"/>
          <w:bCs/>
          <w:iCs/>
          <w:color w:val="000000" w:themeColor="text1"/>
          <w:sz w:val="24"/>
          <w:szCs w:val="24"/>
          <w:lang w:val="en-US" w:eastAsia="fr-FR"/>
        </w:rPr>
        <w:t xml:space="preserve"> K. Kital, Mendy,</w:t>
      </w:r>
      <w:r w:rsidRPr="00BE41CB">
        <w:rPr>
          <w:rFonts w:ascii="Times New Roman" w:eastAsia="Times New Roman" w:hAnsi="Times New Roman" w:cs="Times New Roman"/>
          <w:bCs/>
          <w:iCs/>
          <w:color w:val="000000" w:themeColor="text1"/>
          <w:sz w:val="24"/>
          <w:szCs w:val="24"/>
          <w:lang w:val="en-US" w:eastAsia="fr-FR"/>
        </w:rPr>
        <w:t xml:space="preserve"> </w:t>
      </w:r>
      <w:r w:rsidRPr="00952F51">
        <w:rPr>
          <w:rFonts w:ascii="Times New Roman" w:eastAsia="Times New Roman" w:hAnsi="Times New Roman" w:cs="Times New Roman"/>
          <w:bCs/>
          <w:iCs/>
          <w:color w:val="000000" w:themeColor="text1"/>
          <w:sz w:val="24"/>
          <w:szCs w:val="24"/>
          <w:lang w:val="en-US" w:eastAsia="fr-FR"/>
        </w:rPr>
        <w:t>A.</w:t>
      </w:r>
      <w:r>
        <w:rPr>
          <w:rFonts w:ascii="Times New Roman" w:eastAsia="Times New Roman" w:hAnsi="Times New Roman" w:cs="Times New Roman"/>
          <w:bCs/>
          <w:iCs/>
          <w:color w:val="000000" w:themeColor="text1"/>
          <w:sz w:val="24"/>
          <w:szCs w:val="24"/>
          <w:lang w:val="en-US" w:eastAsia="fr-FR"/>
        </w:rPr>
        <w:t>,</w:t>
      </w:r>
      <w:r w:rsidRPr="00952F51">
        <w:rPr>
          <w:rFonts w:ascii="Times New Roman" w:eastAsia="Times New Roman" w:hAnsi="Times New Roman" w:cs="Times New Roman"/>
          <w:bCs/>
          <w:iCs/>
          <w:color w:val="000000" w:themeColor="text1"/>
          <w:sz w:val="24"/>
          <w:szCs w:val="24"/>
          <w:lang w:val="en-US" w:eastAsia="fr-FR"/>
        </w:rPr>
        <w:t xml:space="preserve"> Sarr, D.</w:t>
      </w:r>
      <w:r>
        <w:rPr>
          <w:rFonts w:ascii="Times New Roman" w:eastAsia="Times New Roman" w:hAnsi="Times New Roman" w:cs="Times New Roman"/>
          <w:bCs/>
          <w:iCs/>
          <w:color w:val="000000" w:themeColor="text1"/>
          <w:sz w:val="24"/>
          <w:szCs w:val="24"/>
          <w:lang w:val="en-US" w:eastAsia="fr-FR"/>
        </w:rPr>
        <w:t>,</w:t>
      </w:r>
      <w:r w:rsidRPr="00952F51">
        <w:rPr>
          <w:rFonts w:ascii="Times New Roman" w:eastAsia="Times New Roman" w:hAnsi="Times New Roman" w:cs="Times New Roman"/>
          <w:bCs/>
          <w:iCs/>
          <w:color w:val="000000" w:themeColor="text1"/>
          <w:sz w:val="24"/>
          <w:szCs w:val="24"/>
          <w:lang w:val="en-US" w:eastAsia="fr-FR"/>
        </w:rPr>
        <w:t xml:space="preserve"> Fall, M.</w:t>
      </w:r>
      <w:r>
        <w:rPr>
          <w:rFonts w:ascii="Times New Roman" w:eastAsia="Times New Roman" w:hAnsi="Times New Roman" w:cs="Times New Roman"/>
          <w:bCs/>
          <w:iCs/>
          <w:color w:val="000000" w:themeColor="text1"/>
          <w:sz w:val="24"/>
          <w:szCs w:val="24"/>
          <w:lang w:val="en-US" w:eastAsia="fr-FR"/>
        </w:rPr>
        <w:t>,</w:t>
      </w:r>
      <w:r w:rsidRPr="00952F51">
        <w:rPr>
          <w:rFonts w:ascii="Times New Roman" w:eastAsia="Times New Roman" w:hAnsi="Times New Roman" w:cs="Times New Roman"/>
          <w:bCs/>
          <w:iCs/>
          <w:color w:val="000000" w:themeColor="text1"/>
          <w:sz w:val="24"/>
          <w:szCs w:val="24"/>
          <w:lang w:val="en-US" w:eastAsia="fr-FR"/>
        </w:rPr>
        <w:t xml:space="preserve"> Delattre,</w:t>
      </w:r>
      <w:r w:rsidRPr="00BE41CB">
        <w:rPr>
          <w:rFonts w:ascii="Times New Roman" w:eastAsia="Times New Roman" w:hAnsi="Times New Roman" w:cs="Times New Roman"/>
          <w:bCs/>
          <w:iCs/>
          <w:color w:val="000000" w:themeColor="text1"/>
          <w:sz w:val="24"/>
          <w:szCs w:val="24"/>
          <w:lang w:val="en-US" w:eastAsia="fr-FR"/>
        </w:rPr>
        <w:t xml:space="preserve"> </w:t>
      </w:r>
      <w:r w:rsidRPr="00952F51">
        <w:rPr>
          <w:rFonts w:ascii="Times New Roman" w:eastAsia="Times New Roman" w:hAnsi="Times New Roman" w:cs="Times New Roman"/>
          <w:bCs/>
          <w:iCs/>
          <w:color w:val="000000" w:themeColor="text1"/>
          <w:sz w:val="24"/>
          <w:szCs w:val="24"/>
          <w:lang w:val="en-US" w:eastAsia="fr-FR"/>
        </w:rPr>
        <w:t>F.</w:t>
      </w:r>
      <w:r>
        <w:rPr>
          <w:rFonts w:ascii="Times New Roman" w:eastAsia="Times New Roman" w:hAnsi="Times New Roman" w:cs="Times New Roman"/>
          <w:bCs/>
          <w:iCs/>
          <w:color w:val="000000" w:themeColor="text1"/>
          <w:sz w:val="24"/>
          <w:szCs w:val="24"/>
          <w:lang w:val="en-US" w:eastAsia="fr-FR"/>
        </w:rPr>
        <w:t>,</w:t>
      </w:r>
      <w:r w:rsidRPr="00952F51">
        <w:rPr>
          <w:rFonts w:ascii="Times New Roman" w:eastAsia="Times New Roman" w:hAnsi="Times New Roman" w:cs="Times New Roman"/>
          <w:bCs/>
          <w:iCs/>
          <w:color w:val="000000" w:themeColor="text1"/>
          <w:sz w:val="24"/>
          <w:szCs w:val="24"/>
          <w:lang w:val="en-US" w:eastAsia="fr-FR"/>
        </w:rPr>
        <w:t xml:space="preserve"> </w:t>
      </w:r>
      <w:r w:rsidRPr="008036AF">
        <w:rPr>
          <w:rFonts w:ascii="Times New Roman" w:hAnsi="Times New Roman" w:cs="Times New Roman"/>
          <w:iCs/>
          <w:sz w:val="24"/>
          <w:szCs w:val="24"/>
          <w:lang w:val="en-US"/>
        </w:rPr>
        <w:t>&amp;</w:t>
      </w:r>
      <w:r w:rsidRPr="00952F51">
        <w:rPr>
          <w:rFonts w:ascii="Times New Roman" w:eastAsia="Times New Roman" w:hAnsi="Times New Roman" w:cs="Times New Roman"/>
          <w:bCs/>
          <w:iCs/>
          <w:color w:val="000000" w:themeColor="text1"/>
          <w:sz w:val="24"/>
          <w:szCs w:val="24"/>
          <w:lang w:val="en-US" w:eastAsia="fr-FR"/>
        </w:rPr>
        <w:t xml:space="preserve"> Coly,</w:t>
      </w:r>
      <w:r w:rsidRPr="00BE41CB">
        <w:rPr>
          <w:rFonts w:ascii="Times New Roman" w:eastAsia="Times New Roman" w:hAnsi="Times New Roman" w:cs="Times New Roman"/>
          <w:bCs/>
          <w:iCs/>
          <w:color w:val="000000" w:themeColor="text1"/>
          <w:sz w:val="24"/>
          <w:szCs w:val="24"/>
          <w:lang w:val="en-US" w:eastAsia="fr-FR"/>
        </w:rPr>
        <w:t xml:space="preserve"> </w:t>
      </w:r>
      <w:r w:rsidRPr="00952F51">
        <w:rPr>
          <w:rFonts w:ascii="Times New Roman" w:eastAsia="Times New Roman" w:hAnsi="Times New Roman" w:cs="Times New Roman"/>
          <w:bCs/>
          <w:iCs/>
          <w:color w:val="000000" w:themeColor="text1"/>
          <w:sz w:val="24"/>
          <w:szCs w:val="24"/>
          <w:lang w:val="en-US" w:eastAsia="fr-FR"/>
        </w:rPr>
        <w:t xml:space="preserve">A. </w:t>
      </w:r>
      <w:r>
        <w:rPr>
          <w:rFonts w:ascii="Times New Roman" w:eastAsia="Times New Roman" w:hAnsi="Times New Roman" w:cs="Times New Roman"/>
          <w:bCs/>
          <w:iCs/>
          <w:color w:val="000000" w:themeColor="text1"/>
          <w:sz w:val="24"/>
          <w:szCs w:val="24"/>
          <w:lang w:val="en-US" w:eastAsia="fr-FR"/>
        </w:rPr>
        <w:t>(2022).</w:t>
      </w:r>
      <w:r w:rsidRPr="00952F51">
        <w:rPr>
          <w:rFonts w:ascii="Times New Roman" w:eastAsia="Times New Roman" w:hAnsi="Times New Roman" w:cs="Times New Roman"/>
          <w:bCs/>
          <w:iCs/>
          <w:color w:val="000000" w:themeColor="text1"/>
          <w:sz w:val="24"/>
          <w:szCs w:val="24"/>
          <w:lang w:val="en-US" w:eastAsia="fr-FR"/>
        </w:rPr>
        <w:t xml:space="preserve"> Solubility and thermodynamic micellization studies of the insecticide chlorpyrifos in aqueous medium, </w:t>
      </w:r>
      <w:r>
        <w:rPr>
          <w:rFonts w:ascii="Times New Roman" w:eastAsia="Times New Roman" w:hAnsi="Times New Roman" w:cs="Times New Roman"/>
          <w:bCs/>
          <w:color w:val="000000" w:themeColor="text1"/>
          <w:sz w:val="24"/>
          <w:szCs w:val="24"/>
          <w:lang w:val="en-US" w:eastAsia="fr-FR"/>
        </w:rPr>
        <w:t>Journal of Materials</w:t>
      </w:r>
      <w:r w:rsidRPr="0024624B">
        <w:rPr>
          <w:rFonts w:ascii="Times New Roman" w:eastAsia="Times New Roman" w:hAnsi="Times New Roman" w:cs="Times New Roman"/>
          <w:bCs/>
          <w:color w:val="000000" w:themeColor="text1"/>
          <w:sz w:val="24"/>
          <w:szCs w:val="24"/>
          <w:lang w:val="en-US" w:eastAsia="fr-FR"/>
        </w:rPr>
        <w:t xml:space="preserve"> </w:t>
      </w:r>
      <w:r>
        <w:rPr>
          <w:rFonts w:ascii="Times New Roman" w:eastAsia="Times New Roman" w:hAnsi="Times New Roman" w:cs="Times New Roman"/>
          <w:bCs/>
          <w:color w:val="000000" w:themeColor="text1"/>
          <w:sz w:val="24"/>
          <w:szCs w:val="24"/>
          <w:lang w:val="en-US" w:eastAsia="fr-FR"/>
        </w:rPr>
        <w:t>and Environmental</w:t>
      </w:r>
      <w:r w:rsidRPr="0024624B">
        <w:rPr>
          <w:rFonts w:ascii="Times New Roman" w:eastAsia="Times New Roman" w:hAnsi="Times New Roman" w:cs="Times New Roman"/>
          <w:bCs/>
          <w:color w:val="000000" w:themeColor="text1"/>
          <w:sz w:val="24"/>
          <w:szCs w:val="24"/>
          <w:lang w:val="en-US" w:eastAsia="fr-FR"/>
        </w:rPr>
        <w:t xml:space="preserve"> Sci</w:t>
      </w:r>
      <w:r>
        <w:rPr>
          <w:rFonts w:ascii="Times New Roman" w:eastAsia="Times New Roman" w:hAnsi="Times New Roman" w:cs="Times New Roman"/>
          <w:bCs/>
          <w:iCs/>
          <w:color w:val="000000" w:themeColor="text1"/>
          <w:sz w:val="24"/>
          <w:szCs w:val="24"/>
          <w:lang w:val="en-US" w:eastAsia="fr-FR"/>
        </w:rPr>
        <w:t>ence</w:t>
      </w:r>
      <w:r w:rsidRPr="00952F51">
        <w:rPr>
          <w:rFonts w:ascii="Times New Roman" w:eastAsia="Times New Roman" w:hAnsi="Times New Roman" w:cs="Times New Roman"/>
          <w:bCs/>
          <w:iCs/>
          <w:color w:val="000000" w:themeColor="text1"/>
          <w:sz w:val="24"/>
          <w:szCs w:val="24"/>
          <w:lang w:val="en-US" w:eastAsia="fr-FR"/>
        </w:rPr>
        <w:t xml:space="preserve"> 13</w:t>
      </w:r>
      <w:r>
        <w:rPr>
          <w:rFonts w:ascii="Times New Roman" w:eastAsia="Times New Roman" w:hAnsi="Times New Roman" w:cs="Times New Roman"/>
          <w:bCs/>
          <w:iCs/>
          <w:color w:val="000000" w:themeColor="text1"/>
          <w:sz w:val="24"/>
          <w:szCs w:val="24"/>
          <w:lang w:val="en-US" w:eastAsia="fr-FR"/>
        </w:rPr>
        <w:t xml:space="preserve">(1), </w:t>
      </w:r>
      <w:r w:rsidRPr="00952F51">
        <w:rPr>
          <w:rFonts w:ascii="Times New Roman" w:eastAsia="Times New Roman" w:hAnsi="Times New Roman" w:cs="Times New Roman"/>
          <w:bCs/>
          <w:iCs/>
          <w:color w:val="000000" w:themeColor="text1"/>
          <w:sz w:val="24"/>
          <w:szCs w:val="24"/>
          <w:lang w:val="en-US" w:eastAsia="fr-FR"/>
        </w:rPr>
        <w:t>70-81.</w:t>
      </w:r>
      <w:r w:rsidRPr="00C35CEA">
        <w:rPr>
          <w:rFonts w:ascii="Times New Roman" w:eastAsia="Times New Roman" w:hAnsi="Times New Roman" w:cs="Times New Roman"/>
          <w:bCs/>
          <w:iCs/>
          <w:color w:val="0000CC"/>
          <w:sz w:val="24"/>
          <w:szCs w:val="24"/>
          <w:lang w:val="en-US" w:eastAsia="fr-FR"/>
        </w:rPr>
        <w:t xml:space="preserve"> </w:t>
      </w:r>
      <w:r w:rsidRPr="00952F51">
        <w:rPr>
          <w:rFonts w:ascii="Times New Roman" w:eastAsia="Times New Roman" w:hAnsi="Times New Roman" w:cs="Times New Roman"/>
          <w:bCs/>
          <w:iCs/>
          <w:color w:val="0000CC"/>
          <w:sz w:val="24"/>
          <w:szCs w:val="24"/>
          <w:u w:val="single"/>
          <w:lang w:val="en-US" w:eastAsia="fr-FR"/>
        </w:rPr>
        <w:t>https://www.jmaterenvironsci.com/Document/vol13/vol13_N1/JMES-2022-13006-Sarr.pdf</w:t>
      </w:r>
    </w:p>
    <w:p w14:paraId="4EC44CC7" w14:textId="77777777" w:rsidR="00C35CEA" w:rsidRPr="00646332" w:rsidRDefault="00EA6D99" w:rsidP="00C35CE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Sarr, I., Bodian, E.</w:t>
      </w:r>
      <w:r w:rsidR="00C35CEA" w:rsidRPr="00646332">
        <w:rPr>
          <w:rFonts w:ascii="Times New Roman" w:hAnsi="Times New Roman" w:cs="Times New Roman"/>
          <w:sz w:val="24"/>
          <w:szCs w:val="24"/>
          <w:lang w:val="en-US"/>
        </w:rPr>
        <w:t xml:space="preserve"> T., Sambou, S., Mendy, A., </w:t>
      </w:r>
      <w:proofErr w:type="spellStart"/>
      <w:r w:rsidR="00C35CEA" w:rsidRPr="00646332">
        <w:rPr>
          <w:rFonts w:ascii="Times New Roman" w:hAnsi="Times New Roman" w:cs="Times New Roman"/>
          <w:sz w:val="24"/>
          <w:szCs w:val="24"/>
          <w:lang w:val="en-US"/>
        </w:rPr>
        <w:t>Thiaré</w:t>
      </w:r>
      <w:proofErr w:type="spellEnd"/>
      <w:r w:rsidR="00C35CEA" w:rsidRPr="00646332">
        <w:rPr>
          <w:rFonts w:ascii="Times New Roman" w:hAnsi="Times New Roman" w:cs="Times New Roman"/>
          <w:sz w:val="24"/>
          <w:szCs w:val="24"/>
          <w:lang w:val="en-US"/>
        </w:rPr>
        <w:t xml:space="preserve">, D. D., Diaw, P.A., Gaye-Seye, M. D., Coly, A., </w:t>
      </w:r>
      <w:r w:rsidR="00C35CEA" w:rsidRPr="00646332">
        <w:rPr>
          <w:rFonts w:ascii="Times New Roman" w:hAnsi="Times New Roman" w:cs="Times New Roman"/>
          <w:iCs/>
          <w:sz w:val="24"/>
          <w:szCs w:val="24"/>
          <w:lang w:val="en-US"/>
        </w:rPr>
        <w:t xml:space="preserve">&amp; </w:t>
      </w:r>
      <w:r w:rsidR="00C35CEA" w:rsidRPr="00646332">
        <w:rPr>
          <w:rFonts w:ascii="Times New Roman" w:hAnsi="Times New Roman" w:cs="Times New Roman"/>
          <w:sz w:val="24"/>
          <w:szCs w:val="24"/>
          <w:lang w:val="en-US"/>
        </w:rPr>
        <w:t xml:space="preserve">Tine, A. (2017). Conductometric Study of the Interaction of Insecticide </w:t>
      </w:r>
      <w:proofErr w:type="spellStart"/>
      <w:r w:rsidR="00C35CEA" w:rsidRPr="00646332">
        <w:rPr>
          <w:rFonts w:ascii="Times New Roman" w:hAnsi="Times New Roman" w:cs="Times New Roman"/>
          <w:sz w:val="24"/>
          <w:szCs w:val="24"/>
          <w:lang w:val="en-US"/>
        </w:rPr>
        <w:t>Profenofos</w:t>
      </w:r>
      <w:proofErr w:type="spellEnd"/>
      <w:r w:rsidR="00C35CEA" w:rsidRPr="00646332">
        <w:rPr>
          <w:rFonts w:ascii="Times New Roman" w:hAnsi="Times New Roman" w:cs="Times New Roman"/>
          <w:sz w:val="24"/>
          <w:szCs w:val="24"/>
          <w:lang w:val="en-US"/>
        </w:rPr>
        <w:t xml:space="preserve"> with Cationic and Anionic Surfactants in Aqueous Medium. International Research Journal of Pure and Applied Chemistry, 15(1), 1-9.</w:t>
      </w:r>
    </w:p>
    <w:p w14:paraId="5BC254A5" w14:textId="77777777" w:rsidR="00C35CEA" w:rsidRPr="005F2E64" w:rsidRDefault="00E13761" w:rsidP="00C35CEA">
      <w:pPr>
        <w:spacing w:after="120" w:line="360" w:lineRule="auto"/>
        <w:jc w:val="both"/>
        <w:rPr>
          <w:rFonts w:ascii="Times New Roman" w:hAnsi="Times New Roman" w:cs="Times New Roman"/>
          <w:color w:val="FF0000"/>
          <w:sz w:val="24"/>
          <w:szCs w:val="24"/>
          <w:lang w:val="en-US"/>
        </w:rPr>
      </w:pPr>
      <w:hyperlink r:id="rId37" w:history="1">
        <w:r w:rsidR="00C35CEA" w:rsidRPr="001F671C">
          <w:rPr>
            <w:rStyle w:val="Hyperlink"/>
            <w:rFonts w:ascii="Times New Roman" w:hAnsi="Times New Roman" w:cs="Times New Roman"/>
            <w:color w:val="0000CC"/>
            <w:sz w:val="24"/>
            <w:szCs w:val="24"/>
            <w:lang w:val="en-US"/>
          </w:rPr>
          <w:t>https://doi.org/10.9734/IRJPAC/2017/37087</w:t>
        </w:r>
      </w:hyperlink>
      <w:r w:rsidR="00C35CEA" w:rsidRPr="001F671C">
        <w:rPr>
          <w:rFonts w:ascii="Times New Roman" w:hAnsi="Times New Roman" w:cs="Times New Roman"/>
          <w:color w:val="0000CC"/>
          <w:sz w:val="24"/>
          <w:szCs w:val="24"/>
          <w:lang w:val="en-US"/>
        </w:rPr>
        <w:t xml:space="preserve"> </w:t>
      </w:r>
    </w:p>
    <w:p w14:paraId="49361C6D" w14:textId="77777777" w:rsidR="00C35CEA" w:rsidRDefault="00C35CEA" w:rsidP="00C35CEA">
      <w:pPr>
        <w:spacing w:after="0" w:line="360" w:lineRule="auto"/>
        <w:jc w:val="both"/>
        <w:rPr>
          <w:rFonts w:ascii="Times New Roman" w:eastAsia="Times New Roman" w:hAnsi="Times New Roman" w:cs="Times New Roman"/>
          <w:sz w:val="24"/>
          <w:szCs w:val="24"/>
          <w:lang w:eastAsia="fr-FR"/>
        </w:rPr>
      </w:pPr>
      <w:r w:rsidRPr="000D5C7A">
        <w:rPr>
          <w:rFonts w:ascii="Times New Roman" w:hAnsi="Times New Roman" w:cs="Times New Roman"/>
          <w:sz w:val="24"/>
          <w:szCs w:val="24"/>
          <w:lang w:val="en-US"/>
        </w:rPr>
        <w:t xml:space="preserve">Settimi, </w:t>
      </w:r>
      <w:r w:rsidRPr="000D5C7A">
        <w:rPr>
          <w:rFonts w:ascii="Times New Roman" w:eastAsia="GulliverRM" w:hAnsi="Times New Roman" w:cs="Times New Roman"/>
          <w:sz w:val="24"/>
          <w:szCs w:val="24"/>
          <w:lang w:val="en-US"/>
        </w:rPr>
        <w:t>L.</w:t>
      </w:r>
      <w:r>
        <w:rPr>
          <w:rFonts w:ascii="Times New Roman" w:eastAsia="GulliverRM" w:hAnsi="Times New Roman" w:cs="Times New Roman"/>
          <w:sz w:val="24"/>
          <w:szCs w:val="24"/>
          <w:lang w:val="en-US"/>
        </w:rPr>
        <w:t>,</w:t>
      </w:r>
      <w:r w:rsidRPr="000D5C7A">
        <w:rPr>
          <w:rFonts w:ascii="Times New Roman" w:eastAsia="GulliverRM" w:hAnsi="Times New Roman" w:cs="Times New Roman"/>
          <w:sz w:val="24"/>
          <w:szCs w:val="24"/>
          <w:lang w:val="en-US"/>
        </w:rPr>
        <w:t xml:space="preserve"> </w:t>
      </w:r>
      <w:r w:rsidRPr="000D5C7A">
        <w:rPr>
          <w:rFonts w:ascii="Times New Roman" w:hAnsi="Times New Roman" w:cs="Times New Roman"/>
          <w:sz w:val="24"/>
          <w:szCs w:val="24"/>
          <w:lang w:val="en-US"/>
        </w:rPr>
        <w:t>Masina, A.</w:t>
      </w:r>
      <w:r>
        <w:rPr>
          <w:rFonts w:ascii="Times New Roman" w:hAnsi="Times New Roman" w:cs="Times New Roman"/>
          <w:sz w:val="24"/>
          <w:szCs w:val="24"/>
          <w:lang w:val="en-US"/>
        </w:rPr>
        <w:t xml:space="preserve">, </w:t>
      </w:r>
      <w:r w:rsidRPr="000D5C7A">
        <w:rPr>
          <w:rFonts w:ascii="Times New Roman" w:hAnsi="Times New Roman" w:cs="Times New Roman"/>
          <w:sz w:val="24"/>
          <w:szCs w:val="24"/>
          <w:lang w:val="en-US"/>
        </w:rPr>
        <w:t>Andrion, A.</w:t>
      </w:r>
      <w:r>
        <w:rPr>
          <w:rFonts w:ascii="Times New Roman" w:hAnsi="Times New Roman" w:cs="Times New Roman"/>
          <w:sz w:val="24"/>
          <w:szCs w:val="24"/>
          <w:lang w:val="en-US"/>
        </w:rPr>
        <w:t>,</w:t>
      </w:r>
      <w:r w:rsidRPr="000D5C7A">
        <w:rPr>
          <w:rFonts w:ascii="Times New Roman" w:hAnsi="Times New Roman" w:cs="Times New Roman"/>
          <w:sz w:val="24"/>
          <w:szCs w:val="24"/>
          <w:lang w:val="en-US"/>
        </w:rPr>
        <w:t xml:space="preserve"> </w:t>
      </w:r>
      <w:r w:rsidRPr="008036AF">
        <w:rPr>
          <w:rFonts w:ascii="Times New Roman" w:hAnsi="Times New Roman" w:cs="Times New Roman"/>
          <w:iCs/>
          <w:sz w:val="24"/>
          <w:szCs w:val="24"/>
          <w:lang w:val="en-US"/>
        </w:rPr>
        <w:t>&amp;</w:t>
      </w:r>
      <w:r>
        <w:rPr>
          <w:rFonts w:ascii="Times New Roman" w:hAnsi="Times New Roman" w:cs="Times New Roman"/>
          <w:iCs/>
          <w:sz w:val="24"/>
          <w:szCs w:val="24"/>
          <w:lang w:val="en-US"/>
        </w:rPr>
        <w:t xml:space="preserve"> </w:t>
      </w:r>
      <w:r w:rsidRPr="000D5C7A">
        <w:rPr>
          <w:rFonts w:ascii="Times New Roman" w:hAnsi="Times New Roman" w:cs="Times New Roman"/>
          <w:sz w:val="24"/>
          <w:szCs w:val="24"/>
          <w:lang w:val="en-US"/>
        </w:rPr>
        <w:t>Axelson,</w:t>
      </w:r>
      <w:r w:rsidRPr="00E85FD9">
        <w:rPr>
          <w:rFonts w:ascii="Times New Roman" w:hAnsi="Times New Roman" w:cs="Times New Roman"/>
          <w:sz w:val="24"/>
          <w:szCs w:val="24"/>
          <w:lang w:val="en-US"/>
        </w:rPr>
        <w:t xml:space="preserve"> </w:t>
      </w:r>
      <w:r w:rsidRPr="000D5C7A">
        <w:rPr>
          <w:rFonts w:ascii="Times New Roman" w:hAnsi="Times New Roman" w:cs="Times New Roman"/>
          <w:sz w:val="24"/>
          <w:szCs w:val="24"/>
          <w:lang w:val="en-US"/>
        </w:rPr>
        <w:t>O.</w:t>
      </w:r>
      <w:r>
        <w:rPr>
          <w:rFonts w:ascii="Times New Roman" w:hAnsi="Times New Roman" w:cs="Times New Roman"/>
          <w:sz w:val="24"/>
          <w:szCs w:val="24"/>
          <w:lang w:val="en-US"/>
        </w:rPr>
        <w:t xml:space="preserve"> (2003).</w:t>
      </w:r>
      <w:r w:rsidRPr="000D5C7A">
        <w:rPr>
          <w:rFonts w:ascii="Times New Roman" w:hAnsi="Times New Roman" w:cs="Times New Roman"/>
          <w:sz w:val="24"/>
          <w:szCs w:val="24"/>
          <w:lang w:val="en-US"/>
        </w:rPr>
        <w:t xml:space="preserve">  Prostate cancer and exposure to pest</w:t>
      </w:r>
      <w:r>
        <w:rPr>
          <w:rFonts w:ascii="Times New Roman" w:hAnsi="Times New Roman" w:cs="Times New Roman"/>
          <w:sz w:val="24"/>
          <w:szCs w:val="24"/>
          <w:lang w:val="en-US"/>
        </w:rPr>
        <w:t>icides in agricultural settings.</w:t>
      </w:r>
      <w:r w:rsidRPr="000D5C7A">
        <w:rPr>
          <w:rFonts w:ascii="Times New Roman" w:hAnsi="Times New Roman" w:cs="Times New Roman"/>
          <w:sz w:val="24"/>
          <w:szCs w:val="24"/>
          <w:lang w:val="en-US"/>
        </w:rPr>
        <w:t xml:space="preserve"> </w:t>
      </w:r>
      <w:r>
        <w:rPr>
          <w:rFonts w:ascii="Times New Roman" w:hAnsi="Times New Roman" w:cs="Times New Roman"/>
          <w:iCs/>
          <w:sz w:val="24"/>
          <w:szCs w:val="24"/>
          <w:lang w:val="en-US"/>
        </w:rPr>
        <w:t xml:space="preserve">International Journal of </w:t>
      </w:r>
      <w:r w:rsidRPr="00E85FD9">
        <w:rPr>
          <w:rFonts w:ascii="Times New Roman" w:hAnsi="Times New Roman" w:cs="Times New Roman"/>
          <w:iCs/>
          <w:sz w:val="24"/>
          <w:szCs w:val="24"/>
          <w:lang w:val="en-US"/>
        </w:rPr>
        <w:t>Cancer</w:t>
      </w:r>
      <w:r>
        <w:rPr>
          <w:rFonts w:ascii="Times New Roman" w:hAnsi="Times New Roman" w:cs="Times New Roman"/>
          <w:sz w:val="24"/>
          <w:szCs w:val="24"/>
          <w:lang w:val="en-US"/>
        </w:rPr>
        <w:t>, 104</w:t>
      </w:r>
      <w:r w:rsidRPr="000D5C7A">
        <w:rPr>
          <w:rFonts w:ascii="Times New Roman" w:hAnsi="Times New Roman" w:cs="Times New Roman"/>
          <w:sz w:val="24"/>
          <w:szCs w:val="24"/>
          <w:lang w:val="en-US"/>
        </w:rPr>
        <w:t>, 458-461.</w:t>
      </w:r>
      <w:r w:rsidRPr="00E85FD9">
        <w:rPr>
          <w:rFonts w:ascii="Times New Roman" w:eastAsia="Times New Roman" w:hAnsi="Times New Roman" w:cs="Times New Roman"/>
          <w:sz w:val="24"/>
          <w:szCs w:val="24"/>
          <w:lang w:eastAsia="fr-FR"/>
        </w:rPr>
        <w:t xml:space="preserve"> </w:t>
      </w:r>
    </w:p>
    <w:p w14:paraId="3BED5D4F" w14:textId="77777777" w:rsidR="00C35CEA" w:rsidRDefault="00E13761" w:rsidP="00C35CEA">
      <w:pPr>
        <w:autoSpaceDE w:val="0"/>
        <w:autoSpaceDN w:val="0"/>
        <w:adjustRightInd w:val="0"/>
        <w:spacing w:after="0" w:line="360" w:lineRule="auto"/>
        <w:jc w:val="both"/>
        <w:rPr>
          <w:rFonts w:ascii="Times New Roman" w:eastAsia="GulliverRM" w:hAnsi="Times New Roman" w:cs="Times New Roman"/>
          <w:sz w:val="24"/>
          <w:szCs w:val="24"/>
          <w:lang w:val="en-US"/>
        </w:rPr>
      </w:pPr>
      <w:hyperlink r:id="rId38" w:history="1">
        <w:r w:rsidR="00C35CEA" w:rsidRPr="00E85FD9">
          <w:rPr>
            <w:rFonts w:ascii="Times New Roman" w:eastAsia="Times New Roman" w:hAnsi="Times New Roman" w:cs="Times New Roman"/>
            <w:color w:val="0000FF"/>
            <w:sz w:val="24"/>
            <w:szCs w:val="24"/>
            <w:u w:val="single"/>
            <w:lang w:eastAsia="fr-FR"/>
          </w:rPr>
          <w:t>https://doi.org/10.1002/ijc.10955</w:t>
        </w:r>
      </w:hyperlink>
    </w:p>
    <w:bookmarkEnd w:id="4"/>
    <w:p w14:paraId="1C218621" w14:textId="77777777" w:rsidR="00C35CEA" w:rsidRPr="006C3DBE" w:rsidRDefault="00C35CEA" w:rsidP="00C35CEA">
      <w:pPr>
        <w:spacing w:after="0" w:line="360" w:lineRule="auto"/>
        <w:jc w:val="both"/>
        <w:rPr>
          <w:rFonts w:ascii="Times New Roman" w:hAnsi="Times New Roman" w:cs="Times New Roman"/>
          <w:iCs/>
          <w:sz w:val="24"/>
          <w:szCs w:val="24"/>
          <w:lang w:val="en-US"/>
        </w:rPr>
      </w:pPr>
      <w:r w:rsidRPr="006C3DBE">
        <w:rPr>
          <w:rFonts w:ascii="Times New Roman" w:hAnsi="Times New Roman" w:cs="Times New Roman"/>
          <w:bCs/>
          <w:iCs/>
          <w:sz w:val="24"/>
          <w:szCs w:val="24"/>
          <w:lang w:val="en-US"/>
        </w:rPr>
        <w:t>Thiaré</w:t>
      </w:r>
      <w:r w:rsidRPr="006C3DBE">
        <w:rPr>
          <w:rFonts w:ascii="Times New Roman" w:hAnsi="Times New Roman" w:cs="Times New Roman"/>
          <w:iCs/>
          <w:sz w:val="24"/>
          <w:szCs w:val="24"/>
          <w:lang w:val="en-US"/>
        </w:rPr>
        <w:t>,</w:t>
      </w:r>
      <w:r w:rsidRPr="00AA236C">
        <w:rPr>
          <w:rFonts w:ascii="Times New Roman" w:hAnsi="Times New Roman" w:cs="Times New Roman"/>
          <w:bCs/>
          <w:iCs/>
          <w:sz w:val="24"/>
          <w:szCs w:val="24"/>
          <w:lang w:val="en-US"/>
        </w:rPr>
        <w:t xml:space="preserve"> </w:t>
      </w:r>
      <w:r w:rsidRPr="006C3DBE">
        <w:rPr>
          <w:rFonts w:ascii="Times New Roman" w:hAnsi="Times New Roman" w:cs="Times New Roman"/>
          <w:bCs/>
          <w:iCs/>
          <w:sz w:val="24"/>
          <w:szCs w:val="24"/>
          <w:lang w:val="en-US"/>
        </w:rPr>
        <w:t>D.</w:t>
      </w:r>
      <w:r>
        <w:rPr>
          <w:rFonts w:ascii="Times New Roman" w:hAnsi="Times New Roman" w:cs="Times New Roman"/>
          <w:bCs/>
          <w:iCs/>
          <w:sz w:val="24"/>
          <w:szCs w:val="24"/>
          <w:lang w:val="en-US"/>
        </w:rPr>
        <w:t xml:space="preserve"> </w:t>
      </w:r>
      <w:r w:rsidRPr="006C3DBE">
        <w:rPr>
          <w:rFonts w:ascii="Times New Roman" w:hAnsi="Times New Roman" w:cs="Times New Roman"/>
          <w:bCs/>
          <w:iCs/>
          <w:sz w:val="24"/>
          <w:szCs w:val="24"/>
          <w:lang w:val="en-US"/>
        </w:rPr>
        <w:t>D.</w:t>
      </w:r>
      <w:r>
        <w:rPr>
          <w:rFonts w:ascii="Times New Roman" w:hAnsi="Times New Roman" w:cs="Times New Roman"/>
          <w:bCs/>
          <w:iCs/>
          <w:sz w:val="24"/>
          <w:szCs w:val="24"/>
          <w:lang w:val="en-US"/>
        </w:rPr>
        <w:t>,</w:t>
      </w:r>
      <w:r w:rsidRPr="006C3DBE">
        <w:rPr>
          <w:rFonts w:ascii="Times New Roman" w:hAnsi="Times New Roman" w:cs="Times New Roman"/>
          <w:bCs/>
          <w:iCs/>
          <w:sz w:val="24"/>
          <w:szCs w:val="24"/>
          <w:lang w:val="en-US"/>
        </w:rPr>
        <w:t xml:space="preserve"> </w:t>
      </w:r>
      <w:r w:rsidRPr="006C3DBE">
        <w:rPr>
          <w:rFonts w:ascii="Times New Roman" w:hAnsi="Times New Roman" w:cs="Times New Roman"/>
          <w:iCs/>
          <w:sz w:val="24"/>
          <w:szCs w:val="24"/>
          <w:lang w:val="en-US"/>
        </w:rPr>
        <w:t>Sarr,</w:t>
      </w:r>
      <w:r w:rsidRPr="00AA236C">
        <w:rPr>
          <w:rFonts w:ascii="Times New Roman" w:hAnsi="Times New Roman" w:cs="Times New Roman"/>
          <w:iCs/>
          <w:sz w:val="24"/>
          <w:szCs w:val="24"/>
          <w:lang w:val="en-US"/>
        </w:rPr>
        <w:t xml:space="preserve"> </w:t>
      </w:r>
      <w:r w:rsidRPr="006C3DBE">
        <w:rPr>
          <w:rFonts w:ascii="Times New Roman" w:hAnsi="Times New Roman" w:cs="Times New Roman"/>
          <w:iCs/>
          <w:sz w:val="24"/>
          <w:szCs w:val="24"/>
          <w:lang w:val="en-US"/>
        </w:rPr>
        <w:t>D.</w:t>
      </w:r>
      <w:r>
        <w:rPr>
          <w:rFonts w:ascii="Times New Roman" w:hAnsi="Times New Roman" w:cs="Times New Roman"/>
          <w:iCs/>
          <w:sz w:val="24"/>
          <w:szCs w:val="24"/>
          <w:lang w:val="en-US"/>
        </w:rPr>
        <w:t>,</w:t>
      </w:r>
      <w:r w:rsidRPr="006C3DBE">
        <w:rPr>
          <w:rFonts w:ascii="Times New Roman" w:hAnsi="Times New Roman" w:cs="Times New Roman"/>
          <w:iCs/>
          <w:sz w:val="24"/>
          <w:szCs w:val="24"/>
          <w:lang w:val="en-US"/>
        </w:rPr>
        <w:t xml:space="preserve"> Delattre,</w:t>
      </w:r>
      <w:r w:rsidRPr="00AA236C">
        <w:rPr>
          <w:rFonts w:ascii="Times New Roman" w:hAnsi="Times New Roman" w:cs="Times New Roman"/>
          <w:iCs/>
          <w:sz w:val="24"/>
          <w:szCs w:val="24"/>
          <w:lang w:val="en-US"/>
        </w:rPr>
        <w:t xml:space="preserve"> </w:t>
      </w:r>
      <w:r w:rsidRPr="006C3DBE">
        <w:rPr>
          <w:rFonts w:ascii="Times New Roman" w:hAnsi="Times New Roman" w:cs="Times New Roman"/>
          <w:iCs/>
          <w:sz w:val="24"/>
          <w:szCs w:val="24"/>
          <w:lang w:val="en-US"/>
        </w:rPr>
        <w:t>F.</w:t>
      </w:r>
      <w:r>
        <w:rPr>
          <w:rFonts w:ascii="Times New Roman" w:hAnsi="Times New Roman" w:cs="Times New Roman"/>
          <w:iCs/>
          <w:sz w:val="24"/>
          <w:szCs w:val="24"/>
          <w:lang w:val="en-US"/>
        </w:rPr>
        <w:t>,</w:t>
      </w:r>
      <w:r w:rsidRPr="006C3DBE">
        <w:rPr>
          <w:rFonts w:ascii="Times New Roman" w:hAnsi="Times New Roman" w:cs="Times New Roman"/>
          <w:iCs/>
          <w:sz w:val="24"/>
          <w:szCs w:val="24"/>
          <w:lang w:val="en-US"/>
        </w:rPr>
        <w:t xml:space="preserve"> </w:t>
      </w:r>
      <w:proofErr w:type="spellStart"/>
      <w:r w:rsidRPr="006C3DBE">
        <w:rPr>
          <w:rFonts w:ascii="Times New Roman" w:hAnsi="Times New Roman" w:cs="Times New Roman"/>
          <w:iCs/>
          <w:sz w:val="24"/>
          <w:szCs w:val="24"/>
          <w:lang w:val="en-US"/>
        </w:rPr>
        <w:t>Giamarchi</w:t>
      </w:r>
      <w:proofErr w:type="spellEnd"/>
      <w:r w:rsidRPr="006C3DBE">
        <w:rPr>
          <w:rFonts w:ascii="Times New Roman" w:hAnsi="Times New Roman" w:cs="Times New Roman"/>
          <w:iCs/>
          <w:sz w:val="24"/>
          <w:szCs w:val="24"/>
          <w:lang w:val="en-US"/>
        </w:rPr>
        <w:t>,</w:t>
      </w:r>
      <w:r w:rsidRPr="00AA236C">
        <w:rPr>
          <w:rFonts w:ascii="Times New Roman" w:hAnsi="Times New Roman" w:cs="Times New Roman"/>
          <w:iCs/>
          <w:sz w:val="24"/>
          <w:szCs w:val="24"/>
          <w:lang w:val="en-US"/>
        </w:rPr>
        <w:t xml:space="preserve"> </w:t>
      </w:r>
      <w:r w:rsidRPr="006C3DBE">
        <w:rPr>
          <w:rFonts w:ascii="Times New Roman" w:hAnsi="Times New Roman" w:cs="Times New Roman"/>
          <w:iCs/>
          <w:sz w:val="24"/>
          <w:szCs w:val="24"/>
          <w:lang w:val="en-US"/>
        </w:rPr>
        <w:t>P.</w:t>
      </w:r>
      <w:r>
        <w:rPr>
          <w:rFonts w:ascii="Times New Roman" w:hAnsi="Times New Roman" w:cs="Times New Roman"/>
          <w:iCs/>
          <w:sz w:val="24"/>
          <w:szCs w:val="24"/>
          <w:lang w:val="en-US"/>
        </w:rPr>
        <w:t>,</w:t>
      </w:r>
      <w:r w:rsidRPr="006C3DBE">
        <w:rPr>
          <w:rFonts w:ascii="Times New Roman" w:hAnsi="Times New Roman" w:cs="Times New Roman"/>
          <w:iCs/>
          <w:sz w:val="24"/>
          <w:szCs w:val="24"/>
          <w:lang w:val="en-US"/>
        </w:rPr>
        <w:t xml:space="preserve"> </w:t>
      </w:r>
      <w:r w:rsidRPr="008036AF">
        <w:rPr>
          <w:rFonts w:ascii="Times New Roman" w:hAnsi="Times New Roman" w:cs="Times New Roman"/>
          <w:iCs/>
          <w:sz w:val="24"/>
          <w:szCs w:val="24"/>
          <w:lang w:val="en-US"/>
        </w:rPr>
        <w:t>&amp;</w:t>
      </w:r>
      <w:r>
        <w:rPr>
          <w:rFonts w:ascii="Times New Roman" w:hAnsi="Times New Roman" w:cs="Times New Roman"/>
          <w:iCs/>
          <w:sz w:val="24"/>
          <w:szCs w:val="24"/>
          <w:lang w:val="en-US"/>
        </w:rPr>
        <w:t xml:space="preserve"> </w:t>
      </w:r>
      <w:r w:rsidRPr="006C3DBE">
        <w:rPr>
          <w:rFonts w:ascii="Times New Roman" w:hAnsi="Times New Roman" w:cs="Times New Roman"/>
          <w:iCs/>
          <w:sz w:val="24"/>
          <w:szCs w:val="24"/>
          <w:lang w:val="en-US"/>
        </w:rPr>
        <w:t>Coly,</w:t>
      </w:r>
      <w:r w:rsidRPr="00AA236C">
        <w:rPr>
          <w:rFonts w:ascii="Times New Roman" w:hAnsi="Times New Roman" w:cs="Times New Roman"/>
          <w:iCs/>
          <w:sz w:val="24"/>
          <w:szCs w:val="24"/>
          <w:lang w:val="en-US"/>
        </w:rPr>
        <w:t xml:space="preserve"> </w:t>
      </w:r>
      <w:r w:rsidRPr="006C3DBE">
        <w:rPr>
          <w:rFonts w:ascii="Times New Roman" w:hAnsi="Times New Roman" w:cs="Times New Roman"/>
          <w:iCs/>
          <w:sz w:val="24"/>
          <w:szCs w:val="24"/>
          <w:lang w:val="en-US"/>
        </w:rPr>
        <w:t xml:space="preserve">A. </w:t>
      </w:r>
      <w:r>
        <w:rPr>
          <w:rFonts w:ascii="Times New Roman" w:hAnsi="Times New Roman" w:cs="Times New Roman"/>
          <w:iCs/>
          <w:sz w:val="24"/>
          <w:szCs w:val="24"/>
          <w:lang w:val="en-US"/>
        </w:rPr>
        <w:t>(2024).</w:t>
      </w:r>
      <w:r w:rsidRPr="006C3DBE">
        <w:rPr>
          <w:rFonts w:ascii="Times New Roman" w:hAnsi="Times New Roman" w:cs="Times New Roman"/>
          <w:iCs/>
          <w:sz w:val="24"/>
          <w:szCs w:val="24"/>
          <w:lang w:val="en-US"/>
        </w:rPr>
        <w:t xml:space="preserve"> Direct and reverse micellar-enhanced photo-induced fluorescence determination of </w:t>
      </w:r>
      <w:proofErr w:type="spellStart"/>
      <w:r w:rsidRPr="006C3DBE">
        <w:rPr>
          <w:rFonts w:ascii="Times New Roman" w:hAnsi="Times New Roman" w:cs="Times New Roman"/>
          <w:iCs/>
          <w:sz w:val="24"/>
          <w:szCs w:val="24"/>
          <w:lang w:val="en-US"/>
        </w:rPr>
        <w:t>fenvalerate</w:t>
      </w:r>
      <w:proofErr w:type="spellEnd"/>
      <w:r w:rsidRPr="006C3DBE">
        <w:rPr>
          <w:rFonts w:ascii="Times New Roman" w:hAnsi="Times New Roman" w:cs="Times New Roman"/>
          <w:iCs/>
          <w:sz w:val="24"/>
          <w:szCs w:val="24"/>
          <w:lang w:val="en-US"/>
        </w:rPr>
        <w:t xml:space="preserve"> in Senegalese</w:t>
      </w:r>
      <w:r>
        <w:rPr>
          <w:rFonts w:ascii="Times New Roman" w:hAnsi="Times New Roman" w:cs="Times New Roman"/>
          <w:iCs/>
          <w:sz w:val="24"/>
          <w:szCs w:val="24"/>
          <w:lang w:val="en-US"/>
        </w:rPr>
        <w:t xml:space="preserve"> surface and groundwater.</w:t>
      </w:r>
      <w:r w:rsidRPr="006C3DBE">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Journal of Photochemistry and Photobiology</w:t>
      </w:r>
      <w:r w:rsidRPr="00AA236C">
        <w:rPr>
          <w:rFonts w:ascii="Times New Roman" w:hAnsi="Times New Roman" w:cs="Times New Roman"/>
          <w:iCs/>
          <w:sz w:val="24"/>
          <w:szCs w:val="24"/>
          <w:lang w:val="en-US"/>
        </w:rPr>
        <w:t xml:space="preserve"> A,</w:t>
      </w:r>
      <w:r w:rsidRPr="006C3DBE">
        <w:rPr>
          <w:rFonts w:ascii="Times New Roman" w:hAnsi="Times New Roman" w:cs="Times New Roman"/>
          <w:i/>
          <w:iCs/>
          <w:sz w:val="24"/>
          <w:szCs w:val="24"/>
          <w:lang w:val="en-US"/>
        </w:rPr>
        <w:t xml:space="preserve"> </w:t>
      </w:r>
      <w:r>
        <w:rPr>
          <w:rFonts w:ascii="Times New Roman" w:hAnsi="Times New Roman" w:cs="Times New Roman"/>
          <w:iCs/>
          <w:sz w:val="24"/>
          <w:szCs w:val="24"/>
          <w:lang w:val="en-US"/>
        </w:rPr>
        <w:t xml:space="preserve">456, </w:t>
      </w:r>
      <w:r w:rsidRPr="006C3DBE">
        <w:rPr>
          <w:rFonts w:ascii="Times New Roman" w:hAnsi="Times New Roman" w:cs="Times New Roman"/>
          <w:iCs/>
          <w:sz w:val="24"/>
          <w:szCs w:val="24"/>
          <w:lang w:val="en-US"/>
        </w:rPr>
        <w:t>115841.</w:t>
      </w:r>
    </w:p>
    <w:p w14:paraId="4D235F14" w14:textId="77777777" w:rsidR="00C35CEA" w:rsidRPr="00C35CEA" w:rsidRDefault="00E13761" w:rsidP="00C35CEA">
      <w:pPr>
        <w:spacing w:after="120" w:line="360" w:lineRule="auto"/>
        <w:jc w:val="both"/>
        <w:rPr>
          <w:rFonts w:ascii="Times New Roman" w:hAnsi="Times New Roman" w:cs="Times New Roman"/>
          <w:color w:val="0000CC"/>
          <w:sz w:val="24"/>
          <w:szCs w:val="24"/>
          <w:u w:val="single"/>
          <w:shd w:val="clear" w:color="auto" w:fill="FFFFFF"/>
          <w:lang w:val="en-US"/>
        </w:rPr>
      </w:pPr>
      <w:hyperlink r:id="rId39" w:tgtFrame="_blank" w:tooltip="Persistent link using digital object identifier" w:history="1">
        <w:r w:rsidR="00C35CEA" w:rsidRPr="006C3DBE">
          <w:rPr>
            <w:rFonts w:ascii="Times New Roman" w:hAnsi="Times New Roman" w:cs="Times New Roman"/>
            <w:color w:val="0000CC"/>
            <w:sz w:val="24"/>
            <w:szCs w:val="24"/>
            <w:u w:val="single"/>
            <w:lang w:val="en-US"/>
          </w:rPr>
          <w:t>https://doi.org/10.1016/j.jphotochem.2024.115841</w:t>
        </w:r>
      </w:hyperlink>
      <w:r w:rsidR="00C35CEA" w:rsidRPr="006C3DBE">
        <w:rPr>
          <w:rFonts w:ascii="Times New Roman" w:hAnsi="Times New Roman" w:cs="Times New Roman"/>
          <w:color w:val="0000CC"/>
          <w:sz w:val="24"/>
          <w:szCs w:val="24"/>
          <w:lang w:val="en-US"/>
        </w:rPr>
        <w:t xml:space="preserve"> </w:t>
      </w:r>
      <w:r w:rsidR="00C35CEA">
        <w:rPr>
          <w:rFonts w:ascii="Times New Roman" w:hAnsi="Times New Roman" w:cs="Times New Roman"/>
          <w:sz w:val="24"/>
          <w:szCs w:val="24"/>
        </w:rPr>
        <w:t xml:space="preserve">              </w:t>
      </w:r>
    </w:p>
    <w:p w14:paraId="610359DB" w14:textId="77777777" w:rsidR="00FE2DAF" w:rsidRPr="00952F51" w:rsidRDefault="00FE2DAF" w:rsidP="00FE2DAF">
      <w:pPr>
        <w:autoSpaceDE w:val="0"/>
        <w:autoSpaceDN w:val="0"/>
        <w:adjustRightInd w:val="0"/>
        <w:spacing w:after="0" w:line="360" w:lineRule="auto"/>
        <w:jc w:val="both"/>
        <w:rPr>
          <w:rFonts w:ascii="Times New Roman" w:hAnsi="Times New Roman" w:cs="Times New Roman"/>
          <w:sz w:val="24"/>
          <w:szCs w:val="24"/>
          <w:lang w:val="en-US"/>
        </w:rPr>
      </w:pPr>
      <w:r w:rsidRPr="00952F51">
        <w:rPr>
          <w:rFonts w:ascii="Times New Roman" w:hAnsi="Times New Roman" w:cs="Times New Roman"/>
          <w:sz w:val="24"/>
          <w:szCs w:val="24"/>
          <w:lang w:val="en-US"/>
        </w:rPr>
        <w:t xml:space="preserve">Turgut, </w:t>
      </w:r>
      <w:r w:rsidR="00691CD2" w:rsidRPr="00952F51">
        <w:rPr>
          <w:rFonts w:ascii="Times New Roman" w:eastAsia="GulliverRM" w:hAnsi="Times New Roman" w:cs="Times New Roman"/>
          <w:sz w:val="24"/>
          <w:szCs w:val="24"/>
          <w:lang w:val="en-US"/>
        </w:rPr>
        <w:t>C.</w:t>
      </w:r>
      <w:r w:rsidR="00691CD2">
        <w:rPr>
          <w:rFonts w:ascii="Times New Roman" w:eastAsia="GulliverRM" w:hAnsi="Times New Roman" w:cs="Times New Roman"/>
          <w:sz w:val="24"/>
          <w:szCs w:val="24"/>
          <w:lang w:val="en-US"/>
        </w:rPr>
        <w:t>,</w:t>
      </w:r>
      <w:r w:rsidR="00691CD2" w:rsidRPr="00952F51">
        <w:rPr>
          <w:rFonts w:ascii="Times New Roman" w:eastAsia="GulliverRM" w:hAnsi="Times New Roman" w:cs="Times New Roman"/>
          <w:sz w:val="24"/>
          <w:szCs w:val="24"/>
          <w:lang w:val="en-US"/>
        </w:rPr>
        <w:t xml:space="preserve"> </w:t>
      </w:r>
      <w:proofErr w:type="spellStart"/>
      <w:r w:rsidRPr="00952F51">
        <w:rPr>
          <w:rFonts w:ascii="Times New Roman" w:hAnsi="Times New Roman" w:cs="Times New Roman"/>
          <w:sz w:val="24"/>
          <w:szCs w:val="24"/>
          <w:lang w:val="en-US"/>
        </w:rPr>
        <w:t>Gokbulut</w:t>
      </w:r>
      <w:proofErr w:type="spellEnd"/>
      <w:r w:rsidRPr="00952F51">
        <w:rPr>
          <w:rFonts w:ascii="Times New Roman" w:hAnsi="Times New Roman" w:cs="Times New Roman"/>
          <w:sz w:val="24"/>
          <w:szCs w:val="24"/>
          <w:lang w:val="en-US"/>
        </w:rPr>
        <w:t xml:space="preserve">, </w:t>
      </w:r>
      <w:r w:rsidR="00691CD2" w:rsidRPr="00952F51">
        <w:rPr>
          <w:rFonts w:ascii="Times New Roman" w:hAnsi="Times New Roman" w:cs="Times New Roman"/>
          <w:sz w:val="24"/>
          <w:szCs w:val="24"/>
          <w:lang w:val="en-US"/>
        </w:rPr>
        <w:t>C.</w:t>
      </w:r>
      <w:r w:rsidR="00691CD2">
        <w:rPr>
          <w:rFonts w:ascii="Times New Roman" w:hAnsi="Times New Roman" w:cs="Times New Roman"/>
          <w:sz w:val="24"/>
          <w:szCs w:val="24"/>
          <w:lang w:val="en-US"/>
        </w:rPr>
        <w:t>,</w:t>
      </w:r>
      <w:r w:rsidR="00691CD2" w:rsidRPr="00952F51">
        <w:rPr>
          <w:rFonts w:ascii="Times New Roman" w:hAnsi="Times New Roman" w:cs="Times New Roman"/>
          <w:sz w:val="24"/>
          <w:szCs w:val="24"/>
          <w:lang w:val="en-US"/>
        </w:rPr>
        <w:t xml:space="preserve"> </w:t>
      </w:r>
      <w:r w:rsidR="00691CD2" w:rsidRPr="008036AF">
        <w:rPr>
          <w:rFonts w:ascii="Times New Roman" w:hAnsi="Times New Roman" w:cs="Times New Roman"/>
          <w:iCs/>
          <w:sz w:val="24"/>
          <w:szCs w:val="24"/>
          <w:lang w:val="en-US"/>
        </w:rPr>
        <w:t xml:space="preserve">&amp; </w:t>
      </w:r>
      <w:r w:rsidRPr="00952F51">
        <w:rPr>
          <w:rFonts w:ascii="Times New Roman" w:hAnsi="Times New Roman" w:cs="Times New Roman"/>
          <w:sz w:val="24"/>
          <w:szCs w:val="24"/>
          <w:lang w:val="en-US"/>
        </w:rPr>
        <w:t xml:space="preserve">Cutright, </w:t>
      </w:r>
      <w:r w:rsidR="00691CD2" w:rsidRPr="00952F51">
        <w:rPr>
          <w:rFonts w:ascii="Times New Roman" w:hAnsi="Times New Roman" w:cs="Times New Roman"/>
          <w:sz w:val="24"/>
          <w:szCs w:val="24"/>
          <w:lang w:val="en-US"/>
        </w:rPr>
        <w:t xml:space="preserve">T. J. </w:t>
      </w:r>
      <w:r w:rsidR="00691CD2">
        <w:rPr>
          <w:rFonts w:ascii="Times New Roman" w:hAnsi="Times New Roman" w:cs="Times New Roman"/>
          <w:sz w:val="24"/>
          <w:szCs w:val="24"/>
          <w:lang w:val="en-US"/>
        </w:rPr>
        <w:t>(</w:t>
      </w:r>
      <w:r w:rsidRPr="00952F51">
        <w:rPr>
          <w:rFonts w:ascii="Times New Roman" w:hAnsi="Times New Roman" w:cs="Times New Roman"/>
          <w:sz w:val="24"/>
          <w:szCs w:val="24"/>
          <w:lang w:val="en-US"/>
        </w:rPr>
        <w:t>2009</w:t>
      </w:r>
      <w:r w:rsidR="00691CD2">
        <w:rPr>
          <w:rFonts w:ascii="Times New Roman" w:hAnsi="Times New Roman" w:cs="Times New Roman"/>
          <w:sz w:val="24"/>
          <w:szCs w:val="24"/>
          <w:lang w:val="en-US"/>
        </w:rPr>
        <w:t>)</w:t>
      </w:r>
      <w:r w:rsidRPr="00952F51">
        <w:rPr>
          <w:rFonts w:ascii="Times New Roman" w:hAnsi="Times New Roman" w:cs="Times New Roman"/>
          <w:sz w:val="24"/>
          <w:szCs w:val="24"/>
          <w:lang w:val="en-US"/>
        </w:rPr>
        <w:t>. Contents and sources of DDT impurities</w:t>
      </w:r>
    </w:p>
    <w:p w14:paraId="589B0D5C" w14:textId="77777777" w:rsidR="00FE2DAF" w:rsidRPr="00952F51" w:rsidRDefault="00FE2DAF" w:rsidP="00FE2DAF">
      <w:pPr>
        <w:autoSpaceDE w:val="0"/>
        <w:autoSpaceDN w:val="0"/>
        <w:adjustRightInd w:val="0"/>
        <w:spacing w:after="120" w:line="360" w:lineRule="auto"/>
        <w:jc w:val="both"/>
        <w:rPr>
          <w:rFonts w:ascii="Times New Roman" w:eastAsia="GulliverRM" w:hAnsi="Times New Roman" w:cs="Times New Roman"/>
          <w:sz w:val="24"/>
          <w:szCs w:val="24"/>
          <w:lang w:val="en-US"/>
        </w:rPr>
      </w:pPr>
      <w:r w:rsidRPr="00952F51">
        <w:rPr>
          <w:rFonts w:ascii="Times New Roman" w:hAnsi="Times New Roman" w:cs="Times New Roman"/>
          <w:sz w:val="24"/>
          <w:szCs w:val="24"/>
          <w:lang w:val="en-US"/>
        </w:rPr>
        <w:t>in</w:t>
      </w:r>
      <w:r w:rsidR="00AF7EEC">
        <w:rPr>
          <w:rFonts w:ascii="Times New Roman" w:hAnsi="Times New Roman" w:cs="Times New Roman"/>
          <w:sz w:val="24"/>
          <w:szCs w:val="24"/>
          <w:lang w:val="en-US"/>
        </w:rPr>
        <w:t xml:space="preserve"> Dicofol formulations in Turkey.</w:t>
      </w:r>
      <w:r w:rsidRPr="00952F51">
        <w:rPr>
          <w:rFonts w:ascii="Times New Roman" w:hAnsi="Times New Roman" w:cs="Times New Roman"/>
          <w:sz w:val="24"/>
          <w:szCs w:val="24"/>
          <w:lang w:val="en-US"/>
        </w:rPr>
        <w:t xml:space="preserve"> </w:t>
      </w:r>
      <w:r w:rsidR="00AF7EEC" w:rsidRPr="00AF7EEC">
        <w:rPr>
          <w:rFonts w:ascii="Times New Roman" w:hAnsi="Times New Roman" w:cs="Times New Roman"/>
          <w:sz w:val="24"/>
          <w:szCs w:val="24"/>
          <w:lang w:val="en-US"/>
        </w:rPr>
        <w:t>Environmental Science and Pollution Research</w:t>
      </w:r>
      <w:r w:rsidR="00AF7EEC">
        <w:rPr>
          <w:rFonts w:ascii="Times New Roman" w:hAnsi="Times New Roman" w:cs="Times New Roman"/>
          <w:sz w:val="24"/>
          <w:szCs w:val="24"/>
          <w:lang w:val="en-US"/>
        </w:rPr>
        <w:t>, 16</w:t>
      </w:r>
      <w:r w:rsidRPr="00952F51">
        <w:rPr>
          <w:rFonts w:ascii="Times New Roman" w:hAnsi="Times New Roman" w:cs="Times New Roman"/>
          <w:sz w:val="24"/>
          <w:szCs w:val="24"/>
          <w:lang w:val="en-US"/>
        </w:rPr>
        <w:t>, 214-217.</w:t>
      </w:r>
      <w:r w:rsidR="00523E3C" w:rsidRPr="00523E3C">
        <w:t xml:space="preserve"> </w:t>
      </w:r>
      <w:hyperlink r:id="rId40" w:history="1">
        <w:r w:rsidR="00523E3C" w:rsidRPr="00523E3C">
          <w:rPr>
            <w:rStyle w:val="Hyperlink"/>
            <w:rFonts w:ascii="Times New Roman" w:hAnsi="Times New Roman" w:cs="Times New Roman"/>
            <w:color w:val="0000CC"/>
            <w:sz w:val="24"/>
            <w:szCs w:val="24"/>
          </w:rPr>
          <w:t>https://doi.org/10.1007/s11356-008-0083-3</w:t>
        </w:r>
      </w:hyperlink>
      <w:r w:rsidR="00523E3C">
        <w:t xml:space="preserve"> </w:t>
      </w:r>
    </w:p>
    <w:p w14:paraId="4F5C645A" w14:textId="77777777" w:rsidR="00C35CEA" w:rsidRDefault="00C35CEA" w:rsidP="00C35CEA">
      <w:pPr>
        <w:autoSpaceDE w:val="0"/>
        <w:autoSpaceDN w:val="0"/>
        <w:adjustRightInd w:val="0"/>
        <w:spacing w:after="0" w:line="360" w:lineRule="auto"/>
        <w:jc w:val="both"/>
        <w:rPr>
          <w:rFonts w:ascii="Times New Roman" w:eastAsia="Times New Roman" w:hAnsi="Times New Roman" w:cs="Times New Roman"/>
          <w:sz w:val="24"/>
          <w:szCs w:val="24"/>
          <w:lang w:val="en-US" w:eastAsia="fr-FR"/>
        </w:rPr>
      </w:pPr>
      <w:r w:rsidRPr="00646332">
        <w:rPr>
          <w:rFonts w:ascii="Times New Roman" w:eastAsia="GulliverRM" w:hAnsi="Times New Roman" w:cs="Times New Roman"/>
          <w:sz w:val="24"/>
          <w:szCs w:val="24"/>
          <w:lang w:val="en-US"/>
        </w:rPr>
        <w:t>Wang</w:t>
      </w:r>
      <w:r w:rsidRPr="00646332">
        <w:rPr>
          <w:rFonts w:ascii="Times New Roman" w:hAnsi="Times New Roman" w:cs="Times New Roman"/>
          <w:sz w:val="24"/>
          <w:szCs w:val="24"/>
          <w:lang w:val="en-US"/>
        </w:rPr>
        <w:t>,</w:t>
      </w:r>
      <w:r w:rsidRPr="00646332">
        <w:rPr>
          <w:rFonts w:ascii="Times New Roman" w:hAnsi="Times New Roman" w:cs="Times New Roman"/>
          <w:sz w:val="24"/>
          <w:szCs w:val="24"/>
        </w:rPr>
        <w:t xml:space="preserve"> </w:t>
      </w:r>
      <w:r w:rsidRPr="00646332">
        <w:rPr>
          <w:rFonts w:ascii="Times New Roman" w:hAnsi="Times New Roman" w:cs="Times New Roman"/>
          <w:sz w:val="24"/>
          <w:szCs w:val="24"/>
          <w:lang w:val="en-US"/>
        </w:rPr>
        <w:t xml:space="preserve">Z., </w:t>
      </w:r>
      <w:r w:rsidRPr="00691CD2">
        <w:rPr>
          <w:rFonts w:ascii="Times New Roman" w:hAnsi="Times New Roman" w:cs="Times New Roman"/>
          <w:sz w:val="24"/>
          <w:szCs w:val="24"/>
          <w:lang w:val="en-US"/>
        </w:rPr>
        <w:t xml:space="preserve">Yang, T., Zhai, Z., </w:t>
      </w:r>
      <w:hyperlink r:id="rId41" w:anchor="!" w:history="1">
        <w:r w:rsidRPr="00691CD2">
          <w:rPr>
            <w:rFonts w:ascii="Times New Roman" w:hAnsi="Times New Roman" w:cs="Times New Roman"/>
            <w:sz w:val="24"/>
            <w:szCs w:val="24"/>
            <w:lang w:val="en-US"/>
          </w:rPr>
          <w:t>Zhang</w:t>
        </w:r>
      </w:hyperlink>
      <w:r w:rsidRPr="00691CD2">
        <w:rPr>
          <w:rFonts w:ascii="Times New Roman" w:hAnsi="Times New Roman" w:cs="Times New Roman"/>
          <w:sz w:val="24"/>
          <w:szCs w:val="24"/>
        </w:rPr>
        <w:t xml:space="preserve"> </w:t>
      </w:r>
      <w:r w:rsidRPr="00691CD2">
        <w:rPr>
          <w:rFonts w:ascii="Times New Roman" w:hAnsi="Times New Roman" w:cs="Times New Roman"/>
          <w:sz w:val="24"/>
          <w:szCs w:val="24"/>
          <w:lang w:val="en-US"/>
        </w:rPr>
        <w:t>B</w:t>
      </w:r>
      <w:r w:rsidRPr="004F5288">
        <w:rPr>
          <w:rFonts w:ascii="Times New Roman" w:hAnsi="Times New Roman" w:cs="Times New Roman"/>
          <w:sz w:val="24"/>
          <w:szCs w:val="24"/>
          <w:lang w:val="en-US"/>
        </w:rPr>
        <w:t xml:space="preserve">., </w:t>
      </w:r>
      <w:r w:rsidRPr="004F5288">
        <w:rPr>
          <w:rFonts w:ascii="Times New Roman" w:hAnsi="Times New Roman" w:cs="Times New Roman"/>
          <w:iCs/>
          <w:sz w:val="24"/>
          <w:szCs w:val="24"/>
          <w:lang w:val="en-US"/>
        </w:rPr>
        <w:t xml:space="preserve">&amp; </w:t>
      </w:r>
      <w:r w:rsidRPr="00691CD2">
        <w:rPr>
          <w:rFonts w:ascii="Times New Roman" w:hAnsi="Times New Roman" w:cs="Times New Roman"/>
          <w:sz w:val="24"/>
          <w:szCs w:val="24"/>
          <w:lang w:val="en-US"/>
        </w:rPr>
        <w:t xml:space="preserve">Zhang, J. (2015). </w:t>
      </w:r>
      <w:r w:rsidRPr="00691CD2">
        <w:rPr>
          <w:rFonts w:ascii="Times New Roman" w:eastAsia="Times New Roman" w:hAnsi="Times New Roman" w:cs="Times New Roman"/>
          <w:bCs/>
          <w:kern w:val="36"/>
          <w:sz w:val="24"/>
          <w:szCs w:val="24"/>
          <w:lang w:val="en-US" w:eastAsia="fr-FR"/>
        </w:rPr>
        <w:t xml:space="preserve">Reaction mechanism of dicofol removal by cellulose. </w:t>
      </w:r>
      <w:hyperlink r:id="rId42" w:tooltip="Go to Journal of Environmental Sciences on ScienceDirect" w:history="1">
        <w:r w:rsidRPr="00691CD2">
          <w:rPr>
            <w:rFonts w:ascii="Times New Roman" w:eastAsia="Times New Roman" w:hAnsi="Times New Roman" w:cs="Times New Roman"/>
            <w:bCs/>
            <w:sz w:val="24"/>
            <w:szCs w:val="24"/>
            <w:lang w:val="en-US" w:eastAsia="fr-FR"/>
          </w:rPr>
          <w:t>Journal of Environmental Sciences</w:t>
        </w:r>
      </w:hyperlink>
      <w:r w:rsidRPr="00691CD2">
        <w:rPr>
          <w:rFonts w:ascii="Times New Roman" w:eastAsia="Times New Roman" w:hAnsi="Times New Roman" w:cs="Times New Roman"/>
          <w:bCs/>
          <w:sz w:val="24"/>
          <w:szCs w:val="24"/>
          <w:lang w:val="en-US" w:eastAsia="fr-FR"/>
        </w:rPr>
        <w:t xml:space="preserve">, </w:t>
      </w:r>
      <w:hyperlink r:id="rId43" w:tooltip="Go to table of contents for this volume/issue" w:history="1">
        <w:r w:rsidRPr="00691CD2">
          <w:rPr>
            <w:rFonts w:ascii="Times New Roman" w:eastAsia="Times New Roman" w:hAnsi="Times New Roman" w:cs="Times New Roman"/>
            <w:sz w:val="24"/>
            <w:szCs w:val="24"/>
            <w:lang w:val="en-US" w:eastAsia="fr-FR"/>
          </w:rPr>
          <w:t>36</w:t>
        </w:r>
      </w:hyperlink>
      <w:r w:rsidRPr="00691CD2">
        <w:rPr>
          <w:rFonts w:ascii="Times New Roman" w:eastAsia="Times New Roman" w:hAnsi="Times New Roman" w:cs="Times New Roman"/>
          <w:sz w:val="24"/>
          <w:szCs w:val="24"/>
          <w:lang w:val="en-US" w:eastAsia="fr-FR"/>
        </w:rPr>
        <w:t>, 22-28.</w:t>
      </w:r>
    </w:p>
    <w:p w14:paraId="2682BA0C" w14:textId="77777777" w:rsidR="00C35CEA" w:rsidRPr="00952F51" w:rsidRDefault="00E13761" w:rsidP="00C35CEA">
      <w:pPr>
        <w:autoSpaceDE w:val="0"/>
        <w:autoSpaceDN w:val="0"/>
        <w:adjustRightInd w:val="0"/>
        <w:spacing w:after="120" w:line="360" w:lineRule="auto"/>
        <w:jc w:val="both"/>
        <w:rPr>
          <w:rFonts w:ascii="Times New Roman" w:hAnsi="Times New Roman" w:cs="Times New Roman"/>
          <w:sz w:val="24"/>
          <w:szCs w:val="24"/>
          <w:lang w:val="en-US"/>
        </w:rPr>
      </w:pPr>
      <w:hyperlink r:id="rId44" w:tgtFrame="_blank" w:tooltip="Persistent link using digital object identifier" w:history="1">
        <w:r w:rsidR="00C35CEA" w:rsidRPr="00691CD2">
          <w:rPr>
            <w:rStyle w:val="anchor-text"/>
            <w:rFonts w:ascii="Times New Roman" w:hAnsi="Times New Roman" w:cs="Times New Roman"/>
            <w:color w:val="0000FF"/>
            <w:sz w:val="24"/>
            <w:szCs w:val="24"/>
            <w:u w:val="single"/>
          </w:rPr>
          <w:t>https://doi.org/10.1016/j.jes.2015.03.015</w:t>
        </w:r>
      </w:hyperlink>
    </w:p>
    <w:p w14:paraId="002820AD" w14:textId="77777777" w:rsidR="00C35CEA" w:rsidRPr="00E85FD9" w:rsidRDefault="00C35CEA" w:rsidP="00C35CEA">
      <w:pPr>
        <w:spacing w:after="0" w:line="360" w:lineRule="auto"/>
        <w:jc w:val="both"/>
        <w:rPr>
          <w:rFonts w:ascii="Times New Roman" w:eastAsia="Times New Roman" w:hAnsi="Times New Roman" w:cs="Times New Roman"/>
          <w:sz w:val="24"/>
          <w:szCs w:val="24"/>
          <w:lang w:eastAsia="fr-FR"/>
        </w:rPr>
      </w:pPr>
    </w:p>
    <w:p w14:paraId="1E7A36CF" w14:textId="77777777" w:rsidR="00C35CEA" w:rsidRDefault="00C35CEA" w:rsidP="00C66D16">
      <w:pPr>
        <w:spacing w:after="120" w:line="360" w:lineRule="auto"/>
        <w:jc w:val="both"/>
        <w:rPr>
          <w:rFonts w:ascii="Times New Roman" w:hAnsi="Times New Roman" w:cs="Times New Roman"/>
          <w:sz w:val="24"/>
          <w:szCs w:val="24"/>
        </w:rPr>
      </w:pPr>
    </w:p>
    <w:p w14:paraId="51957240" w14:textId="77777777" w:rsidR="00FE2DAF" w:rsidRPr="00C66D16" w:rsidRDefault="00FE2DAF" w:rsidP="00C66D16">
      <w:pPr>
        <w:spacing w:after="120" w:line="360" w:lineRule="auto"/>
        <w:jc w:val="both"/>
        <w:rPr>
          <w:rFonts w:ascii="Times New Roman" w:hAnsi="Times New Roman" w:cs="Times New Roman"/>
          <w:color w:val="FF0000"/>
          <w:sz w:val="24"/>
          <w:szCs w:val="24"/>
        </w:rPr>
      </w:pPr>
    </w:p>
    <w:sectPr w:rsidR="00FE2DAF" w:rsidRPr="00C66D16">
      <w:headerReference w:type="even" r:id="rId45"/>
      <w:headerReference w:type="default" r:id="rId46"/>
      <w:footerReference w:type="even" r:id="rId47"/>
      <w:footerReference w:type="default" r:id="rId48"/>
      <w:headerReference w:type="first" r:id="rId49"/>
      <w:footerReference w:type="first" r:id="rId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9D8CE" w14:textId="77777777" w:rsidR="00E13761" w:rsidRDefault="00E13761" w:rsidP="00A561FC">
      <w:pPr>
        <w:spacing w:after="0" w:line="240" w:lineRule="auto"/>
      </w:pPr>
      <w:r>
        <w:separator/>
      </w:r>
    </w:p>
  </w:endnote>
  <w:endnote w:type="continuationSeparator" w:id="0">
    <w:p w14:paraId="4C9F8387" w14:textId="77777777" w:rsidR="00E13761" w:rsidRDefault="00E13761" w:rsidP="00A56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Yu Gothic UI"/>
    <w:panose1 w:val="020B0704020202020204"/>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GulliverRM">
    <w:altName w:val="Arial Unicode MS"/>
    <w:panose1 w:val="00000000000000000000"/>
    <w:charset w:val="88"/>
    <w:family w:val="auto"/>
    <w:notTrueType/>
    <w:pitch w:val="default"/>
    <w:sig w:usb0="00000003" w:usb1="080F0000" w:usb2="00000010" w:usb3="00000000" w:csb0="001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73E11" w14:textId="77777777" w:rsidR="00EB4AD0" w:rsidRDefault="00EB4A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27F20" w14:textId="77777777" w:rsidR="00EB4AD0" w:rsidRDefault="00EB4A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E3A39" w14:textId="77777777" w:rsidR="00EB4AD0" w:rsidRDefault="00EB4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BB9FB" w14:textId="77777777" w:rsidR="00E13761" w:rsidRDefault="00E13761" w:rsidP="00A561FC">
      <w:pPr>
        <w:spacing w:after="0" w:line="240" w:lineRule="auto"/>
      </w:pPr>
      <w:r>
        <w:separator/>
      </w:r>
    </w:p>
  </w:footnote>
  <w:footnote w:type="continuationSeparator" w:id="0">
    <w:p w14:paraId="30D0EA57" w14:textId="77777777" w:rsidR="00E13761" w:rsidRDefault="00E13761" w:rsidP="00A56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8F3AB" w14:textId="34667811" w:rsidR="00EB4AD0" w:rsidRDefault="00EB4AD0">
    <w:pPr>
      <w:pStyle w:val="Header"/>
    </w:pPr>
    <w:r>
      <w:rPr>
        <w:noProof/>
      </w:rPr>
      <w:pict w14:anchorId="2D9E7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01459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DC4" w14:textId="05077CA9" w:rsidR="00EB4AD0" w:rsidRDefault="00EB4AD0">
    <w:pPr>
      <w:pStyle w:val="Header"/>
    </w:pPr>
    <w:r>
      <w:rPr>
        <w:noProof/>
      </w:rPr>
      <w:pict w14:anchorId="69EB5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01459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4FE1" w14:textId="1FDA299C" w:rsidR="00EB4AD0" w:rsidRDefault="00EB4AD0">
    <w:pPr>
      <w:pStyle w:val="Header"/>
    </w:pPr>
    <w:r>
      <w:rPr>
        <w:noProof/>
      </w:rPr>
      <w:pict w14:anchorId="7776B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01459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85DA5"/>
    <w:multiLevelType w:val="hybridMultilevel"/>
    <w:tmpl w:val="8CC260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BAA"/>
    <w:rsid w:val="00013140"/>
    <w:rsid w:val="00033B73"/>
    <w:rsid w:val="0004258B"/>
    <w:rsid w:val="00055DB6"/>
    <w:rsid w:val="00064068"/>
    <w:rsid w:val="00082BAA"/>
    <w:rsid w:val="000A5D98"/>
    <w:rsid w:val="000C1657"/>
    <w:rsid w:val="000D5C7A"/>
    <w:rsid w:val="0010108B"/>
    <w:rsid w:val="00105E5D"/>
    <w:rsid w:val="00111A31"/>
    <w:rsid w:val="00117CC4"/>
    <w:rsid w:val="0013551E"/>
    <w:rsid w:val="00137B37"/>
    <w:rsid w:val="00156CB0"/>
    <w:rsid w:val="001632D6"/>
    <w:rsid w:val="0018003D"/>
    <w:rsid w:val="001822BA"/>
    <w:rsid w:val="00185111"/>
    <w:rsid w:val="001F671C"/>
    <w:rsid w:val="00202196"/>
    <w:rsid w:val="00205ADB"/>
    <w:rsid w:val="0023099B"/>
    <w:rsid w:val="00237C70"/>
    <w:rsid w:val="0024624B"/>
    <w:rsid w:val="002475F6"/>
    <w:rsid w:val="00250950"/>
    <w:rsid w:val="00294EF1"/>
    <w:rsid w:val="002D01BD"/>
    <w:rsid w:val="002E119D"/>
    <w:rsid w:val="002F734F"/>
    <w:rsid w:val="00302379"/>
    <w:rsid w:val="00316CFE"/>
    <w:rsid w:val="0036260F"/>
    <w:rsid w:val="003647FA"/>
    <w:rsid w:val="00376AED"/>
    <w:rsid w:val="00383E70"/>
    <w:rsid w:val="00417D11"/>
    <w:rsid w:val="004313B4"/>
    <w:rsid w:val="0046515F"/>
    <w:rsid w:val="00477593"/>
    <w:rsid w:val="00482FA9"/>
    <w:rsid w:val="00483008"/>
    <w:rsid w:val="004A3444"/>
    <w:rsid w:val="004C04DD"/>
    <w:rsid w:val="004F5288"/>
    <w:rsid w:val="00523E3C"/>
    <w:rsid w:val="00536C6A"/>
    <w:rsid w:val="005529EC"/>
    <w:rsid w:val="005A0EAF"/>
    <w:rsid w:val="005A2988"/>
    <w:rsid w:val="005A5672"/>
    <w:rsid w:val="005C7ECB"/>
    <w:rsid w:val="005F2E64"/>
    <w:rsid w:val="006066E1"/>
    <w:rsid w:val="00607C80"/>
    <w:rsid w:val="00634232"/>
    <w:rsid w:val="00634ADA"/>
    <w:rsid w:val="00642A49"/>
    <w:rsid w:val="00646332"/>
    <w:rsid w:val="0065059A"/>
    <w:rsid w:val="00691CD2"/>
    <w:rsid w:val="006A2A0F"/>
    <w:rsid w:val="006B0E62"/>
    <w:rsid w:val="006C2A18"/>
    <w:rsid w:val="006D578A"/>
    <w:rsid w:val="00704A6B"/>
    <w:rsid w:val="007207E9"/>
    <w:rsid w:val="00723CA3"/>
    <w:rsid w:val="00733976"/>
    <w:rsid w:val="00774151"/>
    <w:rsid w:val="007A6311"/>
    <w:rsid w:val="007B55BC"/>
    <w:rsid w:val="007D0C38"/>
    <w:rsid w:val="007D1DD5"/>
    <w:rsid w:val="007D6CF0"/>
    <w:rsid w:val="007D7003"/>
    <w:rsid w:val="007E47A4"/>
    <w:rsid w:val="007E4E80"/>
    <w:rsid w:val="007E727F"/>
    <w:rsid w:val="008036AF"/>
    <w:rsid w:val="00804AF4"/>
    <w:rsid w:val="00816579"/>
    <w:rsid w:val="008175E4"/>
    <w:rsid w:val="008248D1"/>
    <w:rsid w:val="008314CA"/>
    <w:rsid w:val="00832F5C"/>
    <w:rsid w:val="00876857"/>
    <w:rsid w:val="00884C36"/>
    <w:rsid w:val="008921A6"/>
    <w:rsid w:val="008A0DCF"/>
    <w:rsid w:val="008B63B3"/>
    <w:rsid w:val="008D6C53"/>
    <w:rsid w:val="008F583E"/>
    <w:rsid w:val="009027FC"/>
    <w:rsid w:val="009462A3"/>
    <w:rsid w:val="00952F51"/>
    <w:rsid w:val="009660E9"/>
    <w:rsid w:val="009747D0"/>
    <w:rsid w:val="009803F2"/>
    <w:rsid w:val="009938DC"/>
    <w:rsid w:val="009B35DD"/>
    <w:rsid w:val="009C7608"/>
    <w:rsid w:val="009E0D6C"/>
    <w:rsid w:val="009E36A4"/>
    <w:rsid w:val="009F7035"/>
    <w:rsid w:val="00A113AC"/>
    <w:rsid w:val="00A20F65"/>
    <w:rsid w:val="00A31F88"/>
    <w:rsid w:val="00A561FC"/>
    <w:rsid w:val="00A6298C"/>
    <w:rsid w:val="00A90F6F"/>
    <w:rsid w:val="00A9212D"/>
    <w:rsid w:val="00AA236C"/>
    <w:rsid w:val="00AA446B"/>
    <w:rsid w:val="00AC3FA7"/>
    <w:rsid w:val="00AF7E34"/>
    <w:rsid w:val="00AF7EEC"/>
    <w:rsid w:val="00B35C72"/>
    <w:rsid w:val="00B36BE9"/>
    <w:rsid w:val="00B55EB5"/>
    <w:rsid w:val="00B622B8"/>
    <w:rsid w:val="00B90B96"/>
    <w:rsid w:val="00BD06AD"/>
    <w:rsid w:val="00BE41CB"/>
    <w:rsid w:val="00C01A9B"/>
    <w:rsid w:val="00C02D18"/>
    <w:rsid w:val="00C135BE"/>
    <w:rsid w:val="00C20067"/>
    <w:rsid w:val="00C2342B"/>
    <w:rsid w:val="00C35CEA"/>
    <w:rsid w:val="00C51180"/>
    <w:rsid w:val="00C60B9E"/>
    <w:rsid w:val="00C634B0"/>
    <w:rsid w:val="00C66D16"/>
    <w:rsid w:val="00C86B47"/>
    <w:rsid w:val="00C91ECB"/>
    <w:rsid w:val="00C96CB1"/>
    <w:rsid w:val="00C96EAF"/>
    <w:rsid w:val="00CA7BBE"/>
    <w:rsid w:val="00CF654F"/>
    <w:rsid w:val="00D0116E"/>
    <w:rsid w:val="00D01AB3"/>
    <w:rsid w:val="00D52790"/>
    <w:rsid w:val="00D64F23"/>
    <w:rsid w:val="00D7577E"/>
    <w:rsid w:val="00D76C06"/>
    <w:rsid w:val="00D817B4"/>
    <w:rsid w:val="00D93A5B"/>
    <w:rsid w:val="00DF3D87"/>
    <w:rsid w:val="00DF5B05"/>
    <w:rsid w:val="00E13761"/>
    <w:rsid w:val="00E1520E"/>
    <w:rsid w:val="00E17DAE"/>
    <w:rsid w:val="00E77BFC"/>
    <w:rsid w:val="00E85FD9"/>
    <w:rsid w:val="00E9612D"/>
    <w:rsid w:val="00EA6D99"/>
    <w:rsid w:val="00EB361E"/>
    <w:rsid w:val="00EB4AD0"/>
    <w:rsid w:val="00ED0758"/>
    <w:rsid w:val="00ED3B4B"/>
    <w:rsid w:val="00ED5D32"/>
    <w:rsid w:val="00EE271F"/>
    <w:rsid w:val="00EE6FC1"/>
    <w:rsid w:val="00F023DD"/>
    <w:rsid w:val="00F16163"/>
    <w:rsid w:val="00F3167D"/>
    <w:rsid w:val="00F47A36"/>
    <w:rsid w:val="00F76BD4"/>
    <w:rsid w:val="00F82F10"/>
    <w:rsid w:val="00FA4D9D"/>
    <w:rsid w:val="00FC34BD"/>
    <w:rsid w:val="00FE2DAF"/>
    <w:rsid w:val="00FE754A"/>
    <w:rsid w:val="00FE76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E139D9"/>
  <w15:chartTrackingRefBased/>
  <w15:docId w15:val="{CB9719AB-54CE-4C57-93A6-B9E0263D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2BA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1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561FC"/>
  </w:style>
  <w:style w:type="paragraph" w:styleId="Footer">
    <w:name w:val="footer"/>
    <w:basedOn w:val="Normal"/>
    <w:link w:val="FooterChar"/>
    <w:uiPriority w:val="99"/>
    <w:unhideWhenUsed/>
    <w:rsid w:val="00A561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61FC"/>
  </w:style>
  <w:style w:type="character" w:styleId="Hyperlink">
    <w:name w:val="Hyperlink"/>
    <w:basedOn w:val="DefaultParagraphFont"/>
    <w:uiPriority w:val="99"/>
    <w:unhideWhenUsed/>
    <w:rsid w:val="00DF5B05"/>
    <w:rPr>
      <w:color w:val="0563C1" w:themeColor="hyperlink"/>
      <w:u w:val="single"/>
    </w:rPr>
  </w:style>
  <w:style w:type="paragraph" w:customStyle="1" w:styleId="Default">
    <w:name w:val="Default"/>
    <w:rsid w:val="005F2E6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4z29wjxl">
    <w:name w:val="c4_z29wjxl"/>
    <w:basedOn w:val="DefaultParagraphFont"/>
    <w:rsid w:val="0036260F"/>
  </w:style>
  <w:style w:type="paragraph" w:styleId="ListParagraph">
    <w:name w:val="List Paragraph"/>
    <w:basedOn w:val="Normal"/>
    <w:uiPriority w:val="34"/>
    <w:qFormat/>
    <w:rsid w:val="007E47A4"/>
    <w:pPr>
      <w:ind w:left="720"/>
      <w:contextualSpacing/>
    </w:pPr>
  </w:style>
  <w:style w:type="character" w:customStyle="1" w:styleId="anchor-text">
    <w:name w:val="anchor-text"/>
    <w:basedOn w:val="DefaultParagraphFont"/>
    <w:rsid w:val="00831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464357">
      <w:bodyDiv w:val="1"/>
      <w:marLeft w:val="0"/>
      <w:marRight w:val="0"/>
      <w:marTop w:val="0"/>
      <w:marBottom w:val="0"/>
      <w:divBdr>
        <w:top w:val="none" w:sz="0" w:space="0" w:color="auto"/>
        <w:left w:val="none" w:sz="0" w:space="0" w:color="auto"/>
        <w:bottom w:val="none" w:sz="0" w:space="0" w:color="auto"/>
        <w:right w:val="none" w:sz="0" w:space="0" w:color="auto"/>
      </w:divBdr>
      <w:divsChild>
        <w:div w:id="2120175369">
          <w:marLeft w:val="0"/>
          <w:marRight w:val="0"/>
          <w:marTop w:val="0"/>
          <w:marBottom w:val="0"/>
          <w:divBdr>
            <w:top w:val="none" w:sz="0" w:space="0" w:color="auto"/>
            <w:left w:val="none" w:sz="0" w:space="0" w:color="auto"/>
            <w:bottom w:val="none" w:sz="0" w:space="0" w:color="auto"/>
            <w:right w:val="none" w:sz="0" w:space="0" w:color="auto"/>
          </w:divBdr>
        </w:div>
        <w:div w:id="624851970">
          <w:marLeft w:val="0"/>
          <w:marRight w:val="0"/>
          <w:marTop w:val="0"/>
          <w:marBottom w:val="0"/>
          <w:divBdr>
            <w:top w:val="none" w:sz="0" w:space="0" w:color="auto"/>
            <w:left w:val="none" w:sz="0" w:space="0" w:color="auto"/>
            <w:bottom w:val="none" w:sz="0" w:space="0" w:color="auto"/>
            <w:right w:val="none" w:sz="0" w:space="0" w:color="auto"/>
          </w:divBdr>
        </w:div>
      </w:divsChild>
    </w:div>
    <w:div w:id="1468812846">
      <w:bodyDiv w:val="1"/>
      <w:marLeft w:val="0"/>
      <w:marRight w:val="0"/>
      <w:marTop w:val="0"/>
      <w:marBottom w:val="0"/>
      <w:divBdr>
        <w:top w:val="none" w:sz="0" w:space="0" w:color="auto"/>
        <w:left w:val="none" w:sz="0" w:space="0" w:color="auto"/>
        <w:bottom w:val="none" w:sz="0" w:space="0" w:color="auto"/>
        <w:right w:val="none" w:sz="0" w:space="0" w:color="auto"/>
      </w:divBdr>
      <w:divsChild>
        <w:div w:id="1783576385">
          <w:marLeft w:val="0"/>
          <w:marRight w:val="0"/>
          <w:marTop w:val="0"/>
          <w:marBottom w:val="0"/>
          <w:divBdr>
            <w:top w:val="none" w:sz="0" w:space="0" w:color="auto"/>
            <w:left w:val="none" w:sz="0" w:space="0" w:color="auto"/>
            <w:bottom w:val="none" w:sz="0" w:space="0" w:color="auto"/>
            <w:right w:val="none" w:sz="0" w:space="0" w:color="auto"/>
          </w:divBdr>
        </w:div>
      </w:divsChild>
    </w:div>
    <w:div w:id="1538472115">
      <w:bodyDiv w:val="1"/>
      <w:marLeft w:val="0"/>
      <w:marRight w:val="0"/>
      <w:marTop w:val="0"/>
      <w:marBottom w:val="0"/>
      <w:divBdr>
        <w:top w:val="none" w:sz="0" w:space="0" w:color="auto"/>
        <w:left w:val="none" w:sz="0" w:space="0" w:color="auto"/>
        <w:bottom w:val="none" w:sz="0" w:space="0" w:color="auto"/>
        <w:right w:val="none" w:sz="0" w:space="0" w:color="auto"/>
      </w:divBdr>
      <w:divsChild>
        <w:div w:id="2118596866">
          <w:marLeft w:val="0"/>
          <w:marRight w:val="0"/>
          <w:marTop w:val="0"/>
          <w:marBottom w:val="0"/>
          <w:divBdr>
            <w:top w:val="none" w:sz="0" w:space="0" w:color="auto"/>
            <w:left w:val="none" w:sz="0" w:space="0" w:color="auto"/>
            <w:bottom w:val="none" w:sz="0" w:space="0" w:color="auto"/>
            <w:right w:val="none" w:sz="0" w:space="0" w:color="auto"/>
          </w:divBdr>
        </w:div>
        <w:div w:id="532040717">
          <w:marLeft w:val="0"/>
          <w:marRight w:val="0"/>
          <w:marTop w:val="0"/>
          <w:marBottom w:val="0"/>
          <w:divBdr>
            <w:top w:val="none" w:sz="0" w:space="0" w:color="auto"/>
            <w:left w:val="none" w:sz="0" w:space="0" w:color="auto"/>
            <w:bottom w:val="none" w:sz="0" w:space="0" w:color="auto"/>
            <w:right w:val="none" w:sz="0" w:space="0" w:color="auto"/>
          </w:divBdr>
        </w:div>
        <w:div w:id="440878310">
          <w:marLeft w:val="0"/>
          <w:marRight w:val="0"/>
          <w:marTop w:val="0"/>
          <w:marBottom w:val="0"/>
          <w:divBdr>
            <w:top w:val="none" w:sz="0" w:space="0" w:color="auto"/>
            <w:left w:val="none" w:sz="0" w:space="0" w:color="auto"/>
            <w:bottom w:val="none" w:sz="0" w:space="0" w:color="auto"/>
            <w:right w:val="none" w:sz="0" w:space="0" w:color="auto"/>
          </w:divBdr>
        </w:div>
      </w:divsChild>
    </w:div>
    <w:div w:id="1898665989">
      <w:bodyDiv w:val="1"/>
      <w:marLeft w:val="0"/>
      <w:marRight w:val="0"/>
      <w:marTop w:val="0"/>
      <w:marBottom w:val="0"/>
      <w:divBdr>
        <w:top w:val="none" w:sz="0" w:space="0" w:color="auto"/>
        <w:left w:val="none" w:sz="0" w:space="0" w:color="auto"/>
        <w:bottom w:val="none" w:sz="0" w:space="0" w:color="auto"/>
        <w:right w:val="none" w:sz="0" w:space="0" w:color="auto"/>
      </w:divBdr>
      <w:divsChild>
        <w:div w:id="1942059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hyperlink" Target="https://doi.org/10.1016/j.envpol.2017.12.071" TargetMode="External"/><Relationship Id="rId39" Type="http://schemas.openxmlformats.org/officeDocument/2006/relationships/hyperlink" Target="https://doi.org/10.1016/j.jphotochem.2024.115841" TargetMode="External"/><Relationship Id="rId21" Type="http://schemas.openxmlformats.org/officeDocument/2006/relationships/hyperlink" Target="https://doi.org/10.1080/00032719.2022.2040524" TargetMode="External"/><Relationship Id="rId34" Type="http://schemas.openxmlformats.org/officeDocument/2006/relationships/hyperlink" Target="https://doi.org/10.11648/j.ajpc.20251404.12" TargetMode="External"/><Relationship Id="rId42" Type="http://schemas.openxmlformats.org/officeDocument/2006/relationships/hyperlink" Target="https://www.sciencedirect.com/science/journal/10010742"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hyperlink" Target="https://www.sciencedirect.com/science/article/pii/S1350417718302839" TargetMode="External"/><Relationship Id="rId11" Type="http://schemas.openxmlformats.org/officeDocument/2006/relationships/oleObject" Target="embeddings/oleObject2.bin"/><Relationship Id="rId24" Type="http://schemas.openxmlformats.org/officeDocument/2006/relationships/hyperlink" Target="https://doi.org/10.1016/j.aca.2023.340969" TargetMode="External"/><Relationship Id="rId32" Type="http://schemas.openxmlformats.org/officeDocument/2006/relationships/hyperlink" Target="https://doi.org/10.1021/es050342a" TargetMode="External"/><Relationship Id="rId37" Type="http://schemas.openxmlformats.org/officeDocument/2006/relationships/hyperlink" Target="https://doi.org/10.9734/IRJPAC/2017/37087" TargetMode="External"/><Relationship Id="rId40" Type="http://schemas.openxmlformats.org/officeDocument/2006/relationships/hyperlink" Target="https://doi.org/10.1007/s11356-008-0083-3"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https://doi.org/10.1016/j.chemosphere.2018.12.048" TargetMode="External"/><Relationship Id="rId28" Type="http://schemas.openxmlformats.org/officeDocument/2006/relationships/hyperlink" Target="https://www.sciencedirect.com/science/article/pii/S1350417718302839" TargetMode="External"/><Relationship Id="rId36" Type="http://schemas.openxmlformats.org/officeDocument/2006/relationships/hyperlink" Target="https://doi.org/10.4236/jep.2010.13028" TargetMode="External"/><Relationship Id="rId49"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hyperlink" Target="https://doi.org/10.1016/j.ultsonch.2018.04.003" TargetMode="External"/><Relationship Id="rId44" Type="http://schemas.openxmlformats.org/officeDocument/2006/relationships/hyperlink" Target="https://doi.org/10.1016/j.jes.2015.03.015"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hyperlink" Target="https://doi.org/10.9734/ajocs/2024/v14i6340" TargetMode="External"/><Relationship Id="rId27" Type="http://schemas.openxmlformats.org/officeDocument/2006/relationships/hyperlink" Target="https://www.sciencedirect.com/science/article/pii/S1350417718302839" TargetMode="External"/><Relationship Id="rId30" Type="http://schemas.openxmlformats.org/officeDocument/2006/relationships/hyperlink" Target="https://www.sciencedirect.com/science/journal/13504177" TargetMode="External"/><Relationship Id="rId35" Type="http://schemas.openxmlformats.org/officeDocument/2006/relationships/hyperlink" Target="https://www.researchgate.net/journal/2152-2197_Journal_of_Environmental_Protection" TargetMode="External"/><Relationship Id="rId43" Type="http://schemas.openxmlformats.org/officeDocument/2006/relationships/hyperlink" Target="https://www.sciencedirect.com/science/journal/10010742/36/supp/C" TargetMode="External"/><Relationship Id="rId48" Type="http://schemas.openxmlformats.org/officeDocument/2006/relationships/footer" Target="footer2.xml"/><Relationship Id="rId8" Type="http://schemas.openxmlformats.org/officeDocument/2006/relationships/image" Target="media/image1.emf"/><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hyperlink" Target="https://doi.org/10.1016/j.chemosphere.2010.10.036" TargetMode="External"/><Relationship Id="rId33" Type="http://schemas.openxmlformats.org/officeDocument/2006/relationships/hyperlink" Target="https://doi.org/10.1080/22297928.2020.1712237" TargetMode="External"/><Relationship Id="rId38" Type="http://schemas.openxmlformats.org/officeDocument/2006/relationships/hyperlink" Target="https://doi.org/10.1002/ijc.10955" TargetMode="External"/><Relationship Id="rId46" Type="http://schemas.openxmlformats.org/officeDocument/2006/relationships/header" Target="header2.xml"/><Relationship Id="rId20" Type="http://schemas.openxmlformats.org/officeDocument/2006/relationships/hyperlink" Target="https://doi.org/10.1007/s10953-019-00937-4" TargetMode="External"/><Relationship Id="rId41" Type="http://schemas.openxmlformats.org/officeDocument/2006/relationships/hyperlink" Target="https://www.sciencedirect.com/science/article/pii/S1001074215002132"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E252B-5FF7-4AD8-93CE-200C92D0B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2422</TotalTime>
  <Pages>14</Pages>
  <Words>3974</Words>
  <Characters>22655</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Diène Diégane Thiaré</dc:creator>
  <cp:keywords/>
  <dc:description/>
  <cp:lastModifiedBy>SDI PC 1170</cp:lastModifiedBy>
  <cp:revision>53</cp:revision>
  <dcterms:created xsi:type="dcterms:W3CDTF">2026-01-14T21:06:00Z</dcterms:created>
  <dcterms:modified xsi:type="dcterms:W3CDTF">2026-02-23T07:20:00Z</dcterms:modified>
</cp:coreProperties>
</file>