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005672" w14:textId="7D75274B" w:rsidR="00974103" w:rsidRPr="00974103" w:rsidRDefault="00974103" w:rsidP="00886AFE">
      <w:pPr>
        <w:spacing w:line="360" w:lineRule="auto"/>
        <w:rPr>
          <w:rFonts w:ascii="Times New Roman" w:eastAsia="Times New Roman" w:hAnsi="Times New Roman" w:cs="Times New Roman"/>
          <w:b/>
          <w:bCs/>
          <w:sz w:val="28"/>
          <w:szCs w:val="28"/>
          <w:u w:val="single"/>
          <w:lang w:val="en-US"/>
        </w:rPr>
      </w:pPr>
      <w:r w:rsidRPr="00974103">
        <w:rPr>
          <w:rFonts w:ascii="Times New Roman" w:eastAsia="Times New Roman" w:hAnsi="Times New Roman" w:cs="Times New Roman"/>
          <w:b/>
          <w:bCs/>
          <w:sz w:val="28"/>
          <w:szCs w:val="28"/>
          <w:u w:val="single"/>
          <w:lang w:val="en-US"/>
        </w:rPr>
        <w:t>Review Article</w:t>
      </w:r>
    </w:p>
    <w:p w14:paraId="34CF7372" w14:textId="02E7A70D" w:rsidR="00886AFE" w:rsidRPr="00886AFE" w:rsidRDefault="00886AFE" w:rsidP="00886AFE">
      <w:pPr>
        <w:spacing w:line="360" w:lineRule="auto"/>
        <w:rPr>
          <w:rFonts w:ascii="Times New Roman" w:eastAsia="Times New Roman" w:hAnsi="Times New Roman" w:cs="Times New Roman"/>
          <w:b/>
          <w:bCs/>
          <w:sz w:val="28"/>
          <w:szCs w:val="28"/>
        </w:rPr>
      </w:pPr>
      <w:r w:rsidRPr="00886AFE">
        <w:rPr>
          <w:rFonts w:ascii="Times New Roman" w:eastAsia="Times New Roman" w:hAnsi="Times New Roman" w:cs="Times New Roman"/>
          <w:b/>
          <w:bCs/>
          <w:sz w:val="28"/>
          <w:szCs w:val="28"/>
          <w:lang w:val="en-US"/>
        </w:rPr>
        <w:t>Regenerative and Cellular Therapies in Arthritis: Mechanisms, Clinical Evidence and Translational Challenges</w:t>
      </w:r>
    </w:p>
    <w:p w14:paraId="1BD2E4CE" w14:textId="25DDA9EB" w:rsidR="00974103" w:rsidRDefault="00974103" w:rsidP="00B64422">
      <w:pPr>
        <w:spacing w:line="360" w:lineRule="auto"/>
        <w:rPr>
          <w:rFonts w:ascii="Times New Roman" w:eastAsia="Times New Roman" w:hAnsi="Times New Roman" w:cs="Times New Roman"/>
          <w:b/>
          <w:bCs/>
          <w:sz w:val="24"/>
          <w:szCs w:val="24"/>
        </w:rPr>
      </w:pPr>
      <w:bookmarkStart w:id="0" w:name="_GoBack"/>
      <w:bookmarkEnd w:id="0"/>
    </w:p>
    <w:p w14:paraId="35C72E13" w14:textId="441E078E" w:rsidR="00C512CC" w:rsidRDefault="00C512CC">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659FEF5A" w14:textId="732CC2BD" w:rsidR="00C512CC" w:rsidRDefault="00C512CC">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Background:</w:t>
      </w:r>
    </w:p>
    <w:p w14:paraId="18D6CD48" w14:textId="77777777" w:rsidR="00C512CC" w:rsidRDefault="00C512CC" w:rsidP="00C512CC">
      <w:pPr>
        <w:spacing w:line="360" w:lineRule="auto"/>
        <w:rPr>
          <w:rFonts w:ascii="Times New Roman" w:eastAsia="Times New Roman" w:hAnsi="Times New Roman" w:cs="Times New Roman"/>
          <w:sz w:val="24"/>
          <w:szCs w:val="24"/>
        </w:rPr>
      </w:pPr>
      <w:r w:rsidRPr="00C512CC">
        <w:rPr>
          <w:rFonts w:ascii="Times New Roman" w:eastAsia="Times New Roman" w:hAnsi="Times New Roman" w:cs="Times New Roman"/>
          <w:sz w:val="24"/>
          <w:szCs w:val="24"/>
        </w:rPr>
        <w:t>Arthritis, and especially osteoarthritis and rheumatoid arthritis, contribute to chronic pain and disability and diminished quality of life on a global scale. Treatment approaches that are used currently seem to be based mainly on treating the symptoms without repairing the structures or modifying the disease, making regenerative approaches important.</w:t>
      </w:r>
    </w:p>
    <w:p w14:paraId="389E7FAD" w14:textId="70AC30BE" w:rsidR="00C512CC" w:rsidRPr="00C512CC" w:rsidRDefault="00C512CC" w:rsidP="00C512CC">
      <w:pPr>
        <w:spacing w:line="360" w:lineRule="auto"/>
        <w:rPr>
          <w:rFonts w:ascii="Times New Roman" w:eastAsia="Times New Roman" w:hAnsi="Times New Roman" w:cs="Times New Roman"/>
          <w:sz w:val="24"/>
          <w:szCs w:val="24"/>
        </w:rPr>
      </w:pPr>
      <w:r w:rsidRPr="00C512CC">
        <w:rPr>
          <w:rFonts w:ascii="Times New Roman" w:eastAsia="Times New Roman" w:hAnsi="Times New Roman" w:cs="Times New Roman"/>
          <w:b/>
          <w:bCs/>
          <w:sz w:val="24"/>
          <w:szCs w:val="24"/>
        </w:rPr>
        <w:t>Aim:</w:t>
      </w:r>
    </w:p>
    <w:p w14:paraId="0B05E1CF" w14:textId="322633AE" w:rsidR="00C512CC" w:rsidRPr="00C512CC" w:rsidRDefault="00C512CC" w:rsidP="00C512CC">
      <w:pPr>
        <w:spacing w:line="360" w:lineRule="auto"/>
        <w:jc w:val="both"/>
        <w:rPr>
          <w:rFonts w:ascii="Times New Roman" w:eastAsia="Times New Roman" w:hAnsi="Times New Roman" w:cs="Times New Roman"/>
          <w:sz w:val="24"/>
          <w:szCs w:val="24"/>
        </w:rPr>
      </w:pPr>
      <w:r w:rsidRPr="00C512CC">
        <w:rPr>
          <w:rFonts w:ascii="Times New Roman" w:eastAsia="Times New Roman" w:hAnsi="Times New Roman" w:cs="Times New Roman"/>
          <w:sz w:val="24"/>
          <w:szCs w:val="24"/>
        </w:rPr>
        <w:t xml:space="preserve">This review </w:t>
      </w:r>
      <w:r>
        <w:rPr>
          <w:rFonts w:ascii="Times New Roman" w:eastAsia="Times New Roman" w:hAnsi="Times New Roman" w:cs="Times New Roman"/>
          <w:sz w:val="24"/>
          <w:szCs w:val="24"/>
        </w:rPr>
        <w:t>will synthesize and critically assess regenerative and cellular therapies in arthritis, their mechanisms, clinical trials, limitations, and potential to be used in translation.</w:t>
      </w:r>
    </w:p>
    <w:p w14:paraId="5164FB59" w14:textId="6437758B" w:rsidR="00C512CC" w:rsidRDefault="00C512CC">
      <w:pPr>
        <w:spacing w:line="360" w:lineRule="auto"/>
        <w:rPr>
          <w:rFonts w:ascii="Times New Roman" w:eastAsia="Times New Roman" w:hAnsi="Times New Roman" w:cs="Times New Roman"/>
          <w:b/>
          <w:bCs/>
          <w:sz w:val="24"/>
          <w:szCs w:val="24"/>
        </w:rPr>
      </w:pPr>
      <w:r w:rsidRPr="00C512CC">
        <w:rPr>
          <w:rFonts w:ascii="Times New Roman" w:eastAsia="Times New Roman" w:hAnsi="Times New Roman" w:cs="Times New Roman"/>
          <w:b/>
          <w:bCs/>
          <w:sz w:val="24"/>
          <w:szCs w:val="24"/>
        </w:rPr>
        <w:t>Materials and Methods:</w:t>
      </w:r>
    </w:p>
    <w:p w14:paraId="78671C6F" w14:textId="44AB1CAE" w:rsidR="00C512CC" w:rsidRDefault="007D7994" w:rsidP="00C512C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literature review of the existing data was carried out in the form of a narrative, which comprised preclinical studies, randomized controlled clinical trials, and clinical studies involving cell-based therapies, biological adjuncts, tissue engineering solutions, and gene therapy methods in the area of arthritis.</w:t>
      </w:r>
    </w:p>
    <w:p w14:paraId="66DEA142" w14:textId="5A51CFCD" w:rsidR="00C512CC" w:rsidRDefault="00C512CC">
      <w:pPr>
        <w:spacing w:line="360" w:lineRule="auto"/>
        <w:rPr>
          <w:rFonts w:ascii="Times New Roman" w:eastAsia="Times New Roman" w:hAnsi="Times New Roman" w:cs="Times New Roman"/>
          <w:b/>
          <w:bCs/>
          <w:sz w:val="24"/>
          <w:szCs w:val="24"/>
        </w:rPr>
      </w:pPr>
      <w:r w:rsidRPr="00C512CC">
        <w:rPr>
          <w:rFonts w:ascii="Times New Roman" w:eastAsia="Times New Roman" w:hAnsi="Times New Roman" w:cs="Times New Roman"/>
          <w:b/>
          <w:bCs/>
          <w:sz w:val="24"/>
          <w:szCs w:val="24"/>
        </w:rPr>
        <w:t>Findings:</w:t>
      </w:r>
    </w:p>
    <w:p w14:paraId="5622AE96" w14:textId="4F7AA78A" w:rsidR="00C512CC" w:rsidRDefault="007D7994" w:rsidP="00C512C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therapies derived from mesenchymal stem cells, autologous chondrocyte implantation, and induced pluripotent stem cells show promise in terms of cartilage regeneration and immunomodulation. The cell-free strategies, such as platelet-rich plasma, as well as extracellular vesicles, have promising anti-inflammatory and regenerative properties. Better therapeutic outcomes are achieved through the use of biomaterial scaffolds, tissue engineering, and gene therapy. Nevertheless, the clinical evidence is still divided, and some of the shortcomings comprise cell source variations</w:t>
      </w:r>
      <w:r w:rsidR="00D3721B">
        <w:rPr>
          <w:rFonts w:ascii="Times New Roman" w:eastAsia="Times New Roman" w:hAnsi="Times New Roman" w:cs="Times New Roman"/>
          <w:sz w:val="24"/>
          <w:szCs w:val="24"/>
        </w:rPr>
        <w:t>, the absence of standardized protocols, nonuniform outcome measures, and the paucity of long-term data.</w:t>
      </w:r>
    </w:p>
    <w:p w14:paraId="133D13C2" w14:textId="0D20CC94" w:rsidR="00C512CC" w:rsidRDefault="00C512CC">
      <w:pPr>
        <w:spacing w:line="360" w:lineRule="auto"/>
        <w:rPr>
          <w:rFonts w:ascii="Times New Roman" w:eastAsia="Times New Roman" w:hAnsi="Times New Roman" w:cs="Times New Roman"/>
          <w:b/>
          <w:bCs/>
          <w:sz w:val="24"/>
          <w:szCs w:val="24"/>
        </w:rPr>
      </w:pPr>
      <w:r w:rsidRPr="00C512CC">
        <w:rPr>
          <w:rFonts w:ascii="Times New Roman" w:eastAsia="Times New Roman" w:hAnsi="Times New Roman" w:cs="Times New Roman"/>
          <w:b/>
          <w:bCs/>
          <w:sz w:val="24"/>
          <w:szCs w:val="24"/>
        </w:rPr>
        <w:t>Conclusion:</w:t>
      </w:r>
    </w:p>
    <w:p w14:paraId="703543D7" w14:textId="10973745" w:rsidR="00D3721B" w:rsidRDefault="00D3721B" w:rsidP="00D3721B">
      <w:pPr>
        <w:spacing w:line="360" w:lineRule="auto"/>
        <w:jc w:val="both"/>
        <w:rPr>
          <w:rFonts w:ascii="Times New Roman" w:eastAsia="Times New Roman" w:hAnsi="Times New Roman" w:cs="Times New Roman"/>
          <w:sz w:val="24"/>
          <w:szCs w:val="24"/>
        </w:rPr>
      </w:pPr>
      <w:r w:rsidRPr="00D3721B">
        <w:rPr>
          <w:rFonts w:ascii="Times New Roman" w:eastAsia="Times New Roman" w:hAnsi="Times New Roman" w:cs="Times New Roman"/>
          <w:sz w:val="24"/>
          <w:szCs w:val="24"/>
        </w:rPr>
        <w:lastRenderedPageBreak/>
        <w:t xml:space="preserve">Regenerative therapies are a promising transition to disease-modifying therapy in arthritis. Nonetheless, successful clinical translation depends on them is the need </w:t>
      </w:r>
      <w:r>
        <w:rPr>
          <w:rFonts w:ascii="Times New Roman" w:eastAsia="Times New Roman" w:hAnsi="Times New Roman" w:cs="Times New Roman"/>
          <w:sz w:val="24"/>
          <w:szCs w:val="24"/>
        </w:rPr>
        <w:t>for</w:t>
      </w:r>
      <w:r w:rsidRPr="00D3721B">
        <w:rPr>
          <w:rFonts w:ascii="Times New Roman" w:eastAsia="Times New Roman" w:hAnsi="Times New Roman" w:cs="Times New Roman"/>
          <w:sz w:val="24"/>
          <w:szCs w:val="24"/>
        </w:rPr>
        <w:t xml:space="preserve"> standardization of cell characterization, harmonization of clinical endpoints, scalability of production, and effective long-term clinical trials. The development of multimodal and combination interventions can also enhance the efficiency of the therapy process to further </w:t>
      </w:r>
      <w:r>
        <w:rPr>
          <w:rFonts w:ascii="Times New Roman" w:eastAsia="Times New Roman" w:hAnsi="Times New Roman" w:cs="Times New Roman"/>
          <w:sz w:val="24"/>
          <w:szCs w:val="24"/>
        </w:rPr>
        <w:t xml:space="preserve">develop </w:t>
      </w:r>
      <w:r w:rsidRPr="00D3721B">
        <w:rPr>
          <w:rFonts w:ascii="Times New Roman" w:eastAsia="Times New Roman" w:hAnsi="Times New Roman" w:cs="Times New Roman"/>
          <w:sz w:val="24"/>
          <w:szCs w:val="24"/>
        </w:rPr>
        <w:t>and become a means of its transfer to clinical practice.</w:t>
      </w:r>
    </w:p>
    <w:p w14:paraId="5B772025" w14:textId="0469F6FF" w:rsidR="00C512CC" w:rsidRPr="00C512CC" w:rsidRDefault="00C512CC">
      <w:pPr>
        <w:spacing w:line="360" w:lineRule="auto"/>
        <w:rPr>
          <w:rFonts w:ascii="Times New Roman" w:eastAsia="Times New Roman" w:hAnsi="Times New Roman" w:cs="Times New Roman"/>
          <w:b/>
          <w:bCs/>
          <w:sz w:val="24"/>
          <w:szCs w:val="24"/>
        </w:rPr>
      </w:pPr>
      <w:r w:rsidRPr="00C512CC">
        <w:rPr>
          <w:rFonts w:ascii="Times New Roman" w:eastAsia="Times New Roman" w:hAnsi="Times New Roman" w:cs="Times New Roman"/>
          <w:b/>
          <w:bCs/>
          <w:sz w:val="24"/>
          <w:szCs w:val="24"/>
        </w:rPr>
        <w:t>Keywords</w:t>
      </w:r>
    </w:p>
    <w:p w14:paraId="4FD82239" w14:textId="4D09BF9B" w:rsidR="00C512CC" w:rsidRPr="00C512CC" w:rsidRDefault="00C512CC" w:rsidP="00C512CC">
      <w:pPr>
        <w:spacing w:line="360" w:lineRule="auto"/>
        <w:jc w:val="both"/>
        <w:rPr>
          <w:rFonts w:ascii="Times New Roman" w:eastAsia="Times New Roman" w:hAnsi="Times New Roman" w:cs="Times New Roman"/>
          <w:sz w:val="24"/>
          <w:szCs w:val="24"/>
        </w:rPr>
      </w:pPr>
      <w:r w:rsidRPr="00C512CC">
        <w:rPr>
          <w:rFonts w:ascii="Times New Roman" w:eastAsia="Times New Roman" w:hAnsi="Times New Roman" w:cs="Times New Roman"/>
          <w:sz w:val="24"/>
          <w:szCs w:val="24"/>
        </w:rPr>
        <w:t>Arthritis; Osteoarthritis; Rheumatoid arthritis; Regenerative medicine; Mesenchymal stem cells; Cartilage regeneration; Platelet-rich plasma; Extracellular vesicles; Tissue engineering; Gene therapy</w:t>
      </w:r>
      <w:r>
        <w:rPr>
          <w:rFonts w:ascii="Times New Roman" w:eastAsia="Times New Roman" w:hAnsi="Times New Roman" w:cs="Times New Roman"/>
          <w:sz w:val="24"/>
          <w:szCs w:val="24"/>
        </w:rPr>
        <w:t>.</w:t>
      </w:r>
    </w:p>
    <w:p w14:paraId="3F9446A2" w14:textId="77777777" w:rsidR="00C512CC" w:rsidRDefault="00C512CC">
      <w:pPr>
        <w:spacing w:line="360" w:lineRule="auto"/>
        <w:rPr>
          <w:rFonts w:ascii="Times New Roman" w:eastAsia="Times New Roman" w:hAnsi="Times New Roman" w:cs="Times New Roman"/>
          <w:b/>
          <w:bCs/>
          <w:sz w:val="24"/>
          <w:szCs w:val="24"/>
        </w:rPr>
      </w:pPr>
    </w:p>
    <w:p w14:paraId="181826FE" w14:textId="77777777" w:rsidR="00C512CC" w:rsidRDefault="00C512CC">
      <w:pPr>
        <w:spacing w:line="360" w:lineRule="auto"/>
        <w:rPr>
          <w:rFonts w:ascii="Times New Roman" w:eastAsia="Times New Roman" w:hAnsi="Times New Roman" w:cs="Times New Roman"/>
          <w:b/>
          <w:bCs/>
          <w:sz w:val="24"/>
          <w:szCs w:val="24"/>
        </w:rPr>
      </w:pPr>
    </w:p>
    <w:p w14:paraId="1FA43802" w14:textId="77777777" w:rsidR="00C512CC" w:rsidRDefault="00C512CC">
      <w:pPr>
        <w:spacing w:line="360" w:lineRule="auto"/>
        <w:rPr>
          <w:rFonts w:ascii="Times New Roman" w:eastAsia="Times New Roman" w:hAnsi="Times New Roman" w:cs="Times New Roman"/>
          <w:b/>
          <w:bCs/>
          <w:sz w:val="24"/>
          <w:szCs w:val="24"/>
        </w:rPr>
      </w:pPr>
    </w:p>
    <w:p w14:paraId="3DFDE78F" w14:textId="77777777" w:rsidR="00C512CC" w:rsidRDefault="00C512CC">
      <w:pPr>
        <w:spacing w:line="360" w:lineRule="auto"/>
        <w:rPr>
          <w:rFonts w:ascii="Times New Roman" w:eastAsia="Times New Roman" w:hAnsi="Times New Roman" w:cs="Times New Roman"/>
          <w:b/>
          <w:bCs/>
          <w:sz w:val="24"/>
          <w:szCs w:val="24"/>
        </w:rPr>
      </w:pPr>
    </w:p>
    <w:p w14:paraId="03CF5AEC" w14:textId="77777777" w:rsidR="00C512CC" w:rsidRDefault="00C512CC">
      <w:pPr>
        <w:spacing w:line="360" w:lineRule="auto"/>
        <w:rPr>
          <w:rFonts w:ascii="Times New Roman" w:eastAsia="Times New Roman" w:hAnsi="Times New Roman" w:cs="Times New Roman"/>
          <w:b/>
          <w:bCs/>
          <w:sz w:val="24"/>
          <w:szCs w:val="24"/>
        </w:rPr>
      </w:pPr>
    </w:p>
    <w:p w14:paraId="5A0860FE" w14:textId="77777777" w:rsidR="00C512CC" w:rsidRDefault="00C512CC">
      <w:pPr>
        <w:spacing w:line="360" w:lineRule="auto"/>
        <w:rPr>
          <w:rFonts w:ascii="Times New Roman" w:eastAsia="Times New Roman" w:hAnsi="Times New Roman" w:cs="Times New Roman"/>
          <w:b/>
          <w:bCs/>
          <w:sz w:val="24"/>
          <w:szCs w:val="24"/>
        </w:rPr>
      </w:pPr>
    </w:p>
    <w:p w14:paraId="0AB40CBA" w14:textId="77777777" w:rsidR="00C512CC" w:rsidRDefault="00C512CC">
      <w:pPr>
        <w:spacing w:line="360" w:lineRule="auto"/>
        <w:rPr>
          <w:rFonts w:ascii="Times New Roman" w:eastAsia="Times New Roman" w:hAnsi="Times New Roman" w:cs="Times New Roman"/>
          <w:b/>
          <w:bCs/>
          <w:sz w:val="24"/>
          <w:szCs w:val="24"/>
        </w:rPr>
      </w:pPr>
    </w:p>
    <w:p w14:paraId="4EFF98F7" w14:textId="770789BB" w:rsidR="00ED21D7" w:rsidRDefault="003F3C38">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3E9C2980" w14:textId="767A916E" w:rsidR="00ED21D7" w:rsidRPr="00006496"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Arthritis is a heterogeneous </w:t>
      </w:r>
      <w:r>
        <w:rPr>
          <w:rFonts w:ascii="Times New Roman" w:eastAsia="Times New Roman" w:hAnsi="Times New Roman" w:cs="Times New Roman"/>
          <w:sz w:val="24"/>
          <w:szCs w:val="24"/>
        </w:rPr>
        <w:t xml:space="preserve">category of musculoskeletal diseases that is manifested by joint inflammation, cartilage degradation, discomfort, and a progressive functional defect. Among the many types of arthritis, osteoarthritis (OA) and rheumatoid arthritis (RA) are the most common </w:t>
      </w:r>
      <w:r>
        <w:rPr>
          <w:rFonts w:ascii="Times New Roman" w:eastAsia="Times New Roman" w:hAnsi="Times New Roman" w:cs="Times New Roman"/>
          <w:sz w:val="24"/>
          <w:szCs w:val="24"/>
        </w:rPr>
        <w:t>and cause disabilities and healthcare burdens in a large percentage of the world. Osteoarthritis is mainly a degenerative disease of the joints of old age, mechanical causes, and metabolic causes, whereas rheumatoid arthritis is an autoimmune condition due</w:t>
      </w:r>
      <w:r>
        <w:rPr>
          <w:rFonts w:ascii="Times New Roman" w:eastAsia="Times New Roman" w:hAnsi="Times New Roman" w:cs="Times New Roman"/>
          <w:sz w:val="24"/>
          <w:szCs w:val="24"/>
        </w:rPr>
        <w:t xml:space="preserve"> to chronic synovial inflammation and focal destruction of the joints. Put collectively, they pose a significant source of long-term disability and lower quality of life that impacts hundreds of millions of people across the globe.</w:t>
      </w:r>
      <w:r w:rsidR="00006496">
        <w:rPr>
          <w:rFonts w:ascii="Times New Roman" w:eastAsia="Times New Roman" w:hAnsi="Times New Roman" w:cs="Times New Roman"/>
          <w:sz w:val="24"/>
          <w:szCs w:val="24"/>
          <w:vertAlign w:val="superscript"/>
        </w:rPr>
        <w:t>1,2</w:t>
      </w:r>
    </w:p>
    <w:p w14:paraId="07F0F150" w14:textId="59CA782D" w:rsidR="00ED21D7" w:rsidRPr="005E5713"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existing clinical</w:t>
      </w:r>
      <w:r>
        <w:rPr>
          <w:rFonts w:ascii="Times New Roman" w:eastAsia="Times New Roman" w:hAnsi="Times New Roman" w:cs="Times New Roman"/>
          <w:sz w:val="24"/>
          <w:szCs w:val="24"/>
        </w:rPr>
        <w:t xml:space="preserve"> interventions on arthritis treatment have continued to be based on controlling the symptoms of arthritis, as opposed to bearing in mind the structural rehabilitation </w:t>
      </w:r>
      <w:r>
        <w:rPr>
          <w:rFonts w:ascii="Times New Roman" w:eastAsia="Times New Roman" w:hAnsi="Times New Roman" w:cs="Times New Roman"/>
          <w:sz w:val="24"/>
          <w:szCs w:val="24"/>
        </w:rPr>
        <w:lastRenderedPageBreak/>
        <w:t>of damaged joint tissues. Traditional pharmacological therapy involves nonsteroidal anti-</w:t>
      </w:r>
      <w:r>
        <w:rPr>
          <w:rFonts w:ascii="Times New Roman" w:eastAsia="Times New Roman" w:hAnsi="Times New Roman" w:cs="Times New Roman"/>
          <w:sz w:val="24"/>
          <w:szCs w:val="24"/>
        </w:rPr>
        <w:t>inflammatory drugs (NSAIDs), corticosteroids, analgesic and disease-modifying antirheumatic drugs (DMARDs). Although these treatments have the potential to alleviate pain and inflammation, they do not tend to inhibit the progressive loss of cartilage or in</w:t>
      </w:r>
      <w:r>
        <w:rPr>
          <w:rFonts w:ascii="Times New Roman" w:eastAsia="Times New Roman" w:hAnsi="Times New Roman" w:cs="Times New Roman"/>
          <w:sz w:val="24"/>
          <w:szCs w:val="24"/>
        </w:rPr>
        <w:t>cur irreparable joint destruction. Treatment in osteoarthritis is mainly kept as symptomatic management, with no approved disease-modifying osteoarthritis drugs (DMOADs) being able to restore the integrity of cartilage currently.</w:t>
      </w:r>
      <w:r w:rsidR="005E5713">
        <w:rPr>
          <w:rFonts w:ascii="Times New Roman" w:eastAsia="Times New Roman" w:hAnsi="Times New Roman" w:cs="Times New Roman"/>
          <w:sz w:val="24"/>
          <w:szCs w:val="24"/>
          <w:vertAlign w:val="superscript"/>
        </w:rPr>
        <w:t>3</w:t>
      </w:r>
    </w:p>
    <w:p w14:paraId="41664D6C" w14:textId="47713D00" w:rsidR="00ED21D7" w:rsidRPr="005E5713"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In more severe cases of d</w:t>
      </w:r>
      <w:r>
        <w:rPr>
          <w:rFonts w:ascii="Times New Roman" w:eastAsia="Times New Roman" w:hAnsi="Times New Roman" w:cs="Times New Roman"/>
          <w:sz w:val="24"/>
          <w:szCs w:val="24"/>
        </w:rPr>
        <w:t>egenerative changes in the joints of the patients, surgical treatment, including arthroscopic surgeries, osteotomy, or full replacement of the joint, may be necessary. Even though a joint replacement surgery can help a lot to improve mobility and reduce th</w:t>
      </w:r>
      <w:r>
        <w:rPr>
          <w:rFonts w:ascii="Times New Roman" w:eastAsia="Times New Roman" w:hAnsi="Times New Roman" w:cs="Times New Roman"/>
          <w:sz w:val="24"/>
          <w:szCs w:val="24"/>
        </w:rPr>
        <w:t>e pain experienced, these operations have limited drawbacks. The life of the prosthetic joint is finite, and usually after 15</w:t>
      </w:r>
      <w:r w:rsidR="00F6087A">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20 years, the prosthetic joints need revision surgery, especially in young and more active patients. More so, there are surgica</w:t>
      </w:r>
      <w:r>
        <w:rPr>
          <w:rFonts w:ascii="Times New Roman" w:eastAsia="Times New Roman" w:hAnsi="Times New Roman" w:cs="Times New Roman"/>
          <w:sz w:val="24"/>
          <w:szCs w:val="24"/>
        </w:rPr>
        <w:t>l complications like infection, loosening of the implant, and the post-thoracic functional restriction, this necessitates alternative curative measures to treat the factors that propel the joint degeneration.</w:t>
      </w:r>
      <w:r w:rsidR="005E5713">
        <w:rPr>
          <w:rFonts w:ascii="Times New Roman" w:eastAsia="Times New Roman" w:hAnsi="Times New Roman" w:cs="Times New Roman"/>
          <w:sz w:val="24"/>
          <w:szCs w:val="24"/>
          <w:vertAlign w:val="superscript"/>
        </w:rPr>
        <w:t>4</w:t>
      </w:r>
    </w:p>
    <w:p w14:paraId="0CB50D64" w14:textId="5E3DFCFE" w:rsidR="00ED21D7" w:rsidRPr="005E5713"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The constraints of the conventional therapies </w:t>
      </w:r>
      <w:r>
        <w:rPr>
          <w:rFonts w:ascii="Times New Roman" w:eastAsia="Times New Roman" w:hAnsi="Times New Roman" w:cs="Times New Roman"/>
          <w:sz w:val="24"/>
          <w:szCs w:val="24"/>
        </w:rPr>
        <w:t>have aroused an augmenting enthusiasm in regenerative medicine as a plausible option in restoring joint structure and function. Regenerative therapies are not only meant to improve the symptoms but also to regenerate the damaged cartilage, balance the infl</w:t>
      </w:r>
      <w:r>
        <w:rPr>
          <w:rFonts w:ascii="Times New Roman" w:eastAsia="Times New Roman" w:hAnsi="Times New Roman" w:cs="Times New Roman"/>
          <w:sz w:val="24"/>
          <w:szCs w:val="24"/>
        </w:rPr>
        <w:t>ammatory microenvironment, and restore tissue homeostasis in the joint. These are cell-based therapies that have been identified to have promising outcomes in cartilage regeneration and in the elimination of inflammation in preclinical and early clinical s</w:t>
      </w:r>
      <w:r>
        <w:rPr>
          <w:rFonts w:ascii="Times New Roman" w:eastAsia="Times New Roman" w:hAnsi="Times New Roman" w:cs="Times New Roman"/>
          <w:sz w:val="24"/>
          <w:szCs w:val="24"/>
        </w:rPr>
        <w:t>tudies: mesenchymal stem cells (MSCs), autologous chondrocyte implantation (ACI), and induced pluripotent stem cell (iPSC)-derived chondrocytes.</w:t>
      </w:r>
      <w:r w:rsidR="005E5713">
        <w:rPr>
          <w:rFonts w:ascii="Times New Roman" w:eastAsia="Times New Roman" w:hAnsi="Times New Roman" w:cs="Times New Roman"/>
          <w:sz w:val="24"/>
          <w:szCs w:val="24"/>
          <w:vertAlign w:val="superscript"/>
        </w:rPr>
        <w:t>5</w:t>
      </w:r>
    </w:p>
    <w:p w14:paraId="18CF710C" w14:textId="098FD1FD" w:rsidR="00ED21D7" w:rsidRPr="005E5713"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Besides cellular therapies, novel biologic modalities like platelet-rich plasma (PRP), extracellular </w:t>
      </w:r>
      <w:proofErr w:type="spellStart"/>
      <w:r>
        <w:rPr>
          <w:rFonts w:ascii="Times New Roman" w:eastAsia="Times New Roman" w:hAnsi="Times New Roman" w:cs="Times New Roman"/>
          <w:sz w:val="24"/>
          <w:szCs w:val="24"/>
        </w:rPr>
        <w:t>vesicles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(EVs), as well as growth factor-based therapeutic modalities have proven their willingness to induce endogenous regenerative pathways. Recent progress in biomaterials and tissue engineering has also been used to develop scaffolds and three-dimensional stru</w:t>
      </w:r>
      <w:r>
        <w:rPr>
          <w:rFonts w:ascii="Times New Roman" w:eastAsia="Times New Roman" w:hAnsi="Times New Roman" w:cs="Times New Roman"/>
          <w:sz w:val="24"/>
          <w:szCs w:val="24"/>
        </w:rPr>
        <w:t>ctures that facilitate the regeneration and incorporation of cartilage with host tissues. Such innovations are a progressive paradigm shift in the approach to treatment of arthritis and are no longer based on the management of symptoms, but rather on the b</w:t>
      </w:r>
      <w:r>
        <w:rPr>
          <w:rFonts w:ascii="Times New Roman" w:eastAsia="Times New Roman" w:hAnsi="Times New Roman" w:cs="Times New Roman"/>
          <w:sz w:val="24"/>
          <w:szCs w:val="24"/>
        </w:rPr>
        <w:t>asis of biological regeneration.</w:t>
      </w:r>
      <w:r w:rsidR="005E5713">
        <w:rPr>
          <w:rFonts w:ascii="Times New Roman" w:eastAsia="Times New Roman" w:hAnsi="Times New Roman" w:cs="Times New Roman"/>
          <w:sz w:val="24"/>
          <w:szCs w:val="24"/>
          <w:vertAlign w:val="superscript"/>
        </w:rPr>
        <w:t>6</w:t>
      </w:r>
    </w:p>
    <w:p w14:paraId="6930AA48" w14:textId="25F02E1E" w:rsidR="00ED21D7" w:rsidRPr="005E5713"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Regardless of the presented huge strides, there are still many issues that need to be resolved before the regenerative therapies can become common in clinical practice. Differences in </w:t>
      </w:r>
      <w:r>
        <w:rPr>
          <w:rFonts w:ascii="Times New Roman" w:eastAsia="Times New Roman" w:hAnsi="Times New Roman" w:cs="Times New Roman"/>
          <w:sz w:val="24"/>
          <w:szCs w:val="24"/>
        </w:rPr>
        <w:lastRenderedPageBreak/>
        <w:t xml:space="preserve">sources of cells, production methods, </w:t>
      </w:r>
      <w:r>
        <w:rPr>
          <w:rFonts w:ascii="Times New Roman" w:eastAsia="Times New Roman" w:hAnsi="Times New Roman" w:cs="Times New Roman"/>
          <w:sz w:val="24"/>
          <w:szCs w:val="24"/>
        </w:rPr>
        <w:t>methods of delivery, and measures of outcomes have added to the differences in clinical findings across studies. More so, the translation of regenerative therapies between laboratory research and common clinical application is still influenced by regulator</w:t>
      </w:r>
      <w:r>
        <w:rPr>
          <w:rFonts w:ascii="Times New Roman" w:eastAsia="Times New Roman" w:hAnsi="Times New Roman" w:cs="Times New Roman"/>
          <w:sz w:val="24"/>
          <w:szCs w:val="24"/>
        </w:rPr>
        <w:t>y considerations, safety concerns, and cost-effectiveness issues.</w:t>
      </w:r>
      <w:r w:rsidR="005E5713">
        <w:rPr>
          <w:rFonts w:ascii="Times New Roman" w:eastAsia="Times New Roman" w:hAnsi="Times New Roman" w:cs="Times New Roman"/>
          <w:sz w:val="24"/>
          <w:szCs w:val="24"/>
          <w:vertAlign w:val="superscript"/>
        </w:rPr>
        <w:t>7</w:t>
      </w:r>
      <w:r w:rsidR="00C63075">
        <w:rPr>
          <w:rFonts w:ascii="Times New Roman" w:eastAsia="Times New Roman" w:hAnsi="Times New Roman" w:cs="Times New Roman"/>
          <w:sz w:val="24"/>
          <w:szCs w:val="24"/>
          <w:vertAlign w:val="superscript"/>
        </w:rPr>
        <w:t xml:space="preserve"> </w:t>
      </w:r>
    </w:p>
    <w:p w14:paraId="02757F70" w14:textId="490730D4" w:rsidR="00F6087A"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goal of the review is to present a practical review of regenerative and cellular therapies that are used in the management of arthritis. The initial part of the article reviews the pat</w:t>
      </w:r>
      <w:r>
        <w:rPr>
          <w:rFonts w:ascii="Times New Roman" w:eastAsia="Times New Roman" w:hAnsi="Times New Roman" w:cs="Times New Roman"/>
          <w:sz w:val="24"/>
          <w:szCs w:val="24"/>
        </w:rPr>
        <w:t>hophysiology involved in the process of cartilage degeneration and tissue repair failure in arthritis. The review then covers regenerative approaches of major importance, such as mesenchymal stem cell therapies, autologous chondrocyte implantation, induced</w:t>
      </w:r>
      <w:r>
        <w:rPr>
          <w:rFonts w:ascii="Times New Roman" w:eastAsia="Times New Roman" w:hAnsi="Times New Roman" w:cs="Times New Roman"/>
          <w:sz w:val="24"/>
          <w:szCs w:val="24"/>
        </w:rPr>
        <w:t xml:space="preserve"> pluripotent stem cell-derived therapies, and emerging cell-free biologic treatments (such as platelet-rich plasma and extracellular vesicles). Developments in tissue engineering, in gene therapy, and in scaffolds of biomaterial are also examined. Lastly, </w:t>
      </w:r>
      <w:r>
        <w:rPr>
          <w:rFonts w:ascii="Times New Roman" w:eastAsia="Times New Roman" w:hAnsi="Times New Roman" w:cs="Times New Roman"/>
          <w:sz w:val="24"/>
          <w:szCs w:val="24"/>
        </w:rPr>
        <w:t>the review also identifies the existing clinical evidence, regulatory factors, and future research that are required in order to push regenerative therapies to effective clinical translation.</w:t>
      </w:r>
    </w:p>
    <w:p w14:paraId="0E4500BC" w14:textId="77777777" w:rsidR="00D500FE" w:rsidRDefault="00D500FE">
      <w:pPr>
        <w:spacing w:line="360" w:lineRule="auto"/>
        <w:jc w:val="both"/>
        <w:rPr>
          <w:rFonts w:ascii="Times New Roman" w:eastAsia="Times New Roman" w:hAnsi="Times New Roman" w:cs="Times New Roman"/>
          <w:sz w:val="24"/>
          <w:szCs w:val="24"/>
        </w:rPr>
      </w:pPr>
    </w:p>
    <w:p w14:paraId="50AFADED"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Pathophysiology Relevant to Regeneration</w:t>
      </w:r>
    </w:p>
    <w:p w14:paraId="7EB04B77"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 Cartilage Biology</w:t>
      </w:r>
      <w:r>
        <w:rPr>
          <w:rFonts w:ascii="Times New Roman" w:eastAsia="Times New Roman" w:hAnsi="Times New Roman" w:cs="Times New Roman"/>
          <w:b/>
          <w:bCs/>
          <w:sz w:val="24"/>
          <w:szCs w:val="24"/>
        </w:rPr>
        <w:t xml:space="preserve"> and Limited Intrinsic Repair Capacity</w:t>
      </w:r>
    </w:p>
    <w:p w14:paraId="4C4C036C" w14:textId="4C5D8C14" w:rsidR="00ED21D7" w:rsidRPr="00006496"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articular cartilage is a highly specialized avascular connective tissue that offers a load-bearing, low-friction surface needed in the joint. It consists of the sparse population of chondrocytes within a thick ext</w:t>
      </w:r>
      <w:r>
        <w:rPr>
          <w:rFonts w:ascii="Times New Roman" w:eastAsia="Times New Roman" w:hAnsi="Times New Roman" w:cs="Times New Roman"/>
          <w:sz w:val="24"/>
          <w:szCs w:val="24"/>
        </w:rPr>
        <w:t>racellular matrix (ECM), mostly made up of type II collagen and proteoglycans, e.g., aggrecan. The tensile strength is offered by type II collagen, whereas aggrecan, together with its connections to hyaluronic acid and water molecules, offers compressive r</w:t>
      </w:r>
      <w:r>
        <w:rPr>
          <w:rFonts w:ascii="Times New Roman" w:eastAsia="Times New Roman" w:hAnsi="Times New Roman" w:cs="Times New Roman"/>
          <w:sz w:val="24"/>
          <w:szCs w:val="24"/>
        </w:rPr>
        <w:t>esilience and shock-absorbing properties.</w:t>
      </w:r>
      <w:r w:rsidR="00006496">
        <w:rPr>
          <w:rFonts w:ascii="Times New Roman" w:eastAsia="Times New Roman" w:hAnsi="Times New Roman" w:cs="Times New Roman"/>
          <w:sz w:val="24"/>
          <w:szCs w:val="24"/>
          <w:vertAlign w:val="superscript"/>
        </w:rPr>
        <w:t>1</w:t>
      </w:r>
    </w:p>
    <w:p w14:paraId="1B2C355B"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cartilage functions of chondrocytes are to ensure cartilage homeostasis through the balancing of anabolic and catabolic processes within the ECM. These cells, under physiological conditions, control the production of the matrix components, as well as t</w:t>
      </w:r>
      <w:r>
        <w:rPr>
          <w:rFonts w:ascii="Times New Roman" w:eastAsia="Times New Roman" w:hAnsi="Times New Roman" w:cs="Times New Roman"/>
          <w:sz w:val="24"/>
          <w:szCs w:val="24"/>
        </w:rPr>
        <w:t xml:space="preserve">heir breakdown via highly regulated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xml:space="preserve"> systems. Nevertheless, chondrocytes have low potential for proliferation as well as are metabolically less active than other cells, and this is attributed to the avascular and hypoxic environment of cartilage t</w:t>
      </w:r>
      <w:r>
        <w:rPr>
          <w:rFonts w:ascii="Times New Roman" w:eastAsia="Times New Roman" w:hAnsi="Times New Roman" w:cs="Times New Roman"/>
          <w:sz w:val="24"/>
          <w:szCs w:val="24"/>
        </w:rPr>
        <w:t>issue to a great extent.</w:t>
      </w:r>
    </w:p>
    <w:p w14:paraId="0A07A5D9"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inherent repair potential of cartilage is one of the primary issues of the cartilage re-repair process. Cartilage does not have a direct blood supply, unlike in the vascularized tissues, and </w:t>
      </w:r>
      <w:r>
        <w:rPr>
          <w:rFonts w:ascii="Times New Roman" w:eastAsia="Times New Roman" w:hAnsi="Times New Roman" w:cs="Times New Roman"/>
          <w:sz w:val="24"/>
          <w:szCs w:val="24"/>
        </w:rPr>
        <w:lastRenderedPageBreak/>
        <w:t>this limits the ability of the tissu</w:t>
      </w:r>
      <w:r>
        <w:rPr>
          <w:rFonts w:ascii="Times New Roman" w:eastAsia="Times New Roman" w:hAnsi="Times New Roman" w:cs="Times New Roman"/>
          <w:sz w:val="24"/>
          <w:szCs w:val="24"/>
        </w:rPr>
        <w:t xml:space="preserve">e to recruit reparative cells as well as the supply of nutrients to repair the tissue. After injury or degeneration, the chondrocytes do not respond with a sufficient regenerative process; in many cases, the response supplied is the fibrocartilage instead </w:t>
      </w:r>
      <w:r>
        <w:rPr>
          <w:rFonts w:ascii="Times New Roman" w:eastAsia="Times New Roman" w:hAnsi="Times New Roman" w:cs="Times New Roman"/>
          <w:sz w:val="24"/>
          <w:szCs w:val="24"/>
        </w:rPr>
        <w:t>of the native cartilage hyaline. Fibrocartilage is less mechanical and prone to degeneration of the joint later responsible for the development of the disease.</w:t>
      </w:r>
    </w:p>
    <w:p w14:paraId="62723BBD"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 Inflammatory Microenvironment in Osteoarthritis and Rheumatoid Arthritis</w:t>
      </w:r>
    </w:p>
    <w:p w14:paraId="536AAD8E"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Inflammatory environment of the joint is one of the core factors of arthritis development, and the outcomes of regeneration are highly dependent on it. In osteoarthritis, inflammation is of low grade, though chronic, and is caused by mechanical stressors, </w:t>
      </w:r>
      <w:r>
        <w:rPr>
          <w:rFonts w:ascii="Times New Roman" w:eastAsia="Times New Roman" w:hAnsi="Times New Roman" w:cs="Times New Roman"/>
          <w:sz w:val="24"/>
          <w:szCs w:val="24"/>
        </w:rPr>
        <w:t xml:space="preserve">aging, and metabolic factors. Pro-inflammatory cytokines, including interleukin-1, interleukin-1beta (IL-1 2),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necrosis factor-alpha (TNF- 2), and interleukin-6, produced by chondrocytes and synovial cells, interfere with the homeostasis of the carti</w:t>
      </w:r>
      <w:r>
        <w:rPr>
          <w:rFonts w:ascii="Times New Roman" w:eastAsia="Times New Roman" w:hAnsi="Times New Roman" w:cs="Times New Roman"/>
          <w:sz w:val="24"/>
          <w:szCs w:val="24"/>
        </w:rPr>
        <w:t xml:space="preserve">lage. These cytokines provoke the synthesis of the matrix-degrading enzymes, such as matrix metalloproteinases (MMPs) and </w:t>
      </w:r>
      <w:proofErr w:type="spellStart"/>
      <w:r>
        <w:rPr>
          <w:rFonts w:ascii="Times New Roman" w:eastAsia="Times New Roman" w:hAnsi="Times New Roman" w:cs="Times New Roman"/>
          <w:sz w:val="24"/>
          <w:szCs w:val="24"/>
        </w:rPr>
        <w:t>aggrecanases</w:t>
      </w:r>
      <w:proofErr w:type="spellEnd"/>
      <w:r>
        <w:rPr>
          <w:rFonts w:ascii="Times New Roman" w:eastAsia="Times New Roman" w:hAnsi="Times New Roman" w:cs="Times New Roman"/>
          <w:sz w:val="24"/>
          <w:szCs w:val="24"/>
        </w:rPr>
        <w:t xml:space="preserve"> (ADAMTS), which cause the progressive degeneration of the ECM.</w:t>
      </w:r>
      <w:r>
        <w:rPr>
          <w:rFonts w:ascii="Times New Roman" w:eastAsia="Times New Roman" w:hAnsi="Times New Roman" w:cs="Times New Roman"/>
          <w:sz w:val="24"/>
          <w:szCs w:val="24"/>
          <w:vertAlign w:val="superscript"/>
        </w:rPr>
        <w:t>4</w:t>
      </w:r>
    </w:p>
    <w:p w14:paraId="3E911001"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Also, the presence of synovial inflammation (synovitis) i</w:t>
      </w:r>
      <w:r>
        <w:rPr>
          <w:rFonts w:ascii="Times New Roman" w:eastAsia="Times New Roman" w:hAnsi="Times New Roman" w:cs="Times New Roman"/>
          <w:sz w:val="24"/>
          <w:szCs w:val="24"/>
        </w:rPr>
        <w:t xml:space="preserve">s a factor causing the development of the disease through the release of inflammatory mediators and catabolic factors into the joint space. The further alteration of the joint biomechanics is associated with subchondral bone </w:t>
      </w:r>
      <w:proofErr w:type="spellStart"/>
      <w:r>
        <w:rPr>
          <w:rFonts w:ascii="Times New Roman" w:eastAsia="Times New Roman" w:hAnsi="Times New Roman" w:cs="Times New Roman"/>
          <w:sz w:val="24"/>
          <w:szCs w:val="24"/>
        </w:rPr>
        <w:t>remodeling</w:t>
      </w:r>
      <w:proofErr w:type="spellEnd"/>
      <w:r>
        <w:rPr>
          <w:rFonts w:ascii="Times New Roman" w:eastAsia="Times New Roman" w:hAnsi="Times New Roman" w:cs="Times New Roman"/>
          <w:sz w:val="24"/>
          <w:szCs w:val="24"/>
        </w:rPr>
        <w:t xml:space="preserve"> that is characterize</w:t>
      </w:r>
      <w:r>
        <w:rPr>
          <w:rFonts w:ascii="Times New Roman" w:eastAsia="Times New Roman" w:hAnsi="Times New Roman" w:cs="Times New Roman"/>
          <w:sz w:val="24"/>
          <w:szCs w:val="24"/>
        </w:rPr>
        <w:t>d by sclerosis and osteophyte formation, worsening cartilage degeneration.</w:t>
      </w:r>
      <w:r>
        <w:rPr>
          <w:rFonts w:ascii="Times New Roman" w:eastAsia="Times New Roman" w:hAnsi="Times New Roman" w:cs="Times New Roman"/>
          <w:sz w:val="24"/>
          <w:szCs w:val="24"/>
          <w:vertAlign w:val="superscript"/>
        </w:rPr>
        <w:t>5</w:t>
      </w:r>
    </w:p>
    <w:p w14:paraId="5E1FD406"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Conversely, rheumatoid arthritis is marked by an extraordinarily inflammatory and autoimmune condition. The activated immune cells, consisting of T lymphocytes, B cells, and macrop</w:t>
      </w:r>
      <w:r>
        <w:rPr>
          <w:rFonts w:ascii="Times New Roman" w:eastAsia="Times New Roman" w:hAnsi="Times New Roman" w:cs="Times New Roman"/>
          <w:sz w:val="24"/>
          <w:szCs w:val="24"/>
        </w:rPr>
        <w:t>hages, enter the synovium and release large quantities of pro-inflammatory cytokines like TNF-alpha, IL-1 beta, and IL-6. This causes synovial hyperplasia and the proliferation of pannus tissue, which eats away and destroys cartilage and subchondral bone.</w:t>
      </w:r>
      <w:r>
        <w:rPr>
          <w:rFonts w:ascii="Times New Roman" w:eastAsia="Times New Roman" w:hAnsi="Times New Roman" w:cs="Times New Roman"/>
          <w:sz w:val="24"/>
          <w:szCs w:val="24"/>
          <w:vertAlign w:val="superscript"/>
        </w:rPr>
        <w:t>6</w:t>
      </w:r>
    </w:p>
    <w:p w14:paraId="0615C5F9" w14:textId="77777777" w:rsidR="00ED21D7" w:rsidRDefault="003F3C38">
      <w:pPr>
        <w:spacing w:line="360" w:lineRule="auto"/>
        <w:jc w:val="both"/>
        <w:rPr>
          <w:rFonts w:ascii="Times New Roman" w:eastAsia="Times New Roman" w:hAnsi="Times New Roman" w:cs="Times New Roman"/>
          <w:b/>
          <w:bCs/>
          <w:sz w:val="24"/>
          <w:szCs w:val="24"/>
          <w:vertAlign w:val="superscript"/>
        </w:rPr>
      </w:pPr>
      <w:r>
        <w:rPr>
          <w:rFonts w:ascii="Times New Roman" w:eastAsia="Times New Roman" w:hAnsi="Times New Roman" w:cs="Times New Roman"/>
          <w:sz w:val="24"/>
          <w:szCs w:val="24"/>
        </w:rPr>
        <w:t>It is the unresolvable presence of an inflammatory environment in both OA and RA that provides a hostile microenvironment that hinders tissue regeneration. Not only do pro-inflammatory cytokines stimulate the process of degrading the matrix, but they also</w:t>
      </w:r>
      <w:r>
        <w:rPr>
          <w:rFonts w:ascii="Times New Roman" w:eastAsia="Times New Roman" w:hAnsi="Times New Roman" w:cs="Times New Roman"/>
          <w:sz w:val="24"/>
          <w:szCs w:val="24"/>
        </w:rPr>
        <w:t xml:space="preserve"> suppress the processes of anabolic activity, cancer vitalization of chondrocytes, as well as the actions of regenerative cells such as mesenchymal stem cells.</w:t>
      </w:r>
      <w:r>
        <w:rPr>
          <w:rFonts w:ascii="Times New Roman" w:eastAsia="Times New Roman" w:hAnsi="Times New Roman" w:cs="Times New Roman"/>
          <w:sz w:val="24"/>
          <w:szCs w:val="24"/>
          <w:vertAlign w:val="superscript"/>
        </w:rPr>
        <w:t>7</w:t>
      </w:r>
    </w:p>
    <w:p w14:paraId="0C588221"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 Impaired Progenitor Cell Response, Senescence, and Oxidative Stress</w:t>
      </w:r>
    </w:p>
    <w:p w14:paraId="3A84E6F5"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lastRenderedPageBreak/>
        <w:t>Dysfunction of endogen</w:t>
      </w:r>
      <w:r>
        <w:rPr>
          <w:rFonts w:ascii="Times New Roman" w:eastAsia="Times New Roman" w:hAnsi="Times New Roman" w:cs="Times New Roman"/>
          <w:sz w:val="24"/>
          <w:szCs w:val="24"/>
        </w:rPr>
        <w:t>ous progenitor cells is another negative factor that causes cartilage regeneration to be ineffective. Mesenchymal progenitor cells that inhabit the synovium, bone marrow, and cartilage can differentiate into chondrocytes and contribute to the repair of the</w:t>
      </w:r>
      <w:r>
        <w:rPr>
          <w:rFonts w:ascii="Times New Roman" w:eastAsia="Times New Roman" w:hAnsi="Times New Roman" w:cs="Times New Roman"/>
          <w:sz w:val="24"/>
          <w:szCs w:val="24"/>
        </w:rPr>
        <w:t xml:space="preserve"> tissues. Nevertheless, they are greatly impaired in arthritic diseases.</w:t>
      </w:r>
      <w:r>
        <w:rPr>
          <w:rFonts w:ascii="Times New Roman" w:eastAsia="Times New Roman" w:hAnsi="Times New Roman" w:cs="Times New Roman"/>
          <w:sz w:val="24"/>
          <w:szCs w:val="24"/>
          <w:vertAlign w:val="superscript"/>
        </w:rPr>
        <w:t>8</w:t>
      </w:r>
    </w:p>
    <w:p w14:paraId="179D1CF9"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This impairment significantly depends on cellular senescence. During aging and chronic inflammation, senescent cells accumulate and have a senescence-associated secretory phenotype (</w:t>
      </w:r>
      <w:r>
        <w:rPr>
          <w:rFonts w:ascii="Times New Roman" w:eastAsia="Times New Roman" w:hAnsi="Times New Roman" w:cs="Times New Roman"/>
          <w:sz w:val="24"/>
          <w:szCs w:val="24"/>
        </w:rPr>
        <w:t>SASP), which is the release of pro-inflammatory cytokines, proteases, and growth factors. These elements continue to cause inflammation and continue to suppress the processes of tissue repair.</w:t>
      </w:r>
      <w:r>
        <w:rPr>
          <w:rFonts w:ascii="Times New Roman" w:eastAsia="Times New Roman" w:hAnsi="Times New Roman" w:cs="Times New Roman"/>
          <w:sz w:val="24"/>
          <w:szCs w:val="24"/>
          <w:vertAlign w:val="superscript"/>
        </w:rPr>
        <w:t>9</w:t>
      </w:r>
    </w:p>
    <w:p w14:paraId="016D3961"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Another important factor in the analysis of impaired regenerat</w:t>
      </w:r>
      <w:r>
        <w:rPr>
          <w:rFonts w:ascii="Times New Roman" w:eastAsia="Times New Roman" w:hAnsi="Times New Roman" w:cs="Times New Roman"/>
          <w:sz w:val="24"/>
          <w:szCs w:val="24"/>
        </w:rPr>
        <w:t>ion is oxidative stress. Reactive oxygen species that develop in chronic inflammation have the potential to cause functional degradation of cellular components, such as DNA, proteins, and lipids, which results in apoptosis of chondrocytes and inhibition of</w:t>
      </w:r>
      <w:r>
        <w:rPr>
          <w:rFonts w:ascii="Times New Roman" w:eastAsia="Times New Roman" w:hAnsi="Times New Roman" w:cs="Times New Roman"/>
          <w:sz w:val="24"/>
          <w:szCs w:val="24"/>
        </w:rPr>
        <w:t xml:space="preserve"> matrix production.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xml:space="preserve"> pathways related to stem cell survival and differentiation are also disrupted by oxidative stress, which is yet another restriction of regenerative potential.</w:t>
      </w:r>
      <w:r>
        <w:rPr>
          <w:rFonts w:ascii="Times New Roman" w:eastAsia="Times New Roman" w:hAnsi="Times New Roman" w:cs="Times New Roman"/>
          <w:sz w:val="24"/>
          <w:szCs w:val="24"/>
          <w:vertAlign w:val="superscript"/>
        </w:rPr>
        <w:t>10</w:t>
      </w:r>
    </w:p>
    <w:p w14:paraId="563EE533"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Senescence, oxidative stress, and chronic inflammation form a fee</w:t>
      </w:r>
      <w:r>
        <w:rPr>
          <w:rFonts w:ascii="Times New Roman" w:eastAsia="Times New Roman" w:hAnsi="Times New Roman" w:cs="Times New Roman"/>
          <w:sz w:val="24"/>
          <w:szCs w:val="24"/>
        </w:rPr>
        <w:t>dback loop and contribute to cartilage degeneration, making regeneration impossible. All these aspects need to be considered in order to obtain significant clinical results with regenerative therapies.</w:t>
      </w:r>
    </w:p>
    <w:p w14:paraId="45EBC0C0" w14:textId="77777777" w:rsidR="00ED21D7" w:rsidRDefault="00ED21D7">
      <w:pPr>
        <w:spacing w:line="360" w:lineRule="auto"/>
        <w:jc w:val="both"/>
        <w:rPr>
          <w:rFonts w:ascii="Times New Roman" w:eastAsia="Times New Roman" w:hAnsi="Times New Roman" w:cs="Times New Roman"/>
          <w:b/>
          <w:bCs/>
          <w:sz w:val="24"/>
          <w:szCs w:val="24"/>
        </w:rPr>
      </w:pPr>
    </w:p>
    <w:p w14:paraId="004E6849"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 Biomarkers and Imaging Endpoints for Regenerativ</w:t>
      </w:r>
      <w:r>
        <w:rPr>
          <w:rFonts w:ascii="Times New Roman" w:eastAsia="Times New Roman" w:hAnsi="Times New Roman" w:cs="Times New Roman"/>
          <w:b/>
          <w:bCs/>
          <w:sz w:val="24"/>
          <w:szCs w:val="24"/>
        </w:rPr>
        <w:t>e Outcomes</w:t>
      </w:r>
    </w:p>
    <w:p w14:paraId="5B036686"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Regenerative therapies in arthritis have to be evaluated using several effective biomarkers and sophisticated imaging to measure the structural and functional outcomes. Conventional clinical outcome measures, including pain and functional measur</w:t>
      </w:r>
      <w:r>
        <w:rPr>
          <w:rFonts w:ascii="Times New Roman" w:eastAsia="Times New Roman" w:hAnsi="Times New Roman" w:cs="Times New Roman"/>
          <w:sz w:val="24"/>
          <w:szCs w:val="24"/>
        </w:rPr>
        <w:t>es, are not adequate for measuring early cartilage regeneration changes.</w:t>
      </w:r>
    </w:p>
    <w:p w14:paraId="2C8110C1"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Cartilage metabolic biomarkers, including cartilage oligomeric matrix protein (COMP), C-terminal telopeptide of type II collagen (CTX-II), aggrecan fragments, etc are becoming more co</w:t>
      </w:r>
      <w:r>
        <w:rPr>
          <w:rFonts w:ascii="Times New Roman" w:eastAsia="Times New Roman" w:hAnsi="Times New Roman" w:cs="Times New Roman"/>
          <w:sz w:val="24"/>
          <w:szCs w:val="24"/>
        </w:rPr>
        <w:t xml:space="preserve">mmonly applied to measure disease progression and therapeutic response. Biomarkers of inflammation, such as cytokines (IL-1 2 TNF- </w:t>
      </w:r>
      <w:proofErr w:type="gramStart"/>
      <w:r>
        <w:rPr>
          <w:rFonts w:ascii="Times New Roman" w:eastAsia="Times New Roman" w:hAnsi="Times New Roman" w:cs="Times New Roman"/>
          <w:sz w:val="24"/>
          <w:szCs w:val="24"/>
        </w:rPr>
        <w:t>6 )</w:t>
      </w:r>
      <w:proofErr w:type="gramEnd"/>
      <w:r>
        <w:rPr>
          <w:rFonts w:ascii="Times New Roman" w:eastAsia="Times New Roman" w:hAnsi="Times New Roman" w:cs="Times New Roman"/>
          <w:sz w:val="24"/>
          <w:szCs w:val="24"/>
        </w:rPr>
        <w:t>, can also be used to give a clue to the state of inflammation within the joint environment.</w:t>
      </w:r>
      <w:r>
        <w:rPr>
          <w:rFonts w:ascii="Times New Roman" w:eastAsia="Times New Roman" w:hAnsi="Times New Roman" w:cs="Times New Roman"/>
          <w:sz w:val="24"/>
          <w:szCs w:val="24"/>
          <w:vertAlign w:val="superscript"/>
        </w:rPr>
        <w:t>11</w:t>
      </w:r>
    </w:p>
    <w:p w14:paraId="6E6C7774" w14:textId="4ECAC472"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High imaging modalities, es</w:t>
      </w:r>
      <w:r>
        <w:rPr>
          <w:rFonts w:ascii="Times New Roman" w:eastAsia="Times New Roman" w:hAnsi="Times New Roman" w:cs="Times New Roman"/>
          <w:sz w:val="24"/>
          <w:szCs w:val="24"/>
        </w:rPr>
        <w:t>pecially magnetic resonance imaging (MRI), are important in determining the integrity and regeneration of the cartilage. T2 mapping and delayed Gadolinium-enhanced MRI of cartilage (</w:t>
      </w:r>
      <w:proofErr w:type="spellStart"/>
      <w:r>
        <w:rPr>
          <w:rFonts w:ascii="Times New Roman" w:eastAsia="Times New Roman" w:hAnsi="Times New Roman" w:cs="Times New Roman"/>
          <w:sz w:val="24"/>
          <w:szCs w:val="24"/>
        </w:rPr>
        <w:t>dGEMRIC</w:t>
      </w:r>
      <w:proofErr w:type="spellEnd"/>
      <w:r>
        <w:rPr>
          <w:rFonts w:ascii="Times New Roman" w:eastAsia="Times New Roman" w:hAnsi="Times New Roman" w:cs="Times New Roman"/>
          <w:sz w:val="24"/>
          <w:szCs w:val="24"/>
        </w:rPr>
        <w:t>) are methods that can be used to quantitatively assess cartilage s</w:t>
      </w:r>
      <w:r>
        <w:rPr>
          <w:rFonts w:ascii="Times New Roman" w:eastAsia="Times New Roman" w:hAnsi="Times New Roman" w:cs="Times New Roman"/>
          <w:sz w:val="24"/>
          <w:szCs w:val="24"/>
        </w:rPr>
        <w:t>tructure, like collagen arrangement and glycosaminoglycan levels. These techniques offer sensitive and non-invasive sensors to track the structural changes after regenerative therapies.</w:t>
      </w:r>
      <w:r w:rsidR="00F6087A">
        <w:rPr>
          <w:rFonts w:ascii="Times New Roman" w:eastAsia="Times New Roman" w:hAnsi="Times New Roman" w:cs="Times New Roman"/>
          <w:sz w:val="24"/>
          <w:szCs w:val="24"/>
          <w:vertAlign w:val="superscript"/>
        </w:rPr>
        <w:t>12</w:t>
      </w:r>
    </w:p>
    <w:p w14:paraId="522F97F3"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Besides that, innovative imaging technologies and biomarkers of the </w:t>
      </w:r>
      <w:r>
        <w:rPr>
          <w:rFonts w:ascii="Times New Roman" w:eastAsia="Times New Roman" w:hAnsi="Times New Roman" w:cs="Times New Roman"/>
          <w:sz w:val="24"/>
          <w:szCs w:val="24"/>
        </w:rPr>
        <w:t>molecules are under development and have the potential to give more specific and early information about the regenerative results. Yet, the non-standardized nature of endpoints in clinical studies is a significant issue, and it increases the variability of</w:t>
      </w:r>
      <w:r>
        <w:rPr>
          <w:rFonts w:ascii="Times New Roman" w:eastAsia="Times New Roman" w:hAnsi="Times New Roman" w:cs="Times New Roman"/>
          <w:sz w:val="24"/>
          <w:szCs w:val="24"/>
        </w:rPr>
        <w:t xml:space="preserve"> outcomes reported and the limitation to the comparability of various regenerative treatments.</w:t>
      </w:r>
    </w:p>
    <w:p w14:paraId="06E51408"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Cellular Therapies in Arthritis</w:t>
      </w:r>
    </w:p>
    <w:p w14:paraId="1D3E26B7"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 Mesenchymal Stromal/Stem Cells (MSCs)</w:t>
      </w:r>
    </w:p>
    <w:p w14:paraId="745FE99C"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Sources and Biological Variability</w:t>
      </w:r>
    </w:p>
    <w:p w14:paraId="1E91E92E" w14:textId="782F6C30" w:rsidR="00ED21D7" w:rsidRPr="00F6087A"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The mesenchymal stromal/stem cell (MSCs) are </w:t>
      </w:r>
      <w:r>
        <w:rPr>
          <w:rFonts w:ascii="Times New Roman" w:eastAsia="Times New Roman" w:hAnsi="Times New Roman" w:cs="Times New Roman"/>
          <w:sz w:val="24"/>
          <w:szCs w:val="24"/>
        </w:rPr>
        <w:t xml:space="preserve">multifunctional progenitors, which can develop into chondrocytes, osteoblasts, and adipocytes; thus, the claim is that it plays the key role in the regenerative approach to arthritis. Several sources of MSCs have been found in bone marrow, adipose tissue, </w:t>
      </w:r>
      <w:r>
        <w:rPr>
          <w:rFonts w:ascii="Times New Roman" w:eastAsia="Times New Roman" w:hAnsi="Times New Roman" w:cs="Times New Roman"/>
          <w:sz w:val="24"/>
          <w:szCs w:val="24"/>
        </w:rPr>
        <w:t>synovium, umbilical cord, and placenta, among others, that have varied biological properties.</w:t>
      </w:r>
      <w:r w:rsidR="00F6087A">
        <w:rPr>
          <w:rFonts w:ascii="Times New Roman" w:eastAsia="Times New Roman" w:hAnsi="Times New Roman" w:cs="Times New Roman"/>
          <w:sz w:val="24"/>
          <w:szCs w:val="24"/>
          <w:vertAlign w:val="superscript"/>
        </w:rPr>
        <w:t>13</w:t>
      </w:r>
    </w:p>
    <w:p w14:paraId="5EAB4594" w14:textId="442554DF" w:rsidR="00ED21D7" w:rsidRPr="00F6087A"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bone marrow-derived MSCs (BM-MSCs) represent the best-investigated and have been shown to have high chondrogenic potential, although the yield is relatively</w:t>
      </w:r>
      <w:r>
        <w:rPr>
          <w:rFonts w:ascii="Times New Roman" w:eastAsia="Times New Roman" w:hAnsi="Times New Roman" w:cs="Times New Roman"/>
          <w:sz w:val="24"/>
          <w:szCs w:val="24"/>
        </w:rPr>
        <w:t xml:space="preserve"> low as age advances. By contrast, the adipose-derived MSCs (AD-MSCs) have a better yield of cells and simpler accessibility, but can potentially have a lower chondrogenic differentiation potential. The MSCs derived from synovium are gaining more acceptanc</w:t>
      </w:r>
      <w:r>
        <w:rPr>
          <w:rFonts w:ascii="Times New Roman" w:eastAsia="Times New Roman" w:hAnsi="Times New Roman" w:cs="Times New Roman"/>
          <w:sz w:val="24"/>
          <w:szCs w:val="24"/>
        </w:rPr>
        <w:t xml:space="preserve">e as having a high proliferative capacity and chondrogenic potential, and thus are more desirable as applied in cartilage repair studies. Sources of MSCs during perinatal development, such as the umbilical cord and placenta, have benefits, such as greater </w:t>
      </w:r>
      <w:r>
        <w:rPr>
          <w:rFonts w:ascii="Times New Roman" w:eastAsia="Times New Roman" w:hAnsi="Times New Roman" w:cs="Times New Roman"/>
          <w:sz w:val="24"/>
          <w:szCs w:val="24"/>
        </w:rPr>
        <w:t>proliferative power, reduced immunogenicity, and the potential to be used allogeneically.</w:t>
      </w:r>
      <w:r w:rsidR="00F6087A">
        <w:rPr>
          <w:rFonts w:ascii="Times New Roman" w:eastAsia="Times New Roman" w:hAnsi="Times New Roman" w:cs="Times New Roman"/>
          <w:sz w:val="24"/>
          <w:szCs w:val="24"/>
          <w:vertAlign w:val="superscript"/>
        </w:rPr>
        <w:t>14</w:t>
      </w:r>
    </w:p>
    <w:p w14:paraId="6B991D9F"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heterogeneity in MSC sources is a positive factor associated with the variability of the therapeutic outcome of the findings because it affects the phenotype of</w:t>
      </w:r>
      <w:r>
        <w:rPr>
          <w:rFonts w:ascii="Times New Roman" w:eastAsia="Times New Roman" w:hAnsi="Times New Roman" w:cs="Times New Roman"/>
          <w:sz w:val="24"/>
          <w:szCs w:val="24"/>
        </w:rPr>
        <w:t xml:space="preserve"> cells, their </w:t>
      </w:r>
      <w:r>
        <w:rPr>
          <w:rFonts w:ascii="Times New Roman" w:eastAsia="Times New Roman" w:hAnsi="Times New Roman" w:cs="Times New Roman"/>
          <w:sz w:val="24"/>
          <w:szCs w:val="24"/>
        </w:rPr>
        <w:lastRenderedPageBreak/>
        <w:t>differentiation capacities, the secretory profiles, and the heterogeneity of the regenerative potential.</w:t>
      </w:r>
    </w:p>
    <w:p w14:paraId="6C125B50"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Mechanisms of Action</w:t>
      </w:r>
    </w:p>
    <w:p w14:paraId="17460453" w14:textId="6735D5E3"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Even though MSCs have the potential to differentiate, their therapeutic actions in arthritis are now realized to be </w:t>
      </w:r>
      <w:r>
        <w:rPr>
          <w:rFonts w:ascii="Times New Roman" w:eastAsia="Times New Roman" w:hAnsi="Times New Roman" w:cs="Times New Roman"/>
          <w:sz w:val="24"/>
          <w:szCs w:val="24"/>
        </w:rPr>
        <w:t xml:space="preserve">controlled by paracrine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xml:space="preserve"> in most cases, and not by direct replacement of tissue. MSCs release a plethora of trophic signals, cytokines, and extracellular vesicles that regulate the local microenvironment and trigger tissue regeneration.</w:t>
      </w:r>
      <w:r>
        <w:rPr>
          <w:rFonts w:ascii="Times New Roman" w:eastAsia="Times New Roman" w:hAnsi="Times New Roman" w:cs="Times New Roman"/>
          <w:sz w:val="24"/>
          <w:szCs w:val="24"/>
          <w:vertAlign w:val="superscript"/>
        </w:rPr>
        <w:t>15</w:t>
      </w:r>
    </w:p>
    <w:p w14:paraId="7420AC28"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Immunomo</w:t>
      </w:r>
      <w:r>
        <w:rPr>
          <w:rFonts w:ascii="Times New Roman" w:eastAsia="Times New Roman" w:hAnsi="Times New Roman" w:cs="Times New Roman"/>
          <w:sz w:val="24"/>
          <w:szCs w:val="24"/>
        </w:rPr>
        <w:t>dulation is a major process through which MSCs act. MSCs also engage with the innate and adaptive immune system and inhibit T cell proliferation, B cell activation, and induce macrophages to adopt an anti-inflammatory M2 phenotype. These are mediated by so</w:t>
      </w:r>
      <w:r>
        <w:rPr>
          <w:rFonts w:ascii="Times New Roman" w:eastAsia="Times New Roman" w:hAnsi="Times New Roman" w:cs="Times New Roman"/>
          <w:sz w:val="24"/>
          <w:szCs w:val="24"/>
        </w:rPr>
        <w:t xml:space="preserve">luble factors including transforming growth factor- 2 (TGF- </w:t>
      </w:r>
      <w:proofErr w:type="gramStart"/>
      <w:r>
        <w:rPr>
          <w:rFonts w:ascii="Times New Roman" w:eastAsia="Times New Roman" w:hAnsi="Times New Roman" w:cs="Times New Roman"/>
          <w:sz w:val="24"/>
          <w:szCs w:val="24"/>
        </w:rPr>
        <w:t>2 )</w:t>
      </w:r>
      <w:proofErr w:type="gramEnd"/>
      <w:r>
        <w:rPr>
          <w:rFonts w:ascii="Times New Roman" w:eastAsia="Times New Roman" w:hAnsi="Times New Roman" w:cs="Times New Roman"/>
          <w:sz w:val="24"/>
          <w:szCs w:val="24"/>
        </w:rPr>
        <w:t>, prostaglandin E2 (PGE2), and indoleamine, 2,3-dioxylase (IDO).</w:t>
      </w:r>
      <w:r>
        <w:rPr>
          <w:rFonts w:ascii="Times New Roman" w:eastAsia="Times New Roman" w:hAnsi="Times New Roman" w:cs="Times New Roman"/>
          <w:sz w:val="24"/>
          <w:szCs w:val="24"/>
          <w:vertAlign w:val="superscript"/>
        </w:rPr>
        <w:t>16</w:t>
      </w:r>
    </w:p>
    <w:p w14:paraId="49FDA5D5" w14:textId="21F9BF34" w:rsidR="009903DE"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MSCs are also involved in the remodelling of the extracellular matrix by increasing anabolic activities and suppressing ca</w:t>
      </w:r>
      <w:r>
        <w:rPr>
          <w:rFonts w:ascii="Times New Roman" w:eastAsia="Times New Roman" w:hAnsi="Times New Roman" w:cs="Times New Roman"/>
          <w:sz w:val="24"/>
          <w:szCs w:val="24"/>
        </w:rPr>
        <w:t>tabolic activities. They deactivate matrix metalloproteinases and enhance the production of collagen type II and proteoglycans, which help to repair cartilage. Moreover, MSC-derived extracellular vesicles are highly important in the transfer of bioactive m</w:t>
      </w:r>
      <w:r>
        <w:rPr>
          <w:rFonts w:ascii="Times New Roman" w:eastAsia="Times New Roman" w:hAnsi="Times New Roman" w:cs="Times New Roman"/>
          <w:sz w:val="24"/>
          <w:szCs w:val="24"/>
        </w:rPr>
        <w:t>olecules (such as microRNAs) that mediate the regulation of gene expression in target cells.</w:t>
      </w:r>
      <w:r>
        <w:rPr>
          <w:rFonts w:ascii="Times New Roman" w:eastAsia="Times New Roman" w:hAnsi="Times New Roman" w:cs="Times New Roman"/>
          <w:sz w:val="24"/>
          <w:szCs w:val="24"/>
          <w:vertAlign w:val="superscript"/>
        </w:rPr>
        <w:t>17</w:t>
      </w:r>
    </w:p>
    <w:p w14:paraId="10DB50F7" w14:textId="0A25B1BD" w:rsidR="009903DE" w:rsidRPr="009903DE" w:rsidRDefault="009903DE" w:rsidP="009903DE">
      <w:pPr>
        <w:pStyle w:val="NoSpacing"/>
        <w:jc w:val="center"/>
        <w:rPr>
          <w:rFonts w:ascii="Times New Roman" w:hAnsi="Times New Roman" w:cs="Times New Roman"/>
          <w:sz w:val="24"/>
          <w:szCs w:val="24"/>
          <w:vertAlign w:val="superscript"/>
        </w:rPr>
      </w:pPr>
      <w:r w:rsidRPr="009903DE">
        <w:rPr>
          <w:rFonts w:ascii="Times New Roman" w:hAnsi="Times New Roman" w:cs="Times New Roman"/>
          <w:noProof/>
          <w:sz w:val="24"/>
          <w:szCs w:val="24"/>
          <w:vertAlign w:val="superscript"/>
        </w:rPr>
        <w:drawing>
          <wp:inline distT="0" distB="0" distL="0" distR="0" wp14:anchorId="2D44685D" wp14:editId="42B98889">
            <wp:extent cx="5657850" cy="3078480"/>
            <wp:effectExtent l="19050" t="19050" r="19050"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351" b="7657"/>
                    <a:stretch/>
                  </pic:blipFill>
                  <pic:spPr bwMode="auto">
                    <a:xfrm>
                      <a:off x="0" y="0"/>
                      <a:ext cx="5667897" cy="3083947"/>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7F31661D" w14:textId="0CF369F5" w:rsidR="009903DE" w:rsidRPr="00006496" w:rsidRDefault="009903DE" w:rsidP="009903DE">
      <w:pPr>
        <w:pStyle w:val="NoSpacing"/>
        <w:jc w:val="center"/>
        <w:rPr>
          <w:rFonts w:ascii="Times New Roman" w:hAnsi="Times New Roman" w:cs="Times New Roman"/>
          <w:sz w:val="24"/>
          <w:szCs w:val="24"/>
        </w:rPr>
      </w:pPr>
      <w:r w:rsidRPr="00006496">
        <w:rPr>
          <w:rFonts w:ascii="Times New Roman" w:hAnsi="Times New Roman" w:cs="Times New Roman"/>
          <w:sz w:val="24"/>
          <w:szCs w:val="24"/>
        </w:rPr>
        <w:t>Figure 1: Mechanisms of action of MSCs</w:t>
      </w:r>
    </w:p>
    <w:p w14:paraId="4411EAC1" w14:textId="77777777" w:rsidR="009903DE" w:rsidRDefault="009903DE" w:rsidP="009903DE">
      <w:pPr>
        <w:pStyle w:val="NoSpacing"/>
        <w:jc w:val="center"/>
      </w:pPr>
    </w:p>
    <w:p w14:paraId="60D9CD53" w14:textId="5560D753"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lastRenderedPageBreak/>
        <w:t xml:space="preserve">It is shown that in preclinical models, the MSCs can home to an injured site; nevertheless, when these cells are </w:t>
      </w:r>
      <w:r>
        <w:rPr>
          <w:rFonts w:ascii="Times New Roman" w:eastAsia="Times New Roman" w:hAnsi="Times New Roman" w:cs="Times New Roman"/>
          <w:sz w:val="24"/>
          <w:szCs w:val="24"/>
        </w:rPr>
        <w:t>administered intra-</w:t>
      </w:r>
      <w:proofErr w:type="spellStart"/>
      <w:r>
        <w:rPr>
          <w:rFonts w:ascii="Times New Roman" w:eastAsia="Times New Roman" w:hAnsi="Times New Roman" w:cs="Times New Roman"/>
          <w:sz w:val="24"/>
          <w:szCs w:val="24"/>
        </w:rPr>
        <w:t>articularly</w:t>
      </w:r>
      <w:proofErr w:type="spellEnd"/>
      <w:r>
        <w:rPr>
          <w:rFonts w:ascii="Times New Roman" w:eastAsia="Times New Roman" w:hAnsi="Times New Roman" w:cs="Times New Roman"/>
          <w:sz w:val="24"/>
          <w:szCs w:val="24"/>
        </w:rPr>
        <w:t>, they act only on a local scale. This reduced survival of the MSCs in the joint also suggests that it is temporary paracrine, but not permanent engraftment, that mediates the therapeutic benefits of MSCs.</w:t>
      </w:r>
      <w:r>
        <w:rPr>
          <w:rFonts w:ascii="Times New Roman" w:eastAsia="Times New Roman" w:hAnsi="Times New Roman" w:cs="Times New Roman"/>
          <w:sz w:val="24"/>
          <w:szCs w:val="24"/>
          <w:vertAlign w:val="superscript"/>
        </w:rPr>
        <w:t>18</w:t>
      </w:r>
    </w:p>
    <w:p w14:paraId="1EA6D14E"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Delivery Strategie</w:t>
      </w:r>
      <w:r>
        <w:rPr>
          <w:rFonts w:ascii="Times New Roman" w:eastAsia="Times New Roman" w:hAnsi="Times New Roman" w:cs="Times New Roman"/>
          <w:b/>
          <w:bCs/>
          <w:sz w:val="24"/>
          <w:szCs w:val="24"/>
        </w:rPr>
        <w:t>s and Dosing Considerations</w:t>
      </w:r>
    </w:p>
    <w:p w14:paraId="00B86340"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There are several possible routes of administration of MSCs, and intra-articular injection is the method most widely used in arthritis. This is because one can target the affected joint directly and limit systemic exposure. Alte</w:t>
      </w:r>
      <w:r>
        <w:rPr>
          <w:rFonts w:ascii="Times New Roman" w:eastAsia="Times New Roman" w:hAnsi="Times New Roman" w:cs="Times New Roman"/>
          <w:sz w:val="24"/>
          <w:szCs w:val="24"/>
        </w:rPr>
        <w:t>rnatively, the MSCs may be used within biomaterial scaffolds in order to improve the survival and retention of cells and integration into the cartilage defect. It has also been investigated in systemic delivery, especially in autoimmune diseases like rheum</w:t>
      </w:r>
      <w:r>
        <w:rPr>
          <w:rFonts w:ascii="Times New Roman" w:eastAsia="Times New Roman" w:hAnsi="Times New Roman" w:cs="Times New Roman"/>
          <w:sz w:val="24"/>
          <w:szCs w:val="24"/>
        </w:rPr>
        <w:t>atoid arthritis, though the issue of cell homing efficiency is still questioned.</w:t>
      </w:r>
      <w:r>
        <w:rPr>
          <w:rFonts w:ascii="Times New Roman" w:eastAsia="Times New Roman" w:hAnsi="Times New Roman" w:cs="Times New Roman"/>
          <w:sz w:val="24"/>
          <w:szCs w:val="24"/>
          <w:vertAlign w:val="superscript"/>
        </w:rPr>
        <w:t>19</w:t>
      </w:r>
    </w:p>
    <w:p w14:paraId="3CC42D6C"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diverse dosing strategies used in various studies spanning between 1x10</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to more than 1x10</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cells per injection. Single and repeated dosage disciplines have been s</w:t>
      </w:r>
      <w:r>
        <w:rPr>
          <w:rFonts w:ascii="Times New Roman" w:eastAsia="Times New Roman" w:hAnsi="Times New Roman" w:cs="Times New Roman"/>
          <w:sz w:val="24"/>
          <w:szCs w:val="24"/>
        </w:rPr>
        <w:t>tudied, with some justifications that indicate that repeated dosage of pharmaceuticals can offer long-term therapeutic benefits. Nevertheless, the absence of standardized dosing regimens is one of the greatest weaknesses in the area and enhances the lack o</w:t>
      </w:r>
      <w:r>
        <w:rPr>
          <w:rFonts w:ascii="Times New Roman" w:eastAsia="Times New Roman" w:hAnsi="Times New Roman" w:cs="Times New Roman"/>
          <w:sz w:val="24"/>
          <w:szCs w:val="24"/>
        </w:rPr>
        <w:t>f consistency of clinical outcomes.</w:t>
      </w:r>
      <w:r>
        <w:rPr>
          <w:rFonts w:ascii="Times New Roman" w:eastAsia="Times New Roman" w:hAnsi="Times New Roman" w:cs="Times New Roman"/>
          <w:sz w:val="24"/>
          <w:szCs w:val="24"/>
          <w:vertAlign w:val="superscript"/>
        </w:rPr>
        <w:t>20</w:t>
      </w:r>
    </w:p>
    <w:p w14:paraId="308C721E" w14:textId="77777777" w:rsidR="00D500FE" w:rsidRDefault="00D500FE">
      <w:pPr>
        <w:spacing w:line="360" w:lineRule="auto"/>
        <w:jc w:val="both"/>
        <w:rPr>
          <w:rFonts w:ascii="Times New Roman" w:eastAsia="Times New Roman" w:hAnsi="Times New Roman" w:cs="Times New Roman"/>
          <w:b/>
          <w:bCs/>
          <w:sz w:val="24"/>
          <w:szCs w:val="24"/>
        </w:rPr>
      </w:pPr>
    </w:p>
    <w:p w14:paraId="5FB6612D" w14:textId="77777777" w:rsidR="00D500FE" w:rsidRDefault="00D500FE">
      <w:pPr>
        <w:spacing w:line="360" w:lineRule="auto"/>
        <w:jc w:val="both"/>
        <w:rPr>
          <w:rFonts w:ascii="Times New Roman" w:eastAsia="Times New Roman" w:hAnsi="Times New Roman" w:cs="Times New Roman"/>
          <w:b/>
          <w:bCs/>
          <w:sz w:val="24"/>
          <w:szCs w:val="24"/>
        </w:rPr>
      </w:pPr>
    </w:p>
    <w:p w14:paraId="4D0F514A" w14:textId="1702C118"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Preclinical Evidence</w:t>
      </w:r>
    </w:p>
    <w:p w14:paraId="5FAE6D01"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Preclinical research has confirmed the possibilities of MSCs in cartilage healing and the management of inflammation. In animal models of osteoarthritis, surgically induced and chemically induced</w:t>
      </w:r>
      <w:r>
        <w:rPr>
          <w:rFonts w:ascii="Times New Roman" w:eastAsia="Times New Roman" w:hAnsi="Times New Roman" w:cs="Times New Roman"/>
          <w:sz w:val="24"/>
          <w:szCs w:val="24"/>
        </w:rPr>
        <w:t xml:space="preserve"> models, MSC administration has been found to slow cartilage degradation, reduce the levels of inflammatory cytokines, and has been shown to improve joint activity.</w:t>
      </w:r>
      <w:r>
        <w:rPr>
          <w:rFonts w:ascii="Times New Roman" w:eastAsia="Times New Roman" w:hAnsi="Times New Roman" w:cs="Times New Roman"/>
          <w:sz w:val="24"/>
          <w:szCs w:val="24"/>
          <w:vertAlign w:val="superscript"/>
        </w:rPr>
        <w:t>21</w:t>
      </w:r>
    </w:p>
    <w:p w14:paraId="4198B97F"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MSC treatment in these models is also observed to produce several histological changes, i</w:t>
      </w:r>
      <w:r>
        <w:rPr>
          <w:rFonts w:ascii="Times New Roman" w:eastAsia="Times New Roman" w:hAnsi="Times New Roman" w:cs="Times New Roman"/>
          <w:sz w:val="24"/>
          <w:szCs w:val="24"/>
        </w:rPr>
        <w:t>ncluding the enhancement of cartilage thickening, subsequent matrix deposition, and the decrease of osteophytes. Besides the structural enhancement, MSCs were also linked to the substantial decrease in the pain-related behaviours, which implies regenerativ</w:t>
      </w:r>
      <w:r>
        <w:rPr>
          <w:rFonts w:ascii="Times New Roman" w:eastAsia="Times New Roman" w:hAnsi="Times New Roman" w:cs="Times New Roman"/>
          <w:sz w:val="24"/>
          <w:szCs w:val="24"/>
        </w:rPr>
        <w:t>e and symptomatic effects.</w:t>
      </w:r>
      <w:r>
        <w:rPr>
          <w:rFonts w:ascii="Times New Roman" w:eastAsia="Times New Roman" w:hAnsi="Times New Roman" w:cs="Times New Roman"/>
          <w:sz w:val="24"/>
          <w:szCs w:val="24"/>
          <w:vertAlign w:val="superscript"/>
        </w:rPr>
        <w:t>22</w:t>
      </w:r>
    </w:p>
    <w:p w14:paraId="1B1119D3"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Clinical Evidence and Heterogeneity</w:t>
      </w:r>
    </w:p>
    <w:p w14:paraId="7A188193"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lastRenderedPageBreak/>
        <w:t>Inconsistent positive results have been reported in clinical studies on MSC treatment in the management of arthritis. Knee osteoarthritis studies of randomized control trials (RCTs) and open-</w:t>
      </w:r>
      <w:r>
        <w:rPr>
          <w:rFonts w:ascii="Times New Roman" w:eastAsia="Times New Roman" w:hAnsi="Times New Roman" w:cs="Times New Roman"/>
          <w:sz w:val="24"/>
          <w:szCs w:val="24"/>
        </w:rPr>
        <w:t>label studies have also found improvements in pain scales, including the Western Ontario and McMaster Universities Osteoarthritis Index (WOMAC), and functional outcome following intra-articular injection of MSCs. There is also some literature on structural</w:t>
      </w:r>
      <w:r>
        <w:rPr>
          <w:rFonts w:ascii="Times New Roman" w:eastAsia="Times New Roman" w:hAnsi="Times New Roman" w:cs="Times New Roman"/>
          <w:sz w:val="24"/>
          <w:szCs w:val="24"/>
        </w:rPr>
        <w:t xml:space="preserve"> improvements on the MRI, such as more cartilage thickness and fewer cartilage defects.</w:t>
      </w:r>
      <w:r>
        <w:rPr>
          <w:rFonts w:ascii="Times New Roman" w:eastAsia="Times New Roman" w:hAnsi="Times New Roman" w:cs="Times New Roman"/>
          <w:sz w:val="24"/>
          <w:szCs w:val="24"/>
          <w:vertAlign w:val="superscript"/>
        </w:rPr>
        <w:t>23</w:t>
      </w:r>
    </w:p>
    <w:p w14:paraId="192FE103"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In rheumatoid arthritis, MSC therapy has been observed to have the potential to reduce disease activity and also regulate immune responses, but no clear clinical evid</w:t>
      </w:r>
      <w:r>
        <w:rPr>
          <w:rFonts w:ascii="Times New Roman" w:eastAsia="Times New Roman" w:hAnsi="Times New Roman" w:cs="Times New Roman"/>
          <w:sz w:val="24"/>
          <w:szCs w:val="24"/>
        </w:rPr>
        <w:t>ence has been supported in comparison to OA.</w:t>
      </w:r>
      <w:r>
        <w:rPr>
          <w:rFonts w:ascii="Times New Roman" w:eastAsia="Times New Roman" w:hAnsi="Times New Roman" w:cs="Times New Roman"/>
          <w:sz w:val="24"/>
          <w:szCs w:val="24"/>
          <w:vertAlign w:val="superscript"/>
        </w:rPr>
        <w:t>24</w:t>
      </w:r>
    </w:p>
    <w:p w14:paraId="5CD7E643"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Nevertheless, there has been a significant heterogeneity among investigations, given the variations in cell sources, production processes, and literature dosing regimens, and outcomes of the studies. Absence o</w:t>
      </w:r>
      <w:r>
        <w:rPr>
          <w:rFonts w:ascii="Times New Roman" w:eastAsia="Times New Roman" w:hAnsi="Times New Roman" w:cs="Times New Roman"/>
          <w:sz w:val="24"/>
          <w:szCs w:val="24"/>
        </w:rPr>
        <w:t>f standardized procedures and patient population variability mingle the results interpretation and constrain the externalization of results.</w:t>
      </w:r>
      <w:r>
        <w:rPr>
          <w:rFonts w:ascii="Times New Roman" w:eastAsia="Times New Roman" w:hAnsi="Times New Roman" w:cs="Times New Roman"/>
          <w:sz w:val="24"/>
          <w:szCs w:val="24"/>
          <w:vertAlign w:val="superscript"/>
        </w:rPr>
        <w:t>25</w:t>
      </w:r>
    </w:p>
    <w:p w14:paraId="61A97EB1"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Safety Profile</w:t>
      </w:r>
    </w:p>
    <w:p w14:paraId="3E6E2AC9"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MSCs are regarded as poorly harmful, and the majority of clinical trials have few unwanted events.</w:t>
      </w:r>
      <w:r>
        <w:rPr>
          <w:rFonts w:ascii="Times New Roman" w:eastAsia="Times New Roman" w:hAnsi="Times New Roman" w:cs="Times New Roman"/>
          <w:sz w:val="24"/>
          <w:szCs w:val="24"/>
        </w:rPr>
        <w:t xml:space="preserve"> Three months of safety data report that intra-articular MSC injections are safe and that mild and short-term side effects like joint swelling or injection site pain are present.</w:t>
      </w:r>
      <w:r>
        <w:rPr>
          <w:rFonts w:ascii="Times New Roman" w:eastAsia="Times New Roman" w:hAnsi="Times New Roman" w:cs="Times New Roman"/>
          <w:sz w:val="24"/>
          <w:szCs w:val="24"/>
          <w:vertAlign w:val="superscript"/>
        </w:rPr>
        <w:t>26</w:t>
      </w:r>
    </w:p>
    <w:p w14:paraId="236C3CBC"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Tumorigenicity has been pivoted on the fact that stem cells are proliferati</w:t>
      </w:r>
      <w:r>
        <w:rPr>
          <w:rFonts w:ascii="Times New Roman" w:eastAsia="Times New Roman" w:hAnsi="Times New Roman" w:cs="Times New Roman"/>
          <w:sz w:val="24"/>
          <w:szCs w:val="24"/>
        </w:rPr>
        <w:t>ve, but current studies propose that this is not a significant risk, especially in the case of autologous MSCs. Likewise, the danger of developing ectopic tissues does not seem to be significant in clinical practice. However, there is a lack of long-term s</w:t>
      </w:r>
      <w:r>
        <w:rPr>
          <w:rFonts w:ascii="Times New Roman" w:eastAsia="Times New Roman" w:hAnsi="Times New Roman" w:cs="Times New Roman"/>
          <w:sz w:val="24"/>
          <w:szCs w:val="24"/>
        </w:rPr>
        <w:t>afety information, and it must be monitored over the long term.</w:t>
      </w:r>
      <w:r>
        <w:rPr>
          <w:rFonts w:ascii="Times New Roman" w:eastAsia="Times New Roman" w:hAnsi="Times New Roman" w:cs="Times New Roman"/>
          <w:sz w:val="24"/>
          <w:szCs w:val="24"/>
          <w:vertAlign w:val="superscript"/>
        </w:rPr>
        <w:t>27</w:t>
      </w:r>
    </w:p>
    <w:p w14:paraId="0A62B85D"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Manufacturing and Potency Assessment</w:t>
      </w:r>
    </w:p>
    <w:p w14:paraId="084786E1"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To ensure the clinical applications of MSC therapies, manufacturing and quality processes under the Good Manufacturing Practice (GMP) conditions are </w:t>
      </w:r>
      <w:r>
        <w:rPr>
          <w:rFonts w:ascii="Times New Roman" w:eastAsia="Times New Roman" w:hAnsi="Times New Roman" w:cs="Times New Roman"/>
          <w:sz w:val="24"/>
          <w:szCs w:val="24"/>
        </w:rPr>
        <w:t>required. Such critical parameters as cell identity (surface marker expression CD73, CD90, CD105), viability, sterility, and lack of contaminants should be considered.</w:t>
      </w:r>
      <w:r>
        <w:rPr>
          <w:rFonts w:ascii="Times New Roman" w:eastAsia="Times New Roman" w:hAnsi="Times New Roman" w:cs="Times New Roman"/>
          <w:sz w:val="24"/>
          <w:szCs w:val="24"/>
          <w:vertAlign w:val="superscript"/>
        </w:rPr>
        <w:t>28</w:t>
      </w:r>
    </w:p>
    <w:p w14:paraId="134C8B57" w14:textId="72BAE2AC" w:rsidR="00ED21D7" w:rsidRPr="00D500FE"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Potency tests are highly imperative, though they are not well standardized. Immunomodu</w:t>
      </w:r>
      <w:r>
        <w:rPr>
          <w:rFonts w:ascii="Times New Roman" w:eastAsia="Times New Roman" w:hAnsi="Times New Roman" w:cs="Times New Roman"/>
          <w:sz w:val="24"/>
          <w:szCs w:val="24"/>
        </w:rPr>
        <w:t xml:space="preserve">latory capacity functional assays determine the immunomodulatory capacity, which may include: the T cell proliferation or cytokine secretion profiles. Nevertheless, the absence of standardized </w:t>
      </w:r>
      <w:r>
        <w:rPr>
          <w:rFonts w:ascii="Times New Roman" w:eastAsia="Times New Roman" w:hAnsi="Times New Roman" w:cs="Times New Roman"/>
          <w:sz w:val="24"/>
          <w:szCs w:val="24"/>
        </w:rPr>
        <w:lastRenderedPageBreak/>
        <w:t>measures of potency is one of the significant obstacles to stan</w:t>
      </w:r>
      <w:r>
        <w:rPr>
          <w:rFonts w:ascii="Times New Roman" w:eastAsia="Times New Roman" w:hAnsi="Times New Roman" w:cs="Times New Roman"/>
          <w:sz w:val="24"/>
          <w:szCs w:val="24"/>
        </w:rPr>
        <w:t>dardizing and reproducibility of MSC-based treatments.</w:t>
      </w:r>
      <w:r w:rsidR="00F6087A">
        <w:rPr>
          <w:rFonts w:ascii="Times New Roman" w:eastAsia="Times New Roman" w:hAnsi="Times New Roman" w:cs="Times New Roman"/>
          <w:sz w:val="24"/>
          <w:szCs w:val="24"/>
          <w:vertAlign w:val="superscript"/>
        </w:rPr>
        <w:t>29</w:t>
      </w:r>
    </w:p>
    <w:p w14:paraId="7A8A4B97"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 Autologous Chondrocyte Implantation (ACI) and Matrix-Associated ACI (MACI)</w:t>
      </w:r>
    </w:p>
    <w:p w14:paraId="2682C888"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Autologous chondrocyte implantation (ACI) is a long-established cell-based form of therapy applied primarily to treat f</w:t>
      </w:r>
      <w:r>
        <w:rPr>
          <w:rFonts w:ascii="Times New Roman" w:eastAsia="Times New Roman" w:hAnsi="Times New Roman" w:cs="Times New Roman"/>
          <w:sz w:val="24"/>
          <w:szCs w:val="24"/>
        </w:rPr>
        <w:t>ocal chondral defects. This process consists of extracting chondrocytes from an area of the joint without weight support, growing the cells in vitro, and returning them to the defect site.</w:t>
      </w:r>
      <w:r>
        <w:rPr>
          <w:rFonts w:ascii="Times New Roman" w:eastAsia="Times New Roman" w:hAnsi="Times New Roman" w:cs="Times New Roman"/>
          <w:sz w:val="24"/>
          <w:szCs w:val="24"/>
          <w:vertAlign w:val="superscript"/>
        </w:rPr>
        <w:t>30</w:t>
      </w:r>
    </w:p>
    <w:p w14:paraId="0253D9CF"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Matrix-associated ACI (MACI) is a second-generation approach, whe</w:t>
      </w:r>
      <w:r>
        <w:rPr>
          <w:rFonts w:ascii="Times New Roman" w:eastAsia="Times New Roman" w:hAnsi="Times New Roman" w:cs="Times New Roman"/>
          <w:sz w:val="24"/>
          <w:szCs w:val="24"/>
        </w:rPr>
        <w:t>reby cultured chondrocytes are inoculated on a biodegradable scaffold before implantation. The technique enhances the distribution of cells, growth of cells within the host tissue, and minimizes issues that occurred with previous ACI methods.</w:t>
      </w:r>
      <w:r>
        <w:rPr>
          <w:rFonts w:ascii="Times New Roman" w:eastAsia="Times New Roman" w:hAnsi="Times New Roman" w:cs="Times New Roman"/>
          <w:sz w:val="24"/>
          <w:szCs w:val="24"/>
          <w:vertAlign w:val="superscript"/>
        </w:rPr>
        <w:t>31</w:t>
      </w:r>
    </w:p>
    <w:p w14:paraId="65D789DA"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ACI and MAC</w:t>
      </w:r>
      <w:r>
        <w:rPr>
          <w:rFonts w:ascii="Times New Roman" w:eastAsia="Times New Roman" w:hAnsi="Times New Roman" w:cs="Times New Roman"/>
          <w:sz w:val="24"/>
          <w:szCs w:val="24"/>
        </w:rPr>
        <w:t>I have reported positive results in patients with focal cartilage defects, such as functional outcome and structural repair. Nevertheless, they have a low efficacy on diffuse osteoarthritis because of the extensive cartilage degeneration and inflammatory b</w:t>
      </w:r>
      <w:r>
        <w:rPr>
          <w:rFonts w:ascii="Times New Roman" w:eastAsia="Times New Roman" w:hAnsi="Times New Roman" w:cs="Times New Roman"/>
          <w:sz w:val="24"/>
          <w:szCs w:val="24"/>
        </w:rPr>
        <w:t>ackdrop of the joint.</w:t>
      </w:r>
      <w:r>
        <w:rPr>
          <w:rFonts w:ascii="Times New Roman" w:eastAsia="Times New Roman" w:hAnsi="Times New Roman" w:cs="Times New Roman"/>
          <w:sz w:val="24"/>
          <w:szCs w:val="24"/>
          <w:vertAlign w:val="superscript"/>
        </w:rPr>
        <w:t>32</w:t>
      </w:r>
    </w:p>
    <w:p w14:paraId="18D05E1F" w14:textId="7AE4A8BF" w:rsidR="00ED21D7" w:rsidRPr="00F6087A"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Long-term research studies have shown that the ACI is used to repair a defect with a durable outcome in a limited number of patients with the same outcomes as microfracture, and better results in larger-sized defects. Nonetheless, t</w:t>
      </w:r>
      <w:r>
        <w:rPr>
          <w:rFonts w:ascii="Times New Roman" w:eastAsia="Times New Roman" w:hAnsi="Times New Roman" w:cs="Times New Roman"/>
          <w:sz w:val="24"/>
          <w:szCs w:val="24"/>
        </w:rPr>
        <w:t>he process is mechanically challenging, expensive, and involves the use of numerous surgical operations, restricting its application.</w:t>
      </w:r>
      <w:r w:rsidR="00F6087A">
        <w:rPr>
          <w:rFonts w:ascii="Times New Roman" w:eastAsia="Times New Roman" w:hAnsi="Times New Roman" w:cs="Times New Roman"/>
          <w:sz w:val="24"/>
          <w:szCs w:val="24"/>
          <w:vertAlign w:val="superscript"/>
        </w:rPr>
        <w:t>33</w:t>
      </w:r>
    </w:p>
    <w:p w14:paraId="0CB7814A"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 iPSC-Derived Chondrocytes and Engineered Cell Therapies</w:t>
      </w:r>
    </w:p>
    <w:p w14:paraId="76E7A5EF"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Induced pluripotent stem cells (iPSCs) constitute a potenti</w:t>
      </w:r>
      <w:r>
        <w:rPr>
          <w:rFonts w:ascii="Times New Roman" w:eastAsia="Times New Roman" w:hAnsi="Times New Roman" w:cs="Times New Roman"/>
          <w:sz w:val="24"/>
          <w:szCs w:val="24"/>
        </w:rPr>
        <w:t>al source of cells that may be used to repair cartilage because they have an unlimited potential to proliferate and form chondrocytes. In opposition to MSCs, iPSCs have the ability to supply cells in theoretically unlimited numbers, which allows the possib</w:t>
      </w:r>
      <w:r>
        <w:rPr>
          <w:rFonts w:ascii="Times New Roman" w:eastAsia="Times New Roman" w:hAnsi="Times New Roman" w:cs="Times New Roman"/>
          <w:sz w:val="24"/>
          <w:szCs w:val="24"/>
        </w:rPr>
        <w:t>ility of reproducing a large number of cells that can be used in clinical applications.</w:t>
      </w:r>
      <w:r>
        <w:rPr>
          <w:rFonts w:ascii="Times New Roman" w:eastAsia="Times New Roman" w:hAnsi="Times New Roman" w:cs="Times New Roman"/>
          <w:sz w:val="24"/>
          <w:szCs w:val="24"/>
          <w:vertAlign w:val="superscript"/>
        </w:rPr>
        <w:t>34</w:t>
      </w:r>
    </w:p>
    <w:p w14:paraId="2FD5A88D"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The chondrocytes produced using iPSCs have the potential to provide patient-specific therapies, which lower the survival chances of immune rejection. Nevertheless, </w:t>
      </w:r>
      <w:r>
        <w:rPr>
          <w:rFonts w:ascii="Times New Roman" w:eastAsia="Times New Roman" w:hAnsi="Times New Roman" w:cs="Times New Roman"/>
          <w:sz w:val="24"/>
          <w:szCs w:val="24"/>
        </w:rPr>
        <w:t>serious issues still exist, such as the threat of genomic instability, lack of full differentiation, and the possibility of the undifferentiated residual cells being tumorigenic.</w:t>
      </w:r>
      <w:r>
        <w:rPr>
          <w:rFonts w:ascii="Times New Roman" w:eastAsia="Times New Roman" w:hAnsi="Times New Roman" w:cs="Times New Roman"/>
          <w:sz w:val="24"/>
          <w:szCs w:val="24"/>
          <w:vertAlign w:val="superscript"/>
        </w:rPr>
        <w:t>35</w:t>
      </w:r>
    </w:p>
    <w:p w14:paraId="32B00443"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lastRenderedPageBreak/>
        <w:t>Most current studies are mainly restricted to preclinical studies, in which</w:t>
      </w:r>
      <w:r>
        <w:rPr>
          <w:rFonts w:ascii="Times New Roman" w:eastAsia="Times New Roman" w:hAnsi="Times New Roman" w:cs="Times New Roman"/>
          <w:sz w:val="24"/>
          <w:szCs w:val="24"/>
        </w:rPr>
        <w:t xml:space="preserve"> the iPSC-grown chondrocytes have been shown to produce cartilage-like tissue and enhance the functionality of joints in animal models. Gene editing and other differentiation procedures are under development to ensure the safety and efficacy of such treatm</w:t>
      </w:r>
      <w:r>
        <w:rPr>
          <w:rFonts w:ascii="Times New Roman" w:eastAsia="Times New Roman" w:hAnsi="Times New Roman" w:cs="Times New Roman"/>
          <w:sz w:val="24"/>
          <w:szCs w:val="24"/>
        </w:rPr>
        <w:t>ents.</w:t>
      </w:r>
      <w:r>
        <w:rPr>
          <w:rFonts w:ascii="Times New Roman" w:eastAsia="Times New Roman" w:hAnsi="Times New Roman" w:cs="Times New Roman"/>
          <w:sz w:val="24"/>
          <w:szCs w:val="24"/>
          <w:vertAlign w:val="superscript"/>
        </w:rPr>
        <w:t>36</w:t>
      </w:r>
    </w:p>
    <w:p w14:paraId="25A04C6B"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it was promised, considerable regulatory and technical obstacles are associated with the clinical translation of iPSC-based therapies. These involve stability of genetic stability, uniform differentiation, and scalable manufacturing. Conse</w:t>
      </w:r>
      <w:r>
        <w:rPr>
          <w:rFonts w:ascii="Times New Roman" w:eastAsia="Times New Roman" w:hAnsi="Times New Roman" w:cs="Times New Roman"/>
          <w:sz w:val="24"/>
          <w:szCs w:val="24"/>
        </w:rPr>
        <w:t>quently, the iPSC-derived therapies are still out-of-clinic and not popular yet as a source of clinical therapy.</w:t>
      </w:r>
    </w:p>
    <w:p w14:paraId="11A062B1"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Cell-Free and Biologic Adjuncts in Arthritis</w:t>
      </w:r>
    </w:p>
    <w:p w14:paraId="50F6CE28"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Platelet-Rich Plasma (PRP)</w:t>
      </w:r>
    </w:p>
    <w:p w14:paraId="274FB4AB" w14:textId="312AAB56"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Platelet-rich plasma (PRP) is a product that is obtained from autolo</w:t>
      </w:r>
      <w:r>
        <w:rPr>
          <w:rFonts w:ascii="Times New Roman" w:eastAsia="Times New Roman" w:hAnsi="Times New Roman" w:cs="Times New Roman"/>
          <w:sz w:val="24"/>
          <w:szCs w:val="24"/>
        </w:rPr>
        <w:t>gous blood, where the platelets are suspended in plasma. It is acquired by centrifugation of whole blood, and the fraction is enriched with platelets, growth factors, cytokines, and bioactive proteins. The main ingredients of PRP are platelet-derived growt</w:t>
      </w:r>
      <w:r>
        <w:rPr>
          <w:rFonts w:ascii="Times New Roman" w:eastAsia="Times New Roman" w:hAnsi="Times New Roman" w:cs="Times New Roman"/>
          <w:sz w:val="24"/>
          <w:szCs w:val="24"/>
        </w:rPr>
        <w:t>h factor (PDGF), transforming growth factor-β (TGF-β), vascular endothelial growth factor (VEGF), insulin-like growth factor- 1 (IGF- 1), and fibroblast growth factor (FGF), which are vital in tissue repair and regeneration.</w:t>
      </w:r>
      <w:r>
        <w:rPr>
          <w:rFonts w:ascii="Times New Roman" w:eastAsia="Times New Roman" w:hAnsi="Times New Roman" w:cs="Times New Roman"/>
          <w:sz w:val="24"/>
          <w:szCs w:val="24"/>
          <w:vertAlign w:val="superscript"/>
        </w:rPr>
        <w:t>37</w:t>
      </w:r>
    </w:p>
    <w:p w14:paraId="37D2B952" w14:textId="4CFBD723"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PRP is involved in the treatment of arthritis by means of its potential to control inflammatory processes and </w:t>
      </w:r>
      <w:proofErr w:type="spellStart"/>
      <w:r>
        <w:rPr>
          <w:rFonts w:ascii="Times New Roman" w:eastAsia="Times New Roman" w:hAnsi="Times New Roman" w:cs="Times New Roman"/>
          <w:sz w:val="24"/>
          <w:szCs w:val="24"/>
        </w:rPr>
        <w:t>catalyze</w:t>
      </w:r>
      <w:proofErr w:type="spellEnd"/>
      <w:r>
        <w:rPr>
          <w:rFonts w:ascii="Times New Roman" w:eastAsia="Times New Roman" w:hAnsi="Times New Roman" w:cs="Times New Roman"/>
          <w:sz w:val="24"/>
          <w:szCs w:val="24"/>
        </w:rPr>
        <w:t xml:space="preserve"> anabolic joint events. PRP has been demonstrated to down-regulate pro-inflammatory cytokines, including IL-1β and TNF-α, and increase the</w:t>
      </w:r>
      <w:r>
        <w:rPr>
          <w:rFonts w:ascii="Times New Roman" w:eastAsia="Times New Roman" w:hAnsi="Times New Roman" w:cs="Times New Roman"/>
          <w:sz w:val="24"/>
          <w:szCs w:val="24"/>
        </w:rPr>
        <w:t xml:space="preserve"> production of extracellular matrix, including collagen type II and proteoglycans. Moreover, the PRP has the potential to cause chondrocytes to multiply and inhibit the process of cell death or apoptosis, thus preserving cartilage.</w:t>
      </w:r>
      <w:r>
        <w:rPr>
          <w:rFonts w:ascii="Times New Roman" w:eastAsia="Times New Roman" w:hAnsi="Times New Roman" w:cs="Times New Roman"/>
          <w:sz w:val="24"/>
          <w:szCs w:val="24"/>
          <w:vertAlign w:val="superscript"/>
        </w:rPr>
        <w:t>38</w:t>
      </w:r>
    </w:p>
    <w:p w14:paraId="2A1C5748" w14:textId="74792BD5"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clinical trials co</w:t>
      </w:r>
      <w:r>
        <w:rPr>
          <w:rFonts w:ascii="Times New Roman" w:eastAsia="Times New Roman" w:hAnsi="Times New Roman" w:cs="Times New Roman"/>
          <w:sz w:val="24"/>
          <w:szCs w:val="24"/>
        </w:rPr>
        <w:t xml:space="preserve">mparing the PRP as a treatment option in osteoarthritis, specifically in knee OA, have shown a consistent reduction in pain and stimulated outcomes on a functional level. In randomized controlled trials, it has been reported that a decrease in pain scores </w:t>
      </w:r>
      <w:r>
        <w:rPr>
          <w:rFonts w:ascii="Times New Roman" w:eastAsia="Times New Roman" w:hAnsi="Times New Roman" w:cs="Times New Roman"/>
          <w:sz w:val="24"/>
          <w:szCs w:val="24"/>
        </w:rPr>
        <w:t>(e.g., WOMAC, VAS) and joint functioning changes positively when compared to placebo or hyaluronic acid injections. The extent of these effects, however, does not have such durations, and as has been supported in studies by the majority of researchers, mos</w:t>
      </w:r>
      <w:r>
        <w:rPr>
          <w:rFonts w:ascii="Times New Roman" w:eastAsia="Times New Roman" w:hAnsi="Times New Roman" w:cs="Times New Roman"/>
          <w:sz w:val="24"/>
          <w:szCs w:val="24"/>
        </w:rPr>
        <w:t>t effects that have been proven to be beneficial have a duration between 6 to 12 months.</w:t>
      </w:r>
      <w:r>
        <w:rPr>
          <w:rFonts w:ascii="Times New Roman" w:eastAsia="Times New Roman" w:hAnsi="Times New Roman" w:cs="Times New Roman"/>
          <w:sz w:val="24"/>
          <w:szCs w:val="24"/>
          <w:vertAlign w:val="superscript"/>
        </w:rPr>
        <w:t>39</w:t>
      </w:r>
    </w:p>
    <w:p w14:paraId="1C4D2C7E" w14:textId="6128F8B5" w:rsidR="00ED21D7" w:rsidRPr="00F6087A"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Regardless of the encouraging outcome, another significant drawback of PRP treatment is the high degree of discrepancy in the preparation regimes. Centrifugation tec</w:t>
      </w:r>
      <w:r>
        <w:rPr>
          <w:rFonts w:ascii="Times New Roman" w:eastAsia="Times New Roman" w:hAnsi="Times New Roman" w:cs="Times New Roman"/>
          <w:sz w:val="24"/>
          <w:szCs w:val="24"/>
        </w:rPr>
        <w:t xml:space="preserve">hniques, platelet </w:t>
      </w:r>
      <w:r>
        <w:rPr>
          <w:rFonts w:ascii="Times New Roman" w:eastAsia="Times New Roman" w:hAnsi="Times New Roman" w:cs="Times New Roman"/>
          <w:sz w:val="24"/>
          <w:szCs w:val="24"/>
        </w:rPr>
        <w:lastRenderedPageBreak/>
        <w:t>concentration, leukocyte content (leukocyte-rich and leukocyte-poor PRP), and activation methods have vast effects on the biological activity of PRP. This standardization non-conformity leads to differences in clinical outcomes and restri</w:t>
      </w:r>
      <w:r>
        <w:rPr>
          <w:rFonts w:ascii="Times New Roman" w:eastAsia="Times New Roman" w:hAnsi="Times New Roman" w:cs="Times New Roman"/>
          <w:sz w:val="24"/>
          <w:szCs w:val="24"/>
        </w:rPr>
        <w:t>cts the comparability of studies.</w:t>
      </w:r>
      <w:r w:rsidR="00F6087A">
        <w:rPr>
          <w:rFonts w:ascii="Times New Roman" w:eastAsia="Times New Roman" w:hAnsi="Times New Roman" w:cs="Times New Roman"/>
          <w:sz w:val="24"/>
          <w:szCs w:val="24"/>
          <w:vertAlign w:val="superscript"/>
        </w:rPr>
        <w:t>40</w:t>
      </w:r>
    </w:p>
    <w:p w14:paraId="57B08E40"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Extracellular Vesicles and Exosomes</w:t>
      </w:r>
    </w:p>
    <w:p w14:paraId="2B4E1B19"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Exosomes are extracellular </w:t>
      </w:r>
      <w:proofErr w:type="spellStart"/>
      <w:r>
        <w:rPr>
          <w:rFonts w:ascii="Times New Roman" w:eastAsia="Times New Roman" w:hAnsi="Times New Roman" w:cs="Times New Roman"/>
          <w:sz w:val="24"/>
          <w:szCs w:val="24"/>
        </w:rPr>
        <w:t>vesicles</w:t>
      </w:r>
      <w:proofErr w:type="spellEnd"/>
      <w:r>
        <w:rPr>
          <w:rFonts w:ascii="Times New Roman" w:eastAsia="Times New Roman" w:hAnsi="Times New Roman" w:cs="Times New Roman"/>
          <w:sz w:val="24"/>
          <w:szCs w:val="24"/>
        </w:rPr>
        <w:t xml:space="preserve"> (EVs), membrane-bound vesicles of cellular origin that are nanoscale and which are important in intercellular communication. The use of MSC-derived </w:t>
      </w:r>
      <w:r>
        <w:rPr>
          <w:rFonts w:ascii="Times New Roman" w:eastAsia="Times New Roman" w:hAnsi="Times New Roman" w:cs="Times New Roman"/>
          <w:sz w:val="24"/>
          <w:szCs w:val="24"/>
        </w:rPr>
        <w:t>EVs in cell-free therapy to provide comparable therapeutic outcomes of MSCs, but without the harms of live cell-transplantation, has attracted considerable interest as an alternative to stem cell therapy.</w:t>
      </w:r>
      <w:r>
        <w:rPr>
          <w:rFonts w:ascii="Times New Roman" w:eastAsia="Times New Roman" w:hAnsi="Times New Roman" w:cs="Times New Roman"/>
          <w:sz w:val="24"/>
          <w:szCs w:val="24"/>
          <w:vertAlign w:val="superscript"/>
        </w:rPr>
        <w:t>41</w:t>
      </w:r>
    </w:p>
    <w:p w14:paraId="6E724C7F"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EVs carry an elaborate cargo of bioactive molecul</w:t>
      </w:r>
      <w:r>
        <w:rPr>
          <w:rFonts w:ascii="Times New Roman" w:eastAsia="Times New Roman" w:hAnsi="Times New Roman" w:cs="Times New Roman"/>
          <w:sz w:val="24"/>
          <w:szCs w:val="24"/>
        </w:rPr>
        <w:t>es, such as proteins, lipids, and nucleic acids, such as microRNAs (miRNAs), which can tell recipient cells about what to do with their genes. Regarding arthritis, EVs were also found to control inflammatory signatures, stimulate chondrocyte growth and dev</w:t>
      </w:r>
      <w:r>
        <w:rPr>
          <w:rFonts w:ascii="Times New Roman" w:eastAsia="Times New Roman" w:hAnsi="Times New Roman" w:cs="Times New Roman"/>
          <w:sz w:val="24"/>
          <w:szCs w:val="24"/>
        </w:rPr>
        <w:t xml:space="preserve">elopment, and improve the formation of the extracellular matrix. Certain miRNAs in EVs may block the catabolic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xml:space="preserve"> pathway and suppress the expression of enzymes that destroy the matrix, like MMPs and ADAMTS.</w:t>
      </w:r>
      <w:r>
        <w:rPr>
          <w:rFonts w:ascii="Times New Roman" w:eastAsia="Times New Roman" w:hAnsi="Times New Roman" w:cs="Times New Roman"/>
          <w:sz w:val="24"/>
          <w:szCs w:val="24"/>
          <w:vertAlign w:val="superscript"/>
        </w:rPr>
        <w:t>42</w:t>
      </w:r>
    </w:p>
    <w:p w14:paraId="31ED89BE"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Animal models of osteoarthritis have sh</w:t>
      </w:r>
      <w:r>
        <w:rPr>
          <w:rFonts w:ascii="Times New Roman" w:eastAsia="Times New Roman" w:hAnsi="Times New Roman" w:cs="Times New Roman"/>
          <w:sz w:val="24"/>
          <w:szCs w:val="24"/>
        </w:rPr>
        <w:t>own that EV administration is able to prevent cartilage degradation, synovial inflammation, and enhance joint function. EVs have a number of benefits over MSCs, such as reduced immunogenicity, a better safety record, storage ease, and potential to be mass-</w:t>
      </w:r>
      <w:r>
        <w:rPr>
          <w:rFonts w:ascii="Times New Roman" w:eastAsia="Times New Roman" w:hAnsi="Times New Roman" w:cs="Times New Roman"/>
          <w:sz w:val="24"/>
          <w:szCs w:val="24"/>
        </w:rPr>
        <w:t>manufactured, among others.</w:t>
      </w:r>
      <w:r>
        <w:rPr>
          <w:rFonts w:ascii="Times New Roman" w:eastAsia="Times New Roman" w:hAnsi="Times New Roman" w:cs="Times New Roman"/>
          <w:sz w:val="24"/>
          <w:szCs w:val="24"/>
          <w:vertAlign w:val="superscript"/>
        </w:rPr>
        <w:t>43</w:t>
      </w:r>
    </w:p>
    <w:p w14:paraId="00C9FD31"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Nevertheless, there are still serious challenges of translation. There is no commonly used standard isolation and purification procedure to produce EVs, and this results in yield and composition variability. Also, their clinic</w:t>
      </w:r>
      <w:r>
        <w:rPr>
          <w:rFonts w:ascii="Times New Roman" w:eastAsia="Times New Roman" w:hAnsi="Times New Roman" w:cs="Times New Roman"/>
          <w:sz w:val="24"/>
          <w:szCs w:val="24"/>
        </w:rPr>
        <w:t>al development would be complicated by the absence of effective characterization methods and potency tests. EV-based therapies remain under development in regulatory frameworks, thus further postponing their adoption into everyday clinical practice.</w:t>
      </w:r>
      <w:r>
        <w:rPr>
          <w:rFonts w:ascii="Times New Roman" w:eastAsia="Times New Roman" w:hAnsi="Times New Roman" w:cs="Times New Roman"/>
          <w:sz w:val="24"/>
          <w:szCs w:val="24"/>
          <w:vertAlign w:val="superscript"/>
        </w:rPr>
        <w:t>44</w:t>
      </w:r>
    </w:p>
    <w:p w14:paraId="6002F8FF"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Grow</w:t>
      </w:r>
      <w:r>
        <w:rPr>
          <w:rFonts w:ascii="Times New Roman" w:eastAsia="Times New Roman" w:hAnsi="Times New Roman" w:cs="Times New Roman"/>
          <w:b/>
          <w:bCs/>
          <w:sz w:val="24"/>
          <w:szCs w:val="24"/>
        </w:rPr>
        <w:t>th Factor-Based Therapies</w:t>
      </w:r>
    </w:p>
    <w:p w14:paraId="6D173151"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Growth factors are involved in the central regulation of cartilage homeostasis and regeneration, and are involved in controlling proliferation, differentiation, and matrix synthesis of the cell. Various growth factors, such as tra</w:t>
      </w:r>
      <w:r>
        <w:rPr>
          <w:rFonts w:ascii="Times New Roman" w:eastAsia="Times New Roman" w:hAnsi="Times New Roman" w:cs="Times New Roman"/>
          <w:sz w:val="24"/>
          <w:szCs w:val="24"/>
        </w:rPr>
        <w:t>nsforming growth factor-β (TGF-β), bone morphogenetic proteins (BMPs), and fibroblast growth factors (FGFs) have been tested to have therapeutic value in arthritis.</w:t>
      </w:r>
      <w:r>
        <w:rPr>
          <w:rFonts w:ascii="Times New Roman" w:eastAsia="Times New Roman" w:hAnsi="Times New Roman" w:cs="Times New Roman"/>
          <w:sz w:val="24"/>
          <w:szCs w:val="24"/>
          <w:vertAlign w:val="superscript"/>
        </w:rPr>
        <w:t>45</w:t>
      </w:r>
    </w:p>
    <w:p w14:paraId="2DCBDE32"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lastRenderedPageBreak/>
        <w:t>TGF-β is a major mediator of chondrogenesis, and it enhances the production of extracellu</w:t>
      </w:r>
      <w:r>
        <w:rPr>
          <w:rFonts w:ascii="Times New Roman" w:eastAsia="Times New Roman" w:hAnsi="Times New Roman" w:cs="Times New Roman"/>
          <w:sz w:val="24"/>
          <w:szCs w:val="24"/>
        </w:rPr>
        <w:t xml:space="preserve">lar matrix components. However, high or unimpeded TGF-β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xml:space="preserve"> has been linked to adverse effects such as osteophyte and synovial fibrosis formation. Equally, the BMPs, especially BMP-2 and BMP-7, have been shown to induce cartilage healing yet also cau</w:t>
      </w:r>
      <w:r>
        <w:rPr>
          <w:rFonts w:ascii="Times New Roman" w:eastAsia="Times New Roman" w:hAnsi="Times New Roman" w:cs="Times New Roman"/>
          <w:sz w:val="24"/>
          <w:szCs w:val="24"/>
        </w:rPr>
        <w:t>se ectopic bone growth unless carefully controlled.</w:t>
      </w:r>
      <w:r>
        <w:rPr>
          <w:rFonts w:ascii="Times New Roman" w:eastAsia="Times New Roman" w:hAnsi="Times New Roman" w:cs="Times New Roman"/>
          <w:sz w:val="24"/>
          <w:szCs w:val="24"/>
          <w:vertAlign w:val="superscript"/>
        </w:rPr>
        <w:t>46</w:t>
      </w:r>
    </w:p>
    <w:p w14:paraId="0118020E"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effects of FGFs differ dramatically in relation to the isoform and scenario. Some FGFs do induce cartilage repair; however, others can also mediate cartilage degradation, which underscores the intri</w:t>
      </w:r>
      <w:r>
        <w:rPr>
          <w:rFonts w:ascii="Times New Roman" w:eastAsia="Times New Roman" w:hAnsi="Times New Roman" w:cs="Times New Roman"/>
          <w:sz w:val="24"/>
          <w:szCs w:val="24"/>
        </w:rPr>
        <w:t xml:space="preserve">cacy of growth factor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xml:space="preserve"> in the biology of joints.</w:t>
      </w:r>
      <w:r>
        <w:rPr>
          <w:rFonts w:ascii="Times New Roman" w:eastAsia="Times New Roman" w:hAnsi="Times New Roman" w:cs="Times New Roman"/>
          <w:sz w:val="24"/>
          <w:szCs w:val="24"/>
          <w:vertAlign w:val="superscript"/>
        </w:rPr>
        <w:t>47</w:t>
      </w:r>
    </w:p>
    <w:p w14:paraId="1113770E"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short half-lives of these molecules and the difficulty of achieving sustained, local delivery are major problems associated with growth factor therapy. To overcome this, biomaterial-based cont</w:t>
      </w:r>
      <w:r>
        <w:rPr>
          <w:rFonts w:ascii="Times New Roman" w:eastAsia="Times New Roman" w:hAnsi="Times New Roman" w:cs="Times New Roman"/>
          <w:sz w:val="24"/>
          <w:szCs w:val="24"/>
        </w:rPr>
        <w:t xml:space="preserve">rolled-release systems, which include hydrogels and </w:t>
      </w:r>
      <w:proofErr w:type="gramStart"/>
      <w:r>
        <w:rPr>
          <w:rFonts w:ascii="Times New Roman" w:eastAsia="Times New Roman" w:hAnsi="Times New Roman" w:cs="Times New Roman"/>
          <w:sz w:val="24"/>
          <w:szCs w:val="24"/>
        </w:rPr>
        <w:t>nanoparticles,  have</w:t>
      </w:r>
      <w:proofErr w:type="gramEnd"/>
      <w:r>
        <w:rPr>
          <w:rFonts w:ascii="Times New Roman" w:eastAsia="Times New Roman" w:hAnsi="Times New Roman" w:cs="Times New Roman"/>
          <w:sz w:val="24"/>
          <w:szCs w:val="24"/>
        </w:rPr>
        <w:t xml:space="preserve"> been established to effectively deliver drugs and improve the efficacy of the therapy, but with reduced side effects.</w:t>
      </w:r>
      <w:r>
        <w:rPr>
          <w:rFonts w:ascii="Times New Roman" w:eastAsia="Times New Roman" w:hAnsi="Times New Roman" w:cs="Times New Roman"/>
          <w:sz w:val="24"/>
          <w:szCs w:val="24"/>
          <w:vertAlign w:val="superscript"/>
        </w:rPr>
        <w:t>48</w:t>
      </w:r>
    </w:p>
    <w:p w14:paraId="32CB0EC2"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Combination Strategies</w:t>
      </w:r>
    </w:p>
    <w:p w14:paraId="3301F012"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Due to the complexity of the pathophysio</w:t>
      </w:r>
      <w:r>
        <w:rPr>
          <w:rFonts w:ascii="Times New Roman" w:eastAsia="Times New Roman" w:hAnsi="Times New Roman" w:cs="Times New Roman"/>
          <w:sz w:val="24"/>
          <w:szCs w:val="24"/>
        </w:rPr>
        <w:t>logy of arthritis, the combination of different regenerative approaches is becoming more and more widely discussed with the aim to increase the treatment outcomes. These approaches are intended to work jointly on various levels of degeneration of the joint</w:t>
      </w:r>
      <w:r>
        <w:rPr>
          <w:rFonts w:ascii="Times New Roman" w:eastAsia="Times New Roman" w:hAnsi="Times New Roman" w:cs="Times New Roman"/>
          <w:sz w:val="24"/>
          <w:szCs w:val="24"/>
        </w:rPr>
        <w:t>, such as inflammation, cartilage regeneration, and tissue assimilation.</w:t>
      </w:r>
    </w:p>
    <w:p w14:paraId="6C63BE96"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Combining MSCs with MSCs has been reported to respond to PRP favourably because it has the capability to increase MSC proliferation, preservation, and differentiation, besides supplem</w:t>
      </w:r>
      <w:r>
        <w:rPr>
          <w:rFonts w:ascii="Times New Roman" w:eastAsia="Times New Roman" w:hAnsi="Times New Roman" w:cs="Times New Roman"/>
          <w:sz w:val="24"/>
          <w:szCs w:val="24"/>
        </w:rPr>
        <w:t>enting it with other growth factors that will promote tissue regeneration. Likewise, cell retention, mechanical stability, and cell-host tissue integration are enhanced by the use of the MSCs on the biomaterial scaffold.</w:t>
      </w:r>
      <w:r>
        <w:rPr>
          <w:rFonts w:ascii="Times New Roman" w:eastAsia="Times New Roman" w:hAnsi="Times New Roman" w:cs="Times New Roman"/>
          <w:sz w:val="24"/>
          <w:szCs w:val="24"/>
          <w:vertAlign w:val="superscript"/>
        </w:rPr>
        <w:t>49</w:t>
      </w:r>
    </w:p>
    <w:p w14:paraId="49937318"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novel approach involves e</w:t>
      </w:r>
      <w:r>
        <w:rPr>
          <w:rFonts w:ascii="Times New Roman" w:eastAsia="Times New Roman" w:hAnsi="Times New Roman" w:cs="Times New Roman"/>
          <w:sz w:val="24"/>
          <w:szCs w:val="24"/>
        </w:rPr>
        <w:t>xtracellular vesicles with the use of hydrogels, which can allow the release and local delivery of bioactive molecules in the joint on a sustained basis. These systems increase EV stability and therapeutic effectiveness as well as deliver a favourable micr</w:t>
      </w:r>
      <w:r>
        <w:rPr>
          <w:rFonts w:ascii="Times New Roman" w:eastAsia="Times New Roman" w:hAnsi="Times New Roman" w:cs="Times New Roman"/>
          <w:sz w:val="24"/>
          <w:szCs w:val="24"/>
        </w:rPr>
        <w:t>oenvironment to support tissue repair.</w:t>
      </w:r>
      <w:r>
        <w:rPr>
          <w:rFonts w:ascii="Times New Roman" w:eastAsia="Times New Roman" w:hAnsi="Times New Roman" w:cs="Times New Roman"/>
          <w:sz w:val="24"/>
          <w:szCs w:val="24"/>
          <w:vertAlign w:val="superscript"/>
        </w:rPr>
        <w:t>50</w:t>
      </w:r>
    </w:p>
    <w:p w14:paraId="38B345D9"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Combination therapies have not been translationally approved into clinical practice, notwithstanding encouraging preclinical evidence. The problems are more complexity of manufacturing, approval of regulatory, and w</w:t>
      </w:r>
      <w:r>
        <w:rPr>
          <w:rFonts w:ascii="Times New Roman" w:eastAsia="Times New Roman" w:hAnsi="Times New Roman" w:cs="Times New Roman"/>
          <w:sz w:val="24"/>
          <w:szCs w:val="24"/>
        </w:rPr>
        <w:t xml:space="preserve">ell-crafted clinical trials to determine safety and </w:t>
      </w:r>
      <w:r>
        <w:rPr>
          <w:rFonts w:ascii="Times New Roman" w:eastAsia="Times New Roman" w:hAnsi="Times New Roman" w:cs="Times New Roman"/>
          <w:sz w:val="24"/>
          <w:szCs w:val="24"/>
        </w:rPr>
        <w:lastRenderedPageBreak/>
        <w:t>efficacy. The optimization of therapeutic combinations and standardization of protocols should be necessary to further develop such strategies to a clinical application level.</w:t>
      </w:r>
    </w:p>
    <w:p w14:paraId="508B5F69"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5. Tissue Engineering and </w:t>
      </w:r>
      <w:r>
        <w:rPr>
          <w:rFonts w:ascii="Times New Roman" w:eastAsia="Times New Roman" w:hAnsi="Times New Roman" w:cs="Times New Roman"/>
          <w:b/>
          <w:bCs/>
          <w:sz w:val="24"/>
          <w:szCs w:val="24"/>
        </w:rPr>
        <w:t>Scaffolds</w:t>
      </w:r>
    </w:p>
    <w:p w14:paraId="0DD82739"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Scaffold Materials: Natural, Synthetic, and Hybrid Systems</w:t>
      </w:r>
    </w:p>
    <w:p w14:paraId="386574A6" w14:textId="7BDA2406"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cartilage regenerative techniques in tissue engineering involve the application of scaffolds that offer mechanical backup, allow cell settlement, and resemble the native extracellular</w:t>
      </w:r>
      <w:r>
        <w:rPr>
          <w:rFonts w:ascii="Times New Roman" w:eastAsia="Times New Roman" w:hAnsi="Times New Roman" w:cs="Times New Roman"/>
          <w:sz w:val="24"/>
          <w:szCs w:val="24"/>
        </w:rPr>
        <w:t xml:space="preserve"> matrix (ECM). A perfect scaffold must be biocompatible, biodegradable, mechanically stable, and sustaining chondrogenesis as well as uniting well with host tissue.</w:t>
      </w:r>
      <w:r>
        <w:rPr>
          <w:rFonts w:ascii="Times New Roman" w:eastAsia="Times New Roman" w:hAnsi="Times New Roman" w:cs="Times New Roman"/>
          <w:sz w:val="24"/>
          <w:szCs w:val="24"/>
          <w:vertAlign w:val="superscript"/>
        </w:rPr>
        <w:t>51</w:t>
      </w:r>
    </w:p>
    <w:p w14:paraId="2738CDF6" w14:textId="7AA4E613"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collagen, hyaluronic acid, chitosan, and alginate are natural biomaterials used exten</w:t>
      </w:r>
      <w:r>
        <w:rPr>
          <w:rFonts w:ascii="Times New Roman" w:eastAsia="Times New Roman" w:hAnsi="Times New Roman" w:cs="Times New Roman"/>
          <w:sz w:val="24"/>
          <w:szCs w:val="24"/>
        </w:rPr>
        <w:t xml:space="preserve">sively as they possess an inherent biocompatibility and also resemble the native cartilage ECM structure. Collagen-based scaffolds enhance the cell arrest and chondrogenic differentiation, whereas hyaluronic acid aids the tissue hydration and organization </w:t>
      </w:r>
      <w:r>
        <w:rPr>
          <w:rFonts w:ascii="Times New Roman" w:eastAsia="Times New Roman" w:hAnsi="Times New Roman" w:cs="Times New Roman"/>
          <w:sz w:val="24"/>
          <w:szCs w:val="24"/>
        </w:rPr>
        <w:t>of the matrix. Nevertheless, these materials are usually affected by low mechanical strength and a very high rate of degradation, making them inapplicable in load-bearing systems as joints.</w:t>
      </w:r>
      <w:r>
        <w:rPr>
          <w:rFonts w:ascii="Times New Roman" w:eastAsia="Times New Roman" w:hAnsi="Times New Roman" w:cs="Times New Roman"/>
          <w:sz w:val="24"/>
          <w:szCs w:val="24"/>
          <w:vertAlign w:val="superscript"/>
        </w:rPr>
        <w:t>52</w:t>
      </w:r>
    </w:p>
    <w:p w14:paraId="49421F0C" w14:textId="231B5653"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Synthetic polymers such as </w:t>
      </w:r>
      <w:proofErr w:type="gramStart"/>
      <w:r>
        <w:rPr>
          <w:rFonts w:ascii="Times New Roman" w:eastAsia="Times New Roman" w:hAnsi="Times New Roman" w:cs="Times New Roman"/>
          <w:sz w:val="24"/>
          <w:szCs w:val="24"/>
        </w:rPr>
        <w:t>poly(</w:t>
      </w:r>
      <w:proofErr w:type="gramEnd"/>
      <w:r>
        <w:rPr>
          <w:rFonts w:ascii="Times New Roman" w:eastAsia="Times New Roman" w:hAnsi="Times New Roman" w:cs="Times New Roman"/>
          <w:sz w:val="24"/>
          <w:szCs w:val="24"/>
        </w:rPr>
        <w:t>lactic-co-glycolic acid) (PLGA) and polycaprolactone (PCL) give control over mechanical properties, degradation rate, and are reproducible in the production process. These properties render them appropriate in the preparation of scaffolds that would withst</w:t>
      </w:r>
      <w:r>
        <w:rPr>
          <w:rFonts w:ascii="Times New Roman" w:eastAsia="Times New Roman" w:hAnsi="Times New Roman" w:cs="Times New Roman"/>
          <w:sz w:val="24"/>
          <w:szCs w:val="24"/>
        </w:rPr>
        <w:t>and mechanical tension. But synthetic materials are not inherently bioactive, and in most cases, they need to be functionalized or incorporate biological cues in order to improve cellular responses.</w:t>
      </w:r>
      <w:r>
        <w:rPr>
          <w:rFonts w:ascii="Times New Roman" w:eastAsia="Times New Roman" w:hAnsi="Times New Roman" w:cs="Times New Roman"/>
          <w:sz w:val="24"/>
          <w:szCs w:val="24"/>
          <w:vertAlign w:val="superscript"/>
        </w:rPr>
        <w:t>53</w:t>
      </w:r>
    </w:p>
    <w:p w14:paraId="08ADF08C" w14:textId="6ACB6586"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Hybrid scaffolds are natural scaffolds that are mixed w</w:t>
      </w:r>
      <w:r>
        <w:rPr>
          <w:rFonts w:ascii="Times New Roman" w:eastAsia="Times New Roman" w:hAnsi="Times New Roman" w:cs="Times New Roman"/>
          <w:sz w:val="24"/>
          <w:szCs w:val="24"/>
        </w:rPr>
        <w:t>ith a synthetic scaffold to take advantage of the strengths of the two systems. The improved mechanical stability and retained biological compatibility of these composites have made them even more interesting to cartilage tissue engineering processes.</w:t>
      </w:r>
      <w:r>
        <w:rPr>
          <w:rFonts w:ascii="Times New Roman" w:eastAsia="Times New Roman" w:hAnsi="Times New Roman" w:cs="Times New Roman"/>
          <w:sz w:val="24"/>
          <w:szCs w:val="24"/>
          <w:vertAlign w:val="superscript"/>
        </w:rPr>
        <w:t>54</w:t>
      </w:r>
    </w:p>
    <w:p w14:paraId="13F1CE87"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3D</w:t>
      </w:r>
      <w:r>
        <w:rPr>
          <w:rFonts w:ascii="Times New Roman" w:eastAsia="Times New Roman" w:hAnsi="Times New Roman" w:cs="Times New Roman"/>
          <w:b/>
          <w:bCs/>
          <w:sz w:val="24"/>
          <w:szCs w:val="24"/>
        </w:rPr>
        <w:t xml:space="preserve"> Bioprinting and Zonal Cartilage Engineering</w:t>
      </w:r>
    </w:p>
    <w:p w14:paraId="3E8CD634" w14:textId="1802A870"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3D (or three dimensional-3D) bioprinting technology has become a disruptive technology in the field of cartilage tissue engineering, as it allows the creation of complex and biomimetic scaffold architecture.</w:t>
      </w:r>
      <w:r>
        <w:rPr>
          <w:rFonts w:ascii="Times New Roman" w:eastAsia="Times New Roman" w:hAnsi="Times New Roman" w:cs="Times New Roman"/>
          <w:sz w:val="24"/>
          <w:szCs w:val="24"/>
        </w:rPr>
        <w:t xml:space="preserve"> The technology can enable the exact spatial regulation of cell placement, of biomaterial composition, and structural design, which allows the production of constructs that are highly similar to native cartilage.</w:t>
      </w:r>
      <w:r>
        <w:rPr>
          <w:rFonts w:ascii="Times New Roman" w:eastAsia="Times New Roman" w:hAnsi="Times New Roman" w:cs="Times New Roman"/>
          <w:sz w:val="24"/>
          <w:szCs w:val="24"/>
          <w:vertAlign w:val="superscript"/>
        </w:rPr>
        <w:t>54</w:t>
      </w:r>
    </w:p>
    <w:p w14:paraId="3C025578" w14:textId="044AF034"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lastRenderedPageBreak/>
        <w:t>There is a recognizable zonal structure o</w:t>
      </w:r>
      <w:r>
        <w:rPr>
          <w:rFonts w:ascii="Times New Roman" w:eastAsia="Times New Roman" w:hAnsi="Times New Roman" w:cs="Times New Roman"/>
          <w:sz w:val="24"/>
          <w:szCs w:val="24"/>
        </w:rPr>
        <w:t xml:space="preserve">f articular cartilage, and both cell morphology, collagen </w:t>
      </w:r>
      <w:proofErr w:type="spellStart"/>
      <w:r>
        <w:rPr>
          <w:rFonts w:ascii="Times New Roman" w:eastAsia="Times New Roman" w:hAnsi="Times New Roman" w:cs="Times New Roman"/>
          <w:sz w:val="24"/>
          <w:szCs w:val="24"/>
        </w:rPr>
        <w:t>fiber</w:t>
      </w:r>
      <w:proofErr w:type="spellEnd"/>
      <w:r>
        <w:rPr>
          <w:rFonts w:ascii="Times New Roman" w:eastAsia="Times New Roman" w:hAnsi="Times New Roman" w:cs="Times New Roman"/>
          <w:sz w:val="24"/>
          <w:szCs w:val="24"/>
        </w:rPr>
        <w:t xml:space="preserve"> orientation, and biochemical composition differ between superficial, middle, and deep zones. This zonal architecture is vital to replicate and attain functional regeneration. The presence of a</w:t>
      </w:r>
      <w:r>
        <w:rPr>
          <w:rFonts w:ascii="Times New Roman" w:eastAsia="Times New Roman" w:hAnsi="Times New Roman" w:cs="Times New Roman"/>
          <w:sz w:val="24"/>
          <w:szCs w:val="24"/>
        </w:rPr>
        <w:t>dvanced bioprinting allows the production of multilayered constructs with gradient characteristics, which resemble the cartilage nature and functioning of an organism.</w:t>
      </w:r>
      <w:r>
        <w:rPr>
          <w:rFonts w:ascii="Times New Roman" w:eastAsia="Times New Roman" w:hAnsi="Times New Roman" w:cs="Times New Roman"/>
          <w:sz w:val="24"/>
          <w:szCs w:val="24"/>
          <w:vertAlign w:val="superscript"/>
        </w:rPr>
        <w:t>57</w:t>
      </w:r>
    </w:p>
    <w:p w14:paraId="4095A87F" w14:textId="4130B2DF"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Although these have been developed, there are still major challenges, especially in at</w:t>
      </w:r>
      <w:r>
        <w:rPr>
          <w:rFonts w:ascii="Times New Roman" w:eastAsia="Times New Roman" w:hAnsi="Times New Roman" w:cs="Times New Roman"/>
          <w:sz w:val="24"/>
          <w:szCs w:val="24"/>
        </w:rPr>
        <w:t xml:space="preserve">taining adequate mechanical strength and probable durability of </w:t>
      </w:r>
      <w:proofErr w:type="spellStart"/>
      <w:r>
        <w:rPr>
          <w:rFonts w:ascii="Times New Roman" w:eastAsia="Times New Roman" w:hAnsi="Times New Roman" w:cs="Times New Roman"/>
          <w:sz w:val="24"/>
          <w:szCs w:val="24"/>
        </w:rPr>
        <w:t>bioprinted</w:t>
      </w:r>
      <w:proofErr w:type="spellEnd"/>
      <w:r>
        <w:rPr>
          <w:rFonts w:ascii="Times New Roman" w:eastAsia="Times New Roman" w:hAnsi="Times New Roman" w:cs="Times New Roman"/>
          <w:sz w:val="24"/>
          <w:szCs w:val="24"/>
        </w:rPr>
        <w:t xml:space="preserve"> constructs under the conditions of physiological loading.</w:t>
      </w:r>
      <w:r>
        <w:rPr>
          <w:rFonts w:ascii="Times New Roman" w:eastAsia="Times New Roman" w:hAnsi="Times New Roman" w:cs="Times New Roman"/>
          <w:sz w:val="24"/>
          <w:szCs w:val="24"/>
          <w:vertAlign w:val="superscript"/>
        </w:rPr>
        <w:t>57</w:t>
      </w:r>
    </w:p>
    <w:p w14:paraId="486DEA0D"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Mechanical Considerations, Integration, and Nutrient Diffusion</w:t>
      </w:r>
    </w:p>
    <w:p w14:paraId="3BB8CD5D" w14:textId="49EDB08A"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In the cartilage regeneration process, mechanical properti</w:t>
      </w:r>
      <w:r>
        <w:rPr>
          <w:rFonts w:ascii="Times New Roman" w:eastAsia="Times New Roman" w:hAnsi="Times New Roman" w:cs="Times New Roman"/>
          <w:sz w:val="24"/>
          <w:szCs w:val="24"/>
        </w:rPr>
        <w:t>es serve as an important indicator of scaffold functionality. To respond to movement of the joints, native cartilage has viscoelastic characteristics that enable force compression and shearing. These mechanical properties need to be reproduced using scaffo</w:t>
      </w:r>
      <w:r>
        <w:rPr>
          <w:rFonts w:ascii="Times New Roman" w:eastAsia="Times New Roman" w:hAnsi="Times New Roman" w:cs="Times New Roman"/>
          <w:sz w:val="24"/>
          <w:szCs w:val="24"/>
        </w:rPr>
        <w:t>lds, and they should provide sufficient support to withstand structural failure.</w:t>
      </w:r>
      <w:r>
        <w:rPr>
          <w:rFonts w:ascii="Times New Roman" w:eastAsia="Times New Roman" w:hAnsi="Times New Roman" w:cs="Times New Roman"/>
          <w:sz w:val="24"/>
          <w:szCs w:val="24"/>
          <w:vertAlign w:val="superscript"/>
        </w:rPr>
        <w:t>55</w:t>
      </w:r>
    </w:p>
    <w:p w14:paraId="3BAB3E0E" w14:textId="3E9A7A12"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Good incorporation into the host tissue is critical for long-term functionality. Lack of integration may lead to the delamination and mechanical instability of the final res</w:t>
      </w:r>
      <w:r>
        <w:rPr>
          <w:rFonts w:ascii="Times New Roman" w:eastAsia="Times New Roman" w:hAnsi="Times New Roman" w:cs="Times New Roman"/>
          <w:sz w:val="24"/>
          <w:szCs w:val="24"/>
        </w:rPr>
        <w:t xml:space="preserve">ults of repair. Financial tactics of enhancing the integration involve bioactive coatings, gradient scaffolds, and the implementation of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xml:space="preserve"> molecules that induce cell migration and continuum of the matrix.</w:t>
      </w:r>
      <w:r>
        <w:rPr>
          <w:rFonts w:ascii="Times New Roman" w:eastAsia="Times New Roman" w:hAnsi="Times New Roman" w:cs="Times New Roman"/>
          <w:sz w:val="24"/>
          <w:szCs w:val="24"/>
          <w:vertAlign w:val="superscript"/>
        </w:rPr>
        <w:t>56</w:t>
      </w:r>
    </w:p>
    <w:p w14:paraId="33786DB0" w14:textId="4749D982"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The use of avascular cartilage structure </w:t>
      </w:r>
      <w:r>
        <w:rPr>
          <w:rFonts w:ascii="Times New Roman" w:eastAsia="Times New Roman" w:hAnsi="Times New Roman" w:cs="Times New Roman"/>
          <w:sz w:val="24"/>
          <w:szCs w:val="24"/>
        </w:rPr>
        <w:t>makes the diffusion of nutrients vital to the survival of cells in engineered constructs. Porosity and interconnectivity of the scaffolds should be maximized so that oxygen and nutrients can move freely, and that the metabolic waste can move out, and struc</w:t>
      </w:r>
      <w:r>
        <w:rPr>
          <w:rFonts w:ascii="Times New Roman" w:eastAsia="Times New Roman" w:hAnsi="Times New Roman" w:cs="Times New Roman"/>
          <w:sz w:val="24"/>
          <w:szCs w:val="24"/>
        </w:rPr>
        <w:t>tural integrity should be preserved.</w:t>
      </w:r>
      <w:r>
        <w:rPr>
          <w:rFonts w:ascii="Times New Roman" w:eastAsia="Times New Roman" w:hAnsi="Times New Roman" w:cs="Times New Roman"/>
          <w:sz w:val="24"/>
          <w:szCs w:val="24"/>
          <w:vertAlign w:val="superscript"/>
        </w:rPr>
        <w:t>51</w:t>
      </w:r>
    </w:p>
    <w:p w14:paraId="2E14C12B"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Clinical Translation and Limitations</w:t>
      </w:r>
    </w:p>
    <w:p w14:paraId="6D436C5B" w14:textId="772A2950"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 number of scaffold systems have moved to clinical trials, most often with cell-based systems as matrix-associated autologous chondrocyte implantation (MACI). These treatments hav</w:t>
      </w:r>
      <w:r>
        <w:rPr>
          <w:rFonts w:ascii="Times New Roman" w:eastAsia="Times New Roman" w:hAnsi="Times New Roman" w:cs="Times New Roman"/>
          <w:sz w:val="24"/>
          <w:szCs w:val="24"/>
        </w:rPr>
        <w:t>e shown better structural and functional correction of patients with focal cartilage defects.</w:t>
      </w:r>
      <w:r>
        <w:rPr>
          <w:rFonts w:ascii="Times New Roman" w:eastAsia="Times New Roman" w:hAnsi="Times New Roman" w:cs="Times New Roman"/>
          <w:sz w:val="24"/>
          <w:szCs w:val="24"/>
          <w:vertAlign w:val="superscript"/>
        </w:rPr>
        <w:t>56</w:t>
      </w:r>
    </w:p>
    <w:p w14:paraId="4EA0C1D0" w14:textId="277FE125"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Clinical translation has, however, not been widely translated because of various factors. The influence of variance in the characteristics of patients, defect s</w:t>
      </w:r>
      <w:r>
        <w:rPr>
          <w:rFonts w:ascii="Times New Roman" w:eastAsia="Times New Roman" w:hAnsi="Times New Roman" w:cs="Times New Roman"/>
          <w:sz w:val="24"/>
          <w:szCs w:val="24"/>
        </w:rPr>
        <w:t xml:space="preserve">ize, and joint environment adds </w:t>
      </w:r>
      <w:r>
        <w:rPr>
          <w:rFonts w:ascii="Times New Roman" w:eastAsia="Times New Roman" w:hAnsi="Times New Roman" w:cs="Times New Roman"/>
          <w:sz w:val="24"/>
          <w:szCs w:val="24"/>
        </w:rPr>
        <w:lastRenderedPageBreak/>
        <w:t>to disparate clinical results. Also, there is difficulty in producing scaffolds, regulatory aspects, and high prices of advanced technology like 3D bioprinting create access barriers.</w:t>
      </w:r>
      <w:r>
        <w:rPr>
          <w:rFonts w:ascii="Times New Roman" w:eastAsia="Times New Roman" w:hAnsi="Times New Roman" w:cs="Times New Roman"/>
          <w:sz w:val="24"/>
          <w:szCs w:val="24"/>
          <w:vertAlign w:val="superscript"/>
        </w:rPr>
        <w:t>57</w:t>
      </w:r>
    </w:p>
    <w:p w14:paraId="083831FE"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no available long-term data </w:t>
      </w:r>
      <w:r>
        <w:rPr>
          <w:rFonts w:ascii="Times New Roman" w:eastAsia="Times New Roman" w:hAnsi="Times New Roman" w:cs="Times New Roman"/>
          <w:sz w:val="24"/>
          <w:szCs w:val="24"/>
        </w:rPr>
        <w:t>on the durability and integration into the functioning of planned clinical trials with a long-term outcome. These concerns have to be addressed to ensure effective translation of the scaffold-based therapies into the routine clinical setting.</w:t>
      </w:r>
    </w:p>
    <w:p w14:paraId="6EE28030"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Gene Thera</w:t>
      </w:r>
      <w:r>
        <w:rPr>
          <w:rFonts w:ascii="Times New Roman" w:eastAsia="Times New Roman" w:hAnsi="Times New Roman" w:cs="Times New Roman"/>
          <w:b/>
          <w:bCs/>
          <w:sz w:val="24"/>
          <w:szCs w:val="24"/>
        </w:rPr>
        <w:t>py and Gene-Enhanced Cell Therapies</w:t>
      </w:r>
    </w:p>
    <w:p w14:paraId="025CA402" w14:textId="6FECFE50"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Gene therapy is a high-tech regenerative approach to changing the functionality of cells in order to repair cartilage, prevent inflammation, and restore joint homeostasis. In contrast to traditional biologic therapies, w</w:t>
      </w:r>
      <w:r>
        <w:rPr>
          <w:rFonts w:ascii="Times New Roman" w:eastAsia="Times New Roman" w:hAnsi="Times New Roman" w:cs="Times New Roman"/>
          <w:sz w:val="24"/>
          <w:szCs w:val="24"/>
        </w:rPr>
        <w:t>hich cannot be administered twice to achieve long-term effects, gene therapy allows long-term, local gene production in the joint, which can potentially increase efficacy and reduce systemic exposures.</w:t>
      </w:r>
      <w:r>
        <w:rPr>
          <w:rFonts w:ascii="Times New Roman" w:eastAsia="Times New Roman" w:hAnsi="Times New Roman" w:cs="Times New Roman"/>
          <w:sz w:val="24"/>
          <w:szCs w:val="24"/>
          <w:vertAlign w:val="superscript"/>
        </w:rPr>
        <w:t>57</w:t>
      </w:r>
    </w:p>
    <w:p w14:paraId="370C89DD"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Viral and Non-Viral Gene Delivery Approaches</w:t>
      </w:r>
    </w:p>
    <w:p w14:paraId="7711B269" w14:textId="71E533E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In gene</w:t>
      </w:r>
      <w:r>
        <w:rPr>
          <w:rFonts w:ascii="Times New Roman" w:eastAsia="Times New Roman" w:hAnsi="Times New Roman" w:cs="Times New Roman"/>
          <w:sz w:val="24"/>
          <w:szCs w:val="24"/>
        </w:rPr>
        <w:t>ral, there are two basic types of gene delivery systems, viral and non-viral vectors, each of which has its own pros and cons. The use of viral vectors such as adenoviral, adeno-associated viral (AAV), and lentiviral systems is widespread due to their high</w:t>
      </w:r>
      <w:r>
        <w:rPr>
          <w:rFonts w:ascii="Times New Roman" w:eastAsia="Times New Roman" w:hAnsi="Times New Roman" w:cs="Times New Roman"/>
          <w:sz w:val="24"/>
          <w:szCs w:val="24"/>
        </w:rPr>
        <w:t xml:space="preserve"> levels of transduction and their capacity to obtain sustained gene expression. Of these, AAV vectors are especially useful in musculoskeletal systems due to their relative immunogenicity and their long-term expression in non-dividing cells like chondrocyt</w:t>
      </w:r>
      <w:r>
        <w:rPr>
          <w:rFonts w:ascii="Times New Roman" w:eastAsia="Times New Roman" w:hAnsi="Times New Roman" w:cs="Times New Roman"/>
          <w:sz w:val="24"/>
          <w:szCs w:val="24"/>
        </w:rPr>
        <w:t>es.</w:t>
      </w:r>
      <w:r>
        <w:rPr>
          <w:rFonts w:ascii="Times New Roman" w:eastAsia="Times New Roman" w:hAnsi="Times New Roman" w:cs="Times New Roman"/>
          <w:sz w:val="24"/>
          <w:szCs w:val="24"/>
          <w:vertAlign w:val="superscript"/>
        </w:rPr>
        <w:t>58</w:t>
      </w:r>
    </w:p>
    <w:p w14:paraId="7CF64FCA" w14:textId="0105140A"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genomic areas of therapeutic interest in genetic therapy of arthritis is the expression of anti-inflammatory genes. Interleukin-1 receptor antagonist (IL-1Ra) is a research topic that has been well researched on the basis of its ability to</w:t>
      </w:r>
      <w:r>
        <w:rPr>
          <w:rFonts w:ascii="Times New Roman" w:eastAsia="Times New Roman" w:hAnsi="Times New Roman" w:cs="Times New Roman"/>
          <w:sz w:val="24"/>
          <w:szCs w:val="24"/>
        </w:rPr>
        <w:t xml:space="preserve"> inhibit IL-1β signals, which are critical in cartilage destruction. Likewise, interleukin-10 (IL-10) has shown the capacity to restrain the inflammatory reaction and to mediate the immune reaction within the joint microenvironment.</w:t>
      </w:r>
      <w:r>
        <w:rPr>
          <w:rFonts w:ascii="Times New Roman" w:eastAsia="Times New Roman" w:hAnsi="Times New Roman" w:cs="Times New Roman"/>
          <w:sz w:val="24"/>
          <w:szCs w:val="24"/>
          <w:vertAlign w:val="superscript"/>
        </w:rPr>
        <w:t>57</w:t>
      </w:r>
    </w:p>
    <w:p w14:paraId="105FFD16"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Anabolic gene deliver</w:t>
      </w:r>
      <w:r>
        <w:rPr>
          <w:rFonts w:ascii="Times New Roman" w:eastAsia="Times New Roman" w:hAnsi="Times New Roman" w:cs="Times New Roman"/>
          <w:sz w:val="24"/>
          <w:szCs w:val="24"/>
        </w:rPr>
        <w:t>y methods, in addition to anti-inflammatory strategies, are also aimed at improving cartilage regeneration. The induction of growth factors like bone morphogenetic proteins (BMPs), transforming growth factor- beta (TGF-β) plays a significant role in contro</w:t>
      </w:r>
      <w:r>
        <w:rPr>
          <w:rFonts w:ascii="Times New Roman" w:eastAsia="Times New Roman" w:hAnsi="Times New Roman" w:cs="Times New Roman"/>
          <w:sz w:val="24"/>
          <w:szCs w:val="24"/>
        </w:rPr>
        <w:t xml:space="preserve">lling the chondrogenesis process and production of extracellular matrix. Nevertheless, they may be negatively expressed in the absence of external regulation, resulting in manifestations of osteophyte or fibrosis, which is why closely regulated systems of </w:t>
      </w:r>
      <w:r>
        <w:rPr>
          <w:rFonts w:ascii="Times New Roman" w:eastAsia="Times New Roman" w:hAnsi="Times New Roman" w:cs="Times New Roman"/>
          <w:sz w:val="24"/>
          <w:szCs w:val="24"/>
        </w:rPr>
        <w:t>gene expression are crucial.</w:t>
      </w:r>
      <w:r>
        <w:rPr>
          <w:rFonts w:ascii="Times New Roman" w:eastAsia="Times New Roman" w:hAnsi="Times New Roman" w:cs="Times New Roman"/>
          <w:sz w:val="24"/>
          <w:szCs w:val="24"/>
          <w:vertAlign w:val="superscript"/>
        </w:rPr>
        <w:t>44</w:t>
      </w:r>
    </w:p>
    <w:p w14:paraId="4D7CDC7B" w14:textId="35A9812A"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lastRenderedPageBreak/>
        <w:t xml:space="preserve">Non-viral delivery methods, such as plasmid DNA systems and nanoparticle-based delivery vehicles, provide enhanced safety because of the lack of risky factors of viral integration and immunological reactions. Nevertheless, </w:t>
      </w:r>
      <w:r>
        <w:rPr>
          <w:rFonts w:ascii="Times New Roman" w:eastAsia="Times New Roman" w:hAnsi="Times New Roman" w:cs="Times New Roman"/>
          <w:sz w:val="24"/>
          <w:szCs w:val="24"/>
        </w:rPr>
        <w:t>they have a relatively low transfection efficiency and a short-lived gene expression, which are significant limitations, and their clinical usefulness is not yet complete.</w:t>
      </w:r>
      <w:r>
        <w:rPr>
          <w:rFonts w:ascii="Times New Roman" w:eastAsia="Times New Roman" w:hAnsi="Times New Roman" w:cs="Times New Roman"/>
          <w:sz w:val="24"/>
          <w:szCs w:val="24"/>
          <w:vertAlign w:val="superscript"/>
        </w:rPr>
        <w:t>58</w:t>
      </w:r>
      <w:r w:rsidR="00FD7F49">
        <w:rPr>
          <w:rFonts w:ascii="Times New Roman" w:eastAsia="Times New Roman" w:hAnsi="Times New Roman" w:cs="Times New Roman"/>
          <w:sz w:val="24"/>
          <w:szCs w:val="24"/>
          <w:vertAlign w:val="superscript"/>
        </w:rPr>
        <w:t>,59</w:t>
      </w:r>
    </w:p>
    <w:p w14:paraId="4A2329F5"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Gene-Enhanced Cell Therapies (Ex Vivo Approaches)</w:t>
      </w:r>
    </w:p>
    <w:p w14:paraId="420D7C96"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 vivo gene therapy includes</w:t>
      </w:r>
      <w:r>
        <w:rPr>
          <w:rFonts w:ascii="Times New Roman" w:eastAsia="Times New Roman" w:hAnsi="Times New Roman" w:cs="Times New Roman"/>
          <w:sz w:val="24"/>
          <w:szCs w:val="24"/>
        </w:rPr>
        <w:t xml:space="preserve"> the genetic engineering of cells in the extracorporeal system and then transplantation into the target organ. It is an approach that integrates the cell-based therapeutic potential of regeneration and prolonged delivery of therapeutic molecules.</w:t>
      </w:r>
    </w:p>
    <w:p w14:paraId="1A716581" w14:textId="05B42605"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Mesenchym</w:t>
      </w:r>
      <w:r>
        <w:rPr>
          <w:rFonts w:ascii="Times New Roman" w:eastAsia="Times New Roman" w:hAnsi="Times New Roman" w:cs="Times New Roman"/>
          <w:sz w:val="24"/>
          <w:szCs w:val="24"/>
        </w:rPr>
        <w:t>al stem cells (MSCs) offer the most restricted opportunity of using gene-enhanced therapies because of their immunomodulatory, differentiation, and localized capacity to tissue injury locations. MSCs can also be modified to secrete anti-inflammatory cytoki</w:t>
      </w:r>
      <w:r>
        <w:rPr>
          <w:rFonts w:ascii="Times New Roman" w:eastAsia="Times New Roman" w:hAnsi="Times New Roman" w:cs="Times New Roman"/>
          <w:sz w:val="24"/>
          <w:szCs w:val="24"/>
        </w:rPr>
        <w:t>nes like IL-1Ra or anabolic growth factors like BMPs to improve their therapeutic activity.</w:t>
      </w:r>
      <w:r>
        <w:rPr>
          <w:rFonts w:ascii="Times New Roman" w:eastAsia="Times New Roman" w:hAnsi="Times New Roman" w:cs="Times New Roman"/>
          <w:sz w:val="24"/>
          <w:szCs w:val="24"/>
          <w:vertAlign w:val="superscript"/>
        </w:rPr>
        <w:t>60</w:t>
      </w:r>
    </w:p>
    <w:p w14:paraId="0B4FC5A1" w14:textId="6B233454"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Preclinical research has also found that gene-modified MSCs are more effective than unmodified ones in terms of cartilage repair effects, inflammation, and long-t</w:t>
      </w:r>
      <w:r>
        <w:rPr>
          <w:rFonts w:ascii="Times New Roman" w:eastAsia="Times New Roman" w:hAnsi="Times New Roman" w:cs="Times New Roman"/>
          <w:sz w:val="24"/>
          <w:szCs w:val="24"/>
        </w:rPr>
        <w:t>erm therapeutic effects. This is another method of overcoming the short half-life of the biologics that are directly supplied, as it allows the therapeutic proteins to be produced locally.</w:t>
      </w:r>
      <w:r>
        <w:rPr>
          <w:rFonts w:ascii="Times New Roman" w:eastAsia="Times New Roman" w:hAnsi="Times New Roman" w:cs="Times New Roman"/>
          <w:sz w:val="24"/>
          <w:szCs w:val="24"/>
          <w:vertAlign w:val="superscript"/>
        </w:rPr>
        <w:t>57</w:t>
      </w:r>
    </w:p>
    <w:p w14:paraId="0E5D7B12"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Nonetheless, the ex vivo gene therapy strategies are linked to a </w:t>
      </w:r>
      <w:r>
        <w:rPr>
          <w:rFonts w:ascii="Times New Roman" w:eastAsia="Times New Roman" w:hAnsi="Times New Roman" w:cs="Times New Roman"/>
          <w:sz w:val="24"/>
          <w:szCs w:val="24"/>
        </w:rPr>
        <w:t>higher level of complexity, higher cost, and production. The quality of these therapies is important and should be controlled by rigorous assays, such as gene expression, cell viability, and safety before implantation, and this could be a limitation to sca</w:t>
      </w:r>
      <w:r>
        <w:rPr>
          <w:rFonts w:ascii="Times New Roman" w:eastAsia="Times New Roman" w:hAnsi="Times New Roman" w:cs="Times New Roman"/>
          <w:sz w:val="24"/>
          <w:szCs w:val="24"/>
        </w:rPr>
        <w:t>ling the therapy and making it a common clinical practice.</w:t>
      </w:r>
    </w:p>
    <w:p w14:paraId="33472341"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Safety, Off-Target Effects, and Regulatory Considerations</w:t>
      </w:r>
    </w:p>
    <w:p w14:paraId="4B20338D" w14:textId="409B624B"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Gene therapies are also vital in terms of their potential in therapy, and cause serious safety concerns. There is a risk of insertional mut</w:t>
      </w:r>
      <w:r>
        <w:rPr>
          <w:rFonts w:ascii="Times New Roman" w:eastAsia="Times New Roman" w:hAnsi="Times New Roman" w:cs="Times New Roman"/>
          <w:sz w:val="24"/>
          <w:szCs w:val="24"/>
        </w:rPr>
        <w:t>agenesis that can be caused by viral vectors, especially integrating viruses, like lentiviruses, and alter host gene activity and, thus, cause oncogenesis. Though this risk can be minimized by non-integrating vectors, e.g., AAV, immune reactions and toxici</w:t>
      </w:r>
      <w:r>
        <w:rPr>
          <w:rFonts w:ascii="Times New Roman" w:eastAsia="Times New Roman" w:hAnsi="Times New Roman" w:cs="Times New Roman"/>
          <w:sz w:val="24"/>
          <w:szCs w:val="24"/>
        </w:rPr>
        <w:t>ty to vectors are also significant factors to take into account.</w:t>
      </w:r>
      <w:r>
        <w:rPr>
          <w:rFonts w:ascii="Times New Roman" w:eastAsia="Times New Roman" w:hAnsi="Times New Roman" w:cs="Times New Roman"/>
          <w:sz w:val="24"/>
          <w:szCs w:val="24"/>
          <w:vertAlign w:val="superscript"/>
        </w:rPr>
        <w:t>61</w:t>
      </w:r>
    </w:p>
    <w:p w14:paraId="2D66983E" w14:textId="2416A0C1"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The fate of off-targets and unregulated expression of the gene is also a critical issue. Overexpression and long-lasting hyperexpression of growth factors, including TGF-β or BMPs can lead </w:t>
      </w:r>
      <w:r>
        <w:rPr>
          <w:rFonts w:ascii="Times New Roman" w:eastAsia="Times New Roman" w:hAnsi="Times New Roman" w:cs="Times New Roman"/>
          <w:sz w:val="24"/>
          <w:szCs w:val="24"/>
        </w:rPr>
        <w:t xml:space="preserve">to fibrosis, neoplastic formation of tissues or bone abnormal maturation. </w:t>
      </w:r>
      <w:r>
        <w:rPr>
          <w:rFonts w:ascii="Times New Roman" w:eastAsia="Times New Roman" w:hAnsi="Times New Roman" w:cs="Times New Roman"/>
          <w:sz w:val="24"/>
          <w:szCs w:val="24"/>
        </w:rPr>
        <w:lastRenderedPageBreak/>
        <w:t>Consequently, it is vital to develop a set of controlled gene expression systems involving inducible promoters and tissue-directed targeting methods to enhance the system that will b</w:t>
      </w:r>
      <w:r>
        <w:rPr>
          <w:rFonts w:ascii="Times New Roman" w:eastAsia="Times New Roman" w:hAnsi="Times New Roman" w:cs="Times New Roman"/>
          <w:sz w:val="24"/>
          <w:szCs w:val="24"/>
        </w:rPr>
        <w:t>e safe and therapeutically precise.</w:t>
      </w:r>
      <w:r>
        <w:rPr>
          <w:rFonts w:ascii="Times New Roman" w:eastAsia="Times New Roman" w:hAnsi="Times New Roman" w:cs="Times New Roman"/>
          <w:sz w:val="24"/>
          <w:szCs w:val="24"/>
          <w:vertAlign w:val="superscript"/>
        </w:rPr>
        <w:t>44</w:t>
      </w:r>
    </w:p>
    <w:p w14:paraId="79C6466D" w14:textId="0696CCD6" w:rsidR="00847CE5" w:rsidRPr="00D500FE"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Regulatory To a regulatory level, gene therapies are considered advanced therapy medicinal products (ATMPs) and have high levels of assessment by regulatory bodies. These medicines have to undergo preclinical testing, </w:t>
      </w:r>
      <w:r>
        <w:rPr>
          <w:rFonts w:ascii="Times New Roman" w:eastAsia="Times New Roman" w:hAnsi="Times New Roman" w:cs="Times New Roman"/>
          <w:sz w:val="24"/>
          <w:szCs w:val="24"/>
        </w:rPr>
        <w:t>batch production, and follow-up study over a long period to determine safety and effectiveness. The prohibitive development expenses and the complicated regulatory procedures are among the key impediments to clinical translation.</w:t>
      </w:r>
      <w:r>
        <w:rPr>
          <w:rFonts w:ascii="Times New Roman" w:eastAsia="Times New Roman" w:hAnsi="Times New Roman" w:cs="Times New Roman"/>
          <w:sz w:val="24"/>
          <w:szCs w:val="24"/>
          <w:vertAlign w:val="superscript"/>
        </w:rPr>
        <w:t>61</w:t>
      </w:r>
    </w:p>
    <w:p w14:paraId="049C05F4" w14:textId="77777777" w:rsidR="00847CE5" w:rsidRDefault="00847CE5">
      <w:pPr>
        <w:spacing w:line="360" w:lineRule="auto"/>
        <w:jc w:val="both"/>
        <w:rPr>
          <w:rFonts w:ascii="Times New Roman" w:eastAsia="Times New Roman" w:hAnsi="Times New Roman" w:cs="Times New Roman"/>
          <w:b/>
          <w:bCs/>
          <w:sz w:val="24"/>
          <w:szCs w:val="24"/>
        </w:rPr>
      </w:pPr>
    </w:p>
    <w:p w14:paraId="04B0EB14" w14:textId="4688AE85"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 Clinical Evidence Su</w:t>
      </w:r>
      <w:r>
        <w:rPr>
          <w:rFonts w:ascii="Times New Roman" w:eastAsia="Times New Roman" w:hAnsi="Times New Roman" w:cs="Times New Roman"/>
          <w:b/>
          <w:bCs/>
          <w:sz w:val="24"/>
          <w:szCs w:val="24"/>
        </w:rPr>
        <w:t>mmary and Trial Landscape</w:t>
      </w:r>
    </w:p>
    <w:p w14:paraId="123701EF"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 Randomized Controlled Trials of MSCs in Knee Osteoarthritis</w:t>
      </w:r>
    </w:p>
    <w:tbl>
      <w:tblPr>
        <w:tblStyle w:val="a"/>
        <w:tblW w:w="91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
        <w:gridCol w:w="1193"/>
        <w:gridCol w:w="684"/>
        <w:gridCol w:w="787"/>
        <w:gridCol w:w="888"/>
        <w:gridCol w:w="947"/>
        <w:gridCol w:w="1360"/>
        <w:gridCol w:w="1360"/>
        <w:gridCol w:w="935"/>
      </w:tblGrid>
      <w:tr w:rsidR="00ED21D7" w14:paraId="268E8F8C" w14:textId="77777777">
        <w:trPr>
          <w:tblHeader/>
        </w:trPr>
        <w:tc>
          <w:tcPr>
            <w:tcW w:w="962" w:type="dxa"/>
            <w:vAlign w:val="center"/>
          </w:tcPr>
          <w:p w14:paraId="6351F2FB" w14:textId="77777777" w:rsidR="00ED21D7" w:rsidRDefault="003F3C38">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Author (Year)</w:t>
            </w:r>
          </w:p>
        </w:tc>
        <w:tc>
          <w:tcPr>
            <w:tcW w:w="1193" w:type="dxa"/>
            <w:vAlign w:val="center"/>
          </w:tcPr>
          <w:p w14:paraId="59E37A1F" w14:textId="77777777" w:rsidR="00ED21D7" w:rsidRDefault="003F3C38">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Design</w:t>
            </w:r>
          </w:p>
        </w:tc>
        <w:tc>
          <w:tcPr>
            <w:tcW w:w="684" w:type="dxa"/>
            <w:vAlign w:val="center"/>
          </w:tcPr>
          <w:p w14:paraId="06D0E988" w14:textId="77777777" w:rsidR="00ED21D7" w:rsidRDefault="003F3C38">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w:t>
            </w:r>
          </w:p>
        </w:tc>
        <w:tc>
          <w:tcPr>
            <w:tcW w:w="787" w:type="dxa"/>
            <w:vAlign w:val="center"/>
          </w:tcPr>
          <w:p w14:paraId="179BB9F6" w14:textId="77777777" w:rsidR="00ED21D7" w:rsidRDefault="003F3C38">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Cell Source</w:t>
            </w:r>
          </w:p>
        </w:tc>
        <w:tc>
          <w:tcPr>
            <w:tcW w:w="888" w:type="dxa"/>
            <w:vAlign w:val="center"/>
          </w:tcPr>
          <w:p w14:paraId="4C39C4A5" w14:textId="77777777" w:rsidR="00ED21D7" w:rsidRDefault="003F3C38">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Dose</w:t>
            </w:r>
          </w:p>
        </w:tc>
        <w:tc>
          <w:tcPr>
            <w:tcW w:w="947" w:type="dxa"/>
            <w:vAlign w:val="center"/>
          </w:tcPr>
          <w:p w14:paraId="5F39C335" w14:textId="77777777" w:rsidR="00ED21D7" w:rsidRDefault="003F3C38">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Delivery</w:t>
            </w:r>
          </w:p>
        </w:tc>
        <w:tc>
          <w:tcPr>
            <w:tcW w:w="1360" w:type="dxa"/>
            <w:vAlign w:val="center"/>
          </w:tcPr>
          <w:p w14:paraId="4602BD38" w14:textId="77777777" w:rsidR="00ED21D7" w:rsidRDefault="003F3C38">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Primary Outcomes</w:t>
            </w:r>
          </w:p>
        </w:tc>
        <w:tc>
          <w:tcPr>
            <w:tcW w:w="1360" w:type="dxa"/>
            <w:vAlign w:val="center"/>
          </w:tcPr>
          <w:p w14:paraId="7221D592" w14:textId="77777777" w:rsidR="00ED21D7" w:rsidRDefault="003F3C38">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Imaging Outcomes</w:t>
            </w:r>
          </w:p>
        </w:tc>
        <w:tc>
          <w:tcPr>
            <w:tcW w:w="935" w:type="dxa"/>
            <w:vAlign w:val="center"/>
          </w:tcPr>
          <w:p w14:paraId="170B4624" w14:textId="77777777" w:rsidR="00ED21D7" w:rsidRDefault="003F3C38">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Adverse Events</w:t>
            </w:r>
          </w:p>
        </w:tc>
      </w:tr>
      <w:tr w:rsidR="00ED21D7" w14:paraId="27018056" w14:textId="77777777">
        <w:tc>
          <w:tcPr>
            <w:tcW w:w="962" w:type="dxa"/>
            <w:vAlign w:val="center"/>
          </w:tcPr>
          <w:p w14:paraId="4625B7BD" w14:textId="77777777" w:rsidR="00ED21D7" w:rsidRDefault="003F3C38">
            <w:pPr>
              <w:spacing w:line="36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Vega et al. (2015)</w:t>
            </w:r>
            <w:r>
              <w:rPr>
                <w:rFonts w:ascii="Times New Roman" w:eastAsia="Times New Roman" w:hAnsi="Times New Roman" w:cs="Times New Roman"/>
                <w:sz w:val="24"/>
                <w:szCs w:val="24"/>
                <w:vertAlign w:val="superscript"/>
              </w:rPr>
              <w:t>22</w:t>
            </w:r>
          </w:p>
        </w:tc>
        <w:tc>
          <w:tcPr>
            <w:tcW w:w="1193" w:type="dxa"/>
            <w:vAlign w:val="center"/>
          </w:tcPr>
          <w:p w14:paraId="3006AB3F"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RCT</w:t>
            </w:r>
          </w:p>
        </w:tc>
        <w:tc>
          <w:tcPr>
            <w:tcW w:w="684" w:type="dxa"/>
            <w:vAlign w:val="center"/>
          </w:tcPr>
          <w:p w14:paraId="0AE464B6"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87" w:type="dxa"/>
            <w:vAlign w:val="center"/>
          </w:tcPr>
          <w:p w14:paraId="76F83EE7"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BM-MSC</w:t>
            </w:r>
          </w:p>
        </w:tc>
        <w:tc>
          <w:tcPr>
            <w:tcW w:w="888" w:type="dxa"/>
            <w:vAlign w:val="center"/>
          </w:tcPr>
          <w:p w14:paraId="2C922B3D"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40×10⁶</w:t>
            </w:r>
          </w:p>
        </w:tc>
        <w:tc>
          <w:tcPr>
            <w:tcW w:w="947" w:type="dxa"/>
            <w:vAlign w:val="center"/>
          </w:tcPr>
          <w:p w14:paraId="7E919ECB"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Intra-articular</w:t>
            </w:r>
          </w:p>
        </w:tc>
        <w:tc>
          <w:tcPr>
            <w:tcW w:w="1360" w:type="dxa"/>
            <w:vAlign w:val="center"/>
          </w:tcPr>
          <w:p w14:paraId="3385D792" w14:textId="77777777" w:rsidR="00ED21D7" w:rsidRDefault="003F3C38">
            <w:pPr>
              <w:spacing w:line="360" w:lineRule="auto"/>
              <w:jc w:val="center"/>
              <w:rPr>
                <w:rFonts w:ascii="Times New Roman" w:eastAsia="Times New Roman" w:hAnsi="Times New Roman" w:cs="Times New Roman"/>
                <w:sz w:val="24"/>
                <w:szCs w:val="24"/>
              </w:rPr>
            </w:pPr>
            <w:r>
              <w:rPr>
                <w:rFonts w:ascii="Cardo" w:eastAsia="Cardo" w:hAnsi="Cardo" w:cs="Cardo"/>
                <w:sz w:val="24"/>
                <w:szCs w:val="24"/>
              </w:rPr>
              <w:t xml:space="preserve">↓ </w:t>
            </w:r>
            <w:r>
              <w:rPr>
                <w:rFonts w:ascii="Cardo" w:eastAsia="Cardo" w:hAnsi="Cardo" w:cs="Cardo"/>
                <w:sz w:val="24"/>
                <w:szCs w:val="24"/>
              </w:rPr>
              <w:t>WOMAC, pain</w:t>
            </w:r>
          </w:p>
        </w:tc>
        <w:tc>
          <w:tcPr>
            <w:tcW w:w="1360" w:type="dxa"/>
            <w:vAlign w:val="center"/>
          </w:tcPr>
          <w:p w14:paraId="30ABBF67"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Improved cartilage quality (MRI)</w:t>
            </w:r>
          </w:p>
        </w:tc>
        <w:tc>
          <w:tcPr>
            <w:tcW w:w="935" w:type="dxa"/>
            <w:vAlign w:val="center"/>
          </w:tcPr>
          <w:p w14:paraId="47DA9135"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Mild joint pain</w:t>
            </w:r>
          </w:p>
        </w:tc>
      </w:tr>
      <w:tr w:rsidR="00ED21D7" w14:paraId="55B1006F" w14:textId="77777777">
        <w:tc>
          <w:tcPr>
            <w:tcW w:w="962" w:type="dxa"/>
            <w:vAlign w:val="center"/>
          </w:tcPr>
          <w:p w14:paraId="7FA53429" w14:textId="77777777" w:rsidR="00ED21D7" w:rsidRDefault="003F3C38">
            <w:pPr>
              <w:spacing w:line="36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Jo et al. (2014)</w:t>
            </w:r>
            <w:r>
              <w:rPr>
                <w:rFonts w:ascii="Times New Roman" w:eastAsia="Times New Roman" w:hAnsi="Times New Roman" w:cs="Times New Roman"/>
                <w:sz w:val="24"/>
                <w:szCs w:val="24"/>
                <w:vertAlign w:val="superscript"/>
              </w:rPr>
              <w:t>60</w:t>
            </w:r>
          </w:p>
        </w:tc>
        <w:tc>
          <w:tcPr>
            <w:tcW w:w="1193" w:type="dxa"/>
            <w:vAlign w:val="center"/>
          </w:tcPr>
          <w:p w14:paraId="7FCF0FB0"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Dose-escalation RCT</w:t>
            </w:r>
          </w:p>
        </w:tc>
        <w:tc>
          <w:tcPr>
            <w:tcW w:w="684" w:type="dxa"/>
            <w:vAlign w:val="center"/>
          </w:tcPr>
          <w:p w14:paraId="4599CA73"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87" w:type="dxa"/>
            <w:vAlign w:val="center"/>
          </w:tcPr>
          <w:p w14:paraId="37F86CD4"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AD-MSC</w:t>
            </w:r>
          </w:p>
        </w:tc>
        <w:tc>
          <w:tcPr>
            <w:tcW w:w="888" w:type="dxa"/>
            <w:vAlign w:val="center"/>
          </w:tcPr>
          <w:p w14:paraId="5073CCB1"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10–100×10⁶</w:t>
            </w:r>
          </w:p>
        </w:tc>
        <w:tc>
          <w:tcPr>
            <w:tcW w:w="947" w:type="dxa"/>
            <w:vAlign w:val="center"/>
          </w:tcPr>
          <w:p w14:paraId="05808DAD"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Intra-articular</w:t>
            </w:r>
          </w:p>
        </w:tc>
        <w:tc>
          <w:tcPr>
            <w:tcW w:w="1360" w:type="dxa"/>
            <w:vAlign w:val="center"/>
          </w:tcPr>
          <w:p w14:paraId="2FC7E47D" w14:textId="77777777" w:rsidR="00ED21D7" w:rsidRDefault="003F3C38">
            <w:pPr>
              <w:spacing w:line="360" w:lineRule="auto"/>
              <w:jc w:val="center"/>
              <w:rPr>
                <w:rFonts w:ascii="Times New Roman" w:eastAsia="Times New Roman" w:hAnsi="Times New Roman" w:cs="Times New Roman"/>
                <w:sz w:val="24"/>
                <w:szCs w:val="24"/>
              </w:rPr>
            </w:pPr>
            <w:r>
              <w:rPr>
                <w:rFonts w:ascii="Cardo" w:eastAsia="Cardo" w:hAnsi="Cardo" w:cs="Cardo"/>
                <w:sz w:val="24"/>
                <w:szCs w:val="24"/>
              </w:rPr>
              <w:t>↓ pain, ↑ function</w:t>
            </w:r>
          </w:p>
        </w:tc>
        <w:tc>
          <w:tcPr>
            <w:tcW w:w="1360" w:type="dxa"/>
            <w:vAlign w:val="center"/>
          </w:tcPr>
          <w:p w14:paraId="2295638F"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cartilage volume</w:t>
            </w:r>
          </w:p>
        </w:tc>
        <w:tc>
          <w:tcPr>
            <w:tcW w:w="935" w:type="dxa"/>
            <w:vAlign w:val="center"/>
          </w:tcPr>
          <w:p w14:paraId="581917C0"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serious AEs</w:t>
            </w:r>
          </w:p>
        </w:tc>
      </w:tr>
      <w:tr w:rsidR="00ED21D7" w14:paraId="4646F5BE" w14:textId="77777777">
        <w:tc>
          <w:tcPr>
            <w:tcW w:w="962" w:type="dxa"/>
            <w:vAlign w:val="center"/>
          </w:tcPr>
          <w:p w14:paraId="026A7A72" w14:textId="77777777" w:rsidR="00ED21D7" w:rsidRDefault="003F3C38">
            <w:pPr>
              <w:spacing w:line="36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Lamo-Espinosa et al. (2016)</w:t>
            </w:r>
            <w:r>
              <w:rPr>
                <w:rFonts w:ascii="Times New Roman" w:eastAsia="Times New Roman" w:hAnsi="Times New Roman" w:cs="Times New Roman"/>
                <w:sz w:val="24"/>
                <w:szCs w:val="24"/>
                <w:vertAlign w:val="superscript"/>
              </w:rPr>
              <w:t>61</w:t>
            </w:r>
          </w:p>
        </w:tc>
        <w:tc>
          <w:tcPr>
            <w:tcW w:w="1193" w:type="dxa"/>
            <w:vAlign w:val="center"/>
          </w:tcPr>
          <w:p w14:paraId="49E80BE7"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RCT</w:t>
            </w:r>
          </w:p>
        </w:tc>
        <w:tc>
          <w:tcPr>
            <w:tcW w:w="684" w:type="dxa"/>
            <w:vAlign w:val="center"/>
          </w:tcPr>
          <w:p w14:paraId="661D885E"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87" w:type="dxa"/>
            <w:vAlign w:val="center"/>
          </w:tcPr>
          <w:p w14:paraId="16055AC3"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BM-MSC</w:t>
            </w:r>
          </w:p>
        </w:tc>
        <w:tc>
          <w:tcPr>
            <w:tcW w:w="888" w:type="dxa"/>
            <w:vAlign w:val="center"/>
          </w:tcPr>
          <w:p w14:paraId="6677B1CB"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10–100×10⁶</w:t>
            </w:r>
          </w:p>
        </w:tc>
        <w:tc>
          <w:tcPr>
            <w:tcW w:w="947" w:type="dxa"/>
            <w:vAlign w:val="center"/>
          </w:tcPr>
          <w:p w14:paraId="18ECB97A"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Intra-articular</w:t>
            </w:r>
          </w:p>
        </w:tc>
        <w:tc>
          <w:tcPr>
            <w:tcW w:w="1360" w:type="dxa"/>
            <w:vAlign w:val="center"/>
          </w:tcPr>
          <w:p w14:paraId="4C94330B" w14:textId="77777777" w:rsidR="00ED21D7" w:rsidRDefault="003F3C38">
            <w:pPr>
              <w:spacing w:line="360" w:lineRule="auto"/>
              <w:jc w:val="center"/>
              <w:rPr>
                <w:rFonts w:ascii="Times New Roman" w:eastAsia="Times New Roman" w:hAnsi="Times New Roman" w:cs="Times New Roman"/>
                <w:sz w:val="24"/>
                <w:szCs w:val="24"/>
              </w:rPr>
            </w:pPr>
            <w:r>
              <w:rPr>
                <w:rFonts w:ascii="Cardo" w:eastAsia="Cardo" w:hAnsi="Cardo" w:cs="Cardo"/>
                <w:sz w:val="24"/>
                <w:szCs w:val="24"/>
              </w:rPr>
              <w:t>↓ WOMAC</w:t>
            </w:r>
          </w:p>
        </w:tc>
        <w:tc>
          <w:tcPr>
            <w:tcW w:w="1360" w:type="dxa"/>
            <w:vAlign w:val="center"/>
          </w:tcPr>
          <w:p w14:paraId="6C770FE6"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MRI improvement (dose-dependent)</w:t>
            </w:r>
          </w:p>
        </w:tc>
        <w:tc>
          <w:tcPr>
            <w:tcW w:w="935" w:type="dxa"/>
            <w:vAlign w:val="center"/>
          </w:tcPr>
          <w:p w14:paraId="2EA9E1C4"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Mild swelling</w:t>
            </w:r>
          </w:p>
        </w:tc>
      </w:tr>
      <w:tr w:rsidR="00ED21D7" w14:paraId="65519299" w14:textId="77777777">
        <w:tc>
          <w:tcPr>
            <w:tcW w:w="962" w:type="dxa"/>
            <w:vAlign w:val="center"/>
          </w:tcPr>
          <w:p w14:paraId="2B4E5630" w14:textId="77777777" w:rsidR="00ED21D7" w:rsidRDefault="003F3C38">
            <w:pPr>
              <w:spacing w:line="36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Gupta et al. (2016)</w:t>
            </w:r>
            <w:r>
              <w:rPr>
                <w:rFonts w:ascii="Times New Roman" w:eastAsia="Times New Roman" w:hAnsi="Times New Roman" w:cs="Times New Roman"/>
                <w:sz w:val="24"/>
                <w:szCs w:val="24"/>
                <w:vertAlign w:val="superscript"/>
              </w:rPr>
              <w:t>62</w:t>
            </w:r>
          </w:p>
        </w:tc>
        <w:tc>
          <w:tcPr>
            <w:tcW w:w="1193" w:type="dxa"/>
            <w:vAlign w:val="center"/>
          </w:tcPr>
          <w:p w14:paraId="774D32F2"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RCT</w:t>
            </w:r>
          </w:p>
        </w:tc>
        <w:tc>
          <w:tcPr>
            <w:tcW w:w="684" w:type="dxa"/>
            <w:vAlign w:val="center"/>
          </w:tcPr>
          <w:p w14:paraId="67A86100"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787" w:type="dxa"/>
            <w:vAlign w:val="center"/>
          </w:tcPr>
          <w:p w14:paraId="419E3D34"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BM-MSC</w:t>
            </w:r>
          </w:p>
        </w:tc>
        <w:tc>
          <w:tcPr>
            <w:tcW w:w="888" w:type="dxa"/>
            <w:vAlign w:val="center"/>
          </w:tcPr>
          <w:p w14:paraId="6E9EC58F"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25×10⁶</w:t>
            </w:r>
          </w:p>
        </w:tc>
        <w:tc>
          <w:tcPr>
            <w:tcW w:w="947" w:type="dxa"/>
            <w:vAlign w:val="center"/>
          </w:tcPr>
          <w:p w14:paraId="5C0DFEB3"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Intra-articular</w:t>
            </w:r>
          </w:p>
        </w:tc>
        <w:tc>
          <w:tcPr>
            <w:tcW w:w="1360" w:type="dxa"/>
            <w:vAlign w:val="center"/>
          </w:tcPr>
          <w:p w14:paraId="1FF10DB1"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Improved pain/function</w:t>
            </w:r>
          </w:p>
        </w:tc>
        <w:tc>
          <w:tcPr>
            <w:tcW w:w="1360" w:type="dxa"/>
            <w:vAlign w:val="center"/>
          </w:tcPr>
          <w:p w14:paraId="7DA71205"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major structural change</w:t>
            </w:r>
          </w:p>
        </w:tc>
        <w:tc>
          <w:tcPr>
            <w:tcW w:w="935" w:type="dxa"/>
            <w:vAlign w:val="center"/>
          </w:tcPr>
          <w:p w14:paraId="0D6B380A"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Well tolerated</w:t>
            </w:r>
          </w:p>
        </w:tc>
      </w:tr>
      <w:tr w:rsidR="00ED21D7" w14:paraId="30626C08" w14:textId="77777777">
        <w:tc>
          <w:tcPr>
            <w:tcW w:w="962" w:type="dxa"/>
            <w:vAlign w:val="center"/>
          </w:tcPr>
          <w:p w14:paraId="0571F5EA" w14:textId="77777777" w:rsidR="00ED21D7" w:rsidRDefault="003F3C38">
            <w:pPr>
              <w:spacing w:line="36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lastRenderedPageBreak/>
              <w:t>Freitag et al. (2019)</w:t>
            </w:r>
            <w:r>
              <w:rPr>
                <w:rFonts w:ascii="Times New Roman" w:eastAsia="Times New Roman" w:hAnsi="Times New Roman" w:cs="Times New Roman"/>
                <w:sz w:val="24"/>
                <w:szCs w:val="24"/>
                <w:vertAlign w:val="superscript"/>
              </w:rPr>
              <w:t>19</w:t>
            </w:r>
          </w:p>
        </w:tc>
        <w:tc>
          <w:tcPr>
            <w:tcW w:w="1193" w:type="dxa"/>
            <w:vAlign w:val="center"/>
          </w:tcPr>
          <w:p w14:paraId="7FF3CEEC"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RCT</w:t>
            </w:r>
          </w:p>
        </w:tc>
        <w:tc>
          <w:tcPr>
            <w:tcW w:w="684" w:type="dxa"/>
            <w:vAlign w:val="center"/>
          </w:tcPr>
          <w:p w14:paraId="4756276C"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787" w:type="dxa"/>
            <w:vAlign w:val="center"/>
          </w:tcPr>
          <w:p w14:paraId="4F334575"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AD-MSC</w:t>
            </w:r>
          </w:p>
        </w:tc>
        <w:tc>
          <w:tcPr>
            <w:tcW w:w="888" w:type="dxa"/>
            <w:vAlign w:val="center"/>
          </w:tcPr>
          <w:p w14:paraId="7CFC7091"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100×10⁶</w:t>
            </w:r>
          </w:p>
        </w:tc>
        <w:tc>
          <w:tcPr>
            <w:tcW w:w="947" w:type="dxa"/>
            <w:vAlign w:val="center"/>
          </w:tcPr>
          <w:p w14:paraId="7B776D6C"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Intra-articular (single vs repeat)</w:t>
            </w:r>
          </w:p>
        </w:tc>
        <w:tc>
          <w:tcPr>
            <w:tcW w:w="1360" w:type="dxa"/>
            <w:vAlign w:val="center"/>
          </w:tcPr>
          <w:p w14:paraId="2FADC717"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Better outcomes with repeat dosing</w:t>
            </w:r>
          </w:p>
        </w:tc>
        <w:tc>
          <w:tcPr>
            <w:tcW w:w="1360" w:type="dxa"/>
            <w:vAlign w:val="center"/>
          </w:tcPr>
          <w:p w14:paraId="38BB84C3"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MRI stabilization</w:t>
            </w:r>
          </w:p>
        </w:tc>
        <w:tc>
          <w:tcPr>
            <w:tcW w:w="935" w:type="dxa"/>
            <w:vAlign w:val="center"/>
          </w:tcPr>
          <w:p w14:paraId="0CE10AA7"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serious AEs</w:t>
            </w:r>
          </w:p>
        </w:tc>
      </w:tr>
    </w:tbl>
    <w:p w14:paraId="3C00E7BF" w14:textId="77777777" w:rsidR="00ED21D7" w:rsidRDefault="00ED21D7">
      <w:pPr>
        <w:spacing w:line="360" w:lineRule="auto"/>
        <w:jc w:val="both"/>
        <w:rPr>
          <w:rFonts w:ascii="Times New Roman" w:eastAsia="Times New Roman" w:hAnsi="Times New Roman" w:cs="Times New Roman"/>
          <w:sz w:val="24"/>
          <w:szCs w:val="24"/>
        </w:rPr>
      </w:pPr>
    </w:p>
    <w:p w14:paraId="09C75B50"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 Major Clinical Trials of Cell and Cell-Free Therapies</w:t>
      </w:r>
    </w:p>
    <w:tbl>
      <w:tblPr>
        <w:tblStyle w:val="a0"/>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1"/>
        <w:gridCol w:w="1588"/>
        <w:gridCol w:w="1003"/>
        <w:gridCol w:w="1471"/>
        <w:gridCol w:w="3083"/>
      </w:tblGrid>
      <w:tr w:rsidR="00ED21D7" w14:paraId="35379F88" w14:textId="77777777">
        <w:trPr>
          <w:tblHeader/>
        </w:trPr>
        <w:tc>
          <w:tcPr>
            <w:tcW w:w="1871" w:type="dxa"/>
            <w:vAlign w:val="center"/>
          </w:tcPr>
          <w:p w14:paraId="4006C622" w14:textId="77777777" w:rsidR="00ED21D7" w:rsidRDefault="003F3C38">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Therapy</w:t>
            </w:r>
          </w:p>
        </w:tc>
        <w:tc>
          <w:tcPr>
            <w:tcW w:w="1588" w:type="dxa"/>
            <w:vAlign w:val="center"/>
          </w:tcPr>
          <w:p w14:paraId="5EEBD76C" w14:textId="77777777" w:rsidR="00ED21D7" w:rsidRDefault="003F3C38">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Study/ID</w:t>
            </w:r>
          </w:p>
        </w:tc>
        <w:tc>
          <w:tcPr>
            <w:tcW w:w="1003" w:type="dxa"/>
            <w:vAlign w:val="center"/>
          </w:tcPr>
          <w:p w14:paraId="18B4389B" w14:textId="77777777" w:rsidR="00ED21D7" w:rsidRDefault="003F3C38">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Phase</w:t>
            </w:r>
          </w:p>
        </w:tc>
        <w:tc>
          <w:tcPr>
            <w:tcW w:w="1471" w:type="dxa"/>
            <w:vAlign w:val="center"/>
          </w:tcPr>
          <w:p w14:paraId="54EC5B23" w14:textId="77777777" w:rsidR="00ED21D7" w:rsidRDefault="003F3C38">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Condition</w:t>
            </w:r>
          </w:p>
        </w:tc>
        <w:tc>
          <w:tcPr>
            <w:tcW w:w="3083" w:type="dxa"/>
            <w:vAlign w:val="center"/>
          </w:tcPr>
          <w:p w14:paraId="0A713CD6" w14:textId="77777777" w:rsidR="00ED21D7" w:rsidRDefault="003F3C38">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Findings</w:t>
            </w:r>
          </w:p>
        </w:tc>
      </w:tr>
      <w:tr w:rsidR="00ED21D7" w14:paraId="6AD11437" w14:textId="77777777">
        <w:tc>
          <w:tcPr>
            <w:tcW w:w="1871" w:type="dxa"/>
            <w:vAlign w:val="center"/>
          </w:tcPr>
          <w:p w14:paraId="31EFEA51"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PRP</w:t>
            </w:r>
          </w:p>
        </w:tc>
        <w:tc>
          <w:tcPr>
            <w:tcW w:w="1588" w:type="dxa"/>
            <w:vAlign w:val="center"/>
          </w:tcPr>
          <w:p w14:paraId="5BFCEAF5" w14:textId="77777777" w:rsidR="00ED21D7" w:rsidRDefault="003F3C38">
            <w:pPr>
              <w:spacing w:line="36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Filardo et al.</w:t>
            </w:r>
            <w:r>
              <w:rPr>
                <w:rFonts w:ascii="Times New Roman" w:eastAsia="Times New Roman" w:hAnsi="Times New Roman" w:cs="Times New Roman"/>
                <w:sz w:val="24"/>
                <w:szCs w:val="24"/>
                <w:vertAlign w:val="superscript"/>
              </w:rPr>
              <w:t>38</w:t>
            </w:r>
          </w:p>
        </w:tc>
        <w:tc>
          <w:tcPr>
            <w:tcW w:w="1003" w:type="dxa"/>
            <w:vAlign w:val="center"/>
          </w:tcPr>
          <w:p w14:paraId="10CEA86D"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RCT</w:t>
            </w:r>
          </w:p>
        </w:tc>
        <w:tc>
          <w:tcPr>
            <w:tcW w:w="1471" w:type="dxa"/>
            <w:vAlign w:val="center"/>
          </w:tcPr>
          <w:p w14:paraId="632014E5"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Knee OA</w:t>
            </w:r>
          </w:p>
        </w:tc>
        <w:tc>
          <w:tcPr>
            <w:tcW w:w="3083" w:type="dxa"/>
            <w:vAlign w:val="center"/>
          </w:tcPr>
          <w:p w14:paraId="60CE70FA" w14:textId="77777777" w:rsidR="00ED21D7" w:rsidRDefault="003F3C38">
            <w:pPr>
              <w:spacing w:line="360" w:lineRule="auto"/>
              <w:jc w:val="center"/>
              <w:rPr>
                <w:rFonts w:ascii="Times New Roman" w:eastAsia="Times New Roman" w:hAnsi="Times New Roman" w:cs="Times New Roman"/>
                <w:sz w:val="24"/>
                <w:szCs w:val="24"/>
              </w:rPr>
            </w:pPr>
            <w:r>
              <w:rPr>
                <w:rFonts w:ascii="Cardo" w:eastAsia="Cardo" w:hAnsi="Cardo" w:cs="Cardo"/>
                <w:sz w:val="24"/>
                <w:szCs w:val="24"/>
              </w:rPr>
              <w:t xml:space="preserve">↓ pain, </w:t>
            </w:r>
            <w:r>
              <w:rPr>
                <w:rFonts w:ascii="Cardo" w:eastAsia="Cardo" w:hAnsi="Cardo" w:cs="Cardo"/>
                <w:sz w:val="24"/>
                <w:szCs w:val="24"/>
              </w:rPr>
              <w:t>↑ function vs HA</w:t>
            </w:r>
          </w:p>
        </w:tc>
      </w:tr>
      <w:tr w:rsidR="00ED21D7" w14:paraId="74A778A2" w14:textId="77777777">
        <w:tc>
          <w:tcPr>
            <w:tcW w:w="1871" w:type="dxa"/>
            <w:vAlign w:val="center"/>
          </w:tcPr>
          <w:p w14:paraId="7201634F"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PRP</w:t>
            </w:r>
          </w:p>
        </w:tc>
        <w:tc>
          <w:tcPr>
            <w:tcW w:w="1588" w:type="dxa"/>
            <w:vAlign w:val="center"/>
          </w:tcPr>
          <w:p w14:paraId="3A4BCC1B"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NCT03345550</w:t>
            </w:r>
          </w:p>
        </w:tc>
        <w:tc>
          <w:tcPr>
            <w:tcW w:w="1003" w:type="dxa"/>
            <w:vAlign w:val="center"/>
          </w:tcPr>
          <w:p w14:paraId="08E1EBC6"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Phase II</w:t>
            </w:r>
          </w:p>
        </w:tc>
        <w:tc>
          <w:tcPr>
            <w:tcW w:w="1471" w:type="dxa"/>
            <w:vAlign w:val="center"/>
          </w:tcPr>
          <w:p w14:paraId="5E1EB4BD"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Knee OA</w:t>
            </w:r>
          </w:p>
        </w:tc>
        <w:tc>
          <w:tcPr>
            <w:tcW w:w="3083" w:type="dxa"/>
            <w:vAlign w:val="center"/>
          </w:tcPr>
          <w:p w14:paraId="5B089E23"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Improved WOMAC scores</w:t>
            </w:r>
          </w:p>
        </w:tc>
      </w:tr>
      <w:tr w:rsidR="00ED21D7" w14:paraId="1A042F27" w14:textId="77777777">
        <w:tc>
          <w:tcPr>
            <w:tcW w:w="1871" w:type="dxa"/>
            <w:vAlign w:val="center"/>
          </w:tcPr>
          <w:p w14:paraId="57CBC979"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ACI/MACI</w:t>
            </w:r>
          </w:p>
        </w:tc>
        <w:tc>
          <w:tcPr>
            <w:tcW w:w="1588" w:type="dxa"/>
            <w:vAlign w:val="center"/>
          </w:tcPr>
          <w:p w14:paraId="3FFD1314"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SUMMIT trial⁶⁶</w:t>
            </w:r>
          </w:p>
        </w:tc>
        <w:tc>
          <w:tcPr>
            <w:tcW w:w="1003" w:type="dxa"/>
            <w:vAlign w:val="center"/>
          </w:tcPr>
          <w:p w14:paraId="6AD1C439"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Phase III</w:t>
            </w:r>
          </w:p>
        </w:tc>
        <w:tc>
          <w:tcPr>
            <w:tcW w:w="1471" w:type="dxa"/>
            <w:vAlign w:val="center"/>
          </w:tcPr>
          <w:p w14:paraId="0C61B65F"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Cartilage defects</w:t>
            </w:r>
          </w:p>
        </w:tc>
        <w:tc>
          <w:tcPr>
            <w:tcW w:w="3083" w:type="dxa"/>
            <w:vAlign w:val="center"/>
          </w:tcPr>
          <w:p w14:paraId="1B9E1123"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Superior structural repair vs microfracture</w:t>
            </w:r>
          </w:p>
        </w:tc>
      </w:tr>
      <w:tr w:rsidR="00ED21D7" w14:paraId="384AC4EE" w14:textId="77777777">
        <w:tc>
          <w:tcPr>
            <w:tcW w:w="1871" w:type="dxa"/>
            <w:vAlign w:val="center"/>
          </w:tcPr>
          <w:p w14:paraId="2D91B0ED"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EVs (MSC-derived)</w:t>
            </w:r>
          </w:p>
        </w:tc>
        <w:tc>
          <w:tcPr>
            <w:tcW w:w="1588" w:type="dxa"/>
            <w:vAlign w:val="center"/>
          </w:tcPr>
          <w:p w14:paraId="493D520F"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NCT05060107</w:t>
            </w:r>
          </w:p>
        </w:tc>
        <w:tc>
          <w:tcPr>
            <w:tcW w:w="1003" w:type="dxa"/>
            <w:vAlign w:val="center"/>
          </w:tcPr>
          <w:p w14:paraId="5081DABF"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Early phase</w:t>
            </w:r>
          </w:p>
        </w:tc>
        <w:tc>
          <w:tcPr>
            <w:tcW w:w="1471" w:type="dxa"/>
            <w:vAlign w:val="center"/>
          </w:tcPr>
          <w:p w14:paraId="20B1AE4D"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Knee OA</w:t>
            </w:r>
          </w:p>
        </w:tc>
        <w:tc>
          <w:tcPr>
            <w:tcW w:w="3083" w:type="dxa"/>
            <w:vAlign w:val="center"/>
          </w:tcPr>
          <w:p w14:paraId="5B787C70"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Ongoing safety focus</w:t>
            </w:r>
          </w:p>
        </w:tc>
      </w:tr>
      <w:tr w:rsidR="00ED21D7" w14:paraId="5A4B319C" w14:textId="77777777">
        <w:tc>
          <w:tcPr>
            <w:tcW w:w="1871" w:type="dxa"/>
            <w:vAlign w:val="center"/>
          </w:tcPr>
          <w:p w14:paraId="2771BC0C"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Gene therapy </w:t>
            </w:r>
            <w:r>
              <w:rPr>
                <w:rFonts w:ascii="Times New Roman" w:eastAsia="Times New Roman" w:hAnsi="Times New Roman" w:cs="Times New Roman"/>
                <w:sz w:val="24"/>
                <w:szCs w:val="24"/>
              </w:rPr>
              <w:t>(IL-1Ra)</w:t>
            </w:r>
          </w:p>
        </w:tc>
        <w:tc>
          <w:tcPr>
            <w:tcW w:w="1588" w:type="dxa"/>
            <w:vAlign w:val="center"/>
          </w:tcPr>
          <w:p w14:paraId="5147ED2D"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NCT04119687</w:t>
            </w:r>
          </w:p>
        </w:tc>
        <w:tc>
          <w:tcPr>
            <w:tcW w:w="1003" w:type="dxa"/>
            <w:vAlign w:val="center"/>
          </w:tcPr>
          <w:p w14:paraId="4F62C8DD"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Phase I</w:t>
            </w:r>
          </w:p>
        </w:tc>
        <w:tc>
          <w:tcPr>
            <w:tcW w:w="1471" w:type="dxa"/>
            <w:vAlign w:val="center"/>
          </w:tcPr>
          <w:p w14:paraId="1BC0A73F"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Knee OA</w:t>
            </w:r>
          </w:p>
        </w:tc>
        <w:tc>
          <w:tcPr>
            <w:tcW w:w="3083" w:type="dxa"/>
            <w:vAlign w:val="center"/>
          </w:tcPr>
          <w:p w14:paraId="48DCD103"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Safety demonstrated</w:t>
            </w:r>
          </w:p>
        </w:tc>
      </w:tr>
      <w:tr w:rsidR="00ED21D7" w14:paraId="7EE3BF57" w14:textId="77777777">
        <w:tc>
          <w:tcPr>
            <w:tcW w:w="1871" w:type="dxa"/>
            <w:vAlign w:val="center"/>
          </w:tcPr>
          <w:p w14:paraId="11BB1F7E"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MSCs</w:t>
            </w:r>
          </w:p>
        </w:tc>
        <w:tc>
          <w:tcPr>
            <w:tcW w:w="1588" w:type="dxa"/>
            <w:vAlign w:val="center"/>
          </w:tcPr>
          <w:p w14:paraId="52B3D4E0"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NCT02580695</w:t>
            </w:r>
          </w:p>
        </w:tc>
        <w:tc>
          <w:tcPr>
            <w:tcW w:w="1003" w:type="dxa"/>
            <w:vAlign w:val="center"/>
          </w:tcPr>
          <w:p w14:paraId="57FA86BE"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Phase II</w:t>
            </w:r>
          </w:p>
        </w:tc>
        <w:tc>
          <w:tcPr>
            <w:tcW w:w="1471" w:type="dxa"/>
            <w:vAlign w:val="center"/>
          </w:tcPr>
          <w:p w14:paraId="410FFA0B"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Knee OA</w:t>
            </w:r>
          </w:p>
        </w:tc>
        <w:tc>
          <w:tcPr>
            <w:tcW w:w="3083" w:type="dxa"/>
            <w:vAlign w:val="center"/>
          </w:tcPr>
          <w:p w14:paraId="1CF85BBA"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Symptom improvement</w:t>
            </w:r>
          </w:p>
        </w:tc>
      </w:tr>
    </w:tbl>
    <w:p w14:paraId="02306578" w14:textId="77777777" w:rsidR="00ED21D7" w:rsidRDefault="00ED21D7">
      <w:pPr>
        <w:spacing w:line="360" w:lineRule="auto"/>
        <w:jc w:val="both"/>
        <w:rPr>
          <w:rFonts w:ascii="Times New Roman" w:eastAsia="Times New Roman" w:hAnsi="Times New Roman" w:cs="Times New Roman"/>
          <w:sz w:val="24"/>
          <w:szCs w:val="24"/>
        </w:rPr>
      </w:pPr>
    </w:p>
    <w:p w14:paraId="15B15F9F"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Quality of Evidence and Heterogeneity</w:t>
      </w:r>
    </w:p>
    <w:p w14:paraId="50AE24FD"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Regardless of the increasing number of clinical trials, the quality of evidence on regenerative </w:t>
      </w:r>
      <w:r>
        <w:rPr>
          <w:rFonts w:ascii="Times New Roman" w:eastAsia="Times New Roman" w:hAnsi="Times New Roman" w:cs="Times New Roman"/>
          <w:sz w:val="24"/>
          <w:szCs w:val="24"/>
        </w:rPr>
        <w:t>treatments in arthritis is still inconsistent. Several randomized controlled trials have provided evidence of better pain and functional outcomes after MSC treatment in knee osteoarthritis, but most of the studies are characterized by a small sample size a</w:t>
      </w:r>
      <w:r>
        <w:rPr>
          <w:rFonts w:ascii="Times New Roman" w:eastAsia="Times New Roman" w:hAnsi="Times New Roman" w:cs="Times New Roman"/>
          <w:sz w:val="24"/>
          <w:szCs w:val="24"/>
        </w:rPr>
        <w:t>nd relatively short follow-up periods (several 6-24 months).</w:t>
      </w:r>
      <w:r>
        <w:rPr>
          <w:rFonts w:ascii="Times New Roman" w:eastAsia="Times New Roman" w:hAnsi="Times New Roman" w:cs="Times New Roman"/>
          <w:sz w:val="24"/>
          <w:szCs w:val="24"/>
          <w:vertAlign w:val="superscript"/>
        </w:rPr>
        <w:t>19,22,60-62</w:t>
      </w:r>
    </w:p>
    <w:p w14:paraId="43CDE0AA" w14:textId="47381033"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Another significant limitation in most studies is that the study design can vary widely. The source of MSC (bone marrow vs adipose), methods of cell processing, dosing, and modes of de</w:t>
      </w:r>
      <w:r>
        <w:rPr>
          <w:rFonts w:ascii="Times New Roman" w:eastAsia="Times New Roman" w:hAnsi="Times New Roman" w:cs="Times New Roman"/>
          <w:sz w:val="24"/>
          <w:szCs w:val="24"/>
        </w:rPr>
        <w:t xml:space="preserve">livery are also sources of variability in MSC and, hence, irregularity in outcomes. Although trials have comparable designs, variations in manufacturing guidelines and cell characterization will lower comparability and reproducibility even between similar </w:t>
      </w:r>
      <w:r>
        <w:rPr>
          <w:rFonts w:ascii="Times New Roman" w:eastAsia="Times New Roman" w:hAnsi="Times New Roman" w:cs="Times New Roman"/>
          <w:sz w:val="24"/>
          <w:szCs w:val="24"/>
        </w:rPr>
        <w:t>trials.</w:t>
      </w:r>
      <w:r>
        <w:rPr>
          <w:rFonts w:ascii="Times New Roman" w:eastAsia="Times New Roman" w:hAnsi="Times New Roman" w:cs="Times New Roman"/>
          <w:sz w:val="24"/>
          <w:szCs w:val="24"/>
          <w:vertAlign w:val="superscript"/>
        </w:rPr>
        <w:t>19,22,60-62</w:t>
      </w:r>
    </w:p>
    <w:p w14:paraId="4C30C308" w14:textId="7CDBB9E5"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PRP research has even more variability because of disparities in the ways in which it is prepared, the concentration of platelets, the presence of leucocytes in it, and varying activation procedures. Consequently, the consistency of clin</w:t>
      </w:r>
      <w:r>
        <w:rPr>
          <w:rFonts w:ascii="Times New Roman" w:eastAsia="Times New Roman" w:hAnsi="Times New Roman" w:cs="Times New Roman"/>
          <w:sz w:val="24"/>
          <w:szCs w:val="24"/>
        </w:rPr>
        <w:t>ical outcomes is poor, and the comparison of studies conducted directly is difficult.</w:t>
      </w:r>
      <w:r>
        <w:rPr>
          <w:rFonts w:ascii="Times New Roman" w:eastAsia="Times New Roman" w:hAnsi="Times New Roman" w:cs="Times New Roman"/>
          <w:sz w:val="24"/>
          <w:szCs w:val="24"/>
          <w:vertAlign w:val="superscript"/>
        </w:rPr>
        <w:t>38</w:t>
      </w:r>
    </w:p>
    <w:p w14:paraId="05B6EB9E"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Newer treatments like the use of extracellular vesicles and gene-based treatment are still in the initial stages of clinical trials, and most studies are mainly aimed a</w:t>
      </w:r>
      <w:r>
        <w:rPr>
          <w:rFonts w:ascii="Times New Roman" w:eastAsia="Times New Roman" w:hAnsi="Times New Roman" w:cs="Times New Roman"/>
          <w:sz w:val="24"/>
          <w:szCs w:val="24"/>
        </w:rPr>
        <w:t>t safety, as opposed to effectiveness. As a result, there is scanty evidence to support their clinical use of high quality.</w:t>
      </w:r>
    </w:p>
    <w:p w14:paraId="5579BA7A"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Outcome Measures and Evaluation Challenges</w:t>
      </w:r>
    </w:p>
    <w:p w14:paraId="39F3CF5C"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arthritis clinical trials, patient-reported outcome measures (PROM), such as WOMAC, VA</w:t>
      </w:r>
      <w:r>
        <w:rPr>
          <w:rFonts w:ascii="Times New Roman" w:eastAsia="Times New Roman" w:hAnsi="Times New Roman" w:cs="Times New Roman"/>
          <w:sz w:val="24"/>
          <w:szCs w:val="24"/>
        </w:rPr>
        <w:t>S, and KOOS, are dependent mainly on patient-reported outcome measures (PROM), such as WOMAC, VAS, and KOOS, which are effective to determine symptomatic improvement, but do not always imply structural regeneration.</w:t>
      </w:r>
    </w:p>
    <w:p w14:paraId="5966CB9F" w14:textId="14777E61"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New ways to assess cartilage repair have</w:t>
      </w:r>
      <w:r>
        <w:rPr>
          <w:rFonts w:ascii="Times New Roman" w:eastAsia="Times New Roman" w:hAnsi="Times New Roman" w:cs="Times New Roman"/>
          <w:sz w:val="24"/>
          <w:szCs w:val="24"/>
        </w:rPr>
        <w:t xml:space="preserve"> been developed through imaging methods, especially magnetic resonance imaging (MRI), to assess cartilage thickness and cartilage composition. Nevertheless, there are usually discrepancies between the results of imaging and clinical outcomes, which restric</w:t>
      </w:r>
      <w:r>
        <w:rPr>
          <w:rFonts w:ascii="Times New Roman" w:eastAsia="Times New Roman" w:hAnsi="Times New Roman" w:cs="Times New Roman"/>
          <w:sz w:val="24"/>
          <w:szCs w:val="24"/>
        </w:rPr>
        <w:t>t their interpretation.</w:t>
      </w:r>
      <w:r>
        <w:rPr>
          <w:rFonts w:ascii="Times New Roman" w:eastAsia="Times New Roman" w:hAnsi="Times New Roman" w:cs="Times New Roman"/>
          <w:sz w:val="24"/>
          <w:szCs w:val="24"/>
          <w:vertAlign w:val="superscript"/>
        </w:rPr>
        <w:t>19,22,60-62</w:t>
      </w:r>
    </w:p>
    <w:p w14:paraId="579E6C60"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the exploration of biochemical biomarkers to serve as objective disease progression and treatment response biomarkers, such as cartilage degradation biomarkers like CTX-II and COMP. Nevertheless, their clinical u</w:t>
      </w:r>
      <w:r>
        <w:rPr>
          <w:rFonts w:ascii="Times New Roman" w:eastAsia="Times New Roman" w:hAnsi="Times New Roman" w:cs="Times New Roman"/>
          <w:sz w:val="24"/>
          <w:szCs w:val="24"/>
        </w:rPr>
        <w:t>se is not widespread because it has not been standardized.</w:t>
      </w:r>
    </w:p>
    <w:p w14:paraId="73B08201"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Duration of Follow-Up and Long-Term Outcomes</w:t>
      </w:r>
    </w:p>
    <w:p w14:paraId="5578461D"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studies on the effectiveness of regenerative therapies in arthritis have outcomes between 6-24 months, and this period is not sufficient to estimate</w:t>
      </w:r>
      <w:r>
        <w:rPr>
          <w:rFonts w:ascii="Times New Roman" w:eastAsia="Times New Roman" w:hAnsi="Times New Roman" w:cs="Times New Roman"/>
          <w:sz w:val="24"/>
          <w:szCs w:val="24"/>
        </w:rPr>
        <w:t xml:space="preserve"> the long-term structural repair and disease modification.</w:t>
      </w:r>
      <w:r>
        <w:rPr>
          <w:rFonts w:ascii="Times New Roman" w:eastAsia="Times New Roman" w:hAnsi="Times New Roman" w:cs="Times New Roman"/>
          <w:sz w:val="24"/>
          <w:szCs w:val="24"/>
          <w:vertAlign w:val="superscript"/>
        </w:rPr>
        <w:t>19,22,60-62</w:t>
      </w:r>
      <w:r>
        <w:rPr>
          <w:rFonts w:ascii="Times New Roman" w:eastAsia="Times New Roman" w:hAnsi="Times New Roman" w:cs="Times New Roman"/>
          <w:sz w:val="24"/>
          <w:szCs w:val="24"/>
        </w:rPr>
        <w:t xml:space="preserve"> Although short-term pain and functional improvement are repeatedly reported, the strong evidence of long-term cartilage regeneration is still limited.</w:t>
      </w:r>
    </w:p>
    <w:p w14:paraId="0226BA27" w14:textId="739DBE1D" w:rsidR="00ED21D7" w:rsidRPr="00FD7F49"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lastRenderedPageBreak/>
        <w:t>Since osteoarthritis is chronic and</w:t>
      </w:r>
      <w:r>
        <w:rPr>
          <w:rFonts w:ascii="Times New Roman" w:eastAsia="Times New Roman" w:hAnsi="Times New Roman" w:cs="Times New Roman"/>
          <w:sz w:val="24"/>
          <w:szCs w:val="24"/>
        </w:rPr>
        <w:t xml:space="preserve"> progressive, follow-up studies must be done over the years in order to determine durability and actual therapeutic benefit. This is a real weakness, as the current evidence base lacks the extended outcome data, and poses a formidable challenge to clinical</w:t>
      </w:r>
      <w:r>
        <w:rPr>
          <w:rFonts w:ascii="Times New Roman" w:eastAsia="Times New Roman" w:hAnsi="Times New Roman" w:cs="Times New Roman"/>
          <w:sz w:val="24"/>
          <w:szCs w:val="24"/>
        </w:rPr>
        <w:t xml:space="preserve"> translation.</w:t>
      </w:r>
      <w:r w:rsidR="00FD7F49">
        <w:rPr>
          <w:rFonts w:ascii="Times New Roman" w:eastAsia="Times New Roman" w:hAnsi="Times New Roman" w:cs="Times New Roman"/>
          <w:sz w:val="24"/>
          <w:szCs w:val="24"/>
          <w:vertAlign w:val="superscript"/>
        </w:rPr>
        <w:t>63,64</w:t>
      </w:r>
    </w:p>
    <w:p w14:paraId="22C02810"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 Safety, Manufacturing, Regulatory, and Ethical Considerations</w:t>
      </w:r>
    </w:p>
    <w:p w14:paraId="40CDA2A4"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Manufacturing Challenges and Quality Control</w:t>
      </w:r>
    </w:p>
    <w:p w14:paraId="2BE53A3B" w14:textId="4CD260E0"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Clinical translation of regenerative therapies demands strong manufacturing procedures which assures of consistency of the </w:t>
      </w:r>
      <w:r>
        <w:rPr>
          <w:rFonts w:ascii="Times New Roman" w:eastAsia="Times New Roman" w:hAnsi="Times New Roman" w:cs="Times New Roman"/>
          <w:sz w:val="24"/>
          <w:szCs w:val="24"/>
        </w:rPr>
        <w:t>products and their safety as well as efficacy. The majority of cell-based therapies, such as mesenchymal stem cells (MSCs), have to be manufactured under Good Manufacturing Practice (GMP) standards in order to satisfy regulatory requirements. This refers t</w:t>
      </w:r>
      <w:r>
        <w:rPr>
          <w:rFonts w:ascii="Times New Roman" w:eastAsia="Times New Roman" w:hAnsi="Times New Roman" w:cs="Times New Roman"/>
          <w:sz w:val="24"/>
          <w:szCs w:val="24"/>
        </w:rPr>
        <w:t>o rigorous figureheads of cell sourcing, development, processing, and storage.</w:t>
      </w:r>
      <w:r>
        <w:rPr>
          <w:rFonts w:ascii="Times New Roman" w:eastAsia="Times New Roman" w:hAnsi="Times New Roman" w:cs="Times New Roman"/>
          <w:sz w:val="24"/>
          <w:szCs w:val="24"/>
          <w:vertAlign w:val="superscript"/>
        </w:rPr>
        <w:t>65</w:t>
      </w:r>
    </w:p>
    <w:p w14:paraId="13F7BC4F" w14:textId="3DDB3DE1"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biggest dilemmas in manufacturing cell therapies is lot-to-lot variability, especially in the case of autologous products, where the age, health condition, and dise</w:t>
      </w:r>
      <w:r>
        <w:rPr>
          <w:rFonts w:ascii="Times New Roman" w:eastAsia="Times New Roman" w:hAnsi="Times New Roman" w:cs="Times New Roman"/>
          <w:sz w:val="24"/>
          <w:szCs w:val="24"/>
        </w:rPr>
        <w:t xml:space="preserve">ase condition of a particular donor may have a significant impact on the quality of the cell and its therapeutic benefit. In allogeneic products, a change in culture, passage number, and cryopreservation methods can alter the phenotype of the cell and its </w:t>
      </w:r>
      <w:r>
        <w:rPr>
          <w:rFonts w:ascii="Times New Roman" w:eastAsia="Times New Roman" w:hAnsi="Times New Roman" w:cs="Times New Roman"/>
          <w:sz w:val="24"/>
          <w:szCs w:val="24"/>
        </w:rPr>
        <w:t>functionality.</w:t>
      </w:r>
      <w:r>
        <w:rPr>
          <w:rFonts w:ascii="Times New Roman" w:eastAsia="Times New Roman" w:hAnsi="Times New Roman" w:cs="Times New Roman"/>
          <w:sz w:val="24"/>
          <w:szCs w:val="24"/>
          <w:vertAlign w:val="superscript"/>
        </w:rPr>
        <w:t>66</w:t>
      </w:r>
    </w:p>
    <w:p w14:paraId="21FFD222" w14:textId="1EE1A5AD"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major limiting factor is potency assays. The effects of cell-based therapies are complex and multifactorial, unlike conventional drugs, for which the potency of a drug can be determined at a single molecular parameter. Consequently</w:t>
      </w:r>
      <w:r>
        <w:rPr>
          <w:rFonts w:ascii="Times New Roman" w:eastAsia="Times New Roman" w:hAnsi="Times New Roman" w:cs="Times New Roman"/>
          <w:sz w:val="24"/>
          <w:szCs w:val="24"/>
        </w:rPr>
        <w:t>, potency assays of MSCs have not been clearly established, and existing methods tend to utilize surrogate functional assays, including immunomodulatory activity.</w:t>
      </w:r>
      <w:r>
        <w:rPr>
          <w:rFonts w:ascii="Times New Roman" w:eastAsia="Times New Roman" w:hAnsi="Times New Roman" w:cs="Times New Roman"/>
          <w:sz w:val="24"/>
          <w:szCs w:val="24"/>
          <w:vertAlign w:val="superscript"/>
        </w:rPr>
        <w:t>66</w:t>
      </w:r>
    </w:p>
    <w:p w14:paraId="6E2D1500"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manufacturing process must be controlled in the air with regard to sterility and contam</w:t>
      </w:r>
      <w:r>
        <w:rPr>
          <w:rFonts w:ascii="Times New Roman" w:eastAsia="Times New Roman" w:hAnsi="Times New Roman" w:cs="Times New Roman"/>
          <w:sz w:val="24"/>
          <w:szCs w:val="24"/>
        </w:rPr>
        <w:t>ination. Although a necessity of storage and transportation, cryopreservation can also affect the viability and functioning of cells, making the standardization and quality control more challenging.</w:t>
      </w:r>
    </w:p>
    <w:p w14:paraId="24FFB4D1" w14:textId="648C4C03" w:rsidR="00006496" w:rsidRPr="00006496" w:rsidRDefault="00006496" w:rsidP="00006496">
      <w:pPr>
        <w:pStyle w:val="NoSpacing"/>
        <w:jc w:val="center"/>
        <w:rPr>
          <w:rFonts w:ascii="Times New Roman" w:hAnsi="Times New Roman" w:cs="Times New Roman"/>
          <w:sz w:val="24"/>
          <w:szCs w:val="24"/>
        </w:rPr>
      </w:pPr>
      <w:r w:rsidRPr="00006496">
        <w:rPr>
          <w:rFonts w:ascii="Times New Roman" w:hAnsi="Times New Roman" w:cs="Times New Roman"/>
          <w:noProof/>
          <w:sz w:val="24"/>
          <w:szCs w:val="24"/>
        </w:rPr>
        <w:lastRenderedPageBreak/>
        <w:drawing>
          <wp:inline distT="0" distB="0" distL="0" distR="0" wp14:anchorId="754CEE78" wp14:editId="329F30AD">
            <wp:extent cx="6057900" cy="3421380"/>
            <wp:effectExtent l="19050" t="19050" r="1905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t="4109" r="10239" b="47340"/>
                    <a:stretch/>
                  </pic:blipFill>
                  <pic:spPr bwMode="auto">
                    <a:xfrm>
                      <a:off x="0" y="0"/>
                      <a:ext cx="6057900" cy="342138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790F747" w14:textId="761556B8" w:rsidR="00006496" w:rsidRDefault="00006496" w:rsidP="00006496">
      <w:pPr>
        <w:pStyle w:val="NoSpacing"/>
        <w:jc w:val="center"/>
        <w:rPr>
          <w:rFonts w:ascii="Times New Roman" w:hAnsi="Times New Roman" w:cs="Times New Roman"/>
          <w:sz w:val="24"/>
          <w:szCs w:val="24"/>
        </w:rPr>
      </w:pPr>
      <w:r w:rsidRPr="00006496">
        <w:rPr>
          <w:rFonts w:ascii="Times New Roman" w:hAnsi="Times New Roman" w:cs="Times New Roman"/>
          <w:sz w:val="24"/>
          <w:szCs w:val="24"/>
        </w:rPr>
        <w:t>Figure 2: Regenerative Therapy Pipeline: From Bench to Bedside.</w:t>
      </w:r>
    </w:p>
    <w:p w14:paraId="3ADC6354" w14:textId="77777777" w:rsidR="00006496" w:rsidRDefault="00006496" w:rsidP="00006496">
      <w:pPr>
        <w:pStyle w:val="NoSpacing"/>
        <w:jc w:val="center"/>
        <w:rPr>
          <w:rFonts w:ascii="Times New Roman" w:hAnsi="Times New Roman" w:cs="Times New Roman"/>
          <w:sz w:val="24"/>
          <w:szCs w:val="24"/>
        </w:rPr>
      </w:pPr>
    </w:p>
    <w:p w14:paraId="00D159FD" w14:textId="77777777" w:rsidR="00006496" w:rsidRDefault="00006496" w:rsidP="00006496">
      <w:pPr>
        <w:pStyle w:val="NoSpacing"/>
        <w:jc w:val="center"/>
        <w:rPr>
          <w:rFonts w:ascii="Times New Roman" w:hAnsi="Times New Roman" w:cs="Times New Roman"/>
          <w:sz w:val="24"/>
          <w:szCs w:val="24"/>
        </w:rPr>
      </w:pPr>
    </w:p>
    <w:p w14:paraId="257DE795" w14:textId="77777777" w:rsidR="00847CE5" w:rsidRPr="00006496" w:rsidRDefault="00847CE5" w:rsidP="00847CE5">
      <w:pPr>
        <w:pStyle w:val="NoSpacing"/>
        <w:rPr>
          <w:rFonts w:ascii="Times New Roman" w:hAnsi="Times New Roman" w:cs="Times New Roman"/>
          <w:sz w:val="24"/>
          <w:szCs w:val="24"/>
        </w:rPr>
      </w:pPr>
    </w:p>
    <w:p w14:paraId="528B991C"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Regulatory Frameworks</w:t>
      </w:r>
    </w:p>
    <w:p w14:paraId="507DA79B" w14:textId="6A2A17EB"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regenerative therapies fall under complicated regulatory mechanisms that differ depending on the region. Broadly speaking, there are cell-based therapies depending on the extent of manipulation and the intended applica</w:t>
      </w:r>
      <w:r>
        <w:rPr>
          <w:rFonts w:ascii="Times New Roman" w:eastAsia="Times New Roman" w:hAnsi="Times New Roman" w:cs="Times New Roman"/>
          <w:sz w:val="24"/>
          <w:szCs w:val="24"/>
        </w:rPr>
        <w:t>tion. Less characterized and less differentiated product supports are generally regulated out of thin-skinned manipulated or non-homologous products, which are advanced therapies medicinal (ATMPs) and are subject to a stringent assessment.</w:t>
      </w:r>
      <w:r>
        <w:rPr>
          <w:rFonts w:ascii="Times New Roman" w:eastAsia="Times New Roman" w:hAnsi="Times New Roman" w:cs="Times New Roman"/>
          <w:sz w:val="24"/>
          <w:szCs w:val="24"/>
          <w:vertAlign w:val="superscript"/>
        </w:rPr>
        <w:t>65</w:t>
      </w:r>
    </w:p>
    <w:p w14:paraId="7F93B661" w14:textId="6BE47593"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Various </w:t>
      </w:r>
      <w:r>
        <w:rPr>
          <w:rFonts w:ascii="Times New Roman" w:eastAsia="Times New Roman" w:hAnsi="Times New Roman" w:cs="Times New Roman"/>
          <w:sz w:val="24"/>
          <w:szCs w:val="24"/>
        </w:rPr>
        <w:t>governments, including the U.S Food and Drug Administration (FDA) and the European Medicines Agency (EMA), have developed guidelines on how cell and gene therapies should be developed and approved, which encompass comprehensive preclinical data, standard m</w:t>
      </w:r>
      <w:r>
        <w:rPr>
          <w:rFonts w:ascii="Times New Roman" w:eastAsia="Times New Roman" w:hAnsi="Times New Roman" w:cs="Times New Roman"/>
          <w:sz w:val="24"/>
          <w:szCs w:val="24"/>
        </w:rPr>
        <w:t>anufacturing operations, and competent clinical trials.</w:t>
      </w:r>
      <w:r>
        <w:rPr>
          <w:rFonts w:ascii="Times New Roman" w:eastAsia="Times New Roman" w:hAnsi="Times New Roman" w:cs="Times New Roman"/>
          <w:sz w:val="24"/>
          <w:szCs w:val="24"/>
          <w:vertAlign w:val="superscript"/>
        </w:rPr>
        <w:t>65</w:t>
      </w:r>
    </w:p>
    <w:p w14:paraId="60C8959B"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Nonetheless, challenges to clinical translation pose a problem due to regulatory inconsistencies and changes in definitions. The fact that unregulated stem cell clinics have appeared that provide un</w:t>
      </w:r>
      <w:r>
        <w:rPr>
          <w:rFonts w:ascii="Times New Roman" w:eastAsia="Times New Roman" w:hAnsi="Times New Roman" w:cs="Times New Roman"/>
          <w:sz w:val="24"/>
          <w:szCs w:val="24"/>
        </w:rPr>
        <w:t>tested procedures further demonstrates the deficiencies in regulatory implementation and potential safety concerns for the patient.</w:t>
      </w:r>
      <w:r>
        <w:rPr>
          <w:rFonts w:ascii="Times New Roman" w:eastAsia="Times New Roman" w:hAnsi="Times New Roman" w:cs="Times New Roman"/>
          <w:sz w:val="24"/>
          <w:szCs w:val="24"/>
          <w:vertAlign w:val="superscript"/>
        </w:rPr>
        <w:t>67</w:t>
      </w:r>
    </w:p>
    <w:p w14:paraId="0A204A95"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Commercial, Cost, and Accessibility Issues</w:t>
      </w:r>
    </w:p>
    <w:p w14:paraId="13D9DF7E" w14:textId="367F7520"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lastRenderedPageBreak/>
        <w:t xml:space="preserve">There are considerable economic problems that are associated with the </w:t>
      </w:r>
      <w:r>
        <w:rPr>
          <w:rFonts w:ascii="Times New Roman" w:eastAsia="Times New Roman" w:hAnsi="Times New Roman" w:cs="Times New Roman"/>
          <w:sz w:val="24"/>
          <w:szCs w:val="24"/>
        </w:rPr>
        <w:t>commercialization of regenerative therapies. Cell and gene therapies manufacturing procedures are complicated and expensive, which leads to expensive treatment that reduces accessibility. Individualized treatments are especially costly since they involve i</w:t>
      </w:r>
      <w:r>
        <w:rPr>
          <w:rFonts w:ascii="Times New Roman" w:eastAsia="Times New Roman" w:hAnsi="Times New Roman" w:cs="Times New Roman"/>
          <w:sz w:val="24"/>
          <w:szCs w:val="24"/>
        </w:rPr>
        <w:t>ndividualized processing needs.</w:t>
      </w:r>
      <w:r>
        <w:rPr>
          <w:rFonts w:ascii="Times New Roman" w:eastAsia="Times New Roman" w:hAnsi="Times New Roman" w:cs="Times New Roman"/>
          <w:sz w:val="24"/>
          <w:szCs w:val="24"/>
          <w:vertAlign w:val="superscript"/>
        </w:rPr>
        <w:t>68</w:t>
      </w:r>
    </w:p>
    <w:p w14:paraId="285FA271"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Scalability is also a significant drawback, particularly to sophisticated therapeutic interventions like gene-modified cells and tissue-engineered constructs. Such obstacles question the provisions of equal accessibility a</w:t>
      </w:r>
      <w:r>
        <w:rPr>
          <w:rFonts w:ascii="Times New Roman" w:eastAsia="Times New Roman" w:hAnsi="Times New Roman" w:cs="Times New Roman"/>
          <w:sz w:val="24"/>
          <w:szCs w:val="24"/>
        </w:rPr>
        <w:t>nd the possibility of clinical implementation at a massive scale.</w:t>
      </w:r>
    </w:p>
    <w:p w14:paraId="77E78F55"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Ethical Considerations</w:t>
      </w:r>
    </w:p>
    <w:p w14:paraId="09729842"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consideration of ethics is at the heart of the creation of regenerative therapies. There is a trade-off in the implementation of either autologous or allogeneic ce</w:t>
      </w:r>
      <w:r>
        <w:rPr>
          <w:rFonts w:ascii="Times New Roman" w:eastAsia="Times New Roman" w:hAnsi="Times New Roman" w:cs="Times New Roman"/>
          <w:sz w:val="24"/>
          <w:szCs w:val="24"/>
        </w:rPr>
        <w:t>ll sources in regard to immune compatibility and scalability. Although more scalable, allogeneic therapies are associated with issues related to the safety of the donor, his/her consent, and immunogenicity.</w:t>
      </w:r>
      <w:r>
        <w:rPr>
          <w:rFonts w:ascii="Times New Roman" w:eastAsia="Times New Roman" w:hAnsi="Times New Roman" w:cs="Times New Roman"/>
          <w:sz w:val="24"/>
          <w:szCs w:val="24"/>
          <w:vertAlign w:val="superscript"/>
        </w:rPr>
        <w:t>69</w:t>
      </w:r>
    </w:p>
    <w:p w14:paraId="0C47D081"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Donor approval and moral acquisition of tissues</w:t>
      </w:r>
      <w:r>
        <w:rPr>
          <w:rFonts w:ascii="Times New Roman" w:eastAsia="Times New Roman" w:hAnsi="Times New Roman" w:cs="Times New Roman"/>
          <w:sz w:val="24"/>
          <w:szCs w:val="24"/>
        </w:rPr>
        <w:t xml:space="preserve"> is essential, especially in relation to perinatal ones and allogeneic sources. The monitoring of safety in the long-term is also necessary because of the risks that include tumorigenicity as well as unintended results on the tissues.</w:t>
      </w:r>
    </w:p>
    <w:p w14:paraId="057A6788" w14:textId="623CD407" w:rsidR="00D3721B"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Also, there is the po</w:t>
      </w:r>
      <w:r>
        <w:rPr>
          <w:rFonts w:ascii="Times New Roman" w:eastAsia="Times New Roman" w:hAnsi="Times New Roman" w:cs="Times New Roman"/>
          <w:sz w:val="24"/>
          <w:szCs w:val="24"/>
        </w:rPr>
        <w:t>ssibility that the growth of unregulated stem cell clinics that provide untested treatments poses a severe ethical issue that could be a form of exploitation of patients, as well as the disregard of evidence-based guidelines. The measures required to solve</w:t>
      </w:r>
      <w:r>
        <w:rPr>
          <w:rFonts w:ascii="Times New Roman" w:eastAsia="Times New Roman" w:hAnsi="Times New Roman" w:cs="Times New Roman"/>
          <w:sz w:val="24"/>
          <w:szCs w:val="24"/>
        </w:rPr>
        <w:t xml:space="preserve"> these problems include strengthened regulatory control and the encouragement of transparency.</w:t>
      </w:r>
      <w:r>
        <w:rPr>
          <w:rFonts w:ascii="Times New Roman" w:eastAsia="Times New Roman" w:hAnsi="Times New Roman" w:cs="Times New Roman"/>
          <w:sz w:val="24"/>
          <w:szCs w:val="24"/>
          <w:vertAlign w:val="superscript"/>
        </w:rPr>
        <w:t>67</w:t>
      </w:r>
    </w:p>
    <w:p w14:paraId="3A46ED16" w14:textId="77777777" w:rsidR="00D500FE" w:rsidRPr="00D3721B" w:rsidRDefault="00D500FE">
      <w:pPr>
        <w:spacing w:line="360" w:lineRule="auto"/>
        <w:jc w:val="both"/>
        <w:rPr>
          <w:rFonts w:ascii="Times New Roman" w:eastAsia="Times New Roman" w:hAnsi="Times New Roman" w:cs="Times New Roman"/>
          <w:sz w:val="24"/>
          <w:szCs w:val="24"/>
          <w:vertAlign w:val="superscript"/>
        </w:rPr>
      </w:pPr>
    </w:p>
    <w:p w14:paraId="11C4DD6D" w14:textId="77777777" w:rsidR="00ED21D7" w:rsidRPr="00245A64" w:rsidRDefault="003F3C38">
      <w:pPr>
        <w:spacing w:line="360" w:lineRule="auto"/>
        <w:jc w:val="both"/>
        <w:rPr>
          <w:rFonts w:ascii="Times New Roman" w:eastAsia="Times New Roman" w:hAnsi="Times New Roman" w:cs="Times New Roman"/>
          <w:b/>
          <w:bCs/>
          <w:sz w:val="24"/>
          <w:szCs w:val="24"/>
        </w:rPr>
      </w:pPr>
      <w:r w:rsidRPr="00245A64">
        <w:rPr>
          <w:rFonts w:ascii="Times New Roman" w:eastAsia="Times New Roman" w:hAnsi="Times New Roman" w:cs="Times New Roman"/>
          <w:b/>
          <w:bCs/>
          <w:sz w:val="24"/>
          <w:szCs w:val="24"/>
        </w:rPr>
        <w:t>9. Challenges, Gaps, and Future Directions</w:t>
      </w:r>
    </w:p>
    <w:p w14:paraId="486F4BB4" w14:textId="77777777" w:rsidR="00ED21D7" w:rsidRPr="00245A64" w:rsidRDefault="003F3C38">
      <w:pPr>
        <w:spacing w:line="360" w:lineRule="auto"/>
        <w:jc w:val="both"/>
        <w:rPr>
          <w:rFonts w:ascii="Times New Roman" w:eastAsia="Times New Roman" w:hAnsi="Times New Roman" w:cs="Times New Roman"/>
          <w:b/>
          <w:bCs/>
          <w:sz w:val="24"/>
          <w:szCs w:val="24"/>
        </w:rPr>
      </w:pPr>
      <w:r w:rsidRPr="00245A64">
        <w:rPr>
          <w:rFonts w:ascii="Times New Roman" w:eastAsia="Times New Roman" w:hAnsi="Times New Roman" w:cs="Times New Roman"/>
          <w:b/>
          <w:bCs/>
          <w:sz w:val="24"/>
          <w:szCs w:val="24"/>
        </w:rPr>
        <w:t>Standardization of Cell Characterization and Reporting</w:t>
      </w:r>
    </w:p>
    <w:p w14:paraId="70B81F90"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Standardized cell characterization and reporting are one of </w:t>
      </w:r>
      <w:r>
        <w:rPr>
          <w:rFonts w:ascii="Times New Roman" w:eastAsia="Times New Roman" w:hAnsi="Times New Roman" w:cs="Times New Roman"/>
          <w:sz w:val="24"/>
          <w:szCs w:val="24"/>
        </w:rPr>
        <w:t xml:space="preserve">the most serious hindrances to the clinical translation of regenerative therapies. There is a broad set of varied studies in definitions, measurements, and reports of mesenchymal stem cells (MSCs), both in the dose units (cells per injection and cells per </w:t>
      </w:r>
      <w:r>
        <w:rPr>
          <w:rFonts w:ascii="Times New Roman" w:eastAsia="Times New Roman" w:hAnsi="Times New Roman" w:cs="Times New Roman"/>
          <w:sz w:val="24"/>
          <w:szCs w:val="24"/>
        </w:rPr>
        <w:t>kilogram) and viability criteria and surface markers. Such variation restricts rejection, and comparison across studies is challenging.</w:t>
      </w:r>
    </w:p>
    <w:p w14:paraId="629FDC15"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Superior conditions. Several of these would consist of standardized reporting protocols, with explicit descriptions of c</w:t>
      </w:r>
      <w:r>
        <w:rPr>
          <w:rFonts w:ascii="Times New Roman" w:eastAsia="Times New Roman" w:hAnsi="Times New Roman" w:cs="Times New Roman"/>
          <w:sz w:val="24"/>
          <w:szCs w:val="24"/>
        </w:rPr>
        <w:t xml:space="preserve">ell identity (to include CD73, CD90, or CD105 expression), cell </w:t>
      </w:r>
      <w:r>
        <w:rPr>
          <w:rFonts w:ascii="Times New Roman" w:eastAsia="Times New Roman" w:hAnsi="Times New Roman" w:cs="Times New Roman"/>
          <w:sz w:val="24"/>
          <w:szCs w:val="24"/>
        </w:rPr>
        <w:lastRenderedPageBreak/>
        <w:t>viability, and functional efficacy to provide stable solutions for concerted and enhanced representation.</w:t>
      </w:r>
      <w:r>
        <w:rPr>
          <w:rFonts w:ascii="Times New Roman" w:eastAsia="Times New Roman" w:hAnsi="Times New Roman" w:cs="Times New Roman"/>
          <w:sz w:val="24"/>
          <w:szCs w:val="24"/>
          <w:vertAlign w:val="superscript"/>
        </w:rPr>
        <w:t>27</w:t>
      </w:r>
    </w:p>
    <w:p w14:paraId="29CB0CBD" w14:textId="77777777" w:rsidR="00ED21D7" w:rsidRPr="00245A64" w:rsidRDefault="003F3C38">
      <w:pPr>
        <w:spacing w:line="360" w:lineRule="auto"/>
        <w:jc w:val="both"/>
        <w:rPr>
          <w:rFonts w:ascii="Times New Roman" w:eastAsia="Times New Roman" w:hAnsi="Times New Roman" w:cs="Times New Roman"/>
          <w:b/>
          <w:bCs/>
          <w:sz w:val="24"/>
          <w:szCs w:val="24"/>
        </w:rPr>
      </w:pPr>
      <w:r w:rsidRPr="00245A64">
        <w:rPr>
          <w:rFonts w:ascii="Times New Roman" w:eastAsia="Times New Roman" w:hAnsi="Times New Roman" w:cs="Times New Roman"/>
          <w:b/>
          <w:bCs/>
          <w:sz w:val="24"/>
          <w:szCs w:val="24"/>
        </w:rPr>
        <w:t>Harmonization of Clinical Endpoints</w:t>
      </w:r>
    </w:p>
    <w:p w14:paraId="6DB472D8"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Lack of harmonized clinical endpoints is yet </w:t>
      </w:r>
      <w:r>
        <w:rPr>
          <w:rFonts w:ascii="Times New Roman" w:eastAsia="Times New Roman" w:hAnsi="Times New Roman" w:cs="Times New Roman"/>
          <w:sz w:val="24"/>
          <w:szCs w:val="24"/>
        </w:rPr>
        <w:t>another huge shortcoming in present-day research. The patient-reported outcome measures most commonly used in trials (including WOMAC and VAS) are largely based on symptomatic improvement and not structural regeneration.</w:t>
      </w:r>
    </w:p>
    <w:p w14:paraId="3EA6AD8C"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 sensitive and quantitative mea</w:t>
      </w:r>
      <w:r>
        <w:rPr>
          <w:rFonts w:ascii="Times New Roman" w:eastAsia="Times New Roman" w:hAnsi="Times New Roman" w:cs="Times New Roman"/>
          <w:sz w:val="24"/>
          <w:szCs w:val="24"/>
        </w:rPr>
        <w:t>surements of cartilage composition and repair have been presented using state of the art imaging methods, like magnetic resonance imaging (MRI) with cartilage-specific protocols, such as T2 mapping and delayed gadolinium-enhanced MRI of cartilage (</w:t>
      </w:r>
      <w:proofErr w:type="spellStart"/>
      <w:r>
        <w:rPr>
          <w:rFonts w:ascii="Times New Roman" w:eastAsia="Times New Roman" w:hAnsi="Times New Roman" w:cs="Times New Roman"/>
          <w:sz w:val="24"/>
          <w:szCs w:val="24"/>
        </w:rPr>
        <w:t>dGEMRIC</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 Moreover, objective indicators of treatment response could be synovial fluid and serum biomarkers, such as cartilage degeneration markers.</w:t>
      </w:r>
    </w:p>
    <w:p w14:paraId="1B5CAF0D" w14:textId="3AF591DF"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next generation of trials should include multimodal endpoints, which also include clinical, imaging, and bioche</w:t>
      </w:r>
      <w:r>
        <w:rPr>
          <w:rFonts w:ascii="Times New Roman" w:eastAsia="Times New Roman" w:hAnsi="Times New Roman" w:cs="Times New Roman"/>
          <w:sz w:val="24"/>
          <w:szCs w:val="24"/>
        </w:rPr>
        <w:t>mical outcome measures to enable a more holistic examination of the treatment effect.</w:t>
      </w:r>
      <w:r>
        <w:rPr>
          <w:rFonts w:ascii="Times New Roman" w:eastAsia="Times New Roman" w:hAnsi="Times New Roman" w:cs="Times New Roman"/>
          <w:sz w:val="24"/>
          <w:szCs w:val="24"/>
          <w:vertAlign w:val="superscript"/>
        </w:rPr>
        <w:t>70</w:t>
      </w:r>
    </w:p>
    <w:p w14:paraId="4DB43B5F" w14:textId="77777777" w:rsidR="00ED21D7" w:rsidRPr="00245A64" w:rsidRDefault="003F3C38">
      <w:pPr>
        <w:spacing w:line="360" w:lineRule="auto"/>
        <w:jc w:val="both"/>
        <w:rPr>
          <w:rFonts w:ascii="Times New Roman" w:eastAsia="Times New Roman" w:hAnsi="Times New Roman" w:cs="Times New Roman"/>
          <w:b/>
          <w:bCs/>
          <w:sz w:val="24"/>
          <w:szCs w:val="24"/>
        </w:rPr>
      </w:pPr>
      <w:r w:rsidRPr="00245A64">
        <w:rPr>
          <w:rFonts w:ascii="Times New Roman" w:eastAsia="Times New Roman" w:hAnsi="Times New Roman" w:cs="Times New Roman"/>
          <w:b/>
          <w:bCs/>
          <w:sz w:val="24"/>
          <w:szCs w:val="24"/>
        </w:rPr>
        <w:t>Scalable Manufacturing and Potency Assessment</w:t>
      </w:r>
    </w:p>
    <w:p w14:paraId="16568774"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regenerative therapies are limited by their scalability. The existing procedures of producing cell and gene therapies </w:t>
      </w:r>
      <w:r>
        <w:rPr>
          <w:rFonts w:ascii="Times New Roman" w:eastAsia="Times New Roman" w:hAnsi="Times New Roman" w:cs="Times New Roman"/>
          <w:sz w:val="24"/>
          <w:szCs w:val="24"/>
        </w:rPr>
        <w:t>are complicated, expensive, and intra-</w:t>
      </w:r>
      <w:proofErr w:type="spellStart"/>
      <w:r>
        <w:rPr>
          <w:rFonts w:ascii="Times New Roman" w:eastAsia="Times New Roman" w:hAnsi="Times New Roman" w:cs="Times New Roman"/>
          <w:sz w:val="24"/>
          <w:szCs w:val="24"/>
        </w:rPr>
        <w:t>center</w:t>
      </w:r>
      <w:proofErr w:type="spellEnd"/>
      <w:r>
        <w:rPr>
          <w:rFonts w:ascii="Times New Roman" w:eastAsia="Times New Roman" w:hAnsi="Times New Roman" w:cs="Times New Roman"/>
          <w:sz w:val="24"/>
          <w:szCs w:val="24"/>
        </w:rPr>
        <w:t xml:space="preserve"> in standardization. A weakness in quality control and regulatory approval is the unavailability of rigorous and universally recognized potency assays.</w:t>
      </w:r>
    </w:p>
    <w:p w14:paraId="10971BC0" w14:textId="2FD6AE3F" w:rsidR="00ED21D7" w:rsidRDefault="003F3C38">
      <w:pPr>
        <w:spacing w:line="360" w:lineRule="auto"/>
        <w:jc w:val="both"/>
        <w:rPr>
          <w:rFonts w:ascii="Times New Roman" w:eastAsia="Times New Roman" w:hAnsi="Times New Roman" w:cs="Times New Roman"/>
          <w:sz w:val="24"/>
          <w:szCs w:val="24"/>
          <w:highlight w:val="yellow"/>
          <w:vertAlign w:val="superscript"/>
        </w:rPr>
      </w:pPr>
      <w:r>
        <w:rPr>
          <w:rFonts w:ascii="Times New Roman" w:eastAsia="Times New Roman" w:hAnsi="Times New Roman" w:cs="Times New Roman"/>
          <w:sz w:val="24"/>
          <w:szCs w:val="24"/>
        </w:rPr>
        <w:t>The improvement of accessibility and cost reduction is being</w:t>
      </w:r>
      <w:r>
        <w:rPr>
          <w:rFonts w:ascii="Times New Roman" w:eastAsia="Times New Roman" w:hAnsi="Times New Roman" w:cs="Times New Roman"/>
          <w:sz w:val="24"/>
          <w:szCs w:val="24"/>
        </w:rPr>
        <w:t xml:space="preserve"> pursued through decentralized manufacturing models, among which is the point-of-care production system. These methods should, however, guarantee the same level of product quality and should meet the legal requirements. Improvement of automation and closed</w:t>
      </w:r>
      <w:r>
        <w:rPr>
          <w:rFonts w:ascii="Times New Roman" w:eastAsia="Times New Roman" w:hAnsi="Times New Roman" w:cs="Times New Roman"/>
          <w:sz w:val="24"/>
          <w:szCs w:val="24"/>
        </w:rPr>
        <w:t xml:space="preserve">-system bioreactors, </w:t>
      </w:r>
      <w:r w:rsidR="00245A64">
        <w:rPr>
          <w:rFonts w:ascii="Times New Roman" w:eastAsia="Times New Roman" w:hAnsi="Times New Roman" w:cs="Times New Roman"/>
          <w:sz w:val="24"/>
          <w:szCs w:val="24"/>
        </w:rPr>
        <w:t xml:space="preserve">as well as </w:t>
      </w:r>
      <w:r>
        <w:rPr>
          <w:rFonts w:ascii="Times New Roman" w:eastAsia="Times New Roman" w:hAnsi="Times New Roman" w:cs="Times New Roman"/>
          <w:sz w:val="24"/>
          <w:szCs w:val="24"/>
        </w:rPr>
        <w:t>well-defined potency assays</w:t>
      </w:r>
      <w:r w:rsidR="00245A6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will be critical to facilitating large-scale clinical application.</w:t>
      </w:r>
      <w:r>
        <w:rPr>
          <w:rFonts w:ascii="Times New Roman" w:eastAsia="Times New Roman" w:hAnsi="Times New Roman" w:cs="Times New Roman"/>
          <w:sz w:val="24"/>
          <w:szCs w:val="24"/>
          <w:vertAlign w:val="superscript"/>
        </w:rPr>
        <w:t>66</w:t>
      </w:r>
    </w:p>
    <w:p w14:paraId="1010477B" w14:textId="77777777" w:rsidR="00ED21D7" w:rsidRPr="00245A64" w:rsidRDefault="003F3C38">
      <w:pPr>
        <w:spacing w:line="360" w:lineRule="auto"/>
        <w:jc w:val="both"/>
        <w:rPr>
          <w:rFonts w:ascii="Times New Roman" w:eastAsia="Times New Roman" w:hAnsi="Times New Roman" w:cs="Times New Roman"/>
          <w:b/>
          <w:bCs/>
          <w:sz w:val="24"/>
          <w:szCs w:val="24"/>
        </w:rPr>
      </w:pPr>
      <w:r w:rsidRPr="00245A64">
        <w:rPr>
          <w:rFonts w:ascii="Times New Roman" w:eastAsia="Times New Roman" w:hAnsi="Times New Roman" w:cs="Times New Roman"/>
          <w:b/>
          <w:bCs/>
          <w:sz w:val="24"/>
          <w:szCs w:val="24"/>
        </w:rPr>
        <w:t>Combination and Multimodal Therapies</w:t>
      </w:r>
    </w:p>
    <w:p w14:paraId="5B92EC09" w14:textId="77777777" w:rsidR="00ED21D7" w:rsidRPr="00245A64" w:rsidRDefault="003F3C38">
      <w:pPr>
        <w:spacing w:line="360" w:lineRule="auto"/>
        <w:jc w:val="both"/>
        <w:rPr>
          <w:rFonts w:ascii="Times New Roman" w:eastAsia="Times New Roman" w:hAnsi="Times New Roman" w:cs="Times New Roman"/>
          <w:sz w:val="24"/>
          <w:szCs w:val="24"/>
        </w:rPr>
      </w:pPr>
      <w:r w:rsidRPr="00245A64">
        <w:rPr>
          <w:rFonts w:ascii="Times New Roman" w:eastAsia="Times New Roman" w:hAnsi="Times New Roman" w:cs="Times New Roman"/>
          <w:sz w:val="24"/>
          <w:szCs w:val="24"/>
        </w:rPr>
        <w:t>Cases Due to the complex nature of arthritis, monomodal treatments do not promise to rege</w:t>
      </w:r>
      <w:r w:rsidRPr="00245A64">
        <w:rPr>
          <w:rFonts w:ascii="Times New Roman" w:eastAsia="Times New Roman" w:hAnsi="Times New Roman" w:cs="Times New Roman"/>
          <w:sz w:val="24"/>
          <w:szCs w:val="24"/>
        </w:rPr>
        <w:t>nerate the condition fully and permanently. The integration of many regenerative strategies, or combination approaches, is becoming an exciting avenue.</w:t>
      </w:r>
    </w:p>
    <w:p w14:paraId="2E75F182" w14:textId="48295B4B" w:rsidR="00ED21D7" w:rsidRPr="00245A64" w:rsidRDefault="003F3C38">
      <w:pPr>
        <w:spacing w:line="360" w:lineRule="auto"/>
        <w:jc w:val="both"/>
        <w:rPr>
          <w:rFonts w:ascii="Times New Roman" w:eastAsia="Times New Roman" w:hAnsi="Times New Roman" w:cs="Times New Roman"/>
          <w:sz w:val="24"/>
          <w:szCs w:val="24"/>
        </w:rPr>
      </w:pPr>
      <w:r w:rsidRPr="00245A64">
        <w:rPr>
          <w:rFonts w:ascii="Times New Roman" w:eastAsia="Times New Roman" w:hAnsi="Times New Roman" w:cs="Times New Roman"/>
          <w:sz w:val="24"/>
          <w:szCs w:val="24"/>
        </w:rPr>
        <w:t>These encompass a mixture of cell therapies and gene delivery systems, bio-scaffolds, and biologic adjun</w:t>
      </w:r>
      <w:r w:rsidRPr="00245A64">
        <w:rPr>
          <w:rFonts w:ascii="Times New Roman" w:eastAsia="Times New Roman" w:hAnsi="Times New Roman" w:cs="Times New Roman"/>
          <w:sz w:val="24"/>
          <w:szCs w:val="24"/>
        </w:rPr>
        <w:t xml:space="preserve">cts like platelet-rich plasma or extracellular vesicles. The goal of such </w:t>
      </w:r>
      <w:r w:rsidRPr="00245A64">
        <w:rPr>
          <w:rFonts w:ascii="Times New Roman" w:eastAsia="Times New Roman" w:hAnsi="Times New Roman" w:cs="Times New Roman"/>
          <w:sz w:val="24"/>
          <w:szCs w:val="24"/>
        </w:rPr>
        <w:lastRenderedPageBreak/>
        <w:t>multimodal strategies is to treat inflammation, support tissue regeneration</w:t>
      </w:r>
      <w:r w:rsidR="00245A64" w:rsidRPr="00245A64">
        <w:rPr>
          <w:rFonts w:ascii="Times New Roman" w:eastAsia="Times New Roman" w:hAnsi="Times New Roman" w:cs="Times New Roman"/>
          <w:sz w:val="24"/>
          <w:szCs w:val="24"/>
        </w:rPr>
        <w:t>,</w:t>
      </w:r>
      <w:r w:rsidRPr="00245A64">
        <w:rPr>
          <w:rFonts w:ascii="Times New Roman" w:eastAsia="Times New Roman" w:hAnsi="Times New Roman" w:cs="Times New Roman"/>
          <w:sz w:val="24"/>
          <w:szCs w:val="24"/>
        </w:rPr>
        <w:t xml:space="preserve"> </w:t>
      </w:r>
      <w:r w:rsidR="00245A64" w:rsidRPr="00245A64">
        <w:rPr>
          <w:rFonts w:ascii="Times New Roman" w:eastAsia="Times New Roman" w:hAnsi="Times New Roman" w:cs="Times New Roman"/>
          <w:sz w:val="24"/>
          <w:szCs w:val="24"/>
        </w:rPr>
        <w:t>and</w:t>
      </w:r>
      <w:r w:rsidRPr="00245A64">
        <w:rPr>
          <w:rFonts w:ascii="Times New Roman" w:eastAsia="Times New Roman" w:hAnsi="Times New Roman" w:cs="Times New Roman"/>
          <w:sz w:val="24"/>
          <w:szCs w:val="24"/>
        </w:rPr>
        <w:t xml:space="preserve"> structural integration concurrently.</w:t>
      </w:r>
    </w:p>
    <w:p w14:paraId="7DBED2B4" w14:textId="77777777" w:rsidR="00ED21D7" w:rsidRPr="00245A64" w:rsidRDefault="003F3C38">
      <w:pPr>
        <w:spacing w:line="360" w:lineRule="auto"/>
        <w:jc w:val="both"/>
        <w:rPr>
          <w:rFonts w:ascii="Times New Roman" w:eastAsia="Times New Roman" w:hAnsi="Times New Roman" w:cs="Times New Roman"/>
          <w:sz w:val="24"/>
          <w:szCs w:val="24"/>
        </w:rPr>
      </w:pPr>
      <w:r w:rsidRPr="00245A64">
        <w:rPr>
          <w:rFonts w:ascii="Times New Roman" w:eastAsia="Times New Roman" w:hAnsi="Times New Roman" w:cs="Times New Roman"/>
          <w:sz w:val="24"/>
          <w:szCs w:val="24"/>
        </w:rPr>
        <w:t xml:space="preserve">Nevertheless, these methods are associated with a greater level </w:t>
      </w:r>
      <w:r w:rsidRPr="00245A64">
        <w:rPr>
          <w:rFonts w:ascii="Times New Roman" w:eastAsia="Times New Roman" w:hAnsi="Times New Roman" w:cs="Times New Roman"/>
          <w:sz w:val="24"/>
          <w:szCs w:val="24"/>
        </w:rPr>
        <w:t>of complexity in manufacturing and regulatory approvals, as well as in clinical testing. It will need careful optimization and extensive testing to find effective and safe combinations.</w:t>
      </w:r>
      <w:r w:rsidRPr="00245A64">
        <w:rPr>
          <w:rFonts w:ascii="Times New Roman" w:eastAsia="Times New Roman" w:hAnsi="Times New Roman" w:cs="Times New Roman"/>
          <w:sz w:val="24"/>
          <w:szCs w:val="24"/>
          <w:vertAlign w:val="superscript"/>
        </w:rPr>
        <w:t>6</w:t>
      </w:r>
    </w:p>
    <w:p w14:paraId="1CA6325D" w14:textId="77777777" w:rsidR="00ED21D7" w:rsidRPr="00245A64" w:rsidRDefault="003F3C38">
      <w:pPr>
        <w:spacing w:line="360" w:lineRule="auto"/>
        <w:jc w:val="both"/>
        <w:rPr>
          <w:rFonts w:ascii="Times New Roman" w:eastAsia="Times New Roman" w:hAnsi="Times New Roman" w:cs="Times New Roman"/>
          <w:b/>
          <w:bCs/>
          <w:sz w:val="24"/>
          <w:szCs w:val="24"/>
        </w:rPr>
      </w:pPr>
      <w:r w:rsidRPr="00245A64">
        <w:rPr>
          <w:rFonts w:ascii="Times New Roman" w:eastAsia="Times New Roman" w:hAnsi="Times New Roman" w:cs="Times New Roman"/>
          <w:b/>
          <w:bCs/>
          <w:sz w:val="24"/>
          <w:szCs w:val="24"/>
        </w:rPr>
        <w:t>Recommendations for Future Clinical Trials</w:t>
      </w:r>
    </w:p>
    <w:p w14:paraId="2EE6CDB6" w14:textId="77777777" w:rsidR="00ED21D7" w:rsidRPr="00245A64" w:rsidRDefault="003F3C38">
      <w:pPr>
        <w:spacing w:line="360" w:lineRule="auto"/>
        <w:jc w:val="both"/>
        <w:rPr>
          <w:rFonts w:ascii="Times New Roman" w:eastAsia="Times New Roman" w:hAnsi="Times New Roman" w:cs="Times New Roman"/>
          <w:sz w:val="24"/>
          <w:szCs w:val="24"/>
        </w:rPr>
      </w:pPr>
      <w:r w:rsidRPr="00245A64">
        <w:rPr>
          <w:rFonts w:ascii="Times New Roman" w:eastAsia="Times New Roman" w:hAnsi="Times New Roman" w:cs="Times New Roman"/>
          <w:sz w:val="24"/>
          <w:szCs w:val="24"/>
        </w:rPr>
        <w:t>The problematic aspects of</w:t>
      </w:r>
      <w:r w:rsidRPr="00245A64">
        <w:rPr>
          <w:rFonts w:ascii="Times New Roman" w:eastAsia="Times New Roman" w:hAnsi="Times New Roman" w:cs="Times New Roman"/>
          <w:sz w:val="24"/>
          <w:szCs w:val="24"/>
        </w:rPr>
        <w:t xml:space="preserve"> the existing evidence should be overridden by future clinical trials designed to be more rigorous and standardized. All of this requires the long-term effectiveness and safety of regenerative therapies to be determined through large-scale randomized contr</w:t>
      </w:r>
      <w:r w:rsidRPr="00245A64">
        <w:rPr>
          <w:rFonts w:ascii="Times New Roman" w:eastAsia="Times New Roman" w:hAnsi="Times New Roman" w:cs="Times New Roman"/>
          <w:sz w:val="24"/>
          <w:szCs w:val="24"/>
        </w:rPr>
        <w:t>olled trials with sufficient sample size and longer follow-up study periods.</w:t>
      </w:r>
    </w:p>
    <w:p w14:paraId="676E943C" w14:textId="6318C02D" w:rsidR="00ED21D7" w:rsidRPr="00245A64" w:rsidRDefault="003F3C38">
      <w:pPr>
        <w:spacing w:line="360" w:lineRule="auto"/>
        <w:jc w:val="both"/>
        <w:rPr>
          <w:rFonts w:ascii="Times New Roman" w:eastAsia="Times New Roman" w:hAnsi="Times New Roman" w:cs="Times New Roman"/>
          <w:sz w:val="24"/>
          <w:szCs w:val="24"/>
        </w:rPr>
      </w:pPr>
      <w:r w:rsidRPr="00245A64">
        <w:rPr>
          <w:rFonts w:ascii="Times New Roman" w:eastAsia="Times New Roman" w:hAnsi="Times New Roman" w:cs="Times New Roman"/>
          <w:sz w:val="24"/>
          <w:szCs w:val="24"/>
        </w:rPr>
        <w:t>The integration of structural endpoints, including imaging-based measurement of cartilage, and functional and patient-reported outcomes</w:t>
      </w:r>
      <w:r w:rsidR="00245A64" w:rsidRPr="00245A64">
        <w:rPr>
          <w:rFonts w:ascii="Times New Roman" w:eastAsia="Times New Roman" w:hAnsi="Times New Roman" w:cs="Times New Roman"/>
          <w:sz w:val="24"/>
          <w:szCs w:val="24"/>
        </w:rPr>
        <w:t>,</w:t>
      </w:r>
      <w:r w:rsidRPr="00245A64">
        <w:rPr>
          <w:rFonts w:ascii="Times New Roman" w:eastAsia="Times New Roman" w:hAnsi="Times New Roman" w:cs="Times New Roman"/>
          <w:sz w:val="24"/>
          <w:szCs w:val="24"/>
        </w:rPr>
        <w:t xml:space="preserve"> will play a key role in proving any diseas</w:t>
      </w:r>
      <w:r w:rsidRPr="00245A64">
        <w:rPr>
          <w:rFonts w:ascii="Times New Roman" w:eastAsia="Times New Roman" w:hAnsi="Times New Roman" w:cs="Times New Roman"/>
          <w:sz w:val="24"/>
          <w:szCs w:val="24"/>
        </w:rPr>
        <w:t>e-modifying effect. Moreover, the standard reporting of cell characteristics, dosing protocol, and manufacturing procedures should be introduced to enhance reproducibility as well as comparability of the studies.</w:t>
      </w:r>
    </w:p>
    <w:p w14:paraId="1839A8D3" w14:textId="77777777" w:rsidR="00ED21D7" w:rsidRPr="00245A64" w:rsidRDefault="003F3C38">
      <w:pPr>
        <w:spacing w:line="360" w:lineRule="auto"/>
        <w:jc w:val="both"/>
        <w:rPr>
          <w:rFonts w:ascii="Times New Roman" w:eastAsia="Times New Roman" w:hAnsi="Times New Roman" w:cs="Times New Roman"/>
          <w:sz w:val="24"/>
          <w:szCs w:val="24"/>
        </w:rPr>
      </w:pPr>
      <w:r w:rsidRPr="00245A64">
        <w:rPr>
          <w:rFonts w:ascii="Times New Roman" w:eastAsia="Times New Roman" w:hAnsi="Times New Roman" w:cs="Times New Roman"/>
          <w:sz w:val="24"/>
          <w:szCs w:val="24"/>
        </w:rPr>
        <w:t>Academia, industry, and regulatory agencies</w:t>
      </w:r>
      <w:r w:rsidRPr="00245A64">
        <w:rPr>
          <w:rFonts w:ascii="Times New Roman" w:eastAsia="Times New Roman" w:hAnsi="Times New Roman" w:cs="Times New Roman"/>
          <w:sz w:val="24"/>
          <w:szCs w:val="24"/>
        </w:rPr>
        <w:t xml:space="preserve"> are going to have to collaborate on formulating consensus as well as to speed up the translation of regenerative therapies into clinical practice.</w:t>
      </w:r>
      <w:r w:rsidRPr="00245A64">
        <w:rPr>
          <w:rFonts w:ascii="Times New Roman" w:eastAsia="Times New Roman" w:hAnsi="Times New Roman" w:cs="Times New Roman"/>
          <w:sz w:val="24"/>
          <w:szCs w:val="24"/>
          <w:vertAlign w:val="superscript"/>
        </w:rPr>
        <w:t>71</w:t>
      </w:r>
    </w:p>
    <w:p w14:paraId="770E771F"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 Conclusion</w:t>
      </w:r>
    </w:p>
    <w:p w14:paraId="00FCE39D" w14:textId="7AE4EBFB"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Regenerative and cellular therapy is a major paradigm shift in the treatment of arthritis, </w:t>
      </w:r>
      <w:r>
        <w:rPr>
          <w:rFonts w:ascii="Times New Roman" w:eastAsia="Times New Roman" w:hAnsi="Times New Roman" w:cs="Times New Roman"/>
          <w:sz w:val="24"/>
          <w:szCs w:val="24"/>
        </w:rPr>
        <w:t>which has not only shifted focus to controlling the symptoms but also allows structural healing and modification of the disease. The newest methods in mesenchymal stem cell therapies, biologic adjuncts including platelet-rich plasma, extracellular vesicles</w:t>
      </w:r>
      <w:r>
        <w:rPr>
          <w:rFonts w:ascii="Times New Roman" w:eastAsia="Times New Roman" w:hAnsi="Times New Roman" w:cs="Times New Roman"/>
          <w:sz w:val="24"/>
          <w:szCs w:val="24"/>
        </w:rPr>
        <w:t>, as well as emerging and leading techniques, including Gene therapy and tissue engineering, have all shown positive and promising preclinical outcomes and early clinical trials. This set of strategies is expected to restore cartilage self-integrity, adjus</w:t>
      </w:r>
      <w:r>
        <w:rPr>
          <w:rFonts w:ascii="Times New Roman" w:eastAsia="Times New Roman" w:hAnsi="Times New Roman" w:cs="Times New Roman"/>
          <w:sz w:val="24"/>
          <w:szCs w:val="24"/>
        </w:rPr>
        <w:t>t the microenvironment of inflammation, and enhance efficient work in a joint.</w:t>
      </w:r>
    </w:p>
    <w:p w14:paraId="00B4C18D" w14:textId="6CF22341"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But, even with a positive development, there are still significant problems. Clinical evidence remains disadvantaged through heterogeneity in study design, variances in cell origins and manufacturing procedures, and standard outcome measure sentences. In a</w:t>
      </w:r>
      <w:r>
        <w:rPr>
          <w:rFonts w:ascii="Times New Roman" w:eastAsia="Times New Roman" w:hAnsi="Times New Roman" w:cs="Times New Roman"/>
          <w:sz w:val="24"/>
          <w:szCs w:val="24"/>
        </w:rPr>
        <w:t xml:space="preserve">ddition, no long-term outcomes depicting long-term cartilage healing and actual disease-modifying impact are </w:t>
      </w:r>
      <w:r>
        <w:rPr>
          <w:rFonts w:ascii="Times New Roman" w:eastAsia="Times New Roman" w:hAnsi="Times New Roman" w:cs="Times New Roman"/>
          <w:sz w:val="24"/>
          <w:szCs w:val="24"/>
        </w:rPr>
        <w:lastRenderedPageBreak/>
        <w:t xml:space="preserve">available. Complexity of regulatory measures, mass production, and high treatment costs also limit </w:t>
      </w:r>
      <w:r w:rsidR="00245A64">
        <w:rPr>
          <w:rFonts w:ascii="Times New Roman" w:eastAsia="Times New Roman" w:hAnsi="Times New Roman" w:cs="Times New Roman"/>
          <w:sz w:val="24"/>
          <w:szCs w:val="24"/>
        </w:rPr>
        <w:t>the use</w:t>
      </w:r>
      <w:r>
        <w:rPr>
          <w:rFonts w:ascii="Times New Roman" w:eastAsia="Times New Roman" w:hAnsi="Times New Roman" w:cs="Times New Roman"/>
          <w:sz w:val="24"/>
          <w:szCs w:val="24"/>
        </w:rPr>
        <w:t xml:space="preserve"> in clinical settings.</w:t>
      </w:r>
    </w:p>
    <w:p w14:paraId="3171E497" w14:textId="4C8DCD3D"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challenges to </w:t>
      </w:r>
      <w:r>
        <w:rPr>
          <w:rFonts w:ascii="Times New Roman" w:eastAsia="Times New Roman" w:hAnsi="Times New Roman" w:cs="Times New Roman"/>
          <w:sz w:val="24"/>
          <w:szCs w:val="24"/>
        </w:rPr>
        <w:t>overcome in making progress in this area in the future include the creation of standardized cell characterization and potency measurement systems, harmonized clinical endpoints incorporating structural and functional outcomes, and, most importantly, high-s</w:t>
      </w:r>
      <w:r>
        <w:rPr>
          <w:rFonts w:ascii="Times New Roman" w:eastAsia="Times New Roman" w:hAnsi="Times New Roman" w:cs="Times New Roman"/>
          <w:sz w:val="24"/>
          <w:szCs w:val="24"/>
        </w:rPr>
        <w:t xml:space="preserve">cale clinical trials with prolonged follow-up. Furthermore, a combination approach that ensures the combination of cells, biologics, scaffolds, and gene-based solutions can also be synergistically advantageous and potentially a future </w:t>
      </w:r>
      <w:proofErr w:type="spellStart"/>
      <w:r>
        <w:rPr>
          <w:rFonts w:ascii="Times New Roman" w:eastAsia="Times New Roman" w:hAnsi="Times New Roman" w:cs="Times New Roman"/>
          <w:sz w:val="24"/>
          <w:szCs w:val="24"/>
        </w:rPr>
        <w:t>recidi</w:t>
      </w:r>
      <w:proofErr w:type="spellEnd"/>
      <w:r w:rsidR="00D500FE">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vate</w:t>
      </w:r>
      <w:proofErr w:type="spellEnd"/>
      <w:r>
        <w:rPr>
          <w:rFonts w:ascii="Times New Roman" w:eastAsia="Times New Roman" w:hAnsi="Times New Roman" w:cs="Times New Roman"/>
          <w:sz w:val="24"/>
          <w:szCs w:val="24"/>
        </w:rPr>
        <w:t xml:space="preserve"> towards more effective and long-term regeneration.</w:t>
      </w:r>
    </w:p>
    <w:p w14:paraId="795B33D4" w14:textId="2DDE36DB"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regenerative therapies will have to be translated into everyday clinical practice, and this process will have to involve scientific, clinical, regulatory, and industrial spheres. Although the exi</w:t>
      </w:r>
      <w:r>
        <w:rPr>
          <w:rFonts w:ascii="Times New Roman" w:eastAsia="Times New Roman" w:hAnsi="Times New Roman" w:cs="Times New Roman"/>
          <w:sz w:val="24"/>
          <w:szCs w:val="24"/>
        </w:rPr>
        <w:t xml:space="preserve">sting data </w:t>
      </w:r>
      <w:r w:rsidR="00245A64">
        <w:rPr>
          <w:rFonts w:ascii="Times New Roman" w:eastAsia="Times New Roman" w:hAnsi="Times New Roman" w:cs="Times New Roman"/>
          <w:sz w:val="24"/>
          <w:szCs w:val="24"/>
        </w:rPr>
        <w:t>promise</w:t>
      </w:r>
      <w:r>
        <w:rPr>
          <w:rFonts w:ascii="Times New Roman" w:eastAsia="Times New Roman" w:hAnsi="Times New Roman" w:cs="Times New Roman"/>
          <w:sz w:val="24"/>
          <w:szCs w:val="24"/>
        </w:rPr>
        <w:t xml:space="preserve"> their possibilities, these therapies would require strict validation and standardization to become the subject of change by the means of transforming the experimental interventions into safety, efficiency, and affordability of the treatm</w:t>
      </w:r>
      <w:r>
        <w:rPr>
          <w:rFonts w:ascii="Times New Roman" w:eastAsia="Times New Roman" w:hAnsi="Times New Roman" w:cs="Times New Roman"/>
          <w:sz w:val="24"/>
          <w:szCs w:val="24"/>
        </w:rPr>
        <w:t>ent to the patients with arthritis.</w:t>
      </w:r>
    </w:p>
    <w:p w14:paraId="3AE03BB2" w14:textId="77777777" w:rsidR="00ED21D7" w:rsidRDefault="00ED21D7">
      <w:pPr>
        <w:spacing w:line="360" w:lineRule="auto"/>
        <w:jc w:val="both"/>
        <w:rPr>
          <w:rFonts w:ascii="Times New Roman" w:eastAsia="Times New Roman" w:hAnsi="Times New Roman" w:cs="Times New Roman"/>
          <w:sz w:val="24"/>
          <w:szCs w:val="24"/>
        </w:rPr>
      </w:pPr>
    </w:p>
    <w:p w14:paraId="475EFEA5" w14:textId="77777777" w:rsidR="00ED21D7" w:rsidRDefault="00ED21D7">
      <w:pPr>
        <w:spacing w:line="360" w:lineRule="auto"/>
        <w:jc w:val="both"/>
        <w:rPr>
          <w:rFonts w:ascii="Times New Roman" w:eastAsia="Times New Roman" w:hAnsi="Times New Roman" w:cs="Times New Roman"/>
          <w:sz w:val="24"/>
          <w:szCs w:val="24"/>
        </w:rPr>
      </w:pPr>
    </w:p>
    <w:p w14:paraId="77BAF7B9" w14:textId="77777777" w:rsidR="007F280A" w:rsidRPr="007F280A" w:rsidRDefault="007F280A" w:rsidP="007F280A">
      <w:pPr>
        <w:spacing w:line="360" w:lineRule="auto"/>
        <w:jc w:val="both"/>
        <w:rPr>
          <w:rFonts w:ascii="Times New Roman" w:eastAsia="Times New Roman" w:hAnsi="Times New Roman" w:cs="Times New Roman"/>
          <w:sz w:val="24"/>
          <w:szCs w:val="24"/>
        </w:rPr>
      </w:pPr>
      <w:r w:rsidRPr="007F280A">
        <w:rPr>
          <w:rFonts w:ascii="Times New Roman" w:eastAsia="Times New Roman" w:hAnsi="Times New Roman" w:cs="Times New Roman"/>
          <w:sz w:val="24"/>
          <w:szCs w:val="24"/>
        </w:rPr>
        <w:t>COMPETING INTERESTS DISCLAIMER:</w:t>
      </w:r>
    </w:p>
    <w:p w14:paraId="225BD7C2" w14:textId="5ABE73CF" w:rsidR="00ED21D7" w:rsidRDefault="007F280A" w:rsidP="007F280A">
      <w:pPr>
        <w:spacing w:line="360" w:lineRule="auto"/>
        <w:jc w:val="both"/>
        <w:rPr>
          <w:rFonts w:ascii="Times New Roman" w:eastAsia="Times New Roman" w:hAnsi="Times New Roman" w:cs="Times New Roman"/>
          <w:sz w:val="24"/>
          <w:szCs w:val="24"/>
        </w:rPr>
      </w:pPr>
      <w:r w:rsidRPr="007F280A">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387102D2" w14:textId="77777777" w:rsidR="00ED21D7" w:rsidRDefault="00ED21D7">
      <w:pPr>
        <w:spacing w:line="360" w:lineRule="auto"/>
        <w:jc w:val="both"/>
        <w:rPr>
          <w:rFonts w:ascii="Times New Roman" w:eastAsia="Times New Roman" w:hAnsi="Times New Roman" w:cs="Times New Roman"/>
          <w:sz w:val="24"/>
          <w:szCs w:val="24"/>
        </w:rPr>
      </w:pPr>
    </w:p>
    <w:p w14:paraId="628607DB" w14:textId="77777777" w:rsidR="00ED21D7" w:rsidRDefault="00ED21D7">
      <w:pPr>
        <w:spacing w:line="360" w:lineRule="auto"/>
        <w:jc w:val="both"/>
        <w:rPr>
          <w:rFonts w:ascii="Times New Roman" w:eastAsia="Times New Roman" w:hAnsi="Times New Roman" w:cs="Times New Roman"/>
          <w:sz w:val="24"/>
          <w:szCs w:val="24"/>
        </w:rPr>
      </w:pPr>
    </w:p>
    <w:p w14:paraId="2531DA6C" w14:textId="77777777" w:rsidR="00245A64" w:rsidRDefault="00245A64">
      <w:pPr>
        <w:spacing w:line="360" w:lineRule="auto"/>
        <w:jc w:val="both"/>
        <w:rPr>
          <w:rFonts w:ascii="Times New Roman" w:eastAsia="Times New Roman" w:hAnsi="Times New Roman" w:cs="Times New Roman"/>
          <w:sz w:val="24"/>
          <w:szCs w:val="24"/>
        </w:rPr>
      </w:pPr>
    </w:p>
    <w:p w14:paraId="01EE5BF0" w14:textId="6F623255"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3049BD43"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Hunter DJ, Bierma-Zeinstra S. Osteoarthritis. </w:t>
      </w:r>
      <w:r>
        <w:rPr>
          <w:rFonts w:ascii="Times New Roman" w:eastAsia="Times New Roman" w:hAnsi="Times New Roman" w:cs="Times New Roman"/>
          <w:i/>
          <w:iCs/>
          <w:color w:val="000000"/>
          <w:sz w:val="24"/>
          <w:szCs w:val="24"/>
        </w:rPr>
        <w:t>Lancet</w:t>
      </w:r>
      <w:r>
        <w:rPr>
          <w:rFonts w:ascii="Times New Roman" w:eastAsia="Times New Roman" w:hAnsi="Times New Roman" w:cs="Times New Roman"/>
          <w:color w:val="000000"/>
          <w:sz w:val="24"/>
          <w:szCs w:val="24"/>
        </w:rPr>
        <w:t>. 2019;393(10182):1745–1759.</w:t>
      </w:r>
    </w:p>
    <w:p w14:paraId="17EE7A3A"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McInnes IB, </w:t>
      </w:r>
      <w:proofErr w:type="spellStart"/>
      <w:r>
        <w:rPr>
          <w:rFonts w:ascii="Times New Roman" w:eastAsia="Times New Roman" w:hAnsi="Times New Roman" w:cs="Times New Roman"/>
          <w:color w:val="000000"/>
          <w:sz w:val="24"/>
          <w:szCs w:val="24"/>
        </w:rPr>
        <w:t>Schett</w:t>
      </w:r>
      <w:proofErr w:type="spellEnd"/>
      <w:r>
        <w:rPr>
          <w:rFonts w:ascii="Times New Roman" w:eastAsia="Times New Roman" w:hAnsi="Times New Roman" w:cs="Times New Roman"/>
          <w:color w:val="000000"/>
          <w:sz w:val="24"/>
          <w:szCs w:val="24"/>
        </w:rPr>
        <w:t xml:space="preserve"> G. The pathogenesis of rheumatoid arthritis. </w:t>
      </w:r>
      <w:r>
        <w:rPr>
          <w:rFonts w:ascii="Times New Roman" w:eastAsia="Times New Roman" w:hAnsi="Times New Roman" w:cs="Times New Roman"/>
          <w:i/>
          <w:iCs/>
          <w:color w:val="000000"/>
          <w:sz w:val="24"/>
          <w:szCs w:val="24"/>
        </w:rPr>
        <w:t>N Engl J Med</w:t>
      </w:r>
      <w:r>
        <w:rPr>
          <w:rFonts w:ascii="Times New Roman" w:eastAsia="Times New Roman" w:hAnsi="Times New Roman" w:cs="Times New Roman"/>
          <w:color w:val="000000"/>
          <w:sz w:val="24"/>
          <w:szCs w:val="24"/>
        </w:rPr>
        <w:t>. 2011;365(23):2205–2219.</w:t>
      </w:r>
    </w:p>
    <w:p w14:paraId="32D3C71B"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Kolasinski SL, et al. 2020 American College o</w:t>
      </w:r>
      <w:r>
        <w:rPr>
          <w:rFonts w:ascii="Times New Roman" w:eastAsia="Times New Roman" w:hAnsi="Times New Roman" w:cs="Times New Roman"/>
          <w:color w:val="000000"/>
          <w:sz w:val="24"/>
          <w:szCs w:val="24"/>
        </w:rPr>
        <w:t xml:space="preserve">f Rheumatology guideline for the management of osteoarthritis. </w:t>
      </w:r>
      <w:r>
        <w:rPr>
          <w:rFonts w:ascii="Times New Roman" w:eastAsia="Times New Roman" w:hAnsi="Times New Roman" w:cs="Times New Roman"/>
          <w:i/>
          <w:iCs/>
          <w:color w:val="000000"/>
          <w:sz w:val="24"/>
          <w:szCs w:val="24"/>
        </w:rPr>
        <w:t>Arthritis Care Res</w:t>
      </w:r>
      <w:r>
        <w:rPr>
          <w:rFonts w:ascii="Times New Roman" w:eastAsia="Times New Roman" w:hAnsi="Times New Roman" w:cs="Times New Roman"/>
          <w:color w:val="000000"/>
          <w:sz w:val="24"/>
          <w:szCs w:val="24"/>
        </w:rPr>
        <w:t>. 2020;72(2):149–162.</w:t>
      </w:r>
    </w:p>
    <w:p w14:paraId="018A2DF4"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Carr AJ, et al. Knee replacement. </w:t>
      </w:r>
      <w:r>
        <w:rPr>
          <w:rFonts w:ascii="Times New Roman" w:eastAsia="Times New Roman" w:hAnsi="Times New Roman" w:cs="Times New Roman"/>
          <w:i/>
          <w:iCs/>
          <w:color w:val="000000"/>
          <w:sz w:val="24"/>
          <w:szCs w:val="24"/>
        </w:rPr>
        <w:t>Lancet</w:t>
      </w:r>
      <w:r>
        <w:rPr>
          <w:rFonts w:ascii="Times New Roman" w:eastAsia="Times New Roman" w:hAnsi="Times New Roman" w:cs="Times New Roman"/>
          <w:color w:val="000000"/>
          <w:sz w:val="24"/>
          <w:szCs w:val="24"/>
        </w:rPr>
        <w:t>. 2012;379(9823):1331–1340.</w:t>
      </w:r>
    </w:p>
    <w:p w14:paraId="2D11A6A2"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Barry F, Murphy M. Mesenchymal stem cells in joint disease and repair. </w:t>
      </w:r>
      <w:r>
        <w:rPr>
          <w:rFonts w:ascii="Times New Roman" w:eastAsia="Times New Roman" w:hAnsi="Times New Roman" w:cs="Times New Roman"/>
          <w:i/>
          <w:iCs/>
          <w:color w:val="000000"/>
          <w:sz w:val="24"/>
          <w:szCs w:val="24"/>
        </w:rPr>
        <w:t xml:space="preserve">Nat Rev </w:t>
      </w:r>
      <w:proofErr w:type="spellStart"/>
      <w:r>
        <w:rPr>
          <w:rFonts w:ascii="Times New Roman" w:eastAsia="Times New Roman" w:hAnsi="Times New Roman" w:cs="Times New Roman"/>
          <w:i/>
          <w:iCs/>
          <w:color w:val="000000"/>
          <w:sz w:val="24"/>
          <w:szCs w:val="24"/>
        </w:rPr>
        <w:t>Rheuma</w:t>
      </w:r>
      <w:r>
        <w:rPr>
          <w:rFonts w:ascii="Times New Roman" w:eastAsia="Times New Roman" w:hAnsi="Times New Roman" w:cs="Times New Roman"/>
          <w:i/>
          <w:iCs/>
          <w:color w:val="000000"/>
          <w:sz w:val="24"/>
          <w:szCs w:val="24"/>
        </w:rPr>
        <w:t>tol</w:t>
      </w:r>
      <w:proofErr w:type="spellEnd"/>
      <w:r>
        <w:rPr>
          <w:rFonts w:ascii="Times New Roman" w:eastAsia="Times New Roman" w:hAnsi="Times New Roman" w:cs="Times New Roman"/>
          <w:color w:val="000000"/>
          <w:sz w:val="24"/>
          <w:szCs w:val="24"/>
        </w:rPr>
        <w:t>. 2013;9(10):584–594.</w:t>
      </w:r>
    </w:p>
    <w:p w14:paraId="19326926"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Makris EA, </w:t>
      </w:r>
      <w:proofErr w:type="spellStart"/>
      <w:r>
        <w:rPr>
          <w:rFonts w:ascii="Times New Roman" w:eastAsia="Times New Roman" w:hAnsi="Times New Roman" w:cs="Times New Roman"/>
          <w:color w:val="000000"/>
          <w:sz w:val="24"/>
          <w:szCs w:val="24"/>
        </w:rPr>
        <w:t>Gomoll</w:t>
      </w:r>
      <w:proofErr w:type="spellEnd"/>
      <w:r>
        <w:rPr>
          <w:rFonts w:ascii="Times New Roman" w:eastAsia="Times New Roman" w:hAnsi="Times New Roman" w:cs="Times New Roman"/>
          <w:color w:val="000000"/>
          <w:sz w:val="24"/>
          <w:szCs w:val="24"/>
        </w:rPr>
        <w:t xml:space="preserve"> AH, </w:t>
      </w:r>
      <w:proofErr w:type="spellStart"/>
      <w:r>
        <w:rPr>
          <w:rFonts w:ascii="Times New Roman" w:eastAsia="Times New Roman" w:hAnsi="Times New Roman" w:cs="Times New Roman"/>
          <w:color w:val="000000"/>
          <w:sz w:val="24"/>
          <w:szCs w:val="24"/>
        </w:rPr>
        <w:t>Malizos</w:t>
      </w:r>
      <w:proofErr w:type="spellEnd"/>
      <w:r>
        <w:rPr>
          <w:rFonts w:ascii="Times New Roman" w:eastAsia="Times New Roman" w:hAnsi="Times New Roman" w:cs="Times New Roman"/>
          <w:color w:val="000000"/>
          <w:sz w:val="24"/>
          <w:szCs w:val="24"/>
        </w:rPr>
        <w:t xml:space="preserve"> KN, Hu JC, Athanasiou KA. Repair and tissue engineering techniques for articular cartilage. </w:t>
      </w:r>
      <w:r>
        <w:rPr>
          <w:rFonts w:ascii="Times New Roman" w:eastAsia="Times New Roman" w:hAnsi="Times New Roman" w:cs="Times New Roman"/>
          <w:i/>
          <w:iCs/>
          <w:color w:val="000000"/>
          <w:sz w:val="24"/>
          <w:szCs w:val="24"/>
        </w:rPr>
        <w:t xml:space="preserve">Nat Rev </w:t>
      </w:r>
      <w:proofErr w:type="spellStart"/>
      <w:r>
        <w:rPr>
          <w:rFonts w:ascii="Times New Roman" w:eastAsia="Times New Roman" w:hAnsi="Times New Roman" w:cs="Times New Roman"/>
          <w:i/>
          <w:iCs/>
          <w:color w:val="000000"/>
          <w:sz w:val="24"/>
          <w:szCs w:val="24"/>
        </w:rPr>
        <w:t>Rheumatol</w:t>
      </w:r>
      <w:proofErr w:type="spellEnd"/>
      <w:r>
        <w:rPr>
          <w:rFonts w:ascii="Times New Roman" w:eastAsia="Times New Roman" w:hAnsi="Times New Roman" w:cs="Times New Roman"/>
          <w:color w:val="000000"/>
          <w:sz w:val="24"/>
          <w:szCs w:val="24"/>
        </w:rPr>
        <w:t>. 2015;11(1):21–34.</w:t>
      </w:r>
    </w:p>
    <w:p w14:paraId="3DF8A30B"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Caplan AI, Correa D. The MSC: an injury drugstore. </w:t>
      </w:r>
      <w:r>
        <w:rPr>
          <w:rFonts w:ascii="Times New Roman" w:eastAsia="Times New Roman" w:hAnsi="Times New Roman" w:cs="Times New Roman"/>
          <w:i/>
          <w:iCs/>
          <w:color w:val="000000"/>
          <w:sz w:val="24"/>
          <w:szCs w:val="24"/>
        </w:rPr>
        <w:t>Cell Stem Cell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2011;9(1):11–15.</w:t>
      </w:r>
    </w:p>
    <w:p w14:paraId="0693C317"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Loeser RF. Aging and osteoarthritis. </w:t>
      </w:r>
      <w:proofErr w:type="spellStart"/>
      <w:r>
        <w:rPr>
          <w:rFonts w:ascii="Times New Roman" w:eastAsia="Times New Roman" w:hAnsi="Times New Roman" w:cs="Times New Roman"/>
          <w:i/>
          <w:iCs/>
          <w:color w:val="000000"/>
          <w:sz w:val="24"/>
          <w:szCs w:val="24"/>
        </w:rPr>
        <w:t>Curr</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Opin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Rheumatol</w:t>
      </w:r>
      <w:proofErr w:type="spellEnd"/>
      <w:r>
        <w:rPr>
          <w:rFonts w:ascii="Times New Roman" w:eastAsia="Times New Roman" w:hAnsi="Times New Roman" w:cs="Times New Roman"/>
          <w:color w:val="000000"/>
          <w:sz w:val="24"/>
          <w:szCs w:val="24"/>
        </w:rPr>
        <w:t>. 2011;23(5):492–496.</w:t>
      </w:r>
    </w:p>
    <w:p w14:paraId="6DAFFC4E"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Henrotin</w:t>
      </w:r>
      <w:proofErr w:type="spellEnd"/>
      <w:r>
        <w:rPr>
          <w:rFonts w:ascii="Times New Roman" w:eastAsia="Times New Roman" w:hAnsi="Times New Roman" w:cs="Times New Roman"/>
          <w:color w:val="000000"/>
          <w:sz w:val="24"/>
          <w:szCs w:val="24"/>
        </w:rPr>
        <w:t xml:space="preserve"> Y, </w:t>
      </w:r>
      <w:proofErr w:type="spellStart"/>
      <w:r>
        <w:rPr>
          <w:rFonts w:ascii="Times New Roman" w:eastAsia="Times New Roman" w:hAnsi="Times New Roman" w:cs="Times New Roman"/>
          <w:color w:val="000000"/>
          <w:sz w:val="24"/>
          <w:szCs w:val="24"/>
        </w:rPr>
        <w:t>Kurz</w:t>
      </w:r>
      <w:proofErr w:type="spellEnd"/>
      <w:r>
        <w:rPr>
          <w:rFonts w:ascii="Times New Roman" w:eastAsia="Times New Roman" w:hAnsi="Times New Roman" w:cs="Times New Roman"/>
          <w:color w:val="000000"/>
          <w:sz w:val="24"/>
          <w:szCs w:val="24"/>
        </w:rPr>
        <w:t xml:space="preserve"> B, Aigner T. Oxygen and reactive oxygen species in cartilage degradation. </w:t>
      </w:r>
      <w:r>
        <w:rPr>
          <w:rFonts w:ascii="Times New Roman" w:eastAsia="Times New Roman" w:hAnsi="Times New Roman" w:cs="Times New Roman"/>
          <w:i/>
          <w:iCs/>
          <w:color w:val="000000"/>
          <w:sz w:val="24"/>
          <w:szCs w:val="24"/>
        </w:rPr>
        <w:t>Osteoarthritis Cartilage</w:t>
      </w:r>
      <w:r>
        <w:rPr>
          <w:rFonts w:ascii="Times New Roman" w:eastAsia="Times New Roman" w:hAnsi="Times New Roman" w:cs="Times New Roman"/>
          <w:color w:val="000000"/>
          <w:sz w:val="24"/>
          <w:szCs w:val="24"/>
        </w:rPr>
        <w:t>. 2005;13(8):643–654.</w:t>
      </w:r>
    </w:p>
    <w:p w14:paraId="136F29F6"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Rousseau JC, </w:t>
      </w:r>
      <w:proofErr w:type="spellStart"/>
      <w:r>
        <w:rPr>
          <w:rFonts w:ascii="Times New Roman" w:eastAsia="Times New Roman" w:hAnsi="Times New Roman" w:cs="Times New Roman"/>
          <w:color w:val="000000"/>
          <w:sz w:val="24"/>
          <w:szCs w:val="24"/>
        </w:rPr>
        <w:t>Garnero</w:t>
      </w:r>
      <w:proofErr w:type="spellEnd"/>
      <w:r>
        <w:rPr>
          <w:rFonts w:ascii="Times New Roman" w:eastAsia="Times New Roman" w:hAnsi="Times New Roman" w:cs="Times New Roman"/>
          <w:color w:val="000000"/>
          <w:sz w:val="24"/>
          <w:szCs w:val="24"/>
        </w:rPr>
        <w:t xml:space="preserve"> P. Biological markers in osteoarthritis. Bone. 2012 Aug 1;51(2):265-77.</w:t>
      </w:r>
    </w:p>
    <w:p w14:paraId="2AA96BF4"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Guermazi</w:t>
      </w:r>
      <w:proofErr w:type="spellEnd"/>
      <w:r>
        <w:rPr>
          <w:rFonts w:ascii="Times New Roman" w:eastAsia="Times New Roman" w:hAnsi="Times New Roman" w:cs="Times New Roman"/>
          <w:color w:val="000000"/>
          <w:sz w:val="24"/>
          <w:szCs w:val="24"/>
        </w:rPr>
        <w:t xml:space="preserve"> A, Hayashi D, Eckstein F, Hunter DJ, Duryea J, Roemer FW. Imaging of osteoarthritis. Rheumatic Disease Clinics. 2013 Feb 1;39(1):67-105.</w:t>
      </w:r>
    </w:p>
    <w:p w14:paraId="409F4236"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Pittenger MF, Mackay AM, Beck SC, Jai</w:t>
      </w:r>
      <w:r>
        <w:rPr>
          <w:rFonts w:ascii="Times New Roman" w:eastAsia="Times New Roman" w:hAnsi="Times New Roman" w:cs="Times New Roman"/>
          <w:color w:val="000000"/>
          <w:sz w:val="24"/>
          <w:szCs w:val="24"/>
        </w:rPr>
        <w:t>swal RK, Douglas R, Mosca JD, Moorman MA, Simonetti DW, Craig S, Marshak DR. Multilineage potential of adult human mesenchymal stem cells. science. 1999 Apr 2;284(5411):143-7.</w:t>
      </w:r>
    </w:p>
    <w:p w14:paraId="38BBF1E7"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Hass R, Kasper C, Böhm S, Jacobs R. Different populations and sources of human m</w:t>
      </w:r>
      <w:r>
        <w:rPr>
          <w:rFonts w:ascii="Times New Roman" w:eastAsia="Times New Roman" w:hAnsi="Times New Roman" w:cs="Times New Roman"/>
          <w:color w:val="000000"/>
          <w:sz w:val="24"/>
          <w:szCs w:val="24"/>
        </w:rPr>
        <w:t xml:space="preserve">esenchymal stem cells (MSC): a comparison of adult and neonatal tissue-derived MSC. Cell Communication and </w:t>
      </w:r>
      <w:proofErr w:type="spellStart"/>
      <w:r>
        <w:rPr>
          <w:rFonts w:ascii="Times New Roman" w:eastAsia="Times New Roman" w:hAnsi="Times New Roman" w:cs="Times New Roman"/>
          <w:color w:val="000000"/>
          <w:sz w:val="24"/>
          <w:szCs w:val="24"/>
        </w:rPr>
        <w:t>Signaling</w:t>
      </w:r>
      <w:proofErr w:type="spellEnd"/>
      <w:r>
        <w:rPr>
          <w:rFonts w:ascii="Times New Roman" w:eastAsia="Times New Roman" w:hAnsi="Times New Roman" w:cs="Times New Roman"/>
          <w:color w:val="000000"/>
          <w:sz w:val="24"/>
          <w:szCs w:val="24"/>
        </w:rPr>
        <w:t>. 2011 May 14;9(1):12.</w:t>
      </w:r>
    </w:p>
    <w:p w14:paraId="1D3BEE0E"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Caplan AI. Mesenchymal stem cells: time to change the </w:t>
      </w:r>
      <w:proofErr w:type="gramStart"/>
      <w:r>
        <w:rPr>
          <w:rFonts w:ascii="Times New Roman" w:eastAsia="Times New Roman" w:hAnsi="Times New Roman" w:cs="Times New Roman"/>
          <w:color w:val="000000"/>
          <w:sz w:val="24"/>
          <w:szCs w:val="24"/>
        </w:rPr>
        <w:t>name!.</w:t>
      </w:r>
      <w:proofErr w:type="gramEnd"/>
      <w:r>
        <w:rPr>
          <w:rFonts w:ascii="Times New Roman" w:eastAsia="Times New Roman" w:hAnsi="Times New Roman" w:cs="Times New Roman"/>
          <w:color w:val="000000"/>
          <w:sz w:val="24"/>
          <w:szCs w:val="24"/>
        </w:rPr>
        <w:t xml:space="preserve"> Stem cells translational medicine. 2017 Jun 1;6(6):1445-</w:t>
      </w:r>
      <w:r>
        <w:rPr>
          <w:rFonts w:ascii="Times New Roman" w:eastAsia="Times New Roman" w:hAnsi="Times New Roman" w:cs="Times New Roman"/>
          <w:color w:val="000000"/>
          <w:sz w:val="24"/>
          <w:szCs w:val="24"/>
        </w:rPr>
        <w:t>51.</w:t>
      </w:r>
    </w:p>
    <w:p w14:paraId="1F285F56"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Müller L, </w:t>
      </w:r>
      <w:proofErr w:type="spellStart"/>
      <w:r>
        <w:rPr>
          <w:rFonts w:ascii="Times New Roman" w:eastAsia="Times New Roman" w:hAnsi="Times New Roman" w:cs="Times New Roman"/>
          <w:color w:val="000000"/>
          <w:sz w:val="24"/>
          <w:szCs w:val="24"/>
        </w:rPr>
        <w:t>Tunger</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Wobus</w:t>
      </w:r>
      <w:proofErr w:type="spellEnd"/>
      <w:r>
        <w:rPr>
          <w:rFonts w:ascii="Times New Roman" w:eastAsia="Times New Roman" w:hAnsi="Times New Roman" w:cs="Times New Roman"/>
          <w:color w:val="000000"/>
          <w:sz w:val="24"/>
          <w:szCs w:val="24"/>
        </w:rPr>
        <w:t xml:space="preserve"> M, von Bonin M, Towers R, </w:t>
      </w:r>
      <w:proofErr w:type="spellStart"/>
      <w:r>
        <w:rPr>
          <w:rFonts w:ascii="Times New Roman" w:eastAsia="Times New Roman" w:hAnsi="Times New Roman" w:cs="Times New Roman"/>
          <w:color w:val="000000"/>
          <w:sz w:val="24"/>
          <w:szCs w:val="24"/>
        </w:rPr>
        <w:t>Bornhäuser</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Dazzi</w:t>
      </w:r>
      <w:proofErr w:type="spellEnd"/>
      <w:r>
        <w:rPr>
          <w:rFonts w:ascii="Times New Roman" w:eastAsia="Times New Roman" w:hAnsi="Times New Roman" w:cs="Times New Roman"/>
          <w:color w:val="000000"/>
          <w:sz w:val="24"/>
          <w:szCs w:val="24"/>
        </w:rPr>
        <w:t xml:space="preserve"> F, Wehner R, Schmitz M. Immunomodulatory properties of mesenchymal stromal cells: an update. Frontiers in cell and developmental biology. 2021 Feb </w:t>
      </w:r>
      <w:proofErr w:type="gramStart"/>
      <w:r>
        <w:rPr>
          <w:rFonts w:ascii="Times New Roman" w:eastAsia="Times New Roman" w:hAnsi="Times New Roman" w:cs="Times New Roman"/>
          <w:color w:val="000000"/>
          <w:sz w:val="24"/>
          <w:szCs w:val="24"/>
        </w:rPr>
        <w:t>9;9:637725</w:t>
      </w:r>
      <w:proofErr w:type="gramEnd"/>
      <w:r>
        <w:rPr>
          <w:rFonts w:ascii="Times New Roman" w:eastAsia="Times New Roman" w:hAnsi="Times New Roman" w:cs="Times New Roman"/>
          <w:color w:val="000000"/>
          <w:sz w:val="24"/>
          <w:szCs w:val="24"/>
        </w:rPr>
        <w:t>.</w:t>
      </w:r>
    </w:p>
    <w:p w14:paraId="6ADE2E52"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Toh WS, Lai RC, Hui J</w:t>
      </w:r>
      <w:r>
        <w:rPr>
          <w:rFonts w:ascii="Times New Roman" w:eastAsia="Times New Roman" w:hAnsi="Times New Roman" w:cs="Times New Roman"/>
          <w:color w:val="000000"/>
          <w:sz w:val="24"/>
          <w:szCs w:val="24"/>
        </w:rPr>
        <w:t xml:space="preserve">H, Lim SK. MSC exosome as a cell-free MSC therapy for cartilage regeneration: implications for osteoarthritis treatment. </w:t>
      </w:r>
      <w:proofErr w:type="spellStart"/>
      <w:r>
        <w:rPr>
          <w:rFonts w:ascii="Times New Roman" w:eastAsia="Times New Roman" w:hAnsi="Times New Roman" w:cs="Times New Roman"/>
          <w:color w:val="000000"/>
          <w:sz w:val="24"/>
          <w:szCs w:val="24"/>
        </w:rPr>
        <w:t>InSeminars</w:t>
      </w:r>
      <w:proofErr w:type="spellEnd"/>
      <w:r>
        <w:rPr>
          <w:rFonts w:ascii="Times New Roman" w:eastAsia="Times New Roman" w:hAnsi="Times New Roman" w:cs="Times New Roman"/>
          <w:color w:val="000000"/>
          <w:sz w:val="24"/>
          <w:szCs w:val="24"/>
        </w:rPr>
        <w:t xml:space="preserve"> in cell &amp; developmental biology 2017 Jul 1 (Vol. 67, pp. 56-64). Academic Press.</w:t>
      </w:r>
    </w:p>
    <w:p w14:paraId="68A3F5F3"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Eggenhofer E, Luk F, Dahlke MH, </w:t>
      </w:r>
      <w:proofErr w:type="spellStart"/>
      <w:r>
        <w:rPr>
          <w:rFonts w:ascii="Times New Roman" w:eastAsia="Times New Roman" w:hAnsi="Times New Roman" w:cs="Times New Roman"/>
          <w:color w:val="000000"/>
          <w:sz w:val="24"/>
          <w:szCs w:val="24"/>
        </w:rPr>
        <w:t>Hoogduijn</w:t>
      </w:r>
      <w:proofErr w:type="spellEnd"/>
      <w:r>
        <w:rPr>
          <w:rFonts w:ascii="Times New Roman" w:eastAsia="Times New Roman" w:hAnsi="Times New Roman" w:cs="Times New Roman"/>
          <w:color w:val="000000"/>
          <w:sz w:val="24"/>
          <w:szCs w:val="24"/>
        </w:rPr>
        <w:t xml:space="preserve"> M</w:t>
      </w:r>
      <w:r>
        <w:rPr>
          <w:rFonts w:ascii="Times New Roman" w:eastAsia="Times New Roman" w:hAnsi="Times New Roman" w:cs="Times New Roman"/>
          <w:color w:val="000000"/>
          <w:sz w:val="24"/>
          <w:szCs w:val="24"/>
        </w:rPr>
        <w:t xml:space="preserve">J. The life and fate of mesenchymal stem cells. Frontiers in immunology. 2014 May </w:t>
      </w:r>
      <w:proofErr w:type="gramStart"/>
      <w:r>
        <w:rPr>
          <w:rFonts w:ascii="Times New Roman" w:eastAsia="Times New Roman" w:hAnsi="Times New Roman" w:cs="Times New Roman"/>
          <w:color w:val="000000"/>
          <w:sz w:val="24"/>
          <w:szCs w:val="24"/>
        </w:rPr>
        <w:t>19;5:148</w:t>
      </w:r>
      <w:proofErr w:type="gramEnd"/>
      <w:r>
        <w:rPr>
          <w:rFonts w:ascii="Times New Roman" w:eastAsia="Times New Roman" w:hAnsi="Times New Roman" w:cs="Times New Roman"/>
          <w:color w:val="000000"/>
          <w:sz w:val="24"/>
          <w:szCs w:val="24"/>
        </w:rPr>
        <w:t>.</w:t>
      </w:r>
    </w:p>
    <w:p w14:paraId="751F5659"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Xing D, Kwong J, Yang Z, Hou Y, Zhang W, Ma B, Lin J. Intra-articular injection of mesenchymal stem cells in treating knee osteoarthritis: a systematic review of an</w:t>
      </w:r>
      <w:r>
        <w:rPr>
          <w:rFonts w:ascii="Times New Roman" w:eastAsia="Times New Roman" w:hAnsi="Times New Roman" w:cs="Times New Roman"/>
          <w:color w:val="000000"/>
          <w:sz w:val="24"/>
          <w:szCs w:val="24"/>
        </w:rPr>
        <w:t>imal studies. Osteoarthritis and cartilage. 2018 Apr 1;26(4):445-61.</w:t>
      </w:r>
    </w:p>
    <w:p w14:paraId="4E4083D3"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Freitag J, Bates D, Boyd R, Shah K, Barnard A, Huguenin L, Tenen A. Mesenchymal stem cell therapy in the treatment of osteoarthritis: reparative pathways, safety and efficacy–a review. BM</w:t>
      </w:r>
      <w:r>
        <w:rPr>
          <w:rFonts w:ascii="Times New Roman" w:eastAsia="Times New Roman" w:hAnsi="Times New Roman" w:cs="Times New Roman"/>
          <w:color w:val="000000"/>
          <w:sz w:val="24"/>
          <w:szCs w:val="24"/>
        </w:rPr>
        <w:t>C musculoskeletal disorders. 2016 May 26;17(1):230.</w:t>
      </w:r>
    </w:p>
    <w:p w14:paraId="1C0E1A49"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Huurne</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Schelbergen</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Blattes</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Blom</w:t>
      </w:r>
      <w:proofErr w:type="spellEnd"/>
      <w:r>
        <w:rPr>
          <w:rFonts w:ascii="Times New Roman" w:eastAsia="Times New Roman" w:hAnsi="Times New Roman" w:cs="Times New Roman"/>
          <w:color w:val="000000"/>
          <w:sz w:val="24"/>
          <w:szCs w:val="24"/>
        </w:rPr>
        <w:t xml:space="preserve"> A, de Munter W, Grevers LC, Jeanson J, Noël D, </w:t>
      </w:r>
      <w:proofErr w:type="spellStart"/>
      <w:r>
        <w:rPr>
          <w:rFonts w:ascii="Times New Roman" w:eastAsia="Times New Roman" w:hAnsi="Times New Roman" w:cs="Times New Roman"/>
          <w:color w:val="000000"/>
          <w:sz w:val="24"/>
          <w:szCs w:val="24"/>
        </w:rPr>
        <w:t>Casteilla</w:t>
      </w:r>
      <w:proofErr w:type="spellEnd"/>
      <w:r>
        <w:rPr>
          <w:rFonts w:ascii="Times New Roman" w:eastAsia="Times New Roman" w:hAnsi="Times New Roman" w:cs="Times New Roman"/>
          <w:color w:val="000000"/>
          <w:sz w:val="24"/>
          <w:szCs w:val="24"/>
        </w:rPr>
        <w:t xml:space="preserve"> L, Jorgensen C, van den Berg W. </w:t>
      </w:r>
      <w:proofErr w:type="spellStart"/>
      <w:r>
        <w:rPr>
          <w:rFonts w:ascii="Times New Roman" w:eastAsia="Times New Roman" w:hAnsi="Times New Roman" w:cs="Times New Roman"/>
          <w:color w:val="000000"/>
          <w:sz w:val="24"/>
          <w:szCs w:val="24"/>
        </w:rPr>
        <w:t>Antiinflammatory</w:t>
      </w:r>
      <w:proofErr w:type="spellEnd"/>
      <w:r>
        <w:rPr>
          <w:rFonts w:ascii="Times New Roman" w:eastAsia="Times New Roman" w:hAnsi="Times New Roman" w:cs="Times New Roman"/>
          <w:color w:val="000000"/>
          <w:sz w:val="24"/>
          <w:szCs w:val="24"/>
        </w:rPr>
        <w:t xml:space="preserve"> and chondroprotective effects of intraarticular injec</w:t>
      </w:r>
      <w:r>
        <w:rPr>
          <w:rFonts w:ascii="Times New Roman" w:eastAsia="Times New Roman" w:hAnsi="Times New Roman" w:cs="Times New Roman"/>
          <w:color w:val="000000"/>
          <w:sz w:val="24"/>
          <w:szCs w:val="24"/>
        </w:rPr>
        <w:t>tion of adipose‐derived stem cells in experimental osteoarthritis. Arthritis &amp; Rheumatism. 2012 Nov;64(11):3604-13.</w:t>
      </w:r>
    </w:p>
    <w:p w14:paraId="641313D2"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Murphy JM, Fink DJ, Hunziker EB, Barry FP. Stem cell therapy in a caprine model of osteoarthritis. Arthritis &amp; Rheumatism: Official Journal </w:t>
      </w:r>
      <w:r>
        <w:rPr>
          <w:rFonts w:ascii="Times New Roman" w:eastAsia="Times New Roman" w:hAnsi="Times New Roman" w:cs="Times New Roman"/>
          <w:color w:val="000000"/>
          <w:sz w:val="24"/>
          <w:szCs w:val="24"/>
        </w:rPr>
        <w:t>of the American College of Rheumatology. 2003 Dec;48(12):3464-74.</w:t>
      </w:r>
    </w:p>
    <w:p w14:paraId="4AEC4D0F"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Vega A, Martín-Ferrero MA, Del Canto F, </w:t>
      </w:r>
      <w:proofErr w:type="spellStart"/>
      <w:r>
        <w:rPr>
          <w:rFonts w:ascii="Times New Roman" w:eastAsia="Times New Roman" w:hAnsi="Times New Roman" w:cs="Times New Roman"/>
          <w:color w:val="000000"/>
          <w:sz w:val="24"/>
          <w:szCs w:val="24"/>
        </w:rPr>
        <w:t>Alberca</w:t>
      </w:r>
      <w:proofErr w:type="spellEnd"/>
      <w:r>
        <w:rPr>
          <w:rFonts w:ascii="Times New Roman" w:eastAsia="Times New Roman" w:hAnsi="Times New Roman" w:cs="Times New Roman"/>
          <w:color w:val="000000"/>
          <w:sz w:val="24"/>
          <w:szCs w:val="24"/>
        </w:rPr>
        <w:t xml:space="preserve"> M, García V, Munar A, Orozco L, Soler R, Fuertes JJ, Huguet M, Sánchez A. Treatment of knee osteoarthritis with allogeneic bone marrow mesench</w:t>
      </w:r>
      <w:r>
        <w:rPr>
          <w:rFonts w:ascii="Times New Roman" w:eastAsia="Times New Roman" w:hAnsi="Times New Roman" w:cs="Times New Roman"/>
          <w:color w:val="000000"/>
          <w:sz w:val="24"/>
          <w:szCs w:val="24"/>
        </w:rPr>
        <w:t>ymal stem cells: a randomized controlled trial. Transplantation. 2015 Aug 1;99(8):1681-90.</w:t>
      </w:r>
    </w:p>
    <w:p w14:paraId="66551642"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Wang L, Wang L, Cong X, Liu G, Zhou J, Bai B, Li Y, Bai W, Li M, Ji H, Zhu D. Human umbilical cord mesenchymal stem cell therapy for patients with active rheumatoid </w:t>
      </w:r>
      <w:r>
        <w:rPr>
          <w:rFonts w:ascii="Times New Roman" w:eastAsia="Times New Roman" w:hAnsi="Times New Roman" w:cs="Times New Roman"/>
          <w:color w:val="000000"/>
          <w:sz w:val="24"/>
          <w:szCs w:val="24"/>
        </w:rPr>
        <w:t>arthritis: safety and efficacy. Stem cells and development. 2013 Dec;22(24):3192-202.</w:t>
      </w:r>
    </w:p>
    <w:p w14:paraId="6943CBB3"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Zha K, Li X, Yang Z, Tian G, Sun Z, Sui X, Dai Y, Liu S, Guo Q. Heterogeneity of mesenchymal stem cells in cartilage regeneration: from characterization to application. N</w:t>
      </w:r>
      <w:r>
        <w:rPr>
          <w:rFonts w:ascii="Times New Roman" w:eastAsia="Times New Roman" w:hAnsi="Times New Roman" w:cs="Times New Roman"/>
          <w:color w:val="000000"/>
          <w:sz w:val="24"/>
          <w:szCs w:val="24"/>
        </w:rPr>
        <w:t>PJ Regenerative Medicine. 2021 Mar 19;6(1):14.</w:t>
      </w:r>
    </w:p>
    <w:p w14:paraId="68EA772E"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Lalu MM, McIntyre L, Pugliese C, Fergusson D, Winston BW, Marshall JC, </w:t>
      </w:r>
      <w:proofErr w:type="spellStart"/>
      <w:r>
        <w:rPr>
          <w:rFonts w:ascii="Times New Roman" w:eastAsia="Times New Roman" w:hAnsi="Times New Roman" w:cs="Times New Roman"/>
          <w:color w:val="000000"/>
          <w:sz w:val="24"/>
          <w:szCs w:val="24"/>
        </w:rPr>
        <w:t>Granton</w:t>
      </w:r>
      <w:proofErr w:type="spellEnd"/>
      <w:r>
        <w:rPr>
          <w:rFonts w:ascii="Times New Roman" w:eastAsia="Times New Roman" w:hAnsi="Times New Roman" w:cs="Times New Roman"/>
          <w:color w:val="000000"/>
          <w:sz w:val="24"/>
          <w:szCs w:val="24"/>
        </w:rPr>
        <w:t xml:space="preserve"> J, Stewart DJ, Canadian Critical Care Trials Group. Safe ty of cell therapy with mesenchymal stromal cells (</w:t>
      </w:r>
      <w:proofErr w:type="spellStart"/>
      <w:r>
        <w:rPr>
          <w:rFonts w:ascii="Times New Roman" w:eastAsia="Times New Roman" w:hAnsi="Times New Roman" w:cs="Times New Roman"/>
          <w:color w:val="000000"/>
          <w:sz w:val="24"/>
          <w:szCs w:val="24"/>
        </w:rPr>
        <w:t>safecell</w:t>
      </w:r>
      <w:proofErr w:type="spellEnd"/>
      <w:r>
        <w:rPr>
          <w:rFonts w:ascii="Times New Roman" w:eastAsia="Times New Roman" w:hAnsi="Times New Roman" w:cs="Times New Roman"/>
          <w:color w:val="000000"/>
          <w:sz w:val="24"/>
          <w:szCs w:val="24"/>
        </w:rPr>
        <w:t>): a systemati</w:t>
      </w:r>
      <w:r>
        <w:rPr>
          <w:rFonts w:ascii="Times New Roman" w:eastAsia="Times New Roman" w:hAnsi="Times New Roman" w:cs="Times New Roman"/>
          <w:color w:val="000000"/>
          <w:sz w:val="24"/>
          <w:szCs w:val="24"/>
        </w:rPr>
        <w:t xml:space="preserve">c review and meta-analysis of clinical trials. </w:t>
      </w:r>
      <w:proofErr w:type="spellStart"/>
      <w:r>
        <w:rPr>
          <w:rFonts w:ascii="Times New Roman" w:eastAsia="Times New Roman" w:hAnsi="Times New Roman" w:cs="Times New Roman"/>
          <w:color w:val="000000"/>
          <w:sz w:val="24"/>
          <w:szCs w:val="24"/>
        </w:rPr>
        <w:t>PloS</w:t>
      </w:r>
      <w:proofErr w:type="spellEnd"/>
      <w:r>
        <w:rPr>
          <w:rFonts w:ascii="Times New Roman" w:eastAsia="Times New Roman" w:hAnsi="Times New Roman" w:cs="Times New Roman"/>
          <w:color w:val="000000"/>
          <w:sz w:val="24"/>
          <w:szCs w:val="24"/>
        </w:rPr>
        <w:t xml:space="preserve"> one. 2012 Oct 25;7(10</w:t>
      </w:r>
      <w:proofErr w:type="gramStart"/>
      <w:r>
        <w:rPr>
          <w:rFonts w:ascii="Times New Roman" w:eastAsia="Times New Roman" w:hAnsi="Times New Roman" w:cs="Times New Roman"/>
          <w:color w:val="000000"/>
          <w:sz w:val="24"/>
          <w:szCs w:val="24"/>
        </w:rPr>
        <w:t>):e</w:t>
      </w:r>
      <w:proofErr w:type="gramEnd"/>
      <w:r>
        <w:rPr>
          <w:rFonts w:ascii="Times New Roman" w:eastAsia="Times New Roman" w:hAnsi="Times New Roman" w:cs="Times New Roman"/>
          <w:color w:val="000000"/>
          <w:sz w:val="24"/>
          <w:szCs w:val="24"/>
        </w:rPr>
        <w:t>47559.</w:t>
      </w:r>
    </w:p>
    <w:p w14:paraId="05EB01CC"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Moll G, </w:t>
      </w:r>
      <w:proofErr w:type="spellStart"/>
      <w:r>
        <w:rPr>
          <w:rFonts w:ascii="Times New Roman" w:eastAsia="Times New Roman" w:hAnsi="Times New Roman" w:cs="Times New Roman"/>
          <w:color w:val="000000"/>
          <w:sz w:val="24"/>
          <w:szCs w:val="24"/>
        </w:rPr>
        <w:t>Geißler</w:t>
      </w:r>
      <w:proofErr w:type="spellEnd"/>
      <w:r>
        <w:rPr>
          <w:rFonts w:ascii="Times New Roman" w:eastAsia="Times New Roman" w:hAnsi="Times New Roman" w:cs="Times New Roman"/>
          <w:color w:val="000000"/>
          <w:sz w:val="24"/>
          <w:szCs w:val="24"/>
        </w:rPr>
        <w:t xml:space="preserve"> S, </w:t>
      </w:r>
      <w:proofErr w:type="spellStart"/>
      <w:r>
        <w:rPr>
          <w:rFonts w:ascii="Times New Roman" w:eastAsia="Times New Roman" w:hAnsi="Times New Roman" w:cs="Times New Roman"/>
          <w:color w:val="000000"/>
          <w:sz w:val="24"/>
          <w:szCs w:val="24"/>
        </w:rPr>
        <w:t>Catar</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Ignatowicz</w:t>
      </w:r>
      <w:proofErr w:type="spellEnd"/>
      <w:r>
        <w:rPr>
          <w:rFonts w:ascii="Times New Roman" w:eastAsia="Times New Roman" w:hAnsi="Times New Roman" w:cs="Times New Roman"/>
          <w:color w:val="000000"/>
          <w:sz w:val="24"/>
          <w:szCs w:val="24"/>
        </w:rPr>
        <w:t xml:space="preserve"> L, </w:t>
      </w:r>
      <w:proofErr w:type="spellStart"/>
      <w:r>
        <w:rPr>
          <w:rFonts w:ascii="Times New Roman" w:eastAsia="Times New Roman" w:hAnsi="Times New Roman" w:cs="Times New Roman"/>
          <w:color w:val="000000"/>
          <w:sz w:val="24"/>
          <w:szCs w:val="24"/>
        </w:rPr>
        <w:t>Hoogduijn</w:t>
      </w:r>
      <w:proofErr w:type="spellEnd"/>
      <w:r>
        <w:rPr>
          <w:rFonts w:ascii="Times New Roman" w:eastAsia="Times New Roman" w:hAnsi="Times New Roman" w:cs="Times New Roman"/>
          <w:color w:val="000000"/>
          <w:sz w:val="24"/>
          <w:szCs w:val="24"/>
        </w:rPr>
        <w:t xml:space="preserve"> MJ, Strunk D, </w:t>
      </w:r>
      <w:proofErr w:type="spellStart"/>
      <w:r>
        <w:rPr>
          <w:rFonts w:ascii="Times New Roman" w:eastAsia="Times New Roman" w:hAnsi="Times New Roman" w:cs="Times New Roman"/>
          <w:color w:val="000000"/>
          <w:sz w:val="24"/>
          <w:szCs w:val="24"/>
        </w:rPr>
        <w:t>Bieback</w:t>
      </w:r>
      <w:proofErr w:type="spellEnd"/>
      <w:r>
        <w:rPr>
          <w:rFonts w:ascii="Times New Roman" w:eastAsia="Times New Roman" w:hAnsi="Times New Roman" w:cs="Times New Roman"/>
          <w:color w:val="000000"/>
          <w:sz w:val="24"/>
          <w:szCs w:val="24"/>
        </w:rPr>
        <w:t xml:space="preserve"> K, </w:t>
      </w:r>
      <w:proofErr w:type="spellStart"/>
      <w:r>
        <w:rPr>
          <w:rFonts w:ascii="Times New Roman" w:eastAsia="Times New Roman" w:hAnsi="Times New Roman" w:cs="Times New Roman"/>
          <w:color w:val="000000"/>
          <w:sz w:val="24"/>
          <w:szCs w:val="24"/>
        </w:rPr>
        <w:t>Ringdén</w:t>
      </w:r>
      <w:proofErr w:type="spellEnd"/>
      <w:r>
        <w:rPr>
          <w:rFonts w:ascii="Times New Roman" w:eastAsia="Times New Roman" w:hAnsi="Times New Roman" w:cs="Times New Roman"/>
          <w:color w:val="000000"/>
          <w:sz w:val="24"/>
          <w:szCs w:val="24"/>
        </w:rPr>
        <w:t xml:space="preserve"> O. Cryopreserved or fresh mesenchymal stromal cells: only a matter of taste or key to un</w:t>
      </w:r>
      <w:r>
        <w:rPr>
          <w:rFonts w:ascii="Times New Roman" w:eastAsia="Times New Roman" w:hAnsi="Times New Roman" w:cs="Times New Roman"/>
          <w:color w:val="000000"/>
          <w:sz w:val="24"/>
          <w:szCs w:val="24"/>
        </w:rPr>
        <w:t xml:space="preserve">leash the full clinical potential of MSC </w:t>
      </w:r>
      <w:proofErr w:type="gramStart"/>
      <w:r>
        <w:rPr>
          <w:rFonts w:ascii="Times New Roman" w:eastAsia="Times New Roman" w:hAnsi="Times New Roman" w:cs="Times New Roman"/>
          <w:color w:val="000000"/>
          <w:sz w:val="24"/>
          <w:szCs w:val="24"/>
        </w:rPr>
        <w:t>therapy?.</w:t>
      </w:r>
      <w:proofErr w:type="gramEnd"/>
      <w:r>
        <w:rPr>
          <w:rFonts w:ascii="Times New Roman" w:eastAsia="Times New Roman" w:hAnsi="Times New Roman" w:cs="Times New Roman"/>
          <w:color w:val="000000"/>
          <w:sz w:val="24"/>
          <w:szCs w:val="24"/>
        </w:rPr>
        <w:t xml:space="preserve"> Biobanking and cryopreservation of stem cells. 2016 Nov 12:77-98.</w:t>
      </w:r>
    </w:p>
    <w:p w14:paraId="23B099AC"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Dominici ML, Le Blanc K, Mueller I, </w:t>
      </w:r>
      <w:proofErr w:type="spellStart"/>
      <w:r>
        <w:rPr>
          <w:rFonts w:ascii="Times New Roman" w:eastAsia="Times New Roman" w:hAnsi="Times New Roman" w:cs="Times New Roman"/>
          <w:color w:val="000000"/>
          <w:sz w:val="24"/>
          <w:szCs w:val="24"/>
        </w:rPr>
        <w:t>Slaper-Cortenbach</w:t>
      </w:r>
      <w:proofErr w:type="spellEnd"/>
      <w:r>
        <w:rPr>
          <w:rFonts w:ascii="Times New Roman" w:eastAsia="Times New Roman" w:hAnsi="Times New Roman" w:cs="Times New Roman"/>
          <w:color w:val="000000"/>
          <w:sz w:val="24"/>
          <w:szCs w:val="24"/>
        </w:rPr>
        <w:t xml:space="preserve"> I, Marini FC, Krause DS, Deans RJ, Keating A, </w:t>
      </w:r>
      <w:proofErr w:type="spellStart"/>
      <w:r>
        <w:rPr>
          <w:rFonts w:ascii="Times New Roman" w:eastAsia="Times New Roman" w:hAnsi="Times New Roman" w:cs="Times New Roman"/>
          <w:color w:val="000000"/>
          <w:sz w:val="24"/>
          <w:szCs w:val="24"/>
        </w:rPr>
        <w:t>Prockop</w:t>
      </w:r>
      <w:proofErr w:type="spellEnd"/>
      <w:r>
        <w:rPr>
          <w:rFonts w:ascii="Times New Roman" w:eastAsia="Times New Roman" w:hAnsi="Times New Roman" w:cs="Times New Roman"/>
          <w:color w:val="000000"/>
          <w:sz w:val="24"/>
          <w:szCs w:val="24"/>
        </w:rPr>
        <w:t xml:space="preserve"> DJ, Horwitz EM. Minimal criteri</w:t>
      </w:r>
      <w:r>
        <w:rPr>
          <w:rFonts w:ascii="Times New Roman" w:eastAsia="Times New Roman" w:hAnsi="Times New Roman" w:cs="Times New Roman"/>
          <w:color w:val="000000"/>
          <w:sz w:val="24"/>
          <w:szCs w:val="24"/>
        </w:rPr>
        <w:t xml:space="preserve">a for defining multipotent mesenchymal stromal cells. The International Society for Cellular Therapy position statement. </w:t>
      </w:r>
      <w:proofErr w:type="spellStart"/>
      <w:r>
        <w:rPr>
          <w:rFonts w:ascii="Times New Roman" w:eastAsia="Times New Roman" w:hAnsi="Times New Roman" w:cs="Times New Roman"/>
          <w:color w:val="000000"/>
          <w:sz w:val="24"/>
          <w:szCs w:val="24"/>
        </w:rPr>
        <w:t>Cytotherapy</w:t>
      </w:r>
      <w:proofErr w:type="spellEnd"/>
      <w:r>
        <w:rPr>
          <w:rFonts w:ascii="Times New Roman" w:eastAsia="Times New Roman" w:hAnsi="Times New Roman" w:cs="Times New Roman"/>
          <w:color w:val="000000"/>
          <w:sz w:val="24"/>
          <w:szCs w:val="24"/>
        </w:rPr>
        <w:t>. 2006 Jan 1;8(4):315-7.</w:t>
      </w:r>
    </w:p>
    <w:p w14:paraId="4904158E"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Galipeau</w:t>
      </w:r>
      <w:proofErr w:type="spellEnd"/>
      <w:r>
        <w:rPr>
          <w:rFonts w:ascii="Times New Roman" w:eastAsia="Times New Roman" w:hAnsi="Times New Roman" w:cs="Times New Roman"/>
          <w:color w:val="000000"/>
          <w:sz w:val="24"/>
          <w:szCs w:val="24"/>
        </w:rPr>
        <w:t xml:space="preserve"> J, </w:t>
      </w:r>
      <w:proofErr w:type="spellStart"/>
      <w:r>
        <w:rPr>
          <w:rFonts w:ascii="Times New Roman" w:eastAsia="Times New Roman" w:hAnsi="Times New Roman" w:cs="Times New Roman"/>
          <w:color w:val="000000"/>
          <w:sz w:val="24"/>
          <w:szCs w:val="24"/>
        </w:rPr>
        <w:t>Krampera</w:t>
      </w:r>
      <w:proofErr w:type="spellEnd"/>
      <w:r>
        <w:rPr>
          <w:rFonts w:ascii="Times New Roman" w:eastAsia="Times New Roman" w:hAnsi="Times New Roman" w:cs="Times New Roman"/>
          <w:color w:val="000000"/>
          <w:sz w:val="24"/>
          <w:szCs w:val="24"/>
        </w:rPr>
        <w:t xml:space="preserve"> M. The challenge of defining mesenchymal stromal cell potency assays and their</w:t>
      </w:r>
      <w:r>
        <w:rPr>
          <w:rFonts w:ascii="Times New Roman" w:eastAsia="Times New Roman" w:hAnsi="Times New Roman" w:cs="Times New Roman"/>
          <w:color w:val="000000"/>
          <w:sz w:val="24"/>
          <w:szCs w:val="24"/>
        </w:rPr>
        <w:t xml:space="preserve"> potential use as release criteria. </w:t>
      </w:r>
      <w:proofErr w:type="spellStart"/>
      <w:r>
        <w:rPr>
          <w:rFonts w:ascii="Times New Roman" w:eastAsia="Times New Roman" w:hAnsi="Times New Roman" w:cs="Times New Roman"/>
          <w:color w:val="000000"/>
          <w:sz w:val="24"/>
          <w:szCs w:val="24"/>
        </w:rPr>
        <w:t>Cytotherapy</w:t>
      </w:r>
      <w:proofErr w:type="spellEnd"/>
      <w:r>
        <w:rPr>
          <w:rFonts w:ascii="Times New Roman" w:eastAsia="Times New Roman" w:hAnsi="Times New Roman" w:cs="Times New Roman"/>
          <w:color w:val="000000"/>
          <w:sz w:val="24"/>
          <w:szCs w:val="24"/>
        </w:rPr>
        <w:t>. 2015;17(2):125-7.</w:t>
      </w:r>
    </w:p>
    <w:p w14:paraId="3CBBB9A9"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Brittberg</w:t>
      </w:r>
      <w:proofErr w:type="spellEnd"/>
      <w:r>
        <w:rPr>
          <w:rFonts w:ascii="Times New Roman" w:eastAsia="Times New Roman" w:hAnsi="Times New Roman" w:cs="Times New Roman"/>
          <w:color w:val="000000"/>
          <w:sz w:val="24"/>
          <w:szCs w:val="24"/>
        </w:rPr>
        <w:t xml:space="preserve"> M. Autologous chondrocyte implantation—technique and long-term follow-up. Injury. 2008 Apr 1;39(1):40-9.</w:t>
      </w:r>
    </w:p>
    <w:p w14:paraId="08CE5068"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Bartlett W, Skinner JA, Gooding CR, Carrington RW, Flanagan AM, Briggs TW,</w:t>
      </w:r>
      <w:r>
        <w:rPr>
          <w:rFonts w:ascii="Times New Roman" w:eastAsia="Times New Roman" w:hAnsi="Times New Roman" w:cs="Times New Roman"/>
          <w:color w:val="000000"/>
          <w:sz w:val="24"/>
          <w:szCs w:val="24"/>
        </w:rPr>
        <w:t xml:space="preserve"> Bentley G. Autologous chondrocyte implantation versus matrix-induced autologous chondrocyte implantation for osteochondral defects of the knee: a prospective, randomised study. The Journal of Bone &amp; Joint Surgery British Volume. 2005 May 1;87(5):640-5.</w:t>
      </w:r>
    </w:p>
    <w:p w14:paraId="6DEF483F"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w:t>
      </w:r>
      <w:r>
        <w:rPr>
          <w:rFonts w:ascii="Times New Roman" w:eastAsia="Times New Roman" w:hAnsi="Times New Roman" w:cs="Times New Roman"/>
          <w:color w:val="000000"/>
          <w:sz w:val="24"/>
          <w:szCs w:val="24"/>
        </w:rPr>
        <w:t xml:space="preserve">nas T, </w:t>
      </w:r>
      <w:proofErr w:type="spellStart"/>
      <w:r>
        <w:rPr>
          <w:rFonts w:ascii="Times New Roman" w:eastAsia="Times New Roman" w:hAnsi="Times New Roman" w:cs="Times New Roman"/>
          <w:color w:val="000000"/>
          <w:sz w:val="24"/>
          <w:szCs w:val="24"/>
        </w:rPr>
        <w:t>Gomoll</w:t>
      </w:r>
      <w:proofErr w:type="spellEnd"/>
      <w:r>
        <w:rPr>
          <w:rFonts w:ascii="Times New Roman" w:eastAsia="Times New Roman" w:hAnsi="Times New Roman" w:cs="Times New Roman"/>
          <w:color w:val="000000"/>
          <w:sz w:val="24"/>
          <w:szCs w:val="24"/>
        </w:rPr>
        <w:t xml:space="preserve"> AH, </w:t>
      </w:r>
      <w:proofErr w:type="spellStart"/>
      <w:r>
        <w:rPr>
          <w:rFonts w:ascii="Times New Roman" w:eastAsia="Times New Roman" w:hAnsi="Times New Roman" w:cs="Times New Roman"/>
          <w:color w:val="000000"/>
          <w:sz w:val="24"/>
          <w:szCs w:val="24"/>
        </w:rPr>
        <w:t>Solhpour</w:t>
      </w:r>
      <w:proofErr w:type="spellEnd"/>
      <w:r>
        <w:rPr>
          <w:rFonts w:ascii="Times New Roman" w:eastAsia="Times New Roman" w:hAnsi="Times New Roman" w:cs="Times New Roman"/>
          <w:color w:val="000000"/>
          <w:sz w:val="24"/>
          <w:szCs w:val="24"/>
        </w:rPr>
        <w:t xml:space="preserve"> S, Rosenberger R, Probst C, Bryant T. Autologous chondrocyte implantation for joint preservation in patients with early osteoarthritis. Clinical Orthopaedics and Related Research®. 2010 Jan;468(1):147-57.</w:t>
      </w:r>
    </w:p>
    <w:p w14:paraId="0FB38802"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Knutsen G, Engebretsen L</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Ludvigsen</w:t>
      </w:r>
      <w:proofErr w:type="spellEnd"/>
      <w:r>
        <w:rPr>
          <w:rFonts w:ascii="Times New Roman" w:eastAsia="Times New Roman" w:hAnsi="Times New Roman" w:cs="Times New Roman"/>
          <w:color w:val="000000"/>
          <w:sz w:val="24"/>
          <w:szCs w:val="24"/>
        </w:rPr>
        <w:t xml:space="preserve"> TC, </w:t>
      </w:r>
      <w:proofErr w:type="spellStart"/>
      <w:r>
        <w:rPr>
          <w:rFonts w:ascii="Times New Roman" w:eastAsia="Times New Roman" w:hAnsi="Times New Roman" w:cs="Times New Roman"/>
          <w:color w:val="000000"/>
          <w:sz w:val="24"/>
          <w:szCs w:val="24"/>
        </w:rPr>
        <w:t>Drogset</w:t>
      </w:r>
      <w:proofErr w:type="spellEnd"/>
      <w:r>
        <w:rPr>
          <w:rFonts w:ascii="Times New Roman" w:eastAsia="Times New Roman" w:hAnsi="Times New Roman" w:cs="Times New Roman"/>
          <w:color w:val="000000"/>
          <w:sz w:val="24"/>
          <w:szCs w:val="24"/>
        </w:rPr>
        <w:t xml:space="preserve"> JO, </w:t>
      </w:r>
      <w:proofErr w:type="spellStart"/>
      <w:r>
        <w:rPr>
          <w:rFonts w:ascii="Times New Roman" w:eastAsia="Times New Roman" w:hAnsi="Times New Roman" w:cs="Times New Roman"/>
          <w:color w:val="000000"/>
          <w:sz w:val="24"/>
          <w:szCs w:val="24"/>
        </w:rPr>
        <w:t>Grøntvedt</w:t>
      </w:r>
      <w:proofErr w:type="spellEnd"/>
      <w:r>
        <w:rPr>
          <w:rFonts w:ascii="Times New Roman" w:eastAsia="Times New Roman" w:hAnsi="Times New Roman" w:cs="Times New Roman"/>
          <w:color w:val="000000"/>
          <w:sz w:val="24"/>
          <w:szCs w:val="24"/>
        </w:rPr>
        <w:t xml:space="preserve"> T, Solheim E, Strand T, Roberts S, Isaksen V, Johansen O. Autologous chondrocyte implantation compared with microfracture in the knee: a randomized trial. JBJS. 2004 Mar 1;86(3):455-64.</w:t>
      </w:r>
    </w:p>
    <w:p w14:paraId="75757696"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Takahashi K, Tanabe K, </w:t>
      </w:r>
      <w:proofErr w:type="spellStart"/>
      <w:r>
        <w:rPr>
          <w:rFonts w:ascii="Times New Roman" w:eastAsia="Times New Roman" w:hAnsi="Times New Roman" w:cs="Times New Roman"/>
          <w:color w:val="000000"/>
          <w:sz w:val="24"/>
          <w:szCs w:val="24"/>
        </w:rPr>
        <w:t>Ohnuki</w:t>
      </w:r>
      <w:proofErr w:type="spellEnd"/>
      <w:r>
        <w:rPr>
          <w:rFonts w:ascii="Times New Roman" w:eastAsia="Times New Roman" w:hAnsi="Times New Roman" w:cs="Times New Roman"/>
          <w:color w:val="000000"/>
          <w:sz w:val="24"/>
          <w:szCs w:val="24"/>
        </w:rPr>
        <w:t xml:space="preserve"> M, Narita M, </w:t>
      </w:r>
      <w:proofErr w:type="spellStart"/>
      <w:r>
        <w:rPr>
          <w:rFonts w:ascii="Times New Roman" w:eastAsia="Times New Roman" w:hAnsi="Times New Roman" w:cs="Times New Roman"/>
          <w:color w:val="000000"/>
          <w:sz w:val="24"/>
          <w:szCs w:val="24"/>
        </w:rPr>
        <w:t>Ichisaka</w:t>
      </w:r>
      <w:proofErr w:type="spellEnd"/>
      <w:r>
        <w:rPr>
          <w:rFonts w:ascii="Times New Roman" w:eastAsia="Times New Roman" w:hAnsi="Times New Roman" w:cs="Times New Roman"/>
          <w:color w:val="000000"/>
          <w:sz w:val="24"/>
          <w:szCs w:val="24"/>
        </w:rPr>
        <w:t xml:space="preserve"> T, </w:t>
      </w:r>
      <w:proofErr w:type="spellStart"/>
      <w:r>
        <w:rPr>
          <w:rFonts w:ascii="Times New Roman" w:eastAsia="Times New Roman" w:hAnsi="Times New Roman" w:cs="Times New Roman"/>
          <w:color w:val="000000"/>
          <w:sz w:val="24"/>
          <w:szCs w:val="24"/>
        </w:rPr>
        <w:t>Tomoda</w:t>
      </w:r>
      <w:proofErr w:type="spellEnd"/>
      <w:r>
        <w:rPr>
          <w:rFonts w:ascii="Times New Roman" w:eastAsia="Times New Roman" w:hAnsi="Times New Roman" w:cs="Times New Roman"/>
          <w:color w:val="000000"/>
          <w:sz w:val="24"/>
          <w:szCs w:val="24"/>
        </w:rPr>
        <w:t xml:space="preserve"> K, Yamanaka S. Induction of pluripotent stem cells from adult human fibroblasts by defined factors. cell. 2007 Nov 30;131(5):861-72.</w:t>
      </w:r>
    </w:p>
    <w:p w14:paraId="36534BBC"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Dorota A, </w:t>
      </w:r>
      <w:proofErr w:type="spellStart"/>
      <w:r>
        <w:rPr>
          <w:rFonts w:ascii="Times New Roman" w:eastAsia="Times New Roman" w:hAnsi="Times New Roman" w:cs="Times New Roman"/>
          <w:color w:val="000000"/>
          <w:sz w:val="24"/>
          <w:szCs w:val="24"/>
        </w:rPr>
        <w:t>Maryniak</w:t>
      </w:r>
      <w:proofErr w:type="spellEnd"/>
      <w:r>
        <w:rPr>
          <w:rFonts w:ascii="Times New Roman" w:eastAsia="Times New Roman" w:hAnsi="Times New Roman" w:cs="Times New Roman"/>
          <w:color w:val="000000"/>
          <w:sz w:val="24"/>
          <w:szCs w:val="24"/>
        </w:rPr>
        <w:t xml:space="preserve"> N, </w:t>
      </w:r>
      <w:proofErr w:type="spellStart"/>
      <w:r>
        <w:rPr>
          <w:rFonts w:ascii="Times New Roman" w:eastAsia="Times New Roman" w:hAnsi="Times New Roman" w:cs="Times New Roman"/>
          <w:color w:val="000000"/>
          <w:sz w:val="24"/>
          <w:szCs w:val="24"/>
        </w:rPr>
        <w:t>Mariankowska</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Milczarek</w:t>
      </w:r>
      <w:proofErr w:type="spellEnd"/>
      <w:r>
        <w:rPr>
          <w:rFonts w:ascii="Times New Roman" w:eastAsia="Times New Roman" w:hAnsi="Times New Roman" w:cs="Times New Roman"/>
          <w:color w:val="000000"/>
          <w:sz w:val="24"/>
          <w:szCs w:val="24"/>
        </w:rPr>
        <w:t xml:space="preserve"> C, Dorota M, Zywiec W, Kozlowski K, Koval </w:t>
      </w:r>
      <w:r>
        <w:rPr>
          <w:rFonts w:ascii="Times New Roman" w:eastAsia="Times New Roman" w:hAnsi="Times New Roman" w:cs="Times New Roman"/>
          <w:color w:val="000000"/>
          <w:sz w:val="24"/>
          <w:szCs w:val="24"/>
        </w:rPr>
        <w:t xml:space="preserve">I, </w:t>
      </w:r>
      <w:proofErr w:type="spellStart"/>
      <w:r>
        <w:rPr>
          <w:rFonts w:ascii="Times New Roman" w:eastAsia="Times New Roman" w:hAnsi="Times New Roman" w:cs="Times New Roman"/>
          <w:color w:val="000000"/>
          <w:sz w:val="24"/>
          <w:szCs w:val="24"/>
        </w:rPr>
        <w:t>Czyzewski</w:t>
      </w:r>
      <w:proofErr w:type="spellEnd"/>
      <w:r>
        <w:rPr>
          <w:rFonts w:ascii="Times New Roman" w:eastAsia="Times New Roman" w:hAnsi="Times New Roman" w:cs="Times New Roman"/>
          <w:color w:val="000000"/>
          <w:sz w:val="24"/>
          <w:szCs w:val="24"/>
        </w:rPr>
        <w:t xml:space="preserve"> B, </w:t>
      </w:r>
      <w:proofErr w:type="spellStart"/>
      <w:r>
        <w:rPr>
          <w:rFonts w:ascii="Times New Roman" w:eastAsia="Times New Roman" w:hAnsi="Times New Roman" w:cs="Times New Roman"/>
          <w:color w:val="000000"/>
          <w:sz w:val="24"/>
          <w:szCs w:val="24"/>
        </w:rPr>
        <w:t>Czyzewska</w:t>
      </w:r>
      <w:proofErr w:type="spellEnd"/>
      <w:r>
        <w:rPr>
          <w:rFonts w:ascii="Times New Roman" w:eastAsia="Times New Roman" w:hAnsi="Times New Roman" w:cs="Times New Roman"/>
          <w:color w:val="000000"/>
          <w:sz w:val="24"/>
          <w:szCs w:val="24"/>
        </w:rPr>
        <w:t xml:space="preserve"> J. Induced Pluripotent Stem Cells (iPSC) and Their Use in Disease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Cureus. 2025 Oct 7;17(10).</w:t>
      </w:r>
    </w:p>
    <w:p w14:paraId="348D2CDC"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Craft AM, </w:t>
      </w:r>
      <w:proofErr w:type="spellStart"/>
      <w:r>
        <w:rPr>
          <w:rFonts w:ascii="Times New Roman" w:eastAsia="Times New Roman" w:hAnsi="Times New Roman" w:cs="Times New Roman"/>
          <w:color w:val="000000"/>
          <w:sz w:val="24"/>
          <w:szCs w:val="24"/>
        </w:rPr>
        <w:t>Rockel</w:t>
      </w:r>
      <w:proofErr w:type="spellEnd"/>
      <w:r>
        <w:rPr>
          <w:rFonts w:ascii="Times New Roman" w:eastAsia="Times New Roman" w:hAnsi="Times New Roman" w:cs="Times New Roman"/>
          <w:color w:val="000000"/>
          <w:sz w:val="24"/>
          <w:szCs w:val="24"/>
        </w:rPr>
        <w:t xml:space="preserve"> JS, </w:t>
      </w:r>
      <w:proofErr w:type="spellStart"/>
      <w:r>
        <w:rPr>
          <w:rFonts w:ascii="Times New Roman" w:eastAsia="Times New Roman" w:hAnsi="Times New Roman" w:cs="Times New Roman"/>
          <w:color w:val="000000"/>
          <w:sz w:val="24"/>
          <w:szCs w:val="24"/>
        </w:rPr>
        <w:t>Nartiss</w:t>
      </w:r>
      <w:proofErr w:type="spellEnd"/>
      <w:r>
        <w:rPr>
          <w:rFonts w:ascii="Times New Roman" w:eastAsia="Times New Roman" w:hAnsi="Times New Roman" w:cs="Times New Roman"/>
          <w:color w:val="000000"/>
          <w:sz w:val="24"/>
          <w:szCs w:val="24"/>
        </w:rPr>
        <w:t xml:space="preserve"> Y, Kandel RA, Alman BA, Keller GM. Generation of articular chondrocytes from human pluripotent ste</w:t>
      </w:r>
      <w:r>
        <w:rPr>
          <w:rFonts w:ascii="Times New Roman" w:eastAsia="Times New Roman" w:hAnsi="Times New Roman" w:cs="Times New Roman"/>
          <w:color w:val="000000"/>
          <w:sz w:val="24"/>
          <w:szCs w:val="24"/>
        </w:rPr>
        <w:t>m cells. Nature biotechnology. 2015 Jun;33(6):638-45.</w:t>
      </w:r>
    </w:p>
    <w:p w14:paraId="26FECB4A"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Marx RE. Platelet-rich plasma: evidence to support its use. Journal of oral and maxillofacial surgery. 2004 Apr 1;62(4):489-96.</w:t>
      </w:r>
    </w:p>
    <w:p w14:paraId="17C9A7C8"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Sundman EA, Cole BJ, Fortier LA. Growth factor and catabolic cytokine conc</w:t>
      </w:r>
      <w:r>
        <w:rPr>
          <w:rFonts w:ascii="Times New Roman" w:eastAsia="Times New Roman" w:hAnsi="Times New Roman" w:cs="Times New Roman"/>
          <w:color w:val="000000"/>
          <w:sz w:val="24"/>
          <w:szCs w:val="24"/>
        </w:rPr>
        <w:t>entrations are influenced by the cellular composition of platelet-rich plasma. The American journal of sports medicine. 2011 Oct;39(10):2135-40.</w:t>
      </w:r>
    </w:p>
    <w:p w14:paraId="2E366B97"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Intra-articular PR. Knee Injections Show No Superiority Versus </w:t>
      </w:r>
      <w:proofErr w:type="spellStart"/>
      <w:r>
        <w:rPr>
          <w:rFonts w:ascii="Times New Roman" w:eastAsia="Times New Roman" w:hAnsi="Times New Roman" w:cs="Times New Roman"/>
          <w:color w:val="000000"/>
          <w:sz w:val="24"/>
          <w:szCs w:val="24"/>
        </w:rPr>
        <w:t>Viscosupplementation</w:t>
      </w:r>
      <w:proofErr w:type="spellEnd"/>
      <w:r>
        <w:rPr>
          <w:rFonts w:ascii="Times New Roman" w:eastAsia="Times New Roman" w:hAnsi="Times New Roman" w:cs="Times New Roman"/>
          <w:color w:val="000000"/>
          <w:sz w:val="24"/>
          <w:szCs w:val="24"/>
        </w:rPr>
        <w:t>. The American Journal of Sp</w:t>
      </w:r>
      <w:r>
        <w:rPr>
          <w:rFonts w:ascii="Times New Roman" w:eastAsia="Times New Roman" w:hAnsi="Times New Roman" w:cs="Times New Roman"/>
          <w:color w:val="000000"/>
          <w:sz w:val="24"/>
          <w:szCs w:val="24"/>
        </w:rPr>
        <w:t>orts Medicine.;43(7).</w:t>
      </w:r>
    </w:p>
    <w:p w14:paraId="78CA41B7"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Fermín TM, </w:t>
      </w:r>
      <w:proofErr w:type="spellStart"/>
      <w:r>
        <w:rPr>
          <w:rFonts w:ascii="Times New Roman" w:eastAsia="Times New Roman" w:hAnsi="Times New Roman" w:cs="Times New Roman"/>
          <w:color w:val="000000"/>
          <w:sz w:val="24"/>
          <w:szCs w:val="24"/>
        </w:rPr>
        <w:t>Calcei</w:t>
      </w:r>
      <w:proofErr w:type="spellEnd"/>
      <w:r>
        <w:rPr>
          <w:rFonts w:ascii="Times New Roman" w:eastAsia="Times New Roman" w:hAnsi="Times New Roman" w:cs="Times New Roman"/>
          <w:color w:val="000000"/>
          <w:sz w:val="24"/>
          <w:szCs w:val="24"/>
        </w:rPr>
        <w:t xml:space="preserve"> JG, Della </w:t>
      </w:r>
      <w:proofErr w:type="spellStart"/>
      <w:r>
        <w:rPr>
          <w:rFonts w:ascii="Times New Roman" w:eastAsia="Times New Roman" w:hAnsi="Times New Roman" w:cs="Times New Roman"/>
          <w:color w:val="000000"/>
          <w:sz w:val="24"/>
          <w:szCs w:val="24"/>
        </w:rPr>
        <w:t>Vedova</w:t>
      </w:r>
      <w:proofErr w:type="spellEnd"/>
      <w:r>
        <w:rPr>
          <w:rFonts w:ascii="Times New Roman" w:eastAsia="Times New Roman" w:hAnsi="Times New Roman" w:cs="Times New Roman"/>
          <w:color w:val="000000"/>
          <w:sz w:val="24"/>
          <w:szCs w:val="24"/>
        </w:rPr>
        <w:t xml:space="preserve"> F, Cano JP, Calderon CA, Imam MA, Khoury M, </w:t>
      </w:r>
      <w:proofErr w:type="spellStart"/>
      <w:r>
        <w:rPr>
          <w:rFonts w:ascii="Times New Roman" w:eastAsia="Times New Roman" w:hAnsi="Times New Roman" w:cs="Times New Roman"/>
          <w:color w:val="000000"/>
          <w:sz w:val="24"/>
          <w:szCs w:val="24"/>
        </w:rPr>
        <w:t>Laupheimer</w:t>
      </w:r>
      <w:proofErr w:type="spellEnd"/>
      <w:r>
        <w:rPr>
          <w:rFonts w:ascii="Times New Roman" w:eastAsia="Times New Roman" w:hAnsi="Times New Roman" w:cs="Times New Roman"/>
          <w:color w:val="000000"/>
          <w:sz w:val="24"/>
          <w:szCs w:val="24"/>
        </w:rPr>
        <w:t xml:space="preserve"> MW, </w:t>
      </w:r>
      <w:proofErr w:type="spellStart"/>
      <w:r>
        <w:rPr>
          <w:rFonts w:ascii="Times New Roman" w:eastAsia="Times New Roman" w:hAnsi="Times New Roman" w:cs="Times New Roman"/>
          <w:color w:val="000000"/>
          <w:sz w:val="24"/>
          <w:szCs w:val="24"/>
        </w:rPr>
        <w:t>D'hooghe</w:t>
      </w:r>
      <w:proofErr w:type="spellEnd"/>
      <w:r>
        <w:rPr>
          <w:rFonts w:ascii="Times New Roman" w:eastAsia="Times New Roman" w:hAnsi="Times New Roman" w:cs="Times New Roman"/>
          <w:color w:val="000000"/>
          <w:sz w:val="24"/>
          <w:szCs w:val="24"/>
        </w:rPr>
        <w:t xml:space="preserve"> P. Review of Dohan </w:t>
      </w:r>
      <w:proofErr w:type="spellStart"/>
      <w:r>
        <w:rPr>
          <w:rFonts w:ascii="Times New Roman" w:eastAsia="Times New Roman" w:hAnsi="Times New Roman" w:cs="Times New Roman"/>
          <w:color w:val="000000"/>
          <w:sz w:val="24"/>
          <w:szCs w:val="24"/>
        </w:rPr>
        <w:t>Eherenfest</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et al.(</w:t>
      </w:r>
      <w:proofErr w:type="gramEnd"/>
      <w:r>
        <w:rPr>
          <w:rFonts w:ascii="Times New Roman" w:eastAsia="Times New Roman" w:hAnsi="Times New Roman" w:cs="Times New Roman"/>
          <w:color w:val="000000"/>
          <w:sz w:val="24"/>
          <w:szCs w:val="24"/>
        </w:rPr>
        <w:t xml:space="preserve">2009) on “Classification of platelet concentrates: From pure platelet-rich plasma (P-PRP) to </w:t>
      </w:r>
      <w:r>
        <w:rPr>
          <w:rFonts w:ascii="Times New Roman" w:eastAsia="Times New Roman" w:hAnsi="Times New Roman" w:cs="Times New Roman"/>
          <w:color w:val="000000"/>
          <w:sz w:val="24"/>
          <w:szCs w:val="24"/>
        </w:rPr>
        <w:lastRenderedPageBreak/>
        <w:t>l</w:t>
      </w:r>
      <w:r>
        <w:rPr>
          <w:rFonts w:ascii="Times New Roman" w:eastAsia="Times New Roman" w:hAnsi="Times New Roman" w:cs="Times New Roman"/>
          <w:color w:val="000000"/>
          <w:sz w:val="24"/>
          <w:szCs w:val="24"/>
        </w:rPr>
        <w:t>eucocyte-and platelet-rich fibrin (L-PRF)”. Journal of ISAKOS. 2024 Apr 1;9(2):215-20.</w:t>
      </w:r>
    </w:p>
    <w:p w14:paraId="0247FCB9"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Chen TS, Yeo RW, Arslan F, Yin Y, Tan SS, Lai RC, Choo A, Padmanabhan J, Lee CN, de Kleijn DP, Tan KH. Efficiency of exosome production correlates inversely with the </w:t>
      </w:r>
      <w:r>
        <w:rPr>
          <w:rFonts w:ascii="Times New Roman" w:eastAsia="Times New Roman" w:hAnsi="Times New Roman" w:cs="Times New Roman"/>
          <w:color w:val="000000"/>
          <w:sz w:val="24"/>
          <w:szCs w:val="24"/>
        </w:rPr>
        <w:t>developmental maturity of MSC donor. J Stem Cell Res Ther. 2013;3(145):2.</w:t>
      </w:r>
    </w:p>
    <w:p w14:paraId="1EB706C6"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Mao G, Hu S, Zhang Z, Wu P, Zhao X, Lin R, Liao W, Kang Y. </w:t>
      </w:r>
      <w:proofErr w:type="spellStart"/>
      <w:r>
        <w:rPr>
          <w:rFonts w:ascii="Times New Roman" w:eastAsia="Times New Roman" w:hAnsi="Times New Roman" w:cs="Times New Roman"/>
          <w:color w:val="000000"/>
          <w:sz w:val="24"/>
          <w:szCs w:val="24"/>
        </w:rPr>
        <w:t>Exosomal</w:t>
      </w:r>
      <w:proofErr w:type="spellEnd"/>
      <w:r>
        <w:rPr>
          <w:rFonts w:ascii="Times New Roman" w:eastAsia="Times New Roman" w:hAnsi="Times New Roman" w:cs="Times New Roman"/>
          <w:color w:val="000000"/>
          <w:sz w:val="24"/>
          <w:szCs w:val="24"/>
        </w:rPr>
        <w:t xml:space="preserve"> miR‐95‐5p regulates chondrogenesis and cartilage degradation via histone deacetylase 2/8. Journal of cellular and </w:t>
      </w:r>
      <w:r>
        <w:rPr>
          <w:rFonts w:ascii="Times New Roman" w:eastAsia="Times New Roman" w:hAnsi="Times New Roman" w:cs="Times New Roman"/>
          <w:color w:val="000000"/>
          <w:sz w:val="24"/>
          <w:szCs w:val="24"/>
        </w:rPr>
        <w:t>molecular medicine. 2018 Nov;22(11):5354-66.</w:t>
      </w:r>
    </w:p>
    <w:p w14:paraId="6E8B8AEF"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Cosenza S, Ruiz M, </w:t>
      </w:r>
      <w:proofErr w:type="spellStart"/>
      <w:r>
        <w:rPr>
          <w:rFonts w:ascii="Times New Roman" w:eastAsia="Times New Roman" w:hAnsi="Times New Roman" w:cs="Times New Roman"/>
          <w:color w:val="000000"/>
          <w:sz w:val="24"/>
          <w:szCs w:val="24"/>
        </w:rPr>
        <w:t>Toupet</w:t>
      </w:r>
      <w:proofErr w:type="spellEnd"/>
      <w:r>
        <w:rPr>
          <w:rFonts w:ascii="Times New Roman" w:eastAsia="Times New Roman" w:hAnsi="Times New Roman" w:cs="Times New Roman"/>
          <w:color w:val="000000"/>
          <w:sz w:val="24"/>
          <w:szCs w:val="24"/>
        </w:rPr>
        <w:t xml:space="preserve"> K, Jorgensen C, Noël D. Mesenchymal stem cells derived exosomes and microparticles protect cartilage and bone from degradation in osteoarthritis. Scientific reports. 2017 Nov 24;7(1):16</w:t>
      </w:r>
      <w:r>
        <w:rPr>
          <w:rFonts w:ascii="Times New Roman" w:eastAsia="Times New Roman" w:hAnsi="Times New Roman" w:cs="Times New Roman"/>
          <w:color w:val="000000"/>
          <w:sz w:val="24"/>
          <w:szCs w:val="24"/>
        </w:rPr>
        <w:t>214.</w:t>
      </w:r>
    </w:p>
    <w:p w14:paraId="7A5DDBB8"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Witwer KW, Buzás EI, Bemis LT, Bora A, </w:t>
      </w:r>
      <w:proofErr w:type="spellStart"/>
      <w:r>
        <w:rPr>
          <w:rFonts w:ascii="Times New Roman" w:eastAsia="Times New Roman" w:hAnsi="Times New Roman" w:cs="Times New Roman"/>
          <w:color w:val="000000"/>
          <w:sz w:val="24"/>
          <w:szCs w:val="24"/>
        </w:rPr>
        <w:t>Lässer</w:t>
      </w:r>
      <w:proofErr w:type="spellEnd"/>
      <w:r>
        <w:rPr>
          <w:rFonts w:ascii="Times New Roman" w:eastAsia="Times New Roman" w:hAnsi="Times New Roman" w:cs="Times New Roman"/>
          <w:color w:val="000000"/>
          <w:sz w:val="24"/>
          <w:szCs w:val="24"/>
        </w:rPr>
        <w:t xml:space="preserve"> C, </w:t>
      </w:r>
      <w:proofErr w:type="spellStart"/>
      <w:r>
        <w:rPr>
          <w:rFonts w:ascii="Times New Roman" w:eastAsia="Times New Roman" w:hAnsi="Times New Roman" w:cs="Times New Roman"/>
          <w:color w:val="000000"/>
          <w:sz w:val="24"/>
          <w:szCs w:val="24"/>
        </w:rPr>
        <w:t>Lötvall</w:t>
      </w:r>
      <w:proofErr w:type="spellEnd"/>
      <w:r>
        <w:rPr>
          <w:rFonts w:ascii="Times New Roman" w:eastAsia="Times New Roman" w:hAnsi="Times New Roman" w:cs="Times New Roman"/>
          <w:color w:val="000000"/>
          <w:sz w:val="24"/>
          <w:szCs w:val="24"/>
        </w:rPr>
        <w:t xml:space="preserve"> J, Nolte</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t Hoen EN, Piper MG, Sivaraman S, Skog J, </w:t>
      </w:r>
      <w:proofErr w:type="spellStart"/>
      <w:r>
        <w:rPr>
          <w:rFonts w:ascii="Times New Roman" w:eastAsia="Times New Roman" w:hAnsi="Times New Roman" w:cs="Times New Roman"/>
          <w:color w:val="000000"/>
          <w:sz w:val="24"/>
          <w:szCs w:val="24"/>
        </w:rPr>
        <w:t>Théry</w:t>
      </w:r>
      <w:proofErr w:type="spellEnd"/>
      <w:r>
        <w:rPr>
          <w:rFonts w:ascii="Times New Roman" w:eastAsia="Times New Roman" w:hAnsi="Times New Roman" w:cs="Times New Roman"/>
          <w:color w:val="000000"/>
          <w:sz w:val="24"/>
          <w:szCs w:val="24"/>
        </w:rPr>
        <w:t xml:space="preserve"> C. Standardization of sample collection, isolation and analysis methods in extracellular vesicle research. Journal of extracellular vesi</w:t>
      </w:r>
      <w:r>
        <w:rPr>
          <w:rFonts w:ascii="Times New Roman" w:eastAsia="Times New Roman" w:hAnsi="Times New Roman" w:cs="Times New Roman"/>
          <w:color w:val="000000"/>
          <w:sz w:val="24"/>
          <w:szCs w:val="24"/>
        </w:rPr>
        <w:t>cles. 2013 Jan 1;2(1):20360.</w:t>
      </w:r>
    </w:p>
    <w:p w14:paraId="7DC32D6F"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Fortier LA, Barker JU, Strauss EJ, McCarrel TM, Cole BJ. The role of growth factors in cartilage repair. Clinical Orthopaedics and Related Research®. 2011 Oct 1;469(10):2706-15.</w:t>
      </w:r>
    </w:p>
    <w:p w14:paraId="43B2E473"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van </w:t>
      </w:r>
      <w:proofErr w:type="spellStart"/>
      <w:r>
        <w:rPr>
          <w:rFonts w:ascii="Times New Roman" w:eastAsia="Times New Roman" w:hAnsi="Times New Roman" w:cs="Times New Roman"/>
          <w:color w:val="000000"/>
          <w:sz w:val="24"/>
          <w:szCs w:val="24"/>
        </w:rPr>
        <w:t>Beuningen</w:t>
      </w:r>
      <w:proofErr w:type="spellEnd"/>
      <w:r>
        <w:rPr>
          <w:rFonts w:ascii="Times New Roman" w:eastAsia="Times New Roman" w:hAnsi="Times New Roman" w:cs="Times New Roman"/>
          <w:color w:val="000000"/>
          <w:sz w:val="24"/>
          <w:szCs w:val="24"/>
        </w:rPr>
        <w:t xml:space="preserve"> HM, </w:t>
      </w:r>
      <w:proofErr w:type="spellStart"/>
      <w:r>
        <w:rPr>
          <w:rFonts w:ascii="Times New Roman" w:eastAsia="Times New Roman" w:hAnsi="Times New Roman" w:cs="Times New Roman"/>
          <w:color w:val="000000"/>
          <w:sz w:val="24"/>
          <w:szCs w:val="24"/>
        </w:rPr>
        <w:t>Glansbeek</w:t>
      </w:r>
      <w:proofErr w:type="spellEnd"/>
      <w:r>
        <w:rPr>
          <w:rFonts w:ascii="Times New Roman" w:eastAsia="Times New Roman" w:hAnsi="Times New Roman" w:cs="Times New Roman"/>
          <w:color w:val="000000"/>
          <w:sz w:val="24"/>
          <w:szCs w:val="24"/>
        </w:rPr>
        <w:t xml:space="preserve"> HL, van der Kraan PM,</w:t>
      </w:r>
      <w:r>
        <w:rPr>
          <w:rFonts w:ascii="Times New Roman" w:eastAsia="Times New Roman" w:hAnsi="Times New Roman" w:cs="Times New Roman"/>
          <w:color w:val="000000"/>
          <w:sz w:val="24"/>
          <w:szCs w:val="24"/>
        </w:rPr>
        <w:t xml:space="preserve"> van den Berg WB. Differential effects of local application of BMP-2 or TGF-β1 on both articular cartilage composition and osteophyte formation. Osteoarthritis and Cartilage. 1998 Sep 1;6(5):306-17.</w:t>
      </w:r>
    </w:p>
    <w:p w14:paraId="40F2E39F"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Ornitz</w:t>
      </w:r>
      <w:proofErr w:type="spellEnd"/>
      <w:r>
        <w:rPr>
          <w:rFonts w:ascii="Times New Roman" w:eastAsia="Times New Roman" w:hAnsi="Times New Roman" w:cs="Times New Roman"/>
          <w:color w:val="000000"/>
          <w:sz w:val="24"/>
          <w:szCs w:val="24"/>
        </w:rPr>
        <w:t xml:space="preserve"> DM, Itoh N. The fibroblast growth factor </w:t>
      </w:r>
      <w:proofErr w:type="spellStart"/>
      <w:r>
        <w:rPr>
          <w:rFonts w:ascii="Times New Roman" w:eastAsia="Times New Roman" w:hAnsi="Times New Roman" w:cs="Times New Roman"/>
          <w:color w:val="000000"/>
          <w:sz w:val="24"/>
          <w:szCs w:val="24"/>
        </w:rPr>
        <w:t>signaling</w:t>
      </w:r>
      <w:proofErr w:type="spellEnd"/>
      <w:r>
        <w:rPr>
          <w:rFonts w:ascii="Times New Roman" w:eastAsia="Times New Roman" w:hAnsi="Times New Roman" w:cs="Times New Roman"/>
          <w:color w:val="000000"/>
          <w:sz w:val="24"/>
          <w:szCs w:val="24"/>
        </w:rPr>
        <w:t xml:space="preserve"> pathway. Wiley Interdisciplinary Reviews: Developmental Biology. 2015 May;4(3):215-66.</w:t>
      </w:r>
    </w:p>
    <w:p w14:paraId="41132E6B"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Richardson TP, Peters MC, Ennett AB, Mooney DJ. Polymeric system for dual growth factor delivery. Nature biotechnology. 2001 Nov 1;19(11):1029-34.</w:t>
      </w:r>
    </w:p>
    <w:p w14:paraId="17E888AE"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Lana JF, da Fonseca L</w:t>
      </w:r>
      <w:r>
        <w:rPr>
          <w:rFonts w:ascii="Times New Roman" w:eastAsia="Times New Roman" w:hAnsi="Times New Roman" w:cs="Times New Roman"/>
          <w:color w:val="000000"/>
          <w:sz w:val="24"/>
          <w:szCs w:val="24"/>
        </w:rPr>
        <w:t xml:space="preserve">F, da Rocha Macedo R, </w:t>
      </w:r>
      <w:proofErr w:type="spellStart"/>
      <w:r>
        <w:rPr>
          <w:rFonts w:ascii="Times New Roman" w:eastAsia="Times New Roman" w:hAnsi="Times New Roman" w:cs="Times New Roman"/>
          <w:color w:val="000000"/>
          <w:sz w:val="24"/>
          <w:szCs w:val="24"/>
        </w:rPr>
        <w:t>Mosaner</w:t>
      </w:r>
      <w:proofErr w:type="spellEnd"/>
      <w:r>
        <w:rPr>
          <w:rFonts w:ascii="Times New Roman" w:eastAsia="Times New Roman" w:hAnsi="Times New Roman" w:cs="Times New Roman"/>
          <w:color w:val="000000"/>
          <w:sz w:val="24"/>
          <w:szCs w:val="24"/>
        </w:rPr>
        <w:t xml:space="preserve"> T, Murrell W, Kumar A, Purita J, de Andrade MA. Platelet-rich plasma vs bone marrow aspirate concentrate: an overview of mechanisms of action and </w:t>
      </w:r>
      <w:proofErr w:type="spellStart"/>
      <w:r>
        <w:rPr>
          <w:rFonts w:ascii="Times New Roman" w:eastAsia="Times New Roman" w:hAnsi="Times New Roman" w:cs="Times New Roman"/>
          <w:color w:val="000000"/>
          <w:sz w:val="24"/>
          <w:szCs w:val="24"/>
        </w:rPr>
        <w:t>orthobiologic</w:t>
      </w:r>
      <w:proofErr w:type="spellEnd"/>
      <w:r>
        <w:rPr>
          <w:rFonts w:ascii="Times New Roman" w:eastAsia="Times New Roman" w:hAnsi="Times New Roman" w:cs="Times New Roman"/>
          <w:color w:val="000000"/>
          <w:sz w:val="24"/>
          <w:szCs w:val="24"/>
        </w:rPr>
        <w:t xml:space="preserve"> synergistic effects. World Journal of Stem Cells. 2021 Feb 26;13(2</w:t>
      </w:r>
      <w:r>
        <w:rPr>
          <w:rFonts w:ascii="Times New Roman" w:eastAsia="Times New Roman" w:hAnsi="Times New Roman" w:cs="Times New Roman"/>
          <w:color w:val="000000"/>
          <w:sz w:val="24"/>
          <w:szCs w:val="24"/>
        </w:rPr>
        <w:t>):155.</w:t>
      </w:r>
    </w:p>
    <w:p w14:paraId="4ED02B77"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Yang Y, Chen H, Li Y, Liang J, Huang F, Wang L, Miao H, Nanda HS, Wu J, Peng X, Zhou Y. Hydrogel loaded with extracellular vesicles: an emerging strategy for wound healing. Pharmaceuticals. 2024 Jul 10;17(7):923.</w:t>
      </w:r>
    </w:p>
    <w:p w14:paraId="23204D2C"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O'brien</w:t>
      </w:r>
      <w:proofErr w:type="spellEnd"/>
      <w:r>
        <w:rPr>
          <w:rFonts w:ascii="Times New Roman" w:eastAsia="Times New Roman" w:hAnsi="Times New Roman" w:cs="Times New Roman"/>
          <w:color w:val="000000"/>
          <w:sz w:val="24"/>
          <w:szCs w:val="24"/>
        </w:rPr>
        <w:t xml:space="preserve"> FJ. Biomaterials &amp; scaffolds</w:t>
      </w:r>
      <w:r>
        <w:rPr>
          <w:rFonts w:ascii="Times New Roman" w:eastAsia="Times New Roman" w:hAnsi="Times New Roman" w:cs="Times New Roman"/>
          <w:color w:val="000000"/>
          <w:sz w:val="24"/>
          <w:szCs w:val="24"/>
        </w:rPr>
        <w:t xml:space="preserve"> for tissue engineering. Materials today. 2011 Mar 1;14(3):88-95.</w:t>
      </w:r>
    </w:p>
    <w:p w14:paraId="293D5BC4"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Huey DJ, Hu JC, Athanasiou KA. Unlike bone, cartilage regeneration remains elusive. Science. 2012 Nov 16;338(6109):917-21.</w:t>
      </w:r>
    </w:p>
    <w:p w14:paraId="31F62C52"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Makadia HK, Siegel SJ. Poly lactic-co-glycolic acid (PLGA) as biode</w:t>
      </w:r>
      <w:r>
        <w:rPr>
          <w:rFonts w:ascii="Times New Roman" w:eastAsia="Times New Roman" w:hAnsi="Times New Roman" w:cs="Times New Roman"/>
          <w:color w:val="000000"/>
          <w:sz w:val="24"/>
          <w:szCs w:val="24"/>
        </w:rPr>
        <w:t>gradable controlled drug delivery carrier. Polymers. 2011 Sep;3(3):1377-97.</w:t>
      </w:r>
    </w:p>
    <w:p w14:paraId="4C0F0F85"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Murphy SV, Atala A. 3D bioprinting of tissues and organs. Nature biotechnology. 2014 Aug;32(8):773-85.</w:t>
      </w:r>
    </w:p>
    <w:p w14:paraId="78D330F6"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Abbot AE, Levine WN, Mow VC. Biomechanics of the Articular Cartilage. The adu</w:t>
      </w:r>
      <w:r>
        <w:rPr>
          <w:rFonts w:ascii="Times New Roman" w:eastAsia="Times New Roman" w:hAnsi="Times New Roman" w:cs="Times New Roman"/>
          <w:color w:val="000000"/>
          <w:sz w:val="24"/>
          <w:szCs w:val="24"/>
        </w:rPr>
        <w:t xml:space="preserve">lt knee. </w:t>
      </w:r>
      <w:proofErr w:type="gramStart"/>
      <w:r>
        <w:rPr>
          <w:rFonts w:ascii="Times New Roman" w:eastAsia="Times New Roman" w:hAnsi="Times New Roman" w:cs="Times New Roman"/>
          <w:color w:val="000000"/>
          <w:sz w:val="24"/>
          <w:szCs w:val="24"/>
        </w:rPr>
        <w:t>2003;1:81</w:t>
      </w:r>
      <w:proofErr w:type="gramEnd"/>
      <w:r>
        <w:rPr>
          <w:rFonts w:ascii="Times New Roman" w:eastAsia="Times New Roman" w:hAnsi="Times New Roman" w:cs="Times New Roman"/>
          <w:color w:val="000000"/>
          <w:sz w:val="24"/>
          <w:szCs w:val="24"/>
        </w:rPr>
        <w:t>.</w:t>
      </w:r>
    </w:p>
    <w:p w14:paraId="590A50CA"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Madry H, Grün UW, Knutsen G. Cartilage repair and joint preservation: medical and surgical treatment options. </w:t>
      </w:r>
      <w:proofErr w:type="spellStart"/>
      <w:r>
        <w:rPr>
          <w:rFonts w:ascii="Times New Roman" w:eastAsia="Times New Roman" w:hAnsi="Times New Roman" w:cs="Times New Roman"/>
          <w:color w:val="000000"/>
          <w:sz w:val="24"/>
          <w:szCs w:val="24"/>
        </w:rPr>
        <w:t>Deutsches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Ärzteblatt</w:t>
      </w:r>
      <w:proofErr w:type="spellEnd"/>
      <w:r>
        <w:rPr>
          <w:rFonts w:ascii="Times New Roman" w:eastAsia="Times New Roman" w:hAnsi="Times New Roman" w:cs="Times New Roman"/>
          <w:color w:val="000000"/>
          <w:sz w:val="24"/>
          <w:szCs w:val="24"/>
        </w:rPr>
        <w:t xml:space="preserve"> International. 2011 Oct 7;108(40):669.</w:t>
      </w:r>
    </w:p>
    <w:p w14:paraId="7BCA464C"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Gaddy DF, Robbins PD. Current status of gene therapy for </w:t>
      </w:r>
      <w:r>
        <w:rPr>
          <w:rFonts w:ascii="Times New Roman" w:eastAsia="Times New Roman" w:hAnsi="Times New Roman" w:cs="Times New Roman"/>
          <w:color w:val="000000"/>
          <w:sz w:val="24"/>
          <w:szCs w:val="24"/>
        </w:rPr>
        <w:t>rheumatoid arthritis. Current rheumatology reports. 2008 Oct;10(5):398-404.</w:t>
      </w:r>
    </w:p>
    <w:p w14:paraId="19F7C78D"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Ginn SL, </w:t>
      </w:r>
      <w:proofErr w:type="spellStart"/>
      <w:r>
        <w:rPr>
          <w:rFonts w:ascii="Times New Roman" w:eastAsia="Times New Roman" w:hAnsi="Times New Roman" w:cs="Times New Roman"/>
          <w:color w:val="000000"/>
          <w:sz w:val="24"/>
          <w:szCs w:val="24"/>
        </w:rPr>
        <w:t>Mandwie</w:t>
      </w:r>
      <w:proofErr w:type="spellEnd"/>
      <w:r>
        <w:rPr>
          <w:rFonts w:ascii="Times New Roman" w:eastAsia="Times New Roman" w:hAnsi="Times New Roman" w:cs="Times New Roman"/>
          <w:color w:val="000000"/>
          <w:sz w:val="24"/>
          <w:szCs w:val="24"/>
        </w:rPr>
        <w:t xml:space="preserve"> M, Alexander IE, Edelstein M, Abedi MR. Gene therapy clinical trials worldwide to 2023—an update. The journal of gene medicine. 2024 Aug;26(8</w:t>
      </w:r>
      <w:proofErr w:type="gramStart"/>
      <w:r>
        <w:rPr>
          <w:rFonts w:ascii="Times New Roman" w:eastAsia="Times New Roman" w:hAnsi="Times New Roman" w:cs="Times New Roman"/>
          <w:color w:val="000000"/>
          <w:sz w:val="24"/>
          <w:szCs w:val="24"/>
        </w:rPr>
        <w:t>):e</w:t>
      </w:r>
      <w:proofErr w:type="gramEnd"/>
      <w:r>
        <w:rPr>
          <w:rFonts w:ascii="Times New Roman" w:eastAsia="Times New Roman" w:hAnsi="Times New Roman" w:cs="Times New Roman"/>
          <w:color w:val="000000"/>
          <w:sz w:val="24"/>
          <w:szCs w:val="24"/>
        </w:rPr>
        <w:t>3721.</w:t>
      </w:r>
    </w:p>
    <w:p w14:paraId="51AF1C1A"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Van </w:t>
      </w:r>
      <w:proofErr w:type="spellStart"/>
      <w:r>
        <w:rPr>
          <w:rFonts w:ascii="Times New Roman" w:eastAsia="Times New Roman" w:hAnsi="Times New Roman" w:cs="Times New Roman"/>
          <w:color w:val="000000"/>
          <w:sz w:val="24"/>
          <w:szCs w:val="24"/>
        </w:rPr>
        <w:t>Buul</w:t>
      </w:r>
      <w:proofErr w:type="spellEnd"/>
      <w:r>
        <w:rPr>
          <w:rFonts w:ascii="Times New Roman" w:eastAsia="Times New Roman" w:hAnsi="Times New Roman" w:cs="Times New Roman"/>
          <w:color w:val="000000"/>
          <w:sz w:val="24"/>
          <w:szCs w:val="24"/>
        </w:rPr>
        <w:t xml:space="preserve"> GM, </w:t>
      </w:r>
      <w:proofErr w:type="spellStart"/>
      <w:r>
        <w:rPr>
          <w:rFonts w:ascii="Times New Roman" w:eastAsia="Times New Roman" w:hAnsi="Times New Roman" w:cs="Times New Roman"/>
          <w:color w:val="000000"/>
          <w:sz w:val="24"/>
          <w:szCs w:val="24"/>
        </w:rPr>
        <w:t>Villafuertes</w:t>
      </w:r>
      <w:proofErr w:type="spellEnd"/>
      <w:r>
        <w:rPr>
          <w:rFonts w:ascii="Times New Roman" w:eastAsia="Times New Roman" w:hAnsi="Times New Roman" w:cs="Times New Roman"/>
          <w:color w:val="000000"/>
          <w:sz w:val="24"/>
          <w:szCs w:val="24"/>
        </w:rPr>
        <w:t xml:space="preserve"> E, Bos PK, </w:t>
      </w:r>
      <w:proofErr w:type="spellStart"/>
      <w:r>
        <w:rPr>
          <w:rFonts w:ascii="Times New Roman" w:eastAsia="Times New Roman" w:hAnsi="Times New Roman" w:cs="Times New Roman"/>
          <w:color w:val="000000"/>
          <w:sz w:val="24"/>
          <w:szCs w:val="24"/>
        </w:rPr>
        <w:t>Waarsing</w:t>
      </w:r>
      <w:proofErr w:type="spellEnd"/>
      <w:r>
        <w:rPr>
          <w:rFonts w:ascii="Times New Roman" w:eastAsia="Times New Roman" w:hAnsi="Times New Roman" w:cs="Times New Roman"/>
          <w:color w:val="000000"/>
          <w:sz w:val="24"/>
          <w:szCs w:val="24"/>
        </w:rPr>
        <w:t xml:space="preserve"> JH, Kops N, Narcisi R, </w:t>
      </w:r>
      <w:proofErr w:type="spellStart"/>
      <w:r>
        <w:rPr>
          <w:rFonts w:ascii="Times New Roman" w:eastAsia="Times New Roman" w:hAnsi="Times New Roman" w:cs="Times New Roman"/>
          <w:color w:val="000000"/>
          <w:sz w:val="24"/>
          <w:szCs w:val="24"/>
        </w:rPr>
        <w:t>Weinans</w:t>
      </w:r>
      <w:proofErr w:type="spellEnd"/>
      <w:r>
        <w:rPr>
          <w:rFonts w:ascii="Times New Roman" w:eastAsia="Times New Roman" w:hAnsi="Times New Roman" w:cs="Times New Roman"/>
          <w:color w:val="000000"/>
          <w:sz w:val="24"/>
          <w:szCs w:val="24"/>
        </w:rPr>
        <w:t xml:space="preserve"> H, </w:t>
      </w:r>
      <w:proofErr w:type="spellStart"/>
      <w:r>
        <w:rPr>
          <w:rFonts w:ascii="Times New Roman" w:eastAsia="Times New Roman" w:hAnsi="Times New Roman" w:cs="Times New Roman"/>
          <w:color w:val="000000"/>
          <w:sz w:val="24"/>
          <w:szCs w:val="24"/>
        </w:rPr>
        <w:t>Verhaar</w:t>
      </w:r>
      <w:proofErr w:type="spellEnd"/>
      <w:r>
        <w:rPr>
          <w:rFonts w:ascii="Times New Roman" w:eastAsia="Times New Roman" w:hAnsi="Times New Roman" w:cs="Times New Roman"/>
          <w:color w:val="000000"/>
          <w:sz w:val="24"/>
          <w:szCs w:val="24"/>
        </w:rPr>
        <w:t xml:space="preserve"> JA, Bernsen MR, Van </w:t>
      </w:r>
      <w:proofErr w:type="spellStart"/>
      <w:r>
        <w:rPr>
          <w:rFonts w:ascii="Times New Roman" w:eastAsia="Times New Roman" w:hAnsi="Times New Roman" w:cs="Times New Roman"/>
          <w:color w:val="000000"/>
          <w:sz w:val="24"/>
          <w:szCs w:val="24"/>
        </w:rPr>
        <w:t>Osch</w:t>
      </w:r>
      <w:proofErr w:type="spellEnd"/>
      <w:r>
        <w:rPr>
          <w:rFonts w:ascii="Times New Roman" w:eastAsia="Times New Roman" w:hAnsi="Times New Roman" w:cs="Times New Roman"/>
          <w:color w:val="000000"/>
          <w:sz w:val="24"/>
          <w:szCs w:val="24"/>
        </w:rPr>
        <w:t xml:space="preserve"> GJ. Mesenchymal stem cells secrete factors that inhibit inflammatory processes in short-term osteoarthritic synovium and cartilage explant culture. Osteoart</w:t>
      </w:r>
      <w:r>
        <w:rPr>
          <w:rFonts w:ascii="Times New Roman" w:eastAsia="Times New Roman" w:hAnsi="Times New Roman" w:cs="Times New Roman"/>
          <w:color w:val="000000"/>
          <w:sz w:val="24"/>
          <w:szCs w:val="24"/>
        </w:rPr>
        <w:t>hritis and Cartilage. 2012 Oct 1;20(10):1186-96.</w:t>
      </w:r>
    </w:p>
    <w:p w14:paraId="45D5EDE8"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High KA, </w:t>
      </w:r>
      <w:proofErr w:type="spellStart"/>
      <w:r>
        <w:rPr>
          <w:rFonts w:ascii="Times New Roman" w:eastAsia="Times New Roman" w:hAnsi="Times New Roman" w:cs="Times New Roman"/>
          <w:color w:val="000000"/>
          <w:sz w:val="24"/>
          <w:szCs w:val="24"/>
        </w:rPr>
        <w:t>Roncarolo</w:t>
      </w:r>
      <w:proofErr w:type="spellEnd"/>
      <w:r>
        <w:rPr>
          <w:rFonts w:ascii="Times New Roman" w:eastAsia="Times New Roman" w:hAnsi="Times New Roman" w:cs="Times New Roman"/>
          <w:color w:val="000000"/>
          <w:sz w:val="24"/>
          <w:szCs w:val="24"/>
        </w:rPr>
        <w:t xml:space="preserve"> MG. Gene therapy. N Engl J Med. 2019 Aug 1;381(5):455-464.</w:t>
      </w:r>
    </w:p>
    <w:p w14:paraId="3B14BCAA"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 CH, Lee YG, Shin WH, Kim H, Chai JW, Jeong EC, Kim JE, Shim H, Shin JS, Shin IS, Ra JC. Intra‐articular injection of mesenchym</w:t>
      </w:r>
      <w:r>
        <w:rPr>
          <w:rFonts w:ascii="Times New Roman" w:eastAsia="Times New Roman" w:hAnsi="Times New Roman" w:cs="Times New Roman"/>
          <w:color w:val="000000"/>
          <w:sz w:val="24"/>
          <w:szCs w:val="24"/>
        </w:rPr>
        <w:t>al stem cells for the treatment of osteoarthritis of the knee: a proof‐of‐concept clinical trial. Stem cells. 2014 May 1;32(5):1254-66.</w:t>
      </w:r>
    </w:p>
    <w:p w14:paraId="2596A85E"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Lamo-Espinosa JM, Mora G, Blanco JF, </w:t>
      </w:r>
      <w:proofErr w:type="spellStart"/>
      <w:r>
        <w:rPr>
          <w:rFonts w:ascii="Times New Roman" w:eastAsia="Times New Roman" w:hAnsi="Times New Roman" w:cs="Times New Roman"/>
          <w:color w:val="000000"/>
          <w:sz w:val="24"/>
          <w:szCs w:val="24"/>
        </w:rPr>
        <w:t>Granero-Moltó</w:t>
      </w:r>
      <w:proofErr w:type="spellEnd"/>
      <w:r>
        <w:rPr>
          <w:rFonts w:ascii="Times New Roman" w:eastAsia="Times New Roman" w:hAnsi="Times New Roman" w:cs="Times New Roman"/>
          <w:color w:val="000000"/>
          <w:sz w:val="24"/>
          <w:szCs w:val="24"/>
        </w:rPr>
        <w:t xml:space="preserve"> F, </w:t>
      </w:r>
      <w:proofErr w:type="spellStart"/>
      <w:r>
        <w:rPr>
          <w:rFonts w:ascii="Times New Roman" w:eastAsia="Times New Roman" w:hAnsi="Times New Roman" w:cs="Times New Roman"/>
          <w:color w:val="000000"/>
          <w:sz w:val="24"/>
          <w:szCs w:val="24"/>
        </w:rPr>
        <w:t>Nuñez</w:t>
      </w:r>
      <w:proofErr w:type="spellEnd"/>
      <w:r>
        <w:rPr>
          <w:rFonts w:ascii="Times New Roman" w:eastAsia="Times New Roman" w:hAnsi="Times New Roman" w:cs="Times New Roman"/>
          <w:color w:val="000000"/>
          <w:sz w:val="24"/>
          <w:szCs w:val="24"/>
        </w:rPr>
        <w:t>-Córdoba JM, Sánchez-</w:t>
      </w:r>
      <w:proofErr w:type="spellStart"/>
      <w:r>
        <w:rPr>
          <w:rFonts w:ascii="Times New Roman" w:eastAsia="Times New Roman" w:hAnsi="Times New Roman" w:cs="Times New Roman"/>
          <w:color w:val="000000"/>
          <w:sz w:val="24"/>
          <w:szCs w:val="24"/>
        </w:rPr>
        <w:t>Echenique</w:t>
      </w:r>
      <w:proofErr w:type="spellEnd"/>
      <w:r>
        <w:rPr>
          <w:rFonts w:ascii="Times New Roman" w:eastAsia="Times New Roman" w:hAnsi="Times New Roman" w:cs="Times New Roman"/>
          <w:color w:val="000000"/>
          <w:sz w:val="24"/>
          <w:szCs w:val="24"/>
        </w:rPr>
        <w:t xml:space="preserve"> C, </w:t>
      </w:r>
      <w:proofErr w:type="spellStart"/>
      <w:r>
        <w:rPr>
          <w:rFonts w:ascii="Times New Roman" w:eastAsia="Times New Roman" w:hAnsi="Times New Roman" w:cs="Times New Roman"/>
          <w:color w:val="000000"/>
          <w:sz w:val="24"/>
          <w:szCs w:val="24"/>
        </w:rPr>
        <w:t>Bondía</w:t>
      </w:r>
      <w:proofErr w:type="spellEnd"/>
      <w:r>
        <w:rPr>
          <w:rFonts w:ascii="Times New Roman" w:eastAsia="Times New Roman" w:hAnsi="Times New Roman" w:cs="Times New Roman"/>
          <w:color w:val="000000"/>
          <w:sz w:val="24"/>
          <w:szCs w:val="24"/>
        </w:rPr>
        <w:t xml:space="preserve"> JM, </w:t>
      </w:r>
      <w:proofErr w:type="spellStart"/>
      <w:r>
        <w:rPr>
          <w:rFonts w:ascii="Times New Roman" w:eastAsia="Times New Roman" w:hAnsi="Times New Roman" w:cs="Times New Roman"/>
          <w:color w:val="000000"/>
          <w:sz w:val="24"/>
          <w:szCs w:val="24"/>
        </w:rPr>
        <w:t>Aquerreta</w:t>
      </w:r>
      <w:proofErr w:type="spellEnd"/>
      <w:r>
        <w:rPr>
          <w:rFonts w:ascii="Times New Roman" w:eastAsia="Times New Roman" w:hAnsi="Times New Roman" w:cs="Times New Roman"/>
          <w:color w:val="000000"/>
          <w:sz w:val="24"/>
          <w:szCs w:val="24"/>
        </w:rPr>
        <w:t xml:space="preserve"> JD, An</w:t>
      </w:r>
      <w:r>
        <w:rPr>
          <w:rFonts w:ascii="Times New Roman" w:eastAsia="Times New Roman" w:hAnsi="Times New Roman" w:cs="Times New Roman"/>
          <w:color w:val="000000"/>
          <w:sz w:val="24"/>
          <w:szCs w:val="24"/>
        </w:rPr>
        <w:t xml:space="preserve">dreu EJ, </w:t>
      </w:r>
      <w:proofErr w:type="spellStart"/>
      <w:r>
        <w:rPr>
          <w:rFonts w:ascii="Times New Roman" w:eastAsia="Times New Roman" w:hAnsi="Times New Roman" w:cs="Times New Roman"/>
          <w:color w:val="000000"/>
          <w:sz w:val="24"/>
          <w:szCs w:val="24"/>
        </w:rPr>
        <w:t>Ornilla</w:t>
      </w:r>
      <w:proofErr w:type="spellEnd"/>
      <w:r>
        <w:rPr>
          <w:rFonts w:ascii="Times New Roman" w:eastAsia="Times New Roman" w:hAnsi="Times New Roman" w:cs="Times New Roman"/>
          <w:color w:val="000000"/>
          <w:sz w:val="24"/>
          <w:szCs w:val="24"/>
        </w:rPr>
        <w:t xml:space="preserve"> E, </w:t>
      </w:r>
      <w:proofErr w:type="spellStart"/>
      <w:r>
        <w:rPr>
          <w:rFonts w:ascii="Times New Roman" w:eastAsia="Times New Roman" w:hAnsi="Times New Roman" w:cs="Times New Roman"/>
          <w:color w:val="000000"/>
          <w:sz w:val="24"/>
          <w:szCs w:val="24"/>
        </w:rPr>
        <w:t>Villarón</w:t>
      </w:r>
      <w:proofErr w:type="spellEnd"/>
      <w:r>
        <w:rPr>
          <w:rFonts w:ascii="Times New Roman" w:eastAsia="Times New Roman" w:hAnsi="Times New Roman" w:cs="Times New Roman"/>
          <w:color w:val="000000"/>
          <w:sz w:val="24"/>
          <w:szCs w:val="24"/>
        </w:rPr>
        <w:t xml:space="preserve"> EM. Intra-articular injection of two different doses of autologous bone marrow mesenchymal stem cells versus hyaluronic acid in the treatment of knee osteoarthritis: </w:t>
      </w:r>
      <w:proofErr w:type="spellStart"/>
      <w:r>
        <w:rPr>
          <w:rFonts w:ascii="Times New Roman" w:eastAsia="Times New Roman" w:hAnsi="Times New Roman" w:cs="Times New Roman"/>
          <w:color w:val="000000"/>
          <w:sz w:val="24"/>
          <w:szCs w:val="24"/>
        </w:rPr>
        <w:t>multicenter</w:t>
      </w:r>
      <w:proofErr w:type="spellEnd"/>
      <w:r>
        <w:rPr>
          <w:rFonts w:ascii="Times New Roman" w:eastAsia="Times New Roman" w:hAnsi="Times New Roman" w:cs="Times New Roman"/>
          <w:color w:val="000000"/>
          <w:sz w:val="24"/>
          <w:szCs w:val="24"/>
        </w:rPr>
        <w:t xml:space="preserve"> randomized controlled clinical trial (phase I/II)</w:t>
      </w:r>
      <w:r>
        <w:rPr>
          <w:rFonts w:ascii="Times New Roman" w:eastAsia="Times New Roman" w:hAnsi="Times New Roman" w:cs="Times New Roman"/>
          <w:color w:val="000000"/>
          <w:sz w:val="24"/>
          <w:szCs w:val="24"/>
        </w:rPr>
        <w:t>. Journal of translational medicine. 2016 Aug 26;14(1):246.</w:t>
      </w:r>
    </w:p>
    <w:p w14:paraId="1FC5D320"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Gupta PK, </w:t>
      </w:r>
      <w:proofErr w:type="spellStart"/>
      <w:r>
        <w:rPr>
          <w:rFonts w:ascii="Times New Roman" w:eastAsia="Times New Roman" w:hAnsi="Times New Roman" w:cs="Times New Roman"/>
          <w:color w:val="000000"/>
          <w:sz w:val="24"/>
          <w:szCs w:val="24"/>
        </w:rPr>
        <w:t>Chullikana</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Rengasamy</w:t>
      </w:r>
      <w:proofErr w:type="spellEnd"/>
      <w:r>
        <w:rPr>
          <w:rFonts w:ascii="Times New Roman" w:eastAsia="Times New Roman" w:hAnsi="Times New Roman" w:cs="Times New Roman"/>
          <w:color w:val="000000"/>
          <w:sz w:val="24"/>
          <w:szCs w:val="24"/>
        </w:rPr>
        <w:t xml:space="preserve"> M, Shetty N, Pandey V, Agarwal V, </w:t>
      </w:r>
      <w:proofErr w:type="spellStart"/>
      <w:r>
        <w:rPr>
          <w:rFonts w:ascii="Times New Roman" w:eastAsia="Times New Roman" w:hAnsi="Times New Roman" w:cs="Times New Roman"/>
          <w:color w:val="000000"/>
          <w:sz w:val="24"/>
          <w:szCs w:val="24"/>
        </w:rPr>
        <w:t>Wagh</w:t>
      </w:r>
      <w:proofErr w:type="spellEnd"/>
      <w:r>
        <w:rPr>
          <w:rFonts w:ascii="Times New Roman" w:eastAsia="Times New Roman" w:hAnsi="Times New Roman" w:cs="Times New Roman"/>
          <w:color w:val="000000"/>
          <w:sz w:val="24"/>
          <w:szCs w:val="24"/>
        </w:rPr>
        <w:t xml:space="preserve"> SY, </w:t>
      </w:r>
      <w:proofErr w:type="spellStart"/>
      <w:r>
        <w:rPr>
          <w:rFonts w:ascii="Times New Roman" w:eastAsia="Times New Roman" w:hAnsi="Times New Roman" w:cs="Times New Roman"/>
          <w:color w:val="000000"/>
          <w:sz w:val="24"/>
          <w:szCs w:val="24"/>
        </w:rPr>
        <w:t>Vellotare</w:t>
      </w:r>
      <w:proofErr w:type="spellEnd"/>
      <w:r>
        <w:rPr>
          <w:rFonts w:ascii="Times New Roman" w:eastAsia="Times New Roman" w:hAnsi="Times New Roman" w:cs="Times New Roman"/>
          <w:color w:val="000000"/>
          <w:sz w:val="24"/>
          <w:szCs w:val="24"/>
        </w:rPr>
        <w:t xml:space="preserve"> PK, Damodaran D, Viswanathan P, </w:t>
      </w:r>
      <w:proofErr w:type="spellStart"/>
      <w:r>
        <w:rPr>
          <w:rFonts w:ascii="Times New Roman" w:eastAsia="Times New Roman" w:hAnsi="Times New Roman" w:cs="Times New Roman"/>
          <w:color w:val="000000"/>
          <w:sz w:val="24"/>
          <w:szCs w:val="24"/>
        </w:rPr>
        <w:t>Thej</w:t>
      </w:r>
      <w:proofErr w:type="spellEnd"/>
      <w:r>
        <w:rPr>
          <w:rFonts w:ascii="Times New Roman" w:eastAsia="Times New Roman" w:hAnsi="Times New Roman" w:cs="Times New Roman"/>
          <w:color w:val="000000"/>
          <w:sz w:val="24"/>
          <w:szCs w:val="24"/>
        </w:rPr>
        <w:t xml:space="preserve"> C. Efficacy and safety of adult human bone marrow-derived, cultured, poo</w:t>
      </w:r>
      <w:r>
        <w:rPr>
          <w:rFonts w:ascii="Times New Roman" w:eastAsia="Times New Roman" w:hAnsi="Times New Roman" w:cs="Times New Roman"/>
          <w:color w:val="000000"/>
          <w:sz w:val="24"/>
          <w:szCs w:val="24"/>
        </w:rPr>
        <w:t xml:space="preserve">led, allogeneic mesenchymal stromal cells </w:t>
      </w:r>
      <w:r>
        <w:rPr>
          <w:rFonts w:ascii="Times New Roman" w:eastAsia="Times New Roman" w:hAnsi="Times New Roman" w:cs="Times New Roman"/>
          <w:color w:val="000000"/>
          <w:sz w:val="24"/>
          <w:szCs w:val="24"/>
        </w:rPr>
        <w:lastRenderedPageBreak/>
        <w:t>(</w:t>
      </w:r>
      <w:proofErr w:type="spellStart"/>
      <w:r>
        <w:rPr>
          <w:rFonts w:ascii="Times New Roman" w:eastAsia="Times New Roman" w:hAnsi="Times New Roman" w:cs="Times New Roman"/>
          <w:color w:val="000000"/>
          <w:sz w:val="24"/>
          <w:szCs w:val="24"/>
        </w:rPr>
        <w:t>Stempeucel</w:t>
      </w:r>
      <w:proofErr w:type="spellEnd"/>
      <w:r>
        <w:rPr>
          <w:rFonts w:ascii="Times New Roman" w:eastAsia="Times New Roman" w:hAnsi="Times New Roman" w:cs="Times New Roman"/>
          <w:color w:val="000000"/>
          <w:sz w:val="24"/>
          <w:szCs w:val="24"/>
        </w:rPr>
        <w:t>®): preclinical and clinical trial in osteoarthritis of the knee joint. Arthritis research &amp; therapy. 2016 Dec 20;18(1):301.</w:t>
      </w:r>
    </w:p>
    <w:p w14:paraId="03413637"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Intra-articular PR. Knee Injections Show No Superiority Versus </w:t>
      </w:r>
      <w:proofErr w:type="spellStart"/>
      <w:r>
        <w:rPr>
          <w:rFonts w:ascii="Times New Roman" w:eastAsia="Times New Roman" w:hAnsi="Times New Roman" w:cs="Times New Roman"/>
          <w:color w:val="000000"/>
          <w:sz w:val="24"/>
          <w:szCs w:val="24"/>
        </w:rPr>
        <w:t>Viscosupplement</w:t>
      </w:r>
      <w:r>
        <w:rPr>
          <w:rFonts w:ascii="Times New Roman" w:eastAsia="Times New Roman" w:hAnsi="Times New Roman" w:cs="Times New Roman"/>
          <w:color w:val="000000"/>
          <w:sz w:val="24"/>
          <w:szCs w:val="24"/>
        </w:rPr>
        <w:t>ation</w:t>
      </w:r>
      <w:proofErr w:type="spellEnd"/>
      <w:r>
        <w:rPr>
          <w:rFonts w:ascii="Times New Roman" w:eastAsia="Times New Roman" w:hAnsi="Times New Roman" w:cs="Times New Roman"/>
          <w:color w:val="000000"/>
          <w:sz w:val="24"/>
          <w:szCs w:val="24"/>
        </w:rPr>
        <w:t>. The American Journal of Sports Medicine.;43(7).</w:t>
      </w:r>
    </w:p>
    <w:p w14:paraId="77C9894F"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Saris DB, </w:t>
      </w:r>
      <w:proofErr w:type="spellStart"/>
      <w:r>
        <w:rPr>
          <w:rFonts w:ascii="Times New Roman" w:eastAsia="Times New Roman" w:hAnsi="Times New Roman" w:cs="Times New Roman"/>
          <w:color w:val="000000"/>
          <w:sz w:val="24"/>
          <w:szCs w:val="24"/>
        </w:rPr>
        <w:t>Vanlauwe</w:t>
      </w:r>
      <w:proofErr w:type="spellEnd"/>
      <w:r>
        <w:rPr>
          <w:rFonts w:ascii="Times New Roman" w:eastAsia="Times New Roman" w:hAnsi="Times New Roman" w:cs="Times New Roman"/>
          <w:color w:val="000000"/>
          <w:sz w:val="24"/>
          <w:szCs w:val="24"/>
        </w:rPr>
        <w:t xml:space="preserve"> J, Victor J, </w:t>
      </w:r>
      <w:proofErr w:type="spellStart"/>
      <w:r>
        <w:rPr>
          <w:rFonts w:ascii="Times New Roman" w:eastAsia="Times New Roman" w:hAnsi="Times New Roman" w:cs="Times New Roman"/>
          <w:color w:val="000000"/>
          <w:sz w:val="24"/>
          <w:szCs w:val="24"/>
        </w:rPr>
        <w:t>Haspl</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Bohnsack</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Fortems</w:t>
      </w:r>
      <w:proofErr w:type="spellEnd"/>
      <w:r>
        <w:rPr>
          <w:rFonts w:ascii="Times New Roman" w:eastAsia="Times New Roman" w:hAnsi="Times New Roman" w:cs="Times New Roman"/>
          <w:color w:val="000000"/>
          <w:sz w:val="24"/>
          <w:szCs w:val="24"/>
        </w:rPr>
        <w:t xml:space="preserve"> Y, </w:t>
      </w:r>
      <w:proofErr w:type="spellStart"/>
      <w:r>
        <w:rPr>
          <w:rFonts w:ascii="Times New Roman" w:eastAsia="Times New Roman" w:hAnsi="Times New Roman" w:cs="Times New Roman"/>
          <w:color w:val="000000"/>
          <w:sz w:val="24"/>
          <w:szCs w:val="24"/>
        </w:rPr>
        <w:t>Vandekerckhove</w:t>
      </w:r>
      <w:proofErr w:type="spellEnd"/>
      <w:r>
        <w:rPr>
          <w:rFonts w:ascii="Times New Roman" w:eastAsia="Times New Roman" w:hAnsi="Times New Roman" w:cs="Times New Roman"/>
          <w:color w:val="000000"/>
          <w:sz w:val="24"/>
          <w:szCs w:val="24"/>
        </w:rPr>
        <w:t xml:space="preserve"> B, Almqvist KF, </w:t>
      </w:r>
      <w:proofErr w:type="spellStart"/>
      <w:r>
        <w:rPr>
          <w:rFonts w:ascii="Times New Roman" w:eastAsia="Times New Roman" w:hAnsi="Times New Roman" w:cs="Times New Roman"/>
          <w:color w:val="000000"/>
          <w:sz w:val="24"/>
          <w:szCs w:val="24"/>
        </w:rPr>
        <w:t>Claes</w:t>
      </w:r>
      <w:proofErr w:type="spellEnd"/>
      <w:r>
        <w:rPr>
          <w:rFonts w:ascii="Times New Roman" w:eastAsia="Times New Roman" w:hAnsi="Times New Roman" w:cs="Times New Roman"/>
          <w:color w:val="000000"/>
          <w:sz w:val="24"/>
          <w:szCs w:val="24"/>
        </w:rPr>
        <w:t xml:space="preserve"> T, </w:t>
      </w:r>
      <w:proofErr w:type="spellStart"/>
      <w:r>
        <w:rPr>
          <w:rFonts w:ascii="Times New Roman" w:eastAsia="Times New Roman" w:hAnsi="Times New Roman" w:cs="Times New Roman"/>
          <w:color w:val="000000"/>
          <w:sz w:val="24"/>
          <w:szCs w:val="24"/>
        </w:rPr>
        <w:t>Handelberg</w:t>
      </w:r>
      <w:proofErr w:type="spellEnd"/>
      <w:r>
        <w:rPr>
          <w:rFonts w:ascii="Times New Roman" w:eastAsia="Times New Roman" w:hAnsi="Times New Roman" w:cs="Times New Roman"/>
          <w:color w:val="000000"/>
          <w:sz w:val="24"/>
          <w:szCs w:val="24"/>
        </w:rPr>
        <w:t xml:space="preserve"> F, </w:t>
      </w:r>
      <w:proofErr w:type="spellStart"/>
      <w:r>
        <w:rPr>
          <w:rFonts w:ascii="Times New Roman" w:eastAsia="Times New Roman" w:hAnsi="Times New Roman" w:cs="Times New Roman"/>
          <w:color w:val="000000"/>
          <w:sz w:val="24"/>
          <w:szCs w:val="24"/>
        </w:rPr>
        <w:t>Lagae</w:t>
      </w:r>
      <w:proofErr w:type="spellEnd"/>
      <w:r>
        <w:rPr>
          <w:rFonts w:ascii="Times New Roman" w:eastAsia="Times New Roman" w:hAnsi="Times New Roman" w:cs="Times New Roman"/>
          <w:color w:val="000000"/>
          <w:sz w:val="24"/>
          <w:szCs w:val="24"/>
        </w:rPr>
        <w:t xml:space="preserve"> K. Characterized chondrocyte implantation results in better structural repair</w:t>
      </w:r>
      <w:r>
        <w:rPr>
          <w:rFonts w:ascii="Times New Roman" w:eastAsia="Times New Roman" w:hAnsi="Times New Roman" w:cs="Times New Roman"/>
          <w:color w:val="000000"/>
          <w:sz w:val="24"/>
          <w:szCs w:val="24"/>
        </w:rPr>
        <w:t xml:space="preserve"> when treating symptomatic cartilage defects of the knee in a randomized controlled trial versus microfracture. The American journal of sports medicine. 2009 Mar;36(2):235-46.</w:t>
      </w:r>
    </w:p>
    <w:p w14:paraId="09A597C9"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Food and Drug Administration. Regulatory considerations for human cells, tissues</w:t>
      </w:r>
      <w:r>
        <w:rPr>
          <w:rFonts w:ascii="Times New Roman" w:eastAsia="Times New Roman" w:hAnsi="Times New Roman" w:cs="Times New Roman"/>
          <w:color w:val="000000"/>
          <w:sz w:val="24"/>
          <w:szCs w:val="24"/>
        </w:rPr>
        <w:t>, and cellular and tissue-based products: minimal manipulation and homologous use. Guidance for industry and Food and Drug Administration staff. Silver Spring (MD): FDA; 2020.</w:t>
      </w:r>
    </w:p>
    <w:p w14:paraId="30BCBCC8"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Galipeau</w:t>
      </w:r>
      <w:proofErr w:type="spellEnd"/>
      <w:r>
        <w:rPr>
          <w:rFonts w:ascii="Times New Roman" w:eastAsia="Times New Roman" w:hAnsi="Times New Roman" w:cs="Times New Roman"/>
          <w:color w:val="000000"/>
          <w:sz w:val="24"/>
          <w:szCs w:val="24"/>
        </w:rPr>
        <w:t xml:space="preserve"> J, </w:t>
      </w:r>
      <w:proofErr w:type="spellStart"/>
      <w:r>
        <w:rPr>
          <w:rFonts w:ascii="Times New Roman" w:eastAsia="Times New Roman" w:hAnsi="Times New Roman" w:cs="Times New Roman"/>
          <w:color w:val="000000"/>
          <w:sz w:val="24"/>
          <w:szCs w:val="24"/>
        </w:rPr>
        <w:t>Sensébé</w:t>
      </w:r>
      <w:proofErr w:type="spellEnd"/>
      <w:r>
        <w:rPr>
          <w:rFonts w:ascii="Times New Roman" w:eastAsia="Times New Roman" w:hAnsi="Times New Roman" w:cs="Times New Roman"/>
          <w:color w:val="000000"/>
          <w:sz w:val="24"/>
          <w:szCs w:val="24"/>
        </w:rPr>
        <w:t xml:space="preserve"> L. Mesenchymal stromal cells: clinical challenges and therap</w:t>
      </w:r>
      <w:r>
        <w:rPr>
          <w:rFonts w:ascii="Times New Roman" w:eastAsia="Times New Roman" w:hAnsi="Times New Roman" w:cs="Times New Roman"/>
          <w:color w:val="000000"/>
          <w:sz w:val="24"/>
          <w:szCs w:val="24"/>
        </w:rPr>
        <w:t>eutic opportunities. Cell stem cell. 2018 Jun 1;22(6):824-33.</w:t>
      </w:r>
    </w:p>
    <w:p w14:paraId="53A3186D"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Marks PW, Witten CM, Califf RM. Clarifying stem-cell therapy's benefits and risks. New England Journal of Medicine. 2017 Mar 16;376(11):1008-9.</w:t>
      </w:r>
    </w:p>
    <w:p w14:paraId="32ECEA49"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Turner E, White C, Thompson D. Commercialization C</w:t>
      </w:r>
      <w:r>
        <w:rPr>
          <w:rFonts w:ascii="Times New Roman" w:eastAsia="Times New Roman" w:hAnsi="Times New Roman" w:cs="Times New Roman"/>
          <w:color w:val="000000"/>
          <w:sz w:val="24"/>
          <w:szCs w:val="24"/>
        </w:rPr>
        <w:t>hallenges in Regenerative Medicine.</w:t>
      </w:r>
    </w:p>
    <w:p w14:paraId="45E4C072"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Hyun I. The bioethics of stem cell research and therapy. The Journal of clinical investigation. 2010 Jan 4;120(1):71-5.</w:t>
      </w:r>
    </w:p>
    <w:p w14:paraId="73B7ABA7"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Guermazi</w:t>
      </w:r>
      <w:proofErr w:type="spellEnd"/>
      <w:r>
        <w:rPr>
          <w:rFonts w:ascii="Times New Roman" w:eastAsia="Times New Roman" w:hAnsi="Times New Roman" w:cs="Times New Roman"/>
          <w:color w:val="000000"/>
          <w:sz w:val="24"/>
          <w:szCs w:val="24"/>
        </w:rPr>
        <w:t xml:space="preserve"> A, Roemer FW, Hayashi D. Imaging of osteoarthritis: update from a radiological perspective.</w:t>
      </w:r>
      <w:r>
        <w:rPr>
          <w:rFonts w:ascii="Times New Roman" w:eastAsia="Times New Roman" w:hAnsi="Times New Roman" w:cs="Times New Roman"/>
          <w:color w:val="000000"/>
          <w:sz w:val="24"/>
          <w:szCs w:val="24"/>
        </w:rPr>
        <w:t xml:space="preserve"> Current opinion in rheumatology. 2011 Sep 1;23(5):484-91.</w:t>
      </w:r>
    </w:p>
    <w:p w14:paraId="6841287E" w14:textId="77777777" w:rsidR="00ED21D7" w:rsidRDefault="003F3C38">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Trounson A, McDonald C. Stem cell therapies in clinical trials: progress and challenges. Cell stem cell. 2015 Jul 2;17(1):11-22.</w:t>
      </w:r>
    </w:p>
    <w:sectPr w:rsidR="00ED21D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2AF9D" w14:textId="77777777" w:rsidR="003F3C38" w:rsidRDefault="003F3C38" w:rsidP="0056107D">
      <w:pPr>
        <w:spacing w:after="0" w:line="240" w:lineRule="auto"/>
      </w:pPr>
      <w:r>
        <w:separator/>
      </w:r>
    </w:p>
  </w:endnote>
  <w:endnote w:type="continuationSeparator" w:id="0">
    <w:p w14:paraId="2D0EC3DB" w14:textId="77777777" w:rsidR="003F3C38" w:rsidRDefault="003F3C38" w:rsidP="00561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4CBE8008-9AF4-496A-B475-612BC61FB1AE}"/>
    <w:embedItalic r:id="rId2" w:fontKey="{2A2AB960-4192-40F4-BEA1-781DA656A87E}"/>
  </w:font>
  <w:font w:name="Times New Roman">
    <w:panose1 w:val="02020603050405020304"/>
    <w:charset w:val="00"/>
    <w:family w:val="roman"/>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embedRegular r:id="rId3" w:fontKey="{8BE53585-B485-4AEA-B385-0EB44DD4F9DD}"/>
  </w:font>
  <w:font w:name="Cardo">
    <w:charset w:val="00"/>
    <w:family w:val="auto"/>
    <w:pitch w:val="default"/>
    <w:embedRegular r:id="rId4" w:fontKey="{C5279D89-351C-4C5F-9765-F5A0F53FFE50}"/>
  </w:font>
  <w:font w:name="Cambria">
    <w:panose1 w:val="02040503050406030204"/>
    <w:charset w:val="00"/>
    <w:family w:val="roman"/>
    <w:pitch w:val="variable"/>
    <w:sig w:usb0="E00006FF" w:usb1="420024FF" w:usb2="02000000" w:usb3="00000000" w:csb0="0000019F" w:csb1="00000000"/>
    <w:embedRegular r:id="rId5" w:fontKey="{F3030F67-AF27-4FA0-9FA3-2B377E3D9F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04679" w14:textId="77777777" w:rsidR="0056107D" w:rsidRDefault="005610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6EF70" w14:textId="77777777" w:rsidR="0056107D" w:rsidRDefault="005610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EF087" w14:textId="77777777" w:rsidR="0056107D" w:rsidRDefault="005610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10025F" w14:textId="77777777" w:rsidR="003F3C38" w:rsidRDefault="003F3C38" w:rsidP="0056107D">
      <w:pPr>
        <w:spacing w:after="0" w:line="240" w:lineRule="auto"/>
      </w:pPr>
      <w:r>
        <w:separator/>
      </w:r>
    </w:p>
  </w:footnote>
  <w:footnote w:type="continuationSeparator" w:id="0">
    <w:p w14:paraId="24994C78" w14:textId="77777777" w:rsidR="003F3C38" w:rsidRDefault="003F3C38" w:rsidP="005610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28929" w14:textId="617A4919" w:rsidR="0056107D" w:rsidRDefault="0056107D">
    <w:pPr>
      <w:pStyle w:val="Header"/>
    </w:pPr>
    <w:r>
      <w:rPr>
        <w:noProof/>
      </w:rPr>
      <w:pict w14:anchorId="1F5380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4676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92CF7" w14:textId="4012D214" w:rsidR="0056107D" w:rsidRDefault="0056107D">
    <w:pPr>
      <w:pStyle w:val="Header"/>
    </w:pPr>
    <w:r>
      <w:rPr>
        <w:noProof/>
      </w:rPr>
      <w:pict w14:anchorId="1F8157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4676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41454" w14:textId="7BDD4D43" w:rsidR="0056107D" w:rsidRDefault="0056107D">
    <w:pPr>
      <w:pStyle w:val="Header"/>
    </w:pPr>
    <w:r>
      <w:rPr>
        <w:noProof/>
      </w:rPr>
      <w:pict w14:anchorId="0690CB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4676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9A1EAC"/>
    <w:multiLevelType w:val="multilevel"/>
    <w:tmpl w:val="AC9C4F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1D7"/>
    <w:rsid w:val="00006496"/>
    <w:rsid w:val="001E1BEF"/>
    <w:rsid w:val="00245A64"/>
    <w:rsid w:val="003F3C38"/>
    <w:rsid w:val="0056107D"/>
    <w:rsid w:val="005E5713"/>
    <w:rsid w:val="007D58FE"/>
    <w:rsid w:val="007D7994"/>
    <w:rsid w:val="007F280A"/>
    <w:rsid w:val="00847CE5"/>
    <w:rsid w:val="00886AFE"/>
    <w:rsid w:val="00974103"/>
    <w:rsid w:val="009903DE"/>
    <w:rsid w:val="00B54F17"/>
    <w:rsid w:val="00B64422"/>
    <w:rsid w:val="00C512CC"/>
    <w:rsid w:val="00C63075"/>
    <w:rsid w:val="00CF2345"/>
    <w:rsid w:val="00D3721B"/>
    <w:rsid w:val="00D500FE"/>
    <w:rsid w:val="00E37836"/>
    <w:rsid w:val="00E40363"/>
    <w:rsid w:val="00ED21D7"/>
    <w:rsid w:val="00F433DC"/>
    <w:rsid w:val="00F6087A"/>
    <w:rsid w:val="00FD7F4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B70526"/>
  <w15:docId w15:val="{AE9C61FB-BAB5-460B-8A39-33C0659C7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paragraph" w:styleId="NoSpacing">
    <w:name w:val="No Spacing"/>
    <w:uiPriority w:val="1"/>
    <w:qFormat/>
    <w:rsid w:val="009903DE"/>
    <w:pPr>
      <w:spacing w:after="0" w:line="240" w:lineRule="auto"/>
    </w:pPr>
  </w:style>
  <w:style w:type="character" w:styleId="Hyperlink">
    <w:name w:val="Hyperlink"/>
    <w:basedOn w:val="DefaultParagraphFont"/>
    <w:uiPriority w:val="99"/>
    <w:unhideWhenUsed/>
    <w:rsid w:val="00974103"/>
    <w:rPr>
      <w:color w:val="0000FF" w:themeColor="hyperlink"/>
      <w:u w:val="single"/>
    </w:rPr>
  </w:style>
  <w:style w:type="character" w:styleId="UnresolvedMention">
    <w:name w:val="Unresolved Mention"/>
    <w:basedOn w:val="DefaultParagraphFont"/>
    <w:uiPriority w:val="99"/>
    <w:semiHidden/>
    <w:unhideWhenUsed/>
    <w:rsid w:val="00974103"/>
    <w:rPr>
      <w:color w:val="605E5C"/>
      <w:shd w:val="clear" w:color="auto" w:fill="E1DFDD"/>
    </w:rPr>
  </w:style>
  <w:style w:type="table" w:customStyle="1" w:styleId="TableGrid1">
    <w:name w:val="Table Grid1"/>
    <w:basedOn w:val="TableNormal"/>
    <w:next w:val="TableGrid"/>
    <w:uiPriority w:val="39"/>
    <w:rsid w:val="00974103"/>
    <w:pPr>
      <w:spacing w:after="0" w:line="240" w:lineRule="auto"/>
    </w:pPr>
    <w:rPr>
      <w:rFonts w:cs="Vrinda"/>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74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10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107D"/>
  </w:style>
  <w:style w:type="paragraph" w:styleId="Footer">
    <w:name w:val="footer"/>
    <w:basedOn w:val="Normal"/>
    <w:link w:val="FooterChar"/>
    <w:uiPriority w:val="99"/>
    <w:unhideWhenUsed/>
    <w:rsid w:val="005610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10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7038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33</Pages>
  <Words>10824</Words>
  <Characters>61703</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22</cp:revision>
  <dcterms:created xsi:type="dcterms:W3CDTF">2026-03-24T16:12:00Z</dcterms:created>
  <dcterms:modified xsi:type="dcterms:W3CDTF">2026-03-31T12:32:00Z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4a55b8f2-dcd4-426c-b681-9f49f29a7d9c</vt:lpwstr>
  </property>
</Properties>
</file>