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2A369" w14:textId="77777777" w:rsidR="00A20643" w:rsidRDefault="00A20643" w:rsidP="00795637">
      <w:pPr>
        <w:spacing w:after="160" w:line="360" w:lineRule="auto"/>
        <w:jc w:val="both"/>
        <w:rPr>
          <w:b/>
          <w:bCs/>
          <w:lang w:val="en-GB"/>
        </w:rPr>
      </w:pPr>
      <w:r w:rsidRPr="00A20643">
        <w:rPr>
          <w:b/>
          <w:bCs/>
          <w:lang w:val="en-GB"/>
        </w:rPr>
        <w:t>Original Research Article</w:t>
      </w:r>
    </w:p>
    <w:p w14:paraId="5E32EC3F" w14:textId="77777777" w:rsidR="00A20643" w:rsidRDefault="00A20643" w:rsidP="00795637">
      <w:pPr>
        <w:spacing w:after="160" w:line="360" w:lineRule="auto"/>
        <w:jc w:val="both"/>
        <w:rPr>
          <w:b/>
          <w:bCs/>
          <w:lang w:val="en-GB"/>
        </w:rPr>
      </w:pPr>
    </w:p>
    <w:p w14:paraId="3F0945BF" w14:textId="6773BD52" w:rsidR="00795637" w:rsidRPr="00CC36F1" w:rsidRDefault="00795637" w:rsidP="00795637">
      <w:pPr>
        <w:spacing w:after="160" w:line="360" w:lineRule="auto"/>
        <w:jc w:val="both"/>
        <w:rPr>
          <w:b/>
          <w:bCs/>
          <w:lang w:val="en-GB"/>
        </w:rPr>
      </w:pPr>
      <w:r w:rsidRPr="00CC36F1">
        <w:rPr>
          <w:b/>
          <w:bCs/>
          <w:lang w:val="en-GB"/>
        </w:rPr>
        <w:t>Nutritional potential of artisanal dried mango in Chad: A local solution for complementary food formulation and malnutrition control</w:t>
      </w:r>
    </w:p>
    <w:p w14:paraId="0EE0F6CE" w14:textId="77777777" w:rsidR="00A20643" w:rsidRPr="00CC36F1" w:rsidRDefault="00A20643" w:rsidP="006C4239">
      <w:pPr>
        <w:spacing w:line="360" w:lineRule="auto"/>
        <w:jc w:val="center"/>
        <w:rPr>
          <w:rFonts w:eastAsia="Calibri"/>
          <w:color w:val="000000"/>
          <w:sz w:val="22"/>
          <w:szCs w:val="22"/>
          <w:lang w:val="en-GB" w:eastAsia="en-US"/>
        </w:rPr>
      </w:pPr>
      <w:bookmarkStart w:id="0" w:name="_GoBack"/>
      <w:bookmarkEnd w:id="0"/>
    </w:p>
    <w:p w14:paraId="4B8B182D" w14:textId="77777777" w:rsidR="00A81E75" w:rsidRDefault="00A81E75" w:rsidP="00FA1CCB">
      <w:pPr>
        <w:spacing w:after="160" w:line="360" w:lineRule="auto"/>
        <w:jc w:val="both"/>
        <w:rPr>
          <w:b/>
          <w:bCs/>
          <w:lang w:val="en-GB"/>
        </w:rPr>
      </w:pPr>
    </w:p>
    <w:p w14:paraId="5D9BAFA5" w14:textId="3617D675" w:rsidR="00FA1CCB" w:rsidRPr="00CC36F1" w:rsidRDefault="00FA1CCB" w:rsidP="00FA1CCB">
      <w:pPr>
        <w:spacing w:after="160" w:line="360" w:lineRule="auto"/>
        <w:jc w:val="both"/>
        <w:rPr>
          <w:b/>
          <w:bCs/>
          <w:lang w:val="en-GB"/>
        </w:rPr>
      </w:pPr>
      <w:r w:rsidRPr="00CC36F1">
        <w:rPr>
          <w:b/>
          <w:bCs/>
          <w:lang w:val="en-GB"/>
        </w:rPr>
        <w:t>ABSTRACT</w:t>
      </w:r>
    </w:p>
    <w:p w14:paraId="0E9F1AF9" w14:textId="6B716B52" w:rsidR="00FA1CCB" w:rsidRPr="00CC36F1" w:rsidRDefault="00FA1CCB" w:rsidP="00FA1CCB">
      <w:pPr>
        <w:spacing w:after="160" w:line="360" w:lineRule="auto"/>
        <w:jc w:val="both"/>
        <w:rPr>
          <w:lang w:val="en-GB"/>
        </w:rPr>
      </w:pPr>
      <w:r w:rsidRPr="00CC36F1">
        <w:rPr>
          <w:lang w:val="en-GB"/>
        </w:rPr>
        <w:t>In Chad, mango is a socio-economic pillar, yet the sector suffers from massive post-harvest losses. Artisanal solar drying is the primary value-addition method, although its effects on nutritional quality remain poorly documented. This study evaluates the biochemical value of dried mangoes from five major production zones (</w:t>
      </w:r>
      <w:proofErr w:type="spellStart"/>
      <w:r w:rsidRPr="00CC36F1">
        <w:rPr>
          <w:lang w:val="en-GB"/>
        </w:rPr>
        <w:t>Bongor</w:t>
      </w:r>
      <w:proofErr w:type="spellEnd"/>
      <w:r w:rsidRPr="00CC36F1">
        <w:rPr>
          <w:lang w:val="en-GB"/>
        </w:rPr>
        <w:t xml:space="preserve">, </w:t>
      </w:r>
      <w:proofErr w:type="spellStart"/>
      <w:r w:rsidRPr="00CC36F1">
        <w:rPr>
          <w:lang w:val="en-GB"/>
        </w:rPr>
        <w:t>Moundou</w:t>
      </w:r>
      <w:proofErr w:type="spellEnd"/>
      <w:r w:rsidRPr="00CC36F1">
        <w:rPr>
          <w:lang w:val="en-GB"/>
        </w:rPr>
        <w:t xml:space="preserve">, </w:t>
      </w:r>
      <w:proofErr w:type="spellStart"/>
      <w:r w:rsidRPr="00CC36F1">
        <w:rPr>
          <w:lang w:val="en-GB"/>
        </w:rPr>
        <w:t>Doba</w:t>
      </w:r>
      <w:proofErr w:type="spellEnd"/>
      <w:r w:rsidRPr="00CC36F1">
        <w:rPr>
          <w:lang w:val="en-GB"/>
        </w:rPr>
        <w:t xml:space="preserve">, </w:t>
      </w:r>
      <w:proofErr w:type="spellStart"/>
      <w:r w:rsidRPr="00CC36F1">
        <w:rPr>
          <w:lang w:val="en-GB"/>
        </w:rPr>
        <w:t>Bebedja</w:t>
      </w:r>
      <w:proofErr w:type="spellEnd"/>
      <w:r w:rsidRPr="00CC36F1">
        <w:rPr>
          <w:lang w:val="en-GB"/>
        </w:rPr>
        <w:t xml:space="preserve">, and </w:t>
      </w:r>
      <w:proofErr w:type="spellStart"/>
      <w:r w:rsidRPr="00CC36F1">
        <w:rPr>
          <w:lang w:val="en-GB"/>
        </w:rPr>
        <w:t>Koumra</w:t>
      </w:r>
      <w:proofErr w:type="spellEnd"/>
      <w:r w:rsidRPr="00CC36F1">
        <w:rPr>
          <w:lang w:val="en-GB"/>
        </w:rPr>
        <w:t>).</w:t>
      </w:r>
    </w:p>
    <w:p w14:paraId="08DA8D17" w14:textId="62337737" w:rsidR="00FA1CCB" w:rsidRPr="00CC36F1" w:rsidRDefault="00FA1CCB" w:rsidP="00FA1CCB">
      <w:pPr>
        <w:spacing w:after="160" w:line="360" w:lineRule="auto"/>
        <w:jc w:val="both"/>
        <w:rPr>
          <w:lang w:val="en-GB"/>
        </w:rPr>
      </w:pPr>
      <w:r w:rsidRPr="00CC36F1">
        <w:rPr>
          <w:lang w:val="en-GB"/>
        </w:rPr>
        <w:t xml:space="preserve">A cross-sectional study was conducted on 100 samples. Physicochemical (protein, fat, </w:t>
      </w:r>
      <w:proofErr w:type="spellStart"/>
      <w:r w:rsidRPr="00CC36F1">
        <w:rPr>
          <w:lang w:val="en-GB"/>
        </w:rPr>
        <w:t>fiber</w:t>
      </w:r>
      <w:proofErr w:type="spellEnd"/>
      <w:r w:rsidRPr="00CC36F1">
        <w:rPr>
          <w:lang w:val="en-GB"/>
        </w:rPr>
        <w:t>), carbohydrate (starch, reducing sugars), and micronutrient (vitamin C, beta-carotene, minerals) analyses were performed according to standard protocols (AOAC, HPLC, and photometry).</w:t>
      </w:r>
    </w:p>
    <w:p w14:paraId="43635B89" w14:textId="429ED3E3" w:rsidR="00FA1CCB" w:rsidRPr="00CC36F1" w:rsidRDefault="00FA1CCB" w:rsidP="00FA1CCB">
      <w:pPr>
        <w:spacing w:after="160" w:line="360" w:lineRule="auto"/>
        <w:jc w:val="both"/>
        <w:rPr>
          <w:lang w:val="en-GB"/>
        </w:rPr>
      </w:pPr>
      <w:r w:rsidRPr="00CC36F1">
        <w:rPr>
          <w:lang w:val="en-GB"/>
        </w:rPr>
        <w:t>The findings reveal an exceptional energy density (407.97 to 451.57 kcal/100 g), supported by high levels of reducing sugars (76.51 to 77.73 g/100 g) and protein (</w:t>
      </w:r>
      <w:r w:rsidR="00805DD7" w:rsidRPr="00CC36F1">
        <w:rPr>
          <w:lang w:val="en-GB"/>
        </w:rPr>
        <w:t>~</w:t>
      </w:r>
      <w:r w:rsidRPr="00CC36F1">
        <w:rPr>
          <w:lang w:val="en-GB"/>
        </w:rPr>
        <w:t>3.9 g/100 g), exceeding East African standards. While the residual moisture (</w:t>
      </w:r>
      <w:r w:rsidR="00805DD7" w:rsidRPr="00CC36F1">
        <w:rPr>
          <w:lang w:val="en-GB"/>
        </w:rPr>
        <w:t>~</w:t>
      </w:r>
      <w:r w:rsidRPr="00CC36F1">
        <w:rPr>
          <w:lang w:val="en-GB"/>
        </w:rPr>
        <w:t>15\%) indicates a potential shelf-life risk, the mineral richness is notable, particularly for calcium (73 mg/100 g) and potassium (85 mg/100 g). Vitamin C (70 mg/100 g) and carotenoid (260 µg/100 g) retention remains remarkably stable (p &gt; 0.05) despite the artisanal nature of the process.</w:t>
      </w:r>
    </w:p>
    <w:p w14:paraId="55BB68BD" w14:textId="322B4FBD" w:rsidR="00FA1CCB" w:rsidRPr="00CC36F1" w:rsidRDefault="00FA1CCB" w:rsidP="00FA1CCB">
      <w:pPr>
        <w:spacing w:after="160" w:line="360" w:lineRule="auto"/>
        <w:jc w:val="both"/>
        <w:rPr>
          <w:lang w:val="en-GB"/>
        </w:rPr>
      </w:pPr>
      <w:r w:rsidRPr="00CC36F1">
        <w:rPr>
          <w:lang w:val="en-GB"/>
        </w:rPr>
        <w:t>Chadian dried mango is a high-value nutritional concentrate. It stands out as a strategic ingredient for formulating local weaning porridges, provided that drying processes are optimized to reduce moisture content below the 14\% threshold.</w:t>
      </w:r>
    </w:p>
    <w:p w14:paraId="11AE0FED" w14:textId="67727886" w:rsidR="00FA1CCB" w:rsidRPr="00CC36F1" w:rsidRDefault="00795637" w:rsidP="00FA1CCB">
      <w:pPr>
        <w:spacing w:after="160" w:line="360" w:lineRule="auto"/>
        <w:jc w:val="both"/>
        <w:rPr>
          <w:lang w:val="en-GB"/>
        </w:rPr>
      </w:pPr>
      <w:r w:rsidRPr="00CC36F1">
        <w:rPr>
          <w:lang w:val="en-GB"/>
        </w:rPr>
        <w:t>Keywords:</w:t>
      </w:r>
      <w:r w:rsidR="00FA1CCB" w:rsidRPr="00CC36F1">
        <w:rPr>
          <w:lang w:val="en-GB"/>
        </w:rPr>
        <w:t xml:space="preserve"> </w:t>
      </w:r>
      <w:r w:rsidR="00FA1CCB" w:rsidRPr="00CC36F1">
        <w:rPr>
          <w:i/>
          <w:iCs/>
          <w:lang w:val="en-GB"/>
        </w:rPr>
        <w:t>Mangifera indica</w:t>
      </w:r>
      <w:r w:rsidR="00FA1CCB" w:rsidRPr="00CC36F1">
        <w:rPr>
          <w:lang w:val="en-GB"/>
        </w:rPr>
        <w:t>, artisanal drying, Chad, food security, micronutrients, complementary foods.</w:t>
      </w:r>
    </w:p>
    <w:p w14:paraId="79B32721" w14:textId="77777777" w:rsidR="006C4239" w:rsidRPr="00CC36F1" w:rsidRDefault="006C4239" w:rsidP="004418C0">
      <w:pPr>
        <w:spacing w:after="160" w:line="360" w:lineRule="auto"/>
        <w:jc w:val="both"/>
        <w:rPr>
          <w:b/>
          <w:bCs/>
          <w:lang w:val="en-GB"/>
        </w:rPr>
      </w:pPr>
    </w:p>
    <w:p w14:paraId="1605F7D3" w14:textId="77777777" w:rsidR="00795637" w:rsidRPr="00CC36F1" w:rsidRDefault="00795637" w:rsidP="00795637">
      <w:pPr>
        <w:spacing w:after="160" w:line="360" w:lineRule="auto"/>
        <w:jc w:val="both"/>
        <w:rPr>
          <w:b/>
          <w:bCs/>
          <w:lang w:val="en-GB"/>
        </w:rPr>
      </w:pPr>
      <w:r w:rsidRPr="00CC36F1">
        <w:rPr>
          <w:b/>
          <w:bCs/>
          <w:lang w:val="en-GB"/>
        </w:rPr>
        <w:t>I. INTRODUCTION</w:t>
      </w:r>
    </w:p>
    <w:p w14:paraId="7E011032" w14:textId="157855DD" w:rsidR="00795637" w:rsidRPr="00CC36F1" w:rsidRDefault="00795637" w:rsidP="00795637">
      <w:pPr>
        <w:spacing w:after="160" w:line="360" w:lineRule="auto"/>
        <w:jc w:val="both"/>
        <w:rPr>
          <w:lang w:val="en-GB"/>
        </w:rPr>
      </w:pPr>
      <w:r w:rsidRPr="00CC36F1">
        <w:rPr>
          <w:lang w:val="en-GB"/>
        </w:rPr>
        <w:lastRenderedPageBreak/>
        <w:t>In Chad, mango (</w:t>
      </w:r>
      <w:r w:rsidRPr="00CC36F1">
        <w:rPr>
          <w:i/>
          <w:iCs/>
          <w:lang w:val="en-GB"/>
        </w:rPr>
        <w:t>Mangifera indica</w:t>
      </w:r>
      <w:r w:rsidRPr="00CC36F1">
        <w:rPr>
          <w:lang w:val="en-GB"/>
        </w:rPr>
        <w:t>) occupies a prominent position in the agricultural and socio-economic landscape. As a highly appreciated fruit in both urban and rural areas, it constitutes a vital source of income for orchardists and actively contributes to the nutritional well-being of the population (</w:t>
      </w:r>
      <w:r w:rsidRPr="00CC36F1">
        <w:rPr>
          <w:b/>
          <w:bCs/>
          <w:lang w:val="en-GB"/>
        </w:rPr>
        <w:t>FAO, 2011</w:t>
      </w:r>
      <w:r w:rsidRPr="00CC36F1">
        <w:rPr>
          <w:lang w:val="en-GB"/>
        </w:rPr>
        <w:t xml:space="preserve">). From a nutritional perspective, mango is distinguished by its high content of carbohydrates and mineral salts. It also serves as a major source of essential bioactive compounds, notably </w:t>
      </w:r>
      <w:proofErr w:type="spellStart"/>
      <w:r w:rsidR="00805DD7" w:rsidRPr="00CC36F1">
        <w:rPr>
          <w:lang w:val="en-GB"/>
        </w:rPr>
        <w:t>bêta</w:t>
      </w:r>
      <w:proofErr w:type="spellEnd"/>
      <w:r w:rsidRPr="00CC36F1">
        <w:rPr>
          <w:lang w:val="en-GB"/>
        </w:rPr>
        <w:t>-carotene (a vitamin A precursor), vitamins C, B1, and B2, as well as various polyphenols with antioxidant properties (</w:t>
      </w:r>
      <w:proofErr w:type="spellStart"/>
      <w:r w:rsidRPr="00CC36F1">
        <w:rPr>
          <w:b/>
          <w:bCs/>
          <w:lang w:val="en-GB"/>
        </w:rPr>
        <w:t>Lebaka</w:t>
      </w:r>
      <w:proofErr w:type="spellEnd"/>
      <w:r w:rsidRPr="00CC36F1">
        <w:rPr>
          <w:b/>
          <w:bCs/>
          <w:lang w:val="en-GB"/>
        </w:rPr>
        <w:t xml:space="preserve"> </w:t>
      </w:r>
      <w:r w:rsidRPr="00CC36F1">
        <w:rPr>
          <w:b/>
          <w:bCs/>
          <w:i/>
          <w:iCs/>
          <w:lang w:val="en-GB"/>
        </w:rPr>
        <w:t>et al.</w:t>
      </w:r>
      <w:r w:rsidRPr="00CC36F1">
        <w:rPr>
          <w:b/>
          <w:bCs/>
          <w:lang w:val="en-GB"/>
        </w:rPr>
        <w:t xml:space="preserve">, </w:t>
      </w:r>
      <w:r w:rsidR="00805DD7" w:rsidRPr="00CC36F1">
        <w:rPr>
          <w:b/>
          <w:bCs/>
          <w:lang w:val="en-GB"/>
        </w:rPr>
        <w:t>2021;</w:t>
      </w:r>
      <w:r w:rsidRPr="00CC36F1">
        <w:rPr>
          <w:b/>
          <w:bCs/>
          <w:lang w:val="en-GB"/>
        </w:rPr>
        <w:t xml:space="preserve"> Kaur B </w:t>
      </w:r>
      <w:r w:rsidRPr="00CC36F1">
        <w:rPr>
          <w:b/>
          <w:bCs/>
          <w:i/>
          <w:iCs/>
          <w:lang w:val="en-GB"/>
        </w:rPr>
        <w:t>et al.</w:t>
      </w:r>
      <w:r w:rsidRPr="00CC36F1">
        <w:rPr>
          <w:b/>
          <w:bCs/>
          <w:lang w:val="en-GB"/>
        </w:rPr>
        <w:t>, 2023</w:t>
      </w:r>
      <w:r w:rsidRPr="00CC36F1">
        <w:rPr>
          <w:lang w:val="en-GB"/>
        </w:rPr>
        <w:t>).</w:t>
      </w:r>
    </w:p>
    <w:p w14:paraId="09D7575D" w14:textId="24A16D39" w:rsidR="00795637" w:rsidRPr="00CC36F1" w:rsidRDefault="00795637" w:rsidP="00795637">
      <w:pPr>
        <w:spacing w:after="160" w:line="360" w:lineRule="auto"/>
        <w:jc w:val="both"/>
        <w:rPr>
          <w:lang w:val="en-GB"/>
        </w:rPr>
      </w:pPr>
      <w:r w:rsidRPr="00CC36F1">
        <w:rPr>
          <w:lang w:val="en-GB"/>
        </w:rPr>
        <w:t xml:space="preserve">Although it represents the primary national fruit production—with estimates reaching 27,600 tonnes </w:t>
      </w:r>
      <w:proofErr w:type="spellStart"/>
      <w:r w:rsidR="00805DD7" w:rsidRPr="00CC36F1">
        <w:rPr>
          <w:lang w:val="en-GB"/>
        </w:rPr>
        <w:t>en</w:t>
      </w:r>
      <w:proofErr w:type="spellEnd"/>
      <w:r w:rsidRPr="00CC36F1">
        <w:rPr>
          <w:lang w:val="en-GB"/>
        </w:rPr>
        <w:t xml:space="preserve"> 2010 </w:t>
      </w:r>
      <w:r w:rsidRPr="00CC36F1">
        <w:rPr>
          <w:b/>
          <w:bCs/>
          <w:lang w:val="en-GB"/>
        </w:rPr>
        <w:t>(FAO, 2011</w:t>
      </w:r>
      <w:r w:rsidRPr="00CC36F1">
        <w:rPr>
          <w:lang w:val="en-GB"/>
        </w:rPr>
        <w:t xml:space="preserve">) the sector remains structurally fragile. The southern regions, specifically </w:t>
      </w:r>
      <w:proofErr w:type="spellStart"/>
      <w:r w:rsidRPr="00CC36F1">
        <w:rPr>
          <w:lang w:val="en-GB"/>
        </w:rPr>
        <w:t>Bongor</w:t>
      </w:r>
      <w:proofErr w:type="spellEnd"/>
      <w:r w:rsidRPr="00CC36F1">
        <w:rPr>
          <w:lang w:val="en-GB"/>
        </w:rPr>
        <w:t xml:space="preserve">, </w:t>
      </w:r>
      <w:proofErr w:type="spellStart"/>
      <w:r w:rsidRPr="00CC36F1">
        <w:rPr>
          <w:lang w:val="en-GB"/>
        </w:rPr>
        <w:t>Moundou</w:t>
      </w:r>
      <w:proofErr w:type="spellEnd"/>
      <w:r w:rsidRPr="00CC36F1">
        <w:rPr>
          <w:lang w:val="en-GB"/>
        </w:rPr>
        <w:t xml:space="preserve">, </w:t>
      </w:r>
      <w:proofErr w:type="spellStart"/>
      <w:r w:rsidRPr="00CC36F1">
        <w:rPr>
          <w:lang w:val="en-GB"/>
        </w:rPr>
        <w:t>Doba</w:t>
      </w:r>
      <w:proofErr w:type="spellEnd"/>
      <w:r w:rsidRPr="00CC36F1">
        <w:rPr>
          <w:lang w:val="en-GB"/>
        </w:rPr>
        <w:t xml:space="preserve">, </w:t>
      </w:r>
      <w:proofErr w:type="spellStart"/>
      <w:r w:rsidRPr="00CC36F1">
        <w:rPr>
          <w:lang w:val="en-GB"/>
        </w:rPr>
        <w:t>Bebedjia</w:t>
      </w:r>
      <w:proofErr w:type="spellEnd"/>
      <w:r w:rsidRPr="00CC36F1">
        <w:rPr>
          <w:lang w:val="en-GB"/>
        </w:rPr>
        <w:t xml:space="preserve">, and </w:t>
      </w:r>
      <w:proofErr w:type="spellStart"/>
      <w:r w:rsidRPr="00CC36F1">
        <w:rPr>
          <w:lang w:val="en-GB"/>
        </w:rPr>
        <w:t>Koumra</w:t>
      </w:r>
      <w:proofErr w:type="spellEnd"/>
      <w:r w:rsidRPr="00CC36F1">
        <w:rPr>
          <w:lang w:val="en-GB"/>
        </w:rPr>
        <w:t>, concentrate the bulk of production but face increasing climatic challenges, illustrated by the production deficit recorded during the 2024 campaign (</w:t>
      </w:r>
      <w:r w:rsidRPr="00CC36F1">
        <w:rPr>
          <w:b/>
          <w:bCs/>
          <w:lang w:val="en-GB"/>
        </w:rPr>
        <w:t>FAO, 2024).</w:t>
      </w:r>
    </w:p>
    <w:p w14:paraId="253F2E61" w14:textId="67CFB051" w:rsidR="00795637" w:rsidRPr="00CC36F1" w:rsidRDefault="00795637" w:rsidP="00795637">
      <w:pPr>
        <w:spacing w:after="160" w:line="360" w:lineRule="auto"/>
        <w:jc w:val="both"/>
        <w:rPr>
          <w:b/>
          <w:bCs/>
          <w:lang w:val="en-GB"/>
        </w:rPr>
      </w:pPr>
      <w:r w:rsidRPr="00CC36F1">
        <w:rPr>
          <w:lang w:val="en-GB"/>
        </w:rPr>
        <w:t xml:space="preserve">The major problem lies in the extent of post-harvest losses, resulting from a lack of storage infrastructure and efficient processing techniques. Artisanal solar drying, though </w:t>
      </w:r>
      <w:proofErr w:type="spellStart"/>
      <w:r w:rsidRPr="00CC36F1">
        <w:rPr>
          <w:lang w:val="en-GB"/>
        </w:rPr>
        <w:t>favored</w:t>
      </w:r>
      <w:proofErr w:type="spellEnd"/>
      <w:r w:rsidRPr="00CC36F1">
        <w:rPr>
          <w:lang w:val="en-GB"/>
        </w:rPr>
        <w:t xml:space="preserve"> by the country's exceptional sunshine, remains the predominant method (80% of processing). However, this technique, often slow and operated at low temperatures (30 to 45°C), exposes products to risks of microbiological contamination and the alteration of physicochemical and organoleptic properties (</w:t>
      </w:r>
      <w:r w:rsidRPr="00CC36F1">
        <w:rPr>
          <w:b/>
          <w:bCs/>
          <w:lang w:val="en-GB"/>
        </w:rPr>
        <w:t xml:space="preserve">Kameni </w:t>
      </w:r>
      <w:r w:rsidRPr="00CC36F1">
        <w:rPr>
          <w:b/>
          <w:bCs/>
          <w:i/>
          <w:iCs/>
          <w:lang w:val="en-GB"/>
        </w:rPr>
        <w:t>et al.</w:t>
      </w:r>
      <w:r w:rsidRPr="00CC36F1">
        <w:rPr>
          <w:b/>
          <w:bCs/>
          <w:lang w:val="en-GB"/>
        </w:rPr>
        <w:t xml:space="preserve">, </w:t>
      </w:r>
      <w:r w:rsidR="00805DD7" w:rsidRPr="00CC36F1">
        <w:rPr>
          <w:b/>
          <w:bCs/>
          <w:lang w:val="en-GB"/>
        </w:rPr>
        <w:t>2003;</w:t>
      </w:r>
      <w:r w:rsidRPr="00CC36F1">
        <w:rPr>
          <w:b/>
          <w:bCs/>
          <w:lang w:val="en-GB"/>
        </w:rPr>
        <w:t xml:space="preserve"> </w:t>
      </w:r>
      <w:proofErr w:type="spellStart"/>
      <w:r w:rsidRPr="00CC36F1">
        <w:rPr>
          <w:b/>
          <w:bCs/>
          <w:lang w:val="en-GB"/>
        </w:rPr>
        <w:t>Djioua</w:t>
      </w:r>
      <w:proofErr w:type="spellEnd"/>
      <w:r w:rsidRPr="00CC36F1">
        <w:rPr>
          <w:b/>
          <w:bCs/>
          <w:lang w:val="en-GB"/>
        </w:rPr>
        <w:t>, 2010</w:t>
      </w:r>
      <w:r w:rsidRPr="00CC36F1">
        <w:rPr>
          <w:lang w:val="en-GB"/>
        </w:rPr>
        <w:t>). The instability of nutrients under uncontrolled drying conditions highlights the urgent need for technical optimization (</w:t>
      </w:r>
      <w:proofErr w:type="spellStart"/>
      <w:r w:rsidRPr="00CC36F1">
        <w:rPr>
          <w:b/>
          <w:bCs/>
          <w:lang w:val="en-GB"/>
        </w:rPr>
        <w:t>Djantou</w:t>
      </w:r>
      <w:proofErr w:type="spellEnd"/>
      <w:r w:rsidRPr="00CC36F1">
        <w:rPr>
          <w:b/>
          <w:bCs/>
          <w:lang w:val="en-GB"/>
        </w:rPr>
        <w:t xml:space="preserve"> </w:t>
      </w:r>
      <w:r w:rsidRPr="00CC36F1">
        <w:rPr>
          <w:b/>
          <w:bCs/>
          <w:i/>
          <w:iCs/>
          <w:lang w:val="en-GB"/>
        </w:rPr>
        <w:t>et al.</w:t>
      </w:r>
      <w:r w:rsidRPr="00CC36F1">
        <w:rPr>
          <w:b/>
          <w:bCs/>
          <w:lang w:val="en-GB"/>
        </w:rPr>
        <w:t>, 2004).</w:t>
      </w:r>
    </w:p>
    <w:p w14:paraId="03E2FD6F" w14:textId="77777777" w:rsidR="00795637" w:rsidRPr="00CC36F1" w:rsidRDefault="00795637" w:rsidP="00795637">
      <w:pPr>
        <w:spacing w:after="160" w:line="360" w:lineRule="auto"/>
        <w:jc w:val="both"/>
        <w:rPr>
          <w:lang w:val="en-GB"/>
        </w:rPr>
      </w:pPr>
      <w:r w:rsidRPr="00CC36F1">
        <w:rPr>
          <w:lang w:val="en-GB"/>
        </w:rPr>
        <w:t xml:space="preserve">It is within this context that the present study is situated, aiming to contribute to the improved </w:t>
      </w:r>
      <w:proofErr w:type="spellStart"/>
      <w:r w:rsidRPr="00CC36F1">
        <w:rPr>
          <w:lang w:val="en-GB"/>
        </w:rPr>
        <w:t>valorization</w:t>
      </w:r>
      <w:proofErr w:type="spellEnd"/>
      <w:r w:rsidRPr="00CC36F1">
        <w:rPr>
          <w:lang w:val="en-GB"/>
        </w:rPr>
        <w:t xml:space="preserve"> of dried mango in Chad. This research intends to evaluate the nutritional quality and diagnose the artisanal processing practices of dried mangoes in Chad's main production zones in order to optimize the drying process.</w:t>
      </w:r>
    </w:p>
    <w:p w14:paraId="1AE05249" w14:textId="77777777" w:rsidR="00795637" w:rsidRPr="00CC36F1" w:rsidRDefault="00795637" w:rsidP="00795637">
      <w:pPr>
        <w:spacing w:after="160" w:line="360" w:lineRule="auto"/>
        <w:jc w:val="both"/>
        <w:rPr>
          <w:b/>
          <w:bCs/>
          <w:lang w:val="en-GB"/>
        </w:rPr>
      </w:pPr>
      <w:r w:rsidRPr="00CC36F1">
        <w:rPr>
          <w:b/>
          <w:bCs/>
          <w:lang w:val="en-GB"/>
        </w:rPr>
        <w:t>II. MATERIALS AND METHODS</w:t>
      </w:r>
    </w:p>
    <w:p w14:paraId="2AC1866C" w14:textId="77777777" w:rsidR="00795637" w:rsidRPr="00795637" w:rsidRDefault="00795637" w:rsidP="00795637">
      <w:pPr>
        <w:spacing w:after="160" w:line="360" w:lineRule="auto"/>
        <w:jc w:val="both"/>
      </w:pPr>
      <w:r w:rsidRPr="00CC36F1">
        <w:rPr>
          <w:lang w:val="en-GB"/>
        </w:rPr>
        <w:t xml:space="preserve">This was a prospective, cross-sectional, and analytical study conducted at the Research Laboratory in Food Sciences and Nutrition (LaRSAN) of the Faculty of Human Health Sciences (FSSH) at the University of N'Djamena, Chad. </w:t>
      </w:r>
      <w:r w:rsidRPr="00795637">
        <w:t xml:space="preserve">This </w:t>
      </w:r>
      <w:proofErr w:type="spellStart"/>
      <w:r w:rsidRPr="00795637">
        <w:t>study</w:t>
      </w:r>
      <w:proofErr w:type="spellEnd"/>
      <w:r w:rsidRPr="00795637">
        <w:t xml:space="preserve"> </w:t>
      </w:r>
      <w:proofErr w:type="spellStart"/>
      <w:r w:rsidRPr="00795637">
        <w:t>was</w:t>
      </w:r>
      <w:proofErr w:type="spellEnd"/>
      <w:r w:rsidRPr="00795637">
        <w:t xml:space="preserve"> </w:t>
      </w:r>
      <w:proofErr w:type="spellStart"/>
      <w:r w:rsidRPr="00795637">
        <w:t>carried</w:t>
      </w:r>
      <w:proofErr w:type="spellEnd"/>
      <w:r w:rsidRPr="00795637">
        <w:t xml:space="preserve"> out from March 2021 to August 2023.</w:t>
      </w:r>
    </w:p>
    <w:p w14:paraId="665FD100" w14:textId="77777777" w:rsidR="004418C0" w:rsidRPr="00AA39A2" w:rsidRDefault="004418C0" w:rsidP="00C82D0B">
      <w:pPr>
        <w:spacing w:after="160" w:line="360" w:lineRule="auto"/>
        <w:jc w:val="center"/>
        <w:rPr>
          <w:b/>
          <w:bCs/>
        </w:rPr>
      </w:pPr>
      <w:r w:rsidRPr="00AA39A2">
        <w:rPr>
          <w:noProof/>
        </w:rPr>
        <w:lastRenderedPageBreak/>
        <w:drawing>
          <wp:inline distT="0" distB="0" distL="0" distR="0" wp14:anchorId="1B6BB235" wp14:editId="637DCAF2">
            <wp:extent cx="4634346" cy="4372548"/>
            <wp:effectExtent l="0" t="0" r="0" b="9525"/>
            <wp:docPr id="15424912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7713" cy="4413465"/>
                    </a:xfrm>
                    <a:prstGeom prst="rect">
                      <a:avLst/>
                    </a:prstGeom>
                    <a:noFill/>
                    <a:ln>
                      <a:noFill/>
                    </a:ln>
                  </pic:spPr>
                </pic:pic>
              </a:graphicData>
            </a:graphic>
          </wp:inline>
        </w:drawing>
      </w:r>
    </w:p>
    <w:p w14:paraId="0F6D0C6D" w14:textId="7CC1FB48" w:rsidR="00F4083B" w:rsidRPr="00CC36F1" w:rsidRDefault="00F4083B" w:rsidP="00C82D0B">
      <w:pPr>
        <w:shd w:val="clear" w:color="auto" w:fill="FFFFFF"/>
        <w:spacing w:line="360" w:lineRule="auto"/>
        <w:jc w:val="both"/>
        <w:rPr>
          <w:lang w:val="en-GB"/>
        </w:rPr>
      </w:pPr>
      <w:r w:rsidRPr="00CC36F1">
        <w:rPr>
          <w:b/>
          <w:bCs/>
          <w:lang w:val="en-GB"/>
        </w:rPr>
        <w:t xml:space="preserve">Figure </w:t>
      </w:r>
      <w:r w:rsidR="00C82D0B" w:rsidRPr="00CC36F1">
        <w:rPr>
          <w:b/>
          <w:bCs/>
          <w:lang w:val="en-GB"/>
        </w:rPr>
        <w:t>1</w:t>
      </w:r>
      <w:r w:rsidR="00C82D0B" w:rsidRPr="00CC36F1">
        <w:rPr>
          <w:lang w:val="en-GB"/>
        </w:rPr>
        <w:t>:</w:t>
      </w:r>
      <w:r w:rsidRPr="00CC36F1">
        <w:rPr>
          <w:lang w:val="en-GB"/>
        </w:rPr>
        <w:t xml:space="preserve"> Map of the various production survey areas, sampling sites, and sales markets for dried mangoes in Chad.</w:t>
      </w:r>
    </w:p>
    <w:p w14:paraId="65826572" w14:textId="38D1FD1B" w:rsidR="00F4083B" w:rsidRPr="00CC36F1" w:rsidRDefault="00C82D0B" w:rsidP="00C82D0B">
      <w:pPr>
        <w:shd w:val="clear" w:color="auto" w:fill="FFFFFF"/>
        <w:spacing w:line="360" w:lineRule="auto"/>
        <w:jc w:val="both"/>
        <w:rPr>
          <w:u w:val="single"/>
          <w:lang w:val="en-GB"/>
        </w:rPr>
      </w:pPr>
      <w:r w:rsidRPr="00631276">
        <w:rPr>
          <w:b/>
          <w:bCs/>
          <w:lang w:val="en-GB"/>
        </w:rPr>
        <w:t>Source:</w:t>
      </w:r>
      <w:r w:rsidR="00F4083B" w:rsidRPr="00CC36F1">
        <w:rPr>
          <w:i/>
          <w:iCs/>
          <w:lang w:val="en-GB"/>
        </w:rPr>
        <w:t xml:space="preserve"> </w:t>
      </w:r>
      <w:proofErr w:type="spellStart"/>
      <w:r w:rsidR="00F4083B" w:rsidRPr="00CC36F1">
        <w:rPr>
          <w:i/>
          <w:iCs/>
          <w:lang w:val="en-GB"/>
        </w:rPr>
        <w:t>Center</w:t>
      </w:r>
      <w:proofErr w:type="spellEnd"/>
      <w:r w:rsidR="00F4083B" w:rsidRPr="00CC36F1">
        <w:rPr>
          <w:i/>
          <w:iCs/>
          <w:lang w:val="en-GB"/>
        </w:rPr>
        <w:t xml:space="preserve"> for Documentation and Geographic Information (CDIG) of the Ministry of Mines, Water, and Sanitation of Chad, 2023</w:t>
      </w:r>
      <w:r w:rsidR="00F4083B" w:rsidRPr="00CC36F1">
        <w:rPr>
          <w:u w:val="single"/>
          <w:lang w:val="en-GB"/>
        </w:rPr>
        <w:t>.</w:t>
      </w:r>
    </w:p>
    <w:p w14:paraId="6AF17A11" w14:textId="77777777" w:rsidR="00C82D0B" w:rsidRPr="00CC36F1" w:rsidRDefault="00C82D0B" w:rsidP="00C82D0B">
      <w:pPr>
        <w:shd w:val="clear" w:color="auto" w:fill="FFFFFF"/>
        <w:spacing w:line="360" w:lineRule="auto"/>
        <w:jc w:val="both"/>
        <w:rPr>
          <w:u w:val="single"/>
          <w:lang w:val="en-GB"/>
        </w:rPr>
      </w:pPr>
    </w:p>
    <w:p w14:paraId="0543337C" w14:textId="77777777" w:rsidR="00F4083B" w:rsidRPr="00CC36F1" w:rsidRDefault="00F4083B" w:rsidP="00F4083B">
      <w:pPr>
        <w:shd w:val="clear" w:color="auto" w:fill="FFFFFF"/>
        <w:spacing w:after="300" w:line="360" w:lineRule="auto"/>
        <w:jc w:val="both"/>
        <w:rPr>
          <w:b/>
          <w:bCs/>
          <w:lang w:val="en-GB"/>
        </w:rPr>
      </w:pPr>
      <w:r w:rsidRPr="00CC36F1">
        <w:rPr>
          <w:b/>
          <w:bCs/>
          <w:lang w:val="en-GB"/>
        </w:rPr>
        <w:t>Sample Collection and Preparation</w:t>
      </w:r>
    </w:p>
    <w:p w14:paraId="7E1AC135" w14:textId="77777777" w:rsidR="00F4083B" w:rsidRPr="00CC36F1" w:rsidRDefault="00F4083B" w:rsidP="00F4083B">
      <w:pPr>
        <w:shd w:val="clear" w:color="auto" w:fill="FFFFFF"/>
        <w:spacing w:after="300" w:line="360" w:lineRule="auto"/>
        <w:jc w:val="both"/>
        <w:rPr>
          <w:lang w:val="en-GB"/>
        </w:rPr>
      </w:pPr>
      <w:r w:rsidRPr="00CC36F1">
        <w:rPr>
          <w:lang w:val="en-GB"/>
        </w:rPr>
        <w:t xml:space="preserve">Samples were collected in sterile </w:t>
      </w:r>
      <w:proofErr w:type="spellStart"/>
      <w:r w:rsidRPr="00CC36F1">
        <w:rPr>
          <w:lang w:val="en-GB"/>
        </w:rPr>
        <w:t>labeled</w:t>
      </w:r>
      <w:proofErr w:type="spellEnd"/>
      <w:r w:rsidRPr="00CC36F1">
        <w:rPr>
          <w:lang w:val="en-GB"/>
        </w:rPr>
        <w:t xml:space="preserve"> bags. A total of 100 samples (dried mango slices/chips) were included in the study. These samples were transported to the laboratory in a cooler, then aliquoted under sterile conditions and stored at 4 °C. Upon arrival at the laboratory, the dried mangoes were ground, packaged in polystyrene plastic bags, and stored in a desiccator for subsequent analyses.</w:t>
      </w:r>
    </w:p>
    <w:p w14:paraId="02D80521" w14:textId="77777777" w:rsidR="00C82D0B" w:rsidRPr="00CC36F1" w:rsidRDefault="00C82D0B" w:rsidP="00F4083B">
      <w:pPr>
        <w:shd w:val="clear" w:color="auto" w:fill="FFFFFF"/>
        <w:spacing w:after="300" w:line="360" w:lineRule="auto"/>
        <w:jc w:val="both"/>
        <w:rPr>
          <w:lang w:val="en-GB"/>
        </w:rPr>
      </w:pPr>
    </w:p>
    <w:p w14:paraId="6373120D" w14:textId="028901BA" w:rsidR="00F4083B" w:rsidRPr="00F4083B" w:rsidRDefault="00F4083B" w:rsidP="00F4083B">
      <w:pPr>
        <w:shd w:val="clear" w:color="auto" w:fill="FFFFFF"/>
        <w:spacing w:after="300" w:line="360" w:lineRule="auto"/>
        <w:jc w:val="both"/>
      </w:pPr>
      <w:r w:rsidRPr="00F4083B">
        <w:rPr>
          <w:b/>
          <w:bCs/>
        </w:rPr>
        <w:t xml:space="preserve">Table </w:t>
      </w:r>
      <w:r w:rsidR="002E389D">
        <w:rPr>
          <w:b/>
          <w:bCs/>
        </w:rPr>
        <w:t>1</w:t>
      </w:r>
      <w:r w:rsidR="002E389D" w:rsidRPr="00F4083B">
        <w:rPr>
          <w:b/>
          <w:bCs/>
        </w:rPr>
        <w:t xml:space="preserve"> :</w:t>
      </w:r>
      <w:r w:rsidRPr="00F4083B">
        <w:rPr>
          <w:b/>
          <w:bCs/>
        </w:rPr>
        <w:t xml:space="preserve"> Sampling.</w:t>
      </w:r>
    </w:p>
    <w:tbl>
      <w:tblPr>
        <w:tblW w:w="8214" w:type="dxa"/>
        <w:jc w:val="center"/>
        <w:tblBorders>
          <w:top w:val="single" w:sz="4" w:space="0" w:color="auto"/>
          <w:bottom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30"/>
        <w:gridCol w:w="2535"/>
        <w:gridCol w:w="2649"/>
      </w:tblGrid>
      <w:tr w:rsidR="00F4083B" w:rsidRPr="00AA39A2" w14:paraId="4283FD09" w14:textId="77777777" w:rsidTr="00631276">
        <w:trPr>
          <w:trHeight w:val="473"/>
          <w:jc w:val="center"/>
        </w:trPr>
        <w:tc>
          <w:tcPr>
            <w:tcW w:w="3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A731F11" w14:textId="04CFADD3" w:rsidR="00F4083B" w:rsidRPr="00AA39A2" w:rsidRDefault="00F4083B" w:rsidP="00F4083B">
            <w:pPr>
              <w:shd w:val="clear" w:color="auto" w:fill="FFFFFF"/>
              <w:spacing w:after="300" w:line="360" w:lineRule="auto"/>
              <w:jc w:val="both"/>
              <w:rPr>
                <w:color w:val="000000" w:themeColor="text1"/>
              </w:rPr>
            </w:pPr>
            <w:r w:rsidRPr="003852DC">
              <w:rPr>
                <w:b/>
                <w:bCs/>
              </w:rPr>
              <w:lastRenderedPageBreak/>
              <w:t>ZONES</w:t>
            </w:r>
          </w:p>
        </w:tc>
        <w:tc>
          <w:tcPr>
            <w:tcW w:w="2535"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5D7BCF60" w14:textId="36C2C56C" w:rsidR="00F4083B" w:rsidRPr="00AA39A2" w:rsidRDefault="00F4083B" w:rsidP="00F4083B">
            <w:pPr>
              <w:shd w:val="clear" w:color="auto" w:fill="FFFFFF"/>
              <w:spacing w:after="300" w:line="360" w:lineRule="auto"/>
              <w:jc w:val="both"/>
              <w:rPr>
                <w:color w:val="000000" w:themeColor="text1"/>
              </w:rPr>
            </w:pPr>
            <w:r w:rsidRPr="003852DC">
              <w:rPr>
                <w:b/>
                <w:bCs/>
              </w:rPr>
              <w:t>SAMPLE CODES</w:t>
            </w:r>
          </w:p>
        </w:tc>
        <w:tc>
          <w:tcPr>
            <w:tcW w:w="2649"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1CF8DE8" w14:textId="10060CA5" w:rsidR="00F4083B" w:rsidRPr="00AA39A2" w:rsidRDefault="00F4083B" w:rsidP="00F4083B">
            <w:pPr>
              <w:shd w:val="clear" w:color="auto" w:fill="FFFFFF"/>
              <w:spacing w:after="300" w:line="360" w:lineRule="auto"/>
              <w:jc w:val="both"/>
              <w:rPr>
                <w:color w:val="000000" w:themeColor="text1"/>
              </w:rPr>
            </w:pPr>
            <w:r w:rsidRPr="003852DC">
              <w:rPr>
                <w:b/>
                <w:bCs/>
              </w:rPr>
              <w:t>QUANTITY (g)</w:t>
            </w:r>
          </w:p>
        </w:tc>
      </w:tr>
      <w:tr w:rsidR="004418C0" w:rsidRPr="00AA39A2" w14:paraId="721A68FE" w14:textId="77777777" w:rsidTr="00631276">
        <w:trPr>
          <w:trHeight w:val="557"/>
          <w:jc w:val="center"/>
        </w:trPr>
        <w:tc>
          <w:tcPr>
            <w:tcW w:w="3030" w:type="dxa"/>
            <w:tcBorders>
              <w:top w:val="single" w:sz="4" w:space="0" w:color="auto"/>
            </w:tcBorders>
            <w:shd w:val="clear" w:color="auto" w:fill="FFFFFF" w:themeFill="background1"/>
            <w:tcMar>
              <w:top w:w="15" w:type="dxa"/>
              <w:left w:w="108" w:type="dxa"/>
              <w:bottom w:w="0" w:type="dxa"/>
              <w:right w:w="108" w:type="dxa"/>
            </w:tcMar>
            <w:vAlign w:val="center"/>
            <w:hideMark/>
          </w:tcPr>
          <w:p w14:paraId="5C8F1091" w14:textId="77777777" w:rsidR="004418C0" w:rsidRPr="00AA39A2" w:rsidRDefault="004418C0" w:rsidP="007F4489">
            <w:pPr>
              <w:shd w:val="clear" w:color="auto" w:fill="FFFFFF"/>
              <w:spacing w:after="300" w:line="360" w:lineRule="auto"/>
              <w:jc w:val="both"/>
              <w:rPr>
                <w:color w:val="000000" w:themeColor="text1"/>
              </w:rPr>
            </w:pPr>
            <w:r w:rsidRPr="00AA39A2">
              <w:rPr>
                <w:b/>
                <w:bCs/>
                <w:color w:val="000000" w:themeColor="text1"/>
              </w:rPr>
              <w:t>Doba</w:t>
            </w:r>
          </w:p>
        </w:tc>
        <w:tc>
          <w:tcPr>
            <w:tcW w:w="2535" w:type="dxa"/>
            <w:tcBorders>
              <w:top w:val="single" w:sz="4" w:space="0" w:color="auto"/>
            </w:tcBorders>
            <w:shd w:val="clear" w:color="auto" w:fill="FFFFFF" w:themeFill="background1"/>
            <w:tcMar>
              <w:top w:w="15" w:type="dxa"/>
              <w:left w:w="108" w:type="dxa"/>
              <w:bottom w:w="0" w:type="dxa"/>
              <w:right w:w="108" w:type="dxa"/>
            </w:tcMar>
            <w:vAlign w:val="center"/>
            <w:hideMark/>
          </w:tcPr>
          <w:p w14:paraId="777B83C2" w14:textId="60543F0F" w:rsidR="004418C0" w:rsidRPr="00AA39A2" w:rsidRDefault="00A257C1" w:rsidP="007F4489">
            <w:pPr>
              <w:shd w:val="clear" w:color="auto" w:fill="FFFFFF"/>
              <w:spacing w:after="300" w:line="360" w:lineRule="auto"/>
              <w:jc w:val="both"/>
              <w:rPr>
                <w:color w:val="000000" w:themeColor="text1"/>
              </w:rPr>
            </w:pPr>
            <w:r w:rsidRPr="00AA39A2">
              <w:rPr>
                <w:color w:val="000000" w:themeColor="text1"/>
              </w:rPr>
              <w:t>Dba</w:t>
            </w:r>
          </w:p>
        </w:tc>
        <w:tc>
          <w:tcPr>
            <w:tcW w:w="2649" w:type="dxa"/>
            <w:tcBorders>
              <w:top w:val="single" w:sz="4" w:space="0" w:color="auto"/>
            </w:tcBorders>
            <w:shd w:val="clear" w:color="auto" w:fill="FFFFFF" w:themeFill="background1"/>
            <w:tcMar>
              <w:top w:w="15" w:type="dxa"/>
              <w:left w:w="108" w:type="dxa"/>
              <w:bottom w:w="0" w:type="dxa"/>
              <w:right w:w="108" w:type="dxa"/>
            </w:tcMar>
            <w:vAlign w:val="center"/>
            <w:hideMark/>
          </w:tcPr>
          <w:p w14:paraId="587A97B2"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611CA490"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7A3AD699" w14:textId="77777777" w:rsidR="004418C0" w:rsidRPr="00AA39A2" w:rsidRDefault="004418C0" w:rsidP="007F4489">
            <w:pPr>
              <w:shd w:val="clear" w:color="auto" w:fill="FFFFFF"/>
              <w:spacing w:after="300" w:line="360" w:lineRule="auto"/>
              <w:jc w:val="both"/>
              <w:rPr>
                <w:color w:val="000000" w:themeColor="text1"/>
              </w:rPr>
            </w:pPr>
            <w:r w:rsidRPr="00AA39A2">
              <w:rPr>
                <w:b/>
                <w:bCs/>
                <w:color w:val="000000" w:themeColor="text1"/>
              </w:rPr>
              <w:t>Bebedja</w:t>
            </w:r>
          </w:p>
        </w:tc>
        <w:tc>
          <w:tcPr>
            <w:tcW w:w="2535" w:type="dxa"/>
            <w:shd w:val="clear" w:color="auto" w:fill="FFFFFF" w:themeFill="background1"/>
            <w:tcMar>
              <w:top w:w="15" w:type="dxa"/>
              <w:left w:w="108" w:type="dxa"/>
              <w:bottom w:w="0" w:type="dxa"/>
              <w:right w:w="108" w:type="dxa"/>
            </w:tcMar>
            <w:vAlign w:val="center"/>
            <w:hideMark/>
          </w:tcPr>
          <w:p w14:paraId="3E47B560" w14:textId="1F24B301"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Bbj</w:t>
            </w:r>
            <w:r w:rsidR="00006718">
              <w:rPr>
                <w:color w:val="000000" w:themeColor="text1"/>
              </w:rPr>
              <w:t>a</w:t>
            </w:r>
          </w:p>
        </w:tc>
        <w:tc>
          <w:tcPr>
            <w:tcW w:w="2649" w:type="dxa"/>
            <w:shd w:val="clear" w:color="auto" w:fill="FFFFFF" w:themeFill="background1"/>
            <w:tcMar>
              <w:top w:w="15" w:type="dxa"/>
              <w:left w:w="108" w:type="dxa"/>
              <w:bottom w:w="0" w:type="dxa"/>
              <w:right w:w="108" w:type="dxa"/>
            </w:tcMar>
            <w:vAlign w:val="center"/>
            <w:hideMark/>
          </w:tcPr>
          <w:p w14:paraId="6005FF36"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3A99758D"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22E2225F" w14:textId="77777777" w:rsidR="004418C0" w:rsidRPr="00AA39A2" w:rsidRDefault="004418C0" w:rsidP="007F4489">
            <w:pPr>
              <w:shd w:val="clear" w:color="auto" w:fill="FFFFFF"/>
              <w:spacing w:after="300" w:line="360" w:lineRule="auto"/>
              <w:jc w:val="both"/>
              <w:rPr>
                <w:color w:val="000000" w:themeColor="text1"/>
              </w:rPr>
            </w:pPr>
            <w:r w:rsidRPr="00AA39A2">
              <w:rPr>
                <w:b/>
                <w:bCs/>
                <w:color w:val="000000" w:themeColor="text1"/>
              </w:rPr>
              <w:t>Koumra</w:t>
            </w:r>
          </w:p>
        </w:tc>
        <w:tc>
          <w:tcPr>
            <w:tcW w:w="2535" w:type="dxa"/>
            <w:shd w:val="clear" w:color="auto" w:fill="FFFFFF" w:themeFill="background1"/>
            <w:tcMar>
              <w:top w:w="15" w:type="dxa"/>
              <w:left w:w="108" w:type="dxa"/>
              <w:bottom w:w="0" w:type="dxa"/>
              <w:right w:w="108" w:type="dxa"/>
            </w:tcMar>
            <w:vAlign w:val="center"/>
            <w:hideMark/>
          </w:tcPr>
          <w:p w14:paraId="584D6C3B"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Kmr</w:t>
            </w:r>
          </w:p>
        </w:tc>
        <w:tc>
          <w:tcPr>
            <w:tcW w:w="2649" w:type="dxa"/>
            <w:shd w:val="clear" w:color="auto" w:fill="FFFFFF" w:themeFill="background1"/>
            <w:tcMar>
              <w:top w:w="15" w:type="dxa"/>
              <w:left w:w="108" w:type="dxa"/>
              <w:bottom w:w="0" w:type="dxa"/>
              <w:right w:w="108" w:type="dxa"/>
            </w:tcMar>
            <w:vAlign w:val="center"/>
            <w:hideMark/>
          </w:tcPr>
          <w:p w14:paraId="2D3DE57B"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5BF8D88A"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2C3F8235" w14:textId="77777777" w:rsidR="004418C0" w:rsidRPr="00AA39A2" w:rsidRDefault="004418C0" w:rsidP="007F4489">
            <w:pPr>
              <w:shd w:val="clear" w:color="auto" w:fill="FFFFFF"/>
              <w:spacing w:after="300" w:line="360" w:lineRule="auto"/>
              <w:jc w:val="both"/>
              <w:rPr>
                <w:color w:val="000000" w:themeColor="text1"/>
              </w:rPr>
            </w:pPr>
            <w:r w:rsidRPr="00AA39A2">
              <w:rPr>
                <w:b/>
                <w:bCs/>
                <w:color w:val="000000" w:themeColor="text1"/>
              </w:rPr>
              <w:t>Moundou</w:t>
            </w:r>
          </w:p>
        </w:tc>
        <w:tc>
          <w:tcPr>
            <w:tcW w:w="2535" w:type="dxa"/>
            <w:shd w:val="clear" w:color="auto" w:fill="FFFFFF" w:themeFill="background1"/>
            <w:tcMar>
              <w:top w:w="15" w:type="dxa"/>
              <w:left w:w="108" w:type="dxa"/>
              <w:bottom w:w="0" w:type="dxa"/>
              <w:right w:w="108" w:type="dxa"/>
            </w:tcMar>
            <w:vAlign w:val="center"/>
            <w:hideMark/>
          </w:tcPr>
          <w:p w14:paraId="1B72F8E2" w14:textId="4D7BBD94" w:rsidR="004418C0" w:rsidRPr="00AA39A2" w:rsidRDefault="00A257C1" w:rsidP="007F4489">
            <w:pPr>
              <w:shd w:val="clear" w:color="auto" w:fill="FFFFFF"/>
              <w:spacing w:after="300" w:line="360" w:lineRule="auto"/>
              <w:jc w:val="both"/>
              <w:rPr>
                <w:color w:val="000000" w:themeColor="text1"/>
              </w:rPr>
            </w:pPr>
            <w:r w:rsidRPr="00AA39A2">
              <w:rPr>
                <w:color w:val="000000" w:themeColor="text1"/>
              </w:rPr>
              <w:t>Md</w:t>
            </w:r>
            <w:r w:rsidR="00006718">
              <w:rPr>
                <w:color w:val="000000" w:themeColor="text1"/>
              </w:rPr>
              <w:t>ou</w:t>
            </w:r>
          </w:p>
        </w:tc>
        <w:tc>
          <w:tcPr>
            <w:tcW w:w="2649" w:type="dxa"/>
            <w:shd w:val="clear" w:color="auto" w:fill="FFFFFF" w:themeFill="background1"/>
            <w:tcMar>
              <w:top w:w="15" w:type="dxa"/>
              <w:left w:w="108" w:type="dxa"/>
              <w:bottom w:w="0" w:type="dxa"/>
              <w:right w:w="108" w:type="dxa"/>
            </w:tcMar>
            <w:vAlign w:val="center"/>
            <w:hideMark/>
          </w:tcPr>
          <w:p w14:paraId="24C2B079"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3573AE6A"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74980404" w14:textId="77777777" w:rsidR="004418C0" w:rsidRPr="00AA39A2" w:rsidRDefault="004418C0" w:rsidP="007F4489">
            <w:pPr>
              <w:shd w:val="clear" w:color="auto" w:fill="FFFFFF"/>
              <w:spacing w:after="300" w:line="360" w:lineRule="auto"/>
              <w:jc w:val="both"/>
              <w:rPr>
                <w:color w:val="000000" w:themeColor="text1"/>
              </w:rPr>
            </w:pPr>
            <w:r w:rsidRPr="00AA39A2">
              <w:rPr>
                <w:b/>
                <w:bCs/>
                <w:color w:val="000000" w:themeColor="text1"/>
              </w:rPr>
              <w:t>Bongor</w:t>
            </w:r>
          </w:p>
        </w:tc>
        <w:tc>
          <w:tcPr>
            <w:tcW w:w="2535" w:type="dxa"/>
            <w:shd w:val="clear" w:color="auto" w:fill="FFFFFF" w:themeFill="background1"/>
            <w:tcMar>
              <w:top w:w="15" w:type="dxa"/>
              <w:left w:w="108" w:type="dxa"/>
              <w:bottom w:w="0" w:type="dxa"/>
              <w:right w:w="108" w:type="dxa"/>
            </w:tcMar>
            <w:vAlign w:val="center"/>
            <w:hideMark/>
          </w:tcPr>
          <w:p w14:paraId="06DEFE26"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Bgr</w:t>
            </w:r>
          </w:p>
        </w:tc>
        <w:tc>
          <w:tcPr>
            <w:tcW w:w="2649" w:type="dxa"/>
            <w:shd w:val="clear" w:color="auto" w:fill="FFFFFF" w:themeFill="background1"/>
            <w:tcMar>
              <w:top w:w="15" w:type="dxa"/>
              <w:left w:w="108" w:type="dxa"/>
              <w:bottom w:w="0" w:type="dxa"/>
              <w:right w:w="108" w:type="dxa"/>
            </w:tcMar>
            <w:vAlign w:val="center"/>
            <w:hideMark/>
          </w:tcPr>
          <w:p w14:paraId="33C8B27A" w14:textId="77777777" w:rsidR="004418C0" w:rsidRPr="00AA39A2" w:rsidRDefault="004418C0" w:rsidP="007F4489">
            <w:pPr>
              <w:shd w:val="clear" w:color="auto" w:fill="FFFFFF"/>
              <w:spacing w:after="300" w:line="360" w:lineRule="auto"/>
              <w:jc w:val="both"/>
              <w:rPr>
                <w:color w:val="000000" w:themeColor="text1"/>
              </w:rPr>
            </w:pPr>
            <w:r w:rsidRPr="00AA39A2">
              <w:rPr>
                <w:color w:val="000000" w:themeColor="text1"/>
              </w:rPr>
              <w:t>20</w:t>
            </w:r>
          </w:p>
        </w:tc>
      </w:tr>
    </w:tbl>
    <w:p w14:paraId="31F6E5E9" w14:textId="77777777" w:rsidR="004418C0" w:rsidRPr="00AA39A2" w:rsidRDefault="004418C0" w:rsidP="004418C0">
      <w:pPr>
        <w:spacing w:after="160" w:line="360" w:lineRule="auto"/>
        <w:jc w:val="both"/>
        <w:rPr>
          <w:b/>
          <w:bCs/>
        </w:rPr>
      </w:pPr>
    </w:p>
    <w:p w14:paraId="0879F4D6" w14:textId="77777777" w:rsidR="00F4083B" w:rsidRPr="00F4083B" w:rsidRDefault="00F4083B" w:rsidP="00F4083B">
      <w:pPr>
        <w:spacing w:after="240" w:line="360" w:lineRule="auto"/>
        <w:jc w:val="both"/>
        <w:rPr>
          <w:b/>
          <w:bCs/>
        </w:rPr>
      </w:pPr>
      <w:r w:rsidRPr="00F4083B">
        <w:rPr>
          <w:b/>
          <w:bCs/>
        </w:rPr>
        <w:t>II.1. Basic Physicochemical Analyses</w:t>
      </w:r>
    </w:p>
    <w:p w14:paraId="49B268C5" w14:textId="77777777" w:rsidR="00F4083B" w:rsidRPr="00CC36F1" w:rsidRDefault="00F4083B" w:rsidP="00F4083B">
      <w:pPr>
        <w:spacing w:after="240" w:line="360" w:lineRule="auto"/>
        <w:jc w:val="both"/>
        <w:rPr>
          <w:lang w:val="en-GB"/>
        </w:rPr>
      </w:pPr>
      <w:r w:rsidRPr="00CC36F1">
        <w:rPr>
          <w:lang w:val="en-GB"/>
        </w:rPr>
        <w:t>Analyses were performed in triplicate on lyophilized or ground samples following standard AOAC protocols.</w:t>
      </w:r>
    </w:p>
    <w:p w14:paraId="5C6A1BCA" w14:textId="77777777" w:rsidR="00F4083B" w:rsidRPr="00CC36F1" w:rsidRDefault="00F4083B" w:rsidP="00F4083B">
      <w:pPr>
        <w:spacing w:after="240" w:line="360" w:lineRule="auto"/>
        <w:jc w:val="both"/>
        <w:rPr>
          <w:b/>
          <w:bCs/>
          <w:lang w:val="en-GB"/>
        </w:rPr>
      </w:pPr>
      <w:r w:rsidRPr="00CC36F1">
        <w:rPr>
          <w:b/>
          <w:bCs/>
          <w:lang w:val="en-GB"/>
        </w:rPr>
        <w:t>II.1.1. Determination of Moisture and Dry Matter Content</w:t>
      </w:r>
    </w:p>
    <w:p w14:paraId="6DB9067F" w14:textId="0770F5DF" w:rsidR="00F4083B" w:rsidRPr="00CC36F1" w:rsidRDefault="00F4083B" w:rsidP="00F4083B">
      <w:pPr>
        <w:spacing w:after="240" w:line="360" w:lineRule="auto"/>
        <w:jc w:val="both"/>
        <w:rPr>
          <w:lang w:val="en-GB"/>
        </w:rPr>
      </w:pPr>
      <w:r w:rsidRPr="00CC36F1">
        <w:rPr>
          <w:lang w:val="en-GB"/>
        </w:rPr>
        <w:t xml:space="preserve">Moisture content was determined using the gravimetric method (AOAC 925.09). Test portions of 5 g were dried in an oven at 105 °C until a constant mass was reached. Dry matter (DM) content was calculated by </w:t>
      </w:r>
      <w:proofErr w:type="gramStart"/>
      <w:r w:rsidR="00C82D0B" w:rsidRPr="00CC36F1">
        <w:rPr>
          <w:lang w:val="en-GB"/>
        </w:rPr>
        <w:t>difference :</w:t>
      </w:r>
      <w:proofErr w:type="gramEnd"/>
    </w:p>
    <w:p w14:paraId="6E3B287A" w14:textId="62365A87" w:rsidR="00F4083B" w:rsidRPr="00CC36F1" w:rsidRDefault="00F4083B" w:rsidP="00F4083B">
      <w:pPr>
        <w:spacing w:after="240" w:line="360" w:lineRule="auto"/>
        <w:jc w:val="center"/>
        <w:rPr>
          <w:lang w:val="en-GB"/>
        </w:rPr>
      </w:pPr>
      <w:r w:rsidRPr="00CC36F1">
        <w:rPr>
          <w:lang w:val="en-GB"/>
        </w:rPr>
        <w:t>% DM = 100 - %</w:t>
      </w:r>
      <w:r w:rsidR="00C82D0B" w:rsidRPr="00CC36F1">
        <w:rPr>
          <w:lang w:val="en-GB"/>
        </w:rPr>
        <w:t xml:space="preserve"> </w:t>
      </w:r>
      <w:r w:rsidRPr="00CC36F1">
        <w:rPr>
          <w:lang w:val="en-GB"/>
        </w:rPr>
        <w:t>Moisture</w:t>
      </w:r>
    </w:p>
    <w:p w14:paraId="6E8CB15A" w14:textId="77777777" w:rsidR="00F4083B" w:rsidRPr="00CC36F1" w:rsidRDefault="00F4083B" w:rsidP="00F4083B">
      <w:pPr>
        <w:spacing w:after="240" w:line="360" w:lineRule="auto"/>
        <w:jc w:val="both"/>
        <w:rPr>
          <w:b/>
          <w:bCs/>
          <w:lang w:val="en-GB"/>
        </w:rPr>
      </w:pPr>
      <w:r w:rsidRPr="00CC36F1">
        <w:rPr>
          <w:b/>
          <w:bCs/>
          <w:lang w:val="en-GB"/>
        </w:rPr>
        <w:t>II.1.2. Total Protein Determination</w:t>
      </w:r>
    </w:p>
    <w:p w14:paraId="267CAC3A" w14:textId="62C13B42" w:rsidR="00F4083B" w:rsidRPr="00CC36F1" w:rsidRDefault="00F4083B" w:rsidP="00F4083B">
      <w:pPr>
        <w:spacing w:after="240" w:line="360" w:lineRule="auto"/>
        <w:jc w:val="both"/>
        <w:rPr>
          <w:lang w:val="en-GB"/>
        </w:rPr>
      </w:pPr>
      <w:r w:rsidRPr="00CC36F1">
        <w:rPr>
          <w:lang w:val="en-GB"/>
        </w:rPr>
        <w:t>Total nitrogen content was determined using the Kjeldahl method (AOCS, 1990). After mineralization of a 0.2 g sample with concentrated sulfuric acid in the presence of a catalyst (CuSO</w:t>
      </w:r>
      <w:r w:rsidRPr="00CC36F1">
        <w:rPr>
          <w:vertAlign w:val="subscript"/>
          <w:lang w:val="en-GB"/>
        </w:rPr>
        <w:t>4</w:t>
      </w:r>
      <w:r w:rsidRPr="00CC36F1">
        <w:rPr>
          <w:lang w:val="en-GB"/>
        </w:rPr>
        <w:t>/K</w:t>
      </w:r>
      <w:r w:rsidRPr="00CC36F1">
        <w:rPr>
          <w:vertAlign w:val="subscript"/>
          <w:lang w:val="en-GB"/>
        </w:rPr>
        <w:t>2</w:t>
      </w:r>
      <w:r w:rsidRPr="00CC36F1">
        <w:rPr>
          <w:lang w:val="en-GB"/>
        </w:rPr>
        <w:t>SO</w:t>
      </w:r>
      <w:r w:rsidRPr="00CC36F1">
        <w:rPr>
          <w:vertAlign w:val="subscript"/>
          <w:lang w:val="en-GB"/>
        </w:rPr>
        <w:t>4</w:t>
      </w:r>
      <w:r w:rsidRPr="00CC36F1">
        <w:rPr>
          <w:lang w:val="en-GB"/>
        </w:rPr>
        <w:t>), ammonia was released by distillation with excess sodium hydroxide (NaOH 1</w:t>
      </w:r>
      <w:r w:rsidR="00EB6F9D" w:rsidRPr="00CC36F1">
        <w:rPr>
          <w:lang w:val="en-GB"/>
        </w:rPr>
        <w:t>0</w:t>
      </w:r>
      <w:r w:rsidRPr="00CC36F1">
        <w:rPr>
          <w:lang w:val="en-GB"/>
        </w:rPr>
        <w:t xml:space="preserve">N), collected in boric acid, and titrated with sulfuric acid (0.1 N). The protein content was calculated using the conversion </w:t>
      </w:r>
      <w:proofErr w:type="gramStart"/>
      <w:r w:rsidR="00EB6F9D" w:rsidRPr="00CC36F1">
        <w:rPr>
          <w:lang w:val="en-GB"/>
        </w:rPr>
        <w:t>factor :</w:t>
      </w:r>
      <w:proofErr w:type="gramEnd"/>
    </w:p>
    <w:p w14:paraId="17E80184" w14:textId="56735D6E" w:rsidR="00F4083B" w:rsidRPr="00CC36F1" w:rsidRDefault="00F4083B" w:rsidP="00EB6F9D">
      <w:pPr>
        <w:spacing w:after="240" w:line="360" w:lineRule="auto"/>
        <w:jc w:val="center"/>
        <w:rPr>
          <w:lang w:val="en-GB"/>
        </w:rPr>
      </w:pPr>
      <w:r w:rsidRPr="00CC36F1">
        <w:rPr>
          <w:lang w:val="en-GB"/>
        </w:rPr>
        <w:t>% Protein = % Nitrogen 6.25</w:t>
      </w:r>
    </w:p>
    <w:p w14:paraId="3A8EF3A1" w14:textId="77777777" w:rsidR="00F4083B" w:rsidRPr="00CC36F1" w:rsidRDefault="00F4083B" w:rsidP="00F4083B">
      <w:pPr>
        <w:spacing w:after="240" w:line="360" w:lineRule="auto"/>
        <w:jc w:val="both"/>
        <w:rPr>
          <w:b/>
          <w:bCs/>
          <w:lang w:val="en-GB"/>
        </w:rPr>
      </w:pPr>
      <w:r w:rsidRPr="00CC36F1">
        <w:rPr>
          <w:b/>
          <w:bCs/>
          <w:lang w:val="en-GB"/>
        </w:rPr>
        <w:t>II.1.3. Crude Lipid Determination</w:t>
      </w:r>
    </w:p>
    <w:p w14:paraId="192536B1" w14:textId="69A6B127" w:rsidR="00F4083B" w:rsidRPr="00CC36F1" w:rsidRDefault="00F4083B" w:rsidP="00F4083B">
      <w:pPr>
        <w:spacing w:after="240" w:line="360" w:lineRule="auto"/>
        <w:jc w:val="both"/>
        <w:rPr>
          <w:lang w:val="en-GB"/>
        </w:rPr>
      </w:pPr>
      <w:r w:rsidRPr="00CC36F1">
        <w:rPr>
          <w:lang w:val="en-GB"/>
        </w:rPr>
        <w:lastRenderedPageBreak/>
        <w:t>Lipids were extracted using the Soxhlet method. A 5 g sample underwent continuous extraction for 4 hours using hexane as a solvent. After solvent evaporation using a rotary evaporator (rotavapor) and oven drying (105 °C), the fat content was determined by gravimetric weighing of the residue.</w:t>
      </w:r>
    </w:p>
    <w:p w14:paraId="43AFD78D" w14:textId="77777777" w:rsidR="00F4083B" w:rsidRPr="00CC36F1" w:rsidRDefault="00F4083B" w:rsidP="00F4083B">
      <w:pPr>
        <w:spacing w:after="240" w:line="360" w:lineRule="auto"/>
        <w:jc w:val="both"/>
        <w:rPr>
          <w:b/>
          <w:bCs/>
          <w:lang w:val="en-GB"/>
        </w:rPr>
      </w:pPr>
      <w:r w:rsidRPr="00CC36F1">
        <w:rPr>
          <w:b/>
          <w:bCs/>
          <w:lang w:val="en-GB"/>
        </w:rPr>
        <w:t>II.1.4. Determination of Crude Fiber and Ash</w:t>
      </w:r>
    </w:p>
    <w:p w14:paraId="62D8A572" w14:textId="79A7B5BB" w:rsidR="00F4083B" w:rsidRPr="00CC36F1" w:rsidRDefault="00F4083B" w:rsidP="00F4083B">
      <w:pPr>
        <w:spacing w:after="240" w:line="360" w:lineRule="auto"/>
        <w:jc w:val="both"/>
        <w:rPr>
          <w:lang w:val="en-GB"/>
        </w:rPr>
      </w:pPr>
      <w:r w:rsidRPr="00CC36F1">
        <w:rPr>
          <w:lang w:val="en-GB"/>
        </w:rPr>
        <w:t xml:space="preserve">Crude </w:t>
      </w:r>
      <w:proofErr w:type="spellStart"/>
      <w:r w:rsidRPr="00CC36F1">
        <w:rPr>
          <w:lang w:val="en-GB"/>
        </w:rPr>
        <w:t>fiber</w:t>
      </w:r>
      <w:proofErr w:type="spellEnd"/>
      <w:r w:rsidRPr="00CC36F1">
        <w:rPr>
          <w:lang w:val="en-GB"/>
        </w:rPr>
        <w:t xml:space="preserve"> was measured by double acid and alkaline hydrolysis (H</w:t>
      </w:r>
      <w:r w:rsidRPr="00CC36F1">
        <w:rPr>
          <w:vertAlign w:val="subscript"/>
          <w:lang w:val="en-GB"/>
        </w:rPr>
        <w:t>2</w:t>
      </w:r>
      <w:r w:rsidRPr="00CC36F1">
        <w:rPr>
          <w:lang w:val="en-GB"/>
        </w:rPr>
        <w:t>SO</w:t>
      </w:r>
      <w:r w:rsidRPr="00CC36F1">
        <w:rPr>
          <w:vertAlign w:val="subscript"/>
          <w:lang w:val="en-GB"/>
        </w:rPr>
        <w:t>4</w:t>
      </w:r>
      <w:r w:rsidRPr="00CC36F1">
        <w:rPr>
          <w:lang w:val="en-GB"/>
        </w:rPr>
        <w:t xml:space="preserve"> and NaOH at 1.25%) according to </w:t>
      </w:r>
      <w:r w:rsidRPr="00CC36F1">
        <w:rPr>
          <w:b/>
          <w:bCs/>
          <w:lang w:val="en-GB"/>
        </w:rPr>
        <w:t>AOAC (2019).</w:t>
      </w:r>
      <w:r w:rsidRPr="00CC36F1">
        <w:rPr>
          <w:lang w:val="en-GB"/>
        </w:rPr>
        <w:t xml:space="preserve"> The insoluble residue was dried (C1) and then incinerated at 300 °C (C2</w:t>
      </w:r>
      <w:proofErr w:type="gramStart"/>
      <w:r w:rsidR="00C82D0B" w:rsidRPr="00CC36F1">
        <w:rPr>
          <w:lang w:val="en-GB"/>
        </w:rPr>
        <w:t>) ;</w:t>
      </w:r>
      <w:proofErr w:type="gramEnd"/>
      <w:r w:rsidRPr="00CC36F1">
        <w:rPr>
          <w:lang w:val="en-GB"/>
        </w:rPr>
        <w:t xml:space="preserve"> the mass loss corresponds to the </w:t>
      </w:r>
      <w:proofErr w:type="spellStart"/>
      <w:r w:rsidRPr="00CC36F1">
        <w:rPr>
          <w:lang w:val="en-GB"/>
        </w:rPr>
        <w:t>fiber</w:t>
      </w:r>
      <w:proofErr w:type="spellEnd"/>
      <w:r w:rsidRPr="00CC36F1">
        <w:rPr>
          <w:lang w:val="en-GB"/>
        </w:rPr>
        <w:t xml:space="preserve"> content. Total ash was obtained by incinerating the samples in a muffle furnace at 550 °C for 5 hours (</w:t>
      </w:r>
      <w:r w:rsidRPr="00CC36F1">
        <w:rPr>
          <w:b/>
          <w:bCs/>
          <w:lang w:val="en-GB"/>
        </w:rPr>
        <w:t>AOAC, 1990</w:t>
      </w:r>
      <w:r w:rsidRPr="00CC36F1">
        <w:rPr>
          <w:lang w:val="en-GB"/>
        </w:rPr>
        <w:t>).</w:t>
      </w:r>
    </w:p>
    <w:p w14:paraId="2C4FF9E1" w14:textId="77777777" w:rsidR="00F4083B" w:rsidRPr="00CC36F1" w:rsidRDefault="00F4083B" w:rsidP="00F4083B">
      <w:pPr>
        <w:spacing w:after="240" w:line="360" w:lineRule="auto"/>
        <w:jc w:val="both"/>
        <w:rPr>
          <w:b/>
          <w:bCs/>
          <w:lang w:val="en-GB"/>
        </w:rPr>
      </w:pPr>
      <w:r w:rsidRPr="00CC36F1">
        <w:rPr>
          <w:b/>
          <w:bCs/>
          <w:lang w:val="en-GB"/>
        </w:rPr>
        <w:t>II.2. Carbohydrate Profiling</w:t>
      </w:r>
    </w:p>
    <w:p w14:paraId="1332030F" w14:textId="77777777" w:rsidR="00F4083B" w:rsidRPr="00CC36F1" w:rsidRDefault="00F4083B" w:rsidP="00F4083B">
      <w:pPr>
        <w:spacing w:after="240" w:line="360" w:lineRule="auto"/>
        <w:jc w:val="both"/>
        <w:rPr>
          <w:b/>
          <w:bCs/>
          <w:lang w:val="en-GB"/>
        </w:rPr>
      </w:pPr>
      <w:r w:rsidRPr="00CC36F1">
        <w:rPr>
          <w:b/>
          <w:bCs/>
          <w:lang w:val="en-GB"/>
        </w:rPr>
        <w:t>II.2.1. Reducing Sugars</w:t>
      </w:r>
    </w:p>
    <w:p w14:paraId="00AC1385" w14:textId="0345F227" w:rsidR="00F4083B" w:rsidRPr="00CC36F1" w:rsidRDefault="00F4083B" w:rsidP="00F4083B">
      <w:pPr>
        <w:spacing w:after="240" w:line="360" w:lineRule="auto"/>
        <w:jc w:val="both"/>
        <w:rPr>
          <w:lang w:val="en-GB"/>
        </w:rPr>
      </w:pPr>
      <w:r w:rsidRPr="00CC36F1">
        <w:rPr>
          <w:lang w:val="en-GB"/>
        </w:rPr>
        <w:t xml:space="preserve">Reducing sugars were extracted with hot distilled water (15 min boiling) and then assayed using the 3,5-dinitrosalicylic acid (DNS) method according to </w:t>
      </w:r>
      <w:r w:rsidRPr="00CC36F1">
        <w:rPr>
          <w:b/>
          <w:bCs/>
          <w:lang w:val="en-GB"/>
        </w:rPr>
        <w:t>Fischer and Stein (1961).</w:t>
      </w:r>
      <w:r w:rsidRPr="00CC36F1">
        <w:rPr>
          <w:lang w:val="en-GB"/>
        </w:rPr>
        <w:t xml:space="preserve"> Absorbance was measured at 540 nm against a maltose calibration curve.</w:t>
      </w:r>
    </w:p>
    <w:p w14:paraId="64758A37" w14:textId="77777777" w:rsidR="00F4083B" w:rsidRPr="00CC36F1" w:rsidRDefault="00F4083B" w:rsidP="00F4083B">
      <w:pPr>
        <w:spacing w:after="240" w:line="360" w:lineRule="auto"/>
        <w:jc w:val="both"/>
        <w:rPr>
          <w:b/>
          <w:bCs/>
          <w:lang w:val="en-GB"/>
        </w:rPr>
      </w:pPr>
      <w:r w:rsidRPr="00CC36F1">
        <w:rPr>
          <w:b/>
          <w:bCs/>
          <w:lang w:val="en-GB"/>
        </w:rPr>
        <w:t>II.2.2. Total Starch, Amylose, and Amylopectin</w:t>
      </w:r>
    </w:p>
    <w:p w14:paraId="0C4442F7" w14:textId="0F820F94" w:rsidR="00F4083B" w:rsidRPr="00CC36F1" w:rsidRDefault="00F4083B" w:rsidP="00F4083B">
      <w:pPr>
        <w:spacing w:after="240" w:line="360" w:lineRule="auto"/>
        <w:jc w:val="both"/>
        <w:rPr>
          <w:lang w:val="en-GB"/>
        </w:rPr>
      </w:pPr>
      <w:r w:rsidRPr="00CC36F1">
        <w:rPr>
          <w:lang w:val="en-GB"/>
        </w:rPr>
        <w:t xml:space="preserve">Starch was determined by iodine </w:t>
      </w:r>
      <w:proofErr w:type="spellStart"/>
      <w:r w:rsidRPr="00CC36F1">
        <w:rPr>
          <w:lang w:val="en-GB"/>
        </w:rPr>
        <w:t>complexometry</w:t>
      </w:r>
      <w:proofErr w:type="spellEnd"/>
      <w:r w:rsidRPr="00CC36F1">
        <w:rPr>
          <w:lang w:val="en-GB"/>
        </w:rPr>
        <w:t xml:space="preserve"> according to Jarvis and Walker (1993). Samples were solubilized in potassium hydroxide (KOH 1 N) and then neutralized. Amylose was quantified by spectrophotometry at 720 nm and total starch at 580 nm. Amylopectin content was obtained by </w:t>
      </w:r>
      <w:proofErr w:type="gramStart"/>
      <w:r w:rsidR="00C82D0B" w:rsidRPr="00CC36F1">
        <w:rPr>
          <w:lang w:val="en-GB"/>
        </w:rPr>
        <w:t>difference :</w:t>
      </w:r>
      <w:proofErr w:type="gramEnd"/>
    </w:p>
    <w:p w14:paraId="31C9BAA6" w14:textId="656DB12F" w:rsidR="00F4083B" w:rsidRPr="00CC36F1" w:rsidRDefault="00F4083B" w:rsidP="00EB6F9D">
      <w:pPr>
        <w:spacing w:after="240" w:line="360" w:lineRule="auto"/>
        <w:jc w:val="center"/>
        <w:rPr>
          <w:lang w:val="en-GB"/>
        </w:rPr>
      </w:pPr>
      <w:r w:rsidRPr="00CC36F1">
        <w:rPr>
          <w:lang w:val="en-GB"/>
        </w:rPr>
        <w:t>%</w:t>
      </w:r>
      <w:r w:rsidR="00C82D0B" w:rsidRPr="00CC36F1">
        <w:rPr>
          <w:lang w:val="en-GB"/>
        </w:rPr>
        <w:t xml:space="preserve"> </w:t>
      </w:r>
      <w:r w:rsidRPr="00CC36F1">
        <w:rPr>
          <w:lang w:val="en-GB"/>
        </w:rPr>
        <w:t xml:space="preserve">Amylopectin = </w:t>
      </w:r>
      <w:r w:rsidR="00C82D0B" w:rsidRPr="00CC36F1">
        <w:rPr>
          <w:lang w:val="en-GB"/>
        </w:rPr>
        <w:t xml:space="preserve">% </w:t>
      </w:r>
      <w:r w:rsidRPr="00CC36F1">
        <w:rPr>
          <w:lang w:val="en-GB"/>
        </w:rPr>
        <w:t>Total Starch - %</w:t>
      </w:r>
      <w:r w:rsidR="00C82D0B" w:rsidRPr="00CC36F1">
        <w:rPr>
          <w:lang w:val="en-GB"/>
        </w:rPr>
        <w:t xml:space="preserve"> </w:t>
      </w:r>
      <w:r w:rsidRPr="00CC36F1">
        <w:rPr>
          <w:lang w:val="en-GB"/>
        </w:rPr>
        <w:t>Amylose</w:t>
      </w:r>
    </w:p>
    <w:p w14:paraId="0F9BEBA3" w14:textId="77777777" w:rsidR="004B1D75" w:rsidRPr="00CC36F1" w:rsidRDefault="004B1D75" w:rsidP="004B1D75">
      <w:pPr>
        <w:spacing w:after="240" w:line="360" w:lineRule="auto"/>
        <w:rPr>
          <w:b/>
          <w:bCs/>
          <w:lang w:val="en-GB"/>
        </w:rPr>
      </w:pPr>
      <w:r w:rsidRPr="00CC36F1">
        <w:rPr>
          <w:b/>
          <w:bCs/>
          <w:lang w:val="en-GB"/>
        </w:rPr>
        <w:t>II.3. Micronutrient Analyses (Vitamins and Minerals)</w:t>
      </w:r>
    </w:p>
    <w:p w14:paraId="6BAB97AA" w14:textId="77777777" w:rsidR="004B1D75" w:rsidRPr="00CC36F1" w:rsidRDefault="004B1D75" w:rsidP="004B1D75">
      <w:pPr>
        <w:spacing w:after="240" w:line="360" w:lineRule="auto"/>
        <w:rPr>
          <w:lang w:val="en-GB"/>
        </w:rPr>
      </w:pPr>
      <w:r w:rsidRPr="00CC36F1">
        <w:rPr>
          <w:b/>
          <w:bCs/>
          <w:lang w:val="en-GB"/>
        </w:rPr>
        <w:t>II.3.1. Vitamin C and Beta-carotene by HPLC</w:t>
      </w:r>
    </w:p>
    <w:p w14:paraId="30E65197" w14:textId="17FF76C7" w:rsidR="004B1D75" w:rsidRPr="00CC36F1" w:rsidRDefault="004B1D75" w:rsidP="004B1D75">
      <w:pPr>
        <w:spacing w:after="240" w:line="360" w:lineRule="auto"/>
        <w:rPr>
          <w:lang w:val="en-GB"/>
        </w:rPr>
      </w:pPr>
      <w:r w:rsidRPr="00CC36F1">
        <w:rPr>
          <w:lang w:val="en-GB"/>
        </w:rPr>
        <w:t xml:space="preserve">Ascorbic acid and </w:t>
      </w:r>
      <w:proofErr w:type="spellStart"/>
      <w:r w:rsidR="00C82D0B" w:rsidRPr="00CC36F1">
        <w:rPr>
          <w:lang w:val="en-GB"/>
        </w:rPr>
        <w:t>bêta</w:t>
      </w:r>
      <w:proofErr w:type="spellEnd"/>
      <w:r w:rsidRPr="00CC36F1">
        <w:rPr>
          <w:lang w:val="en-GB"/>
        </w:rPr>
        <w:t>-carotene contents were determined by High-Performance Liquid Chromatography (HPLC).</w:t>
      </w:r>
    </w:p>
    <w:p w14:paraId="0ED4D903" w14:textId="59C6B70A" w:rsidR="004B1D75" w:rsidRPr="00CC36F1" w:rsidRDefault="004B1D75" w:rsidP="004B1D75">
      <w:pPr>
        <w:numPr>
          <w:ilvl w:val="0"/>
          <w:numId w:val="5"/>
        </w:numPr>
        <w:spacing w:after="240" w:line="360" w:lineRule="auto"/>
        <w:rPr>
          <w:lang w:val="en-GB"/>
        </w:rPr>
      </w:pPr>
      <w:r w:rsidRPr="00CC36F1">
        <w:rPr>
          <w:b/>
          <w:bCs/>
          <w:lang w:val="en-GB"/>
        </w:rPr>
        <w:t xml:space="preserve">Vitamin </w:t>
      </w:r>
      <w:proofErr w:type="gramStart"/>
      <w:r w:rsidRPr="00CC36F1">
        <w:rPr>
          <w:b/>
          <w:bCs/>
          <w:lang w:val="en-GB"/>
        </w:rPr>
        <w:t>C :</w:t>
      </w:r>
      <w:proofErr w:type="gramEnd"/>
      <w:r w:rsidRPr="00CC36F1">
        <w:rPr>
          <w:lang w:val="en-GB"/>
        </w:rPr>
        <w:t xml:space="preserve"> Extraction with formic acid (0.1%), separation on a LUNA C18 column, and DAD detection at 245 nm.</w:t>
      </w:r>
    </w:p>
    <w:p w14:paraId="169602B0" w14:textId="179D4C10" w:rsidR="004B1D75" w:rsidRPr="00CC36F1" w:rsidRDefault="00C82D0B" w:rsidP="004B1D75">
      <w:pPr>
        <w:numPr>
          <w:ilvl w:val="0"/>
          <w:numId w:val="5"/>
        </w:numPr>
        <w:spacing w:after="240" w:line="360" w:lineRule="auto"/>
        <w:rPr>
          <w:lang w:val="en-GB"/>
        </w:rPr>
      </w:pPr>
      <w:proofErr w:type="spellStart"/>
      <w:r w:rsidRPr="00CC36F1">
        <w:rPr>
          <w:b/>
          <w:bCs/>
          <w:lang w:val="en-GB"/>
        </w:rPr>
        <w:lastRenderedPageBreak/>
        <w:t>Bêta</w:t>
      </w:r>
      <w:proofErr w:type="spellEnd"/>
      <w:r w:rsidR="004B1D75" w:rsidRPr="00CC36F1">
        <w:rPr>
          <w:b/>
          <w:bCs/>
          <w:lang w:val="en-GB"/>
        </w:rPr>
        <w:t>-</w:t>
      </w:r>
      <w:proofErr w:type="gramStart"/>
      <w:r w:rsidRPr="00CC36F1">
        <w:rPr>
          <w:b/>
          <w:bCs/>
          <w:lang w:val="en-GB"/>
        </w:rPr>
        <w:t>carotene :</w:t>
      </w:r>
      <w:proofErr w:type="gramEnd"/>
      <w:r w:rsidR="004B1D75" w:rsidRPr="00CC36F1">
        <w:rPr>
          <w:lang w:val="en-GB"/>
        </w:rPr>
        <w:t xml:space="preserve"> Extraction with hexane/THF, separation on a </w:t>
      </w:r>
      <w:proofErr w:type="spellStart"/>
      <w:r w:rsidR="004B1D75" w:rsidRPr="00CC36F1">
        <w:rPr>
          <w:b/>
          <w:bCs/>
          <w:lang w:val="en-GB"/>
        </w:rPr>
        <w:t>Kinetex</w:t>
      </w:r>
      <w:proofErr w:type="spellEnd"/>
      <w:r w:rsidR="004B1D75" w:rsidRPr="00CC36F1">
        <w:rPr>
          <w:b/>
          <w:bCs/>
          <w:lang w:val="en-GB"/>
        </w:rPr>
        <w:t xml:space="preserve"> C18</w:t>
      </w:r>
      <w:r w:rsidR="004B1D75" w:rsidRPr="00CC36F1">
        <w:rPr>
          <w:lang w:val="en-GB"/>
        </w:rPr>
        <w:t xml:space="preserve"> column, and detection at 450 nm.</w:t>
      </w:r>
    </w:p>
    <w:p w14:paraId="13F1CF11" w14:textId="77777777" w:rsidR="004B1D75" w:rsidRPr="00CC36F1" w:rsidRDefault="004B1D75" w:rsidP="004B1D75">
      <w:pPr>
        <w:spacing w:after="240" w:line="360" w:lineRule="auto"/>
        <w:rPr>
          <w:lang w:val="en-GB"/>
        </w:rPr>
      </w:pPr>
      <w:r w:rsidRPr="00CC36F1">
        <w:rPr>
          <w:b/>
          <w:bCs/>
          <w:lang w:val="en-GB"/>
        </w:rPr>
        <w:t>II.3.2. Mineral Composition</w:t>
      </w:r>
    </w:p>
    <w:p w14:paraId="3EA16A56" w14:textId="77777777" w:rsidR="004B1D75" w:rsidRPr="00CC36F1" w:rsidRDefault="004B1D75" w:rsidP="004B1D75">
      <w:pPr>
        <w:spacing w:after="240" w:line="360" w:lineRule="auto"/>
        <w:rPr>
          <w:lang w:val="en-GB"/>
        </w:rPr>
      </w:pPr>
      <w:r w:rsidRPr="00CC36F1">
        <w:rPr>
          <w:lang w:val="en-GB"/>
        </w:rPr>
        <w:t xml:space="preserve">Minerals were </w:t>
      </w:r>
      <w:proofErr w:type="spellStart"/>
      <w:r w:rsidRPr="00CC36F1">
        <w:rPr>
          <w:lang w:val="en-GB"/>
        </w:rPr>
        <w:t>analyzed</w:t>
      </w:r>
      <w:proofErr w:type="spellEnd"/>
      <w:r w:rsidRPr="00CC36F1">
        <w:rPr>
          <w:lang w:val="en-GB"/>
        </w:rPr>
        <w:t xml:space="preserve"> from ash solubilized in nitric acid:</w:t>
      </w:r>
    </w:p>
    <w:p w14:paraId="517930B2" w14:textId="1B600EB3" w:rsidR="004B1D75" w:rsidRPr="00CC36F1" w:rsidRDefault="004B1D75" w:rsidP="004B1D75">
      <w:pPr>
        <w:numPr>
          <w:ilvl w:val="0"/>
          <w:numId w:val="6"/>
        </w:numPr>
        <w:spacing w:after="240" w:line="360" w:lineRule="auto"/>
        <w:rPr>
          <w:lang w:val="en-GB"/>
        </w:rPr>
      </w:pPr>
      <w:r w:rsidRPr="00CC36F1">
        <w:rPr>
          <w:b/>
          <w:bCs/>
          <w:lang w:val="en-GB"/>
        </w:rPr>
        <w:t xml:space="preserve">Na and </w:t>
      </w:r>
      <w:proofErr w:type="gramStart"/>
      <w:r w:rsidRPr="00CC36F1">
        <w:rPr>
          <w:b/>
          <w:bCs/>
          <w:lang w:val="en-GB"/>
        </w:rPr>
        <w:t>K :</w:t>
      </w:r>
      <w:proofErr w:type="gramEnd"/>
      <w:r w:rsidRPr="00CC36F1">
        <w:rPr>
          <w:lang w:val="en-GB"/>
        </w:rPr>
        <w:t xml:space="preserve"> Measured by flame photometry (Perkin Elmer HGA 700).</w:t>
      </w:r>
    </w:p>
    <w:p w14:paraId="314DF322" w14:textId="40E48384" w:rsidR="004B1D75" w:rsidRPr="00CC36F1" w:rsidRDefault="004B1D75" w:rsidP="004B1D75">
      <w:pPr>
        <w:numPr>
          <w:ilvl w:val="0"/>
          <w:numId w:val="6"/>
        </w:numPr>
        <w:spacing w:after="240" w:line="360" w:lineRule="auto"/>
        <w:rPr>
          <w:lang w:val="en-GB"/>
        </w:rPr>
      </w:pPr>
      <w:r w:rsidRPr="00CC36F1">
        <w:rPr>
          <w:b/>
          <w:bCs/>
          <w:lang w:val="en-GB"/>
        </w:rPr>
        <w:t xml:space="preserve">Ca and </w:t>
      </w:r>
      <w:proofErr w:type="gramStart"/>
      <w:r w:rsidRPr="00CC36F1">
        <w:rPr>
          <w:b/>
          <w:bCs/>
          <w:lang w:val="en-GB"/>
        </w:rPr>
        <w:t>Mg :</w:t>
      </w:r>
      <w:proofErr w:type="gramEnd"/>
      <w:r w:rsidRPr="00CC36F1">
        <w:rPr>
          <w:lang w:val="en-GB"/>
        </w:rPr>
        <w:t xml:space="preserve"> Determined by EDTA complexometric titration.</w:t>
      </w:r>
    </w:p>
    <w:p w14:paraId="27E6B815" w14:textId="0134889C" w:rsidR="004B1D75" w:rsidRPr="00CC36F1" w:rsidRDefault="004B1D75" w:rsidP="004B1D75">
      <w:pPr>
        <w:numPr>
          <w:ilvl w:val="0"/>
          <w:numId w:val="6"/>
        </w:numPr>
        <w:spacing w:after="240" w:line="360" w:lineRule="auto"/>
        <w:rPr>
          <w:lang w:val="en-GB"/>
        </w:rPr>
      </w:pPr>
      <w:r w:rsidRPr="00CC36F1">
        <w:rPr>
          <w:b/>
          <w:bCs/>
          <w:lang w:val="en-GB"/>
        </w:rPr>
        <w:t xml:space="preserve">P, Fe, and </w:t>
      </w:r>
      <w:proofErr w:type="gramStart"/>
      <w:r w:rsidRPr="00CC36F1">
        <w:rPr>
          <w:b/>
          <w:bCs/>
          <w:lang w:val="en-GB"/>
        </w:rPr>
        <w:t>Cu :</w:t>
      </w:r>
      <w:proofErr w:type="gramEnd"/>
      <w:r w:rsidRPr="00CC36F1">
        <w:rPr>
          <w:lang w:val="en-GB"/>
        </w:rPr>
        <w:t xml:space="preserve"> Assayed by colorimetry (</w:t>
      </w:r>
      <w:proofErr w:type="spellStart"/>
      <w:r w:rsidRPr="00CC36F1">
        <w:rPr>
          <w:lang w:val="en-GB"/>
        </w:rPr>
        <w:t>nitrovanadomolybdate</w:t>
      </w:r>
      <w:proofErr w:type="spellEnd"/>
      <w:r w:rsidRPr="00CC36F1">
        <w:rPr>
          <w:lang w:val="en-GB"/>
        </w:rPr>
        <w:t xml:space="preserve"> for P, </w:t>
      </w:r>
      <w:proofErr w:type="spellStart"/>
      <w:r w:rsidRPr="00CC36F1">
        <w:rPr>
          <w:lang w:val="en-GB"/>
        </w:rPr>
        <w:t>orthophenanthroline</w:t>
      </w:r>
      <w:proofErr w:type="spellEnd"/>
      <w:r w:rsidRPr="00CC36F1">
        <w:rPr>
          <w:lang w:val="en-GB"/>
        </w:rPr>
        <w:t xml:space="preserve"> for Fe at 510 nm).</w:t>
      </w:r>
    </w:p>
    <w:p w14:paraId="5930BAFE" w14:textId="77777777" w:rsidR="004B1D75" w:rsidRPr="00CC36F1" w:rsidRDefault="004B1D75" w:rsidP="004B1D75">
      <w:pPr>
        <w:spacing w:after="240" w:line="360" w:lineRule="auto"/>
        <w:rPr>
          <w:b/>
          <w:bCs/>
          <w:lang w:val="en-GB"/>
        </w:rPr>
      </w:pPr>
      <w:r w:rsidRPr="00CC36F1">
        <w:rPr>
          <w:b/>
          <w:bCs/>
          <w:lang w:val="en-GB"/>
        </w:rPr>
        <w:t>II.4. Calculation of Total Carbohydrates and Energy Value</w:t>
      </w:r>
    </w:p>
    <w:p w14:paraId="3D829969" w14:textId="43BFABA5" w:rsidR="004B1D75" w:rsidRPr="00CC36F1" w:rsidRDefault="004B1D75" w:rsidP="004B1D75">
      <w:pPr>
        <w:spacing w:after="240" w:line="360" w:lineRule="auto"/>
        <w:rPr>
          <w:lang w:val="en-GB"/>
        </w:rPr>
      </w:pPr>
      <w:r w:rsidRPr="00CC36F1">
        <w:rPr>
          <w:lang w:val="en-GB"/>
        </w:rPr>
        <w:t xml:space="preserve">Total and digestible carbohydrates were calculated by difference according to </w:t>
      </w:r>
      <w:r w:rsidRPr="00CC36F1">
        <w:rPr>
          <w:b/>
          <w:bCs/>
          <w:lang w:val="en-GB"/>
        </w:rPr>
        <w:t>AOAC (1980)</w:t>
      </w:r>
      <w:r w:rsidRPr="00CC36F1">
        <w:rPr>
          <w:lang w:val="en-GB"/>
        </w:rPr>
        <w:t xml:space="preserve"> </w:t>
      </w:r>
      <w:proofErr w:type="gramStart"/>
      <w:r w:rsidRPr="00CC36F1">
        <w:rPr>
          <w:lang w:val="en-GB"/>
        </w:rPr>
        <w:t>formulas :</w:t>
      </w:r>
      <w:proofErr w:type="gramEnd"/>
    </w:p>
    <w:p w14:paraId="564423A4" w14:textId="2569654E" w:rsidR="004B1D75" w:rsidRPr="00CC36F1" w:rsidRDefault="004B1D75" w:rsidP="004B1D75">
      <w:pPr>
        <w:spacing w:after="240" w:line="360" w:lineRule="auto"/>
        <w:jc w:val="center"/>
        <w:rPr>
          <w:lang w:val="en-GB"/>
        </w:rPr>
      </w:pPr>
      <w:r w:rsidRPr="00CC36F1">
        <w:rPr>
          <w:lang w:val="en-GB"/>
        </w:rPr>
        <w:t>%Digestible Carbohydrates = %DM - (%Protein + % Lipids + % Ash + %Fiber)</w:t>
      </w:r>
    </w:p>
    <w:p w14:paraId="0F1823E5" w14:textId="0D685BD6" w:rsidR="004B1D75" w:rsidRPr="00CC36F1" w:rsidRDefault="004B1D75" w:rsidP="004B1D75">
      <w:pPr>
        <w:spacing w:after="240" w:line="360" w:lineRule="auto"/>
        <w:rPr>
          <w:lang w:val="en-GB"/>
        </w:rPr>
      </w:pPr>
      <w:r w:rsidRPr="00CC36F1">
        <w:rPr>
          <w:lang w:val="en-GB"/>
        </w:rPr>
        <w:t xml:space="preserve">The energy value was estimated using </w:t>
      </w:r>
      <w:r w:rsidRPr="00CC36F1">
        <w:rPr>
          <w:b/>
          <w:bCs/>
          <w:lang w:val="en-GB"/>
        </w:rPr>
        <w:t xml:space="preserve">Atwater </w:t>
      </w:r>
      <w:proofErr w:type="gramStart"/>
      <w:r w:rsidRPr="00CC36F1">
        <w:rPr>
          <w:b/>
          <w:bCs/>
          <w:lang w:val="en-GB"/>
        </w:rPr>
        <w:t>coefficients</w:t>
      </w:r>
      <w:r w:rsidRPr="00CC36F1">
        <w:rPr>
          <w:lang w:val="en-GB"/>
        </w:rPr>
        <w:t xml:space="preserve"> :</w:t>
      </w:r>
      <w:proofErr w:type="gramEnd"/>
    </w:p>
    <w:p w14:paraId="41943EA7" w14:textId="023BD9D2" w:rsidR="004B1D75" w:rsidRPr="00CC36F1" w:rsidRDefault="004B1D75" w:rsidP="004B1D75">
      <w:pPr>
        <w:spacing w:after="240" w:line="360" w:lineRule="auto"/>
        <w:jc w:val="center"/>
        <w:rPr>
          <w:lang w:val="en-GB"/>
        </w:rPr>
      </w:pPr>
      <w:r w:rsidRPr="00CC36F1">
        <w:rPr>
          <w:lang w:val="en-GB"/>
        </w:rPr>
        <w:t>Energy (kcal/100g)} = (4xCarbohydrates) + (4xProtein) + (9xLipids)</w:t>
      </w:r>
    </w:p>
    <w:p w14:paraId="6F345845" w14:textId="77777777" w:rsidR="004B1D75" w:rsidRPr="00CC36F1" w:rsidRDefault="004B1D75" w:rsidP="004B1D75">
      <w:pPr>
        <w:spacing w:after="240" w:line="360" w:lineRule="auto"/>
        <w:rPr>
          <w:b/>
          <w:bCs/>
          <w:lang w:val="en-GB"/>
        </w:rPr>
      </w:pPr>
      <w:r w:rsidRPr="00CC36F1">
        <w:rPr>
          <w:b/>
          <w:bCs/>
          <w:lang w:val="en-GB"/>
        </w:rPr>
        <w:t>II.5. Statistical Treatment</w:t>
      </w:r>
    </w:p>
    <w:p w14:paraId="02626BB9" w14:textId="5819B1B2" w:rsidR="004B1D75" w:rsidRPr="00CC36F1" w:rsidRDefault="004B1D75" w:rsidP="004B1D75">
      <w:pPr>
        <w:spacing w:after="240" w:line="360" w:lineRule="auto"/>
        <w:rPr>
          <w:lang w:val="en-GB"/>
        </w:rPr>
      </w:pPr>
      <w:r w:rsidRPr="00CC36F1">
        <w:rPr>
          <w:lang w:val="en-GB"/>
        </w:rPr>
        <w:t xml:space="preserve">Data are presented as means $\pm$ standard deviation. An analysis of variance </w:t>
      </w:r>
      <w:r w:rsidRPr="00CC36F1">
        <w:rPr>
          <w:b/>
          <w:bCs/>
          <w:lang w:val="en-GB"/>
        </w:rPr>
        <w:t>(ANOVA)</w:t>
      </w:r>
      <w:r w:rsidRPr="00CC36F1">
        <w:rPr>
          <w:lang w:val="en-GB"/>
        </w:rPr>
        <w:t xml:space="preserve"> followed by Fisher's post-hoc test (p &lt; 0.05) was performed using Minitab 18.0 software. Principal Component Analysis (PCA) using XLSTAT 2014 was used to correlate biochemical composition with the sites of origin.</w:t>
      </w:r>
    </w:p>
    <w:p w14:paraId="14CB459E" w14:textId="77777777" w:rsidR="004B1D75" w:rsidRPr="00CC36F1" w:rsidRDefault="004B1D75" w:rsidP="004B1D75">
      <w:pPr>
        <w:spacing w:after="240" w:line="360" w:lineRule="auto"/>
        <w:rPr>
          <w:b/>
          <w:bCs/>
          <w:lang w:val="en-GB"/>
        </w:rPr>
      </w:pPr>
      <w:r w:rsidRPr="00CC36F1">
        <w:rPr>
          <w:b/>
          <w:bCs/>
          <w:lang w:val="en-GB"/>
        </w:rPr>
        <w:t>III. RESULTS AND DISCUSSION</w:t>
      </w:r>
    </w:p>
    <w:p w14:paraId="553A74B9" w14:textId="77777777" w:rsidR="004B1D75" w:rsidRPr="00CC36F1" w:rsidRDefault="004B1D75" w:rsidP="004B1D75">
      <w:pPr>
        <w:spacing w:after="240" w:line="360" w:lineRule="auto"/>
        <w:rPr>
          <w:lang w:val="en-GB"/>
        </w:rPr>
      </w:pPr>
      <w:r w:rsidRPr="00CC36F1">
        <w:rPr>
          <w:b/>
          <w:bCs/>
          <w:lang w:val="en-GB"/>
        </w:rPr>
        <w:t>Physicochemical characteristics and nutritional value of dried mangoes</w:t>
      </w:r>
    </w:p>
    <w:p w14:paraId="3E9CC223" w14:textId="77777777" w:rsidR="004B1D75" w:rsidRPr="00CC36F1" w:rsidRDefault="004B1D75" w:rsidP="004B1D75">
      <w:pPr>
        <w:spacing w:after="240" w:line="360" w:lineRule="auto"/>
        <w:rPr>
          <w:lang w:val="en-GB"/>
        </w:rPr>
      </w:pPr>
      <w:r w:rsidRPr="00CC36F1">
        <w:rPr>
          <w:b/>
          <w:bCs/>
          <w:lang w:val="en-GB"/>
        </w:rPr>
        <w:t>III.1 Nutritional composition of dried mangoes</w:t>
      </w:r>
    </w:p>
    <w:p w14:paraId="1ED085E5" w14:textId="77777777" w:rsidR="004B1D75" w:rsidRPr="00CC36F1" w:rsidRDefault="004B1D75" w:rsidP="004B1D75">
      <w:pPr>
        <w:spacing w:after="240" w:line="360" w:lineRule="auto"/>
        <w:rPr>
          <w:lang w:val="en-GB"/>
        </w:rPr>
      </w:pPr>
      <w:r w:rsidRPr="00CC36F1">
        <w:rPr>
          <w:lang w:val="en-GB"/>
        </w:rPr>
        <w:t>The table below presents the proximate nutritional composition of dried mangoes from five different geographical areas.</w:t>
      </w:r>
    </w:p>
    <w:p w14:paraId="13CF30E5" w14:textId="09245533" w:rsidR="004418C0" w:rsidRPr="00AA39A2" w:rsidRDefault="004B1D75" w:rsidP="004B1D75">
      <w:pPr>
        <w:spacing w:after="240" w:line="360" w:lineRule="auto"/>
      </w:pPr>
      <w:r w:rsidRPr="004B1D75">
        <w:rPr>
          <w:b/>
          <w:bCs/>
        </w:rPr>
        <w:lastRenderedPageBreak/>
        <w:t xml:space="preserve">Table </w:t>
      </w:r>
      <w:r w:rsidR="002E389D">
        <w:rPr>
          <w:b/>
          <w:bCs/>
        </w:rPr>
        <w:t>2</w:t>
      </w:r>
      <w:r w:rsidR="002216F9" w:rsidRPr="004B1D75">
        <w:rPr>
          <w:b/>
          <w:bCs/>
        </w:rPr>
        <w:t xml:space="preserve"> :</w:t>
      </w:r>
      <w:r w:rsidRPr="004B1D75">
        <w:rPr>
          <w:b/>
          <w:bCs/>
        </w:rPr>
        <w:t xml:space="preserve"> </w:t>
      </w:r>
      <w:proofErr w:type="spellStart"/>
      <w:r w:rsidRPr="004B1D75">
        <w:rPr>
          <w:b/>
          <w:bCs/>
        </w:rPr>
        <w:t>Proximate</w:t>
      </w:r>
      <w:proofErr w:type="spellEnd"/>
      <w:r w:rsidRPr="004B1D75">
        <w:rPr>
          <w:b/>
          <w:bCs/>
        </w:rPr>
        <w:t xml:space="preserve"> composition (</w:t>
      </w:r>
      <w:proofErr w:type="spellStart"/>
      <w:r w:rsidRPr="004B1D75">
        <w:rPr>
          <w:b/>
          <w:bCs/>
        </w:rPr>
        <w:t>Moisture</w:t>
      </w:r>
      <w:proofErr w:type="spellEnd"/>
      <w:r w:rsidRPr="004B1D75">
        <w:rPr>
          <w:b/>
          <w:bCs/>
        </w:rPr>
        <w:t>, Ash, Protein, Lipids).</w:t>
      </w:r>
    </w:p>
    <w:tbl>
      <w:tblPr>
        <w:tblW w:w="8072"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68"/>
        <w:gridCol w:w="1560"/>
        <w:gridCol w:w="1701"/>
        <w:gridCol w:w="1701"/>
        <w:gridCol w:w="1842"/>
      </w:tblGrid>
      <w:tr w:rsidR="004418C0" w:rsidRPr="00AA39A2" w14:paraId="1A5AA902" w14:textId="77777777" w:rsidTr="00A257C1">
        <w:trPr>
          <w:trHeight w:val="315"/>
          <w:jc w:val="center"/>
        </w:trPr>
        <w:tc>
          <w:tcPr>
            <w:tcW w:w="1268" w:type="dxa"/>
            <w:tcBorders>
              <w:top w:val="single" w:sz="4" w:space="0" w:color="auto"/>
              <w:bottom w:val="single" w:sz="4" w:space="0" w:color="auto"/>
            </w:tcBorders>
            <w:tcMar>
              <w:top w:w="30" w:type="dxa"/>
              <w:left w:w="45" w:type="dxa"/>
              <w:bottom w:w="30" w:type="dxa"/>
              <w:right w:w="45" w:type="dxa"/>
            </w:tcMar>
            <w:vAlign w:val="bottom"/>
            <w:hideMark/>
          </w:tcPr>
          <w:p w14:paraId="0E9370ED" w14:textId="77777777" w:rsidR="004418C0" w:rsidRPr="00AA39A2" w:rsidRDefault="004418C0" w:rsidP="007F4489">
            <w:pPr>
              <w:spacing w:after="160" w:line="360" w:lineRule="auto"/>
              <w:jc w:val="both"/>
            </w:pPr>
            <w:r w:rsidRPr="00AA39A2">
              <w:t>Sites</w:t>
            </w:r>
          </w:p>
        </w:tc>
        <w:tc>
          <w:tcPr>
            <w:tcW w:w="1560" w:type="dxa"/>
            <w:tcBorders>
              <w:top w:val="single" w:sz="4" w:space="0" w:color="auto"/>
              <w:bottom w:val="single" w:sz="4" w:space="0" w:color="auto"/>
            </w:tcBorders>
            <w:tcMar>
              <w:top w:w="30" w:type="dxa"/>
              <w:left w:w="45" w:type="dxa"/>
              <w:bottom w:w="30" w:type="dxa"/>
              <w:right w:w="45" w:type="dxa"/>
            </w:tcMar>
            <w:vAlign w:val="bottom"/>
            <w:hideMark/>
          </w:tcPr>
          <w:p w14:paraId="495FDC42" w14:textId="571A23D3" w:rsidR="004418C0" w:rsidRPr="00AA39A2" w:rsidRDefault="002216F9" w:rsidP="007F4489">
            <w:pPr>
              <w:spacing w:after="160" w:line="360" w:lineRule="auto"/>
              <w:jc w:val="both"/>
            </w:pPr>
            <w:r w:rsidRPr="00CC728C">
              <w:t>Moisture</w:t>
            </w:r>
            <w:r w:rsidRPr="00AA39A2">
              <w:t xml:space="preserve"> </w:t>
            </w:r>
            <w:r w:rsidR="004418C0" w:rsidRPr="00AA39A2">
              <w:t>(g/100g)</w:t>
            </w:r>
          </w:p>
        </w:tc>
        <w:tc>
          <w:tcPr>
            <w:tcW w:w="1701" w:type="dxa"/>
            <w:tcBorders>
              <w:top w:val="single" w:sz="4" w:space="0" w:color="auto"/>
              <w:bottom w:val="single" w:sz="4" w:space="0" w:color="auto"/>
            </w:tcBorders>
            <w:tcMar>
              <w:top w:w="30" w:type="dxa"/>
              <w:left w:w="45" w:type="dxa"/>
              <w:bottom w:w="30" w:type="dxa"/>
              <w:right w:w="45" w:type="dxa"/>
            </w:tcMar>
            <w:vAlign w:val="bottom"/>
            <w:hideMark/>
          </w:tcPr>
          <w:p w14:paraId="799D0098" w14:textId="77777777" w:rsidR="002216F9" w:rsidRDefault="002216F9" w:rsidP="007F4489">
            <w:pPr>
              <w:spacing w:after="160" w:line="360" w:lineRule="auto"/>
              <w:jc w:val="both"/>
            </w:pPr>
            <w:r w:rsidRPr="00CC728C">
              <w:t>Ash</w:t>
            </w:r>
          </w:p>
          <w:p w14:paraId="7D91B799" w14:textId="78A55439" w:rsidR="004418C0" w:rsidRPr="00AA39A2" w:rsidRDefault="004418C0" w:rsidP="007F4489">
            <w:pPr>
              <w:spacing w:after="160" w:line="360" w:lineRule="auto"/>
              <w:jc w:val="both"/>
            </w:pPr>
            <w:r w:rsidRPr="00AA39A2">
              <w:t xml:space="preserve"> (</w:t>
            </w:r>
            <w:proofErr w:type="gramStart"/>
            <w:r w:rsidRPr="00AA39A2">
              <w:t>g</w:t>
            </w:r>
            <w:proofErr w:type="gramEnd"/>
            <w:r w:rsidRPr="00AA39A2">
              <w:t>/100g)</w:t>
            </w:r>
          </w:p>
        </w:tc>
        <w:tc>
          <w:tcPr>
            <w:tcW w:w="1701" w:type="dxa"/>
            <w:tcBorders>
              <w:top w:val="single" w:sz="4" w:space="0" w:color="auto"/>
              <w:bottom w:val="single" w:sz="4" w:space="0" w:color="auto"/>
            </w:tcBorders>
            <w:tcMar>
              <w:top w:w="30" w:type="dxa"/>
              <w:left w:w="45" w:type="dxa"/>
              <w:bottom w:w="30" w:type="dxa"/>
              <w:right w:w="45" w:type="dxa"/>
            </w:tcMar>
            <w:vAlign w:val="bottom"/>
            <w:hideMark/>
          </w:tcPr>
          <w:p w14:paraId="2C7545C6" w14:textId="77777777" w:rsidR="002216F9" w:rsidRDefault="002216F9" w:rsidP="007F4489">
            <w:pPr>
              <w:spacing w:after="160" w:line="360" w:lineRule="auto"/>
              <w:jc w:val="both"/>
            </w:pPr>
            <w:r w:rsidRPr="00CC728C">
              <w:t>Protein</w:t>
            </w:r>
            <w:r w:rsidR="004418C0" w:rsidRPr="00AA39A2">
              <w:t xml:space="preserve"> </w:t>
            </w:r>
          </w:p>
          <w:p w14:paraId="5A3D70CD" w14:textId="172CCB05" w:rsidR="004418C0" w:rsidRPr="00AA39A2" w:rsidRDefault="004418C0" w:rsidP="007F4489">
            <w:pPr>
              <w:spacing w:after="160" w:line="360" w:lineRule="auto"/>
              <w:jc w:val="both"/>
            </w:pPr>
            <w:r w:rsidRPr="00AA39A2">
              <w:t>(</w:t>
            </w:r>
            <w:proofErr w:type="gramStart"/>
            <w:r w:rsidRPr="00AA39A2">
              <w:t>g</w:t>
            </w:r>
            <w:proofErr w:type="gramEnd"/>
            <w:r w:rsidRPr="00AA39A2">
              <w:t>/100g)</w:t>
            </w:r>
          </w:p>
        </w:tc>
        <w:tc>
          <w:tcPr>
            <w:tcW w:w="1842" w:type="dxa"/>
            <w:tcBorders>
              <w:top w:val="single" w:sz="4" w:space="0" w:color="auto"/>
              <w:bottom w:val="single" w:sz="4" w:space="0" w:color="auto"/>
            </w:tcBorders>
            <w:tcMar>
              <w:top w:w="30" w:type="dxa"/>
              <w:left w:w="45" w:type="dxa"/>
              <w:bottom w:w="30" w:type="dxa"/>
              <w:right w:w="45" w:type="dxa"/>
            </w:tcMar>
            <w:vAlign w:val="bottom"/>
            <w:hideMark/>
          </w:tcPr>
          <w:p w14:paraId="58A08C1D" w14:textId="77777777" w:rsidR="002216F9" w:rsidRDefault="002216F9" w:rsidP="007F4489">
            <w:pPr>
              <w:spacing w:after="160" w:line="360" w:lineRule="auto"/>
              <w:jc w:val="both"/>
              <w:rPr>
                <w:b/>
                <w:bCs/>
              </w:rPr>
            </w:pPr>
            <w:r w:rsidRPr="00CC728C">
              <w:rPr>
                <w:b/>
                <w:bCs/>
              </w:rPr>
              <w:t>Lipid</w:t>
            </w:r>
          </w:p>
          <w:p w14:paraId="38D339BC" w14:textId="457946DE" w:rsidR="004418C0" w:rsidRPr="00AA39A2" w:rsidRDefault="004418C0" w:rsidP="007F4489">
            <w:pPr>
              <w:spacing w:after="160" w:line="360" w:lineRule="auto"/>
              <w:jc w:val="both"/>
            </w:pPr>
            <w:r w:rsidRPr="00AA39A2">
              <w:t xml:space="preserve"> (</w:t>
            </w:r>
            <w:proofErr w:type="gramStart"/>
            <w:r w:rsidRPr="00AA39A2">
              <w:t>g</w:t>
            </w:r>
            <w:proofErr w:type="gramEnd"/>
            <w:r w:rsidRPr="00AA39A2">
              <w:t>/100g)</w:t>
            </w:r>
          </w:p>
        </w:tc>
      </w:tr>
      <w:tr w:rsidR="004418C0" w:rsidRPr="00AA39A2" w14:paraId="0CEF5591" w14:textId="77777777" w:rsidTr="00A257C1">
        <w:trPr>
          <w:trHeight w:val="315"/>
          <w:jc w:val="center"/>
        </w:trPr>
        <w:tc>
          <w:tcPr>
            <w:tcW w:w="1268" w:type="dxa"/>
            <w:tcBorders>
              <w:top w:val="single" w:sz="4" w:space="0" w:color="auto"/>
            </w:tcBorders>
            <w:tcMar>
              <w:top w:w="30" w:type="dxa"/>
              <w:left w:w="45" w:type="dxa"/>
              <w:bottom w:w="30" w:type="dxa"/>
              <w:right w:w="45" w:type="dxa"/>
            </w:tcMar>
            <w:vAlign w:val="bottom"/>
            <w:hideMark/>
          </w:tcPr>
          <w:p w14:paraId="231275B0" w14:textId="77777777" w:rsidR="004418C0" w:rsidRPr="00AA39A2" w:rsidRDefault="004418C0" w:rsidP="007F4489">
            <w:pPr>
              <w:spacing w:after="160" w:line="360" w:lineRule="auto"/>
              <w:jc w:val="both"/>
            </w:pPr>
            <w:r w:rsidRPr="00AA39A2">
              <w:t>Dba</w:t>
            </w:r>
          </w:p>
        </w:tc>
        <w:tc>
          <w:tcPr>
            <w:tcW w:w="1560" w:type="dxa"/>
            <w:tcBorders>
              <w:top w:val="single" w:sz="4" w:space="0" w:color="auto"/>
            </w:tcBorders>
            <w:tcMar>
              <w:top w:w="30" w:type="dxa"/>
              <w:left w:w="45" w:type="dxa"/>
              <w:bottom w:w="30" w:type="dxa"/>
              <w:right w:w="45" w:type="dxa"/>
            </w:tcMar>
            <w:vAlign w:val="bottom"/>
            <w:hideMark/>
          </w:tcPr>
          <w:p w14:paraId="1639B11D" w14:textId="77777777" w:rsidR="004418C0" w:rsidRPr="00AA39A2" w:rsidRDefault="004418C0" w:rsidP="007F4489">
            <w:pPr>
              <w:spacing w:after="160" w:line="360" w:lineRule="auto"/>
              <w:jc w:val="both"/>
            </w:pPr>
            <w:r w:rsidRPr="00AA39A2">
              <w:t>15,14±0,46b</w:t>
            </w:r>
          </w:p>
        </w:tc>
        <w:tc>
          <w:tcPr>
            <w:tcW w:w="1701" w:type="dxa"/>
            <w:tcBorders>
              <w:top w:val="single" w:sz="4" w:space="0" w:color="auto"/>
            </w:tcBorders>
            <w:tcMar>
              <w:top w:w="30" w:type="dxa"/>
              <w:left w:w="45" w:type="dxa"/>
              <w:bottom w:w="30" w:type="dxa"/>
              <w:right w:w="45" w:type="dxa"/>
            </w:tcMar>
            <w:vAlign w:val="bottom"/>
            <w:hideMark/>
          </w:tcPr>
          <w:p w14:paraId="3E4C66A6" w14:textId="77777777" w:rsidR="004418C0" w:rsidRPr="00AA39A2" w:rsidRDefault="004418C0" w:rsidP="007F4489">
            <w:pPr>
              <w:spacing w:after="160" w:line="360" w:lineRule="auto"/>
              <w:jc w:val="both"/>
            </w:pPr>
            <w:r w:rsidRPr="00AA39A2">
              <w:t>2,63±0,07b</w:t>
            </w:r>
          </w:p>
        </w:tc>
        <w:tc>
          <w:tcPr>
            <w:tcW w:w="1701" w:type="dxa"/>
            <w:tcBorders>
              <w:top w:val="single" w:sz="4" w:space="0" w:color="auto"/>
            </w:tcBorders>
            <w:tcMar>
              <w:top w:w="30" w:type="dxa"/>
              <w:left w:w="45" w:type="dxa"/>
              <w:bottom w:w="30" w:type="dxa"/>
              <w:right w:w="45" w:type="dxa"/>
            </w:tcMar>
            <w:vAlign w:val="bottom"/>
            <w:hideMark/>
          </w:tcPr>
          <w:p w14:paraId="140AC23A" w14:textId="77777777" w:rsidR="004418C0" w:rsidRPr="00AA39A2" w:rsidRDefault="004418C0" w:rsidP="007F4489">
            <w:pPr>
              <w:spacing w:after="160" w:line="360" w:lineRule="auto"/>
              <w:jc w:val="both"/>
            </w:pPr>
            <w:r w:rsidRPr="00AA39A2">
              <w:t>3,90±0,10a</w:t>
            </w:r>
          </w:p>
        </w:tc>
        <w:tc>
          <w:tcPr>
            <w:tcW w:w="1842" w:type="dxa"/>
            <w:tcBorders>
              <w:top w:val="single" w:sz="4" w:space="0" w:color="auto"/>
            </w:tcBorders>
            <w:tcMar>
              <w:top w:w="30" w:type="dxa"/>
              <w:left w:w="45" w:type="dxa"/>
              <w:bottom w:w="30" w:type="dxa"/>
              <w:right w:w="45" w:type="dxa"/>
            </w:tcMar>
            <w:vAlign w:val="bottom"/>
            <w:hideMark/>
          </w:tcPr>
          <w:p w14:paraId="7BC9EF54" w14:textId="77777777" w:rsidR="004418C0" w:rsidRPr="00AA39A2" w:rsidRDefault="004418C0" w:rsidP="007F4489">
            <w:pPr>
              <w:spacing w:after="160" w:line="360" w:lineRule="auto"/>
              <w:jc w:val="both"/>
            </w:pPr>
            <w:r w:rsidRPr="00AA39A2">
              <w:t>2,07±0,02c</w:t>
            </w:r>
          </w:p>
        </w:tc>
      </w:tr>
      <w:tr w:rsidR="004418C0" w:rsidRPr="00AA39A2" w14:paraId="3DB0777B" w14:textId="77777777" w:rsidTr="00A257C1">
        <w:trPr>
          <w:trHeight w:val="315"/>
          <w:jc w:val="center"/>
        </w:trPr>
        <w:tc>
          <w:tcPr>
            <w:tcW w:w="1268" w:type="dxa"/>
            <w:tcMar>
              <w:top w:w="30" w:type="dxa"/>
              <w:left w:w="45" w:type="dxa"/>
              <w:bottom w:w="30" w:type="dxa"/>
              <w:right w:w="45" w:type="dxa"/>
            </w:tcMar>
            <w:vAlign w:val="bottom"/>
            <w:hideMark/>
          </w:tcPr>
          <w:p w14:paraId="54B24C74" w14:textId="77777777" w:rsidR="004418C0" w:rsidRPr="00AA39A2" w:rsidRDefault="004418C0" w:rsidP="007F4489">
            <w:pPr>
              <w:spacing w:after="160" w:line="360" w:lineRule="auto"/>
              <w:jc w:val="both"/>
            </w:pPr>
            <w:r w:rsidRPr="00AA39A2">
              <w:t>Bbja</w:t>
            </w:r>
          </w:p>
        </w:tc>
        <w:tc>
          <w:tcPr>
            <w:tcW w:w="1560" w:type="dxa"/>
            <w:tcMar>
              <w:top w:w="30" w:type="dxa"/>
              <w:left w:w="45" w:type="dxa"/>
              <w:bottom w:w="30" w:type="dxa"/>
              <w:right w:w="45" w:type="dxa"/>
            </w:tcMar>
            <w:vAlign w:val="bottom"/>
            <w:hideMark/>
          </w:tcPr>
          <w:p w14:paraId="572BE17F" w14:textId="77777777" w:rsidR="004418C0" w:rsidRPr="00AA39A2" w:rsidRDefault="004418C0" w:rsidP="007F4489">
            <w:pPr>
              <w:spacing w:after="160" w:line="360" w:lineRule="auto"/>
              <w:jc w:val="both"/>
            </w:pPr>
            <w:r w:rsidRPr="00AA39A2">
              <w:t>13,90±0,06a</w:t>
            </w:r>
          </w:p>
        </w:tc>
        <w:tc>
          <w:tcPr>
            <w:tcW w:w="1701" w:type="dxa"/>
            <w:tcMar>
              <w:top w:w="30" w:type="dxa"/>
              <w:left w:w="45" w:type="dxa"/>
              <w:bottom w:w="30" w:type="dxa"/>
              <w:right w:w="45" w:type="dxa"/>
            </w:tcMar>
            <w:vAlign w:val="bottom"/>
            <w:hideMark/>
          </w:tcPr>
          <w:p w14:paraId="4976996E" w14:textId="77777777" w:rsidR="004418C0" w:rsidRPr="00AA39A2" w:rsidRDefault="004418C0" w:rsidP="007F4489">
            <w:pPr>
              <w:spacing w:after="160" w:line="360" w:lineRule="auto"/>
              <w:jc w:val="both"/>
            </w:pPr>
            <w:r w:rsidRPr="00AA39A2">
              <w:t>2,87±0,02c</w:t>
            </w:r>
          </w:p>
        </w:tc>
        <w:tc>
          <w:tcPr>
            <w:tcW w:w="1701" w:type="dxa"/>
            <w:tcMar>
              <w:top w:w="30" w:type="dxa"/>
              <w:left w:w="45" w:type="dxa"/>
              <w:bottom w:w="30" w:type="dxa"/>
              <w:right w:w="45" w:type="dxa"/>
            </w:tcMar>
            <w:vAlign w:val="bottom"/>
            <w:hideMark/>
          </w:tcPr>
          <w:p w14:paraId="65E8F80F" w14:textId="77777777" w:rsidR="004418C0" w:rsidRPr="00AA39A2" w:rsidRDefault="004418C0" w:rsidP="007F4489">
            <w:pPr>
              <w:spacing w:after="160" w:line="360" w:lineRule="auto"/>
              <w:jc w:val="both"/>
            </w:pPr>
            <w:r w:rsidRPr="00AA39A2">
              <w:t>3,90±0,06a</w:t>
            </w:r>
          </w:p>
        </w:tc>
        <w:tc>
          <w:tcPr>
            <w:tcW w:w="1842" w:type="dxa"/>
            <w:tcMar>
              <w:top w:w="30" w:type="dxa"/>
              <w:left w:w="45" w:type="dxa"/>
              <w:bottom w:w="30" w:type="dxa"/>
              <w:right w:w="45" w:type="dxa"/>
            </w:tcMar>
            <w:vAlign w:val="bottom"/>
            <w:hideMark/>
          </w:tcPr>
          <w:p w14:paraId="35815541" w14:textId="77777777" w:rsidR="004418C0" w:rsidRPr="00AA39A2" w:rsidRDefault="004418C0" w:rsidP="007F4489">
            <w:pPr>
              <w:spacing w:after="160" w:line="360" w:lineRule="auto"/>
              <w:jc w:val="both"/>
            </w:pPr>
            <w:r w:rsidRPr="00AA39A2">
              <w:t>1,87±0,02bc</w:t>
            </w:r>
          </w:p>
        </w:tc>
      </w:tr>
      <w:tr w:rsidR="004418C0" w:rsidRPr="00AA39A2" w14:paraId="5829094E" w14:textId="77777777" w:rsidTr="00A257C1">
        <w:trPr>
          <w:trHeight w:val="315"/>
          <w:jc w:val="center"/>
        </w:trPr>
        <w:tc>
          <w:tcPr>
            <w:tcW w:w="1268" w:type="dxa"/>
            <w:tcMar>
              <w:top w:w="30" w:type="dxa"/>
              <w:left w:w="45" w:type="dxa"/>
              <w:bottom w:w="30" w:type="dxa"/>
              <w:right w:w="45" w:type="dxa"/>
            </w:tcMar>
            <w:vAlign w:val="bottom"/>
            <w:hideMark/>
          </w:tcPr>
          <w:p w14:paraId="35E46D7F" w14:textId="77777777" w:rsidR="004418C0" w:rsidRPr="00AA39A2" w:rsidRDefault="004418C0" w:rsidP="007F4489">
            <w:pPr>
              <w:spacing w:after="160" w:line="360" w:lineRule="auto"/>
              <w:jc w:val="both"/>
            </w:pPr>
            <w:r w:rsidRPr="00AA39A2">
              <w:t>Mdou</w:t>
            </w:r>
          </w:p>
        </w:tc>
        <w:tc>
          <w:tcPr>
            <w:tcW w:w="1560" w:type="dxa"/>
            <w:tcMar>
              <w:top w:w="30" w:type="dxa"/>
              <w:left w:w="45" w:type="dxa"/>
              <w:bottom w:w="30" w:type="dxa"/>
              <w:right w:w="45" w:type="dxa"/>
            </w:tcMar>
            <w:vAlign w:val="bottom"/>
            <w:hideMark/>
          </w:tcPr>
          <w:p w14:paraId="17496360" w14:textId="77777777" w:rsidR="004418C0" w:rsidRPr="00AA39A2" w:rsidRDefault="004418C0" w:rsidP="007F4489">
            <w:pPr>
              <w:spacing w:after="160" w:line="360" w:lineRule="auto"/>
              <w:jc w:val="both"/>
            </w:pPr>
            <w:r w:rsidRPr="00AA39A2">
              <w:t>15,31±0,88b</w:t>
            </w:r>
          </w:p>
        </w:tc>
        <w:tc>
          <w:tcPr>
            <w:tcW w:w="1701" w:type="dxa"/>
            <w:tcMar>
              <w:top w:w="30" w:type="dxa"/>
              <w:left w:w="45" w:type="dxa"/>
              <w:bottom w:w="30" w:type="dxa"/>
              <w:right w:w="45" w:type="dxa"/>
            </w:tcMar>
            <w:vAlign w:val="bottom"/>
            <w:hideMark/>
          </w:tcPr>
          <w:p w14:paraId="7576233A" w14:textId="77777777" w:rsidR="004418C0" w:rsidRPr="00AA39A2" w:rsidRDefault="004418C0" w:rsidP="007F4489">
            <w:pPr>
              <w:spacing w:after="160" w:line="360" w:lineRule="auto"/>
              <w:jc w:val="both"/>
            </w:pPr>
            <w:r w:rsidRPr="00AA39A2">
              <w:t>2,41±0,04ab</w:t>
            </w:r>
          </w:p>
        </w:tc>
        <w:tc>
          <w:tcPr>
            <w:tcW w:w="1701" w:type="dxa"/>
            <w:tcMar>
              <w:top w:w="30" w:type="dxa"/>
              <w:left w:w="45" w:type="dxa"/>
              <w:bottom w:w="30" w:type="dxa"/>
              <w:right w:w="45" w:type="dxa"/>
            </w:tcMar>
            <w:vAlign w:val="bottom"/>
            <w:hideMark/>
          </w:tcPr>
          <w:p w14:paraId="5032619A" w14:textId="77777777" w:rsidR="004418C0" w:rsidRPr="00AA39A2" w:rsidRDefault="004418C0" w:rsidP="007F4489">
            <w:pPr>
              <w:spacing w:after="160" w:line="360" w:lineRule="auto"/>
              <w:jc w:val="both"/>
            </w:pPr>
            <w:r w:rsidRPr="00AA39A2">
              <w:t>3,91±0,02a</w:t>
            </w:r>
          </w:p>
        </w:tc>
        <w:tc>
          <w:tcPr>
            <w:tcW w:w="1842" w:type="dxa"/>
            <w:tcMar>
              <w:top w:w="30" w:type="dxa"/>
              <w:left w:w="45" w:type="dxa"/>
              <w:bottom w:w="30" w:type="dxa"/>
              <w:right w:w="45" w:type="dxa"/>
            </w:tcMar>
            <w:vAlign w:val="bottom"/>
            <w:hideMark/>
          </w:tcPr>
          <w:p w14:paraId="37D742C3" w14:textId="77777777" w:rsidR="004418C0" w:rsidRPr="00AA39A2" w:rsidRDefault="004418C0" w:rsidP="007F4489">
            <w:pPr>
              <w:spacing w:after="160" w:line="360" w:lineRule="auto"/>
              <w:jc w:val="both"/>
            </w:pPr>
            <w:r w:rsidRPr="00AA39A2">
              <w:t>1,41±0,04a</w:t>
            </w:r>
          </w:p>
        </w:tc>
      </w:tr>
      <w:tr w:rsidR="004418C0" w:rsidRPr="00AA39A2" w14:paraId="3DE2DE4A" w14:textId="77777777" w:rsidTr="00A257C1">
        <w:trPr>
          <w:trHeight w:val="315"/>
          <w:jc w:val="center"/>
        </w:trPr>
        <w:tc>
          <w:tcPr>
            <w:tcW w:w="1268" w:type="dxa"/>
            <w:tcMar>
              <w:top w:w="30" w:type="dxa"/>
              <w:left w:w="45" w:type="dxa"/>
              <w:bottom w:w="30" w:type="dxa"/>
              <w:right w:w="45" w:type="dxa"/>
            </w:tcMar>
            <w:vAlign w:val="bottom"/>
            <w:hideMark/>
          </w:tcPr>
          <w:p w14:paraId="3956E6B4" w14:textId="77777777" w:rsidR="004418C0" w:rsidRPr="00AA39A2" w:rsidRDefault="004418C0" w:rsidP="007F4489">
            <w:pPr>
              <w:spacing w:after="160" w:line="360" w:lineRule="auto"/>
              <w:jc w:val="both"/>
            </w:pPr>
            <w:r w:rsidRPr="00AA39A2">
              <w:t>Kmr</w:t>
            </w:r>
          </w:p>
        </w:tc>
        <w:tc>
          <w:tcPr>
            <w:tcW w:w="1560" w:type="dxa"/>
            <w:tcMar>
              <w:top w:w="30" w:type="dxa"/>
              <w:left w:w="45" w:type="dxa"/>
              <w:bottom w:w="30" w:type="dxa"/>
              <w:right w:w="45" w:type="dxa"/>
            </w:tcMar>
            <w:vAlign w:val="bottom"/>
            <w:hideMark/>
          </w:tcPr>
          <w:p w14:paraId="55DD5A69" w14:textId="77777777" w:rsidR="004418C0" w:rsidRPr="00AA39A2" w:rsidRDefault="004418C0" w:rsidP="007F4489">
            <w:pPr>
              <w:spacing w:after="160" w:line="360" w:lineRule="auto"/>
              <w:jc w:val="both"/>
            </w:pPr>
            <w:r w:rsidRPr="00AA39A2">
              <w:t>15,13±0,44b</w:t>
            </w:r>
          </w:p>
        </w:tc>
        <w:tc>
          <w:tcPr>
            <w:tcW w:w="1701" w:type="dxa"/>
            <w:tcMar>
              <w:top w:w="30" w:type="dxa"/>
              <w:left w:w="45" w:type="dxa"/>
              <w:bottom w:w="30" w:type="dxa"/>
              <w:right w:w="45" w:type="dxa"/>
            </w:tcMar>
            <w:vAlign w:val="bottom"/>
            <w:hideMark/>
          </w:tcPr>
          <w:p w14:paraId="27E251E0" w14:textId="77777777" w:rsidR="004418C0" w:rsidRPr="00AA39A2" w:rsidRDefault="004418C0" w:rsidP="007F4489">
            <w:pPr>
              <w:spacing w:after="160" w:line="360" w:lineRule="auto"/>
              <w:jc w:val="both"/>
            </w:pPr>
            <w:r w:rsidRPr="00AA39A2">
              <w:t>2,35±0,05a</w:t>
            </w:r>
          </w:p>
        </w:tc>
        <w:tc>
          <w:tcPr>
            <w:tcW w:w="1701" w:type="dxa"/>
            <w:tcMar>
              <w:top w:w="30" w:type="dxa"/>
              <w:left w:w="45" w:type="dxa"/>
              <w:bottom w:w="30" w:type="dxa"/>
              <w:right w:w="45" w:type="dxa"/>
            </w:tcMar>
            <w:vAlign w:val="bottom"/>
            <w:hideMark/>
          </w:tcPr>
          <w:p w14:paraId="306BCF26" w14:textId="77777777" w:rsidR="004418C0" w:rsidRPr="00AA39A2" w:rsidRDefault="004418C0" w:rsidP="007F4489">
            <w:pPr>
              <w:spacing w:after="160" w:line="360" w:lineRule="auto"/>
              <w:jc w:val="both"/>
            </w:pPr>
            <w:r w:rsidRPr="00AA39A2">
              <w:t>3,93±0,05a</w:t>
            </w:r>
          </w:p>
        </w:tc>
        <w:tc>
          <w:tcPr>
            <w:tcW w:w="1842" w:type="dxa"/>
            <w:tcMar>
              <w:top w:w="30" w:type="dxa"/>
              <w:left w:w="45" w:type="dxa"/>
              <w:bottom w:w="30" w:type="dxa"/>
              <w:right w:w="45" w:type="dxa"/>
            </w:tcMar>
            <w:vAlign w:val="bottom"/>
            <w:hideMark/>
          </w:tcPr>
          <w:p w14:paraId="32F6B74D" w14:textId="77777777" w:rsidR="004418C0" w:rsidRPr="00AA39A2" w:rsidRDefault="004418C0" w:rsidP="007F4489">
            <w:pPr>
              <w:spacing w:after="160" w:line="360" w:lineRule="auto"/>
              <w:jc w:val="both"/>
            </w:pPr>
            <w:r w:rsidRPr="00AA39A2">
              <w:t>1,35±0,05a</w:t>
            </w:r>
          </w:p>
        </w:tc>
      </w:tr>
      <w:tr w:rsidR="004418C0" w:rsidRPr="00AA39A2" w14:paraId="3082897B" w14:textId="77777777" w:rsidTr="00A257C1">
        <w:trPr>
          <w:trHeight w:val="315"/>
          <w:jc w:val="center"/>
        </w:trPr>
        <w:tc>
          <w:tcPr>
            <w:tcW w:w="1268" w:type="dxa"/>
            <w:tcMar>
              <w:top w:w="30" w:type="dxa"/>
              <w:left w:w="45" w:type="dxa"/>
              <w:bottom w:w="30" w:type="dxa"/>
              <w:right w:w="45" w:type="dxa"/>
            </w:tcMar>
            <w:vAlign w:val="bottom"/>
            <w:hideMark/>
          </w:tcPr>
          <w:p w14:paraId="43768424" w14:textId="77777777" w:rsidR="004418C0" w:rsidRPr="00AA39A2" w:rsidRDefault="004418C0" w:rsidP="007F4489">
            <w:pPr>
              <w:spacing w:after="160" w:line="360" w:lineRule="auto"/>
              <w:jc w:val="both"/>
            </w:pPr>
            <w:r w:rsidRPr="00AA39A2">
              <w:t>Bgr</w:t>
            </w:r>
          </w:p>
        </w:tc>
        <w:tc>
          <w:tcPr>
            <w:tcW w:w="1560" w:type="dxa"/>
            <w:tcMar>
              <w:top w:w="30" w:type="dxa"/>
              <w:left w:w="45" w:type="dxa"/>
              <w:bottom w:w="30" w:type="dxa"/>
              <w:right w:w="45" w:type="dxa"/>
            </w:tcMar>
            <w:vAlign w:val="bottom"/>
            <w:hideMark/>
          </w:tcPr>
          <w:p w14:paraId="34B828F4" w14:textId="77777777" w:rsidR="004418C0" w:rsidRPr="00AA39A2" w:rsidRDefault="004418C0" w:rsidP="007F4489">
            <w:pPr>
              <w:spacing w:after="160" w:line="360" w:lineRule="auto"/>
              <w:jc w:val="both"/>
            </w:pPr>
            <w:r w:rsidRPr="00AA39A2">
              <w:t>14,96±0,11b</w:t>
            </w:r>
          </w:p>
        </w:tc>
        <w:tc>
          <w:tcPr>
            <w:tcW w:w="1701" w:type="dxa"/>
            <w:tcMar>
              <w:top w:w="30" w:type="dxa"/>
              <w:left w:w="45" w:type="dxa"/>
              <w:bottom w:w="30" w:type="dxa"/>
              <w:right w:w="45" w:type="dxa"/>
            </w:tcMar>
            <w:vAlign w:val="bottom"/>
            <w:hideMark/>
          </w:tcPr>
          <w:p w14:paraId="1807E43F" w14:textId="77777777" w:rsidR="004418C0" w:rsidRPr="00AA39A2" w:rsidRDefault="004418C0" w:rsidP="007F4489">
            <w:pPr>
              <w:spacing w:after="160" w:line="360" w:lineRule="auto"/>
              <w:jc w:val="both"/>
            </w:pPr>
            <w:r w:rsidRPr="00AA39A2">
              <w:t>2,59±0,25b</w:t>
            </w:r>
          </w:p>
        </w:tc>
        <w:tc>
          <w:tcPr>
            <w:tcW w:w="1701" w:type="dxa"/>
            <w:tcMar>
              <w:top w:w="30" w:type="dxa"/>
              <w:left w:w="45" w:type="dxa"/>
              <w:bottom w:w="30" w:type="dxa"/>
              <w:right w:w="45" w:type="dxa"/>
            </w:tcMar>
            <w:vAlign w:val="bottom"/>
            <w:hideMark/>
          </w:tcPr>
          <w:p w14:paraId="01CC02EE" w14:textId="77777777" w:rsidR="004418C0" w:rsidRPr="00AA39A2" w:rsidRDefault="004418C0" w:rsidP="007F4489">
            <w:pPr>
              <w:spacing w:after="160" w:line="360" w:lineRule="auto"/>
              <w:jc w:val="both"/>
            </w:pPr>
            <w:r w:rsidRPr="00AA39A2">
              <w:t>3,89±0,09a</w:t>
            </w:r>
          </w:p>
        </w:tc>
        <w:tc>
          <w:tcPr>
            <w:tcW w:w="1842" w:type="dxa"/>
            <w:tcMar>
              <w:top w:w="30" w:type="dxa"/>
              <w:left w:w="45" w:type="dxa"/>
              <w:bottom w:w="30" w:type="dxa"/>
              <w:right w:w="45" w:type="dxa"/>
            </w:tcMar>
            <w:vAlign w:val="bottom"/>
            <w:hideMark/>
          </w:tcPr>
          <w:p w14:paraId="0A99273A" w14:textId="77777777" w:rsidR="004418C0" w:rsidRPr="00AA39A2" w:rsidRDefault="004418C0" w:rsidP="007F4489">
            <w:pPr>
              <w:spacing w:after="160" w:line="360" w:lineRule="auto"/>
              <w:jc w:val="both"/>
            </w:pPr>
            <w:r w:rsidRPr="00AA39A2">
              <w:t>1,71±0,31b</w:t>
            </w:r>
          </w:p>
        </w:tc>
      </w:tr>
      <w:tr w:rsidR="004418C0" w:rsidRPr="00AA39A2" w14:paraId="70ECC42F" w14:textId="77777777" w:rsidTr="00A257C1">
        <w:trPr>
          <w:trHeight w:val="315"/>
          <w:jc w:val="center"/>
        </w:trPr>
        <w:tc>
          <w:tcPr>
            <w:tcW w:w="1268" w:type="dxa"/>
            <w:tcMar>
              <w:top w:w="30" w:type="dxa"/>
              <w:left w:w="45" w:type="dxa"/>
              <w:bottom w:w="30" w:type="dxa"/>
              <w:right w:w="45" w:type="dxa"/>
            </w:tcMar>
            <w:vAlign w:val="bottom"/>
            <w:hideMark/>
          </w:tcPr>
          <w:p w14:paraId="1AE10101" w14:textId="39A191DA" w:rsidR="004418C0" w:rsidRPr="00AA39A2" w:rsidRDefault="00A257C1" w:rsidP="007F4489">
            <w:pPr>
              <w:spacing w:after="160" w:line="360" w:lineRule="auto"/>
              <w:jc w:val="both"/>
            </w:pPr>
            <w:r w:rsidRPr="00AA39A2">
              <w:t>P</w:t>
            </w:r>
            <w:r w:rsidR="004418C0" w:rsidRPr="00AA39A2">
              <w:t>-value</w:t>
            </w:r>
          </w:p>
        </w:tc>
        <w:tc>
          <w:tcPr>
            <w:tcW w:w="1560" w:type="dxa"/>
            <w:tcMar>
              <w:top w:w="30" w:type="dxa"/>
              <w:left w:w="45" w:type="dxa"/>
              <w:bottom w:w="30" w:type="dxa"/>
              <w:right w:w="45" w:type="dxa"/>
            </w:tcMar>
            <w:vAlign w:val="bottom"/>
            <w:hideMark/>
          </w:tcPr>
          <w:p w14:paraId="44F038F9" w14:textId="77777777" w:rsidR="004418C0" w:rsidRPr="00AA39A2" w:rsidRDefault="004418C0" w:rsidP="007F4489">
            <w:pPr>
              <w:spacing w:after="160" w:line="360" w:lineRule="auto"/>
              <w:jc w:val="both"/>
            </w:pPr>
            <w:r w:rsidRPr="00AA39A2">
              <w:t>0,0014</w:t>
            </w:r>
          </w:p>
        </w:tc>
        <w:tc>
          <w:tcPr>
            <w:tcW w:w="1701" w:type="dxa"/>
            <w:tcMar>
              <w:top w:w="30" w:type="dxa"/>
              <w:left w:w="45" w:type="dxa"/>
              <w:bottom w:w="30" w:type="dxa"/>
              <w:right w:w="45" w:type="dxa"/>
            </w:tcMar>
            <w:vAlign w:val="bottom"/>
            <w:hideMark/>
          </w:tcPr>
          <w:p w14:paraId="4EC69417" w14:textId="77777777" w:rsidR="004418C0" w:rsidRPr="00AA39A2" w:rsidRDefault="004418C0" w:rsidP="007F4489">
            <w:pPr>
              <w:spacing w:after="160" w:line="360" w:lineRule="auto"/>
              <w:jc w:val="both"/>
            </w:pPr>
            <w:r w:rsidRPr="00AA39A2">
              <w:t>&lt; 0,001</w:t>
            </w:r>
          </w:p>
        </w:tc>
        <w:tc>
          <w:tcPr>
            <w:tcW w:w="1701" w:type="dxa"/>
            <w:tcMar>
              <w:top w:w="30" w:type="dxa"/>
              <w:left w:w="45" w:type="dxa"/>
              <w:bottom w:w="30" w:type="dxa"/>
              <w:right w:w="45" w:type="dxa"/>
            </w:tcMar>
            <w:vAlign w:val="bottom"/>
            <w:hideMark/>
          </w:tcPr>
          <w:p w14:paraId="332C209B" w14:textId="77777777" w:rsidR="004418C0" w:rsidRPr="00AA39A2" w:rsidRDefault="004418C0" w:rsidP="007F4489">
            <w:pPr>
              <w:spacing w:after="160" w:line="360" w:lineRule="auto"/>
              <w:jc w:val="both"/>
            </w:pPr>
            <w:r w:rsidRPr="00AA39A2">
              <w:t>0,958 (ns)</w:t>
            </w:r>
          </w:p>
        </w:tc>
        <w:tc>
          <w:tcPr>
            <w:tcW w:w="1842" w:type="dxa"/>
            <w:tcMar>
              <w:top w:w="30" w:type="dxa"/>
              <w:left w:w="45" w:type="dxa"/>
              <w:bottom w:w="30" w:type="dxa"/>
              <w:right w:w="45" w:type="dxa"/>
            </w:tcMar>
            <w:vAlign w:val="bottom"/>
            <w:hideMark/>
          </w:tcPr>
          <w:p w14:paraId="3EEBA384" w14:textId="77777777" w:rsidR="004418C0" w:rsidRPr="00AA39A2" w:rsidRDefault="004418C0" w:rsidP="007F4489">
            <w:pPr>
              <w:spacing w:after="160" w:line="360" w:lineRule="auto"/>
              <w:jc w:val="both"/>
            </w:pPr>
            <w:r w:rsidRPr="00AA39A2">
              <w:t>&lt; 0,001</w:t>
            </w:r>
          </w:p>
        </w:tc>
      </w:tr>
    </w:tbl>
    <w:p w14:paraId="450BA8C4" w14:textId="6FBE638D" w:rsidR="004B1D75" w:rsidRPr="00CC36F1" w:rsidRDefault="004B1D75" w:rsidP="004B1D75">
      <w:pPr>
        <w:spacing w:line="360" w:lineRule="auto"/>
        <w:jc w:val="both"/>
        <w:rPr>
          <w:i/>
          <w:iCs/>
          <w:lang w:val="en-GB"/>
        </w:rPr>
      </w:pPr>
      <w:r w:rsidRPr="00CC36F1">
        <w:rPr>
          <w:i/>
          <w:iCs/>
          <w:lang w:val="en-GB"/>
        </w:rPr>
        <w:t>(n=100); within the same row, means followed by the same letters are not significantly different (P &lt; 0.05).</w:t>
      </w:r>
    </w:p>
    <w:p w14:paraId="1CA9E368" w14:textId="77777777" w:rsidR="004418C0" w:rsidRPr="00CC36F1" w:rsidRDefault="004418C0" w:rsidP="004418C0">
      <w:pPr>
        <w:spacing w:line="360" w:lineRule="auto"/>
        <w:jc w:val="both"/>
        <w:rPr>
          <w:i/>
          <w:iCs/>
          <w:lang w:val="en-GB"/>
        </w:rPr>
      </w:pPr>
    </w:p>
    <w:p w14:paraId="41F6CD1E" w14:textId="77777777" w:rsidR="00CC728C" w:rsidRPr="00CC36F1" w:rsidRDefault="00CC728C" w:rsidP="00CC728C">
      <w:pPr>
        <w:spacing w:line="360" w:lineRule="auto"/>
        <w:jc w:val="both"/>
        <w:outlineLvl w:val="2"/>
        <w:rPr>
          <w:b/>
          <w:bCs/>
          <w:lang w:val="en-GB"/>
        </w:rPr>
      </w:pPr>
      <w:bookmarkStart w:id="1" w:name="_Hlk166503387"/>
      <w:r w:rsidRPr="00CC36F1">
        <w:rPr>
          <w:b/>
          <w:bCs/>
          <w:lang w:val="en-GB"/>
        </w:rPr>
        <w:t>Moisture Content and Preservation</w:t>
      </w:r>
    </w:p>
    <w:p w14:paraId="75D9FA83" w14:textId="5ECD88EA" w:rsidR="00CC728C" w:rsidRPr="00CC36F1" w:rsidRDefault="00CC728C" w:rsidP="00CC728C">
      <w:pPr>
        <w:spacing w:line="360" w:lineRule="auto"/>
        <w:jc w:val="both"/>
        <w:outlineLvl w:val="2"/>
        <w:rPr>
          <w:lang w:val="en-GB"/>
        </w:rPr>
      </w:pPr>
      <w:r w:rsidRPr="00CC36F1">
        <w:rPr>
          <w:lang w:val="en-GB"/>
        </w:rPr>
        <w:t>Moisture analysis reveals significant variability between sites (p = 0.0014), with values ranging from 13.90±0.06% (</w:t>
      </w:r>
      <w:proofErr w:type="spellStart"/>
      <w:r w:rsidRPr="00CC36F1">
        <w:rPr>
          <w:lang w:val="en-GB"/>
        </w:rPr>
        <w:t>Bebedja</w:t>
      </w:r>
      <w:proofErr w:type="spellEnd"/>
      <w:r w:rsidRPr="00CC36F1">
        <w:rPr>
          <w:lang w:val="en-GB"/>
        </w:rPr>
        <w:t>) to 15.31±0.88% (</w:t>
      </w:r>
      <w:proofErr w:type="spellStart"/>
      <w:r w:rsidRPr="00CC36F1">
        <w:rPr>
          <w:lang w:val="en-GB"/>
        </w:rPr>
        <w:t>Moundou</w:t>
      </w:r>
      <w:proofErr w:type="spellEnd"/>
      <w:r w:rsidRPr="00CC36F1">
        <w:rPr>
          <w:lang w:val="en-GB"/>
        </w:rPr>
        <w:t xml:space="preserve">). Although the moisture levels in </w:t>
      </w:r>
      <w:proofErr w:type="spellStart"/>
      <w:r w:rsidRPr="00CC36F1">
        <w:rPr>
          <w:lang w:val="en-GB"/>
        </w:rPr>
        <w:t>Bebedja</w:t>
      </w:r>
      <w:proofErr w:type="spellEnd"/>
      <w:r w:rsidRPr="00CC36F1">
        <w:rPr>
          <w:lang w:val="en-GB"/>
        </w:rPr>
        <w:t xml:space="preserve"> (13.90%) are close to the standards reported in Ghana by </w:t>
      </w:r>
      <w:proofErr w:type="spellStart"/>
      <w:r w:rsidRPr="00CC36F1">
        <w:rPr>
          <w:b/>
          <w:bCs/>
          <w:lang w:val="en-GB"/>
        </w:rPr>
        <w:t>Amanor-Atiemoh</w:t>
      </w:r>
      <w:proofErr w:type="spellEnd"/>
      <w:r w:rsidRPr="00CC36F1">
        <w:rPr>
          <w:b/>
          <w:bCs/>
          <w:lang w:val="en-GB"/>
        </w:rPr>
        <w:t xml:space="preserve"> </w:t>
      </w:r>
      <w:r w:rsidRPr="00CC36F1">
        <w:rPr>
          <w:b/>
          <w:bCs/>
          <w:i/>
          <w:iCs/>
          <w:lang w:val="en-GB"/>
        </w:rPr>
        <w:t>et al.</w:t>
      </w:r>
      <w:r w:rsidRPr="00CC36F1">
        <w:rPr>
          <w:b/>
          <w:bCs/>
          <w:lang w:val="en-GB"/>
        </w:rPr>
        <w:t xml:space="preserve"> (2020)</w:t>
      </w:r>
      <w:r w:rsidRPr="00CC36F1">
        <w:rPr>
          <w:lang w:val="en-GB"/>
        </w:rPr>
        <w:t xml:space="preserve">, the values in </w:t>
      </w:r>
      <w:proofErr w:type="spellStart"/>
      <w:r w:rsidRPr="00CC36F1">
        <w:rPr>
          <w:lang w:val="en-GB"/>
        </w:rPr>
        <w:t>Moundou</w:t>
      </w:r>
      <w:proofErr w:type="spellEnd"/>
      <w:r w:rsidRPr="00CC36F1">
        <w:rPr>
          <w:lang w:val="en-GB"/>
        </w:rPr>
        <w:t xml:space="preserve"> (15.31%) highlight the need to improve drying infrastructure to ensure long-term stability. As noted by </w:t>
      </w:r>
      <w:r w:rsidRPr="00CC36F1">
        <w:rPr>
          <w:b/>
          <w:bCs/>
          <w:lang w:val="en-GB"/>
        </w:rPr>
        <w:t>Sawadogo-Lingani (1993)</w:t>
      </w:r>
      <w:r w:rsidRPr="00CC36F1">
        <w:rPr>
          <w:lang w:val="en-GB"/>
        </w:rPr>
        <w:t xml:space="preserve">, moisture content directly influences the shelf-life and perishability of foods. A moisture content exceeding 14\% promotes microbial, enzymatic, and chemical activity, thereby reducing the shelf-life of organic products. This parameter is influenced by variety, climatic conditions (particularly rainfall), and drying parameters (time and method), as suggested by </w:t>
      </w:r>
      <w:proofErr w:type="spellStart"/>
      <w:r w:rsidRPr="00CC36F1">
        <w:rPr>
          <w:b/>
          <w:bCs/>
          <w:lang w:val="en-GB"/>
        </w:rPr>
        <w:t>Ndangui</w:t>
      </w:r>
      <w:proofErr w:type="spellEnd"/>
      <w:r w:rsidRPr="00CC36F1">
        <w:rPr>
          <w:b/>
          <w:bCs/>
          <w:lang w:val="en-GB"/>
        </w:rPr>
        <w:t xml:space="preserve"> </w:t>
      </w:r>
      <w:r w:rsidRPr="00CC36F1">
        <w:rPr>
          <w:b/>
          <w:bCs/>
          <w:i/>
          <w:iCs/>
          <w:lang w:val="en-GB"/>
        </w:rPr>
        <w:t>et al.</w:t>
      </w:r>
      <w:r w:rsidRPr="00CC36F1">
        <w:rPr>
          <w:b/>
          <w:bCs/>
          <w:lang w:val="en-GB"/>
        </w:rPr>
        <w:t xml:space="preserve"> (2015)</w:t>
      </w:r>
      <w:r w:rsidRPr="00CC36F1">
        <w:rPr>
          <w:lang w:val="en-GB"/>
        </w:rPr>
        <w:t xml:space="preserve"> and </w:t>
      </w:r>
      <w:r w:rsidRPr="00CC36F1">
        <w:rPr>
          <w:b/>
          <w:bCs/>
          <w:lang w:val="en-GB"/>
        </w:rPr>
        <w:t xml:space="preserve">Tambo </w:t>
      </w:r>
      <w:r w:rsidRPr="00CC36F1">
        <w:rPr>
          <w:b/>
          <w:bCs/>
          <w:i/>
          <w:iCs/>
          <w:lang w:val="en-GB"/>
        </w:rPr>
        <w:t>et al.</w:t>
      </w:r>
      <w:r w:rsidRPr="00CC36F1">
        <w:rPr>
          <w:b/>
          <w:bCs/>
          <w:lang w:val="en-GB"/>
        </w:rPr>
        <w:t xml:space="preserve"> (2019)</w:t>
      </w:r>
      <w:r w:rsidRPr="00CC36F1">
        <w:rPr>
          <w:lang w:val="en-GB"/>
        </w:rPr>
        <w:t>.</w:t>
      </w:r>
      <w:r w:rsidR="002216F9" w:rsidRPr="00CC36F1">
        <w:rPr>
          <w:lang w:val="en-GB"/>
        </w:rPr>
        <w:t xml:space="preserve"> </w:t>
      </w:r>
      <w:r w:rsidRPr="00CC36F1">
        <w:rPr>
          <w:lang w:val="en-GB"/>
        </w:rPr>
        <w:t xml:space="preserve">Our results show that most samples exceed the critical threshold of 14\%, beyond which fungal growth is </w:t>
      </w:r>
      <w:proofErr w:type="spellStart"/>
      <w:r w:rsidRPr="00CC36F1">
        <w:rPr>
          <w:lang w:val="en-GB"/>
        </w:rPr>
        <w:t>favored</w:t>
      </w:r>
      <w:proofErr w:type="spellEnd"/>
      <w:r w:rsidRPr="00CC36F1">
        <w:rPr>
          <w:lang w:val="en-GB"/>
        </w:rPr>
        <w:t xml:space="preserve">. This high residual moisture is explained by the low efficiency of the slow-flow solar dryers used by Chadian artisans, especially in high-rainfall areas. However, these levels remain lower than those obtained by </w:t>
      </w:r>
      <w:r w:rsidRPr="00CC36F1">
        <w:rPr>
          <w:b/>
          <w:bCs/>
          <w:lang w:val="en-GB"/>
        </w:rPr>
        <w:t xml:space="preserve">Kameni </w:t>
      </w:r>
      <w:r w:rsidRPr="00CC36F1">
        <w:rPr>
          <w:b/>
          <w:bCs/>
          <w:i/>
          <w:iCs/>
          <w:lang w:val="en-GB"/>
        </w:rPr>
        <w:t>et al.</w:t>
      </w:r>
      <w:r w:rsidRPr="00CC36F1">
        <w:rPr>
          <w:b/>
          <w:bCs/>
          <w:lang w:val="en-GB"/>
        </w:rPr>
        <w:t xml:space="preserve"> (2003)</w:t>
      </w:r>
      <w:r w:rsidRPr="00CC36F1">
        <w:rPr>
          <w:lang w:val="en-GB"/>
        </w:rPr>
        <w:t xml:space="preserve"> (16.8% to 22.6%), likely due to differences in fruit maturity, drying times, and the higher ambient humidity in Cameroon.</w:t>
      </w:r>
    </w:p>
    <w:p w14:paraId="466C6508" w14:textId="77777777" w:rsidR="00CC728C" w:rsidRPr="00CC36F1" w:rsidRDefault="00CC728C" w:rsidP="00CC728C">
      <w:pPr>
        <w:spacing w:line="360" w:lineRule="auto"/>
        <w:jc w:val="both"/>
        <w:outlineLvl w:val="2"/>
        <w:rPr>
          <w:b/>
          <w:bCs/>
          <w:lang w:val="en-GB"/>
        </w:rPr>
      </w:pPr>
      <w:r w:rsidRPr="00CC36F1">
        <w:rPr>
          <w:b/>
          <w:bCs/>
          <w:lang w:val="en-GB"/>
        </w:rPr>
        <w:t>Ash and Mineral Potential</w:t>
      </w:r>
    </w:p>
    <w:p w14:paraId="476CBE0B" w14:textId="2DB78BC3" w:rsidR="00CC728C" w:rsidRPr="00CC36F1" w:rsidRDefault="00CC728C" w:rsidP="00CC728C">
      <w:pPr>
        <w:spacing w:line="360" w:lineRule="auto"/>
        <w:jc w:val="both"/>
        <w:outlineLvl w:val="2"/>
        <w:rPr>
          <w:lang w:val="en-GB"/>
        </w:rPr>
      </w:pPr>
      <w:r w:rsidRPr="00CC36F1">
        <w:rPr>
          <w:lang w:val="en-GB"/>
        </w:rPr>
        <w:lastRenderedPageBreak/>
        <w:t>Ash content represents the inorganic portion of the matrix and indicates mineral richness. A content below 5% is recommended for complementary foods (</w:t>
      </w:r>
      <w:r w:rsidRPr="00CC36F1">
        <w:rPr>
          <w:b/>
          <w:bCs/>
          <w:lang w:val="en-GB"/>
        </w:rPr>
        <w:t>FAO/WHO, 2006</w:t>
      </w:r>
      <w:r w:rsidRPr="00CC36F1">
        <w:rPr>
          <w:lang w:val="en-GB"/>
        </w:rPr>
        <w:t xml:space="preserve">). The observed ash levels (2.35 to 2.87 g/100 g) are slightly higher than those reported by </w:t>
      </w:r>
      <w:r w:rsidRPr="00CC36F1">
        <w:rPr>
          <w:b/>
          <w:bCs/>
          <w:lang w:val="en-GB"/>
        </w:rPr>
        <w:t xml:space="preserve">Haque </w:t>
      </w:r>
      <w:r w:rsidRPr="00CC36F1">
        <w:rPr>
          <w:b/>
          <w:bCs/>
          <w:i/>
          <w:iCs/>
          <w:lang w:val="en-GB"/>
        </w:rPr>
        <w:t>et al.</w:t>
      </w:r>
      <w:r w:rsidRPr="00CC36F1">
        <w:rPr>
          <w:b/>
          <w:bCs/>
          <w:lang w:val="en-GB"/>
        </w:rPr>
        <w:t xml:space="preserve"> (2022)</w:t>
      </w:r>
      <w:r w:rsidRPr="00CC36F1">
        <w:rPr>
          <w:lang w:val="en-GB"/>
        </w:rPr>
        <w:t xml:space="preserve"> in Bangladesh and align with observations by </w:t>
      </w:r>
      <w:r w:rsidRPr="00CC36F1">
        <w:rPr>
          <w:b/>
          <w:bCs/>
          <w:lang w:val="en-GB"/>
        </w:rPr>
        <w:t xml:space="preserve">Olatunde </w:t>
      </w:r>
      <w:r w:rsidRPr="00CC36F1">
        <w:rPr>
          <w:b/>
          <w:bCs/>
          <w:i/>
          <w:iCs/>
          <w:lang w:val="en-GB"/>
        </w:rPr>
        <w:t>et al.</w:t>
      </w:r>
      <w:r w:rsidRPr="00CC36F1">
        <w:rPr>
          <w:b/>
          <w:bCs/>
          <w:lang w:val="en-GB"/>
        </w:rPr>
        <w:t xml:space="preserve"> (2023)</w:t>
      </w:r>
      <w:r w:rsidRPr="00CC36F1">
        <w:rPr>
          <w:lang w:val="en-GB"/>
        </w:rPr>
        <w:t xml:space="preserve"> in Nigeria. This high mineral concentration underscores the nutritional potential of dried mangoes from Southern Chad for micronutrient supplementation. The higher levels in </w:t>
      </w:r>
      <w:proofErr w:type="spellStart"/>
      <w:r w:rsidRPr="00CC36F1">
        <w:rPr>
          <w:lang w:val="en-GB"/>
        </w:rPr>
        <w:t>Bebedja</w:t>
      </w:r>
      <w:proofErr w:type="spellEnd"/>
      <w:r w:rsidRPr="00CC36F1">
        <w:rPr>
          <w:lang w:val="en-GB"/>
        </w:rPr>
        <w:t xml:space="preserve"> may be linked to soil composition, local varieties, and lower rainfall </w:t>
      </w:r>
      <w:proofErr w:type="spellStart"/>
      <w:r w:rsidRPr="00CC36F1">
        <w:rPr>
          <w:lang w:val="en-GB"/>
        </w:rPr>
        <w:t>favoring</w:t>
      </w:r>
      <w:proofErr w:type="spellEnd"/>
      <w:r w:rsidRPr="00CC36F1">
        <w:rPr>
          <w:lang w:val="en-GB"/>
        </w:rPr>
        <w:t xml:space="preserve"> mineral absorption. Furthermore, as demonstrated by </w:t>
      </w:r>
      <w:r w:rsidRPr="00CC36F1">
        <w:rPr>
          <w:b/>
          <w:bCs/>
          <w:lang w:val="en-GB"/>
        </w:rPr>
        <w:t xml:space="preserve">Mwamba </w:t>
      </w:r>
      <w:r w:rsidRPr="00CC36F1">
        <w:rPr>
          <w:b/>
          <w:bCs/>
          <w:i/>
          <w:iCs/>
          <w:lang w:val="en-GB"/>
        </w:rPr>
        <w:t>et al.</w:t>
      </w:r>
      <w:r w:rsidRPr="00CC36F1">
        <w:rPr>
          <w:b/>
          <w:bCs/>
          <w:lang w:val="en-GB"/>
        </w:rPr>
        <w:t xml:space="preserve"> (2018)</w:t>
      </w:r>
      <w:r w:rsidRPr="00CC36F1">
        <w:rPr>
          <w:lang w:val="en-GB"/>
        </w:rPr>
        <w:t>, solar drying can sometimes lead to mineral loss through diffusion during water elimination, emphasizing the benefit of controlled oven drying.</w:t>
      </w:r>
    </w:p>
    <w:p w14:paraId="31C3998B" w14:textId="77777777" w:rsidR="00CC728C" w:rsidRPr="00CC36F1" w:rsidRDefault="00CC728C" w:rsidP="00CC728C">
      <w:pPr>
        <w:spacing w:line="360" w:lineRule="auto"/>
        <w:jc w:val="both"/>
        <w:outlineLvl w:val="2"/>
        <w:rPr>
          <w:b/>
          <w:bCs/>
          <w:lang w:val="en-GB"/>
        </w:rPr>
      </w:pPr>
      <w:r w:rsidRPr="00CC36F1">
        <w:rPr>
          <w:b/>
          <w:bCs/>
          <w:lang w:val="en-GB"/>
        </w:rPr>
        <w:t>Protein Content and Malnutrition Control</w:t>
      </w:r>
    </w:p>
    <w:p w14:paraId="37E63267" w14:textId="4F39A3D1" w:rsidR="00CC728C" w:rsidRPr="00CC36F1" w:rsidRDefault="00CC728C" w:rsidP="00CC728C">
      <w:pPr>
        <w:spacing w:line="360" w:lineRule="auto"/>
        <w:jc w:val="both"/>
        <w:outlineLvl w:val="2"/>
        <w:rPr>
          <w:lang w:val="en-GB"/>
        </w:rPr>
      </w:pPr>
      <w:r w:rsidRPr="00CC36F1">
        <w:rPr>
          <w:lang w:val="en-GB"/>
        </w:rPr>
        <w:t>The protein content in our samples (3.9 g/100 g) is significantly higher than values reported in Bangladesh (1.50–2.10 g/100 g) and Uganda (2.10–2.80 g/100 g). This stability across production zones suggests a homogeneity in cultivars or agricultural practices in Southern Chad. These results confirm that Chadian dried mango could play a crucial role in meeting the protein requirements of vulnerable populations (</w:t>
      </w:r>
      <w:r w:rsidRPr="00CC36F1">
        <w:rPr>
          <w:b/>
          <w:bCs/>
          <w:lang w:val="en-GB"/>
        </w:rPr>
        <w:t xml:space="preserve">Maldonado-Celis </w:t>
      </w:r>
      <w:r w:rsidRPr="00CC36F1">
        <w:rPr>
          <w:b/>
          <w:bCs/>
          <w:i/>
          <w:iCs/>
          <w:lang w:val="en-GB"/>
        </w:rPr>
        <w:t>et al.</w:t>
      </w:r>
      <w:r w:rsidRPr="00CC36F1">
        <w:rPr>
          <w:b/>
          <w:bCs/>
          <w:lang w:val="en-GB"/>
        </w:rPr>
        <w:t>, 2022</w:t>
      </w:r>
      <w:r w:rsidRPr="00CC36F1">
        <w:rPr>
          <w:lang w:val="en-GB"/>
        </w:rPr>
        <w:t xml:space="preserve">). The high protein content in </w:t>
      </w:r>
      <w:proofErr w:type="spellStart"/>
      <w:r w:rsidRPr="00CC36F1">
        <w:rPr>
          <w:lang w:val="en-GB"/>
        </w:rPr>
        <w:t>Koumra</w:t>
      </w:r>
      <w:proofErr w:type="spellEnd"/>
      <w:r w:rsidRPr="00CC36F1">
        <w:rPr>
          <w:lang w:val="en-GB"/>
        </w:rPr>
        <w:t xml:space="preserve"> samples might be explained by a genetic overexpression of protein synthesis at the expense of lipids and carbohydrates, supported by the negative correlations observed between proteins and carbohydrates (r = -0.6322) and lipids (r = -0.8477). These values are five times higher than those reported by </w:t>
      </w:r>
      <w:r w:rsidRPr="00CC36F1">
        <w:rPr>
          <w:b/>
          <w:bCs/>
          <w:lang w:val="en-GB"/>
        </w:rPr>
        <w:t>Traoré (2013)</w:t>
      </w:r>
      <w:r w:rsidRPr="00CC36F1">
        <w:rPr>
          <w:lang w:val="en-GB"/>
        </w:rPr>
        <w:t>, making them ideal for supplementing complementary porridges to fight protein-energy malnutrition.</w:t>
      </w:r>
    </w:p>
    <w:p w14:paraId="15286925" w14:textId="77777777" w:rsidR="00CC728C" w:rsidRPr="00CC36F1" w:rsidRDefault="00CC728C" w:rsidP="00CC728C">
      <w:pPr>
        <w:spacing w:line="360" w:lineRule="auto"/>
        <w:jc w:val="both"/>
        <w:outlineLvl w:val="2"/>
        <w:rPr>
          <w:b/>
          <w:bCs/>
          <w:lang w:val="en-GB"/>
        </w:rPr>
      </w:pPr>
      <w:bookmarkStart w:id="2" w:name="_Hlk224812361"/>
      <w:r w:rsidRPr="00CC36F1">
        <w:rPr>
          <w:b/>
          <w:bCs/>
          <w:lang w:val="en-GB"/>
        </w:rPr>
        <w:t>Lipid</w:t>
      </w:r>
      <w:bookmarkEnd w:id="2"/>
      <w:r w:rsidRPr="00CC36F1">
        <w:rPr>
          <w:b/>
          <w:bCs/>
          <w:lang w:val="en-GB"/>
        </w:rPr>
        <w:t xml:space="preserve"> Content and Supplementation Needs</w:t>
      </w:r>
    </w:p>
    <w:p w14:paraId="4A566E1B" w14:textId="0A8354B1" w:rsidR="00CC728C" w:rsidRPr="00CC36F1" w:rsidRDefault="00CC728C" w:rsidP="00CC728C">
      <w:pPr>
        <w:spacing w:line="360" w:lineRule="auto"/>
        <w:jc w:val="both"/>
        <w:outlineLvl w:val="2"/>
        <w:rPr>
          <w:lang w:val="en-GB"/>
        </w:rPr>
      </w:pPr>
      <w:r w:rsidRPr="00CC36F1">
        <w:rPr>
          <w:lang w:val="en-GB"/>
        </w:rPr>
        <w:t xml:space="preserve">With levels ranging from 1.35 to 2.07 g/100 g, dried mango remains a low-fat food. To meet </w:t>
      </w:r>
      <w:r w:rsidRPr="00CC36F1">
        <w:rPr>
          <w:b/>
          <w:bCs/>
          <w:lang w:val="en-GB"/>
        </w:rPr>
        <w:t>Codex Alimentarius</w:t>
      </w:r>
      <w:r w:rsidRPr="00CC36F1">
        <w:rPr>
          <w:lang w:val="en-GB"/>
        </w:rPr>
        <w:t xml:space="preserve"> standards for complementary foods (5\% to 8%), supplementation with lipid sources (such as soy or peanut) remains indispensable. The slight increase compared to </w:t>
      </w:r>
      <w:r w:rsidRPr="00CC36F1">
        <w:rPr>
          <w:b/>
          <w:bCs/>
          <w:lang w:val="en-GB"/>
        </w:rPr>
        <w:t xml:space="preserve">Haque </w:t>
      </w:r>
      <w:r w:rsidRPr="00CC36F1">
        <w:rPr>
          <w:b/>
          <w:bCs/>
          <w:i/>
          <w:iCs/>
          <w:lang w:val="en-GB"/>
        </w:rPr>
        <w:t>et al.</w:t>
      </w:r>
      <w:r w:rsidRPr="00CC36F1">
        <w:rPr>
          <w:b/>
          <w:bCs/>
          <w:lang w:val="en-GB"/>
        </w:rPr>
        <w:t xml:space="preserve"> (2022)</w:t>
      </w:r>
      <w:r w:rsidRPr="00CC36F1">
        <w:rPr>
          <w:lang w:val="en-GB"/>
        </w:rPr>
        <w:t xml:space="preserve"> (0.80 to 1.40$ g/100 g) may result from the concentration effect induced by artisanal drying. The lower lipid levels in </w:t>
      </w:r>
      <w:proofErr w:type="spellStart"/>
      <w:r w:rsidRPr="00CC36F1">
        <w:rPr>
          <w:lang w:val="en-GB"/>
        </w:rPr>
        <w:t>Koumra</w:t>
      </w:r>
      <w:proofErr w:type="spellEnd"/>
      <w:r w:rsidRPr="00CC36F1">
        <w:rPr>
          <w:lang w:val="en-GB"/>
        </w:rPr>
        <w:t xml:space="preserve"> and </w:t>
      </w:r>
      <w:proofErr w:type="spellStart"/>
      <w:r w:rsidRPr="00CC36F1">
        <w:rPr>
          <w:lang w:val="en-GB"/>
        </w:rPr>
        <w:t>Bongor</w:t>
      </w:r>
      <w:proofErr w:type="spellEnd"/>
      <w:r w:rsidRPr="00CC36F1">
        <w:rPr>
          <w:lang w:val="en-GB"/>
        </w:rPr>
        <w:t xml:space="preserve"> are likely due to varietal differences or oxidation during solar drying, as reported by </w:t>
      </w:r>
      <w:r w:rsidRPr="00CC36F1">
        <w:rPr>
          <w:b/>
          <w:bCs/>
          <w:lang w:val="en-GB"/>
        </w:rPr>
        <w:t xml:space="preserve">Mwamba </w:t>
      </w:r>
      <w:r w:rsidRPr="00CC36F1">
        <w:rPr>
          <w:b/>
          <w:bCs/>
          <w:i/>
          <w:iCs/>
          <w:lang w:val="en-GB"/>
        </w:rPr>
        <w:t>et al.</w:t>
      </w:r>
      <w:r w:rsidRPr="00CC36F1">
        <w:rPr>
          <w:b/>
          <w:bCs/>
          <w:lang w:val="en-GB"/>
        </w:rPr>
        <w:t xml:space="preserve"> (2018)</w:t>
      </w:r>
      <w:r w:rsidRPr="00CC36F1">
        <w:rPr>
          <w:lang w:val="en-GB"/>
        </w:rPr>
        <w:t>.</w:t>
      </w:r>
    </w:p>
    <w:p w14:paraId="77F2219D" w14:textId="77777777" w:rsidR="003433E1" w:rsidRPr="00CC36F1" w:rsidRDefault="003433E1" w:rsidP="003433E1">
      <w:pPr>
        <w:spacing w:line="360" w:lineRule="auto"/>
        <w:jc w:val="both"/>
        <w:outlineLvl w:val="2"/>
        <w:rPr>
          <w:b/>
          <w:bCs/>
          <w:lang w:val="en-GB"/>
        </w:rPr>
      </w:pPr>
    </w:p>
    <w:p w14:paraId="0C8B0063" w14:textId="77777777" w:rsidR="002D45C1" w:rsidRPr="00CC36F1" w:rsidRDefault="002D45C1" w:rsidP="003433E1">
      <w:pPr>
        <w:spacing w:line="360" w:lineRule="auto"/>
        <w:jc w:val="both"/>
        <w:outlineLvl w:val="2"/>
        <w:rPr>
          <w:b/>
          <w:bCs/>
          <w:lang w:val="en-GB"/>
        </w:rPr>
      </w:pPr>
    </w:p>
    <w:p w14:paraId="70347D0B" w14:textId="77777777" w:rsidR="003433E1" w:rsidRPr="00CC36F1" w:rsidRDefault="003433E1" w:rsidP="003433E1">
      <w:pPr>
        <w:spacing w:line="360" w:lineRule="auto"/>
        <w:jc w:val="both"/>
        <w:outlineLvl w:val="2"/>
        <w:rPr>
          <w:b/>
          <w:bCs/>
          <w:lang w:val="en-GB"/>
        </w:rPr>
      </w:pPr>
    </w:p>
    <w:p w14:paraId="6673E1A0" w14:textId="346253A0" w:rsidR="003433E1" w:rsidRPr="00CC36F1" w:rsidRDefault="003433E1" w:rsidP="00CC728C">
      <w:pPr>
        <w:spacing w:line="360" w:lineRule="auto"/>
        <w:jc w:val="both"/>
        <w:outlineLvl w:val="2"/>
        <w:rPr>
          <w:lang w:val="en-GB"/>
        </w:rPr>
      </w:pPr>
      <w:r w:rsidRPr="00CC36F1">
        <w:rPr>
          <w:b/>
          <w:bCs/>
          <w:lang w:val="en-GB"/>
        </w:rPr>
        <w:t xml:space="preserve">Table </w:t>
      </w:r>
      <w:r w:rsidR="002E389D">
        <w:rPr>
          <w:b/>
          <w:bCs/>
          <w:lang w:val="en-GB"/>
        </w:rPr>
        <w:t>3</w:t>
      </w:r>
      <w:r w:rsidRPr="00CC36F1">
        <w:rPr>
          <w:b/>
          <w:bCs/>
          <w:lang w:val="en-GB"/>
        </w:rPr>
        <w:t>: Global nutritional characterization of artisanal dried mangoes from Chad.</w:t>
      </w:r>
    </w:p>
    <w:tbl>
      <w:tblPr>
        <w:tblW w:w="9214" w:type="dxa"/>
        <w:tblInd w:w="-142"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69"/>
        <w:gridCol w:w="1467"/>
        <w:gridCol w:w="1388"/>
        <w:gridCol w:w="1363"/>
        <w:gridCol w:w="1335"/>
        <w:gridCol w:w="1215"/>
        <w:gridCol w:w="1577"/>
      </w:tblGrid>
      <w:tr w:rsidR="004418C0" w:rsidRPr="00AA39A2" w14:paraId="0959F5CB" w14:textId="77777777" w:rsidTr="00A257C1">
        <w:trPr>
          <w:trHeight w:val="315"/>
        </w:trPr>
        <w:tc>
          <w:tcPr>
            <w:tcW w:w="869" w:type="dxa"/>
            <w:tcBorders>
              <w:top w:val="single" w:sz="4" w:space="0" w:color="auto"/>
              <w:bottom w:val="single" w:sz="4" w:space="0" w:color="auto"/>
            </w:tcBorders>
            <w:tcMar>
              <w:top w:w="30" w:type="dxa"/>
              <w:left w:w="45" w:type="dxa"/>
              <w:bottom w:w="30" w:type="dxa"/>
              <w:right w:w="45" w:type="dxa"/>
            </w:tcMar>
            <w:vAlign w:val="bottom"/>
            <w:hideMark/>
          </w:tcPr>
          <w:p w14:paraId="29AFAEFB" w14:textId="77777777" w:rsidR="004418C0" w:rsidRPr="00AA39A2" w:rsidRDefault="004418C0" w:rsidP="007F4489">
            <w:pPr>
              <w:spacing w:after="160" w:line="360" w:lineRule="auto"/>
              <w:jc w:val="both"/>
            </w:pPr>
            <w:r w:rsidRPr="00AA39A2">
              <w:lastRenderedPageBreak/>
              <w:t>Sites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3D891E6" w14:textId="77777777" w:rsidR="004418C0" w:rsidRPr="00AA39A2" w:rsidRDefault="004418C0" w:rsidP="007F4489">
            <w:pPr>
              <w:spacing w:after="160" w:line="360" w:lineRule="auto"/>
              <w:jc w:val="both"/>
              <w:rPr>
                <w:b/>
                <w:bCs/>
              </w:rPr>
            </w:pPr>
            <w:r w:rsidRPr="00AA39A2">
              <w:rPr>
                <w:b/>
                <w:bCs/>
              </w:rPr>
              <w:t>Amidon (g/I100g)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661FFAB" w14:textId="7932FDE8" w:rsidR="004418C0" w:rsidRPr="002D45C1" w:rsidRDefault="002D45C1" w:rsidP="007F4489">
            <w:pPr>
              <w:spacing w:after="160" w:line="360" w:lineRule="auto"/>
              <w:jc w:val="both"/>
              <w:rPr>
                <w:b/>
                <w:bCs/>
                <w:i/>
                <w:iCs/>
              </w:rPr>
            </w:pPr>
            <w:r w:rsidRPr="00DA7633">
              <w:rPr>
                <w:b/>
                <w:bCs/>
                <w:i/>
                <w:iCs/>
              </w:rPr>
              <w:t>Red</w:t>
            </w:r>
            <w:r>
              <w:rPr>
                <w:b/>
                <w:bCs/>
                <w:i/>
                <w:iCs/>
              </w:rPr>
              <w:t xml:space="preserve"> </w:t>
            </w:r>
            <w:r w:rsidRPr="00DA7633">
              <w:rPr>
                <w:b/>
                <w:bCs/>
                <w:i/>
                <w:iCs/>
              </w:rPr>
              <w:t xml:space="preserve">Sugars </w:t>
            </w:r>
            <w:r w:rsidR="004418C0" w:rsidRPr="00AA39A2">
              <w:rPr>
                <w:b/>
                <w:bCs/>
              </w:rPr>
              <w:t>(g/100g)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89A182A" w14:textId="68A4F862" w:rsidR="004418C0" w:rsidRPr="00AA39A2" w:rsidRDefault="002D45C1" w:rsidP="007F4489">
            <w:pPr>
              <w:spacing w:after="160" w:line="360" w:lineRule="auto"/>
              <w:jc w:val="both"/>
              <w:rPr>
                <w:b/>
                <w:bCs/>
              </w:rPr>
            </w:pPr>
            <w:r w:rsidRPr="00DA7633">
              <w:rPr>
                <w:b/>
                <w:bCs/>
                <w:i/>
                <w:iCs/>
              </w:rPr>
              <w:t>Amylose</w:t>
            </w:r>
            <w:r w:rsidR="004418C0" w:rsidRPr="00AA39A2">
              <w:rPr>
                <w:b/>
                <w:bCs/>
              </w:rPr>
              <w:t xml:space="preserve">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A9DE350" w14:textId="55D7132B" w:rsidR="004418C0" w:rsidRPr="00AA39A2" w:rsidRDefault="002D45C1" w:rsidP="007F4489">
            <w:pPr>
              <w:spacing w:after="160" w:line="360" w:lineRule="auto"/>
              <w:jc w:val="both"/>
              <w:rPr>
                <w:b/>
                <w:bCs/>
              </w:rPr>
            </w:pPr>
            <w:r w:rsidRPr="00DA7633">
              <w:rPr>
                <w:b/>
                <w:bCs/>
                <w:i/>
                <w:iCs/>
              </w:rPr>
              <w:t>Fiber</w:t>
            </w:r>
            <w:r w:rsidRPr="00AA39A2">
              <w:rPr>
                <w:b/>
                <w:bCs/>
              </w:rPr>
              <w:t xml:space="preserve"> </w:t>
            </w:r>
            <w:r w:rsidR="004418C0" w:rsidRPr="00AA39A2">
              <w:rPr>
                <w:b/>
                <w:bCs/>
              </w:rPr>
              <w:t>s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6266F06" w14:textId="77777777" w:rsidR="004418C0" w:rsidRPr="00AA39A2" w:rsidRDefault="004418C0" w:rsidP="007F4489">
            <w:pPr>
              <w:spacing w:after="160" w:line="360" w:lineRule="auto"/>
              <w:jc w:val="both"/>
              <w:rPr>
                <w:b/>
                <w:bCs/>
              </w:rPr>
            </w:pPr>
            <w:r w:rsidRPr="00AA39A2">
              <w:rPr>
                <w:b/>
                <w:bCs/>
              </w:rPr>
              <w:t>Ratio Am/</w:t>
            </w:r>
            <w:proofErr w:type="spellStart"/>
            <w:r w:rsidRPr="00AA39A2">
              <w:rPr>
                <w:b/>
                <w:bCs/>
              </w:rPr>
              <w:t>Ap</w:t>
            </w:r>
            <w:proofErr w:type="spellEnd"/>
          </w:p>
        </w:tc>
        <w:tc>
          <w:tcPr>
            <w:tcW w:w="0" w:type="auto"/>
            <w:tcBorders>
              <w:top w:val="single" w:sz="4" w:space="0" w:color="auto"/>
              <w:bottom w:val="single" w:sz="4" w:space="0" w:color="auto"/>
            </w:tcBorders>
            <w:tcMar>
              <w:top w:w="30" w:type="dxa"/>
              <w:left w:w="0" w:type="dxa"/>
              <w:bottom w:w="30" w:type="dxa"/>
              <w:right w:w="0" w:type="dxa"/>
            </w:tcMar>
            <w:vAlign w:val="bottom"/>
            <w:hideMark/>
          </w:tcPr>
          <w:p w14:paraId="5B7DEF80" w14:textId="51F9566C" w:rsidR="004418C0" w:rsidRPr="00AA39A2" w:rsidRDefault="002D45C1" w:rsidP="007F4489">
            <w:pPr>
              <w:spacing w:after="160" w:line="360" w:lineRule="auto"/>
              <w:jc w:val="both"/>
              <w:rPr>
                <w:b/>
                <w:bCs/>
              </w:rPr>
            </w:pPr>
            <w:r w:rsidRPr="00DA7633">
              <w:rPr>
                <w:b/>
                <w:bCs/>
                <w:i/>
                <w:iCs/>
              </w:rPr>
              <w:t xml:space="preserve">Energy Density </w:t>
            </w:r>
            <w:r w:rsidR="004418C0" w:rsidRPr="00AA39A2">
              <w:rPr>
                <w:b/>
                <w:bCs/>
              </w:rPr>
              <w:t>(kcal/100g)</w:t>
            </w:r>
          </w:p>
        </w:tc>
      </w:tr>
      <w:tr w:rsidR="004418C0" w:rsidRPr="00AA39A2" w14:paraId="0997D425" w14:textId="77777777" w:rsidTr="00A257C1">
        <w:trPr>
          <w:trHeight w:val="315"/>
        </w:trPr>
        <w:tc>
          <w:tcPr>
            <w:tcW w:w="869" w:type="dxa"/>
            <w:tcBorders>
              <w:top w:val="single" w:sz="4" w:space="0" w:color="auto"/>
            </w:tcBorders>
            <w:tcMar>
              <w:top w:w="30" w:type="dxa"/>
              <w:left w:w="45" w:type="dxa"/>
              <w:bottom w:w="30" w:type="dxa"/>
              <w:right w:w="45" w:type="dxa"/>
            </w:tcMar>
            <w:vAlign w:val="bottom"/>
            <w:hideMark/>
          </w:tcPr>
          <w:p w14:paraId="5B371CA0" w14:textId="77777777" w:rsidR="004418C0" w:rsidRPr="00AA39A2" w:rsidRDefault="004418C0" w:rsidP="007F4489">
            <w:pPr>
              <w:spacing w:after="160" w:line="360" w:lineRule="auto"/>
              <w:jc w:val="both"/>
              <w:rPr>
                <w:b/>
                <w:bCs/>
              </w:rPr>
            </w:pPr>
            <w:r w:rsidRPr="00AA39A2">
              <w:rPr>
                <w:b/>
                <w:bCs/>
              </w:rPr>
              <w:t>Dba</w:t>
            </w:r>
          </w:p>
        </w:tc>
        <w:tc>
          <w:tcPr>
            <w:tcW w:w="0" w:type="auto"/>
            <w:tcBorders>
              <w:top w:val="single" w:sz="4" w:space="0" w:color="auto"/>
            </w:tcBorders>
            <w:tcMar>
              <w:top w:w="30" w:type="dxa"/>
              <w:left w:w="45" w:type="dxa"/>
              <w:bottom w:w="30" w:type="dxa"/>
              <w:right w:w="45" w:type="dxa"/>
            </w:tcMar>
            <w:vAlign w:val="bottom"/>
            <w:hideMark/>
          </w:tcPr>
          <w:p w14:paraId="6C520296" w14:textId="77777777" w:rsidR="004418C0" w:rsidRPr="00AA39A2" w:rsidRDefault="004418C0" w:rsidP="007F4489">
            <w:pPr>
              <w:spacing w:after="160" w:line="360" w:lineRule="auto"/>
              <w:jc w:val="both"/>
            </w:pPr>
            <w:r w:rsidRPr="00AA39A2">
              <w:t>11,67±1,85b</w:t>
            </w:r>
          </w:p>
        </w:tc>
        <w:tc>
          <w:tcPr>
            <w:tcW w:w="0" w:type="auto"/>
            <w:tcBorders>
              <w:top w:val="single" w:sz="4" w:space="0" w:color="auto"/>
            </w:tcBorders>
            <w:tcMar>
              <w:top w:w="30" w:type="dxa"/>
              <w:left w:w="45" w:type="dxa"/>
              <w:bottom w:w="30" w:type="dxa"/>
              <w:right w:w="45" w:type="dxa"/>
            </w:tcMar>
            <w:vAlign w:val="bottom"/>
            <w:hideMark/>
          </w:tcPr>
          <w:p w14:paraId="213A13E1" w14:textId="77777777" w:rsidR="004418C0" w:rsidRPr="00AA39A2" w:rsidRDefault="004418C0" w:rsidP="007F4489">
            <w:pPr>
              <w:spacing w:after="160" w:line="360" w:lineRule="auto"/>
              <w:jc w:val="both"/>
            </w:pPr>
            <w:r w:rsidRPr="00AA39A2">
              <w:t>77,73±0,44a</w:t>
            </w:r>
          </w:p>
        </w:tc>
        <w:tc>
          <w:tcPr>
            <w:tcW w:w="0" w:type="auto"/>
            <w:tcBorders>
              <w:top w:val="single" w:sz="4" w:space="0" w:color="auto"/>
            </w:tcBorders>
            <w:tcMar>
              <w:top w:w="30" w:type="dxa"/>
              <w:left w:w="45" w:type="dxa"/>
              <w:bottom w:w="30" w:type="dxa"/>
              <w:right w:w="45" w:type="dxa"/>
            </w:tcMar>
            <w:vAlign w:val="bottom"/>
            <w:hideMark/>
          </w:tcPr>
          <w:p w14:paraId="4C195B0E" w14:textId="77777777" w:rsidR="004418C0" w:rsidRPr="00AA39A2" w:rsidRDefault="004418C0" w:rsidP="007F4489">
            <w:pPr>
              <w:spacing w:after="160" w:line="360" w:lineRule="auto"/>
              <w:jc w:val="both"/>
            </w:pPr>
            <w:r w:rsidRPr="00AA39A2">
              <w:t>19,51±0,31c</w:t>
            </w:r>
          </w:p>
        </w:tc>
        <w:tc>
          <w:tcPr>
            <w:tcW w:w="0" w:type="auto"/>
            <w:tcBorders>
              <w:top w:val="single" w:sz="4" w:space="0" w:color="auto"/>
            </w:tcBorders>
            <w:tcMar>
              <w:top w:w="30" w:type="dxa"/>
              <w:left w:w="45" w:type="dxa"/>
              <w:bottom w:w="30" w:type="dxa"/>
              <w:right w:w="45" w:type="dxa"/>
            </w:tcMar>
            <w:vAlign w:val="bottom"/>
            <w:hideMark/>
          </w:tcPr>
          <w:p w14:paraId="03C70A65" w14:textId="77777777" w:rsidR="004418C0" w:rsidRPr="00AA39A2" w:rsidRDefault="004418C0" w:rsidP="007F4489">
            <w:pPr>
              <w:spacing w:after="160" w:line="360" w:lineRule="auto"/>
              <w:jc w:val="both"/>
            </w:pPr>
            <w:r w:rsidRPr="00AA39A2">
              <w:t>3,13±0,05b</w:t>
            </w:r>
          </w:p>
        </w:tc>
        <w:tc>
          <w:tcPr>
            <w:tcW w:w="0" w:type="auto"/>
            <w:tcBorders>
              <w:top w:val="single" w:sz="4" w:space="0" w:color="auto"/>
            </w:tcBorders>
            <w:tcMar>
              <w:top w:w="30" w:type="dxa"/>
              <w:left w:w="45" w:type="dxa"/>
              <w:bottom w:w="30" w:type="dxa"/>
              <w:right w:w="45" w:type="dxa"/>
            </w:tcMar>
            <w:vAlign w:val="bottom"/>
            <w:hideMark/>
          </w:tcPr>
          <w:p w14:paraId="05E68429" w14:textId="77777777" w:rsidR="004418C0" w:rsidRPr="00AA39A2" w:rsidRDefault="004418C0" w:rsidP="007F4489">
            <w:pPr>
              <w:spacing w:after="160" w:line="360" w:lineRule="auto"/>
              <w:jc w:val="both"/>
            </w:pPr>
            <w:r w:rsidRPr="00AA39A2">
              <w:t>8,36±0,11b</w:t>
            </w:r>
          </w:p>
        </w:tc>
        <w:tc>
          <w:tcPr>
            <w:tcW w:w="0" w:type="auto"/>
            <w:tcBorders>
              <w:top w:val="single" w:sz="4" w:space="0" w:color="auto"/>
            </w:tcBorders>
            <w:tcMar>
              <w:top w:w="30" w:type="dxa"/>
              <w:left w:w="45" w:type="dxa"/>
              <w:bottom w:w="30" w:type="dxa"/>
              <w:right w:w="45" w:type="dxa"/>
            </w:tcMar>
            <w:vAlign w:val="bottom"/>
            <w:hideMark/>
          </w:tcPr>
          <w:p w14:paraId="7768C699" w14:textId="77777777" w:rsidR="004418C0" w:rsidRPr="00AA39A2" w:rsidRDefault="004418C0" w:rsidP="007F4489">
            <w:pPr>
              <w:spacing w:after="160" w:line="360" w:lineRule="auto"/>
              <w:jc w:val="both"/>
            </w:pPr>
            <w:r w:rsidRPr="00AA39A2">
              <w:t>451,57±3,96c</w:t>
            </w:r>
          </w:p>
        </w:tc>
      </w:tr>
      <w:tr w:rsidR="004418C0" w:rsidRPr="00AA39A2" w14:paraId="748B8ABF" w14:textId="77777777" w:rsidTr="00A257C1">
        <w:trPr>
          <w:trHeight w:val="315"/>
        </w:trPr>
        <w:tc>
          <w:tcPr>
            <w:tcW w:w="869" w:type="dxa"/>
            <w:tcMar>
              <w:top w:w="30" w:type="dxa"/>
              <w:left w:w="45" w:type="dxa"/>
              <w:bottom w:w="30" w:type="dxa"/>
              <w:right w:w="45" w:type="dxa"/>
            </w:tcMar>
            <w:vAlign w:val="bottom"/>
            <w:hideMark/>
          </w:tcPr>
          <w:p w14:paraId="20B24CF6" w14:textId="77777777" w:rsidR="004418C0" w:rsidRPr="00AA39A2" w:rsidRDefault="004418C0" w:rsidP="007F4489">
            <w:pPr>
              <w:spacing w:after="160" w:line="360" w:lineRule="auto"/>
              <w:jc w:val="both"/>
              <w:rPr>
                <w:b/>
                <w:bCs/>
              </w:rPr>
            </w:pPr>
            <w:r w:rsidRPr="00AA39A2">
              <w:rPr>
                <w:b/>
                <w:bCs/>
              </w:rPr>
              <w:t>Bbja</w:t>
            </w:r>
          </w:p>
        </w:tc>
        <w:tc>
          <w:tcPr>
            <w:tcW w:w="0" w:type="auto"/>
            <w:tcMar>
              <w:top w:w="30" w:type="dxa"/>
              <w:left w:w="45" w:type="dxa"/>
              <w:bottom w:w="30" w:type="dxa"/>
              <w:right w:w="45" w:type="dxa"/>
            </w:tcMar>
            <w:vAlign w:val="bottom"/>
            <w:hideMark/>
          </w:tcPr>
          <w:p w14:paraId="733F31B6" w14:textId="77777777" w:rsidR="004418C0" w:rsidRPr="00AA39A2" w:rsidRDefault="004418C0" w:rsidP="007F4489">
            <w:pPr>
              <w:spacing w:after="160" w:line="360" w:lineRule="auto"/>
              <w:jc w:val="both"/>
            </w:pPr>
            <w:r w:rsidRPr="00AA39A2">
              <w:t>10,32±1,33ab</w:t>
            </w:r>
          </w:p>
        </w:tc>
        <w:tc>
          <w:tcPr>
            <w:tcW w:w="0" w:type="auto"/>
            <w:tcMar>
              <w:top w:w="30" w:type="dxa"/>
              <w:left w:w="45" w:type="dxa"/>
              <w:bottom w:w="30" w:type="dxa"/>
              <w:right w:w="45" w:type="dxa"/>
            </w:tcMar>
            <w:vAlign w:val="bottom"/>
            <w:hideMark/>
          </w:tcPr>
          <w:p w14:paraId="5A6303BC" w14:textId="77777777" w:rsidR="004418C0" w:rsidRPr="00AA39A2" w:rsidRDefault="004418C0" w:rsidP="007F4489">
            <w:pPr>
              <w:spacing w:after="160" w:line="360" w:lineRule="auto"/>
              <w:jc w:val="both"/>
            </w:pPr>
            <w:r w:rsidRPr="00AA39A2">
              <w:t>77,49±0,86a</w:t>
            </w:r>
          </w:p>
        </w:tc>
        <w:tc>
          <w:tcPr>
            <w:tcW w:w="0" w:type="auto"/>
            <w:tcMar>
              <w:top w:w="30" w:type="dxa"/>
              <w:left w:w="45" w:type="dxa"/>
              <w:bottom w:w="30" w:type="dxa"/>
              <w:right w:w="45" w:type="dxa"/>
            </w:tcMar>
            <w:vAlign w:val="bottom"/>
            <w:hideMark/>
          </w:tcPr>
          <w:p w14:paraId="23931D70" w14:textId="77777777" w:rsidR="004418C0" w:rsidRPr="00AA39A2" w:rsidRDefault="004418C0" w:rsidP="007F4489">
            <w:pPr>
              <w:spacing w:after="160" w:line="360" w:lineRule="auto"/>
              <w:jc w:val="both"/>
            </w:pPr>
            <w:r w:rsidRPr="00AA39A2">
              <w:t>17,42±0,67b</w:t>
            </w:r>
          </w:p>
        </w:tc>
        <w:tc>
          <w:tcPr>
            <w:tcW w:w="0" w:type="auto"/>
            <w:tcMar>
              <w:top w:w="30" w:type="dxa"/>
              <w:left w:w="45" w:type="dxa"/>
              <w:bottom w:w="30" w:type="dxa"/>
              <w:right w:w="45" w:type="dxa"/>
            </w:tcMar>
            <w:vAlign w:val="bottom"/>
            <w:hideMark/>
          </w:tcPr>
          <w:p w14:paraId="5DDD18DE" w14:textId="77777777" w:rsidR="004418C0" w:rsidRPr="00AA39A2" w:rsidRDefault="004418C0" w:rsidP="007F4489">
            <w:pPr>
              <w:spacing w:after="160" w:line="360" w:lineRule="auto"/>
              <w:jc w:val="both"/>
            </w:pPr>
            <w:r w:rsidRPr="00AA39A2">
              <w:t>3,73±0,05c</w:t>
            </w:r>
          </w:p>
        </w:tc>
        <w:tc>
          <w:tcPr>
            <w:tcW w:w="0" w:type="auto"/>
            <w:tcMar>
              <w:top w:w="30" w:type="dxa"/>
              <w:left w:w="45" w:type="dxa"/>
              <w:bottom w:w="30" w:type="dxa"/>
              <w:right w:w="45" w:type="dxa"/>
            </w:tcMar>
            <w:vAlign w:val="bottom"/>
            <w:hideMark/>
          </w:tcPr>
          <w:p w14:paraId="060FEBEC" w14:textId="77777777" w:rsidR="004418C0" w:rsidRPr="00AA39A2" w:rsidRDefault="004418C0" w:rsidP="007F4489">
            <w:pPr>
              <w:spacing w:after="160" w:line="360" w:lineRule="auto"/>
              <w:jc w:val="both"/>
            </w:pPr>
            <w:r w:rsidRPr="00AA39A2">
              <w:t>7,93±0,16c</w:t>
            </w:r>
          </w:p>
        </w:tc>
        <w:tc>
          <w:tcPr>
            <w:tcW w:w="0" w:type="auto"/>
            <w:tcMar>
              <w:top w:w="30" w:type="dxa"/>
              <w:left w:w="45" w:type="dxa"/>
              <w:bottom w:w="30" w:type="dxa"/>
              <w:right w:w="45" w:type="dxa"/>
            </w:tcMar>
            <w:vAlign w:val="bottom"/>
            <w:hideMark/>
          </w:tcPr>
          <w:p w14:paraId="2BDA6619" w14:textId="77777777" w:rsidR="004418C0" w:rsidRPr="00AA39A2" w:rsidRDefault="004418C0" w:rsidP="007F4489">
            <w:pPr>
              <w:spacing w:after="160" w:line="360" w:lineRule="auto"/>
              <w:jc w:val="both"/>
            </w:pPr>
            <w:r w:rsidRPr="00AA39A2">
              <w:t>421,36±6,50b</w:t>
            </w:r>
          </w:p>
        </w:tc>
      </w:tr>
      <w:tr w:rsidR="004418C0" w:rsidRPr="00AA39A2" w14:paraId="5879DB2C" w14:textId="77777777" w:rsidTr="00A257C1">
        <w:trPr>
          <w:trHeight w:val="315"/>
        </w:trPr>
        <w:tc>
          <w:tcPr>
            <w:tcW w:w="869" w:type="dxa"/>
            <w:tcMar>
              <w:top w:w="30" w:type="dxa"/>
              <w:left w:w="45" w:type="dxa"/>
              <w:bottom w:w="30" w:type="dxa"/>
              <w:right w:w="45" w:type="dxa"/>
            </w:tcMar>
            <w:vAlign w:val="bottom"/>
            <w:hideMark/>
          </w:tcPr>
          <w:p w14:paraId="2856AE09" w14:textId="77777777" w:rsidR="004418C0" w:rsidRPr="00AA39A2" w:rsidRDefault="004418C0" w:rsidP="007F4489">
            <w:pPr>
              <w:spacing w:after="160" w:line="360" w:lineRule="auto"/>
              <w:jc w:val="both"/>
              <w:rPr>
                <w:b/>
                <w:bCs/>
              </w:rPr>
            </w:pPr>
            <w:r w:rsidRPr="00AA39A2">
              <w:rPr>
                <w:b/>
                <w:bCs/>
              </w:rPr>
              <w:t>Mdou</w:t>
            </w:r>
          </w:p>
        </w:tc>
        <w:tc>
          <w:tcPr>
            <w:tcW w:w="0" w:type="auto"/>
            <w:tcMar>
              <w:top w:w="30" w:type="dxa"/>
              <w:left w:w="45" w:type="dxa"/>
              <w:bottom w:w="30" w:type="dxa"/>
              <w:right w:w="45" w:type="dxa"/>
            </w:tcMar>
            <w:vAlign w:val="bottom"/>
            <w:hideMark/>
          </w:tcPr>
          <w:p w14:paraId="205F516F" w14:textId="77777777" w:rsidR="004418C0" w:rsidRPr="00AA39A2" w:rsidRDefault="004418C0" w:rsidP="007F4489">
            <w:pPr>
              <w:spacing w:after="160" w:line="360" w:lineRule="auto"/>
              <w:jc w:val="both"/>
            </w:pPr>
            <w:r w:rsidRPr="00AA39A2">
              <w:t>11,86±0,47b</w:t>
            </w:r>
          </w:p>
        </w:tc>
        <w:tc>
          <w:tcPr>
            <w:tcW w:w="0" w:type="auto"/>
            <w:tcMar>
              <w:top w:w="30" w:type="dxa"/>
              <w:left w:w="45" w:type="dxa"/>
              <w:bottom w:w="30" w:type="dxa"/>
              <w:right w:w="45" w:type="dxa"/>
            </w:tcMar>
            <w:vAlign w:val="bottom"/>
            <w:hideMark/>
          </w:tcPr>
          <w:p w14:paraId="03C3D1B7" w14:textId="77777777" w:rsidR="004418C0" w:rsidRPr="00AA39A2" w:rsidRDefault="004418C0" w:rsidP="007F4489">
            <w:pPr>
              <w:spacing w:after="160" w:line="360" w:lineRule="auto"/>
              <w:jc w:val="both"/>
            </w:pPr>
            <w:r w:rsidRPr="00AA39A2">
              <w:t>76,51±0,75a</w:t>
            </w:r>
          </w:p>
        </w:tc>
        <w:tc>
          <w:tcPr>
            <w:tcW w:w="0" w:type="auto"/>
            <w:tcMar>
              <w:top w:w="30" w:type="dxa"/>
              <w:left w:w="45" w:type="dxa"/>
              <w:bottom w:w="30" w:type="dxa"/>
              <w:right w:w="45" w:type="dxa"/>
            </w:tcMar>
            <w:vAlign w:val="bottom"/>
            <w:hideMark/>
          </w:tcPr>
          <w:p w14:paraId="0A510A6A" w14:textId="77777777" w:rsidR="004418C0" w:rsidRPr="00AA39A2" w:rsidRDefault="004418C0" w:rsidP="007F4489">
            <w:pPr>
              <w:spacing w:after="160" w:line="360" w:lineRule="auto"/>
              <w:jc w:val="both"/>
            </w:pPr>
            <w:r w:rsidRPr="00AA39A2">
              <w:t>15,11±0,41a</w:t>
            </w:r>
          </w:p>
        </w:tc>
        <w:tc>
          <w:tcPr>
            <w:tcW w:w="0" w:type="auto"/>
            <w:tcMar>
              <w:top w:w="30" w:type="dxa"/>
              <w:left w:w="45" w:type="dxa"/>
              <w:bottom w:w="30" w:type="dxa"/>
              <w:right w:w="45" w:type="dxa"/>
            </w:tcMar>
            <w:vAlign w:val="bottom"/>
            <w:hideMark/>
          </w:tcPr>
          <w:p w14:paraId="62092912" w14:textId="77777777" w:rsidR="004418C0" w:rsidRPr="00AA39A2" w:rsidRDefault="004418C0" w:rsidP="007F4489">
            <w:pPr>
              <w:spacing w:after="160" w:line="360" w:lineRule="auto"/>
              <w:jc w:val="both"/>
            </w:pPr>
            <w:r w:rsidRPr="00AA39A2">
              <w:t>2,91±0,02a</w:t>
            </w:r>
          </w:p>
        </w:tc>
        <w:tc>
          <w:tcPr>
            <w:tcW w:w="0" w:type="auto"/>
            <w:tcMar>
              <w:top w:w="30" w:type="dxa"/>
              <w:left w:w="45" w:type="dxa"/>
              <w:bottom w:w="30" w:type="dxa"/>
              <w:right w:w="45" w:type="dxa"/>
            </w:tcMar>
            <w:vAlign w:val="bottom"/>
            <w:hideMark/>
          </w:tcPr>
          <w:p w14:paraId="147989F5" w14:textId="77777777" w:rsidR="004418C0" w:rsidRPr="00AA39A2" w:rsidRDefault="004418C0" w:rsidP="007F4489">
            <w:pPr>
              <w:spacing w:after="160" w:line="360" w:lineRule="auto"/>
              <w:jc w:val="both"/>
            </w:pPr>
            <w:r w:rsidRPr="00AA39A2">
              <w:t>5,20±0,14d</w:t>
            </w:r>
          </w:p>
        </w:tc>
        <w:tc>
          <w:tcPr>
            <w:tcW w:w="0" w:type="auto"/>
            <w:tcMar>
              <w:top w:w="30" w:type="dxa"/>
              <w:left w:w="45" w:type="dxa"/>
              <w:bottom w:w="30" w:type="dxa"/>
              <w:right w:w="45" w:type="dxa"/>
            </w:tcMar>
            <w:vAlign w:val="bottom"/>
            <w:hideMark/>
          </w:tcPr>
          <w:p w14:paraId="15AE3D7F" w14:textId="77777777" w:rsidR="004418C0" w:rsidRPr="00AA39A2" w:rsidRDefault="004418C0" w:rsidP="007F4489">
            <w:pPr>
              <w:spacing w:after="160" w:line="360" w:lineRule="auto"/>
              <w:jc w:val="both"/>
            </w:pPr>
            <w:r w:rsidRPr="00AA39A2">
              <w:t>407,97±2,36a</w:t>
            </w:r>
          </w:p>
        </w:tc>
      </w:tr>
      <w:tr w:rsidR="004418C0" w:rsidRPr="00AA39A2" w14:paraId="6EC038D6" w14:textId="77777777" w:rsidTr="00A257C1">
        <w:trPr>
          <w:trHeight w:val="315"/>
        </w:trPr>
        <w:tc>
          <w:tcPr>
            <w:tcW w:w="869" w:type="dxa"/>
            <w:tcMar>
              <w:top w:w="30" w:type="dxa"/>
              <w:left w:w="45" w:type="dxa"/>
              <w:bottom w:w="30" w:type="dxa"/>
              <w:right w:w="45" w:type="dxa"/>
            </w:tcMar>
            <w:vAlign w:val="bottom"/>
            <w:hideMark/>
          </w:tcPr>
          <w:p w14:paraId="55D9FD00" w14:textId="77777777" w:rsidR="004418C0" w:rsidRPr="00AA39A2" w:rsidRDefault="004418C0" w:rsidP="007F4489">
            <w:pPr>
              <w:spacing w:after="160" w:line="360" w:lineRule="auto"/>
              <w:jc w:val="both"/>
              <w:rPr>
                <w:b/>
                <w:bCs/>
              </w:rPr>
            </w:pPr>
            <w:r w:rsidRPr="00AA39A2">
              <w:rPr>
                <w:b/>
                <w:bCs/>
              </w:rPr>
              <w:t>Kmr</w:t>
            </w:r>
          </w:p>
        </w:tc>
        <w:tc>
          <w:tcPr>
            <w:tcW w:w="0" w:type="auto"/>
            <w:tcMar>
              <w:top w:w="30" w:type="dxa"/>
              <w:left w:w="45" w:type="dxa"/>
              <w:bottom w:w="30" w:type="dxa"/>
              <w:right w:w="45" w:type="dxa"/>
            </w:tcMar>
            <w:vAlign w:val="bottom"/>
            <w:hideMark/>
          </w:tcPr>
          <w:p w14:paraId="26CBD6EC" w14:textId="77777777" w:rsidR="004418C0" w:rsidRPr="00AA39A2" w:rsidRDefault="004418C0" w:rsidP="007F4489">
            <w:pPr>
              <w:spacing w:after="160" w:line="360" w:lineRule="auto"/>
              <w:jc w:val="both"/>
            </w:pPr>
            <w:r w:rsidRPr="00AA39A2">
              <w:t>10,24±1,49a</w:t>
            </w:r>
          </w:p>
        </w:tc>
        <w:tc>
          <w:tcPr>
            <w:tcW w:w="0" w:type="auto"/>
            <w:tcMar>
              <w:top w:w="30" w:type="dxa"/>
              <w:left w:w="45" w:type="dxa"/>
              <w:bottom w:w="30" w:type="dxa"/>
              <w:right w:w="45" w:type="dxa"/>
            </w:tcMar>
            <w:vAlign w:val="bottom"/>
            <w:hideMark/>
          </w:tcPr>
          <w:p w14:paraId="7500E11D" w14:textId="77777777" w:rsidR="004418C0" w:rsidRPr="00AA39A2" w:rsidRDefault="004418C0" w:rsidP="007F4489">
            <w:pPr>
              <w:spacing w:after="160" w:line="360" w:lineRule="auto"/>
              <w:jc w:val="both"/>
            </w:pPr>
            <w:r w:rsidRPr="00AA39A2">
              <w:t>77,08±0,47a</w:t>
            </w:r>
          </w:p>
        </w:tc>
        <w:tc>
          <w:tcPr>
            <w:tcW w:w="0" w:type="auto"/>
            <w:tcMar>
              <w:top w:w="30" w:type="dxa"/>
              <w:left w:w="45" w:type="dxa"/>
              <w:bottom w:w="30" w:type="dxa"/>
              <w:right w:w="45" w:type="dxa"/>
            </w:tcMar>
            <w:vAlign w:val="bottom"/>
            <w:hideMark/>
          </w:tcPr>
          <w:p w14:paraId="3DC91D61" w14:textId="77777777" w:rsidR="004418C0" w:rsidRPr="00AA39A2" w:rsidRDefault="004418C0" w:rsidP="007F4489">
            <w:pPr>
              <w:spacing w:after="160" w:line="360" w:lineRule="auto"/>
              <w:jc w:val="both"/>
            </w:pPr>
            <w:r w:rsidRPr="00AA39A2">
              <w:t>20,91±0,41d</w:t>
            </w:r>
          </w:p>
        </w:tc>
        <w:tc>
          <w:tcPr>
            <w:tcW w:w="0" w:type="auto"/>
            <w:tcMar>
              <w:top w:w="30" w:type="dxa"/>
              <w:left w:w="45" w:type="dxa"/>
              <w:bottom w:w="30" w:type="dxa"/>
              <w:right w:w="45" w:type="dxa"/>
            </w:tcMar>
            <w:vAlign w:val="bottom"/>
            <w:hideMark/>
          </w:tcPr>
          <w:p w14:paraId="6778F837" w14:textId="77777777" w:rsidR="004418C0" w:rsidRPr="00AA39A2" w:rsidRDefault="004418C0" w:rsidP="007F4489">
            <w:pPr>
              <w:spacing w:after="160" w:line="360" w:lineRule="auto"/>
              <w:jc w:val="both"/>
            </w:pPr>
            <w:r w:rsidRPr="00AA39A2">
              <w:t>3,85±0,13cd</w:t>
            </w:r>
          </w:p>
        </w:tc>
        <w:tc>
          <w:tcPr>
            <w:tcW w:w="0" w:type="auto"/>
            <w:tcMar>
              <w:top w:w="30" w:type="dxa"/>
              <w:left w:w="45" w:type="dxa"/>
              <w:bottom w:w="30" w:type="dxa"/>
              <w:right w:w="45" w:type="dxa"/>
            </w:tcMar>
            <w:vAlign w:val="bottom"/>
            <w:hideMark/>
          </w:tcPr>
          <w:p w14:paraId="26D737FD" w14:textId="77777777" w:rsidR="004418C0" w:rsidRPr="00AA39A2" w:rsidRDefault="004418C0" w:rsidP="007F4489">
            <w:pPr>
              <w:spacing w:after="160" w:line="360" w:lineRule="auto"/>
              <w:jc w:val="both"/>
            </w:pPr>
            <w:r w:rsidRPr="00AA39A2">
              <w:t>9,16±0,09a</w:t>
            </w:r>
          </w:p>
        </w:tc>
        <w:tc>
          <w:tcPr>
            <w:tcW w:w="0" w:type="auto"/>
            <w:tcMar>
              <w:top w:w="30" w:type="dxa"/>
              <w:left w:w="45" w:type="dxa"/>
              <w:bottom w:w="30" w:type="dxa"/>
              <w:right w:w="45" w:type="dxa"/>
            </w:tcMar>
            <w:vAlign w:val="bottom"/>
            <w:hideMark/>
          </w:tcPr>
          <w:p w14:paraId="298BAEDE" w14:textId="77777777" w:rsidR="004418C0" w:rsidRPr="00AA39A2" w:rsidRDefault="004418C0" w:rsidP="007F4489">
            <w:pPr>
              <w:spacing w:after="160" w:line="360" w:lineRule="auto"/>
              <w:jc w:val="both"/>
            </w:pPr>
            <w:r w:rsidRPr="00AA39A2">
              <w:t>449,01±4,98c</w:t>
            </w:r>
          </w:p>
        </w:tc>
      </w:tr>
      <w:tr w:rsidR="004418C0" w:rsidRPr="00AA39A2" w14:paraId="3F3DF3BD" w14:textId="77777777" w:rsidTr="00A257C1">
        <w:trPr>
          <w:trHeight w:val="315"/>
        </w:trPr>
        <w:tc>
          <w:tcPr>
            <w:tcW w:w="869" w:type="dxa"/>
            <w:tcMar>
              <w:top w:w="30" w:type="dxa"/>
              <w:left w:w="45" w:type="dxa"/>
              <w:bottom w:w="30" w:type="dxa"/>
              <w:right w:w="45" w:type="dxa"/>
            </w:tcMar>
            <w:vAlign w:val="bottom"/>
            <w:hideMark/>
          </w:tcPr>
          <w:p w14:paraId="5F5160CD" w14:textId="77777777" w:rsidR="004418C0" w:rsidRPr="00AA39A2" w:rsidRDefault="004418C0" w:rsidP="007F4489">
            <w:pPr>
              <w:spacing w:after="160" w:line="360" w:lineRule="auto"/>
              <w:jc w:val="both"/>
              <w:rPr>
                <w:b/>
                <w:bCs/>
              </w:rPr>
            </w:pPr>
            <w:r w:rsidRPr="00AA39A2">
              <w:rPr>
                <w:b/>
                <w:bCs/>
              </w:rPr>
              <w:t>Bgr</w:t>
            </w:r>
          </w:p>
        </w:tc>
        <w:tc>
          <w:tcPr>
            <w:tcW w:w="0" w:type="auto"/>
            <w:tcMar>
              <w:top w:w="30" w:type="dxa"/>
              <w:left w:w="45" w:type="dxa"/>
              <w:bottom w:w="30" w:type="dxa"/>
              <w:right w:w="45" w:type="dxa"/>
            </w:tcMar>
            <w:vAlign w:val="bottom"/>
            <w:hideMark/>
          </w:tcPr>
          <w:p w14:paraId="4FFB8A70" w14:textId="77777777" w:rsidR="004418C0" w:rsidRPr="00AA39A2" w:rsidRDefault="004418C0" w:rsidP="007F4489">
            <w:pPr>
              <w:spacing w:after="160" w:line="360" w:lineRule="auto"/>
              <w:jc w:val="both"/>
            </w:pPr>
            <w:r w:rsidRPr="00AA39A2">
              <w:t>12,07±0,54b</w:t>
            </w:r>
          </w:p>
        </w:tc>
        <w:tc>
          <w:tcPr>
            <w:tcW w:w="0" w:type="auto"/>
            <w:tcMar>
              <w:top w:w="30" w:type="dxa"/>
              <w:left w:w="45" w:type="dxa"/>
              <w:bottom w:w="30" w:type="dxa"/>
              <w:right w:w="45" w:type="dxa"/>
            </w:tcMar>
            <w:vAlign w:val="bottom"/>
            <w:hideMark/>
          </w:tcPr>
          <w:p w14:paraId="7FFACF16" w14:textId="77777777" w:rsidR="004418C0" w:rsidRPr="00AA39A2" w:rsidRDefault="004418C0" w:rsidP="007F4489">
            <w:pPr>
              <w:spacing w:after="160" w:line="360" w:lineRule="auto"/>
              <w:jc w:val="both"/>
            </w:pPr>
            <w:r w:rsidRPr="00AA39A2">
              <w:t>77,72±1,01a</w:t>
            </w:r>
          </w:p>
        </w:tc>
        <w:tc>
          <w:tcPr>
            <w:tcW w:w="0" w:type="auto"/>
            <w:tcMar>
              <w:top w:w="30" w:type="dxa"/>
              <w:left w:w="45" w:type="dxa"/>
              <w:bottom w:w="30" w:type="dxa"/>
              <w:right w:w="45" w:type="dxa"/>
            </w:tcMar>
            <w:vAlign w:val="bottom"/>
            <w:hideMark/>
          </w:tcPr>
          <w:p w14:paraId="53E78E7B" w14:textId="77777777" w:rsidR="004418C0" w:rsidRPr="00AA39A2" w:rsidRDefault="004418C0" w:rsidP="007F4489">
            <w:pPr>
              <w:spacing w:after="160" w:line="360" w:lineRule="auto"/>
              <w:jc w:val="both"/>
            </w:pPr>
            <w:r w:rsidRPr="00AA39A2">
              <w:t>15,05±0,36a</w:t>
            </w:r>
          </w:p>
        </w:tc>
        <w:tc>
          <w:tcPr>
            <w:tcW w:w="0" w:type="auto"/>
            <w:tcMar>
              <w:top w:w="30" w:type="dxa"/>
              <w:left w:w="45" w:type="dxa"/>
              <w:bottom w:w="30" w:type="dxa"/>
              <w:right w:w="45" w:type="dxa"/>
            </w:tcMar>
            <w:vAlign w:val="bottom"/>
            <w:hideMark/>
          </w:tcPr>
          <w:p w14:paraId="7551D887" w14:textId="77777777" w:rsidR="004418C0" w:rsidRPr="00AA39A2" w:rsidRDefault="004418C0" w:rsidP="007F4489">
            <w:pPr>
              <w:spacing w:after="160" w:line="360" w:lineRule="auto"/>
              <w:jc w:val="both"/>
            </w:pPr>
            <w:r w:rsidRPr="00AA39A2">
              <w:t>3,93±0,12d</w:t>
            </w:r>
          </w:p>
        </w:tc>
        <w:tc>
          <w:tcPr>
            <w:tcW w:w="0" w:type="auto"/>
            <w:tcMar>
              <w:top w:w="30" w:type="dxa"/>
              <w:left w:w="45" w:type="dxa"/>
              <w:bottom w:w="30" w:type="dxa"/>
              <w:right w:w="45" w:type="dxa"/>
            </w:tcMar>
            <w:vAlign w:val="bottom"/>
            <w:hideMark/>
          </w:tcPr>
          <w:p w14:paraId="5FEC96B2" w14:textId="77777777" w:rsidR="004418C0" w:rsidRPr="00AA39A2" w:rsidRDefault="004418C0" w:rsidP="007F4489">
            <w:pPr>
              <w:spacing w:after="160" w:line="360" w:lineRule="auto"/>
              <w:jc w:val="both"/>
            </w:pPr>
            <w:r w:rsidRPr="00AA39A2">
              <w:t>5,53±0,11d</w:t>
            </w:r>
          </w:p>
        </w:tc>
        <w:tc>
          <w:tcPr>
            <w:tcW w:w="0" w:type="auto"/>
            <w:tcMar>
              <w:top w:w="30" w:type="dxa"/>
              <w:left w:w="45" w:type="dxa"/>
              <w:bottom w:w="30" w:type="dxa"/>
              <w:right w:w="45" w:type="dxa"/>
            </w:tcMar>
            <w:vAlign w:val="bottom"/>
            <w:hideMark/>
          </w:tcPr>
          <w:p w14:paraId="125E1AFC" w14:textId="77777777" w:rsidR="004418C0" w:rsidRPr="00AA39A2" w:rsidRDefault="004418C0" w:rsidP="007F4489">
            <w:pPr>
              <w:spacing w:after="160" w:line="360" w:lineRule="auto"/>
              <w:jc w:val="both"/>
            </w:pPr>
            <w:r w:rsidRPr="00AA39A2">
              <w:t>449,43±4,80c</w:t>
            </w:r>
          </w:p>
        </w:tc>
      </w:tr>
      <w:tr w:rsidR="004418C0" w:rsidRPr="00AA39A2" w14:paraId="4991BE49" w14:textId="77777777" w:rsidTr="00A257C1">
        <w:trPr>
          <w:trHeight w:val="315"/>
        </w:trPr>
        <w:tc>
          <w:tcPr>
            <w:tcW w:w="869" w:type="dxa"/>
            <w:tcMar>
              <w:top w:w="30" w:type="dxa"/>
              <w:left w:w="45" w:type="dxa"/>
              <w:bottom w:w="30" w:type="dxa"/>
              <w:right w:w="45" w:type="dxa"/>
            </w:tcMar>
            <w:vAlign w:val="bottom"/>
            <w:hideMark/>
          </w:tcPr>
          <w:p w14:paraId="46BC6A5C" w14:textId="12C2F074" w:rsidR="004418C0" w:rsidRPr="00AA39A2" w:rsidRDefault="00A257C1" w:rsidP="007F4489">
            <w:pPr>
              <w:spacing w:after="160" w:line="360" w:lineRule="auto"/>
              <w:jc w:val="both"/>
              <w:rPr>
                <w:b/>
                <w:bCs/>
              </w:rPr>
            </w:pPr>
            <w:r w:rsidRPr="00AA39A2">
              <w:rPr>
                <w:b/>
                <w:bCs/>
              </w:rPr>
              <w:t>P</w:t>
            </w:r>
            <w:r w:rsidR="004418C0" w:rsidRPr="00AA39A2">
              <w:rPr>
                <w:b/>
                <w:bCs/>
              </w:rPr>
              <w:t>-value</w:t>
            </w:r>
          </w:p>
        </w:tc>
        <w:tc>
          <w:tcPr>
            <w:tcW w:w="0" w:type="auto"/>
            <w:tcMar>
              <w:top w:w="30" w:type="dxa"/>
              <w:left w:w="45" w:type="dxa"/>
              <w:bottom w:w="30" w:type="dxa"/>
              <w:right w:w="45" w:type="dxa"/>
            </w:tcMar>
            <w:vAlign w:val="bottom"/>
            <w:hideMark/>
          </w:tcPr>
          <w:p w14:paraId="454916F3" w14:textId="77777777" w:rsidR="004418C0" w:rsidRPr="00AA39A2" w:rsidRDefault="004418C0" w:rsidP="007F4489">
            <w:pPr>
              <w:spacing w:after="160" w:line="360" w:lineRule="auto"/>
              <w:jc w:val="both"/>
            </w:pPr>
            <w:r w:rsidRPr="00AA39A2">
              <w:t>&lt; 0,001</w:t>
            </w:r>
          </w:p>
        </w:tc>
        <w:tc>
          <w:tcPr>
            <w:tcW w:w="0" w:type="auto"/>
            <w:tcMar>
              <w:top w:w="30" w:type="dxa"/>
              <w:left w:w="45" w:type="dxa"/>
              <w:bottom w:w="30" w:type="dxa"/>
              <w:right w:w="45" w:type="dxa"/>
            </w:tcMar>
            <w:vAlign w:val="bottom"/>
            <w:hideMark/>
          </w:tcPr>
          <w:p w14:paraId="200245B7" w14:textId="77777777" w:rsidR="004418C0" w:rsidRPr="00AA39A2" w:rsidRDefault="004418C0" w:rsidP="007F4489">
            <w:pPr>
              <w:spacing w:after="160" w:line="360" w:lineRule="auto"/>
              <w:jc w:val="both"/>
            </w:pPr>
            <w:r w:rsidRPr="00AA39A2">
              <w:t>0,0785 (ns)</w:t>
            </w:r>
          </w:p>
        </w:tc>
        <w:tc>
          <w:tcPr>
            <w:tcW w:w="0" w:type="auto"/>
            <w:tcMar>
              <w:top w:w="30" w:type="dxa"/>
              <w:left w:w="45" w:type="dxa"/>
              <w:bottom w:w="30" w:type="dxa"/>
              <w:right w:w="45" w:type="dxa"/>
            </w:tcMar>
            <w:vAlign w:val="bottom"/>
            <w:hideMark/>
          </w:tcPr>
          <w:p w14:paraId="1239445E" w14:textId="77777777" w:rsidR="004418C0" w:rsidRPr="00AA39A2" w:rsidRDefault="004418C0" w:rsidP="007F4489">
            <w:pPr>
              <w:spacing w:after="160" w:line="360" w:lineRule="auto"/>
              <w:jc w:val="both"/>
            </w:pPr>
            <w:r w:rsidRPr="00AA39A2">
              <w:t>&lt; 0,001</w:t>
            </w:r>
          </w:p>
        </w:tc>
        <w:tc>
          <w:tcPr>
            <w:tcW w:w="0" w:type="auto"/>
            <w:tcMar>
              <w:top w:w="30" w:type="dxa"/>
              <w:left w:w="45" w:type="dxa"/>
              <w:bottom w:w="30" w:type="dxa"/>
              <w:right w:w="45" w:type="dxa"/>
            </w:tcMar>
            <w:vAlign w:val="bottom"/>
            <w:hideMark/>
          </w:tcPr>
          <w:p w14:paraId="3A00772E" w14:textId="77777777" w:rsidR="004418C0" w:rsidRPr="00AA39A2" w:rsidRDefault="004418C0" w:rsidP="007F4489">
            <w:pPr>
              <w:spacing w:after="160" w:line="360" w:lineRule="auto"/>
              <w:jc w:val="both"/>
            </w:pPr>
            <w:r w:rsidRPr="00AA39A2">
              <w:t>&lt; 0,001</w:t>
            </w:r>
          </w:p>
        </w:tc>
        <w:tc>
          <w:tcPr>
            <w:tcW w:w="0" w:type="auto"/>
            <w:tcMar>
              <w:top w:w="30" w:type="dxa"/>
              <w:left w:w="45" w:type="dxa"/>
              <w:bottom w:w="30" w:type="dxa"/>
              <w:right w:w="45" w:type="dxa"/>
            </w:tcMar>
            <w:vAlign w:val="bottom"/>
            <w:hideMark/>
          </w:tcPr>
          <w:p w14:paraId="3EE8FFEB" w14:textId="77777777" w:rsidR="004418C0" w:rsidRPr="00AA39A2" w:rsidRDefault="004418C0" w:rsidP="007F4489">
            <w:pPr>
              <w:spacing w:after="160" w:line="360" w:lineRule="auto"/>
              <w:jc w:val="both"/>
            </w:pPr>
            <w:r w:rsidRPr="00AA39A2">
              <w:t>&lt; 0,001</w:t>
            </w:r>
          </w:p>
        </w:tc>
        <w:tc>
          <w:tcPr>
            <w:tcW w:w="0" w:type="auto"/>
            <w:tcMar>
              <w:top w:w="30" w:type="dxa"/>
              <w:left w:w="45" w:type="dxa"/>
              <w:bottom w:w="30" w:type="dxa"/>
              <w:right w:w="45" w:type="dxa"/>
            </w:tcMar>
            <w:vAlign w:val="bottom"/>
            <w:hideMark/>
          </w:tcPr>
          <w:p w14:paraId="0BAEBCE8" w14:textId="77777777" w:rsidR="004418C0" w:rsidRPr="00AA39A2" w:rsidRDefault="004418C0" w:rsidP="007F4489">
            <w:pPr>
              <w:spacing w:after="160" w:line="360" w:lineRule="auto"/>
              <w:jc w:val="both"/>
            </w:pPr>
            <w:r w:rsidRPr="00AA39A2">
              <w:t>&lt; 0,001</w:t>
            </w:r>
          </w:p>
        </w:tc>
      </w:tr>
    </w:tbl>
    <w:bookmarkEnd w:id="1"/>
    <w:p w14:paraId="612AE715" w14:textId="541341D8" w:rsidR="003433E1" w:rsidRPr="00CC36F1" w:rsidRDefault="003433E1" w:rsidP="003433E1">
      <w:pPr>
        <w:spacing w:line="360" w:lineRule="auto"/>
        <w:jc w:val="both"/>
        <w:rPr>
          <w:bCs/>
          <w:i/>
          <w:iCs/>
          <w:lang w:val="en-GB"/>
        </w:rPr>
      </w:pPr>
      <w:r w:rsidRPr="00CC36F1">
        <w:rPr>
          <w:bCs/>
          <w:i/>
          <w:iCs/>
          <w:lang w:val="en-GB"/>
        </w:rPr>
        <w:t>Means in the same row [</w:t>
      </w:r>
      <w:proofErr w:type="spellStart"/>
      <w:r w:rsidRPr="00CC36F1">
        <w:rPr>
          <w:bCs/>
          <w:i/>
          <w:iCs/>
          <w:lang w:val="en-GB"/>
        </w:rPr>
        <w:t>ou</w:t>
      </w:r>
      <w:proofErr w:type="spellEnd"/>
      <w:r w:rsidRPr="00CC36F1">
        <w:rPr>
          <w:bCs/>
          <w:i/>
          <w:iCs/>
          <w:lang w:val="en-GB"/>
        </w:rPr>
        <w:t xml:space="preserve"> column] with different letters are significantly different (P &lt; 0.05).</w:t>
      </w:r>
    </w:p>
    <w:p w14:paraId="2718BF97" w14:textId="77777777" w:rsidR="004418C0" w:rsidRPr="00CC36F1" w:rsidRDefault="004418C0" w:rsidP="004418C0">
      <w:pPr>
        <w:spacing w:line="360" w:lineRule="auto"/>
        <w:jc w:val="both"/>
        <w:rPr>
          <w:bCs/>
          <w:i/>
          <w:iCs/>
          <w:lang w:val="en-GB"/>
        </w:rPr>
      </w:pPr>
    </w:p>
    <w:p w14:paraId="426C3DE0" w14:textId="456E095A" w:rsidR="00DA7633" w:rsidRPr="00CC36F1" w:rsidRDefault="00953F36" w:rsidP="00DA7633">
      <w:pPr>
        <w:pStyle w:val="Caption"/>
        <w:spacing w:line="360" w:lineRule="auto"/>
        <w:jc w:val="both"/>
        <w:rPr>
          <w:b/>
          <w:bCs/>
          <w:i w:val="0"/>
          <w:iCs w:val="0"/>
          <w:color w:val="auto"/>
          <w:sz w:val="24"/>
          <w:szCs w:val="24"/>
          <w:lang w:val="en-GB"/>
        </w:rPr>
      </w:pPr>
      <w:bookmarkStart w:id="3" w:name="_Hlk166503403"/>
      <w:proofErr w:type="gramStart"/>
      <w:r w:rsidRPr="00CC36F1">
        <w:rPr>
          <w:b/>
          <w:bCs/>
          <w:i w:val="0"/>
          <w:iCs w:val="0"/>
          <w:color w:val="auto"/>
          <w:sz w:val="24"/>
          <w:szCs w:val="24"/>
          <w:lang w:val="en-GB"/>
        </w:rPr>
        <w:t>Discussion :</w:t>
      </w:r>
      <w:proofErr w:type="gramEnd"/>
      <w:r w:rsidR="00DA7633" w:rsidRPr="00CC36F1">
        <w:rPr>
          <w:b/>
          <w:bCs/>
          <w:i w:val="0"/>
          <w:iCs w:val="0"/>
          <w:color w:val="auto"/>
          <w:sz w:val="24"/>
          <w:szCs w:val="24"/>
          <w:lang w:val="en-GB"/>
        </w:rPr>
        <w:t xml:space="preserve"> Carbohydrate Profile, Fiber, and Energy Density</w:t>
      </w:r>
    </w:p>
    <w:p w14:paraId="4D8E8826" w14:textId="77777777"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Reducing Sugars and Carbohydrate Content</w:t>
      </w:r>
    </w:p>
    <w:p w14:paraId="700A0879" w14:textId="037C761F"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The reducing sugar levels obtained (76.51 to 77.73 g/100 g) are higher than those reported by </w:t>
      </w:r>
      <w:r w:rsidRPr="00CC36F1">
        <w:rPr>
          <w:b/>
          <w:bCs/>
          <w:i w:val="0"/>
          <w:iCs w:val="0"/>
          <w:color w:val="auto"/>
          <w:sz w:val="24"/>
          <w:szCs w:val="24"/>
          <w:lang w:val="en-GB"/>
        </w:rPr>
        <w:t xml:space="preserve">Haque </w:t>
      </w:r>
      <w:r w:rsidRPr="00CC36F1">
        <w:rPr>
          <w:b/>
          <w:bCs/>
          <w:color w:val="auto"/>
          <w:sz w:val="24"/>
          <w:szCs w:val="24"/>
          <w:lang w:val="en-GB"/>
        </w:rPr>
        <w:t>et al.</w:t>
      </w:r>
      <w:r w:rsidRPr="00CC36F1">
        <w:rPr>
          <w:b/>
          <w:bCs/>
          <w:i w:val="0"/>
          <w:iCs w:val="0"/>
          <w:color w:val="auto"/>
          <w:sz w:val="24"/>
          <w:szCs w:val="24"/>
          <w:lang w:val="en-GB"/>
        </w:rPr>
        <w:t xml:space="preserve"> (2022)</w:t>
      </w:r>
      <w:r w:rsidRPr="00CC36F1">
        <w:rPr>
          <w:i w:val="0"/>
          <w:iCs w:val="0"/>
          <w:color w:val="auto"/>
          <w:sz w:val="24"/>
          <w:szCs w:val="24"/>
          <w:lang w:val="en-GB"/>
        </w:rPr>
        <w:t xml:space="preserve"> and fall within the upper range of observations by </w:t>
      </w:r>
      <w:r w:rsidRPr="00CC36F1">
        <w:rPr>
          <w:b/>
          <w:bCs/>
          <w:i w:val="0"/>
          <w:iCs w:val="0"/>
          <w:color w:val="auto"/>
          <w:sz w:val="24"/>
          <w:szCs w:val="24"/>
          <w:lang w:val="en-GB"/>
        </w:rPr>
        <w:t xml:space="preserve">Mawa </w:t>
      </w:r>
      <w:r w:rsidRPr="00CC36F1">
        <w:rPr>
          <w:b/>
          <w:bCs/>
          <w:color w:val="auto"/>
          <w:sz w:val="24"/>
          <w:szCs w:val="24"/>
          <w:lang w:val="en-GB"/>
        </w:rPr>
        <w:t>et al.</w:t>
      </w:r>
      <w:r w:rsidRPr="00CC36F1">
        <w:rPr>
          <w:b/>
          <w:bCs/>
          <w:i w:val="0"/>
          <w:iCs w:val="0"/>
          <w:color w:val="auto"/>
          <w:sz w:val="24"/>
          <w:szCs w:val="24"/>
          <w:lang w:val="en-GB"/>
        </w:rPr>
        <w:t xml:space="preserve"> (2024)</w:t>
      </w:r>
      <w:r w:rsidRPr="00CC36F1">
        <w:rPr>
          <w:i w:val="0"/>
          <w:iCs w:val="0"/>
          <w:color w:val="auto"/>
          <w:sz w:val="24"/>
          <w:szCs w:val="24"/>
          <w:lang w:val="en-GB"/>
        </w:rPr>
        <w:t xml:space="preserve"> in Uganda (70.10–76.80 g/100 g). This high concentration reflects extensive starch hydrolysis during the ripening of Chadian fruits. It provides dried mangoes with high energy density and a natural sweet </w:t>
      </w:r>
      <w:proofErr w:type="spellStart"/>
      <w:r w:rsidRPr="00CC36F1">
        <w:rPr>
          <w:i w:val="0"/>
          <w:iCs w:val="0"/>
          <w:color w:val="auto"/>
          <w:sz w:val="24"/>
          <w:szCs w:val="24"/>
          <w:lang w:val="en-GB"/>
        </w:rPr>
        <w:t>flavor</w:t>
      </w:r>
      <w:proofErr w:type="spellEnd"/>
      <w:r w:rsidRPr="00CC36F1">
        <w:rPr>
          <w:i w:val="0"/>
          <w:iCs w:val="0"/>
          <w:color w:val="auto"/>
          <w:sz w:val="24"/>
          <w:szCs w:val="24"/>
          <w:lang w:val="en-GB"/>
        </w:rPr>
        <w:t xml:space="preserve">, thereby limiting the need for exogenous sugar addition in food formulations </w:t>
      </w:r>
      <w:r w:rsidRPr="00CC36F1">
        <w:rPr>
          <w:b/>
          <w:bCs/>
          <w:i w:val="0"/>
          <w:iCs w:val="0"/>
          <w:color w:val="auto"/>
          <w:sz w:val="24"/>
          <w:szCs w:val="24"/>
          <w:lang w:val="en-GB"/>
        </w:rPr>
        <w:t xml:space="preserve">(Maldonado-Celis </w:t>
      </w:r>
      <w:r w:rsidRPr="00CC36F1">
        <w:rPr>
          <w:b/>
          <w:bCs/>
          <w:color w:val="auto"/>
          <w:sz w:val="24"/>
          <w:szCs w:val="24"/>
          <w:lang w:val="en-GB"/>
        </w:rPr>
        <w:t>et al</w:t>
      </w:r>
      <w:r w:rsidRPr="00CC36F1">
        <w:rPr>
          <w:b/>
          <w:bCs/>
          <w:i w:val="0"/>
          <w:iCs w:val="0"/>
          <w:color w:val="auto"/>
          <w:sz w:val="24"/>
          <w:szCs w:val="24"/>
          <w:lang w:val="en-GB"/>
        </w:rPr>
        <w:t>., 2022)</w:t>
      </w:r>
      <w:r w:rsidRPr="00CC36F1">
        <w:rPr>
          <w:i w:val="0"/>
          <w:iCs w:val="0"/>
          <w:color w:val="auto"/>
          <w:sz w:val="24"/>
          <w:szCs w:val="24"/>
          <w:lang w:val="en-GB"/>
        </w:rPr>
        <w:t>.</w:t>
      </w:r>
    </w:p>
    <w:p w14:paraId="4BF3EEA9" w14:textId="2CF0100C"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Total carbohydrate content is influenced by the proportions of lipids and proteins in the plant (</w:t>
      </w:r>
      <w:r w:rsidRPr="00CC36F1">
        <w:rPr>
          <w:b/>
          <w:bCs/>
          <w:i w:val="0"/>
          <w:iCs w:val="0"/>
          <w:color w:val="auto"/>
          <w:sz w:val="24"/>
          <w:szCs w:val="24"/>
          <w:lang w:val="en-GB"/>
        </w:rPr>
        <w:t xml:space="preserve">Tambo </w:t>
      </w:r>
      <w:r w:rsidRPr="00CC36F1">
        <w:rPr>
          <w:b/>
          <w:bCs/>
          <w:color w:val="auto"/>
          <w:sz w:val="24"/>
          <w:szCs w:val="24"/>
          <w:lang w:val="en-GB"/>
        </w:rPr>
        <w:t>et al</w:t>
      </w:r>
      <w:r w:rsidRPr="00CC36F1">
        <w:rPr>
          <w:b/>
          <w:bCs/>
          <w:i w:val="0"/>
          <w:iCs w:val="0"/>
          <w:color w:val="auto"/>
          <w:sz w:val="24"/>
          <w:szCs w:val="24"/>
          <w:lang w:val="en-GB"/>
        </w:rPr>
        <w:t>., 2019a, b</w:t>
      </w:r>
      <w:r w:rsidRPr="00CC36F1">
        <w:rPr>
          <w:i w:val="0"/>
          <w:iCs w:val="0"/>
          <w:color w:val="auto"/>
          <w:sz w:val="24"/>
          <w:szCs w:val="24"/>
          <w:lang w:val="en-GB"/>
        </w:rPr>
        <w:t xml:space="preserve">). Our values are higher than those reported by </w:t>
      </w:r>
      <w:r w:rsidRPr="00CC36F1">
        <w:rPr>
          <w:b/>
          <w:bCs/>
          <w:i w:val="0"/>
          <w:iCs w:val="0"/>
          <w:color w:val="auto"/>
          <w:sz w:val="24"/>
          <w:szCs w:val="24"/>
          <w:lang w:val="en-GB"/>
        </w:rPr>
        <w:t>Traoré (2013)</w:t>
      </w:r>
      <w:r w:rsidRPr="00CC36F1">
        <w:rPr>
          <w:i w:val="0"/>
          <w:iCs w:val="0"/>
          <w:color w:val="auto"/>
          <w:sz w:val="24"/>
          <w:szCs w:val="24"/>
          <w:lang w:val="en-GB"/>
        </w:rPr>
        <w:t xml:space="preserve"> and </w:t>
      </w:r>
      <w:r w:rsidRPr="00CC36F1">
        <w:rPr>
          <w:b/>
          <w:bCs/>
          <w:i w:val="0"/>
          <w:iCs w:val="0"/>
          <w:color w:val="auto"/>
          <w:sz w:val="24"/>
          <w:szCs w:val="24"/>
          <w:lang w:val="en-GB"/>
        </w:rPr>
        <w:t xml:space="preserve">Mwamba </w:t>
      </w:r>
      <w:r w:rsidRPr="00CC36F1">
        <w:rPr>
          <w:b/>
          <w:bCs/>
          <w:color w:val="auto"/>
          <w:sz w:val="24"/>
          <w:szCs w:val="24"/>
          <w:lang w:val="en-GB"/>
        </w:rPr>
        <w:t>et al.</w:t>
      </w:r>
      <w:r w:rsidRPr="00CC36F1">
        <w:rPr>
          <w:b/>
          <w:bCs/>
          <w:i w:val="0"/>
          <w:iCs w:val="0"/>
          <w:color w:val="auto"/>
          <w:sz w:val="24"/>
          <w:szCs w:val="24"/>
          <w:lang w:val="en-GB"/>
        </w:rPr>
        <w:t xml:space="preserve"> (2018).</w:t>
      </w:r>
      <w:r w:rsidRPr="00CC36F1">
        <w:rPr>
          <w:i w:val="0"/>
          <w:iCs w:val="0"/>
          <w:color w:val="auto"/>
          <w:sz w:val="24"/>
          <w:szCs w:val="24"/>
          <w:lang w:val="en-GB"/>
        </w:rPr>
        <w:t xml:space="preserve"> Varietal differences combined with inadequate drying conditions may explain these discrepancies (</w:t>
      </w:r>
      <w:r w:rsidRPr="00CC36F1">
        <w:rPr>
          <w:b/>
          <w:bCs/>
          <w:i w:val="0"/>
          <w:iCs w:val="0"/>
          <w:color w:val="auto"/>
          <w:sz w:val="24"/>
          <w:szCs w:val="24"/>
          <w:lang w:val="en-GB"/>
        </w:rPr>
        <w:t xml:space="preserve">Kameni </w:t>
      </w:r>
      <w:r w:rsidRPr="00CC36F1">
        <w:rPr>
          <w:b/>
          <w:bCs/>
          <w:color w:val="auto"/>
          <w:sz w:val="24"/>
          <w:szCs w:val="24"/>
          <w:lang w:val="en-GB"/>
        </w:rPr>
        <w:t>et al.</w:t>
      </w:r>
      <w:r w:rsidRPr="00CC36F1">
        <w:rPr>
          <w:b/>
          <w:bCs/>
          <w:i w:val="0"/>
          <w:iCs w:val="0"/>
          <w:color w:val="auto"/>
          <w:sz w:val="24"/>
          <w:szCs w:val="24"/>
          <w:lang w:val="en-GB"/>
        </w:rPr>
        <w:t>, 2003</w:t>
      </w:r>
      <w:r w:rsidRPr="00CC36F1">
        <w:rPr>
          <w:i w:val="0"/>
          <w:iCs w:val="0"/>
          <w:color w:val="auto"/>
          <w:sz w:val="24"/>
          <w:szCs w:val="24"/>
          <w:lang w:val="en-GB"/>
        </w:rPr>
        <w:t xml:space="preserve">). Furthermore, </w:t>
      </w:r>
      <w:r w:rsidRPr="00CC36F1">
        <w:rPr>
          <w:b/>
          <w:bCs/>
          <w:i w:val="0"/>
          <w:iCs w:val="0"/>
          <w:color w:val="auto"/>
          <w:sz w:val="24"/>
          <w:szCs w:val="24"/>
          <w:lang w:val="en-GB"/>
        </w:rPr>
        <w:t xml:space="preserve">Mwamba </w:t>
      </w:r>
      <w:r w:rsidRPr="00CC36F1">
        <w:rPr>
          <w:b/>
          <w:bCs/>
          <w:color w:val="auto"/>
          <w:sz w:val="24"/>
          <w:szCs w:val="24"/>
          <w:lang w:val="en-GB"/>
        </w:rPr>
        <w:t>et al.</w:t>
      </w:r>
      <w:r w:rsidRPr="00CC36F1">
        <w:rPr>
          <w:b/>
          <w:bCs/>
          <w:i w:val="0"/>
          <w:iCs w:val="0"/>
          <w:color w:val="auto"/>
          <w:sz w:val="24"/>
          <w:szCs w:val="24"/>
          <w:lang w:val="en-GB"/>
        </w:rPr>
        <w:t xml:space="preserve"> (2018)</w:t>
      </w:r>
      <w:r w:rsidRPr="00CC36F1">
        <w:rPr>
          <w:i w:val="0"/>
          <w:iCs w:val="0"/>
          <w:color w:val="auto"/>
          <w:sz w:val="24"/>
          <w:szCs w:val="24"/>
          <w:lang w:val="en-GB"/>
        </w:rPr>
        <w:t xml:space="preserve"> reported improved total carbohydrate content with oven drying compared to solar drying. Overall, these values comply with the Codex Stan (2013) standard, which recommends a carbohydrate content between 65% and 85%.</w:t>
      </w:r>
    </w:p>
    <w:p w14:paraId="0FF87878" w14:textId="77777777" w:rsidR="00953F36" w:rsidRPr="00CC36F1" w:rsidRDefault="00953F36" w:rsidP="00DA7633">
      <w:pPr>
        <w:pStyle w:val="Caption"/>
        <w:spacing w:line="360" w:lineRule="auto"/>
        <w:jc w:val="both"/>
        <w:rPr>
          <w:b/>
          <w:bCs/>
          <w:i w:val="0"/>
          <w:iCs w:val="0"/>
          <w:color w:val="auto"/>
          <w:sz w:val="24"/>
          <w:szCs w:val="24"/>
          <w:lang w:val="en-GB"/>
        </w:rPr>
      </w:pPr>
    </w:p>
    <w:p w14:paraId="6817A807" w14:textId="10A473BB"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Crude Fiber and Digestibility</w:t>
      </w:r>
    </w:p>
    <w:p w14:paraId="6E95FE30" w14:textId="6C6F3409"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lastRenderedPageBreak/>
        <w:t xml:space="preserve">Fibers represent the carbohydrate fraction indigestible by human gastrointestinal enzymes and are responsible for intestinal transit speed. The crude </w:t>
      </w:r>
      <w:proofErr w:type="spellStart"/>
      <w:r w:rsidRPr="00CC36F1">
        <w:rPr>
          <w:i w:val="0"/>
          <w:iCs w:val="0"/>
          <w:color w:val="auto"/>
          <w:sz w:val="24"/>
          <w:szCs w:val="24"/>
          <w:lang w:val="en-GB"/>
        </w:rPr>
        <w:t>fiber</w:t>
      </w:r>
      <w:proofErr w:type="spellEnd"/>
      <w:r w:rsidRPr="00CC36F1">
        <w:rPr>
          <w:i w:val="0"/>
          <w:iCs w:val="0"/>
          <w:color w:val="auto"/>
          <w:sz w:val="24"/>
          <w:szCs w:val="24"/>
          <w:lang w:val="en-GB"/>
        </w:rPr>
        <w:t xml:space="preserve"> content obtained (2.91 to 3.94 g/100 g) matches the results of </w:t>
      </w:r>
      <w:r w:rsidRPr="00CC36F1">
        <w:rPr>
          <w:b/>
          <w:bCs/>
          <w:i w:val="0"/>
          <w:iCs w:val="0"/>
          <w:color w:val="auto"/>
          <w:sz w:val="24"/>
          <w:szCs w:val="24"/>
          <w:lang w:val="en-GB"/>
        </w:rPr>
        <w:t xml:space="preserve">Haque </w:t>
      </w:r>
      <w:r w:rsidRPr="00CC36F1">
        <w:rPr>
          <w:b/>
          <w:bCs/>
          <w:color w:val="auto"/>
          <w:sz w:val="24"/>
          <w:szCs w:val="24"/>
          <w:lang w:val="en-GB"/>
        </w:rPr>
        <w:t>et al.</w:t>
      </w:r>
      <w:r w:rsidRPr="00CC36F1">
        <w:rPr>
          <w:b/>
          <w:bCs/>
          <w:i w:val="0"/>
          <w:iCs w:val="0"/>
          <w:color w:val="auto"/>
          <w:sz w:val="24"/>
          <w:szCs w:val="24"/>
          <w:lang w:val="en-GB"/>
        </w:rPr>
        <w:t xml:space="preserve"> (2022)</w:t>
      </w:r>
      <w:r w:rsidRPr="00CC36F1">
        <w:rPr>
          <w:i w:val="0"/>
          <w:iCs w:val="0"/>
          <w:color w:val="auto"/>
          <w:sz w:val="24"/>
          <w:szCs w:val="24"/>
          <w:lang w:val="en-GB"/>
        </w:rPr>
        <w:t xml:space="preserve"> and falls within the 2.80 to 4.50 g/100 g range described by </w:t>
      </w:r>
      <w:r w:rsidRPr="00CC36F1">
        <w:rPr>
          <w:b/>
          <w:bCs/>
          <w:i w:val="0"/>
          <w:iCs w:val="0"/>
          <w:color w:val="auto"/>
          <w:sz w:val="24"/>
          <w:szCs w:val="24"/>
          <w:lang w:val="en-GB"/>
        </w:rPr>
        <w:t xml:space="preserve">Maldonado-Celis </w:t>
      </w:r>
      <w:r w:rsidRPr="00CC36F1">
        <w:rPr>
          <w:b/>
          <w:bCs/>
          <w:color w:val="auto"/>
          <w:sz w:val="24"/>
          <w:szCs w:val="24"/>
          <w:lang w:val="en-GB"/>
        </w:rPr>
        <w:t>et al.</w:t>
      </w:r>
      <w:r w:rsidRPr="00CC36F1">
        <w:rPr>
          <w:b/>
          <w:bCs/>
          <w:i w:val="0"/>
          <w:iCs w:val="0"/>
          <w:color w:val="auto"/>
          <w:sz w:val="24"/>
          <w:szCs w:val="24"/>
          <w:lang w:val="en-GB"/>
        </w:rPr>
        <w:t xml:space="preserve"> (2022).</w:t>
      </w:r>
      <w:r w:rsidRPr="00CC36F1">
        <w:rPr>
          <w:i w:val="0"/>
          <w:iCs w:val="0"/>
          <w:color w:val="auto"/>
          <w:sz w:val="24"/>
          <w:szCs w:val="24"/>
          <w:lang w:val="en-GB"/>
        </w:rPr>
        <w:t xml:space="preserve"> The variability observed between </w:t>
      </w:r>
      <w:proofErr w:type="spellStart"/>
      <w:r w:rsidRPr="00CC36F1">
        <w:rPr>
          <w:i w:val="0"/>
          <w:iCs w:val="0"/>
          <w:color w:val="auto"/>
          <w:sz w:val="24"/>
          <w:szCs w:val="24"/>
          <w:lang w:val="en-GB"/>
        </w:rPr>
        <w:t>Bongor</w:t>
      </w:r>
      <w:proofErr w:type="spellEnd"/>
      <w:r w:rsidRPr="00CC36F1">
        <w:rPr>
          <w:i w:val="0"/>
          <w:iCs w:val="0"/>
          <w:color w:val="auto"/>
          <w:sz w:val="24"/>
          <w:szCs w:val="24"/>
          <w:lang w:val="en-GB"/>
        </w:rPr>
        <w:t xml:space="preserve"> and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may reflect differences in post-harvest enzymatic activity related to varieties or local environmental conditions (</w:t>
      </w:r>
      <w:r w:rsidRPr="00CC36F1">
        <w:rPr>
          <w:b/>
          <w:bCs/>
          <w:i w:val="0"/>
          <w:iCs w:val="0"/>
          <w:color w:val="auto"/>
          <w:sz w:val="24"/>
          <w:szCs w:val="24"/>
          <w:lang w:val="en-GB"/>
        </w:rPr>
        <w:t xml:space="preserve">Olatunde </w:t>
      </w:r>
      <w:r w:rsidRPr="00CC36F1">
        <w:rPr>
          <w:b/>
          <w:bCs/>
          <w:color w:val="auto"/>
          <w:sz w:val="24"/>
          <w:szCs w:val="24"/>
          <w:lang w:val="en-GB"/>
        </w:rPr>
        <w:t>et al</w:t>
      </w:r>
      <w:r w:rsidRPr="00CC36F1">
        <w:rPr>
          <w:b/>
          <w:bCs/>
          <w:i w:val="0"/>
          <w:iCs w:val="0"/>
          <w:color w:val="auto"/>
          <w:sz w:val="24"/>
          <w:szCs w:val="24"/>
          <w:lang w:val="en-GB"/>
        </w:rPr>
        <w:t>., 2023</w:t>
      </w:r>
      <w:r w:rsidRPr="00CC36F1">
        <w:rPr>
          <w:i w:val="0"/>
          <w:iCs w:val="0"/>
          <w:color w:val="auto"/>
          <w:sz w:val="24"/>
          <w:szCs w:val="24"/>
          <w:lang w:val="en-GB"/>
        </w:rPr>
        <w:t xml:space="preserve">). These moderate levels ensure good product digestibility while contributing to necessary dietary </w:t>
      </w:r>
      <w:proofErr w:type="spellStart"/>
      <w:r w:rsidRPr="00CC36F1">
        <w:rPr>
          <w:i w:val="0"/>
          <w:iCs w:val="0"/>
          <w:color w:val="auto"/>
          <w:sz w:val="24"/>
          <w:szCs w:val="24"/>
          <w:lang w:val="en-GB"/>
        </w:rPr>
        <w:t>fiber</w:t>
      </w:r>
      <w:proofErr w:type="spellEnd"/>
      <w:r w:rsidRPr="00CC36F1">
        <w:rPr>
          <w:i w:val="0"/>
          <w:iCs w:val="0"/>
          <w:color w:val="auto"/>
          <w:sz w:val="24"/>
          <w:szCs w:val="24"/>
          <w:lang w:val="en-GB"/>
        </w:rPr>
        <w:t xml:space="preserve"> intake.</w:t>
      </w:r>
    </w:p>
    <w:p w14:paraId="0B457BFD" w14:textId="13C489BA"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The lower </w:t>
      </w:r>
      <w:proofErr w:type="spellStart"/>
      <w:r w:rsidRPr="00CC36F1">
        <w:rPr>
          <w:i w:val="0"/>
          <w:iCs w:val="0"/>
          <w:color w:val="auto"/>
          <w:sz w:val="24"/>
          <w:szCs w:val="24"/>
          <w:lang w:val="en-GB"/>
        </w:rPr>
        <w:t>fiber</w:t>
      </w:r>
      <w:proofErr w:type="spellEnd"/>
      <w:r w:rsidRPr="00CC36F1">
        <w:rPr>
          <w:i w:val="0"/>
          <w:iCs w:val="0"/>
          <w:color w:val="auto"/>
          <w:sz w:val="24"/>
          <w:szCs w:val="24"/>
          <w:lang w:val="en-GB"/>
        </w:rPr>
        <w:t xml:space="preserve"> content observed in </w:t>
      </w:r>
      <w:proofErr w:type="spellStart"/>
      <w:r w:rsidRPr="00CC36F1">
        <w:rPr>
          <w:i w:val="0"/>
          <w:iCs w:val="0"/>
          <w:color w:val="auto"/>
          <w:sz w:val="24"/>
          <w:szCs w:val="24"/>
          <w:lang w:val="en-GB"/>
        </w:rPr>
        <w:t>Koumra</w:t>
      </w:r>
      <w:proofErr w:type="spellEnd"/>
      <w:r w:rsidRPr="00CC36F1">
        <w:rPr>
          <w:i w:val="0"/>
          <w:iCs w:val="0"/>
          <w:color w:val="auto"/>
          <w:sz w:val="24"/>
          <w:szCs w:val="24"/>
          <w:lang w:val="en-GB"/>
        </w:rPr>
        <w:t xml:space="preserve"> samples could be explained by an advanced ripening stage, where </w:t>
      </w:r>
      <w:proofErr w:type="spellStart"/>
      <w:r w:rsidRPr="00CC36F1">
        <w:rPr>
          <w:i w:val="0"/>
          <w:iCs w:val="0"/>
          <w:color w:val="auto"/>
          <w:sz w:val="24"/>
          <w:szCs w:val="24"/>
          <w:lang w:val="en-GB"/>
        </w:rPr>
        <w:t>fibers</w:t>
      </w:r>
      <w:proofErr w:type="spellEnd"/>
      <w:r w:rsidRPr="00CC36F1">
        <w:rPr>
          <w:i w:val="0"/>
          <w:iCs w:val="0"/>
          <w:color w:val="auto"/>
          <w:sz w:val="24"/>
          <w:szCs w:val="24"/>
          <w:lang w:val="en-GB"/>
        </w:rPr>
        <w:t xml:space="preserve"> are degraded by microorganisms into lower molecular weight sugars. Additionally, oxidation of these </w:t>
      </w:r>
      <w:proofErr w:type="spellStart"/>
      <w:r w:rsidRPr="00CC36F1">
        <w:rPr>
          <w:i w:val="0"/>
          <w:iCs w:val="0"/>
          <w:color w:val="auto"/>
          <w:sz w:val="24"/>
          <w:szCs w:val="24"/>
          <w:lang w:val="en-GB"/>
        </w:rPr>
        <w:t>fibers</w:t>
      </w:r>
      <w:proofErr w:type="spellEnd"/>
      <w:r w:rsidRPr="00CC36F1">
        <w:rPr>
          <w:i w:val="0"/>
          <w:iCs w:val="0"/>
          <w:color w:val="auto"/>
          <w:sz w:val="24"/>
          <w:szCs w:val="24"/>
          <w:lang w:val="en-GB"/>
        </w:rPr>
        <w:t xml:space="preserve"> by intrinsic enzymes and microorganisms further contributes to this reduction (</w:t>
      </w:r>
      <w:r w:rsidRPr="00CC36F1">
        <w:rPr>
          <w:b/>
          <w:bCs/>
          <w:i w:val="0"/>
          <w:iCs w:val="0"/>
          <w:color w:val="auto"/>
          <w:sz w:val="24"/>
          <w:szCs w:val="24"/>
          <w:lang w:val="en-GB"/>
        </w:rPr>
        <w:t xml:space="preserve">Kameni </w:t>
      </w:r>
      <w:r w:rsidRPr="00CC36F1">
        <w:rPr>
          <w:b/>
          <w:bCs/>
          <w:color w:val="auto"/>
          <w:sz w:val="24"/>
          <w:szCs w:val="24"/>
          <w:lang w:val="en-GB"/>
        </w:rPr>
        <w:t>et al</w:t>
      </w:r>
      <w:r w:rsidRPr="00CC36F1">
        <w:rPr>
          <w:b/>
          <w:bCs/>
          <w:i w:val="0"/>
          <w:iCs w:val="0"/>
          <w:color w:val="auto"/>
          <w:sz w:val="24"/>
          <w:szCs w:val="24"/>
          <w:lang w:val="en-GB"/>
        </w:rPr>
        <w:t>., 2003</w:t>
      </w:r>
      <w:r w:rsidRPr="00CC36F1">
        <w:rPr>
          <w:i w:val="0"/>
          <w:iCs w:val="0"/>
          <w:color w:val="auto"/>
          <w:sz w:val="24"/>
          <w:szCs w:val="24"/>
          <w:lang w:val="en-GB"/>
        </w:rPr>
        <w:t xml:space="preserve">). Our values comply with </w:t>
      </w:r>
      <w:r w:rsidRPr="00CC36F1">
        <w:rPr>
          <w:b/>
          <w:bCs/>
          <w:i w:val="0"/>
          <w:iCs w:val="0"/>
          <w:color w:val="auto"/>
          <w:sz w:val="24"/>
          <w:szCs w:val="24"/>
          <w:lang w:val="en-GB"/>
        </w:rPr>
        <w:t>the Codex Stan (2013)</w:t>
      </w:r>
      <w:r w:rsidRPr="00CC36F1">
        <w:rPr>
          <w:i w:val="0"/>
          <w:iCs w:val="0"/>
          <w:color w:val="auto"/>
          <w:sz w:val="24"/>
          <w:szCs w:val="24"/>
          <w:lang w:val="en-GB"/>
        </w:rPr>
        <w:t xml:space="preserve"> standard, which recommends less than 5.60% </w:t>
      </w:r>
      <w:proofErr w:type="spellStart"/>
      <w:r w:rsidRPr="00CC36F1">
        <w:rPr>
          <w:i w:val="0"/>
          <w:iCs w:val="0"/>
          <w:color w:val="auto"/>
          <w:sz w:val="24"/>
          <w:szCs w:val="24"/>
          <w:lang w:val="en-GB"/>
        </w:rPr>
        <w:t>fiber</w:t>
      </w:r>
      <w:proofErr w:type="spellEnd"/>
      <w:r w:rsidRPr="00CC36F1">
        <w:rPr>
          <w:i w:val="0"/>
          <w:iCs w:val="0"/>
          <w:color w:val="auto"/>
          <w:sz w:val="24"/>
          <w:szCs w:val="24"/>
          <w:lang w:val="en-GB"/>
        </w:rPr>
        <w:t xml:space="preserve"> in complementary foods.</w:t>
      </w:r>
    </w:p>
    <w:p w14:paraId="03B258D4" w14:textId="77777777"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Starch, Amylose, and Amylopectin Dynamics</w:t>
      </w:r>
    </w:p>
    <w:p w14:paraId="6C066E2B" w14:textId="41EB6CD9"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Starch levels (10.2 to 12.07 g/100 g) are consistent with </w:t>
      </w:r>
      <w:r w:rsidRPr="00CC36F1">
        <w:rPr>
          <w:b/>
          <w:bCs/>
          <w:i w:val="0"/>
          <w:iCs w:val="0"/>
          <w:color w:val="auto"/>
          <w:sz w:val="24"/>
          <w:szCs w:val="24"/>
          <w:lang w:val="en-GB"/>
        </w:rPr>
        <w:t xml:space="preserve">Haque </w:t>
      </w:r>
      <w:r w:rsidRPr="00CC36F1">
        <w:rPr>
          <w:b/>
          <w:bCs/>
          <w:color w:val="auto"/>
          <w:sz w:val="24"/>
          <w:szCs w:val="24"/>
          <w:lang w:val="en-GB"/>
        </w:rPr>
        <w:t>et al.</w:t>
      </w:r>
      <w:r w:rsidRPr="00CC36F1">
        <w:rPr>
          <w:b/>
          <w:bCs/>
          <w:i w:val="0"/>
          <w:iCs w:val="0"/>
          <w:color w:val="auto"/>
          <w:sz w:val="24"/>
          <w:szCs w:val="24"/>
          <w:lang w:val="en-GB"/>
        </w:rPr>
        <w:t xml:space="preserve"> (2022)</w:t>
      </w:r>
      <w:r w:rsidRPr="00CC36F1">
        <w:rPr>
          <w:i w:val="0"/>
          <w:iCs w:val="0"/>
          <w:color w:val="auto"/>
          <w:sz w:val="24"/>
          <w:szCs w:val="24"/>
          <w:lang w:val="en-GB"/>
        </w:rPr>
        <w:t xml:space="preserve"> and fall within the 9.00 to 14.00 g/100 g range identified for ripe fruits (</w:t>
      </w:r>
      <w:r w:rsidRPr="00CC36F1">
        <w:rPr>
          <w:b/>
          <w:bCs/>
          <w:i w:val="0"/>
          <w:iCs w:val="0"/>
          <w:color w:val="auto"/>
          <w:sz w:val="24"/>
          <w:szCs w:val="24"/>
          <w:lang w:val="en-GB"/>
        </w:rPr>
        <w:t xml:space="preserve">Maldonado-Celis </w:t>
      </w:r>
      <w:r w:rsidRPr="00CC36F1">
        <w:rPr>
          <w:b/>
          <w:bCs/>
          <w:color w:val="auto"/>
          <w:sz w:val="24"/>
          <w:szCs w:val="24"/>
          <w:lang w:val="en-GB"/>
        </w:rPr>
        <w:t>et al.,</w:t>
      </w:r>
      <w:r w:rsidRPr="00CC36F1">
        <w:rPr>
          <w:b/>
          <w:bCs/>
          <w:i w:val="0"/>
          <w:iCs w:val="0"/>
          <w:color w:val="auto"/>
          <w:sz w:val="24"/>
          <w:szCs w:val="24"/>
          <w:lang w:val="en-GB"/>
        </w:rPr>
        <w:t xml:space="preserve"> 2022</w:t>
      </w:r>
      <w:r w:rsidRPr="00CC36F1">
        <w:rPr>
          <w:i w:val="0"/>
          <w:iCs w:val="0"/>
          <w:color w:val="auto"/>
          <w:sz w:val="24"/>
          <w:szCs w:val="24"/>
          <w:lang w:val="en-GB"/>
        </w:rPr>
        <w:t>). This moderate residual starch, coupled with high reducing sugars, confirms the advanced ripening process during processing. The slightly higher starch content in Bongor suggests a varietal difference or a less pronounced ripening stage.</w:t>
      </w:r>
    </w:p>
    <w:p w14:paraId="4DBD4774" w14:textId="5C4229D1"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We observed an inverse relationship between amylose and amylopectin across all samples, as shown by the negative correlation coefficient (r = -1.000). The amylose/amylopectin ratio (5.20 to 9.16) is higher than values reported by </w:t>
      </w:r>
      <w:r w:rsidRPr="00CC36F1">
        <w:rPr>
          <w:b/>
          <w:bCs/>
          <w:i w:val="0"/>
          <w:iCs w:val="0"/>
          <w:color w:val="auto"/>
          <w:sz w:val="24"/>
          <w:szCs w:val="24"/>
          <w:lang w:val="en-GB"/>
        </w:rPr>
        <w:t>Haque et al. (2022)</w:t>
      </w:r>
      <w:r w:rsidRPr="00CC36F1">
        <w:rPr>
          <w:i w:val="0"/>
          <w:iCs w:val="0"/>
          <w:color w:val="auto"/>
          <w:sz w:val="24"/>
          <w:szCs w:val="24"/>
          <w:lang w:val="en-GB"/>
        </w:rPr>
        <w:t xml:space="preserve"> and </w:t>
      </w:r>
      <w:r w:rsidRPr="00CC36F1">
        <w:rPr>
          <w:b/>
          <w:bCs/>
          <w:i w:val="0"/>
          <w:iCs w:val="0"/>
          <w:color w:val="auto"/>
          <w:sz w:val="24"/>
          <w:szCs w:val="24"/>
          <w:lang w:val="en-GB"/>
        </w:rPr>
        <w:t xml:space="preserve">Zhu </w:t>
      </w:r>
      <w:r w:rsidRPr="00CC36F1">
        <w:rPr>
          <w:b/>
          <w:bCs/>
          <w:color w:val="auto"/>
          <w:sz w:val="24"/>
          <w:szCs w:val="24"/>
          <w:lang w:val="en-GB"/>
        </w:rPr>
        <w:t>et al.</w:t>
      </w:r>
      <w:r w:rsidRPr="00CC36F1">
        <w:rPr>
          <w:b/>
          <w:bCs/>
          <w:i w:val="0"/>
          <w:iCs w:val="0"/>
          <w:color w:val="auto"/>
          <w:sz w:val="24"/>
          <w:szCs w:val="24"/>
          <w:lang w:val="en-GB"/>
        </w:rPr>
        <w:t xml:space="preserve"> (2023).</w:t>
      </w:r>
      <w:r w:rsidRPr="00CC36F1">
        <w:rPr>
          <w:i w:val="0"/>
          <w:iCs w:val="0"/>
          <w:color w:val="auto"/>
          <w:sz w:val="24"/>
          <w:szCs w:val="24"/>
          <w:lang w:val="en-GB"/>
        </w:rPr>
        <w:t xml:space="preserve"> This predominance of the amylose fraction, particularly in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suggests a high capacity for starch retrogradation during heat treatments. Technologically, this implies that the incorporation of these powders into infant porridges must be adjusted to avoid excessive viscosity. To prevent highly consistent and indigestible porridges, dried mangoes from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should be added at the end of the cooking process (</w:t>
      </w:r>
      <w:r w:rsidRPr="00CC36F1">
        <w:rPr>
          <w:b/>
          <w:bCs/>
          <w:i w:val="0"/>
          <w:iCs w:val="0"/>
          <w:color w:val="auto"/>
          <w:sz w:val="24"/>
          <w:szCs w:val="24"/>
          <w:lang w:val="en-GB"/>
        </w:rPr>
        <w:t xml:space="preserve">Dongmo </w:t>
      </w:r>
      <w:r w:rsidRPr="00CC36F1">
        <w:rPr>
          <w:b/>
          <w:bCs/>
          <w:color w:val="auto"/>
          <w:sz w:val="24"/>
          <w:szCs w:val="24"/>
          <w:lang w:val="en-GB"/>
        </w:rPr>
        <w:t>et al</w:t>
      </w:r>
      <w:r w:rsidRPr="00CC36F1">
        <w:rPr>
          <w:b/>
          <w:bCs/>
          <w:i w:val="0"/>
          <w:iCs w:val="0"/>
          <w:color w:val="auto"/>
          <w:sz w:val="24"/>
          <w:szCs w:val="24"/>
          <w:lang w:val="en-GB"/>
        </w:rPr>
        <w:t>., 2020</w:t>
      </w:r>
      <w:r w:rsidRPr="00CC36F1">
        <w:rPr>
          <w:i w:val="0"/>
          <w:iCs w:val="0"/>
          <w:color w:val="auto"/>
          <w:sz w:val="24"/>
          <w:szCs w:val="24"/>
          <w:lang w:val="en-GB"/>
        </w:rPr>
        <w:t>).</w:t>
      </w:r>
    </w:p>
    <w:p w14:paraId="716B1344" w14:textId="77777777"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Energy Density and Nutritional Value</w:t>
      </w:r>
    </w:p>
    <w:p w14:paraId="22BFCD95" w14:textId="47A42B72"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The energy density of our samples (407.97 to 451.57 kcal/100 g) is significantly higher than values reported by </w:t>
      </w:r>
      <w:r w:rsidRPr="00CC36F1">
        <w:rPr>
          <w:b/>
          <w:bCs/>
          <w:i w:val="0"/>
          <w:iCs w:val="0"/>
          <w:color w:val="auto"/>
          <w:sz w:val="24"/>
          <w:szCs w:val="24"/>
          <w:lang w:val="en-GB"/>
        </w:rPr>
        <w:t xml:space="preserve">Haque </w:t>
      </w:r>
      <w:r w:rsidRPr="00CC36F1">
        <w:rPr>
          <w:b/>
          <w:bCs/>
          <w:color w:val="auto"/>
          <w:sz w:val="24"/>
          <w:szCs w:val="24"/>
          <w:lang w:val="en-GB"/>
        </w:rPr>
        <w:t>et al</w:t>
      </w:r>
      <w:r w:rsidRPr="00CC36F1">
        <w:rPr>
          <w:b/>
          <w:bCs/>
          <w:i w:val="0"/>
          <w:iCs w:val="0"/>
          <w:color w:val="auto"/>
          <w:sz w:val="24"/>
          <w:szCs w:val="24"/>
          <w:lang w:val="en-GB"/>
        </w:rPr>
        <w:t>. (2022)</w:t>
      </w:r>
      <w:r w:rsidRPr="00CC36F1">
        <w:rPr>
          <w:i w:val="0"/>
          <w:iCs w:val="0"/>
          <w:color w:val="auto"/>
          <w:sz w:val="24"/>
          <w:szCs w:val="24"/>
          <w:lang w:val="en-GB"/>
        </w:rPr>
        <w:t xml:space="preserve"> and exceeds the average of 380–410 kcal/100 g observed by </w:t>
      </w:r>
      <w:r w:rsidRPr="00CC36F1">
        <w:rPr>
          <w:b/>
          <w:bCs/>
          <w:i w:val="0"/>
          <w:iCs w:val="0"/>
          <w:color w:val="auto"/>
          <w:sz w:val="24"/>
          <w:szCs w:val="24"/>
          <w:lang w:val="en-GB"/>
        </w:rPr>
        <w:t xml:space="preserve">Mawa </w:t>
      </w:r>
      <w:r w:rsidRPr="00CC36F1">
        <w:rPr>
          <w:b/>
          <w:bCs/>
          <w:color w:val="auto"/>
          <w:sz w:val="24"/>
          <w:szCs w:val="24"/>
          <w:lang w:val="en-GB"/>
        </w:rPr>
        <w:t>et al.</w:t>
      </w:r>
      <w:r w:rsidRPr="00CC36F1">
        <w:rPr>
          <w:b/>
          <w:bCs/>
          <w:i w:val="0"/>
          <w:iCs w:val="0"/>
          <w:color w:val="auto"/>
          <w:sz w:val="24"/>
          <w:szCs w:val="24"/>
          <w:lang w:val="en-GB"/>
        </w:rPr>
        <w:t xml:space="preserve"> (2024).</w:t>
      </w:r>
      <w:r w:rsidRPr="00CC36F1">
        <w:rPr>
          <w:i w:val="0"/>
          <w:iCs w:val="0"/>
          <w:color w:val="auto"/>
          <w:sz w:val="24"/>
          <w:szCs w:val="24"/>
          <w:lang w:val="en-GB"/>
        </w:rPr>
        <w:t xml:space="preserve"> This remarkable energy concentration makes dried mango from Southern Chad a choice ingredient for high-calorie complementary foods, addressing protein-</w:t>
      </w:r>
      <w:r w:rsidRPr="00CC36F1">
        <w:rPr>
          <w:i w:val="0"/>
          <w:iCs w:val="0"/>
          <w:color w:val="auto"/>
          <w:sz w:val="24"/>
          <w:szCs w:val="24"/>
          <w:lang w:val="en-GB"/>
        </w:rPr>
        <w:lastRenderedPageBreak/>
        <w:t>energy malnutrition in rural areas (</w:t>
      </w:r>
      <w:r w:rsidRPr="00CC36F1">
        <w:rPr>
          <w:b/>
          <w:bCs/>
          <w:i w:val="0"/>
          <w:iCs w:val="0"/>
          <w:color w:val="auto"/>
          <w:sz w:val="24"/>
          <w:szCs w:val="24"/>
          <w:lang w:val="en-GB"/>
        </w:rPr>
        <w:t xml:space="preserve">Olatunde </w:t>
      </w:r>
      <w:r w:rsidRPr="00CC36F1">
        <w:rPr>
          <w:b/>
          <w:bCs/>
          <w:color w:val="auto"/>
          <w:sz w:val="24"/>
          <w:szCs w:val="24"/>
          <w:lang w:val="en-GB"/>
        </w:rPr>
        <w:t>et al</w:t>
      </w:r>
      <w:r w:rsidRPr="00CC36F1">
        <w:rPr>
          <w:b/>
          <w:bCs/>
          <w:i w:val="0"/>
          <w:iCs w:val="0"/>
          <w:color w:val="auto"/>
          <w:sz w:val="24"/>
          <w:szCs w:val="24"/>
          <w:lang w:val="en-GB"/>
        </w:rPr>
        <w:t>., 2023</w:t>
      </w:r>
      <w:r w:rsidRPr="00CC36F1">
        <w:rPr>
          <w:i w:val="0"/>
          <w:iCs w:val="0"/>
          <w:color w:val="auto"/>
          <w:sz w:val="24"/>
          <w:szCs w:val="24"/>
          <w:lang w:val="en-GB"/>
        </w:rPr>
        <w:t xml:space="preserve">). The high energy density in </w:t>
      </w:r>
      <w:proofErr w:type="spellStart"/>
      <w:r w:rsidRPr="00CC36F1">
        <w:rPr>
          <w:i w:val="0"/>
          <w:iCs w:val="0"/>
          <w:color w:val="auto"/>
          <w:sz w:val="24"/>
          <w:szCs w:val="24"/>
          <w:lang w:val="en-GB"/>
        </w:rPr>
        <w:t>Doba</w:t>
      </w:r>
      <w:proofErr w:type="spellEnd"/>
      <w:r w:rsidRPr="00CC36F1">
        <w:rPr>
          <w:i w:val="0"/>
          <w:iCs w:val="0"/>
          <w:color w:val="auto"/>
          <w:sz w:val="24"/>
          <w:szCs w:val="24"/>
          <w:lang w:val="en-GB"/>
        </w:rPr>
        <w:t xml:space="preserve"> and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is primarily linked to their high lipid content (r = 0.6882). However, these values remain below the </w:t>
      </w:r>
      <w:proofErr w:type="gramStart"/>
      <w:r w:rsidRPr="00CC36F1">
        <w:rPr>
          <w:i w:val="0"/>
          <w:iCs w:val="0"/>
          <w:color w:val="auto"/>
          <w:sz w:val="24"/>
          <w:szCs w:val="24"/>
          <w:lang w:val="en-GB"/>
        </w:rPr>
        <w:t>720 kcal</w:t>
      </w:r>
      <w:proofErr w:type="gramEnd"/>
      <w:r w:rsidRPr="00CC36F1">
        <w:rPr>
          <w:i w:val="0"/>
          <w:iCs w:val="0"/>
          <w:color w:val="auto"/>
          <w:sz w:val="24"/>
          <w:szCs w:val="24"/>
          <w:lang w:val="en-GB"/>
        </w:rPr>
        <w:t xml:space="preserve"> recommended by </w:t>
      </w:r>
      <w:r w:rsidRPr="00CC36F1">
        <w:rPr>
          <w:b/>
          <w:bCs/>
          <w:i w:val="0"/>
          <w:iCs w:val="0"/>
          <w:color w:val="auto"/>
          <w:sz w:val="24"/>
          <w:szCs w:val="24"/>
          <w:lang w:val="en-GB"/>
        </w:rPr>
        <w:t>FAO/WHO (2006)</w:t>
      </w:r>
      <w:r w:rsidRPr="00CC36F1">
        <w:rPr>
          <w:i w:val="0"/>
          <w:iCs w:val="0"/>
          <w:color w:val="auto"/>
          <w:sz w:val="24"/>
          <w:szCs w:val="24"/>
          <w:lang w:val="en-GB"/>
        </w:rPr>
        <w:t xml:space="preserve"> to cover the needs of weaning children, suggesting a need for supplementation with lipid sources like soy (</w:t>
      </w:r>
      <w:r w:rsidRPr="00CC36F1">
        <w:rPr>
          <w:b/>
          <w:bCs/>
          <w:i w:val="0"/>
          <w:iCs w:val="0"/>
          <w:color w:val="auto"/>
          <w:sz w:val="24"/>
          <w:szCs w:val="24"/>
          <w:lang w:val="en-GB"/>
        </w:rPr>
        <w:t xml:space="preserve">Klang </w:t>
      </w:r>
      <w:r w:rsidRPr="00CC36F1">
        <w:rPr>
          <w:b/>
          <w:bCs/>
          <w:color w:val="auto"/>
          <w:sz w:val="24"/>
          <w:szCs w:val="24"/>
          <w:lang w:val="en-GB"/>
        </w:rPr>
        <w:t>et al</w:t>
      </w:r>
      <w:r w:rsidRPr="00CC36F1">
        <w:rPr>
          <w:b/>
          <w:bCs/>
          <w:i w:val="0"/>
          <w:iCs w:val="0"/>
          <w:color w:val="auto"/>
          <w:sz w:val="24"/>
          <w:szCs w:val="24"/>
          <w:lang w:val="en-GB"/>
        </w:rPr>
        <w:t>., 2019</w:t>
      </w:r>
      <w:r w:rsidRPr="00CC36F1">
        <w:rPr>
          <w:i w:val="0"/>
          <w:iCs w:val="0"/>
          <w:color w:val="auto"/>
          <w:sz w:val="24"/>
          <w:szCs w:val="24"/>
          <w:lang w:val="en-GB"/>
        </w:rPr>
        <w:t>).</w:t>
      </w:r>
    </w:p>
    <w:p w14:paraId="70ABAEAF" w14:textId="12741342" w:rsidR="004418C0" w:rsidRPr="00CC36F1" w:rsidRDefault="00DA7633" w:rsidP="004418C0">
      <w:pPr>
        <w:pStyle w:val="Caption"/>
        <w:spacing w:line="360" w:lineRule="auto"/>
        <w:jc w:val="both"/>
        <w:rPr>
          <w:i w:val="0"/>
          <w:iCs w:val="0"/>
          <w:color w:val="auto"/>
          <w:sz w:val="24"/>
          <w:szCs w:val="24"/>
          <w:lang w:val="en-GB"/>
        </w:rPr>
      </w:pPr>
      <w:r w:rsidRPr="00CC36F1">
        <w:rPr>
          <w:b/>
          <w:bCs/>
          <w:i w:val="0"/>
          <w:iCs w:val="0"/>
          <w:color w:val="auto"/>
          <w:sz w:val="24"/>
          <w:szCs w:val="24"/>
          <w:lang w:val="en-GB"/>
        </w:rPr>
        <w:t xml:space="preserve">Table </w:t>
      </w:r>
      <w:r w:rsidR="002E389D">
        <w:rPr>
          <w:b/>
          <w:bCs/>
          <w:i w:val="0"/>
          <w:iCs w:val="0"/>
          <w:color w:val="auto"/>
          <w:sz w:val="24"/>
          <w:szCs w:val="24"/>
          <w:lang w:val="en-GB"/>
        </w:rPr>
        <w:t>4</w:t>
      </w:r>
      <w:r w:rsidRPr="00CC36F1">
        <w:rPr>
          <w:b/>
          <w:bCs/>
          <w:i w:val="0"/>
          <w:iCs w:val="0"/>
          <w:color w:val="auto"/>
          <w:sz w:val="24"/>
          <w:szCs w:val="24"/>
          <w:lang w:val="en-GB"/>
        </w:rPr>
        <w:t>:</w:t>
      </w:r>
      <w:r w:rsidRPr="00CC36F1">
        <w:rPr>
          <w:i w:val="0"/>
          <w:iCs w:val="0"/>
          <w:color w:val="auto"/>
          <w:sz w:val="24"/>
          <w:szCs w:val="24"/>
          <w:lang w:val="en-GB"/>
        </w:rPr>
        <w:t xml:space="preserve"> Mineral salt composition of dried mangoes according to sampling sites.</w:t>
      </w:r>
    </w:p>
    <w:tbl>
      <w:tblPr>
        <w:tblW w:w="8083"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82"/>
        <w:gridCol w:w="1289"/>
        <w:gridCol w:w="1409"/>
        <w:gridCol w:w="1415"/>
        <w:gridCol w:w="1560"/>
        <w:gridCol w:w="1428"/>
      </w:tblGrid>
      <w:tr w:rsidR="004418C0" w:rsidRPr="00AA39A2" w14:paraId="3EA6EB6F" w14:textId="77777777" w:rsidTr="007F4489">
        <w:trPr>
          <w:trHeight w:val="315"/>
          <w:jc w:val="center"/>
        </w:trPr>
        <w:tc>
          <w:tcPr>
            <w:tcW w:w="982" w:type="dxa"/>
            <w:tcBorders>
              <w:top w:val="single" w:sz="4" w:space="0" w:color="auto"/>
              <w:bottom w:val="single" w:sz="4" w:space="0" w:color="auto"/>
            </w:tcBorders>
            <w:tcMar>
              <w:top w:w="30" w:type="dxa"/>
              <w:left w:w="45" w:type="dxa"/>
              <w:bottom w:w="30" w:type="dxa"/>
              <w:right w:w="45" w:type="dxa"/>
            </w:tcMar>
            <w:vAlign w:val="bottom"/>
            <w:hideMark/>
          </w:tcPr>
          <w:bookmarkEnd w:id="3"/>
          <w:p w14:paraId="055964FE" w14:textId="77777777" w:rsidR="004418C0" w:rsidRPr="00AA39A2" w:rsidRDefault="004418C0" w:rsidP="007F4489">
            <w:pPr>
              <w:spacing w:after="160" w:line="360" w:lineRule="auto"/>
              <w:jc w:val="both"/>
            </w:pPr>
            <w:r w:rsidRPr="00AA39A2">
              <w:t>Sites</w:t>
            </w:r>
          </w:p>
        </w:tc>
        <w:tc>
          <w:tcPr>
            <w:tcW w:w="1289" w:type="dxa"/>
            <w:tcBorders>
              <w:top w:val="single" w:sz="4" w:space="0" w:color="auto"/>
              <w:bottom w:val="single" w:sz="4" w:space="0" w:color="auto"/>
            </w:tcBorders>
            <w:tcMar>
              <w:top w:w="30" w:type="dxa"/>
              <w:left w:w="45" w:type="dxa"/>
              <w:bottom w:w="30" w:type="dxa"/>
              <w:right w:w="45" w:type="dxa"/>
            </w:tcMar>
            <w:vAlign w:val="bottom"/>
            <w:hideMark/>
          </w:tcPr>
          <w:p w14:paraId="518409A9" w14:textId="77777777" w:rsidR="004418C0" w:rsidRPr="00AA39A2" w:rsidRDefault="004418C0" w:rsidP="007F4489">
            <w:pPr>
              <w:spacing w:line="360" w:lineRule="auto"/>
              <w:jc w:val="both"/>
              <w:rPr>
                <w:b/>
                <w:bCs/>
              </w:rPr>
            </w:pPr>
            <w:r w:rsidRPr="00AA39A2">
              <w:rPr>
                <w:b/>
                <w:bCs/>
              </w:rPr>
              <w:t xml:space="preserve">      K</w:t>
            </w:r>
          </w:p>
          <w:p w14:paraId="51738ABC" w14:textId="5FCCC6A7" w:rsidR="004418C0" w:rsidRPr="00AA39A2" w:rsidRDefault="004418C0" w:rsidP="007F4489">
            <w:pPr>
              <w:spacing w:after="160" w:line="360" w:lineRule="auto"/>
              <w:jc w:val="both"/>
              <w:rPr>
                <w:b/>
                <w:bCs/>
              </w:rPr>
            </w:pPr>
            <w:r w:rsidRPr="00AA39A2">
              <w:rPr>
                <w:b/>
                <w:bCs/>
              </w:rPr>
              <w:t xml:space="preserve"> (</w:t>
            </w:r>
            <w:r w:rsidR="00A257C1">
              <w:rPr>
                <w:b/>
                <w:bCs/>
              </w:rPr>
              <w:t>Mg</w:t>
            </w:r>
            <w:r w:rsidRPr="00AA39A2">
              <w:rPr>
                <w:b/>
                <w:bCs/>
              </w:rPr>
              <w:t>/100g)</w:t>
            </w:r>
          </w:p>
        </w:tc>
        <w:tc>
          <w:tcPr>
            <w:tcW w:w="1409" w:type="dxa"/>
            <w:tcBorders>
              <w:top w:val="single" w:sz="4" w:space="0" w:color="auto"/>
              <w:bottom w:val="single" w:sz="4" w:space="0" w:color="auto"/>
            </w:tcBorders>
            <w:tcMar>
              <w:top w:w="30" w:type="dxa"/>
              <w:left w:w="45" w:type="dxa"/>
              <w:bottom w:w="30" w:type="dxa"/>
              <w:right w:w="45" w:type="dxa"/>
            </w:tcMar>
            <w:vAlign w:val="bottom"/>
            <w:hideMark/>
          </w:tcPr>
          <w:p w14:paraId="589E2F2E" w14:textId="77777777" w:rsidR="004418C0" w:rsidRPr="00AA39A2" w:rsidRDefault="004418C0" w:rsidP="007F4489">
            <w:pPr>
              <w:spacing w:line="360" w:lineRule="auto"/>
              <w:jc w:val="both"/>
              <w:rPr>
                <w:b/>
                <w:bCs/>
              </w:rPr>
            </w:pPr>
            <w:r w:rsidRPr="00AA39A2">
              <w:rPr>
                <w:b/>
                <w:bCs/>
              </w:rPr>
              <w:t xml:space="preserve">    Mg </w:t>
            </w:r>
          </w:p>
          <w:p w14:paraId="4784CC3B" w14:textId="6C9FADC4" w:rsidR="004418C0" w:rsidRPr="00AA39A2" w:rsidRDefault="004418C0" w:rsidP="007F4489">
            <w:pPr>
              <w:spacing w:after="160" w:line="360" w:lineRule="auto"/>
              <w:jc w:val="both"/>
              <w:rPr>
                <w:b/>
                <w:bCs/>
              </w:rPr>
            </w:pPr>
            <w:r w:rsidRPr="00AA39A2">
              <w:rPr>
                <w:b/>
                <w:bCs/>
              </w:rPr>
              <w:t>(</w:t>
            </w:r>
            <w:r w:rsidR="00A257C1">
              <w:rPr>
                <w:b/>
                <w:bCs/>
              </w:rPr>
              <w:t>Mg</w:t>
            </w:r>
            <w:r w:rsidRPr="00AA39A2">
              <w:rPr>
                <w:b/>
                <w:bCs/>
              </w:rPr>
              <w:t>/100g)</w:t>
            </w:r>
          </w:p>
        </w:tc>
        <w:tc>
          <w:tcPr>
            <w:tcW w:w="1415" w:type="dxa"/>
            <w:tcBorders>
              <w:top w:val="single" w:sz="4" w:space="0" w:color="auto"/>
              <w:bottom w:val="single" w:sz="4" w:space="0" w:color="auto"/>
            </w:tcBorders>
            <w:tcMar>
              <w:top w:w="30" w:type="dxa"/>
              <w:left w:w="45" w:type="dxa"/>
              <w:bottom w:w="30" w:type="dxa"/>
              <w:right w:w="45" w:type="dxa"/>
            </w:tcMar>
            <w:vAlign w:val="bottom"/>
            <w:hideMark/>
          </w:tcPr>
          <w:p w14:paraId="4C9BC914" w14:textId="77777777" w:rsidR="004418C0" w:rsidRPr="00AA39A2" w:rsidRDefault="004418C0" w:rsidP="007F4489">
            <w:pPr>
              <w:spacing w:line="360" w:lineRule="auto"/>
              <w:jc w:val="both"/>
              <w:rPr>
                <w:b/>
                <w:bCs/>
              </w:rPr>
            </w:pPr>
            <w:r w:rsidRPr="00AA39A2">
              <w:rPr>
                <w:b/>
                <w:bCs/>
              </w:rPr>
              <w:t xml:space="preserve">    Fe </w:t>
            </w:r>
          </w:p>
          <w:p w14:paraId="0F7DCF59" w14:textId="7D96DA4B" w:rsidR="004418C0" w:rsidRPr="00AA39A2" w:rsidRDefault="004418C0" w:rsidP="007F4489">
            <w:pPr>
              <w:spacing w:after="160" w:line="360" w:lineRule="auto"/>
              <w:jc w:val="both"/>
              <w:rPr>
                <w:b/>
                <w:bCs/>
              </w:rPr>
            </w:pPr>
            <w:r w:rsidRPr="00AA39A2">
              <w:rPr>
                <w:b/>
                <w:bCs/>
              </w:rPr>
              <w:t>(</w:t>
            </w:r>
            <w:r w:rsidR="00A257C1" w:rsidRPr="00AA39A2">
              <w:rPr>
                <w:b/>
                <w:bCs/>
              </w:rPr>
              <w:t>Mg</w:t>
            </w:r>
            <w:r w:rsidRPr="00AA39A2">
              <w:rPr>
                <w:b/>
                <w:bCs/>
              </w:rPr>
              <w:t>/100g)</w:t>
            </w:r>
          </w:p>
        </w:tc>
        <w:tc>
          <w:tcPr>
            <w:tcW w:w="1560" w:type="dxa"/>
            <w:tcBorders>
              <w:top w:val="single" w:sz="4" w:space="0" w:color="auto"/>
              <w:bottom w:val="single" w:sz="4" w:space="0" w:color="auto"/>
            </w:tcBorders>
            <w:tcMar>
              <w:top w:w="30" w:type="dxa"/>
              <w:left w:w="45" w:type="dxa"/>
              <w:bottom w:w="30" w:type="dxa"/>
              <w:right w:w="45" w:type="dxa"/>
            </w:tcMar>
            <w:vAlign w:val="bottom"/>
            <w:hideMark/>
          </w:tcPr>
          <w:p w14:paraId="68883CF5" w14:textId="77777777" w:rsidR="004418C0" w:rsidRPr="00AA39A2" w:rsidRDefault="004418C0" w:rsidP="007F4489">
            <w:pPr>
              <w:spacing w:line="360" w:lineRule="auto"/>
              <w:jc w:val="both"/>
              <w:rPr>
                <w:b/>
                <w:bCs/>
              </w:rPr>
            </w:pPr>
            <w:r w:rsidRPr="00AA39A2">
              <w:rPr>
                <w:b/>
                <w:bCs/>
              </w:rPr>
              <w:t xml:space="preserve">    Ca </w:t>
            </w:r>
          </w:p>
          <w:p w14:paraId="4D97629D" w14:textId="2B970986" w:rsidR="004418C0" w:rsidRPr="00AA39A2" w:rsidRDefault="004418C0" w:rsidP="007F4489">
            <w:pPr>
              <w:spacing w:after="160" w:line="360" w:lineRule="auto"/>
              <w:jc w:val="both"/>
              <w:rPr>
                <w:b/>
                <w:bCs/>
              </w:rPr>
            </w:pPr>
            <w:r w:rsidRPr="00AA39A2">
              <w:rPr>
                <w:b/>
                <w:bCs/>
              </w:rPr>
              <w:t>(</w:t>
            </w:r>
            <w:r w:rsidR="00A257C1" w:rsidRPr="00AA39A2">
              <w:rPr>
                <w:b/>
                <w:bCs/>
              </w:rPr>
              <w:t>Mg</w:t>
            </w:r>
            <w:r w:rsidRPr="00AA39A2">
              <w:rPr>
                <w:b/>
                <w:bCs/>
              </w:rPr>
              <w:t>/100g)</w:t>
            </w:r>
          </w:p>
        </w:tc>
        <w:tc>
          <w:tcPr>
            <w:tcW w:w="1428" w:type="dxa"/>
            <w:tcBorders>
              <w:top w:val="single" w:sz="4" w:space="0" w:color="auto"/>
              <w:bottom w:val="single" w:sz="4" w:space="0" w:color="auto"/>
            </w:tcBorders>
            <w:tcMar>
              <w:top w:w="30" w:type="dxa"/>
              <w:left w:w="45" w:type="dxa"/>
              <w:bottom w:w="30" w:type="dxa"/>
              <w:right w:w="45" w:type="dxa"/>
            </w:tcMar>
            <w:vAlign w:val="bottom"/>
            <w:hideMark/>
          </w:tcPr>
          <w:p w14:paraId="43AEF22F" w14:textId="77777777" w:rsidR="004418C0" w:rsidRPr="00AA39A2" w:rsidRDefault="004418C0" w:rsidP="007F4489">
            <w:pPr>
              <w:spacing w:line="360" w:lineRule="auto"/>
              <w:jc w:val="both"/>
              <w:rPr>
                <w:b/>
                <w:bCs/>
              </w:rPr>
            </w:pPr>
            <w:r w:rsidRPr="00AA39A2">
              <w:rPr>
                <w:b/>
                <w:bCs/>
              </w:rPr>
              <w:t xml:space="preserve">     Na</w:t>
            </w:r>
          </w:p>
          <w:p w14:paraId="298DC40D" w14:textId="4A4A76A3" w:rsidR="004418C0" w:rsidRPr="00AA39A2" w:rsidRDefault="004418C0" w:rsidP="007F4489">
            <w:pPr>
              <w:spacing w:after="160" w:line="360" w:lineRule="auto"/>
              <w:jc w:val="both"/>
              <w:rPr>
                <w:b/>
                <w:bCs/>
              </w:rPr>
            </w:pPr>
            <w:r w:rsidRPr="00AA39A2">
              <w:rPr>
                <w:b/>
                <w:bCs/>
              </w:rPr>
              <w:t xml:space="preserve"> (</w:t>
            </w:r>
            <w:r w:rsidR="00A257C1" w:rsidRPr="00AA39A2">
              <w:rPr>
                <w:b/>
                <w:bCs/>
              </w:rPr>
              <w:t>Mg</w:t>
            </w:r>
            <w:r w:rsidRPr="00AA39A2">
              <w:rPr>
                <w:b/>
                <w:bCs/>
              </w:rPr>
              <w:t>/100g)</w:t>
            </w:r>
          </w:p>
        </w:tc>
      </w:tr>
      <w:tr w:rsidR="004418C0" w:rsidRPr="00AA39A2" w14:paraId="2F8B2CE8" w14:textId="77777777" w:rsidTr="007F4489">
        <w:trPr>
          <w:trHeight w:val="315"/>
          <w:jc w:val="center"/>
        </w:trPr>
        <w:tc>
          <w:tcPr>
            <w:tcW w:w="982" w:type="dxa"/>
            <w:tcBorders>
              <w:top w:val="single" w:sz="4" w:space="0" w:color="auto"/>
            </w:tcBorders>
            <w:tcMar>
              <w:top w:w="30" w:type="dxa"/>
              <w:left w:w="45" w:type="dxa"/>
              <w:bottom w:w="30" w:type="dxa"/>
              <w:right w:w="45" w:type="dxa"/>
            </w:tcMar>
            <w:vAlign w:val="bottom"/>
            <w:hideMark/>
          </w:tcPr>
          <w:p w14:paraId="24A2CA75" w14:textId="77777777" w:rsidR="004418C0" w:rsidRPr="00AA39A2" w:rsidRDefault="004418C0" w:rsidP="007F4489">
            <w:pPr>
              <w:spacing w:after="160" w:line="360" w:lineRule="auto"/>
              <w:jc w:val="both"/>
              <w:rPr>
                <w:b/>
                <w:bCs/>
              </w:rPr>
            </w:pPr>
            <w:r w:rsidRPr="00AA39A2">
              <w:rPr>
                <w:b/>
                <w:bCs/>
              </w:rPr>
              <w:t>Dba</w:t>
            </w:r>
          </w:p>
        </w:tc>
        <w:tc>
          <w:tcPr>
            <w:tcW w:w="1289" w:type="dxa"/>
            <w:tcBorders>
              <w:top w:val="single" w:sz="4" w:space="0" w:color="auto"/>
            </w:tcBorders>
            <w:tcMar>
              <w:top w:w="30" w:type="dxa"/>
              <w:left w:w="45" w:type="dxa"/>
              <w:bottom w:w="30" w:type="dxa"/>
              <w:right w:w="45" w:type="dxa"/>
            </w:tcMar>
            <w:vAlign w:val="bottom"/>
            <w:hideMark/>
          </w:tcPr>
          <w:p w14:paraId="143DA8C6" w14:textId="77777777" w:rsidR="004418C0" w:rsidRPr="00AA39A2" w:rsidRDefault="004418C0" w:rsidP="007F4489">
            <w:pPr>
              <w:spacing w:after="160" w:line="360" w:lineRule="auto"/>
              <w:jc w:val="both"/>
            </w:pPr>
            <w:r w:rsidRPr="00AA39A2">
              <w:t>85,97±4,93a</w:t>
            </w:r>
          </w:p>
        </w:tc>
        <w:tc>
          <w:tcPr>
            <w:tcW w:w="1409" w:type="dxa"/>
            <w:tcBorders>
              <w:top w:val="single" w:sz="4" w:space="0" w:color="auto"/>
            </w:tcBorders>
            <w:tcMar>
              <w:top w:w="30" w:type="dxa"/>
              <w:left w:w="45" w:type="dxa"/>
              <w:bottom w:w="30" w:type="dxa"/>
              <w:right w:w="45" w:type="dxa"/>
            </w:tcMar>
            <w:vAlign w:val="bottom"/>
            <w:hideMark/>
          </w:tcPr>
          <w:p w14:paraId="1C80653C" w14:textId="77777777" w:rsidR="004418C0" w:rsidRPr="00AA39A2" w:rsidRDefault="004418C0" w:rsidP="007F4489">
            <w:pPr>
              <w:spacing w:after="160" w:line="360" w:lineRule="auto"/>
              <w:jc w:val="both"/>
            </w:pPr>
            <w:r w:rsidRPr="00AA39A2">
              <w:t>70,24±0,46c</w:t>
            </w:r>
          </w:p>
        </w:tc>
        <w:tc>
          <w:tcPr>
            <w:tcW w:w="1415" w:type="dxa"/>
            <w:tcBorders>
              <w:top w:val="single" w:sz="4" w:space="0" w:color="auto"/>
            </w:tcBorders>
            <w:tcMar>
              <w:top w:w="30" w:type="dxa"/>
              <w:left w:w="45" w:type="dxa"/>
              <w:bottom w:w="30" w:type="dxa"/>
              <w:right w:w="45" w:type="dxa"/>
            </w:tcMar>
            <w:vAlign w:val="bottom"/>
            <w:hideMark/>
          </w:tcPr>
          <w:p w14:paraId="04B87635" w14:textId="77777777" w:rsidR="004418C0" w:rsidRPr="00AA39A2" w:rsidRDefault="004418C0" w:rsidP="007F4489">
            <w:pPr>
              <w:spacing w:after="160" w:line="360" w:lineRule="auto"/>
              <w:jc w:val="both"/>
            </w:pPr>
            <w:r w:rsidRPr="00AA39A2">
              <w:t>1,05±0,11a</w:t>
            </w:r>
          </w:p>
        </w:tc>
        <w:tc>
          <w:tcPr>
            <w:tcW w:w="1560" w:type="dxa"/>
            <w:tcBorders>
              <w:top w:val="single" w:sz="4" w:space="0" w:color="auto"/>
            </w:tcBorders>
            <w:tcMar>
              <w:top w:w="30" w:type="dxa"/>
              <w:left w:w="45" w:type="dxa"/>
              <w:bottom w:w="30" w:type="dxa"/>
              <w:right w:w="45" w:type="dxa"/>
            </w:tcMar>
            <w:vAlign w:val="bottom"/>
            <w:hideMark/>
          </w:tcPr>
          <w:p w14:paraId="339B86B4" w14:textId="77777777" w:rsidR="004418C0" w:rsidRPr="00AA39A2" w:rsidRDefault="004418C0" w:rsidP="007F4489">
            <w:pPr>
              <w:spacing w:after="160" w:line="360" w:lineRule="auto"/>
              <w:jc w:val="both"/>
            </w:pPr>
            <w:r w:rsidRPr="00AA39A2">
              <w:t>73,25±0,52ab</w:t>
            </w:r>
          </w:p>
        </w:tc>
        <w:tc>
          <w:tcPr>
            <w:tcW w:w="1428" w:type="dxa"/>
            <w:tcBorders>
              <w:top w:val="single" w:sz="4" w:space="0" w:color="auto"/>
            </w:tcBorders>
            <w:tcMar>
              <w:top w:w="30" w:type="dxa"/>
              <w:left w:w="45" w:type="dxa"/>
              <w:bottom w:w="30" w:type="dxa"/>
              <w:right w:w="45" w:type="dxa"/>
            </w:tcMar>
            <w:vAlign w:val="bottom"/>
            <w:hideMark/>
          </w:tcPr>
          <w:p w14:paraId="708B6AC0" w14:textId="77777777" w:rsidR="004418C0" w:rsidRPr="00AA39A2" w:rsidRDefault="004418C0" w:rsidP="007F4489">
            <w:pPr>
              <w:spacing w:after="160" w:line="360" w:lineRule="auto"/>
              <w:jc w:val="both"/>
            </w:pPr>
            <w:r w:rsidRPr="00AA39A2">
              <w:t>11,41±0,29a</w:t>
            </w:r>
          </w:p>
        </w:tc>
      </w:tr>
      <w:tr w:rsidR="004418C0" w:rsidRPr="00AA39A2" w14:paraId="69EC634E" w14:textId="77777777" w:rsidTr="007F4489">
        <w:trPr>
          <w:trHeight w:val="315"/>
          <w:jc w:val="center"/>
        </w:trPr>
        <w:tc>
          <w:tcPr>
            <w:tcW w:w="982" w:type="dxa"/>
            <w:tcMar>
              <w:top w:w="30" w:type="dxa"/>
              <w:left w:w="45" w:type="dxa"/>
              <w:bottom w:w="30" w:type="dxa"/>
              <w:right w:w="45" w:type="dxa"/>
            </w:tcMar>
            <w:vAlign w:val="bottom"/>
            <w:hideMark/>
          </w:tcPr>
          <w:p w14:paraId="09467C27" w14:textId="77777777" w:rsidR="004418C0" w:rsidRPr="00AA39A2" w:rsidRDefault="004418C0" w:rsidP="007F4489">
            <w:pPr>
              <w:spacing w:after="160" w:line="360" w:lineRule="auto"/>
              <w:jc w:val="both"/>
              <w:rPr>
                <w:b/>
                <w:bCs/>
              </w:rPr>
            </w:pPr>
            <w:r w:rsidRPr="00AA39A2">
              <w:rPr>
                <w:b/>
                <w:bCs/>
              </w:rPr>
              <w:t>Bbja</w:t>
            </w:r>
          </w:p>
        </w:tc>
        <w:tc>
          <w:tcPr>
            <w:tcW w:w="1289" w:type="dxa"/>
            <w:tcMar>
              <w:top w:w="30" w:type="dxa"/>
              <w:left w:w="45" w:type="dxa"/>
              <w:bottom w:w="30" w:type="dxa"/>
              <w:right w:w="45" w:type="dxa"/>
            </w:tcMar>
            <w:vAlign w:val="bottom"/>
            <w:hideMark/>
          </w:tcPr>
          <w:p w14:paraId="70159CA9" w14:textId="77777777" w:rsidR="004418C0" w:rsidRPr="00AA39A2" w:rsidRDefault="004418C0" w:rsidP="007F4489">
            <w:pPr>
              <w:spacing w:after="160" w:line="360" w:lineRule="auto"/>
              <w:jc w:val="both"/>
            </w:pPr>
            <w:r w:rsidRPr="00AA39A2">
              <w:t>80,92±6,94a</w:t>
            </w:r>
          </w:p>
        </w:tc>
        <w:tc>
          <w:tcPr>
            <w:tcW w:w="1409" w:type="dxa"/>
            <w:tcMar>
              <w:top w:w="30" w:type="dxa"/>
              <w:left w:w="45" w:type="dxa"/>
              <w:bottom w:w="30" w:type="dxa"/>
              <w:right w:w="45" w:type="dxa"/>
            </w:tcMar>
            <w:vAlign w:val="bottom"/>
            <w:hideMark/>
          </w:tcPr>
          <w:p w14:paraId="0827FDF4" w14:textId="77777777" w:rsidR="004418C0" w:rsidRPr="00AA39A2" w:rsidRDefault="004418C0" w:rsidP="007F4489">
            <w:pPr>
              <w:spacing w:after="160" w:line="360" w:lineRule="auto"/>
              <w:jc w:val="both"/>
            </w:pPr>
            <w:r w:rsidRPr="00AA39A2">
              <w:t>70,59±0,38c</w:t>
            </w:r>
          </w:p>
        </w:tc>
        <w:tc>
          <w:tcPr>
            <w:tcW w:w="1415" w:type="dxa"/>
            <w:tcMar>
              <w:top w:w="30" w:type="dxa"/>
              <w:left w:w="45" w:type="dxa"/>
              <w:bottom w:w="30" w:type="dxa"/>
              <w:right w:w="45" w:type="dxa"/>
            </w:tcMar>
            <w:vAlign w:val="bottom"/>
            <w:hideMark/>
          </w:tcPr>
          <w:p w14:paraId="0146252E" w14:textId="77777777" w:rsidR="004418C0" w:rsidRPr="00AA39A2" w:rsidRDefault="004418C0" w:rsidP="007F4489">
            <w:pPr>
              <w:spacing w:after="160" w:line="360" w:lineRule="auto"/>
              <w:jc w:val="both"/>
            </w:pPr>
            <w:r w:rsidRPr="00AA39A2">
              <w:t>1,50±0,45ab</w:t>
            </w:r>
          </w:p>
        </w:tc>
        <w:tc>
          <w:tcPr>
            <w:tcW w:w="1560" w:type="dxa"/>
            <w:tcMar>
              <w:top w:w="30" w:type="dxa"/>
              <w:left w:w="45" w:type="dxa"/>
              <w:bottom w:w="30" w:type="dxa"/>
              <w:right w:w="45" w:type="dxa"/>
            </w:tcMar>
            <w:vAlign w:val="bottom"/>
            <w:hideMark/>
          </w:tcPr>
          <w:p w14:paraId="7B0CF747" w14:textId="77777777" w:rsidR="004418C0" w:rsidRPr="00AA39A2" w:rsidRDefault="004418C0" w:rsidP="007F4489">
            <w:pPr>
              <w:spacing w:after="160" w:line="360" w:lineRule="auto"/>
              <w:jc w:val="both"/>
            </w:pPr>
            <w:r w:rsidRPr="00AA39A2">
              <w:t>73,35±0,46ab</w:t>
            </w:r>
          </w:p>
        </w:tc>
        <w:tc>
          <w:tcPr>
            <w:tcW w:w="1428" w:type="dxa"/>
            <w:tcMar>
              <w:top w:w="30" w:type="dxa"/>
              <w:left w:w="45" w:type="dxa"/>
              <w:bottom w:w="30" w:type="dxa"/>
              <w:right w:w="45" w:type="dxa"/>
            </w:tcMar>
            <w:vAlign w:val="bottom"/>
            <w:hideMark/>
          </w:tcPr>
          <w:p w14:paraId="3B774705" w14:textId="77777777" w:rsidR="004418C0" w:rsidRPr="00AA39A2" w:rsidRDefault="004418C0" w:rsidP="007F4489">
            <w:pPr>
              <w:spacing w:after="160" w:line="360" w:lineRule="auto"/>
              <w:jc w:val="both"/>
            </w:pPr>
            <w:r w:rsidRPr="00AA39A2">
              <w:t>11,50±0,45a</w:t>
            </w:r>
          </w:p>
        </w:tc>
      </w:tr>
      <w:tr w:rsidR="004418C0" w:rsidRPr="00AA39A2" w14:paraId="724A1E92" w14:textId="77777777" w:rsidTr="007F4489">
        <w:trPr>
          <w:trHeight w:val="315"/>
          <w:jc w:val="center"/>
        </w:trPr>
        <w:tc>
          <w:tcPr>
            <w:tcW w:w="982" w:type="dxa"/>
            <w:tcMar>
              <w:top w:w="30" w:type="dxa"/>
              <w:left w:w="45" w:type="dxa"/>
              <w:bottom w:w="30" w:type="dxa"/>
              <w:right w:w="45" w:type="dxa"/>
            </w:tcMar>
            <w:vAlign w:val="bottom"/>
            <w:hideMark/>
          </w:tcPr>
          <w:p w14:paraId="2CAA9508" w14:textId="77777777" w:rsidR="004418C0" w:rsidRPr="00AA39A2" w:rsidRDefault="004418C0" w:rsidP="007F4489">
            <w:pPr>
              <w:spacing w:after="160" w:line="360" w:lineRule="auto"/>
              <w:jc w:val="both"/>
              <w:rPr>
                <w:b/>
                <w:bCs/>
              </w:rPr>
            </w:pPr>
            <w:r w:rsidRPr="00AA39A2">
              <w:rPr>
                <w:b/>
                <w:bCs/>
              </w:rPr>
              <w:t>Mdou</w:t>
            </w:r>
          </w:p>
        </w:tc>
        <w:tc>
          <w:tcPr>
            <w:tcW w:w="1289" w:type="dxa"/>
            <w:tcMar>
              <w:top w:w="30" w:type="dxa"/>
              <w:left w:w="45" w:type="dxa"/>
              <w:bottom w:w="30" w:type="dxa"/>
              <w:right w:w="45" w:type="dxa"/>
            </w:tcMar>
            <w:vAlign w:val="bottom"/>
            <w:hideMark/>
          </w:tcPr>
          <w:p w14:paraId="27242AC0" w14:textId="77777777" w:rsidR="004418C0" w:rsidRPr="00AA39A2" w:rsidRDefault="004418C0" w:rsidP="007F4489">
            <w:pPr>
              <w:spacing w:after="160" w:line="360" w:lineRule="auto"/>
              <w:jc w:val="both"/>
            </w:pPr>
            <w:r w:rsidRPr="00AA39A2">
              <w:t>83,21±1,81a</w:t>
            </w:r>
          </w:p>
        </w:tc>
        <w:tc>
          <w:tcPr>
            <w:tcW w:w="1409" w:type="dxa"/>
            <w:tcMar>
              <w:top w:w="30" w:type="dxa"/>
              <w:left w:w="45" w:type="dxa"/>
              <w:bottom w:w="30" w:type="dxa"/>
              <w:right w:w="45" w:type="dxa"/>
            </w:tcMar>
            <w:vAlign w:val="bottom"/>
            <w:hideMark/>
          </w:tcPr>
          <w:p w14:paraId="3188CF3C" w14:textId="77777777" w:rsidR="004418C0" w:rsidRPr="00AA39A2" w:rsidRDefault="004418C0" w:rsidP="007F4489">
            <w:pPr>
              <w:spacing w:after="160" w:line="360" w:lineRule="auto"/>
              <w:jc w:val="both"/>
            </w:pPr>
            <w:r w:rsidRPr="00AA39A2">
              <w:t>70,06±0,37bc</w:t>
            </w:r>
          </w:p>
        </w:tc>
        <w:tc>
          <w:tcPr>
            <w:tcW w:w="1415" w:type="dxa"/>
            <w:tcMar>
              <w:top w:w="30" w:type="dxa"/>
              <w:left w:w="45" w:type="dxa"/>
              <w:bottom w:w="30" w:type="dxa"/>
              <w:right w:w="45" w:type="dxa"/>
            </w:tcMar>
            <w:vAlign w:val="bottom"/>
            <w:hideMark/>
          </w:tcPr>
          <w:p w14:paraId="6882EF36" w14:textId="77777777" w:rsidR="004418C0" w:rsidRPr="00AA39A2" w:rsidRDefault="004418C0" w:rsidP="007F4489">
            <w:pPr>
              <w:spacing w:after="160" w:line="360" w:lineRule="auto"/>
              <w:jc w:val="both"/>
            </w:pPr>
            <w:r w:rsidRPr="00AA39A2">
              <w:t>1,18±0,27a</w:t>
            </w:r>
          </w:p>
        </w:tc>
        <w:tc>
          <w:tcPr>
            <w:tcW w:w="1560" w:type="dxa"/>
            <w:tcMar>
              <w:top w:w="30" w:type="dxa"/>
              <w:left w:w="45" w:type="dxa"/>
              <w:bottom w:w="30" w:type="dxa"/>
              <w:right w:w="45" w:type="dxa"/>
            </w:tcMar>
            <w:vAlign w:val="bottom"/>
            <w:hideMark/>
          </w:tcPr>
          <w:p w14:paraId="021FD039" w14:textId="77777777" w:rsidR="004418C0" w:rsidRPr="00AA39A2" w:rsidRDefault="004418C0" w:rsidP="007F4489">
            <w:pPr>
              <w:spacing w:after="160" w:line="360" w:lineRule="auto"/>
              <w:jc w:val="both"/>
            </w:pPr>
            <w:r w:rsidRPr="00AA39A2">
              <w:t>72,66±0,47a</w:t>
            </w:r>
          </w:p>
        </w:tc>
        <w:tc>
          <w:tcPr>
            <w:tcW w:w="1428" w:type="dxa"/>
            <w:tcMar>
              <w:top w:w="30" w:type="dxa"/>
              <w:left w:w="45" w:type="dxa"/>
              <w:bottom w:w="30" w:type="dxa"/>
              <w:right w:w="45" w:type="dxa"/>
            </w:tcMar>
            <w:vAlign w:val="bottom"/>
            <w:hideMark/>
          </w:tcPr>
          <w:p w14:paraId="1983D9E0" w14:textId="77777777" w:rsidR="004418C0" w:rsidRPr="00AA39A2" w:rsidRDefault="004418C0" w:rsidP="007F4489">
            <w:pPr>
              <w:spacing w:after="160" w:line="360" w:lineRule="auto"/>
              <w:jc w:val="both"/>
            </w:pPr>
            <w:r w:rsidRPr="00AA39A2">
              <w:t>11,50±0,19a</w:t>
            </w:r>
          </w:p>
        </w:tc>
      </w:tr>
      <w:tr w:rsidR="004418C0" w:rsidRPr="00AA39A2" w14:paraId="085AF003" w14:textId="77777777" w:rsidTr="007F4489">
        <w:trPr>
          <w:trHeight w:val="315"/>
          <w:jc w:val="center"/>
        </w:trPr>
        <w:tc>
          <w:tcPr>
            <w:tcW w:w="982" w:type="dxa"/>
            <w:tcMar>
              <w:top w:w="30" w:type="dxa"/>
              <w:left w:w="45" w:type="dxa"/>
              <w:bottom w:w="30" w:type="dxa"/>
              <w:right w:w="45" w:type="dxa"/>
            </w:tcMar>
            <w:vAlign w:val="bottom"/>
            <w:hideMark/>
          </w:tcPr>
          <w:p w14:paraId="2083C0BA" w14:textId="77777777" w:rsidR="004418C0" w:rsidRPr="00AA39A2" w:rsidRDefault="004418C0" w:rsidP="007F4489">
            <w:pPr>
              <w:spacing w:after="160" w:line="360" w:lineRule="auto"/>
              <w:jc w:val="both"/>
              <w:rPr>
                <w:b/>
                <w:bCs/>
              </w:rPr>
            </w:pPr>
            <w:r w:rsidRPr="00AA39A2">
              <w:rPr>
                <w:b/>
                <w:bCs/>
              </w:rPr>
              <w:t>Kmr</w:t>
            </w:r>
          </w:p>
        </w:tc>
        <w:tc>
          <w:tcPr>
            <w:tcW w:w="1289" w:type="dxa"/>
            <w:tcMar>
              <w:top w:w="30" w:type="dxa"/>
              <w:left w:w="45" w:type="dxa"/>
              <w:bottom w:w="30" w:type="dxa"/>
              <w:right w:w="45" w:type="dxa"/>
            </w:tcMar>
            <w:vAlign w:val="bottom"/>
            <w:hideMark/>
          </w:tcPr>
          <w:p w14:paraId="79855272" w14:textId="77777777" w:rsidR="004418C0" w:rsidRPr="00AA39A2" w:rsidRDefault="004418C0" w:rsidP="007F4489">
            <w:pPr>
              <w:spacing w:after="160" w:line="360" w:lineRule="auto"/>
              <w:jc w:val="both"/>
            </w:pPr>
            <w:r w:rsidRPr="00AA39A2">
              <w:t>79,15±0,46a</w:t>
            </w:r>
          </w:p>
        </w:tc>
        <w:tc>
          <w:tcPr>
            <w:tcW w:w="1409" w:type="dxa"/>
            <w:tcMar>
              <w:top w:w="30" w:type="dxa"/>
              <w:left w:w="45" w:type="dxa"/>
              <w:bottom w:w="30" w:type="dxa"/>
              <w:right w:w="45" w:type="dxa"/>
            </w:tcMar>
            <w:vAlign w:val="bottom"/>
            <w:hideMark/>
          </w:tcPr>
          <w:p w14:paraId="0AB8C612" w14:textId="77777777" w:rsidR="004418C0" w:rsidRPr="00AA39A2" w:rsidRDefault="004418C0" w:rsidP="007F4489">
            <w:pPr>
              <w:spacing w:after="160" w:line="360" w:lineRule="auto"/>
              <w:jc w:val="both"/>
            </w:pPr>
            <w:r w:rsidRPr="00AA39A2">
              <w:t>69,53±0,20b</w:t>
            </w:r>
          </w:p>
        </w:tc>
        <w:tc>
          <w:tcPr>
            <w:tcW w:w="1415" w:type="dxa"/>
            <w:tcMar>
              <w:top w:w="30" w:type="dxa"/>
              <w:left w:w="45" w:type="dxa"/>
              <w:bottom w:w="30" w:type="dxa"/>
              <w:right w:w="45" w:type="dxa"/>
            </w:tcMar>
            <w:vAlign w:val="bottom"/>
            <w:hideMark/>
          </w:tcPr>
          <w:p w14:paraId="6D934E51" w14:textId="77777777" w:rsidR="004418C0" w:rsidRPr="00AA39A2" w:rsidRDefault="004418C0" w:rsidP="007F4489">
            <w:pPr>
              <w:spacing w:after="160" w:line="360" w:lineRule="auto"/>
              <w:jc w:val="both"/>
            </w:pPr>
            <w:r w:rsidRPr="00AA39A2">
              <w:t>1,26±0,14a</w:t>
            </w:r>
          </w:p>
        </w:tc>
        <w:tc>
          <w:tcPr>
            <w:tcW w:w="1560" w:type="dxa"/>
            <w:tcMar>
              <w:top w:w="30" w:type="dxa"/>
              <w:left w:w="45" w:type="dxa"/>
              <w:bottom w:w="30" w:type="dxa"/>
              <w:right w:w="45" w:type="dxa"/>
            </w:tcMar>
            <w:vAlign w:val="bottom"/>
            <w:hideMark/>
          </w:tcPr>
          <w:p w14:paraId="473078F4" w14:textId="77777777" w:rsidR="004418C0" w:rsidRPr="00AA39A2" w:rsidRDefault="004418C0" w:rsidP="007F4489">
            <w:pPr>
              <w:spacing w:after="160" w:line="360" w:lineRule="auto"/>
              <w:jc w:val="both"/>
            </w:pPr>
            <w:r w:rsidRPr="00AA39A2">
              <w:t>73,49±0,17a</w:t>
            </w:r>
          </w:p>
        </w:tc>
        <w:tc>
          <w:tcPr>
            <w:tcW w:w="1428" w:type="dxa"/>
            <w:tcMar>
              <w:top w:w="30" w:type="dxa"/>
              <w:left w:w="45" w:type="dxa"/>
              <w:bottom w:w="30" w:type="dxa"/>
              <w:right w:w="45" w:type="dxa"/>
            </w:tcMar>
            <w:vAlign w:val="bottom"/>
            <w:hideMark/>
          </w:tcPr>
          <w:p w14:paraId="299D087A" w14:textId="77777777" w:rsidR="004418C0" w:rsidRPr="00AA39A2" w:rsidRDefault="004418C0" w:rsidP="007F4489">
            <w:pPr>
              <w:spacing w:after="160" w:line="360" w:lineRule="auto"/>
              <w:jc w:val="both"/>
            </w:pPr>
            <w:r w:rsidRPr="00AA39A2">
              <w:t>11,55±0,45a</w:t>
            </w:r>
          </w:p>
        </w:tc>
      </w:tr>
      <w:tr w:rsidR="004418C0" w:rsidRPr="00AA39A2" w14:paraId="4F38BF63" w14:textId="77777777" w:rsidTr="007F4489">
        <w:trPr>
          <w:trHeight w:val="315"/>
          <w:jc w:val="center"/>
        </w:trPr>
        <w:tc>
          <w:tcPr>
            <w:tcW w:w="982" w:type="dxa"/>
            <w:tcMar>
              <w:top w:w="30" w:type="dxa"/>
              <w:left w:w="45" w:type="dxa"/>
              <w:bottom w:w="30" w:type="dxa"/>
              <w:right w:w="45" w:type="dxa"/>
            </w:tcMar>
            <w:vAlign w:val="bottom"/>
            <w:hideMark/>
          </w:tcPr>
          <w:p w14:paraId="23B665B4" w14:textId="77777777" w:rsidR="004418C0" w:rsidRPr="00AA39A2" w:rsidRDefault="004418C0" w:rsidP="007F4489">
            <w:pPr>
              <w:spacing w:after="160" w:line="360" w:lineRule="auto"/>
              <w:jc w:val="both"/>
              <w:rPr>
                <w:b/>
                <w:bCs/>
              </w:rPr>
            </w:pPr>
            <w:r w:rsidRPr="00AA39A2">
              <w:rPr>
                <w:b/>
                <w:bCs/>
              </w:rPr>
              <w:t>Bgr</w:t>
            </w:r>
          </w:p>
        </w:tc>
        <w:tc>
          <w:tcPr>
            <w:tcW w:w="1289" w:type="dxa"/>
            <w:tcMar>
              <w:top w:w="30" w:type="dxa"/>
              <w:left w:w="45" w:type="dxa"/>
              <w:bottom w:w="30" w:type="dxa"/>
              <w:right w:w="45" w:type="dxa"/>
            </w:tcMar>
            <w:vAlign w:val="bottom"/>
            <w:hideMark/>
          </w:tcPr>
          <w:p w14:paraId="2768703A" w14:textId="77777777" w:rsidR="004418C0" w:rsidRPr="00AA39A2" w:rsidRDefault="004418C0" w:rsidP="007F4489">
            <w:pPr>
              <w:spacing w:after="160" w:line="360" w:lineRule="auto"/>
              <w:jc w:val="both"/>
            </w:pPr>
            <w:r w:rsidRPr="00AA39A2">
              <w:t>82,59±0,25a</w:t>
            </w:r>
          </w:p>
        </w:tc>
        <w:tc>
          <w:tcPr>
            <w:tcW w:w="1409" w:type="dxa"/>
            <w:tcMar>
              <w:top w:w="30" w:type="dxa"/>
              <w:left w:w="45" w:type="dxa"/>
              <w:bottom w:w="30" w:type="dxa"/>
              <w:right w:w="45" w:type="dxa"/>
            </w:tcMar>
            <w:vAlign w:val="bottom"/>
            <w:hideMark/>
          </w:tcPr>
          <w:p w14:paraId="6CA61FA2" w14:textId="77777777" w:rsidR="004418C0" w:rsidRPr="00AA39A2" w:rsidRDefault="004418C0" w:rsidP="007F4489">
            <w:pPr>
              <w:spacing w:after="160" w:line="360" w:lineRule="auto"/>
              <w:jc w:val="both"/>
            </w:pPr>
            <w:r w:rsidRPr="00AA39A2">
              <w:t>68,78±0,30a</w:t>
            </w:r>
          </w:p>
        </w:tc>
        <w:tc>
          <w:tcPr>
            <w:tcW w:w="1415" w:type="dxa"/>
            <w:tcMar>
              <w:top w:w="30" w:type="dxa"/>
              <w:left w:w="45" w:type="dxa"/>
              <w:bottom w:w="30" w:type="dxa"/>
              <w:right w:w="45" w:type="dxa"/>
            </w:tcMar>
            <w:vAlign w:val="bottom"/>
            <w:hideMark/>
          </w:tcPr>
          <w:p w14:paraId="3C187D64" w14:textId="77777777" w:rsidR="004418C0" w:rsidRPr="00AA39A2" w:rsidRDefault="004418C0" w:rsidP="007F4489">
            <w:pPr>
              <w:spacing w:after="160" w:line="360" w:lineRule="auto"/>
              <w:jc w:val="both"/>
            </w:pPr>
            <w:r w:rsidRPr="00AA39A2">
              <w:t>1,79±0,20b</w:t>
            </w:r>
          </w:p>
        </w:tc>
        <w:tc>
          <w:tcPr>
            <w:tcW w:w="1560" w:type="dxa"/>
            <w:tcMar>
              <w:top w:w="30" w:type="dxa"/>
              <w:left w:w="45" w:type="dxa"/>
              <w:bottom w:w="30" w:type="dxa"/>
              <w:right w:w="45" w:type="dxa"/>
            </w:tcMar>
            <w:vAlign w:val="bottom"/>
            <w:hideMark/>
          </w:tcPr>
          <w:p w14:paraId="128F42C4" w14:textId="77777777" w:rsidR="004418C0" w:rsidRPr="00AA39A2" w:rsidRDefault="004418C0" w:rsidP="007F4489">
            <w:pPr>
              <w:spacing w:after="160" w:line="360" w:lineRule="auto"/>
              <w:jc w:val="both"/>
            </w:pPr>
            <w:r w:rsidRPr="00AA39A2">
              <w:t>72,89±0,07ab</w:t>
            </w:r>
          </w:p>
        </w:tc>
        <w:tc>
          <w:tcPr>
            <w:tcW w:w="1428" w:type="dxa"/>
            <w:tcMar>
              <w:top w:w="30" w:type="dxa"/>
              <w:left w:w="45" w:type="dxa"/>
              <w:bottom w:w="30" w:type="dxa"/>
              <w:right w:w="45" w:type="dxa"/>
            </w:tcMar>
            <w:vAlign w:val="bottom"/>
            <w:hideMark/>
          </w:tcPr>
          <w:p w14:paraId="1D012016" w14:textId="77777777" w:rsidR="004418C0" w:rsidRPr="00AA39A2" w:rsidRDefault="004418C0" w:rsidP="007F4489">
            <w:pPr>
              <w:spacing w:after="160" w:line="360" w:lineRule="auto"/>
              <w:jc w:val="both"/>
            </w:pPr>
            <w:r w:rsidRPr="00AA39A2">
              <w:t>12,58±0,39b</w:t>
            </w:r>
          </w:p>
        </w:tc>
      </w:tr>
      <w:tr w:rsidR="004418C0" w:rsidRPr="00AA39A2" w14:paraId="2EE10B7E" w14:textId="77777777" w:rsidTr="007F4489">
        <w:trPr>
          <w:trHeight w:val="315"/>
          <w:jc w:val="center"/>
        </w:trPr>
        <w:tc>
          <w:tcPr>
            <w:tcW w:w="982" w:type="dxa"/>
            <w:tcMar>
              <w:top w:w="30" w:type="dxa"/>
              <w:left w:w="45" w:type="dxa"/>
              <w:bottom w:w="30" w:type="dxa"/>
              <w:right w:w="45" w:type="dxa"/>
            </w:tcMar>
            <w:vAlign w:val="bottom"/>
            <w:hideMark/>
          </w:tcPr>
          <w:p w14:paraId="4F13192C" w14:textId="4F65FDED" w:rsidR="004418C0" w:rsidRPr="00AA39A2" w:rsidRDefault="00A257C1" w:rsidP="007F4489">
            <w:pPr>
              <w:spacing w:after="160" w:line="360" w:lineRule="auto"/>
              <w:jc w:val="both"/>
              <w:rPr>
                <w:b/>
                <w:bCs/>
              </w:rPr>
            </w:pPr>
            <w:r w:rsidRPr="00AA39A2">
              <w:rPr>
                <w:b/>
                <w:bCs/>
              </w:rPr>
              <w:t>P</w:t>
            </w:r>
            <w:r w:rsidR="004418C0" w:rsidRPr="00AA39A2">
              <w:rPr>
                <w:b/>
                <w:bCs/>
              </w:rPr>
              <w:t>-value</w:t>
            </w:r>
          </w:p>
        </w:tc>
        <w:tc>
          <w:tcPr>
            <w:tcW w:w="1289" w:type="dxa"/>
            <w:tcMar>
              <w:top w:w="30" w:type="dxa"/>
              <w:left w:w="45" w:type="dxa"/>
              <w:bottom w:w="30" w:type="dxa"/>
              <w:right w:w="45" w:type="dxa"/>
            </w:tcMar>
            <w:vAlign w:val="bottom"/>
            <w:hideMark/>
          </w:tcPr>
          <w:p w14:paraId="2AB98F84" w14:textId="77777777" w:rsidR="004418C0" w:rsidRPr="00AA39A2" w:rsidRDefault="004418C0" w:rsidP="007F4489">
            <w:pPr>
              <w:spacing w:after="160" w:line="360" w:lineRule="auto"/>
              <w:jc w:val="both"/>
            </w:pPr>
            <w:r w:rsidRPr="00AA39A2">
              <w:t>0,112 (ns)</w:t>
            </w:r>
          </w:p>
        </w:tc>
        <w:tc>
          <w:tcPr>
            <w:tcW w:w="1409" w:type="dxa"/>
            <w:tcMar>
              <w:top w:w="30" w:type="dxa"/>
              <w:left w:w="45" w:type="dxa"/>
              <w:bottom w:w="30" w:type="dxa"/>
              <w:right w:w="45" w:type="dxa"/>
            </w:tcMar>
            <w:vAlign w:val="bottom"/>
            <w:hideMark/>
          </w:tcPr>
          <w:p w14:paraId="2BC38F53" w14:textId="77777777" w:rsidR="004418C0" w:rsidRPr="00AA39A2" w:rsidRDefault="004418C0" w:rsidP="007F4489">
            <w:pPr>
              <w:spacing w:after="160" w:line="360" w:lineRule="auto"/>
              <w:jc w:val="both"/>
            </w:pPr>
            <w:r w:rsidRPr="00AA39A2">
              <w:t>&lt; 0,001 ***</w:t>
            </w:r>
          </w:p>
        </w:tc>
        <w:tc>
          <w:tcPr>
            <w:tcW w:w="1415" w:type="dxa"/>
            <w:tcMar>
              <w:top w:w="30" w:type="dxa"/>
              <w:left w:w="45" w:type="dxa"/>
              <w:bottom w:w="30" w:type="dxa"/>
              <w:right w:w="45" w:type="dxa"/>
            </w:tcMar>
            <w:vAlign w:val="bottom"/>
            <w:hideMark/>
          </w:tcPr>
          <w:p w14:paraId="085E2ADD" w14:textId="77777777" w:rsidR="004418C0" w:rsidRPr="00AA39A2" w:rsidRDefault="004418C0" w:rsidP="007F4489">
            <w:pPr>
              <w:spacing w:after="160" w:line="360" w:lineRule="auto"/>
              <w:jc w:val="both"/>
            </w:pPr>
            <w:r w:rsidRPr="00AA39A2">
              <w:t>0,002 **</w:t>
            </w:r>
          </w:p>
        </w:tc>
        <w:tc>
          <w:tcPr>
            <w:tcW w:w="1560" w:type="dxa"/>
            <w:tcMar>
              <w:top w:w="30" w:type="dxa"/>
              <w:left w:w="45" w:type="dxa"/>
              <w:bottom w:w="30" w:type="dxa"/>
              <w:right w:w="45" w:type="dxa"/>
            </w:tcMar>
            <w:vAlign w:val="bottom"/>
            <w:hideMark/>
          </w:tcPr>
          <w:p w14:paraId="1F9F0D3F" w14:textId="77777777" w:rsidR="004418C0" w:rsidRPr="00AA39A2" w:rsidRDefault="004418C0" w:rsidP="007F4489">
            <w:pPr>
              <w:spacing w:after="160" w:line="360" w:lineRule="auto"/>
              <w:jc w:val="both"/>
            </w:pPr>
            <w:r w:rsidRPr="00AA39A2">
              <w:t>0,016 *</w:t>
            </w:r>
          </w:p>
        </w:tc>
        <w:tc>
          <w:tcPr>
            <w:tcW w:w="1428" w:type="dxa"/>
            <w:tcMar>
              <w:top w:w="30" w:type="dxa"/>
              <w:left w:w="45" w:type="dxa"/>
              <w:bottom w:w="30" w:type="dxa"/>
              <w:right w:w="45" w:type="dxa"/>
            </w:tcMar>
            <w:vAlign w:val="bottom"/>
            <w:hideMark/>
          </w:tcPr>
          <w:p w14:paraId="33CBDCC4" w14:textId="77777777" w:rsidR="004418C0" w:rsidRPr="00AA39A2" w:rsidRDefault="004418C0" w:rsidP="007F4489">
            <w:pPr>
              <w:spacing w:after="160" w:line="360" w:lineRule="auto"/>
              <w:jc w:val="both"/>
            </w:pPr>
            <w:r w:rsidRPr="00AA39A2">
              <w:t>&lt; 0,001 ***</w:t>
            </w:r>
          </w:p>
        </w:tc>
      </w:tr>
    </w:tbl>
    <w:p w14:paraId="2E2845E3" w14:textId="77B642BC" w:rsidR="00DA7633" w:rsidRPr="00CC36F1" w:rsidRDefault="00DA7633" w:rsidP="00DA7633">
      <w:pPr>
        <w:pStyle w:val="Caption"/>
        <w:spacing w:line="360" w:lineRule="auto"/>
        <w:jc w:val="both"/>
        <w:rPr>
          <w:color w:val="auto"/>
          <w:sz w:val="24"/>
          <w:szCs w:val="24"/>
          <w:lang w:val="en-GB"/>
        </w:rPr>
      </w:pPr>
      <w:bookmarkStart w:id="4" w:name="_Hlk166503416"/>
      <w:r w:rsidRPr="00CC36F1">
        <w:rPr>
          <w:color w:val="auto"/>
          <w:sz w:val="24"/>
          <w:szCs w:val="24"/>
          <w:lang w:val="en-GB"/>
        </w:rPr>
        <w:t>Values represent means p standard deviation (n=3). Within the same column, means followed by different letters (a, b, c) indicate a statistically significant difference (p &lt; 0.05$).</w:t>
      </w:r>
    </w:p>
    <w:p w14:paraId="5A0DE57D" w14:textId="29E4B721" w:rsidR="00DA7633" w:rsidRPr="00CC36F1" w:rsidRDefault="001819C1" w:rsidP="00DA7633">
      <w:pPr>
        <w:pStyle w:val="Caption"/>
        <w:spacing w:line="360" w:lineRule="auto"/>
        <w:jc w:val="both"/>
        <w:rPr>
          <w:b/>
          <w:bCs/>
          <w:i w:val="0"/>
          <w:iCs w:val="0"/>
          <w:color w:val="auto"/>
          <w:sz w:val="24"/>
          <w:szCs w:val="24"/>
          <w:lang w:val="en-GB"/>
        </w:rPr>
      </w:pPr>
      <w:proofErr w:type="gramStart"/>
      <w:r w:rsidRPr="00CC36F1">
        <w:rPr>
          <w:b/>
          <w:bCs/>
          <w:i w:val="0"/>
          <w:iCs w:val="0"/>
          <w:color w:val="auto"/>
          <w:sz w:val="24"/>
          <w:szCs w:val="24"/>
          <w:lang w:val="en-GB"/>
        </w:rPr>
        <w:t>Discussion :</w:t>
      </w:r>
      <w:proofErr w:type="gramEnd"/>
      <w:r w:rsidR="00DA7633" w:rsidRPr="00CC36F1">
        <w:rPr>
          <w:b/>
          <w:bCs/>
          <w:i w:val="0"/>
          <w:iCs w:val="0"/>
          <w:color w:val="auto"/>
          <w:sz w:val="24"/>
          <w:szCs w:val="24"/>
          <w:lang w:val="en-GB"/>
        </w:rPr>
        <w:t xml:space="preserve"> Mineral Composition and Hidden Hunger</w:t>
      </w:r>
    </w:p>
    <w:p w14:paraId="6229C5F3" w14:textId="1CA3D552"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Mineral malnutrition, or "hidden hunger," is the most widespread form of malnutrition today, affecting more than one in three children. It remains a major public health challenge, driving a continuous search for sustainable local solutions (</w:t>
      </w:r>
      <w:r w:rsidRPr="00CC36F1">
        <w:rPr>
          <w:b/>
          <w:bCs/>
          <w:i w:val="0"/>
          <w:iCs w:val="0"/>
          <w:color w:val="auto"/>
          <w:sz w:val="24"/>
          <w:szCs w:val="24"/>
          <w:lang w:val="en-GB"/>
        </w:rPr>
        <w:t>FAO/WHO, 2006</w:t>
      </w:r>
      <w:r w:rsidRPr="00CC36F1">
        <w:rPr>
          <w:i w:val="0"/>
          <w:iCs w:val="0"/>
          <w:color w:val="auto"/>
          <w:sz w:val="24"/>
          <w:szCs w:val="24"/>
          <w:lang w:val="en-GB"/>
        </w:rPr>
        <w:t>). Minerals play essential physiological roles, acting as cofactors in metabolic reactions (Ca, Fe, K, Na, Mg), and are vital for nerve impulse transmission, bone solidification, and osmotic pressure maintenance (</w:t>
      </w:r>
      <w:r w:rsidRPr="00CC36F1">
        <w:rPr>
          <w:b/>
          <w:bCs/>
          <w:i w:val="0"/>
          <w:iCs w:val="0"/>
          <w:color w:val="auto"/>
          <w:sz w:val="24"/>
          <w:szCs w:val="24"/>
          <w:lang w:val="en-GB"/>
        </w:rPr>
        <w:t xml:space="preserve">FAO, </w:t>
      </w:r>
      <w:proofErr w:type="gramStart"/>
      <w:r w:rsidR="001819C1" w:rsidRPr="00CC36F1">
        <w:rPr>
          <w:b/>
          <w:bCs/>
          <w:i w:val="0"/>
          <w:iCs w:val="0"/>
          <w:color w:val="auto"/>
          <w:sz w:val="24"/>
          <w:szCs w:val="24"/>
          <w:lang w:val="en-GB"/>
        </w:rPr>
        <w:t>2001 ;</w:t>
      </w:r>
      <w:proofErr w:type="gramEnd"/>
      <w:r w:rsidRPr="00CC36F1">
        <w:rPr>
          <w:b/>
          <w:bCs/>
          <w:i w:val="0"/>
          <w:iCs w:val="0"/>
          <w:color w:val="auto"/>
          <w:sz w:val="24"/>
          <w:szCs w:val="24"/>
          <w:lang w:val="en-GB"/>
        </w:rPr>
        <w:t xml:space="preserve"> Badham </w:t>
      </w:r>
      <w:r w:rsidRPr="00CC36F1">
        <w:rPr>
          <w:b/>
          <w:bCs/>
          <w:color w:val="auto"/>
          <w:sz w:val="24"/>
          <w:szCs w:val="24"/>
          <w:lang w:val="en-GB"/>
        </w:rPr>
        <w:t>et al</w:t>
      </w:r>
      <w:r w:rsidRPr="00CC36F1">
        <w:rPr>
          <w:b/>
          <w:bCs/>
          <w:i w:val="0"/>
          <w:iCs w:val="0"/>
          <w:color w:val="auto"/>
          <w:sz w:val="24"/>
          <w:szCs w:val="24"/>
          <w:lang w:val="en-GB"/>
        </w:rPr>
        <w:t xml:space="preserve">., </w:t>
      </w:r>
      <w:r w:rsidR="001819C1" w:rsidRPr="00CC36F1">
        <w:rPr>
          <w:b/>
          <w:bCs/>
          <w:i w:val="0"/>
          <w:iCs w:val="0"/>
          <w:color w:val="auto"/>
          <w:sz w:val="24"/>
          <w:szCs w:val="24"/>
          <w:lang w:val="en-GB"/>
        </w:rPr>
        <w:t>2007 ;</w:t>
      </w:r>
      <w:r w:rsidRPr="00CC36F1">
        <w:rPr>
          <w:b/>
          <w:bCs/>
          <w:i w:val="0"/>
          <w:iCs w:val="0"/>
          <w:color w:val="auto"/>
          <w:sz w:val="24"/>
          <w:szCs w:val="24"/>
          <w:lang w:val="en-GB"/>
        </w:rPr>
        <w:t xml:space="preserve"> Ogbonnaya </w:t>
      </w:r>
      <w:r w:rsidRPr="00CC36F1">
        <w:rPr>
          <w:b/>
          <w:bCs/>
          <w:color w:val="auto"/>
          <w:sz w:val="24"/>
          <w:szCs w:val="24"/>
          <w:lang w:val="en-GB"/>
        </w:rPr>
        <w:t>et al</w:t>
      </w:r>
      <w:r w:rsidRPr="00CC36F1">
        <w:rPr>
          <w:b/>
          <w:bCs/>
          <w:i w:val="0"/>
          <w:iCs w:val="0"/>
          <w:color w:val="auto"/>
          <w:sz w:val="24"/>
          <w:szCs w:val="24"/>
          <w:lang w:val="en-GB"/>
        </w:rPr>
        <w:t>., 2010</w:t>
      </w:r>
      <w:r w:rsidRPr="00CC36F1">
        <w:rPr>
          <w:i w:val="0"/>
          <w:iCs w:val="0"/>
          <w:color w:val="auto"/>
          <w:sz w:val="24"/>
          <w:szCs w:val="24"/>
          <w:lang w:val="en-GB"/>
        </w:rPr>
        <w:t>).</w:t>
      </w:r>
    </w:p>
    <w:p w14:paraId="779BD770" w14:textId="30EED703"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Our results show that mineral content was significantly influenced by the area of origin (p &lt; 0.05). Potassium (79.15 to 85.97 mg/100 g) and calcium (72.66 to 73.49 mg/100 g) are the predominant elements, with values exceeding those reported by </w:t>
      </w:r>
      <w:r w:rsidRPr="00CC36F1">
        <w:rPr>
          <w:b/>
          <w:bCs/>
          <w:i w:val="0"/>
          <w:iCs w:val="0"/>
          <w:color w:val="auto"/>
          <w:sz w:val="24"/>
          <w:szCs w:val="24"/>
          <w:lang w:val="en-GB"/>
        </w:rPr>
        <w:t xml:space="preserve">Haque </w:t>
      </w:r>
      <w:r w:rsidRPr="00CC36F1">
        <w:rPr>
          <w:b/>
          <w:bCs/>
          <w:color w:val="auto"/>
          <w:sz w:val="24"/>
          <w:szCs w:val="24"/>
          <w:lang w:val="en-GB"/>
        </w:rPr>
        <w:t>et al</w:t>
      </w:r>
      <w:r w:rsidRPr="00CC36F1">
        <w:rPr>
          <w:b/>
          <w:bCs/>
          <w:i w:val="0"/>
          <w:iCs w:val="0"/>
          <w:color w:val="auto"/>
          <w:sz w:val="24"/>
          <w:szCs w:val="24"/>
          <w:lang w:val="en-GB"/>
        </w:rPr>
        <w:t>. (2022)</w:t>
      </w:r>
      <w:r w:rsidRPr="00CC36F1">
        <w:rPr>
          <w:i w:val="0"/>
          <w:iCs w:val="0"/>
          <w:color w:val="auto"/>
          <w:sz w:val="24"/>
          <w:szCs w:val="24"/>
          <w:lang w:val="en-GB"/>
        </w:rPr>
        <w:t xml:space="preserve">. Notably, the iron content in Bongor (1.79 mg/100 g) aligns with the observations of </w:t>
      </w:r>
      <w:r w:rsidRPr="00CC36F1">
        <w:rPr>
          <w:b/>
          <w:bCs/>
          <w:i w:val="0"/>
          <w:iCs w:val="0"/>
          <w:color w:val="auto"/>
          <w:sz w:val="24"/>
          <w:szCs w:val="24"/>
          <w:lang w:val="en-GB"/>
        </w:rPr>
        <w:t xml:space="preserve">Olatunde </w:t>
      </w:r>
      <w:r w:rsidRPr="00CC36F1">
        <w:rPr>
          <w:b/>
          <w:bCs/>
          <w:color w:val="auto"/>
          <w:sz w:val="24"/>
          <w:szCs w:val="24"/>
          <w:lang w:val="en-GB"/>
        </w:rPr>
        <w:t>et al.</w:t>
      </w:r>
      <w:r w:rsidRPr="00CC36F1">
        <w:rPr>
          <w:b/>
          <w:bCs/>
          <w:i w:val="0"/>
          <w:iCs w:val="0"/>
          <w:color w:val="auto"/>
          <w:sz w:val="24"/>
          <w:szCs w:val="24"/>
          <w:lang w:val="en-GB"/>
        </w:rPr>
        <w:t xml:space="preserve"> (2023),</w:t>
      </w:r>
      <w:r w:rsidRPr="00CC36F1">
        <w:rPr>
          <w:i w:val="0"/>
          <w:iCs w:val="0"/>
          <w:color w:val="auto"/>
          <w:sz w:val="24"/>
          <w:szCs w:val="24"/>
          <w:lang w:val="en-GB"/>
        </w:rPr>
        <w:t xml:space="preserve"> confirming the potential of Chadian dried mango as a complementary source of iron. </w:t>
      </w:r>
      <w:r w:rsidRPr="00CC36F1">
        <w:rPr>
          <w:i w:val="0"/>
          <w:iCs w:val="0"/>
          <w:color w:val="auto"/>
          <w:sz w:val="24"/>
          <w:szCs w:val="24"/>
          <w:lang w:val="en-GB"/>
        </w:rPr>
        <w:lastRenderedPageBreak/>
        <w:t xml:space="preserve">This is a major public health argument for fortifying infant foods in Chad, where iron-deficiency </w:t>
      </w:r>
      <w:proofErr w:type="spellStart"/>
      <w:r w:rsidRPr="00CC36F1">
        <w:rPr>
          <w:i w:val="0"/>
          <w:iCs w:val="0"/>
          <w:color w:val="auto"/>
          <w:sz w:val="24"/>
          <w:szCs w:val="24"/>
          <w:lang w:val="en-GB"/>
        </w:rPr>
        <w:t>anemia</w:t>
      </w:r>
      <w:proofErr w:type="spellEnd"/>
      <w:r w:rsidRPr="00CC36F1">
        <w:rPr>
          <w:i w:val="0"/>
          <w:iCs w:val="0"/>
          <w:color w:val="auto"/>
          <w:sz w:val="24"/>
          <w:szCs w:val="24"/>
          <w:lang w:val="en-GB"/>
        </w:rPr>
        <w:t xml:space="preserve"> is prevalent.</w:t>
      </w:r>
    </w:p>
    <w:p w14:paraId="30A4CD90" w14:textId="3D05B3D0"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The high calcium levels </w:t>
      </w:r>
      <w:r w:rsidR="003E2C6A" w:rsidRPr="00CC36F1">
        <w:rPr>
          <w:i w:val="0"/>
          <w:iCs w:val="0"/>
          <w:color w:val="auto"/>
          <w:sz w:val="24"/>
          <w:szCs w:val="24"/>
          <w:lang w:val="en-GB"/>
        </w:rPr>
        <w:t>(73</w:t>
      </w:r>
      <w:r w:rsidRPr="00CC36F1">
        <w:rPr>
          <w:i w:val="0"/>
          <w:iCs w:val="0"/>
          <w:color w:val="auto"/>
          <w:sz w:val="24"/>
          <w:szCs w:val="24"/>
          <w:lang w:val="en-GB"/>
        </w:rPr>
        <w:t xml:space="preserve"> mg/100 g) suggest that local Chadian varieties, or the soils in the </w:t>
      </w:r>
      <w:proofErr w:type="spellStart"/>
      <w:r w:rsidRPr="00CC36F1">
        <w:rPr>
          <w:i w:val="0"/>
          <w:iCs w:val="0"/>
          <w:color w:val="auto"/>
          <w:sz w:val="24"/>
          <w:szCs w:val="24"/>
          <w:lang w:val="en-GB"/>
        </w:rPr>
        <w:t>Koumra</w:t>
      </w:r>
      <w:proofErr w:type="spellEnd"/>
      <w:r w:rsidRPr="00CC36F1">
        <w:rPr>
          <w:i w:val="0"/>
          <w:iCs w:val="0"/>
          <w:color w:val="auto"/>
          <w:sz w:val="24"/>
          <w:szCs w:val="24"/>
          <w:lang w:val="en-GB"/>
        </w:rPr>
        <w:t xml:space="preserve"> and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areas, are particularly rich in assimilable lime. Potassium, peaking in Doba (85.97 mg/100 g), exceeds the standards described by </w:t>
      </w:r>
      <w:r w:rsidRPr="00CC36F1">
        <w:rPr>
          <w:b/>
          <w:bCs/>
          <w:i w:val="0"/>
          <w:iCs w:val="0"/>
          <w:color w:val="auto"/>
          <w:sz w:val="24"/>
          <w:szCs w:val="24"/>
          <w:lang w:val="en-GB"/>
        </w:rPr>
        <w:t xml:space="preserve">Mawa </w:t>
      </w:r>
      <w:r w:rsidRPr="00CC36F1">
        <w:rPr>
          <w:b/>
          <w:bCs/>
          <w:color w:val="auto"/>
          <w:sz w:val="24"/>
          <w:szCs w:val="24"/>
          <w:lang w:val="en-GB"/>
        </w:rPr>
        <w:t>et al.</w:t>
      </w:r>
      <w:r w:rsidRPr="00CC36F1">
        <w:rPr>
          <w:b/>
          <w:bCs/>
          <w:i w:val="0"/>
          <w:iCs w:val="0"/>
          <w:color w:val="auto"/>
          <w:sz w:val="24"/>
          <w:szCs w:val="24"/>
          <w:lang w:val="en-GB"/>
        </w:rPr>
        <w:t xml:space="preserve"> (2024)</w:t>
      </w:r>
      <w:r w:rsidRPr="00CC36F1">
        <w:rPr>
          <w:i w:val="0"/>
          <w:iCs w:val="0"/>
          <w:color w:val="auto"/>
          <w:sz w:val="24"/>
          <w:szCs w:val="24"/>
          <w:lang w:val="en-GB"/>
        </w:rPr>
        <w:t>, reinforcing the cardiovascular benefits of this product. Conversely, magnesium and sodium show relative stability across sites, indicating they are less influenced by local soil variations. Low sodium levels are a positive quality indicator for hypertension prevention (</w:t>
      </w:r>
      <w:r w:rsidRPr="00CC36F1">
        <w:rPr>
          <w:b/>
          <w:bCs/>
          <w:i w:val="0"/>
          <w:iCs w:val="0"/>
          <w:color w:val="auto"/>
          <w:sz w:val="24"/>
          <w:szCs w:val="24"/>
          <w:lang w:val="en-GB"/>
        </w:rPr>
        <w:t xml:space="preserve">Maldonado-Celis </w:t>
      </w:r>
      <w:r w:rsidRPr="00CC36F1">
        <w:rPr>
          <w:b/>
          <w:bCs/>
          <w:color w:val="auto"/>
          <w:sz w:val="24"/>
          <w:szCs w:val="24"/>
          <w:lang w:val="en-GB"/>
        </w:rPr>
        <w:t>et al</w:t>
      </w:r>
      <w:r w:rsidRPr="00CC36F1">
        <w:rPr>
          <w:b/>
          <w:bCs/>
          <w:i w:val="0"/>
          <w:iCs w:val="0"/>
          <w:color w:val="auto"/>
          <w:sz w:val="24"/>
          <w:szCs w:val="24"/>
          <w:lang w:val="en-GB"/>
        </w:rPr>
        <w:t>., 2022).</w:t>
      </w:r>
    </w:p>
    <w:p w14:paraId="3D6EDA1D" w14:textId="77777777"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Overall, samples from </w:t>
      </w:r>
      <w:proofErr w:type="spellStart"/>
      <w:r w:rsidRPr="00CC36F1">
        <w:rPr>
          <w:i w:val="0"/>
          <w:iCs w:val="0"/>
          <w:color w:val="auto"/>
          <w:sz w:val="24"/>
          <w:szCs w:val="24"/>
          <w:lang w:val="en-GB"/>
        </w:rPr>
        <w:t>Doba</w:t>
      </w:r>
      <w:proofErr w:type="spellEnd"/>
      <w:r w:rsidRPr="00CC36F1">
        <w:rPr>
          <w:i w:val="0"/>
          <w:iCs w:val="0"/>
          <w:color w:val="auto"/>
          <w:sz w:val="24"/>
          <w:szCs w:val="24"/>
          <w:lang w:val="en-GB"/>
        </w:rPr>
        <w:t xml:space="preserve">,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and </w:t>
      </w:r>
      <w:proofErr w:type="spellStart"/>
      <w:r w:rsidRPr="00CC36F1">
        <w:rPr>
          <w:i w:val="0"/>
          <w:iCs w:val="0"/>
          <w:color w:val="auto"/>
          <w:sz w:val="24"/>
          <w:szCs w:val="24"/>
          <w:lang w:val="en-GB"/>
        </w:rPr>
        <w:t>Bebedja</w:t>
      </w:r>
      <w:proofErr w:type="spellEnd"/>
      <w:r w:rsidRPr="00CC36F1">
        <w:rPr>
          <w:i w:val="0"/>
          <w:iCs w:val="0"/>
          <w:color w:val="auto"/>
          <w:sz w:val="24"/>
          <w:szCs w:val="24"/>
          <w:lang w:val="en-GB"/>
        </w:rPr>
        <w:t xml:space="preserve"> exhibit the highest mineral concentrations. These disparities confirm the work of </w:t>
      </w:r>
      <w:r w:rsidRPr="00CC36F1">
        <w:rPr>
          <w:b/>
          <w:bCs/>
          <w:i w:val="0"/>
          <w:iCs w:val="0"/>
          <w:color w:val="auto"/>
          <w:sz w:val="24"/>
          <w:szCs w:val="24"/>
          <w:lang w:val="en-GB"/>
        </w:rPr>
        <w:t>Sawadogo and Traoré (2001)</w:t>
      </w:r>
      <w:r w:rsidRPr="00CC36F1">
        <w:rPr>
          <w:i w:val="0"/>
          <w:iCs w:val="0"/>
          <w:color w:val="auto"/>
          <w:sz w:val="24"/>
          <w:szCs w:val="24"/>
          <w:lang w:val="en-GB"/>
        </w:rPr>
        <w:t xml:space="preserve"> and are supported by </w:t>
      </w:r>
      <w:r w:rsidRPr="00CC36F1">
        <w:rPr>
          <w:b/>
          <w:bCs/>
          <w:i w:val="0"/>
          <w:iCs w:val="0"/>
          <w:color w:val="auto"/>
          <w:sz w:val="24"/>
          <w:szCs w:val="24"/>
          <w:lang w:val="en-GB"/>
        </w:rPr>
        <w:t>Mawa et al. (2024)</w:t>
      </w:r>
      <w:r w:rsidRPr="00CC36F1">
        <w:rPr>
          <w:i w:val="0"/>
          <w:iCs w:val="0"/>
          <w:color w:val="auto"/>
          <w:sz w:val="24"/>
          <w:szCs w:val="24"/>
          <w:lang w:val="en-GB"/>
        </w:rPr>
        <w:t xml:space="preserve">, who emphasize that pedoclimatic variability—specifically the soil richness of Southern Chad—prevails over the processing method. However, drying temperature and increased ionic diffusion during evaporation remain determining factors for the final micronutrient concentration </w:t>
      </w:r>
      <w:r w:rsidRPr="00CC36F1">
        <w:rPr>
          <w:b/>
          <w:bCs/>
          <w:i w:val="0"/>
          <w:iCs w:val="0"/>
          <w:color w:val="auto"/>
          <w:sz w:val="24"/>
          <w:szCs w:val="24"/>
          <w:lang w:val="en-GB"/>
        </w:rPr>
        <w:t>(Olatunde et al., 2023).</w:t>
      </w:r>
    </w:p>
    <w:p w14:paraId="37CCDC85" w14:textId="353B9249"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Compared to previous studies, calcium levels were 20 times higher than those reported by </w:t>
      </w:r>
      <w:proofErr w:type="spellStart"/>
      <w:r w:rsidRPr="00CC36F1">
        <w:rPr>
          <w:b/>
          <w:bCs/>
          <w:i w:val="0"/>
          <w:iCs w:val="0"/>
          <w:color w:val="auto"/>
          <w:sz w:val="24"/>
          <w:szCs w:val="24"/>
          <w:lang w:val="en-GB"/>
        </w:rPr>
        <w:t>Djantou</w:t>
      </w:r>
      <w:proofErr w:type="spellEnd"/>
      <w:r w:rsidRPr="00CC36F1">
        <w:rPr>
          <w:b/>
          <w:bCs/>
          <w:i w:val="0"/>
          <w:iCs w:val="0"/>
          <w:color w:val="auto"/>
          <w:sz w:val="24"/>
          <w:szCs w:val="24"/>
          <w:lang w:val="en-GB"/>
        </w:rPr>
        <w:t xml:space="preserve"> (2006)</w:t>
      </w:r>
      <w:r w:rsidRPr="00CC36F1">
        <w:rPr>
          <w:i w:val="0"/>
          <w:iCs w:val="0"/>
          <w:color w:val="auto"/>
          <w:sz w:val="24"/>
          <w:szCs w:val="24"/>
          <w:lang w:val="en-GB"/>
        </w:rPr>
        <w:t xml:space="preserve">, while iron levels were lower than the 6 to 7 mg/100 g reported by </w:t>
      </w:r>
      <w:r w:rsidRPr="00CC36F1">
        <w:rPr>
          <w:b/>
          <w:bCs/>
          <w:i w:val="0"/>
          <w:iCs w:val="0"/>
          <w:color w:val="auto"/>
          <w:sz w:val="24"/>
          <w:szCs w:val="24"/>
          <w:lang w:val="en-GB"/>
        </w:rPr>
        <w:t xml:space="preserve">Sawadogo </w:t>
      </w:r>
      <w:r w:rsidRPr="00CC36F1">
        <w:rPr>
          <w:b/>
          <w:bCs/>
          <w:color w:val="auto"/>
          <w:sz w:val="24"/>
          <w:szCs w:val="24"/>
          <w:lang w:val="en-GB"/>
        </w:rPr>
        <w:t>et al.</w:t>
      </w:r>
      <w:r w:rsidRPr="00CC36F1">
        <w:rPr>
          <w:b/>
          <w:bCs/>
          <w:i w:val="0"/>
          <w:iCs w:val="0"/>
          <w:color w:val="auto"/>
          <w:sz w:val="24"/>
          <w:szCs w:val="24"/>
          <w:lang w:val="en-GB"/>
        </w:rPr>
        <w:t xml:space="preserve"> (2002)</w:t>
      </w:r>
      <w:r w:rsidRPr="00CC36F1">
        <w:rPr>
          <w:i w:val="0"/>
          <w:iCs w:val="0"/>
          <w:color w:val="auto"/>
          <w:sz w:val="24"/>
          <w:szCs w:val="24"/>
          <w:lang w:val="en-GB"/>
        </w:rPr>
        <w:t xml:space="preserve"> and </w:t>
      </w:r>
      <w:r w:rsidRPr="00CC36F1">
        <w:rPr>
          <w:b/>
          <w:bCs/>
          <w:i w:val="0"/>
          <w:iCs w:val="0"/>
          <w:color w:val="auto"/>
          <w:sz w:val="24"/>
          <w:szCs w:val="24"/>
          <w:lang w:val="en-GB"/>
        </w:rPr>
        <w:t xml:space="preserve">Mwamba </w:t>
      </w:r>
      <w:r w:rsidRPr="00CC36F1">
        <w:rPr>
          <w:b/>
          <w:bCs/>
          <w:color w:val="auto"/>
          <w:sz w:val="24"/>
          <w:szCs w:val="24"/>
          <w:lang w:val="en-GB"/>
        </w:rPr>
        <w:t>et al.</w:t>
      </w:r>
      <w:r w:rsidRPr="00CC36F1">
        <w:rPr>
          <w:b/>
          <w:bCs/>
          <w:i w:val="0"/>
          <w:iCs w:val="0"/>
          <w:color w:val="auto"/>
          <w:sz w:val="24"/>
          <w:szCs w:val="24"/>
          <w:lang w:val="en-GB"/>
        </w:rPr>
        <w:t xml:space="preserve"> (2018).</w:t>
      </w:r>
      <w:r w:rsidRPr="00CC36F1">
        <w:rPr>
          <w:i w:val="0"/>
          <w:iCs w:val="0"/>
          <w:color w:val="auto"/>
          <w:sz w:val="24"/>
          <w:szCs w:val="24"/>
          <w:lang w:val="en-GB"/>
        </w:rPr>
        <w:t xml:space="preserve"> In relation to Recommended Daily Allowances (RDA), while the samples contribute significantly to calcium needs, they remain below the daily requirements for iron (8–18 mg), magnesium (127–1500 mg), and sodium (8–12 mg). This underscores the necessity of supplementing dried mango-based formulations with other mineral-rich sources </w:t>
      </w:r>
      <w:r w:rsidRPr="00CC36F1">
        <w:rPr>
          <w:b/>
          <w:bCs/>
          <w:i w:val="0"/>
          <w:iCs w:val="0"/>
          <w:color w:val="auto"/>
          <w:sz w:val="24"/>
          <w:szCs w:val="24"/>
          <w:lang w:val="en-GB"/>
        </w:rPr>
        <w:t xml:space="preserve">(Klang </w:t>
      </w:r>
      <w:r w:rsidRPr="00CC36F1">
        <w:rPr>
          <w:b/>
          <w:bCs/>
          <w:color w:val="auto"/>
          <w:sz w:val="24"/>
          <w:szCs w:val="24"/>
          <w:lang w:val="en-GB"/>
        </w:rPr>
        <w:t>et al</w:t>
      </w:r>
      <w:r w:rsidRPr="00CC36F1">
        <w:rPr>
          <w:b/>
          <w:bCs/>
          <w:i w:val="0"/>
          <w:iCs w:val="0"/>
          <w:color w:val="auto"/>
          <w:sz w:val="24"/>
          <w:szCs w:val="24"/>
          <w:lang w:val="en-GB"/>
        </w:rPr>
        <w:t>., 2019a, b</w:t>
      </w:r>
      <w:r w:rsidRPr="00CC36F1">
        <w:rPr>
          <w:i w:val="0"/>
          <w:iCs w:val="0"/>
          <w:color w:val="auto"/>
          <w:sz w:val="24"/>
          <w:szCs w:val="24"/>
          <w:lang w:val="en-GB"/>
        </w:rPr>
        <w:t>).</w:t>
      </w:r>
    </w:p>
    <w:p w14:paraId="4934B415" w14:textId="77777777"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III.4. Vitamin Composition of Dried Mangoes</w:t>
      </w:r>
    </w:p>
    <w:p w14:paraId="05ED5456" w14:textId="546B01FA" w:rsidR="00DA7633" w:rsidRPr="00CC36F1" w:rsidRDefault="00DA7633" w:rsidP="00DA7633">
      <w:pPr>
        <w:pStyle w:val="Caption"/>
        <w:spacing w:line="360" w:lineRule="auto"/>
        <w:jc w:val="both"/>
        <w:rPr>
          <w:i w:val="0"/>
          <w:iCs w:val="0"/>
          <w:color w:val="auto"/>
          <w:sz w:val="24"/>
          <w:szCs w:val="24"/>
          <w:lang w:val="en-GB"/>
        </w:rPr>
      </w:pPr>
      <w:r w:rsidRPr="002E389D">
        <w:rPr>
          <w:b/>
          <w:bCs/>
          <w:i w:val="0"/>
          <w:iCs w:val="0"/>
          <w:color w:val="auto"/>
          <w:sz w:val="24"/>
          <w:szCs w:val="24"/>
          <w:lang w:val="en-GB"/>
        </w:rPr>
        <w:t xml:space="preserve">Table </w:t>
      </w:r>
      <w:r w:rsidR="002E389D" w:rsidRPr="002E389D">
        <w:rPr>
          <w:b/>
          <w:bCs/>
          <w:i w:val="0"/>
          <w:iCs w:val="0"/>
          <w:color w:val="auto"/>
          <w:sz w:val="24"/>
          <w:szCs w:val="24"/>
          <w:lang w:val="en-GB"/>
        </w:rPr>
        <w:t>5</w:t>
      </w:r>
      <w:r w:rsidR="00356079" w:rsidRPr="002E389D">
        <w:rPr>
          <w:b/>
          <w:bCs/>
          <w:i w:val="0"/>
          <w:iCs w:val="0"/>
          <w:color w:val="auto"/>
          <w:sz w:val="24"/>
          <w:szCs w:val="24"/>
          <w:lang w:val="en-GB"/>
        </w:rPr>
        <w:t>:</w:t>
      </w:r>
      <w:r w:rsidRPr="00CC36F1">
        <w:rPr>
          <w:i w:val="0"/>
          <w:iCs w:val="0"/>
          <w:color w:val="auto"/>
          <w:sz w:val="24"/>
          <w:szCs w:val="24"/>
          <w:lang w:val="en-GB"/>
        </w:rPr>
        <w:t xml:space="preserve"> Vitamin composition of dried mangoes according to sampling sites.</w:t>
      </w:r>
    </w:p>
    <w:tbl>
      <w:tblPr>
        <w:tblW w:w="690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19"/>
        <w:gridCol w:w="2559"/>
        <w:gridCol w:w="2133"/>
        <w:gridCol w:w="96"/>
      </w:tblGrid>
      <w:tr w:rsidR="004418C0" w:rsidRPr="00AA39A2" w14:paraId="1E682055" w14:textId="77777777" w:rsidTr="007F4489">
        <w:trPr>
          <w:trHeight w:val="315"/>
          <w:jc w:val="center"/>
        </w:trPr>
        <w:tc>
          <w:tcPr>
            <w:tcW w:w="2119" w:type="dxa"/>
            <w:tcBorders>
              <w:top w:val="single" w:sz="4" w:space="0" w:color="auto"/>
              <w:bottom w:val="single" w:sz="4" w:space="0" w:color="auto"/>
            </w:tcBorders>
            <w:tcMar>
              <w:top w:w="30" w:type="dxa"/>
              <w:left w:w="45" w:type="dxa"/>
              <w:bottom w:w="30" w:type="dxa"/>
              <w:right w:w="45" w:type="dxa"/>
            </w:tcMar>
            <w:vAlign w:val="bottom"/>
            <w:hideMark/>
          </w:tcPr>
          <w:p w14:paraId="18A94E32" w14:textId="77777777" w:rsidR="004418C0" w:rsidRPr="00AA39A2" w:rsidRDefault="004418C0" w:rsidP="007F4489">
            <w:pPr>
              <w:spacing w:after="160" w:line="360" w:lineRule="auto"/>
              <w:jc w:val="both"/>
            </w:pPr>
            <w:r w:rsidRPr="00AA39A2">
              <w:t>Sites</w:t>
            </w:r>
          </w:p>
        </w:tc>
        <w:tc>
          <w:tcPr>
            <w:tcW w:w="2559" w:type="dxa"/>
            <w:tcBorders>
              <w:top w:val="single" w:sz="4" w:space="0" w:color="auto"/>
              <w:bottom w:val="single" w:sz="4" w:space="0" w:color="auto"/>
            </w:tcBorders>
            <w:tcMar>
              <w:top w:w="30" w:type="dxa"/>
              <w:left w:w="45" w:type="dxa"/>
              <w:bottom w:w="30" w:type="dxa"/>
              <w:right w:w="45" w:type="dxa"/>
            </w:tcMar>
            <w:vAlign w:val="bottom"/>
            <w:hideMark/>
          </w:tcPr>
          <w:p w14:paraId="32299AF9" w14:textId="7F6A9ADB" w:rsidR="004418C0" w:rsidRPr="00AA39A2" w:rsidRDefault="004418C0" w:rsidP="007F4489">
            <w:pPr>
              <w:spacing w:line="360" w:lineRule="auto"/>
              <w:jc w:val="both"/>
            </w:pPr>
            <w:r w:rsidRPr="00AA39A2">
              <w:t xml:space="preserve">Vitamin C </w:t>
            </w:r>
          </w:p>
          <w:p w14:paraId="012B0EE3" w14:textId="7D4B4D8B" w:rsidR="004418C0" w:rsidRPr="00AA39A2" w:rsidRDefault="004418C0" w:rsidP="007F4489">
            <w:pPr>
              <w:spacing w:after="160" w:line="360" w:lineRule="auto"/>
              <w:jc w:val="both"/>
            </w:pPr>
            <w:r w:rsidRPr="00AA39A2">
              <w:t>(</w:t>
            </w:r>
            <w:r w:rsidR="00A257C1" w:rsidRPr="00AA39A2">
              <w:t>Mg</w:t>
            </w:r>
            <w:r w:rsidRPr="00AA39A2">
              <w:t>/100 g)</w:t>
            </w:r>
          </w:p>
        </w:tc>
        <w:tc>
          <w:tcPr>
            <w:tcW w:w="2133" w:type="dxa"/>
            <w:tcBorders>
              <w:top w:val="single" w:sz="4" w:space="0" w:color="auto"/>
              <w:bottom w:val="single" w:sz="4" w:space="0" w:color="auto"/>
            </w:tcBorders>
            <w:tcMar>
              <w:top w:w="30" w:type="dxa"/>
              <w:left w:w="0" w:type="dxa"/>
              <w:bottom w:w="30" w:type="dxa"/>
              <w:right w:w="0" w:type="dxa"/>
            </w:tcMar>
            <w:vAlign w:val="bottom"/>
            <w:hideMark/>
          </w:tcPr>
          <w:p w14:paraId="26A49B3F" w14:textId="77777777" w:rsidR="00356079" w:rsidRPr="00356079" w:rsidRDefault="00356079" w:rsidP="007F4489">
            <w:pPr>
              <w:spacing w:after="160" w:line="360" w:lineRule="auto"/>
              <w:jc w:val="both"/>
            </w:pPr>
            <w:r w:rsidRPr="00DA7633">
              <w:t>Carotenoids</w:t>
            </w:r>
            <w:r w:rsidRPr="00356079">
              <w:t xml:space="preserve"> </w:t>
            </w:r>
          </w:p>
          <w:p w14:paraId="6BE6D86E" w14:textId="4FF5E024" w:rsidR="004418C0" w:rsidRPr="00AA39A2" w:rsidRDefault="004418C0" w:rsidP="007F4489">
            <w:pPr>
              <w:spacing w:after="160" w:line="360" w:lineRule="auto"/>
              <w:jc w:val="both"/>
            </w:pPr>
            <w:r w:rsidRPr="00AA39A2">
              <w:t>(</w:t>
            </w:r>
            <w:proofErr w:type="gramStart"/>
            <w:r w:rsidRPr="00AA39A2">
              <w:t>μ</w:t>
            </w:r>
            <w:proofErr w:type="gramEnd"/>
            <w:r w:rsidRPr="00AA39A2">
              <w:t>g/100 g)</w:t>
            </w:r>
          </w:p>
        </w:tc>
        <w:tc>
          <w:tcPr>
            <w:tcW w:w="0" w:type="auto"/>
            <w:tcMar>
              <w:top w:w="30" w:type="dxa"/>
              <w:left w:w="45" w:type="dxa"/>
              <w:bottom w:w="30" w:type="dxa"/>
              <w:right w:w="45" w:type="dxa"/>
            </w:tcMar>
            <w:vAlign w:val="bottom"/>
            <w:hideMark/>
          </w:tcPr>
          <w:p w14:paraId="1209D61F" w14:textId="77777777" w:rsidR="004418C0" w:rsidRPr="00AA39A2" w:rsidRDefault="004418C0" w:rsidP="007F4489">
            <w:pPr>
              <w:spacing w:after="160" w:line="360" w:lineRule="auto"/>
              <w:jc w:val="both"/>
            </w:pPr>
          </w:p>
        </w:tc>
      </w:tr>
      <w:tr w:rsidR="004418C0" w:rsidRPr="00AA39A2" w14:paraId="19034214" w14:textId="77777777" w:rsidTr="007F4489">
        <w:trPr>
          <w:trHeight w:val="315"/>
          <w:jc w:val="center"/>
        </w:trPr>
        <w:tc>
          <w:tcPr>
            <w:tcW w:w="2119" w:type="dxa"/>
            <w:tcBorders>
              <w:top w:val="single" w:sz="4" w:space="0" w:color="auto"/>
            </w:tcBorders>
            <w:tcMar>
              <w:top w:w="30" w:type="dxa"/>
              <w:left w:w="45" w:type="dxa"/>
              <w:bottom w:w="30" w:type="dxa"/>
              <w:right w:w="45" w:type="dxa"/>
            </w:tcMar>
            <w:vAlign w:val="bottom"/>
            <w:hideMark/>
          </w:tcPr>
          <w:p w14:paraId="1BAD11C8" w14:textId="77777777" w:rsidR="004418C0" w:rsidRPr="00AA39A2" w:rsidRDefault="004418C0" w:rsidP="007F4489">
            <w:pPr>
              <w:spacing w:after="160" w:line="360" w:lineRule="auto"/>
              <w:jc w:val="both"/>
            </w:pPr>
            <w:r w:rsidRPr="00AA39A2">
              <w:t>Dba</w:t>
            </w:r>
          </w:p>
        </w:tc>
        <w:tc>
          <w:tcPr>
            <w:tcW w:w="2559" w:type="dxa"/>
            <w:tcBorders>
              <w:top w:val="single" w:sz="4" w:space="0" w:color="auto"/>
            </w:tcBorders>
            <w:tcMar>
              <w:top w:w="30" w:type="dxa"/>
              <w:left w:w="45" w:type="dxa"/>
              <w:bottom w:w="30" w:type="dxa"/>
              <w:right w:w="45" w:type="dxa"/>
            </w:tcMar>
            <w:vAlign w:val="bottom"/>
            <w:hideMark/>
          </w:tcPr>
          <w:p w14:paraId="598FE246" w14:textId="77777777" w:rsidR="004418C0" w:rsidRPr="00AA39A2" w:rsidRDefault="004418C0" w:rsidP="007F4489">
            <w:pPr>
              <w:spacing w:after="160" w:line="360" w:lineRule="auto"/>
              <w:jc w:val="both"/>
            </w:pPr>
            <w:r w:rsidRPr="00AA39A2">
              <w:t>69,37±0,58a</w:t>
            </w:r>
          </w:p>
        </w:tc>
        <w:tc>
          <w:tcPr>
            <w:tcW w:w="2133" w:type="dxa"/>
            <w:tcBorders>
              <w:top w:val="single" w:sz="4" w:space="0" w:color="auto"/>
            </w:tcBorders>
            <w:tcMar>
              <w:top w:w="30" w:type="dxa"/>
              <w:left w:w="45" w:type="dxa"/>
              <w:bottom w:w="30" w:type="dxa"/>
              <w:right w:w="45" w:type="dxa"/>
            </w:tcMar>
            <w:vAlign w:val="bottom"/>
            <w:hideMark/>
          </w:tcPr>
          <w:p w14:paraId="7FE86F3E" w14:textId="77777777" w:rsidR="004418C0" w:rsidRPr="00AA39A2" w:rsidRDefault="004418C0" w:rsidP="007F4489">
            <w:pPr>
              <w:spacing w:after="160" w:line="360" w:lineRule="auto"/>
              <w:jc w:val="both"/>
            </w:pPr>
            <w:r w:rsidRPr="00AA39A2">
              <w:t>265,97±343,34a</w:t>
            </w:r>
          </w:p>
        </w:tc>
        <w:tc>
          <w:tcPr>
            <w:tcW w:w="0" w:type="auto"/>
            <w:tcMar>
              <w:top w:w="30" w:type="dxa"/>
              <w:left w:w="45" w:type="dxa"/>
              <w:bottom w:w="30" w:type="dxa"/>
              <w:right w:w="45" w:type="dxa"/>
            </w:tcMar>
            <w:vAlign w:val="bottom"/>
            <w:hideMark/>
          </w:tcPr>
          <w:p w14:paraId="1300993C" w14:textId="77777777" w:rsidR="004418C0" w:rsidRPr="00AA39A2" w:rsidRDefault="004418C0" w:rsidP="007F4489">
            <w:pPr>
              <w:spacing w:after="160" w:line="360" w:lineRule="auto"/>
              <w:jc w:val="both"/>
            </w:pPr>
          </w:p>
        </w:tc>
      </w:tr>
      <w:tr w:rsidR="004418C0" w:rsidRPr="00AA39A2" w14:paraId="2034C90D" w14:textId="77777777" w:rsidTr="007F4489">
        <w:trPr>
          <w:trHeight w:val="315"/>
          <w:jc w:val="center"/>
        </w:trPr>
        <w:tc>
          <w:tcPr>
            <w:tcW w:w="2119" w:type="dxa"/>
            <w:tcMar>
              <w:top w:w="30" w:type="dxa"/>
              <w:left w:w="45" w:type="dxa"/>
              <w:bottom w:w="30" w:type="dxa"/>
              <w:right w:w="45" w:type="dxa"/>
            </w:tcMar>
            <w:vAlign w:val="bottom"/>
            <w:hideMark/>
          </w:tcPr>
          <w:p w14:paraId="2D0AC458" w14:textId="77777777" w:rsidR="004418C0" w:rsidRPr="00AA39A2" w:rsidRDefault="004418C0" w:rsidP="007F4489">
            <w:pPr>
              <w:spacing w:after="160" w:line="360" w:lineRule="auto"/>
              <w:jc w:val="both"/>
            </w:pPr>
            <w:r w:rsidRPr="00AA39A2">
              <w:t>Bbja</w:t>
            </w:r>
          </w:p>
        </w:tc>
        <w:tc>
          <w:tcPr>
            <w:tcW w:w="2559" w:type="dxa"/>
            <w:tcMar>
              <w:top w:w="30" w:type="dxa"/>
              <w:left w:w="45" w:type="dxa"/>
              <w:bottom w:w="30" w:type="dxa"/>
              <w:right w:w="45" w:type="dxa"/>
            </w:tcMar>
            <w:vAlign w:val="bottom"/>
            <w:hideMark/>
          </w:tcPr>
          <w:p w14:paraId="111B3DF6" w14:textId="77777777" w:rsidR="004418C0" w:rsidRPr="00AA39A2" w:rsidRDefault="004418C0" w:rsidP="007F4489">
            <w:pPr>
              <w:spacing w:after="160" w:line="360" w:lineRule="auto"/>
              <w:jc w:val="both"/>
            </w:pPr>
            <w:r w:rsidRPr="00AA39A2">
              <w:t>70,05±0,45a</w:t>
            </w:r>
          </w:p>
        </w:tc>
        <w:tc>
          <w:tcPr>
            <w:tcW w:w="2133" w:type="dxa"/>
            <w:tcMar>
              <w:top w:w="30" w:type="dxa"/>
              <w:left w:w="45" w:type="dxa"/>
              <w:bottom w:w="30" w:type="dxa"/>
              <w:right w:w="45" w:type="dxa"/>
            </w:tcMar>
            <w:vAlign w:val="bottom"/>
            <w:hideMark/>
          </w:tcPr>
          <w:p w14:paraId="5D24BF9C" w14:textId="77777777" w:rsidR="004418C0" w:rsidRPr="00AA39A2" w:rsidRDefault="004418C0" w:rsidP="007F4489">
            <w:pPr>
              <w:spacing w:after="160" w:line="360" w:lineRule="auto"/>
              <w:jc w:val="both"/>
            </w:pPr>
            <w:r w:rsidRPr="00AA39A2">
              <w:t>249,25±412,35a</w:t>
            </w:r>
          </w:p>
        </w:tc>
        <w:tc>
          <w:tcPr>
            <w:tcW w:w="0" w:type="auto"/>
            <w:tcMar>
              <w:top w:w="30" w:type="dxa"/>
              <w:left w:w="45" w:type="dxa"/>
              <w:bottom w:w="30" w:type="dxa"/>
              <w:right w:w="45" w:type="dxa"/>
            </w:tcMar>
            <w:vAlign w:val="bottom"/>
            <w:hideMark/>
          </w:tcPr>
          <w:p w14:paraId="65D7BB2E" w14:textId="77777777" w:rsidR="004418C0" w:rsidRPr="00AA39A2" w:rsidRDefault="004418C0" w:rsidP="007F4489">
            <w:pPr>
              <w:spacing w:after="160" w:line="360" w:lineRule="auto"/>
              <w:jc w:val="both"/>
            </w:pPr>
          </w:p>
        </w:tc>
      </w:tr>
      <w:tr w:rsidR="004418C0" w:rsidRPr="00AA39A2" w14:paraId="6B041734" w14:textId="77777777" w:rsidTr="007F4489">
        <w:trPr>
          <w:trHeight w:val="315"/>
          <w:jc w:val="center"/>
        </w:trPr>
        <w:tc>
          <w:tcPr>
            <w:tcW w:w="2119" w:type="dxa"/>
            <w:tcMar>
              <w:top w:w="30" w:type="dxa"/>
              <w:left w:w="45" w:type="dxa"/>
              <w:bottom w:w="30" w:type="dxa"/>
              <w:right w:w="45" w:type="dxa"/>
            </w:tcMar>
            <w:vAlign w:val="bottom"/>
            <w:hideMark/>
          </w:tcPr>
          <w:p w14:paraId="2411BC6F" w14:textId="77777777" w:rsidR="004418C0" w:rsidRPr="00AA39A2" w:rsidRDefault="004418C0" w:rsidP="007F4489">
            <w:pPr>
              <w:spacing w:after="160" w:line="360" w:lineRule="auto"/>
              <w:jc w:val="both"/>
            </w:pPr>
            <w:r w:rsidRPr="00AA39A2">
              <w:lastRenderedPageBreak/>
              <w:t>Mdou</w:t>
            </w:r>
          </w:p>
        </w:tc>
        <w:tc>
          <w:tcPr>
            <w:tcW w:w="2559" w:type="dxa"/>
            <w:tcMar>
              <w:top w:w="30" w:type="dxa"/>
              <w:left w:w="45" w:type="dxa"/>
              <w:bottom w:w="30" w:type="dxa"/>
              <w:right w:w="45" w:type="dxa"/>
            </w:tcMar>
            <w:vAlign w:val="bottom"/>
            <w:hideMark/>
          </w:tcPr>
          <w:p w14:paraId="5776B774" w14:textId="77777777" w:rsidR="004418C0" w:rsidRPr="00AA39A2" w:rsidRDefault="004418C0" w:rsidP="007F4489">
            <w:pPr>
              <w:spacing w:after="160" w:line="360" w:lineRule="auto"/>
              <w:jc w:val="both"/>
            </w:pPr>
            <w:r w:rsidRPr="00AA39A2">
              <w:t>70,04±0,36a</w:t>
            </w:r>
          </w:p>
        </w:tc>
        <w:tc>
          <w:tcPr>
            <w:tcW w:w="2133" w:type="dxa"/>
            <w:tcMar>
              <w:top w:w="30" w:type="dxa"/>
              <w:left w:w="45" w:type="dxa"/>
              <w:bottom w:w="30" w:type="dxa"/>
              <w:right w:w="45" w:type="dxa"/>
            </w:tcMar>
            <w:vAlign w:val="bottom"/>
            <w:hideMark/>
          </w:tcPr>
          <w:p w14:paraId="0068C1C6" w14:textId="77777777" w:rsidR="004418C0" w:rsidRPr="00AA39A2" w:rsidRDefault="004418C0" w:rsidP="007F4489">
            <w:pPr>
              <w:spacing w:after="160" w:line="360" w:lineRule="auto"/>
              <w:jc w:val="both"/>
            </w:pPr>
            <w:r w:rsidRPr="00AA39A2">
              <w:t>255,44±422,12a</w:t>
            </w:r>
          </w:p>
        </w:tc>
        <w:tc>
          <w:tcPr>
            <w:tcW w:w="0" w:type="auto"/>
            <w:tcMar>
              <w:top w:w="30" w:type="dxa"/>
              <w:left w:w="45" w:type="dxa"/>
              <w:bottom w:w="30" w:type="dxa"/>
              <w:right w:w="45" w:type="dxa"/>
            </w:tcMar>
            <w:vAlign w:val="bottom"/>
            <w:hideMark/>
          </w:tcPr>
          <w:p w14:paraId="4DDE7A3B" w14:textId="77777777" w:rsidR="004418C0" w:rsidRPr="00AA39A2" w:rsidRDefault="004418C0" w:rsidP="007F4489">
            <w:pPr>
              <w:spacing w:after="160" w:line="360" w:lineRule="auto"/>
              <w:jc w:val="both"/>
            </w:pPr>
          </w:p>
        </w:tc>
      </w:tr>
      <w:tr w:rsidR="004418C0" w:rsidRPr="00AA39A2" w14:paraId="14F170C6" w14:textId="77777777" w:rsidTr="007F4489">
        <w:trPr>
          <w:trHeight w:val="315"/>
          <w:jc w:val="center"/>
        </w:trPr>
        <w:tc>
          <w:tcPr>
            <w:tcW w:w="2119" w:type="dxa"/>
            <w:tcMar>
              <w:top w:w="30" w:type="dxa"/>
              <w:left w:w="45" w:type="dxa"/>
              <w:bottom w:w="30" w:type="dxa"/>
              <w:right w:w="45" w:type="dxa"/>
            </w:tcMar>
            <w:vAlign w:val="bottom"/>
            <w:hideMark/>
          </w:tcPr>
          <w:p w14:paraId="16FB1217" w14:textId="77777777" w:rsidR="004418C0" w:rsidRPr="00AA39A2" w:rsidRDefault="004418C0" w:rsidP="007F4489">
            <w:pPr>
              <w:spacing w:after="160" w:line="360" w:lineRule="auto"/>
              <w:jc w:val="both"/>
            </w:pPr>
            <w:r w:rsidRPr="00AA39A2">
              <w:t>Kmr</w:t>
            </w:r>
          </w:p>
        </w:tc>
        <w:tc>
          <w:tcPr>
            <w:tcW w:w="2559" w:type="dxa"/>
            <w:tcMar>
              <w:top w:w="30" w:type="dxa"/>
              <w:left w:w="45" w:type="dxa"/>
              <w:bottom w:w="30" w:type="dxa"/>
              <w:right w:w="45" w:type="dxa"/>
            </w:tcMar>
            <w:vAlign w:val="bottom"/>
            <w:hideMark/>
          </w:tcPr>
          <w:p w14:paraId="38F1BAEC" w14:textId="77777777" w:rsidR="004418C0" w:rsidRPr="00AA39A2" w:rsidRDefault="004418C0" w:rsidP="007F4489">
            <w:pPr>
              <w:spacing w:after="160" w:line="360" w:lineRule="auto"/>
              <w:jc w:val="both"/>
            </w:pPr>
            <w:r w:rsidRPr="00AA39A2">
              <w:t>70,15±0,79a</w:t>
            </w:r>
          </w:p>
        </w:tc>
        <w:tc>
          <w:tcPr>
            <w:tcW w:w="2133" w:type="dxa"/>
            <w:tcMar>
              <w:top w:w="30" w:type="dxa"/>
              <w:left w:w="45" w:type="dxa"/>
              <w:bottom w:w="30" w:type="dxa"/>
              <w:right w:w="45" w:type="dxa"/>
            </w:tcMar>
            <w:vAlign w:val="bottom"/>
            <w:hideMark/>
          </w:tcPr>
          <w:p w14:paraId="2C9CBCE9" w14:textId="77777777" w:rsidR="004418C0" w:rsidRPr="00AA39A2" w:rsidRDefault="004418C0" w:rsidP="007F4489">
            <w:pPr>
              <w:spacing w:after="160" w:line="360" w:lineRule="auto"/>
              <w:jc w:val="both"/>
            </w:pPr>
            <w:r w:rsidRPr="00AA39A2">
              <w:t>274,15±466,70a</w:t>
            </w:r>
          </w:p>
        </w:tc>
        <w:tc>
          <w:tcPr>
            <w:tcW w:w="0" w:type="auto"/>
            <w:tcMar>
              <w:top w:w="30" w:type="dxa"/>
              <w:left w:w="45" w:type="dxa"/>
              <w:bottom w:w="30" w:type="dxa"/>
              <w:right w:w="45" w:type="dxa"/>
            </w:tcMar>
            <w:vAlign w:val="bottom"/>
            <w:hideMark/>
          </w:tcPr>
          <w:p w14:paraId="140813EF" w14:textId="77777777" w:rsidR="004418C0" w:rsidRPr="00AA39A2" w:rsidRDefault="004418C0" w:rsidP="007F4489">
            <w:pPr>
              <w:spacing w:after="160" w:line="360" w:lineRule="auto"/>
              <w:jc w:val="both"/>
            </w:pPr>
          </w:p>
        </w:tc>
      </w:tr>
      <w:tr w:rsidR="004418C0" w:rsidRPr="00AA39A2" w14:paraId="2C27EB76" w14:textId="77777777" w:rsidTr="007F4489">
        <w:trPr>
          <w:trHeight w:val="315"/>
          <w:jc w:val="center"/>
        </w:trPr>
        <w:tc>
          <w:tcPr>
            <w:tcW w:w="2119" w:type="dxa"/>
            <w:tcMar>
              <w:top w:w="30" w:type="dxa"/>
              <w:left w:w="45" w:type="dxa"/>
              <w:bottom w:w="30" w:type="dxa"/>
              <w:right w:w="45" w:type="dxa"/>
            </w:tcMar>
            <w:vAlign w:val="bottom"/>
            <w:hideMark/>
          </w:tcPr>
          <w:p w14:paraId="0D801135" w14:textId="77777777" w:rsidR="004418C0" w:rsidRPr="00AA39A2" w:rsidRDefault="004418C0" w:rsidP="007F4489">
            <w:pPr>
              <w:spacing w:after="160" w:line="360" w:lineRule="auto"/>
              <w:jc w:val="both"/>
            </w:pPr>
            <w:r w:rsidRPr="00AA39A2">
              <w:t>Bgr</w:t>
            </w:r>
          </w:p>
        </w:tc>
        <w:tc>
          <w:tcPr>
            <w:tcW w:w="2559" w:type="dxa"/>
            <w:tcMar>
              <w:top w:w="30" w:type="dxa"/>
              <w:left w:w="45" w:type="dxa"/>
              <w:bottom w:w="30" w:type="dxa"/>
              <w:right w:w="45" w:type="dxa"/>
            </w:tcMar>
            <w:vAlign w:val="bottom"/>
            <w:hideMark/>
          </w:tcPr>
          <w:p w14:paraId="0520D75A" w14:textId="77777777" w:rsidR="004418C0" w:rsidRPr="00AA39A2" w:rsidRDefault="004418C0" w:rsidP="007F4489">
            <w:pPr>
              <w:spacing w:after="160" w:line="360" w:lineRule="auto"/>
              <w:jc w:val="both"/>
            </w:pPr>
            <w:r w:rsidRPr="00AA39A2">
              <w:t>69,68±0,37a</w:t>
            </w:r>
          </w:p>
        </w:tc>
        <w:tc>
          <w:tcPr>
            <w:tcW w:w="2133" w:type="dxa"/>
            <w:tcMar>
              <w:top w:w="30" w:type="dxa"/>
              <w:left w:w="45" w:type="dxa"/>
              <w:bottom w:w="30" w:type="dxa"/>
              <w:right w:w="45" w:type="dxa"/>
            </w:tcMar>
            <w:vAlign w:val="bottom"/>
            <w:hideMark/>
          </w:tcPr>
          <w:p w14:paraId="57F25AE8" w14:textId="77777777" w:rsidR="004418C0" w:rsidRPr="00AA39A2" w:rsidRDefault="004418C0" w:rsidP="007F4489">
            <w:pPr>
              <w:spacing w:after="160" w:line="360" w:lineRule="auto"/>
              <w:jc w:val="both"/>
            </w:pPr>
            <w:r w:rsidRPr="00AA39A2">
              <w:t>258,48±432,98a</w:t>
            </w:r>
          </w:p>
        </w:tc>
        <w:tc>
          <w:tcPr>
            <w:tcW w:w="0" w:type="auto"/>
            <w:tcMar>
              <w:top w:w="30" w:type="dxa"/>
              <w:left w:w="45" w:type="dxa"/>
              <w:bottom w:w="30" w:type="dxa"/>
              <w:right w:w="45" w:type="dxa"/>
            </w:tcMar>
            <w:vAlign w:val="bottom"/>
            <w:hideMark/>
          </w:tcPr>
          <w:p w14:paraId="07964D80" w14:textId="77777777" w:rsidR="004418C0" w:rsidRPr="00AA39A2" w:rsidRDefault="004418C0" w:rsidP="007F4489">
            <w:pPr>
              <w:spacing w:after="160" w:line="360" w:lineRule="auto"/>
              <w:jc w:val="both"/>
            </w:pPr>
          </w:p>
        </w:tc>
      </w:tr>
      <w:tr w:rsidR="004418C0" w:rsidRPr="00AA39A2" w14:paraId="0ADEC5DF" w14:textId="77777777" w:rsidTr="007F4489">
        <w:trPr>
          <w:trHeight w:val="315"/>
          <w:jc w:val="center"/>
        </w:trPr>
        <w:tc>
          <w:tcPr>
            <w:tcW w:w="2119" w:type="dxa"/>
            <w:tcMar>
              <w:top w:w="30" w:type="dxa"/>
              <w:left w:w="45" w:type="dxa"/>
              <w:bottom w:w="30" w:type="dxa"/>
              <w:right w:w="45" w:type="dxa"/>
            </w:tcMar>
            <w:vAlign w:val="bottom"/>
            <w:hideMark/>
          </w:tcPr>
          <w:p w14:paraId="1280DE0B" w14:textId="300E2FE8" w:rsidR="004418C0" w:rsidRPr="00AA39A2" w:rsidRDefault="00A257C1" w:rsidP="007F4489">
            <w:pPr>
              <w:spacing w:after="160" w:line="360" w:lineRule="auto"/>
              <w:jc w:val="both"/>
            </w:pPr>
            <w:r w:rsidRPr="00AA39A2">
              <w:t>P</w:t>
            </w:r>
            <w:r w:rsidR="004418C0" w:rsidRPr="00AA39A2">
              <w:t>-value</w:t>
            </w:r>
          </w:p>
        </w:tc>
        <w:tc>
          <w:tcPr>
            <w:tcW w:w="2559" w:type="dxa"/>
            <w:tcMar>
              <w:top w:w="30" w:type="dxa"/>
              <w:left w:w="45" w:type="dxa"/>
              <w:bottom w:w="30" w:type="dxa"/>
              <w:right w:w="45" w:type="dxa"/>
            </w:tcMar>
            <w:vAlign w:val="bottom"/>
            <w:hideMark/>
          </w:tcPr>
          <w:p w14:paraId="74D30D1B" w14:textId="77777777" w:rsidR="004418C0" w:rsidRPr="00AA39A2" w:rsidRDefault="004418C0" w:rsidP="007F4489">
            <w:pPr>
              <w:spacing w:after="160" w:line="360" w:lineRule="auto"/>
              <w:jc w:val="both"/>
            </w:pPr>
            <w:r w:rsidRPr="00AA39A2">
              <w:t>0,161 (ns)</w:t>
            </w:r>
          </w:p>
        </w:tc>
        <w:tc>
          <w:tcPr>
            <w:tcW w:w="2133" w:type="dxa"/>
            <w:tcMar>
              <w:top w:w="30" w:type="dxa"/>
              <w:left w:w="45" w:type="dxa"/>
              <w:bottom w:w="30" w:type="dxa"/>
              <w:right w:w="45" w:type="dxa"/>
            </w:tcMar>
            <w:vAlign w:val="bottom"/>
            <w:hideMark/>
          </w:tcPr>
          <w:p w14:paraId="5FAABF17" w14:textId="77777777" w:rsidR="004418C0" w:rsidRPr="00AA39A2" w:rsidRDefault="004418C0" w:rsidP="007F4489">
            <w:pPr>
              <w:spacing w:after="160" w:line="360" w:lineRule="auto"/>
              <w:jc w:val="both"/>
            </w:pPr>
            <w:r w:rsidRPr="00AA39A2">
              <w:t>0,906 (ns)</w:t>
            </w:r>
          </w:p>
        </w:tc>
        <w:tc>
          <w:tcPr>
            <w:tcW w:w="0" w:type="auto"/>
            <w:tcMar>
              <w:top w:w="30" w:type="dxa"/>
              <w:left w:w="45" w:type="dxa"/>
              <w:bottom w:w="30" w:type="dxa"/>
              <w:right w:w="45" w:type="dxa"/>
            </w:tcMar>
            <w:vAlign w:val="bottom"/>
            <w:hideMark/>
          </w:tcPr>
          <w:p w14:paraId="3471BFFB" w14:textId="77777777" w:rsidR="004418C0" w:rsidRPr="00AA39A2" w:rsidRDefault="004418C0" w:rsidP="007F4489">
            <w:pPr>
              <w:spacing w:after="160" w:line="360" w:lineRule="auto"/>
              <w:jc w:val="both"/>
            </w:pPr>
          </w:p>
        </w:tc>
      </w:tr>
      <w:bookmarkEnd w:id="4"/>
    </w:tbl>
    <w:p w14:paraId="55A7D2AD" w14:textId="77777777" w:rsidR="00B44075" w:rsidRDefault="00B44075" w:rsidP="00B44075">
      <w:pPr>
        <w:spacing w:after="160" w:line="360" w:lineRule="auto"/>
        <w:jc w:val="both"/>
      </w:pPr>
    </w:p>
    <w:p w14:paraId="21BB286F" w14:textId="11A19442" w:rsidR="00DA7633" w:rsidRPr="00DA7633" w:rsidRDefault="00356079" w:rsidP="00B44075">
      <w:pPr>
        <w:spacing w:after="160" w:line="360" w:lineRule="auto"/>
        <w:jc w:val="both"/>
        <w:rPr>
          <w:b/>
          <w:bCs/>
        </w:rPr>
      </w:pPr>
      <w:r w:rsidRPr="00DA7633">
        <w:rPr>
          <w:b/>
          <w:bCs/>
        </w:rPr>
        <w:t>Discussion :</w:t>
      </w:r>
      <w:r w:rsidR="00DA7633" w:rsidRPr="00DA7633">
        <w:rPr>
          <w:b/>
          <w:bCs/>
        </w:rPr>
        <w:t xml:space="preserve"> Vitamin Composition and Antioxidant Potential</w:t>
      </w:r>
    </w:p>
    <w:p w14:paraId="240AEAFD" w14:textId="77777777" w:rsidR="00DA7633" w:rsidRPr="00DA7633" w:rsidRDefault="00DA7633" w:rsidP="00B44075">
      <w:pPr>
        <w:spacing w:after="160" w:line="360" w:lineRule="auto"/>
        <w:jc w:val="both"/>
        <w:rPr>
          <w:b/>
          <w:bCs/>
        </w:rPr>
      </w:pPr>
      <w:r w:rsidRPr="00DA7633">
        <w:rPr>
          <w:b/>
          <w:bCs/>
        </w:rPr>
        <w:t>Vitamin C Content and Stability</w:t>
      </w:r>
    </w:p>
    <w:p w14:paraId="51E5BC62" w14:textId="3A2E3C2B" w:rsidR="00DA7633" w:rsidRPr="00CC36F1" w:rsidRDefault="00DA7633" w:rsidP="00B44075">
      <w:pPr>
        <w:spacing w:after="160" w:line="360" w:lineRule="auto"/>
        <w:jc w:val="both"/>
        <w:rPr>
          <w:lang w:val="en-GB"/>
        </w:rPr>
      </w:pPr>
      <w:r w:rsidRPr="00CC36F1">
        <w:rPr>
          <w:lang w:val="en-GB"/>
        </w:rPr>
        <w:t xml:space="preserve">The vitamin C content of our samples (69.37 to 70.15 mg/100 g) proved remarkably stable across locations (p = 0.161), suggesting a homogeneity in both varieties and drying processes. These values are higher than the 45.20–55.00 mg/100 g reported by </w:t>
      </w:r>
      <w:proofErr w:type="spellStart"/>
      <w:r w:rsidRPr="00CC36F1">
        <w:rPr>
          <w:b/>
          <w:bCs/>
          <w:lang w:val="en-GB"/>
        </w:rPr>
        <w:t>Amanor-Atiemoh</w:t>
      </w:r>
      <w:proofErr w:type="spellEnd"/>
      <w:r w:rsidRPr="00CC36F1">
        <w:rPr>
          <w:b/>
          <w:bCs/>
          <w:lang w:val="en-GB"/>
        </w:rPr>
        <w:t xml:space="preserve"> </w:t>
      </w:r>
      <w:r w:rsidRPr="00CC36F1">
        <w:rPr>
          <w:b/>
          <w:bCs/>
          <w:i/>
          <w:iCs/>
          <w:lang w:val="en-GB"/>
        </w:rPr>
        <w:t>et al.</w:t>
      </w:r>
      <w:r w:rsidRPr="00CC36F1">
        <w:rPr>
          <w:b/>
          <w:bCs/>
          <w:lang w:val="en-GB"/>
        </w:rPr>
        <w:t xml:space="preserve"> (2020).</w:t>
      </w:r>
      <w:r w:rsidRPr="00CC36F1">
        <w:rPr>
          <w:lang w:val="en-GB"/>
        </w:rPr>
        <w:t xml:space="preserve"> This strong retention of ascorbic acid, despite the artisanal nature of the drying process, provides the product with high antioxidant value and underscores its potential for the natural fortification of local diets (</w:t>
      </w:r>
      <w:r w:rsidRPr="00CC36F1">
        <w:rPr>
          <w:b/>
          <w:bCs/>
          <w:lang w:val="en-GB"/>
        </w:rPr>
        <w:t xml:space="preserve">Mawa </w:t>
      </w:r>
      <w:r w:rsidRPr="00CC36F1">
        <w:rPr>
          <w:b/>
          <w:bCs/>
          <w:i/>
          <w:iCs/>
          <w:lang w:val="en-GB"/>
        </w:rPr>
        <w:t>et al.</w:t>
      </w:r>
      <w:r w:rsidRPr="00CC36F1">
        <w:rPr>
          <w:b/>
          <w:bCs/>
          <w:lang w:val="en-GB"/>
        </w:rPr>
        <w:t xml:space="preserve"> 2024).</w:t>
      </w:r>
    </w:p>
    <w:p w14:paraId="7578D896" w14:textId="6AF55DB4" w:rsidR="00DA7633" w:rsidRPr="00CC36F1" w:rsidRDefault="00DA7633" w:rsidP="00B44075">
      <w:pPr>
        <w:spacing w:after="160" w:line="360" w:lineRule="auto"/>
        <w:jc w:val="both"/>
        <w:rPr>
          <w:lang w:val="en-GB"/>
        </w:rPr>
      </w:pPr>
      <w:r w:rsidRPr="00CC36F1">
        <w:rPr>
          <w:lang w:val="en-GB"/>
        </w:rPr>
        <w:t xml:space="preserve">The statistical stability of vitamin C across the five sites indicates that processing practices and climatic drying conditions (temperature and hygrometry) were similar during the study. Furthermore, </w:t>
      </w:r>
      <w:r w:rsidRPr="00CC36F1">
        <w:rPr>
          <w:b/>
          <w:bCs/>
          <w:lang w:val="en-GB"/>
        </w:rPr>
        <w:t xml:space="preserve">Maldonado-Celis </w:t>
      </w:r>
      <w:r w:rsidRPr="00CC36F1">
        <w:rPr>
          <w:b/>
          <w:bCs/>
          <w:i/>
          <w:iCs/>
          <w:lang w:val="en-GB"/>
        </w:rPr>
        <w:t>et al.</w:t>
      </w:r>
      <w:r w:rsidRPr="00CC36F1">
        <w:rPr>
          <w:b/>
          <w:bCs/>
          <w:lang w:val="en-GB"/>
        </w:rPr>
        <w:t xml:space="preserve"> (2022)</w:t>
      </w:r>
      <w:r w:rsidRPr="00CC36F1">
        <w:rPr>
          <w:lang w:val="en-GB"/>
        </w:rPr>
        <w:t xml:space="preserve"> noted that vitamin C acts synergistically with polyphenols. With </w:t>
      </w:r>
      <w:r w:rsidR="00122EA7" w:rsidRPr="00CC36F1">
        <w:rPr>
          <w:lang w:val="en-GB"/>
        </w:rPr>
        <w:t>~</w:t>
      </w:r>
      <w:r w:rsidRPr="00CC36F1">
        <w:rPr>
          <w:lang w:val="en-GB"/>
        </w:rPr>
        <w:t xml:space="preserve">70 mg/100 g, Chadian dried mango covers over 80\% of the Recommended Dietary Allowance (RDA) for children, establishing it as a leading functional food. The slightly higher levels in </w:t>
      </w:r>
      <w:proofErr w:type="spellStart"/>
      <w:r w:rsidRPr="00CC36F1">
        <w:rPr>
          <w:lang w:val="en-GB"/>
        </w:rPr>
        <w:t>Koumra</w:t>
      </w:r>
      <w:proofErr w:type="spellEnd"/>
      <w:r w:rsidRPr="00CC36F1">
        <w:rPr>
          <w:lang w:val="en-GB"/>
        </w:rPr>
        <w:t xml:space="preserve"> (70.15 </w:t>
      </w:r>
      <w:r w:rsidR="00122EA7" w:rsidRPr="00CC36F1">
        <w:rPr>
          <w:lang w:val="en-GB"/>
        </w:rPr>
        <w:t>±</w:t>
      </w:r>
      <w:r w:rsidRPr="00CC36F1">
        <w:rPr>
          <w:lang w:val="en-GB"/>
        </w:rPr>
        <w:t>0.79mg/100 g) compared to Doba (69.37</w:t>
      </w:r>
      <w:r w:rsidR="00122EA7" w:rsidRPr="00CC36F1">
        <w:rPr>
          <w:lang w:val="en-GB"/>
        </w:rPr>
        <w:t>±</w:t>
      </w:r>
      <w:r w:rsidRPr="00CC36F1">
        <w:rPr>
          <w:lang w:val="en-GB"/>
        </w:rPr>
        <w:t>0.58 mg/100 g) might be linked to the use of less mature fruits, as vitamin C degrades into compounds like furfural as ripening advances (</w:t>
      </w:r>
      <w:proofErr w:type="spellStart"/>
      <w:r w:rsidRPr="00CC36F1">
        <w:rPr>
          <w:b/>
          <w:bCs/>
          <w:lang w:val="en-GB"/>
        </w:rPr>
        <w:t>Somé</w:t>
      </w:r>
      <w:proofErr w:type="spellEnd"/>
      <w:r w:rsidRPr="00CC36F1">
        <w:rPr>
          <w:b/>
          <w:bCs/>
          <w:lang w:val="en-GB"/>
        </w:rPr>
        <w:t xml:space="preserve"> </w:t>
      </w:r>
      <w:r w:rsidRPr="00CC36F1">
        <w:rPr>
          <w:b/>
          <w:bCs/>
          <w:i/>
          <w:iCs/>
          <w:lang w:val="en-GB"/>
        </w:rPr>
        <w:t>et al.</w:t>
      </w:r>
      <w:r w:rsidRPr="00CC36F1">
        <w:rPr>
          <w:b/>
          <w:bCs/>
          <w:lang w:val="en-GB"/>
        </w:rPr>
        <w:t>, 2014</w:t>
      </w:r>
      <w:r w:rsidRPr="00CC36F1">
        <w:rPr>
          <w:lang w:val="en-GB"/>
        </w:rPr>
        <w:t xml:space="preserve">). Additionally, the high reducing sugar content in </w:t>
      </w:r>
      <w:proofErr w:type="spellStart"/>
      <w:r w:rsidRPr="00CC36F1">
        <w:rPr>
          <w:lang w:val="en-GB"/>
        </w:rPr>
        <w:t>Koumra</w:t>
      </w:r>
      <w:proofErr w:type="spellEnd"/>
      <w:r w:rsidRPr="00CC36F1">
        <w:rPr>
          <w:lang w:val="en-GB"/>
        </w:rPr>
        <w:t xml:space="preserve"> and </w:t>
      </w:r>
      <w:proofErr w:type="spellStart"/>
      <w:r w:rsidRPr="00CC36F1">
        <w:rPr>
          <w:lang w:val="en-GB"/>
        </w:rPr>
        <w:t>Moundou</w:t>
      </w:r>
      <w:proofErr w:type="spellEnd"/>
      <w:r w:rsidRPr="00CC36F1">
        <w:rPr>
          <w:lang w:val="en-GB"/>
        </w:rPr>
        <w:t xml:space="preserve"> could induce Maillard reactions during high-temperature drying, potentially leading to vitamin C degradation (</w:t>
      </w:r>
      <w:r w:rsidRPr="00CC36F1">
        <w:rPr>
          <w:b/>
          <w:bCs/>
          <w:lang w:val="en-GB"/>
        </w:rPr>
        <w:t xml:space="preserve">Mwamba </w:t>
      </w:r>
      <w:r w:rsidRPr="00CC36F1">
        <w:rPr>
          <w:b/>
          <w:bCs/>
          <w:i/>
          <w:iCs/>
          <w:lang w:val="en-GB"/>
        </w:rPr>
        <w:t>et al</w:t>
      </w:r>
      <w:r w:rsidRPr="00CC36F1">
        <w:rPr>
          <w:b/>
          <w:bCs/>
          <w:lang w:val="en-GB"/>
        </w:rPr>
        <w:t>., 2018</w:t>
      </w:r>
      <w:r w:rsidRPr="00CC36F1">
        <w:rPr>
          <w:lang w:val="en-GB"/>
        </w:rPr>
        <w:t>).</w:t>
      </w:r>
    </w:p>
    <w:p w14:paraId="3819DC4B" w14:textId="7F473E9A" w:rsidR="00DA7633" w:rsidRPr="00CC36F1" w:rsidRDefault="00DA7633" w:rsidP="00B44075">
      <w:pPr>
        <w:spacing w:after="160" w:line="360" w:lineRule="auto"/>
        <w:jc w:val="both"/>
        <w:rPr>
          <w:b/>
          <w:bCs/>
          <w:lang w:val="en-GB"/>
        </w:rPr>
      </w:pPr>
      <w:r w:rsidRPr="00CC36F1">
        <w:rPr>
          <w:b/>
          <w:bCs/>
          <w:lang w:val="en-GB"/>
        </w:rPr>
        <w:t xml:space="preserve">Total </w:t>
      </w:r>
      <w:bookmarkStart w:id="5" w:name="_Hlk224813835"/>
      <w:r w:rsidRPr="00CC36F1">
        <w:rPr>
          <w:b/>
          <w:bCs/>
          <w:lang w:val="en-GB"/>
        </w:rPr>
        <w:t>Carotenoids</w:t>
      </w:r>
      <w:bookmarkEnd w:id="5"/>
      <w:r w:rsidRPr="00CC36F1">
        <w:rPr>
          <w:b/>
          <w:bCs/>
          <w:lang w:val="en-GB"/>
        </w:rPr>
        <w:t xml:space="preserve"> and Bioavailability</w:t>
      </w:r>
    </w:p>
    <w:p w14:paraId="32CD10F9" w14:textId="77777777" w:rsidR="00122EA7" w:rsidRPr="00CC36F1" w:rsidRDefault="00DA7633" w:rsidP="00B44075">
      <w:pPr>
        <w:spacing w:after="160" w:line="360" w:lineRule="auto"/>
        <w:jc w:val="both"/>
        <w:rPr>
          <w:lang w:val="en-GB"/>
        </w:rPr>
      </w:pPr>
      <w:r w:rsidRPr="00CC36F1">
        <w:rPr>
          <w:lang w:val="en-GB"/>
        </w:rPr>
        <w:t xml:space="preserve">Similar to vitamin C, total carotenoid levels (249.25 to 274.15 µg/100 g) showed no significant variation by site (p = 0.906). These results are consistent with the ranges reported by </w:t>
      </w:r>
      <w:r w:rsidRPr="00CC36F1">
        <w:rPr>
          <w:b/>
          <w:bCs/>
          <w:lang w:val="en-GB"/>
        </w:rPr>
        <w:t xml:space="preserve">Haque </w:t>
      </w:r>
      <w:r w:rsidRPr="00CC36F1">
        <w:rPr>
          <w:b/>
          <w:bCs/>
          <w:i/>
          <w:iCs/>
          <w:lang w:val="en-GB"/>
        </w:rPr>
        <w:t>et</w:t>
      </w:r>
      <w:r w:rsidR="00122EA7" w:rsidRPr="00CC36F1">
        <w:rPr>
          <w:b/>
          <w:bCs/>
          <w:i/>
          <w:iCs/>
          <w:lang w:val="en-GB"/>
        </w:rPr>
        <w:t xml:space="preserve"> </w:t>
      </w:r>
      <w:r w:rsidRPr="00CC36F1">
        <w:rPr>
          <w:b/>
          <w:bCs/>
          <w:i/>
          <w:iCs/>
          <w:lang w:val="en-GB"/>
        </w:rPr>
        <w:t>al.</w:t>
      </w:r>
      <w:r w:rsidRPr="00CC36F1">
        <w:rPr>
          <w:b/>
          <w:bCs/>
          <w:lang w:val="en-GB"/>
        </w:rPr>
        <w:t xml:space="preserve"> (2022)</w:t>
      </w:r>
      <w:r w:rsidRPr="00CC36F1">
        <w:rPr>
          <w:lang w:val="en-GB"/>
        </w:rPr>
        <w:t xml:space="preserve"> and </w:t>
      </w:r>
      <w:r w:rsidRPr="00CC36F1">
        <w:rPr>
          <w:b/>
          <w:bCs/>
          <w:lang w:val="en-GB"/>
        </w:rPr>
        <w:t xml:space="preserve">Mawa </w:t>
      </w:r>
      <w:r w:rsidRPr="00CC36F1">
        <w:rPr>
          <w:b/>
          <w:bCs/>
          <w:i/>
          <w:iCs/>
          <w:lang w:val="en-GB"/>
        </w:rPr>
        <w:t>et al</w:t>
      </w:r>
      <w:r w:rsidRPr="00CC36F1">
        <w:rPr>
          <w:b/>
          <w:bCs/>
          <w:lang w:val="en-GB"/>
        </w:rPr>
        <w:t>. (2024).</w:t>
      </w:r>
      <w:r w:rsidRPr="00CC36F1">
        <w:rPr>
          <w:lang w:val="en-GB"/>
        </w:rPr>
        <w:t xml:space="preserve"> The stability of these photosensitive pigments suggests adequate management of the artisanal drying process. Given the lipid content of our samples </w:t>
      </w:r>
    </w:p>
    <w:p w14:paraId="5324EF01" w14:textId="2434403E" w:rsidR="00DA7633" w:rsidRPr="00CC36F1" w:rsidRDefault="00DA7633" w:rsidP="00B44075">
      <w:pPr>
        <w:spacing w:after="160" w:line="360" w:lineRule="auto"/>
        <w:jc w:val="both"/>
        <w:rPr>
          <w:b/>
          <w:bCs/>
          <w:lang w:val="en-GB"/>
        </w:rPr>
      </w:pPr>
      <w:r w:rsidRPr="00CC36F1">
        <w:rPr>
          <w:lang w:val="en-GB"/>
        </w:rPr>
        <w:lastRenderedPageBreak/>
        <w:t>(</w:t>
      </w:r>
      <w:r w:rsidR="00122EA7" w:rsidRPr="00CC36F1">
        <w:rPr>
          <w:lang w:val="en-GB"/>
        </w:rPr>
        <w:t>~</w:t>
      </w:r>
      <w:r w:rsidRPr="00CC36F1">
        <w:rPr>
          <w:lang w:val="en-GB"/>
        </w:rPr>
        <w:t>2\%), these fat-soluble carotenoids likely exhibit high bioavailability, enhancing the product's effectiveness against vitamin A deficiencies (</w:t>
      </w:r>
      <w:proofErr w:type="spellStart"/>
      <w:r w:rsidRPr="00CC36F1">
        <w:rPr>
          <w:b/>
          <w:bCs/>
          <w:lang w:val="en-GB"/>
        </w:rPr>
        <w:t>Lebaka</w:t>
      </w:r>
      <w:proofErr w:type="spellEnd"/>
      <w:r w:rsidRPr="00CC36F1">
        <w:rPr>
          <w:b/>
          <w:bCs/>
          <w:lang w:val="en-GB"/>
        </w:rPr>
        <w:t xml:space="preserve"> </w:t>
      </w:r>
      <w:r w:rsidRPr="00CC36F1">
        <w:rPr>
          <w:b/>
          <w:bCs/>
          <w:i/>
          <w:iCs/>
          <w:lang w:val="en-GB"/>
        </w:rPr>
        <w:t>et al.</w:t>
      </w:r>
      <w:r w:rsidRPr="00CC36F1">
        <w:rPr>
          <w:b/>
          <w:bCs/>
          <w:lang w:val="en-GB"/>
        </w:rPr>
        <w:t>, 2021</w:t>
      </w:r>
      <w:r w:rsidRPr="00CC36F1">
        <w:rPr>
          <w:lang w:val="en-GB"/>
        </w:rPr>
        <w:t>).</w:t>
      </w:r>
    </w:p>
    <w:p w14:paraId="3ADE5C73" w14:textId="75A47712" w:rsidR="00DA7633" w:rsidRPr="00CC36F1" w:rsidRDefault="00DA7633" w:rsidP="00B44075">
      <w:pPr>
        <w:spacing w:after="160" w:line="360" w:lineRule="auto"/>
        <w:jc w:val="both"/>
        <w:rPr>
          <w:lang w:val="en-GB"/>
        </w:rPr>
      </w:pPr>
      <w:r w:rsidRPr="00CC36F1">
        <w:rPr>
          <w:lang w:val="en-GB"/>
        </w:rPr>
        <w:t xml:space="preserve">The lack of significant difference (p = 0.906) suggests that the solar radiation gradient across the Sudano-Sahelian savanna is too small to induce major variations. According to </w:t>
      </w:r>
      <w:r w:rsidRPr="00CC36F1">
        <w:rPr>
          <w:b/>
          <w:bCs/>
          <w:lang w:val="en-GB"/>
        </w:rPr>
        <w:t xml:space="preserve">Ndiaye </w:t>
      </w:r>
      <w:r w:rsidRPr="00CC36F1">
        <w:rPr>
          <w:b/>
          <w:bCs/>
          <w:i/>
          <w:iCs/>
          <w:lang w:val="en-GB"/>
        </w:rPr>
        <w:t>et al.</w:t>
      </w:r>
      <w:r w:rsidRPr="00CC36F1">
        <w:rPr>
          <w:b/>
          <w:bCs/>
          <w:lang w:val="en-GB"/>
        </w:rPr>
        <w:t xml:space="preserve"> (2025)</w:t>
      </w:r>
      <w:r w:rsidRPr="00CC36F1">
        <w:rPr>
          <w:lang w:val="en-GB"/>
        </w:rPr>
        <w:t xml:space="preserve">, the UV index is nearly identical across these regions, leading to uniform photodegradation. However, the high standard deviations observed indicate intrinsic variability, likely due to individual fruit maturity or varying light exposure during solar drying. As noted by </w:t>
      </w:r>
      <w:proofErr w:type="spellStart"/>
      <w:r w:rsidRPr="00CC36F1">
        <w:rPr>
          <w:b/>
          <w:bCs/>
          <w:lang w:val="en-GB"/>
        </w:rPr>
        <w:t>Somé</w:t>
      </w:r>
      <w:proofErr w:type="spellEnd"/>
      <w:r w:rsidRPr="00CC36F1">
        <w:rPr>
          <w:b/>
          <w:bCs/>
          <w:lang w:val="en-GB"/>
        </w:rPr>
        <w:t xml:space="preserve"> </w:t>
      </w:r>
      <w:r w:rsidRPr="00CC36F1">
        <w:rPr>
          <w:b/>
          <w:bCs/>
          <w:i/>
          <w:iCs/>
          <w:lang w:val="en-GB"/>
        </w:rPr>
        <w:t>et al.</w:t>
      </w:r>
      <w:r w:rsidRPr="00CC36F1">
        <w:rPr>
          <w:b/>
          <w:bCs/>
          <w:lang w:val="en-GB"/>
        </w:rPr>
        <w:t xml:space="preserve"> (2014),</w:t>
      </w:r>
      <w:r w:rsidRPr="00CC36F1">
        <w:rPr>
          <w:lang w:val="en-GB"/>
        </w:rPr>
        <w:t xml:space="preserve"> carotenoid content typically improves by 39\% to 80\% during ripening, which explains some of the lower values found in less mature samples. Ultimately, the high retention of vitamin C and carotenoids reinforces the therapeutic potential of Chadian dried mango in preventing ocular pathologies and supporting immune functions (</w:t>
      </w:r>
      <w:r w:rsidRPr="00CC36F1">
        <w:rPr>
          <w:b/>
          <w:bCs/>
          <w:lang w:val="en-GB"/>
        </w:rPr>
        <w:t xml:space="preserve">Pullar </w:t>
      </w:r>
      <w:r w:rsidRPr="00CC36F1">
        <w:rPr>
          <w:b/>
          <w:bCs/>
          <w:i/>
          <w:iCs/>
          <w:lang w:val="en-GB"/>
        </w:rPr>
        <w:t>et al.</w:t>
      </w:r>
      <w:r w:rsidRPr="00CC36F1">
        <w:rPr>
          <w:b/>
          <w:bCs/>
          <w:lang w:val="en-GB"/>
        </w:rPr>
        <w:t xml:space="preserve">, </w:t>
      </w:r>
      <w:proofErr w:type="gramStart"/>
      <w:r w:rsidR="00560D12" w:rsidRPr="00CC36F1">
        <w:rPr>
          <w:b/>
          <w:bCs/>
          <w:lang w:val="en-GB"/>
        </w:rPr>
        <w:t>2017 ;</w:t>
      </w:r>
      <w:proofErr w:type="gramEnd"/>
      <w:r w:rsidRPr="00CC36F1">
        <w:rPr>
          <w:lang w:val="en-GB"/>
        </w:rPr>
        <w:t xml:space="preserve"> </w:t>
      </w:r>
      <w:proofErr w:type="spellStart"/>
      <w:r w:rsidRPr="00CC36F1">
        <w:rPr>
          <w:b/>
          <w:bCs/>
          <w:lang w:val="en-GB"/>
        </w:rPr>
        <w:t>Tanumihardjo</w:t>
      </w:r>
      <w:proofErr w:type="spellEnd"/>
      <w:r w:rsidRPr="00CC36F1">
        <w:rPr>
          <w:b/>
          <w:bCs/>
          <w:lang w:val="en-GB"/>
        </w:rPr>
        <w:t>, 2013</w:t>
      </w:r>
      <w:r w:rsidRPr="00CC36F1">
        <w:rPr>
          <w:lang w:val="en-GB"/>
        </w:rPr>
        <w:t>).</w:t>
      </w:r>
    </w:p>
    <w:p w14:paraId="7F8D84AF" w14:textId="77777777" w:rsidR="00DA7633" w:rsidRPr="00CC36F1" w:rsidRDefault="00DA7633" w:rsidP="00B44075">
      <w:pPr>
        <w:spacing w:after="160" w:line="360" w:lineRule="auto"/>
        <w:jc w:val="both"/>
        <w:rPr>
          <w:b/>
          <w:bCs/>
          <w:lang w:val="en-GB"/>
        </w:rPr>
      </w:pPr>
      <w:r w:rsidRPr="00CC36F1">
        <w:rPr>
          <w:b/>
          <w:bCs/>
          <w:lang w:val="en-GB"/>
        </w:rPr>
        <w:t>III.5. Physicochemical Profile of Dried Mangoes Sold in Chad: Principal Component Analysis (PCA) and Agglomerative Hierarchical Clustering (AHC)</w:t>
      </w:r>
    </w:p>
    <w:p w14:paraId="732836C4" w14:textId="41048931" w:rsidR="00DA7633" w:rsidRPr="00CC36F1" w:rsidRDefault="00DA7633" w:rsidP="00B44075">
      <w:pPr>
        <w:spacing w:after="160" w:line="360" w:lineRule="auto"/>
        <w:jc w:val="both"/>
        <w:rPr>
          <w:lang w:val="en-GB"/>
        </w:rPr>
      </w:pPr>
      <w:r w:rsidRPr="00CC36F1">
        <w:rPr>
          <w:b/>
          <w:bCs/>
          <w:lang w:val="en-GB"/>
        </w:rPr>
        <w:t xml:space="preserve">Table </w:t>
      </w:r>
      <w:r w:rsidR="00EC7831">
        <w:rPr>
          <w:b/>
          <w:bCs/>
          <w:lang w:val="en-GB"/>
        </w:rPr>
        <w:t>6</w:t>
      </w:r>
      <w:r w:rsidR="00560D12" w:rsidRPr="00CC36F1">
        <w:rPr>
          <w:b/>
          <w:bCs/>
          <w:lang w:val="en-GB"/>
        </w:rPr>
        <w:t>:</w:t>
      </w:r>
      <w:r w:rsidRPr="00CC36F1">
        <w:rPr>
          <w:lang w:val="en-GB"/>
        </w:rPr>
        <w:t xml:space="preserve"> Contribution of variables to the formation of the different axes.</w:t>
      </w:r>
    </w:p>
    <w:tbl>
      <w:tblPr>
        <w:tblW w:w="9761" w:type="dxa"/>
        <w:tblInd w:w="-575" w:type="dxa"/>
        <w:tblCellMar>
          <w:left w:w="0" w:type="dxa"/>
          <w:right w:w="0" w:type="dxa"/>
        </w:tblCellMar>
        <w:tblLook w:val="04A0" w:firstRow="1" w:lastRow="0" w:firstColumn="1" w:lastColumn="0" w:noHBand="0" w:noVBand="1"/>
      </w:tblPr>
      <w:tblGrid>
        <w:gridCol w:w="1001"/>
        <w:gridCol w:w="870"/>
        <w:gridCol w:w="4941"/>
        <w:gridCol w:w="2724"/>
        <w:gridCol w:w="20"/>
        <w:gridCol w:w="109"/>
        <w:gridCol w:w="96"/>
      </w:tblGrid>
      <w:tr w:rsidR="004418C0" w:rsidRPr="00AA39A2" w14:paraId="6D7141D8" w14:textId="77777777" w:rsidTr="00A257C1">
        <w:trPr>
          <w:trHeight w:val="315"/>
        </w:trPr>
        <w:tc>
          <w:tcPr>
            <w:tcW w:w="1001" w:type="dxa"/>
            <w:tcBorders>
              <w:top w:val="single" w:sz="4" w:space="0" w:color="auto"/>
              <w:bottom w:val="single" w:sz="4" w:space="0" w:color="auto"/>
            </w:tcBorders>
            <w:tcMar>
              <w:top w:w="30" w:type="dxa"/>
              <w:left w:w="45" w:type="dxa"/>
              <w:bottom w:w="30" w:type="dxa"/>
              <w:right w:w="45" w:type="dxa"/>
            </w:tcMar>
            <w:vAlign w:val="bottom"/>
            <w:hideMark/>
          </w:tcPr>
          <w:p w14:paraId="3334B4E1" w14:textId="77777777" w:rsidR="004418C0" w:rsidRPr="00AA39A2" w:rsidRDefault="004418C0" w:rsidP="00006718">
            <w:pPr>
              <w:spacing w:line="360" w:lineRule="auto"/>
              <w:jc w:val="center"/>
            </w:pPr>
            <w:r w:rsidRPr="00AA39A2">
              <w:t>Axe (Facteur)</w:t>
            </w:r>
          </w:p>
        </w:tc>
        <w:tc>
          <w:tcPr>
            <w:tcW w:w="870" w:type="dxa"/>
            <w:tcBorders>
              <w:top w:val="single" w:sz="4" w:space="0" w:color="auto"/>
              <w:bottom w:val="single" w:sz="4" w:space="0" w:color="auto"/>
            </w:tcBorders>
            <w:tcMar>
              <w:top w:w="30" w:type="dxa"/>
              <w:left w:w="45" w:type="dxa"/>
              <w:bottom w:w="30" w:type="dxa"/>
              <w:right w:w="45" w:type="dxa"/>
            </w:tcMar>
            <w:vAlign w:val="bottom"/>
            <w:hideMark/>
          </w:tcPr>
          <w:p w14:paraId="080BF4AF" w14:textId="77777777" w:rsidR="004418C0" w:rsidRPr="00AA39A2" w:rsidRDefault="004418C0" w:rsidP="00006718">
            <w:pPr>
              <w:spacing w:line="360" w:lineRule="auto"/>
              <w:jc w:val="center"/>
            </w:pPr>
            <w:r w:rsidRPr="00AA39A2">
              <w:t>Valeur propre</w:t>
            </w:r>
          </w:p>
        </w:tc>
        <w:tc>
          <w:tcPr>
            <w:tcW w:w="4941" w:type="dxa"/>
            <w:tcBorders>
              <w:top w:val="single" w:sz="4" w:space="0" w:color="auto"/>
              <w:bottom w:val="single" w:sz="4" w:space="0" w:color="auto"/>
            </w:tcBorders>
            <w:tcMar>
              <w:top w:w="30" w:type="dxa"/>
              <w:left w:w="45" w:type="dxa"/>
              <w:bottom w:w="30" w:type="dxa"/>
              <w:right w:w="45" w:type="dxa"/>
            </w:tcMar>
            <w:vAlign w:val="bottom"/>
            <w:hideMark/>
          </w:tcPr>
          <w:p w14:paraId="4DB681FD" w14:textId="7A2365D1" w:rsidR="004418C0" w:rsidRPr="00AA39A2" w:rsidRDefault="004418C0" w:rsidP="00EB16E1">
            <w:pPr>
              <w:spacing w:line="360" w:lineRule="auto"/>
              <w:jc w:val="center"/>
            </w:pPr>
            <w:r w:rsidRPr="00AA39A2">
              <w:t>Variables contributrices dominantes (Contribution&gt; 5%)</w:t>
            </w:r>
          </w:p>
        </w:tc>
        <w:tc>
          <w:tcPr>
            <w:tcW w:w="2724" w:type="dxa"/>
            <w:tcBorders>
              <w:top w:val="single" w:sz="4" w:space="0" w:color="auto"/>
              <w:bottom w:val="single" w:sz="4" w:space="0" w:color="auto"/>
            </w:tcBorders>
            <w:tcMar>
              <w:top w:w="30" w:type="dxa"/>
              <w:left w:w="0" w:type="dxa"/>
              <w:bottom w:w="30" w:type="dxa"/>
              <w:right w:w="0" w:type="dxa"/>
            </w:tcMar>
            <w:vAlign w:val="bottom"/>
            <w:hideMark/>
          </w:tcPr>
          <w:p w14:paraId="6DA5AB63" w14:textId="440DCD01" w:rsidR="004418C0" w:rsidRPr="00AA39A2" w:rsidRDefault="00A20643" w:rsidP="00EB16E1">
            <w:pPr>
              <w:spacing w:line="360" w:lineRule="auto"/>
              <w:jc w:val="center"/>
            </w:pPr>
            <w:proofErr w:type="spellStart"/>
            <w:r w:rsidRPr="00A20643">
              <w:t>Suggested</w:t>
            </w:r>
            <w:proofErr w:type="spellEnd"/>
            <w:r w:rsidRPr="00A20643">
              <w:t xml:space="preserve"> </w:t>
            </w:r>
            <w:proofErr w:type="spellStart"/>
            <w:r w:rsidRPr="00A20643">
              <w:t>Interpretation</w:t>
            </w:r>
            <w:proofErr w:type="spellEnd"/>
          </w:p>
        </w:tc>
        <w:tc>
          <w:tcPr>
            <w:tcW w:w="20" w:type="dxa"/>
            <w:tcBorders>
              <w:top w:val="single" w:sz="4" w:space="0" w:color="auto"/>
              <w:bottom w:val="single" w:sz="4" w:space="0" w:color="auto"/>
            </w:tcBorders>
          </w:tcPr>
          <w:p w14:paraId="07ACE510" w14:textId="77777777" w:rsidR="004418C0" w:rsidRPr="00AA39A2" w:rsidRDefault="004418C0" w:rsidP="007F4489">
            <w:pPr>
              <w:spacing w:line="360" w:lineRule="auto"/>
              <w:jc w:val="both"/>
            </w:pPr>
          </w:p>
        </w:tc>
        <w:tc>
          <w:tcPr>
            <w:tcW w:w="109" w:type="dxa"/>
            <w:tcBorders>
              <w:top w:val="single" w:sz="4" w:space="0" w:color="auto"/>
              <w:bottom w:val="single" w:sz="4" w:space="0" w:color="auto"/>
            </w:tcBorders>
            <w:tcMar>
              <w:top w:w="30" w:type="dxa"/>
              <w:left w:w="45" w:type="dxa"/>
              <w:bottom w:w="30" w:type="dxa"/>
              <w:right w:w="45" w:type="dxa"/>
            </w:tcMar>
            <w:vAlign w:val="bottom"/>
            <w:hideMark/>
          </w:tcPr>
          <w:p w14:paraId="0EDC401A" w14:textId="77777777" w:rsidR="004418C0" w:rsidRPr="00AA39A2" w:rsidRDefault="004418C0" w:rsidP="007F4489">
            <w:pPr>
              <w:spacing w:line="360" w:lineRule="auto"/>
              <w:jc w:val="both"/>
            </w:pP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293DC25" w14:textId="77777777" w:rsidR="004418C0" w:rsidRPr="00AA39A2" w:rsidRDefault="004418C0" w:rsidP="007F4489">
            <w:pPr>
              <w:spacing w:line="360" w:lineRule="auto"/>
              <w:jc w:val="both"/>
            </w:pPr>
          </w:p>
        </w:tc>
      </w:tr>
      <w:tr w:rsidR="00A20643" w:rsidRPr="00AA39A2" w14:paraId="3E2AB881" w14:textId="77777777" w:rsidTr="00C022D9">
        <w:trPr>
          <w:trHeight w:val="315"/>
        </w:trPr>
        <w:tc>
          <w:tcPr>
            <w:tcW w:w="1001" w:type="dxa"/>
            <w:tcBorders>
              <w:top w:val="single" w:sz="4" w:space="0" w:color="auto"/>
            </w:tcBorders>
            <w:tcMar>
              <w:top w:w="30" w:type="dxa"/>
              <w:left w:w="45" w:type="dxa"/>
              <w:bottom w:w="30" w:type="dxa"/>
              <w:right w:w="45" w:type="dxa"/>
            </w:tcMar>
            <w:vAlign w:val="bottom"/>
            <w:hideMark/>
          </w:tcPr>
          <w:p w14:paraId="2CF7E379" w14:textId="77777777" w:rsidR="00A20643" w:rsidRPr="00AA39A2" w:rsidRDefault="00A20643" w:rsidP="00A20643">
            <w:pPr>
              <w:spacing w:line="360" w:lineRule="auto"/>
              <w:jc w:val="center"/>
            </w:pPr>
            <w:r w:rsidRPr="00AA39A2">
              <w:t>F1</w:t>
            </w:r>
          </w:p>
        </w:tc>
        <w:tc>
          <w:tcPr>
            <w:tcW w:w="870" w:type="dxa"/>
            <w:tcBorders>
              <w:top w:val="single" w:sz="4" w:space="0" w:color="auto"/>
            </w:tcBorders>
            <w:tcMar>
              <w:top w:w="30" w:type="dxa"/>
              <w:left w:w="45" w:type="dxa"/>
              <w:bottom w:w="30" w:type="dxa"/>
              <w:right w:w="45" w:type="dxa"/>
            </w:tcMar>
            <w:vAlign w:val="bottom"/>
            <w:hideMark/>
          </w:tcPr>
          <w:p w14:paraId="3CDE50EE" w14:textId="77777777" w:rsidR="00A20643" w:rsidRPr="00AA39A2" w:rsidRDefault="00A20643" w:rsidP="00A20643">
            <w:pPr>
              <w:spacing w:line="360" w:lineRule="auto"/>
              <w:jc w:val="center"/>
            </w:pPr>
            <w:r w:rsidRPr="00AA39A2">
              <w:t>-</w:t>
            </w:r>
          </w:p>
        </w:tc>
        <w:tc>
          <w:tcPr>
            <w:tcW w:w="4941" w:type="dxa"/>
            <w:tcBorders>
              <w:top w:val="single" w:sz="4" w:space="0" w:color="auto"/>
            </w:tcBorders>
            <w:tcMar>
              <w:top w:w="30" w:type="dxa"/>
              <w:left w:w="45" w:type="dxa"/>
              <w:bottom w:w="30" w:type="dxa"/>
              <w:right w:w="45" w:type="dxa"/>
            </w:tcMar>
            <w:vAlign w:val="bottom"/>
            <w:hideMark/>
          </w:tcPr>
          <w:p w14:paraId="37D3883D" w14:textId="77777777" w:rsidR="00A20643" w:rsidRPr="00AA39A2" w:rsidRDefault="00A20643" w:rsidP="00A20643">
            <w:pPr>
              <w:spacing w:line="360" w:lineRule="auto"/>
              <w:jc w:val="center"/>
            </w:pPr>
            <w:r w:rsidRPr="00AA39A2">
              <w:t>Mg (10,37%), Na (9,46%), Sucres réducteurs (7,49%), Amidon (6,05%), Ça (5,80%), Vitamine C (5,78%), K (5,34%)</w:t>
            </w:r>
          </w:p>
        </w:tc>
        <w:tc>
          <w:tcPr>
            <w:tcW w:w="2724" w:type="dxa"/>
            <w:tcBorders>
              <w:top w:val="single" w:sz="4" w:space="0" w:color="auto"/>
            </w:tcBorders>
            <w:tcMar>
              <w:top w:w="30" w:type="dxa"/>
              <w:left w:w="0" w:type="dxa"/>
              <w:bottom w:w="30" w:type="dxa"/>
              <w:right w:w="0" w:type="dxa"/>
            </w:tcMar>
            <w:hideMark/>
          </w:tcPr>
          <w:p w14:paraId="491E5477" w14:textId="1A83B69E" w:rsidR="00A20643" w:rsidRPr="00AA39A2" w:rsidRDefault="00A20643" w:rsidP="00A20643">
            <w:pPr>
              <w:spacing w:line="360" w:lineRule="auto"/>
              <w:jc w:val="center"/>
              <w:rPr>
                <w:b/>
                <w:bCs/>
              </w:rPr>
            </w:pPr>
            <w:r w:rsidRPr="000C2CF9">
              <w:rPr>
                <w:rStyle w:val="rynqvb"/>
                <w:rFonts w:eastAsiaTheme="majorEastAsia"/>
                <w:lang w:val="en"/>
              </w:rPr>
              <w:t>Mineral and Soluble Carbohydrate Axis Energy and Fat-Soluble Micronutrient Axis</w:t>
            </w:r>
          </w:p>
        </w:tc>
        <w:tc>
          <w:tcPr>
            <w:tcW w:w="20" w:type="dxa"/>
            <w:tcBorders>
              <w:top w:val="single" w:sz="4" w:space="0" w:color="auto"/>
            </w:tcBorders>
          </w:tcPr>
          <w:p w14:paraId="2B9B3DF0" w14:textId="77777777" w:rsidR="00A20643" w:rsidRPr="00AA39A2" w:rsidRDefault="00A20643" w:rsidP="00A20643">
            <w:pPr>
              <w:spacing w:line="360" w:lineRule="auto"/>
              <w:jc w:val="both"/>
            </w:pPr>
          </w:p>
        </w:tc>
        <w:tc>
          <w:tcPr>
            <w:tcW w:w="109" w:type="dxa"/>
            <w:tcBorders>
              <w:top w:val="single" w:sz="4" w:space="0" w:color="auto"/>
            </w:tcBorders>
            <w:tcMar>
              <w:top w:w="30" w:type="dxa"/>
              <w:left w:w="45" w:type="dxa"/>
              <w:bottom w:w="30" w:type="dxa"/>
              <w:right w:w="45" w:type="dxa"/>
            </w:tcMar>
            <w:vAlign w:val="bottom"/>
            <w:hideMark/>
          </w:tcPr>
          <w:p w14:paraId="7DA3D875" w14:textId="77777777" w:rsidR="00A20643" w:rsidRPr="00AA39A2" w:rsidRDefault="00A20643" w:rsidP="00A20643">
            <w:pPr>
              <w:spacing w:line="360" w:lineRule="auto"/>
              <w:jc w:val="both"/>
            </w:pPr>
          </w:p>
        </w:tc>
        <w:tc>
          <w:tcPr>
            <w:tcW w:w="0" w:type="auto"/>
            <w:tcBorders>
              <w:top w:val="single" w:sz="4" w:space="0" w:color="auto"/>
            </w:tcBorders>
            <w:tcMar>
              <w:top w:w="30" w:type="dxa"/>
              <w:left w:w="45" w:type="dxa"/>
              <w:bottom w:w="30" w:type="dxa"/>
              <w:right w:w="45" w:type="dxa"/>
            </w:tcMar>
            <w:vAlign w:val="bottom"/>
            <w:hideMark/>
          </w:tcPr>
          <w:p w14:paraId="11B3EA28" w14:textId="77777777" w:rsidR="00A20643" w:rsidRPr="00AA39A2" w:rsidRDefault="00A20643" w:rsidP="00A20643">
            <w:pPr>
              <w:spacing w:line="360" w:lineRule="auto"/>
              <w:jc w:val="both"/>
            </w:pPr>
          </w:p>
        </w:tc>
      </w:tr>
      <w:tr w:rsidR="00A20643" w:rsidRPr="00AA39A2" w14:paraId="173F858E" w14:textId="77777777" w:rsidTr="00C022D9">
        <w:trPr>
          <w:trHeight w:val="315"/>
        </w:trPr>
        <w:tc>
          <w:tcPr>
            <w:tcW w:w="1001" w:type="dxa"/>
            <w:tcMar>
              <w:top w:w="30" w:type="dxa"/>
              <w:left w:w="45" w:type="dxa"/>
              <w:bottom w:w="30" w:type="dxa"/>
              <w:right w:w="45" w:type="dxa"/>
            </w:tcMar>
            <w:vAlign w:val="bottom"/>
            <w:hideMark/>
          </w:tcPr>
          <w:p w14:paraId="07F4FAA5" w14:textId="77777777" w:rsidR="00A20643" w:rsidRPr="00AA39A2" w:rsidRDefault="00A20643" w:rsidP="00A20643">
            <w:pPr>
              <w:spacing w:line="360" w:lineRule="auto"/>
              <w:jc w:val="center"/>
            </w:pPr>
            <w:r w:rsidRPr="00AA39A2">
              <w:t>F2</w:t>
            </w:r>
          </w:p>
        </w:tc>
        <w:tc>
          <w:tcPr>
            <w:tcW w:w="870" w:type="dxa"/>
            <w:tcMar>
              <w:top w:w="30" w:type="dxa"/>
              <w:left w:w="45" w:type="dxa"/>
              <w:bottom w:w="30" w:type="dxa"/>
              <w:right w:w="45" w:type="dxa"/>
            </w:tcMar>
            <w:vAlign w:val="bottom"/>
            <w:hideMark/>
          </w:tcPr>
          <w:p w14:paraId="5C402DE2" w14:textId="77777777" w:rsidR="00A20643" w:rsidRPr="00AA39A2" w:rsidRDefault="00A20643" w:rsidP="00A20643">
            <w:pPr>
              <w:spacing w:line="360" w:lineRule="auto"/>
              <w:jc w:val="center"/>
            </w:pPr>
            <w:r w:rsidRPr="00AA39A2">
              <w:t>-</w:t>
            </w:r>
          </w:p>
        </w:tc>
        <w:tc>
          <w:tcPr>
            <w:tcW w:w="4941" w:type="dxa"/>
            <w:tcMar>
              <w:top w:w="30" w:type="dxa"/>
              <w:left w:w="45" w:type="dxa"/>
              <w:bottom w:w="30" w:type="dxa"/>
              <w:right w:w="45" w:type="dxa"/>
            </w:tcMar>
            <w:vAlign w:val="bottom"/>
            <w:hideMark/>
          </w:tcPr>
          <w:p w14:paraId="252D1BCF" w14:textId="77777777" w:rsidR="00A20643" w:rsidRPr="00AA39A2" w:rsidRDefault="00A20643" w:rsidP="00A20643">
            <w:pPr>
              <w:spacing w:line="360" w:lineRule="auto"/>
              <w:jc w:val="center"/>
            </w:pPr>
            <w:r w:rsidRPr="00AA39A2">
              <w:t>Caroténoïdes (11,68%), Lipides (10,43%), Fe (10,35%), Fibres (8,76%), Glucides (8,65%), Énergie (7,78%), K (6,34%)</w:t>
            </w:r>
          </w:p>
        </w:tc>
        <w:tc>
          <w:tcPr>
            <w:tcW w:w="2724" w:type="dxa"/>
            <w:tcMar>
              <w:top w:w="30" w:type="dxa"/>
              <w:left w:w="0" w:type="dxa"/>
              <w:bottom w:w="30" w:type="dxa"/>
              <w:right w:w="0" w:type="dxa"/>
            </w:tcMar>
            <w:hideMark/>
          </w:tcPr>
          <w:p w14:paraId="4E908C78" w14:textId="3958876C" w:rsidR="00A20643" w:rsidRPr="00AA39A2" w:rsidRDefault="00A20643" w:rsidP="00A20643">
            <w:pPr>
              <w:spacing w:line="360" w:lineRule="auto"/>
              <w:jc w:val="center"/>
              <w:rPr>
                <w:b/>
                <w:bCs/>
              </w:rPr>
            </w:pPr>
            <w:r w:rsidRPr="000C2CF9">
              <w:rPr>
                <w:rStyle w:val="rynqvb"/>
                <w:rFonts w:eastAsiaTheme="majorEastAsia"/>
                <w:lang w:val="en"/>
              </w:rPr>
              <w:t>Mineral and Soluble Carbohydrate Axis Energy and Fat-Soluble Micronutrient Axis</w:t>
            </w:r>
          </w:p>
        </w:tc>
        <w:tc>
          <w:tcPr>
            <w:tcW w:w="20" w:type="dxa"/>
          </w:tcPr>
          <w:p w14:paraId="1A69C13F" w14:textId="77777777" w:rsidR="00A20643" w:rsidRPr="00AA39A2" w:rsidRDefault="00A20643" w:rsidP="00A20643">
            <w:pPr>
              <w:spacing w:line="360" w:lineRule="auto"/>
              <w:jc w:val="both"/>
            </w:pPr>
          </w:p>
        </w:tc>
        <w:tc>
          <w:tcPr>
            <w:tcW w:w="109" w:type="dxa"/>
            <w:tcMar>
              <w:top w:w="30" w:type="dxa"/>
              <w:left w:w="45" w:type="dxa"/>
              <w:bottom w:w="30" w:type="dxa"/>
              <w:right w:w="45" w:type="dxa"/>
            </w:tcMar>
            <w:vAlign w:val="bottom"/>
            <w:hideMark/>
          </w:tcPr>
          <w:p w14:paraId="662745B5" w14:textId="77777777" w:rsidR="00A20643" w:rsidRPr="00AA39A2" w:rsidRDefault="00A20643" w:rsidP="00A20643">
            <w:pPr>
              <w:spacing w:line="360" w:lineRule="auto"/>
              <w:jc w:val="both"/>
            </w:pPr>
          </w:p>
        </w:tc>
        <w:tc>
          <w:tcPr>
            <w:tcW w:w="0" w:type="auto"/>
            <w:tcMar>
              <w:top w:w="30" w:type="dxa"/>
              <w:left w:w="45" w:type="dxa"/>
              <w:bottom w:w="30" w:type="dxa"/>
              <w:right w:w="45" w:type="dxa"/>
            </w:tcMar>
            <w:vAlign w:val="bottom"/>
            <w:hideMark/>
          </w:tcPr>
          <w:p w14:paraId="0BAA16F6" w14:textId="77777777" w:rsidR="00A20643" w:rsidRPr="00AA39A2" w:rsidRDefault="00A20643" w:rsidP="00A20643">
            <w:pPr>
              <w:spacing w:line="360" w:lineRule="auto"/>
              <w:jc w:val="both"/>
            </w:pPr>
          </w:p>
        </w:tc>
      </w:tr>
      <w:tr w:rsidR="004418C0" w:rsidRPr="00AA39A2" w14:paraId="684F3822" w14:textId="77777777" w:rsidTr="00A257C1">
        <w:trPr>
          <w:trHeight w:val="315"/>
        </w:trPr>
        <w:tc>
          <w:tcPr>
            <w:tcW w:w="1001" w:type="dxa"/>
            <w:tcBorders>
              <w:bottom w:val="single" w:sz="4" w:space="0" w:color="auto"/>
            </w:tcBorders>
            <w:tcMar>
              <w:top w:w="30" w:type="dxa"/>
              <w:left w:w="45" w:type="dxa"/>
              <w:bottom w:w="30" w:type="dxa"/>
              <w:right w:w="45" w:type="dxa"/>
            </w:tcMar>
            <w:vAlign w:val="bottom"/>
            <w:hideMark/>
          </w:tcPr>
          <w:p w14:paraId="7AF3562C" w14:textId="77777777" w:rsidR="004418C0" w:rsidRPr="00AA39A2" w:rsidRDefault="004418C0" w:rsidP="00006718">
            <w:pPr>
              <w:spacing w:line="360" w:lineRule="auto"/>
              <w:jc w:val="center"/>
            </w:pPr>
            <w:r w:rsidRPr="00AA39A2">
              <w:t>F3</w:t>
            </w:r>
          </w:p>
        </w:tc>
        <w:tc>
          <w:tcPr>
            <w:tcW w:w="870" w:type="dxa"/>
            <w:tcBorders>
              <w:bottom w:val="single" w:sz="4" w:space="0" w:color="auto"/>
            </w:tcBorders>
            <w:tcMar>
              <w:top w:w="30" w:type="dxa"/>
              <w:left w:w="45" w:type="dxa"/>
              <w:bottom w:w="30" w:type="dxa"/>
              <w:right w:w="45" w:type="dxa"/>
            </w:tcMar>
            <w:vAlign w:val="bottom"/>
            <w:hideMark/>
          </w:tcPr>
          <w:p w14:paraId="643DE206" w14:textId="77777777" w:rsidR="004418C0" w:rsidRPr="00AA39A2" w:rsidRDefault="004418C0" w:rsidP="00006718">
            <w:pPr>
              <w:spacing w:line="360" w:lineRule="auto"/>
              <w:jc w:val="center"/>
            </w:pPr>
            <w:r w:rsidRPr="00AA39A2">
              <w:t>-</w:t>
            </w:r>
          </w:p>
        </w:tc>
        <w:tc>
          <w:tcPr>
            <w:tcW w:w="4941" w:type="dxa"/>
            <w:tcBorders>
              <w:bottom w:val="single" w:sz="4" w:space="0" w:color="auto"/>
            </w:tcBorders>
            <w:tcMar>
              <w:top w:w="30" w:type="dxa"/>
              <w:left w:w="45" w:type="dxa"/>
              <w:bottom w:w="30" w:type="dxa"/>
              <w:right w:w="45" w:type="dxa"/>
            </w:tcMar>
            <w:vAlign w:val="bottom"/>
            <w:hideMark/>
          </w:tcPr>
          <w:p w14:paraId="3514ECC0" w14:textId="77777777" w:rsidR="004418C0" w:rsidRPr="00AA39A2" w:rsidRDefault="004418C0" w:rsidP="00EB16E1">
            <w:pPr>
              <w:spacing w:line="360" w:lineRule="auto"/>
              <w:jc w:val="center"/>
            </w:pPr>
            <w:r w:rsidRPr="00AA39A2">
              <w:t>Cendres (16,91%), Ca (10,40%), Protéines (7,65%), Énergie (6,70%), Ratio Amylose/Amylopectine (6,30%)</w:t>
            </w:r>
          </w:p>
        </w:tc>
        <w:tc>
          <w:tcPr>
            <w:tcW w:w="2724" w:type="dxa"/>
            <w:tcBorders>
              <w:bottom w:val="single" w:sz="4" w:space="0" w:color="auto"/>
            </w:tcBorders>
            <w:tcMar>
              <w:top w:w="30" w:type="dxa"/>
              <w:left w:w="0" w:type="dxa"/>
              <w:bottom w:w="30" w:type="dxa"/>
              <w:right w:w="0" w:type="dxa"/>
            </w:tcMar>
            <w:vAlign w:val="bottom"/>
            <w:hideMark/>
          </w:tcPr>
          <w:p w14:paraId="7ECB6327" w14:textId="77FED12D" w:rsidR="004418C0" w:rsidRPr="00AA39A2" w:rsidRDefault="00A20643" w:rsidP="00EB16E1">
            <w:pPr>
              <w:spacing w:line="360" w:lineRule="auto"/>
              <w:jc w:val="center"/>
              <w:rPr>
                <w:b/>
                <w:bCs/>
              </w:rPr>
            </w:pPr>
            <w:r w:rsidRPr="00A20643">
              <w:rPr>
                <w:b/>
                <w:bCs/>
              </w:rPr>
              <w:t>Axis of Structure and Ashes</w:t>
            </w:r>
          </w:p>
        </w:tc>
        <w:tc>
          <w:tcPr>
            <w:tcW w:w="20" w:type="dxa"/>
            <w:tcBorders>
              <w:bottom w:val="single" w:sz="4" w:space="0" w:color="auto"/>
            </w:tcBorders>
          </w:tcPr>
          <w:p w14:paraId="5BA7D477" w14:textId="77777777" w:rsidR="004418C0" w:rsidRPr="00AA39A2" w:rsidRDefault="004418C0" w:rsidP="007F4489">
            <w:pPr>
              <w:spacing w:line="360" w:lineRule="auto"/>
              <w:jc w:val="both"/>
            </w:pPr>
          </w:p>
        </w:tc>
        <w:tc>
          <w:tcPr>
            <w:tcW w:w="109" w:type="dxa"/>
            <w:tcBorders>
              <w:bottom w:val="single" w:sz="4" w:space="0" w:color="auto"/>
            </w:tcBorders>
            <w:tcMar>
              <w:top w:w="30" w:type="dxa"/>
              <w:left w:w="45" w:type="dxa"/>
              <w:bottom w:w="30" w:type="dxa"/>
              <w:right w:w="45" w:type="dxa"/>
            </w:tcMar>
            <w:vAlign w:val="bottom"/>
            <w:hideMark/>
          </w:tcPr>
          <w:p w14:paraId="508EB877" w14:textId="77777777" w:rsidR="004418C0" w:rsidRPr="00AA39A2" w:rsidRDefault="004418C0" w:rsidP="007F4489">
            <w:pPr>
              <w:spacing w:line="360" w:lineRule="auto"/>
              <w:jc w:val="both"/>
            </w:pPr>
          </w:p>
        </w:tc>
        <w:tc>
          <w:tcPr>
            <w:tcW w:w="0" w:type="auto"/>
            <w:tcMar>
              <w:top w:w="30" w:type="dxa"/>
              <w:left w:w="45" w:type="dxa"/>
              <w:bottom w:w="30" w:type="dxa"/>
              <w:right w:w="45" w:type="dxa"/>
            </w:tcMar>
            <w:vAlign w:val="bottom"/>
            <w:hideMark/>
          </w:tcPr>
          <w:p w14:paraId="0E4781E7" w14:textId="77777777" w:rsidR="004418C0" w:rsidRPr="00AA39A2" w:rsidRDefault="004418C0" w:rsidP="007F4489">
            <w:pPr>
              <w:spacing w:line="360" w:lineRule="auto"/>
              <w:jc w:val="both"/>
            </w:pPr>
          </w:p>
        </w:tc>
      </w:tr>
    </w:tbl>
    <w:p w14:paraId="4229598D" w14:textId="77777777" w:rsidR="004418C0" w:rsidRPr="00AA39A2" w:rsidRDefault="004418C0" w:rsidP="004418C0">
      <w:pPr>
        <w:spacing w:line="360" w:lineRule="auto"/>
        <w:jc w:val="both"/>
      </w:pPr>
    </w:p>
    <w:p w14:paraId="7527C60F" w14:textId="77777777" w:rsidR="00B34504" w:rsidRPr="00CC36F1" w:rsidRDefault="00B34504" w:rsidP="00B34504">
      <w:pPr>
        <w:spacing w:line="360" w:lineRule="auto"/>
        <w:jc w:val="both"/>
        <w:rPr>
          <w:b/>
          <w:bCs/>
          <w:color w:val="000000"/>
          <w:lang w:val="en-GB"/>
        </w:rPr>
      </w:pPr>
      <w:r w:rsidRPr="00CC36F1">
        <w:rPr>
          <w:b/>
          <w:bCs/>
          <w:color w:val="000000"/>
          <w:lang w:val="en-GB"/>
        </w:rPr>
        <w:t>III.5. Statistical Analysis: PCA and AHC Interpretation</w:t>
      </w:r>
    </w:p>
    <w:p w14:paraId="11E632E6" w14:textId="0FDBE33A" w:rsidR="00B34504" w:rsidRPr="00CC36F1" w:rsidRDefault="00B34504" w:rsidP="00B34504">
      <w:pPr>
        <w:spacing w:line="360" w:lineRule="auto"/>
        <w:jc w:val="both"/>
        <w:rPr>
          <w:color w:val="000000"/>
          <w:lang w:val="en-GB"/>
        </w:rPr>
      </w:pPr>
      <w:r w:rsidRPr="00CC36F1">
        <w:rPr>
          <w:color w:val="000000"/>
          <w:lang w:val="en-GB"/>
        </w:rPr>
        <w:lastRenderedPageBreak/>
        <w:t xml:space="preserve">Principal Component Analysis (PCA) was applied to investigate the associations between physicochemical properties (variables) and the different samples (observations). Agglomerative Hierarchical Clustering (AHC), used to group observations based on their physicochemical affinities, identified three distinct classes (Table VI). Correlation by small groups reveals that samples from Dba, </w:t>
      </w:r>
      <w:proofErr w:type="spellStart"/>
      <w:r w:rsidRPr="00CC36F1">
        <w:rPr>
          <w:color w:val="000000"/>
          <w:lang w:val="en-GB"/>
        </w:rPr>
        <w:t>Bbj</w:t>
      </w:r>
      <w:proofErr w:type="spellEnd"/>
      <w:r w:rsidRPr="00CC36F1">
        <w:rPr>
          <w:color w:val="000000"/>
          <w:lang w:val="en-GB"/>
        </w:rPr>
        <w:t xml:space="preserve">, </w:t>
      </w:r>
      <w:proofErr w:type="spellStart"/>
      <w:r w:rsidRPr="00CC36F1">
        <w:rPr>
          <w:color w:val="000000"/>
          <w:lang w:val="en-GB"/>
        </w:rPr>
        <w:t>Kmr</w:t>
      </w:r>
      <w:proofErr w:type="spellEnd"/>
      <w:r w:rsidRPr="00CC36F1">
        <w:rPr>
          <w:color w:val="000000"/>
          <w:lang w:val="en-GB"/>
        </w:rPr>
        <w:t xml:space="preserve">, </w:t>
      </w:r>
      <w:proofErr w:type="spellStart"/>
      <w:r w:rsidRPr="00CC36F1">
        <w:rPr>
          <w:color w:val="000000"/>
          <w:lang w:val="en-GB"/>
        </w:rPr>
        <w:t>Mdou</w:t>
      </w:r>
      <w:proofErr w:type="spellEnd"/>
      <w:r w:rsidRPr="00CC36F1">
        <w:rPr>
          <w:color w:val="000000"/>
          <w:lang w:val="en-GB"/>
        </w:rPr>
        <w:t xml:space="preserve">, and </w:t>
      </w:r>
      <w:proofErr w:type="spellStart"/>
      <w:r w:rsidRPr="00CC36F1">
        <w:rPr>
          <w:color w:val="000000"/>
          <w:lang w:val="en-GB"/>
        </w:rPr>
        <w:t>Bgr</w:t>
      </w:r>
      <w:proofErr w:type="spellEnd"/>
      <w:r w:rsidRPr="00CC36F1">
        <w:rPr>
          <w:color w:val="000000"/>
          <w:lang w:val="en-GB"/>
        </w:rPr>
        <w:t xml:space="preserve"> form Classes 1, 1, 2, 2, and 3, respectively. These findings align with </w:t>
      </w:r>
      <w:r w:rsidRPr="00CC36F1">
        <w:rPr>
          <w:b/>
          <w:bCs/>
          <w:color w:val="000000"/>
          <w:lang w:val="en-GB"/>
        </w:rPr>
        <w:t xml:space="preserve">Kameni </w:t>
      </w:r>
      <w:r w:rsidRPr="00CC36F1">
        <w:rPr>
          <w:b/>
          <w:bCs/>
          <w:i/>
          <w:iCs/>
          <w:color w:val="000000"/>
          <w:lang w:val="en-GB"/>
        </w:rPr>
        <w:t>et al.</w:t>
      </w:r>
      <w:r w:rsidRPr="00CC36F1">
        <w:rPr>
          <w:b/>
          <w:bCs/>
          <w:color w:val="000000"/>
          <w:lang w:val="en-GB"/>
        </w:rPr>
        <w:t xml:space="preserve"> (</w:t>
      </w:r>
      <w:proofErr w:type="gramStart"/>
      <w:r w:rsidR="00876766" w:rsidRPr="00CC36F1">
        <w:rPr>
          <w:b/>
          <w:bCs/>
          <w:color w:val="000000"/>
          <w:lang w:val="en-GB"/>
        </w:rPr>
        <w:t>2002 ;</w:t>
      </w:r>
      <w:proofErr w:type="gramEnd"/>
      <w:r w:rsidRPr="00CC36F1">
        <w:rPr>
          <w:b/>
          <w:bCs/>
          <w:color w:val="000000"/>
          <w:lang w:val="en-GB"/>
        </w:rPr>
        <w:t xml:space="preserve"> 2003)</w:t>
      </w:r>
      <w:r w:rsidRPr="00CC36F1">
        <w:rPr>
          <w:color w:val="000000"/>
          <w:lang w:val="en-GB"/>
        </w:rPr>
        <w:t>, who reported similarities in the physicochemical composition of dried mangoes across different varieties at varying stages of commercial maturity.</w:t>
      </w:r>
    </w:p>
    <w:p w14:paraId="473B685D" w14:textId="77777777" w:rsidR="00B34504" w:rsidRPr="00CC36F1" w:rsidRDefault="00B34504" w:rsidP="00B34504">
      <w:pPr>
        <w:spacing w:line="360" w:lineRule="auto"/>
        <w:jc w:val="both"/>
        <w:rPr>
          <w:color w:val="000000"/>
          <w:lang w:val="en-GB"/>
        </w:rPr>
      </w:pPr>
      <w:r w:rsidRPr="00CC36F1">
        <w:rPr>
          <w:color w:val="000000"/>
          <w:lang w:val="en-GB"/>
        </w:rPr>
        <w:t xml:space="preserve">Furthermore, Table VI reveals that observations Dba, </w:t>
      </w:r>
      <w:proofErr w:type="spellStart"/>
      <w:r w:rsidRPr="00CC36F1">
        <w:rPr>
          <w:color w:val="000000"/>
          <w:lang w:val="en-GB"/>
        </w:rPr>
        <w:t>Bbj</w:t>
      </w:r>
      <w:proofErr w:type="spellEnd"/>
      <w:r w:rsidRPr="00CC36F1">
        <w:rPr>
          <w:color w:val="000000"/>
          <w:lang w:val="en-GB"/>
        </w:rPr>
        <w:t xml:space="preserve">, and </w:t>
      </w:r>
      <w:proofErr w:type="spellStart"/>
      <w:r w:rsidRPr="00CC36F1">
        <w:rPr>
          <w:color w:val="000000"/>
          <w:lang w:val="en-GB"/>
        </w:rPr>
        <w:t>Bgr</w:t>
      </w:r>
      <w:proofErr w:type="spellEnd"/>
      <w:r w:rsidRPr="00CC36F1">
        <w:rPr>
          <w:color w:val="000000"/>
          <w:lang w:val="en-GB"/>
        </w:rPr>
        <w:t xml:space="preserve"> contribute primarily to the F1 axis, Mdou to the F2 axis, and </w:t>
      </w:r>
      <w:proofErr w:type="spellStart"/>
      <w:r w:rsidRPr="00CC36F1">
        <w:rPr>
          <w:color w:val="000000"/>
          <w:lang w:val="en-GB"/>
        </w:rPr>
        <w:t>Kmr</w:t>
      </w:r>
      <w:proofErr w:type="spellEnd"/>
      <w:r w:rsidRPr="00CC36F1">
        <w:rPr>
          <w:color w:val="000000"/>
          <w:lang w:val="en-GB"/>
        </w:rPr>
        <w:t xml:space="preserve"> to the F3 axis. These results suggest that the physicochemical variables responsible for the formation of these axes are not significantly different.</w:t>
      </w:r>
    </w:p>
    <w:p w14:paraId="4D1F8436" w14:textId="77777777" w:rsidR="00B34504" w:rsidRPr="00CC36F1" w:rsidRDefault="00B34504" w:rsidP="00B34504">
      <w:pPr>
        <w:spacing w:line="360" w:lineRule="auto"/>
        <w:jc w:val="both"/>
        <w:rPr>
          <w:color w:val="000000"/>
          <w:lang w:val="en-GB"/>
        </w:rPr>
      </w:pPr>
      <w:r w:rsidRPr="00CC36F1">
        <w:rPr>
          <w:color w:val="000000"/>
          <w:lang w:val="en-GB"/>
        </w:rPr>
        <w:t xml:space="preserve">The contribution of variables to the formation of the different axes is presented in Table VI. It shows that vitamin C, reducing sugars, starch, amylose, amylopectin, the amylose/amylopectin ratio, protein, and ions such as Mg, Ca, Na, and K are correlated with samples Dba, </w:t>
      </w:r>
      <w:proofErr w:type="spellStart"/>
      <w:r w:rsidRPr="00CC36F1">
        <w:rPr>
          <w:color w:val="000000"/>
          <w:lang w:val="en-GB"/>
        </w:rPr>
        <w:t>Bbj</w:t>
      </w:r>
      <w:proofErr w:type="spellEnd"/>
      <w:r w:rsidRPr="00CC36F1">
        <w:rPr>
          <w:color w:val="000000"/>
          <w:lang w:val="en-GB"/>
        </w:rPr>
        <w:t xml:space="preserve">, and </w:t>
      </w:r>
      <w:proofErr w:type="spellStart"/>
      <w:r w:rsidRPr="00CC36F1">
        <w:rPr>
          <w:color w:val="000000"/>
          <w:lang w:val="en-GB"/>
        </w:rPr>
        <w:t>Bgr</w:t>
      </w:r>
      <w:proofErr w:type="spellEnd"/>
      <w:r w:rsidRPr="00CC36F1">
        <w:rPr>
          <w:color w:val="000000"/>
          <w:lang w:val="en-GB"/>
        </w:rPr>
        <w:t>, contributing to the formation of axis F1. Specifically, samples from Bongor exhibited the highest nutrient levels, likely due to superior production and storage conditions.</w:t>
      </w:r>
    </w:p>
    <w:p w14:paraId="4D1FEFF2" w14:textId="77777777" w:rsidR="00B34504" w:rsidRPr="00CC36F1" w:rsidRDefault="00B34504" w:rsidP="00B34504">
      <w:pPr>
        <w:spacing w:line="360" w:lineRule="auto"/>
        <w:jc w:val="both"/>
        <w:rPr>
          <w:color w:val="000000"/>
          <w:lang w:val="en-GB"/>
        </w:rPr>
      </w:pPr>
      <w:r w:rsidRPr="00CC36F1">
        <w:rPr>
          <w:color w:val="000000"/>
          <w:lang w:val="en-GB"/>
        </w:rPr>
        <w:t xml:space="preserve">Total carotenoids, moisture, lipids, </w:t>
      </w:r>
      <w:proofErr w:type="spellStart"/>
      <w:r w:rsidRPr="00CC36F1">
        <w:rPr>
          <w:color w:val="000000"/>
          <w:lang w:val="en-GB"/>
        </w:rPr>
        <w:t>fiber</w:t>
      </w:r>
      <w:proofErr w:type="spellEnd"/>
      <w:r w:rsidRPr="00CC36F1">
        <w:rPr>
          <w:color w:val="000000"/>
          <w:lang w:val="en-GB"/>
        </w:rPr>
        <w:t xml:space="preserve">, total carbohydrates, and iron, as well as </w:t>
      </w:r>
      <w:r w:rsidRPr="00CC36F1">
        <w:rPr>
          <w:b/>
          <w:bCs/>
          <w:color w:val="000000"/>
          <w:lang w:val="en-GB"/>
        </w:rPr>
        <w:t>e</w:t>
      </w:r>
      <w:r w:rsidRPr="00CC36F1">
        <w:rPr>
          <w:color w:val="000000"/>
          <w:lang w:val="en-GB"/>
        </w:rPr>
        <w:t xml:space="preserve">nergy density, are responsible for the formation of axis F2. Notably, the </w:t>
      </w:r>
      <w:proofErr w:type="spellStart"/>
      <w:r w:rsidRPr="00CC36F1">
        <w:rPr>
          <w:color w:val="000000"/>
          <w:lang w:val="en-GB"/>
        </w:rPr>
        <w:t>Moundou</w:t>
      </w:r>
      <w:proofErr w:type="spellEnd"/>
      <w:r w:rsidRPr="00CC36F1">
        <w:rPr>
          <w:color w:val="000000"/>
          <w:lang w:val="en-GB"/>
        </w:rPr>
        <w:t xml:space="preserve"> sample is characterized by high carotenoid and moisture content, resulting from its advanced stage of maturity. Finally, ash content and the Ca/Mg ratio drive the formation of axis F3. The AHC of the physicochemical parameters revealed seven classes, allowing for the correlation of variables with one another.</w:t>
      </w:r>
    </w:p>
    <w:p w14:paraId="1C799712" w14:textId="77777777" w:rsidR="004418C0" w:rsidRPr="00CC36F1" w:rsidRDefault="004418C0" w:rsidP="004418C0">
      <w:pPr>
        <w:spacing w:line="360" w:lineRule="auto"/>
        <w:jc w:val="both"/>
        <w:rPr>
          <w:lang w:val="en-GB"/>
        </w:rPr>
      </w:pPr>
    </w:p>
    <w:p w14:paraId="76AA37F8" w14:textId="77777777" w:rsidR="00B34504" w:rsidRPr="00EC7831" w:rsidRDefault="00B34504" w:rsidP="00B34504">
      <w:pPr>
        <w:spacing w:after="160" w:line="360" w:lineRule="auto"/>
        <w:jc w:val="both"/>
        <w:rPr>
          <w:b/>
          <w:bCs/>
          <w:lang w:val="en-GB"/>
        </w:rPr>
      </w:pPr>
      <w:bookmarkStart w:id="6" w:name="_Toc167947292"/>
      <w:bookmarkStart w:id="7" w:name="_Hlk166498177"/>
      <w:bookmarkStart w:id="8" w:name="_Toc166659552"/>
      <w:bookmarkStart w:id="9" w:name="_Toc167374533"/>
      <w:bookmarkStart w:id="10" w:name="_Toc166659553"/>
      <w:bookmarkStart w:id="11" w:name="_Toc167374534"/>
      <w:bookmarkStart w:id="12" w:name="_Toc167947293"/>
      <w:bookmarkEnd w:id="6"/>
      <w:bookmarkEnd w:id="7"/>
      <w:bookmarkEnd w:id="8"/>
      <w:bookmarkEnd w:id="9"/>
      <w:bookmarkEnd w:id="10"/>
      <w:bookmarkEnd w:id="11"/>
      <w:bookmarkEnd w:id="12"/>
      <w:r w:rsidRPr="00EC7831">
        <w:rPr>
          <w:b/>
          <w:bCs/>
          <w:lang w:val="en-GB"/>
        </w:rPr>
        <w:t>CONCLUSION</w:t>
      </w:r>
    </w:p>
    <w:p w14:paraId="7B322B36" w14:textId="77777777" w:rsidR="00B34504" w:rsidRPr="00CC36F1" w:rsidRDefault="00B34504" w:rsidP="00B34504">
      <w:pPr>
        <w:spacing w:after="160" w:line="360" w:lineRule="auto"/>
        <w:jc w:val="both"/>
        <w:rPr>
          <w:lang w:val="en-GB"/>
        </w:rPr>
      </w:pPr>
      <w:r w:rsidRPr="00CC36F1">
        <w:rPr>
          <w:lang w:val="en-GB"/>
        </w:rPr>
        <w:t xml:space="preserve">This study demonstrates that </w:t>
      </w:r>
      <w:proofErr w:type="spellStart"/>
      <w:r w:rsidRPr="00CC36F1">
        <w:rPr>
          <w:lang w:val="en-GB"/>
        </w:rPr>
        <w:t>artisanally</w:t>
      </w:r>
      <w:proofErr w:type="spellEnd"/>
      <w:r w:rsidRPr="00CC36F1">
        <w:rPr>
          <w:lang w:val="en-GB"/>
        </w:rPr>
        <w:t xml:space="preserve"> produced dried mango in Chad possesses significant nutritional assets, often exceeding values reported in international literature for similar products.</w:t>
      </w:r>
    </w:p>
    <w:p w14:paraId="4EB0BC37" w14:textId="091519E4" w:rsidR="00B34504" w:rsidRPr="00CC36F1" w:rsidRDefault="00B34504" w:rsidP="00B34504">
      <w:pPr>
        <w:spacing w:after="160" w:line="360" w:lineRule="auto"/>
        <w:jc w:val="both"/>
        <w:rPr>
          <w:lang w:val="en-GB"/>
        </w:rPr>
      </w:pPr>
      <w:r w:rsidRPr="00CC36F1">
        <w:rPr>
          <w:lang w:val="en-GB"/>
        </w:rPr>
        <w:t xml:space="preserve">Energy and Macronutrient </w:t>
      </w:r>
      <w:proofErr w:type="gramStart"/>
      <w:r w:rsidR="00876766" w:rsidRPr="00CC36F1">
        <w:rPr>
          <w:lang w:val="en-GB"/>
        </w:rPr>
        <w:t>Profile :</w:t>
      </w:r>
      <w:proofErr w:type="gramEnd"/>
      <w:r w:rsidRPr="00CC36F1">
        <w:rPr>
          <w:lang w:val="en-GB"/>
        </w:rPr>
        <w:t xml:space="preserve"> With a caloric value exceeding 451 kcal/100 g and a protein content reaching 3.9%, the product serves as a robust base for combating protein-energy malnutrition. However, the high amylose/amylopectin ratio (5.20 to 9.16) indicates a need to control cooking methods to ensure a viscosity suitable for young children.</w:t>
      </w:r>
    </w:p>
    <w:p w14:paraId="6D315EB9" w14:textId="509D4F63" w:rsidR="00B34504" w:rsidRPr="00CC36F1" w:rsidRDefault="00B34504" w:rsidP="00B34504">
      <w:pPr>
        <w:spacing w:after="160" w:line="360" w:lineRule="auto"/>
        <w:jc w:val="both"/>
        <w:rPr>
          <w:lang w:val="en-GB"/>
        </w:rPr>
      </w:pPr>
      <w:r w:rsidRPr="00CC36F1">
        <w:rPr>
          <w:lang w:val="en-GB"/>
        </w:rPr>
        <w:lastRenderedPageBreak/>
        <w:t xml:space="preserve">Micronutrient </w:t>
      </w:r>
      <w:proofErr w:type="gramStart"/>
      <w:r w:rsidR="00876766" w:rsidRPr="00CC36F1">
        <w:rPr>
          <w:lang w:val="en-GB"/>
        </w:rPr>
        <w:t>Potential :</w:t>
      </w:r>
      <w:proofErr w:type="gramEnd"/>
      <w:r w:rsidRPr="00CC36F1">
        <w:rPr>
          <w:lang w:val="en-GB"/>
        </w:rPr>
        <w:t xml:space="preserve"> The remarkable stability of vitamin C and carotenoids across different production sites (p &gt; 0.05) testifies to artisanal expertise capable of preserving antioxidant compounds despite rudimentary drying conditions. The richness in iron (1.79 mg/100 g in Bongor) and calcium further reinforces its role in addressing "hidden hunger."</w:t>
      </w:r>
    </w:p>
    <w:p w14:paraId="1A0BC9C2" w14:textId="76E90A57" w:rsidR="00B34504" w:rsidRPr="00CC36F1" w:rsidRDefault="00B34504" w:rsidP="00B34504">
      <w:pPr>
        <w:spacing w:after="160" w:line="360" w:lineRule="auto"/>
        <w:jc w:val="both"/>
        <w:rPr>
          <w:lang w:val="en-GB"/>
        </w:rPr>
      </w:pPr>
      <w:r w:rsidRPr="00CC36F1">
        <w:rPr>
          <w:lang w:val="en-GB"/>
        </w:rPr>
        <w:t xml:space="preserve">Technical </w:t>
      </w:r>
      <w:proofErr w:type="gramStart"/>
      <w:r w:rsidR="00876766" w:rsidRPr="00CC36F1">
        <w:rPr>
          <w:lang w:val="en-GB"/>
        </w:rPr>
        <w:t>Perspectives :</w:t>
      </w:r>
      <w:proofErr w:type="gramEnd"/>
      <w:r w:rsidRPr="00CC36F1">
        <w:rPr>
          <w:lang w:val="en-GB"/>
        </w:rPr>
        <w:t xml:space="preserve"> The primary critical point identified is the residual moisture (&gt; 15% in certain areas), which exceeds microbiological stability limits. Optimizing solar dryers (improving airflow) and standardizing pre-treatments are imperative to extend shelf-life beyond six months.</w:t>
      </w:r>
    </w:p>
    <w:p w14:paraId="5147D657" w14:textId="77777777" w:rsidR="00B34504" w:rsidRPr="00CC36F1" w:rsidRDefault="00B34504" w:rsidP="00B34504">
      <w:pPr>
        <w:spacing w:after="160" w:line="360" w:lineRule="auto"/>
        <w:jc w:val="both"/>
        <w:rPr>
          <w:lang w:val="en-GB"/>
        </w:rPr>
      </w:pPr>
      <w:r w:rsidRPr="00CC36F1">
        <w:rPr>
          <w:lang w:val="en-GB"/>
        </w:rPr>
        <w:t xml:space="preserve">In summary, the </w:t>
      </w:r>
      <w:proofErr w:type="spellStart"/>
      <w:r w:rsidRPr="00CC36F1">
        <w:rPr>
          <w:lang w:val="en-GB"/>
        </w:rPr>
        <w:t>valorization</w:t>
      </w:r>
      <w:proofErr w:type="spellEnd"/>
      <w:r w:rsidRPr="00CC36F1">
        <w:rPr>
          <w:lang w:val="en-GB"/>
        </w:rPr>
        <w:t xml:space="preserve"> of mango through drying in Chad should no longer be viewed merely as a post-harvest salvage method, but as a genuine production sector for functional foods. Integrating this resource into national nutrition programs would transform a post-harvest challenge into a sustainable solution for national food sovereignty.</w:t>
      </w:r>
    </w:p>
    <w:p w14:paraId="67B30625" w14:textId="6BA7F40A" w:rsidR="004418C0" w:rsidRPr="00CC36F1" w:rsidRDefault="004418C0" w:rsidP="004418C0">
      <w:pPr>
        <w:spacing w:after="160" w:line="360" w:lineRule="auto"/>
        <w:jc w:val="both"/>
        <w:rPr>
          <w:lang w:val="en-GB"/>
        </w:rPr>
      </w:pPr>
      <w:r w:rsidRPr="00CC36F1">
        <w:rPr>
          <w:lang w:val="en-GB"/>
        </w:rPr>
        <w:br w:type="page"/>
      </w:r>
      <w:r w:rsidR="00B44075" w:rsidRPr="00CC36F1">
        <w:rPr>
          <w:b/>
          <w:bCs/>
          <w:lang w:val="en-GB"/>
        </w:rPr>
        <w:lastRenderedPageBreak/>
        <w:t>REFERENCES</w:t>
      </w:r>
    </w:p>
    <w:p w14:paraId="070155B3" w14:textId="77777777" w:rsidR="00DC37B9" w:rsidRPr="00CC36F1" w:rsidRDefault="00DC37B9" w:rsidP="004418C0">
      <w:pPr>
        <w:spacing w:line="360" w:lineRule="auto"/>
        <w:ind w:left="709" w:hanging="709"/>
        <w:jc w:val="both"/>
        <w:rPr>
          <w:b/>
          <w:bCs/>
          <w:lang w:val="en-GB"/>
        </w:rPr>
      </w:pPr>
      <w:r w:rsidRPr="00CC36F1">
        <w:rPr>
          <w:b/>
          <w:bCs/>
          <w:lang w:val="en-GB"/>
        </w:rPr>
        <w:t xml:space="preserve">Aboubakar, A., </w:t>
      </w:r>
      <w:proofErr w:type="spellStart"/>
      <w:r w:rsidRPr="00CC36F1">
        <w:rPr>
          <w:b/>
          <w:bCs/>
          <w:lang w:val="en-GB"/>
        </w:rPr>
        <w:t>Njintang</w:t>
      </w:r>
      <w:proofErr w:type="spellEnd"/>
      <w:r w:rsidRPr="00CC36F1">
        <w:rPr>
          <w:b/>
          <w:bCs/>
          <w:lang w:val="en-GB"/>
        </w:rPr>
        <w:t xml:space="preserve">, Y. N., Scher, J., &amp; </w:t>
      </w:r>
      <w:proofErr w:type="spellStart"/>
      <w:r w:rsidRPr="00CC36F1">
        <w:rPr>
          <w:b/>
          <w:bCs/>
          <w:lang w:val="en-GB"/>
        </w:rPr>
        <w:t>Mbofung</w:t>
      </w:r>
      <w:proofErr w:type="spellEnd"/>
      <w:r w:rsidRPr="00CC36F1">
        <w:rPr>
          <w:b/>
          <w:bCs/>
          <w:lang w:val="en-GB"/>
        </w:rPr>
        <w:t>, C. M. (2009</w:t>
      </w:r>
      <w:r w:rsidRPr="00CC36F1">
        <w:rPr>
          <w:lang w:val="en-GB"/>
        </w:rPr>
        <w:t>). Physicochemical, thermal properties and microstructure of six varieties of taro (</w:t>
      </w:r>
      <w:r w:rsidRPr="00CC36F1">
        <w:rPr>
          <w:i/>
          <w:iCs/>
          <w:lang w:val="en-GB"/>
        </w:rPr>
        <w:t>Colocasia esculenta</w:t>
      </w:r>
      <w:r w:rsidRPr="00CC36F1">
        <w:rPr>
          <w:lang w:val="en-GB"/>
        </w:rPr>
        <w:t xml:space="preserve"> L. Schott) flours and starches. </w:t>
      </w:r>
      <w:r w:rsidRPr="00CC36F1">
        <w:rPr>
          <w:i/>
          <w:iCs/>
          <w:lang w:val="en-GB"/>
        </w:rPr>
        <w:t>Journal of Food Engineering</w:t>
      </w:r>
      <w:r w:rsidRPr="00CC36F1">
        <w:rPr>
          <w:lang w:val="en-GB"/>
        </w:rPr>
        <w:t>, 86(2), 294-</w:t>
      </w:r>
      <w:r w:rsidRPr="00CC36F1">
        <w:rPr>
          <w:b/>
          <w:bCs/>
          <w:lang w:val="en-GB"/>
        </w:rPr>
        <w:t>305.</w:t>
      </w:r>
    </w:p>
    <w:p w14:paraId="5941700B" w14:textId="77777777" w:rsidR="00DC37B9" w:rsidRPr="00CC36F1" w:rsidRDefault="00DC37B9" w:rsidP="004418C0">
      <w:pPr>
        <w:spacing w:line="360" w:lineRule="auto"/>
        <w:ind w:left="709" w:hanging="709"/>
        <w:jc w:val="both"/>
        <w:rPr>
          <w:lang w:val="en-GB"/>
        </w:rPr>
      </w:pPr>
      <w:proofErr w:type="spellStart"/>
      <w:r w:rsidRPr="00CC36F1">
        <w:rPr>
          <w:b/>
          <w:bCs/>
          <w:lang w:val="en-GB"/>
        </w:rPr>
        <w:t>Amanor-Atiemoh</w:t>
      </w:r>
      <w:proofErr w:type="spellEnd"/>
      <w:r w:rsidRPr="00CC36F1">
        <w:rPr>
          <w:b/>
          <w:bCs/>
          <w:lang w:val="en-GB"/>
        </w:rPr>
        <w:t xml:space="preserve">, R., Zhou, C., Golly, M. K., Sarpong, F., Yaw </w:t>
      </w:r>
      <w:proofErr w:type="spellStart"/>
      <w:r w:rsidRPr="00CC36F1">
        <w:rPr>
          <w:b/>
          <w:bCs/>
          <w:lang w:val="en-GB"/>
        </w:rPr>
        <w:t>Amagloh</w:t>
      </w:r>
      <w:proofErr w:type="spellEnd"/>
      <w:r w:rsidRPr="00CC36F1">
        <w:rPr>
          <w:b/>
          <w:bCs/>
          <w:lang w:val="en-GB"/>
        </w:rPr>
        <w:t xml:space="preserve">, F., &amp; </w:t>
      </w:r>
      <w:proofErr w:type="spellStart"/>
      <w:r w:rsidRPr="00CC36F1">
        <w:rPr>
          <w:b/>
          <w:bCs/>
          <w:lang w:val="en-GB"/>
        </w:rPr>
        <w:t>Wahia</w:t>
      </w:r>
      <w:proofErr w:type="spellEnd"/>
      <w:r w:rsidRPr="00CC36F1">
        <w:rPr>
          <w:b/>
          <w:bCs/>
          <w:lang w:val="en-GB"/>
        </w:rPr>
        <w:t>, H. (2020).</w:t>
      </w:r>
      <w:r w:rsidRPr="00CC36F1">
        <w:rPr>
          <w:lang w:val="en-GB"/>
        </w:rPr>
        <w:t xml:space="preserve"> Impact of different drying methods on the nutritional and physicochemical properties of mango slices. </w:t>
      </w:r>
      <w:r w:rsidRPr="00CC36F1">
        <w:rPr>
          <w:i/>
          <w:iCs/>
          <w:lang w:val="en-GB"/>
        </w:rPr>
        <w:t>Journal of Food Processing and Preservation</w:t>
      </w:r>
      <w:r w:rsidRPr="00CC36F1">
        <w:rPr>
          <w:lang w:val="en-GB"/>
        </w:rPr>
        <w:t xml:space="preserve">, </w:t>
      </w:r>
      <w:r w:rsidRPr="00CC36F1">
        <w:rPr>
          <w:i/>
          <w:iCs/>
          <w:lang w:val="en-GB"/>
        </w:rPr>
        <w:t>44</w:t>
      </w:r>
      <w:r w:rsidRPr="00CC36F1">
        <w:rPr>
          <w:lang w:val="en-GB"/>
        </w:rPr>
        <w:t xml:space="preserve">(7), e14502. </w:t>
      </w:r>
      <w:hyperlink r:id="rId8" w:tgtFrame="_blank" w:history="1">
        <w:r w:rsidRPr="00CC36F1">
          <w:rPr>
            <w:rStyle w:val="Hyperlink"/>
            <w:lang w:val="en-GB"/>
          </w:rPr>
          <w:t>https://doi.org/10.1111/jfpp.14502</w:t>
        </w:r>
      </w:hyperlink>
    </w:p>
    <w:p w14:paraId="3E7442CB" w14:textId="77777777" w:rsidR="00DC37B9" w:rsidRPr="00CC36F1" w:rsidRDefault="00DC37B9" w:rsidP="004418C0">
      <w:pPr>
        <w:spacing w:line="360" w:lineRule="auto"/>
        <w:ind w:left="709" w:hanging="709"/>
        <w:jc w:val="both"/>
        <w:rPr>
          <w:b/>
          <w:bCs/>
          <w:lang w:val="en-GB"/>
        </w:rPr>
      </w:pPr>
      <w:r w:rsidRPr="00CC36F1">
        <w:rPr>
          <w:b/>
          <w:bCs/>
          <w:lang w:val="en-GB"/>
        </w:rPr>
        <w:t xml:space="preserve">AOAC. (1990). </w:t>
      </w:r>
      <w:r w:rsidRPr="00CC36F1">
        <w:rPr>
          <w:i/>
          <w:iCs/>
          <w:lang w:val="en-GB"/>
        </w:rPr>
        <w:t>Official Methods of Analysis</w:t>
      </w:r>
      <w:r w:rsidRPr="00CC36F1">
        <w:rPr>
          <w:lang w:val="en-GB"/>
        </w:rPr>
        <w:t>. Association of Official Analytical Chemists, 15th Edition, Washington DC.</w:t>
      </w:r>
    </w:p>
    <w:p w14:paraId="0D3335B3" w14:textId="77777777" w:rsidR="00DC37B9" w:rsidRPr="00CC36F1" w:rsidRDefault="00DC37B9" w:rsidP="004418C0">
      <w:pPr>
        <w:spacing w:line="360" w:lineRule="auto"/>
        <w:ind w:left="709" w:hanging="709"/>
        <w:jc w:val="both"/>
        <w:rPr>
          <w:lang w:val="en-GB"/>
        </w:rPr>
      </w:pPr>
      <w:r w:rsidRPr="00CC36F1">
        <w:rPr>
          <w:b/>
          <w:bCs/>
          <w:lang w:val="en-GB"/>
        </w:rPr>
        <w:t xml:space="preserve">AOAC. (2019). </w:t>
      </w:r>
      <w:r w:rsidRPr="00CC36F1">
        <w:rPr>
          <w:i/>
          <w:iCs/>
          <w:lang w:val="en-GB"/>
        </w:rPr>
        <w:t>Official Methods of Analysis of AOAC International</w:t>
      </w:r>
      <w:r w:rsidRPr="00CC36F1">
        <w:rPr>
          <w:lang w:val="en-GB"/>
        </w:rPr>
        <w:t>. 21st Edition, Gaithersburg, MD, USA.</w:t>
      </w:r>
    </w:p>
    <w:p w14:paraId="009FC03D" w14:textId="77777777" w:rsidR="00DC37B9" w:rsidRPr="00CC36F1" w:rsidRDefault="00DC37B9" w:rsidP="004418C0">
      <w:pPr>
        <w:spacing w:line="360" w:lineRule="auto"/>
        <w:ind w:left="709" w:hanging="709"/>
        <w:jc w:val="both"/>
        <w:rPr>
          <w:b/>
          <w:bCs/>
          <w:lang w:val="en-GB"/>
        </w:rPr>
      </w:pPr>
      <w:proofErr w:type="spellStart"/>
      <w:r w:rsidRPr="00CC36F1">
        <w:rPr>
          <w:b/>
          <w:bCs/>
          <w:lang w:val="en-GB"/>
        </w:rPr>
        <w:t>Bélem</w:t>
      </w:r>
      <w:proofErr w:type="spellEnd"/>
      <w:r w:rsidRPr="00CC36F1">
        <w:rPr>
          <w:b/>
          <w:bCs/>
          <w:lang w:val="en-GB"/>
        </w:rPr>
        <w:t xml:space="preserve">, J., Traoré, Y., Savadogo, A., &amp; Traoré, A. S. (2017). </w:t>
      </w:r>
      <w:r w:rsidRPr="00AA39A2">
        <w:t xml:space="preserve">Évaluation de la qualité nutritionnelle et microbiologique de la mangue séchée produite au Burkina Faso. </w:t>
      </w:r>
      <w:r w:rsidRPr="00CC36F1">
        <w:rPr>
          <w:i/>
          <w:iCs/>
          <w:lang w:val="en-GB"/>
        </w:rPr>
        <w:t>International Journal of Biological and Chemical Sciences</w:t>
      </w:r>
      <w:r w:rsidRPr="00CC36F1">
        <w:rPr>
          <w:lang w:val="en-GB"/>
        </w:rPr>
        <w:t>, 11(1), 414-427.</w:t>
      </w:r>
    </w:p>
    <w:p w14:paraId="0B9E9E15" w14:textId="77777777" w:rsidR="00DC37B9" w:rsidRPr="00AA39A2" w:rsidRDefault="00DC37B9" w:rsidP="004418C0">
      <w:pPr>
        <w:spacing w:line="360" w:lineRule="auto"/>
        <w:ind w:left="709" w:hanging="709"/>
        <w:jc w:val="both"/>
      </w:pPr>
      <w:r w:rsidRPr="00CC36F1">
        <w:rPr>
          <w:b/>
          <w:bCs/>
          <w:lang w:val="en-GB"/>
        </w:rPr>
        <w:t xml:space="preserve">Djantou, E. B., </w:t>
      </w:r>
      <w:proofErr w:type="spellStart"/>
      <w:r w:rsidRPr="00CC36F1">
        <w:rPr>
          <w:b/>
          <w:bCs/>
          <w:lang w:val="en-GB"/>
        </w:rPr>
        <w:t>Mbofung</w:t>
      </w:r>
      <w:proofErr w:type="spellEnd"/>
      <w:r w:rsidRPr="00CC36F1">
        <w:rPr>
          <w:b/>
          <w:bCs/>
          <w:lang w:val="en-GB"/>
        </w:rPr>
        <w:t xml:space="preserve">, C. M., &amp; Scher, J. (2004). </w:t>
      </w:r>
      <w:r w:rsidRPr="00AA39A2">
        <w:t xml:space="preserve">Effet du prétraitement et du mode de séchage sur la cinétique de séchage et la qualité de la poudre de mangue. </w:t>
      </w:r>
      <w:r w:rsidRPr="00AA39A2">
        <w:rPr>
          <w:i/>
          <w:iCs/>
        </w:rPr>
        <w:t>Journal of Food Engineering</w:t>
      </w:r>
      <w:r w:rsidRPr="00AA39A2">
        <w:t>.</w:t>
      </w:r>
    </w:p>
    <w:p w14:paraId="5F234EC4" w14:textId="77777777" w:rsidR="00DC37B9" w:rsidRPr="00AA39A2" w:rsidRDefault="00DC37B9" w:rsidP="004418C0">
      <w:pPr>
        <w:spacing w:line="360" w:lineRule="auto"/>
        <w:ind w:left="709" w:hanging="709"/>
        <w:jc w:val="both"/>
      </w:pPr>
      <w:r w:rsidRPr="00AA39A2">
        <w:rPr>
          <w:b/>
          <w:bCs/>
        </w:rPr>
        <w:t xml:space="preserve">Djioua, T. (2010). </w:t>
      </w:r>
      <w:r w:rsidRPr="00AA39A2">
        <w:rPr>
          <w:i/>
          <w:iCs/>
        </w:rPr>
        <w:t>Optimisation de la conservation de la mangue par traitement thermique et conservation sous atmosphère modifiée</w:t>
      </w:r>
      <w:r w:rsidRPr="00AA39A2">
        <w:t>. (Thèse de Doctorat), Université d'Avignon.</w:t>
      </w:r>
    </w:p>
    <w:p w14:paraId="689190F3" w14:textId="77777777" w:rsidR="00DC37B9" w:rsidRPr="00AA39A2" w:rsidRDefault="00DC37B9" w:rsidP="004418C0">
      <w:pPr>
        <w:spacing w:line="360" w:lineRule="auto"/>
        <w:ind w:left="709" w:hanging="709"/>
        <w:jc w:val="both"/>
      </w:pPr>
      <w:r w:rsidRPr="00CC36F1">
        <w:rPr>
          <w:b/>
          <w:bCs/>
          <w:lang w:val="en-GB"/>
        </w:rPr>
        <w:t xml:space="preserve">FAO. (2011). </w:t>
      </w:r>
      <w:r w:rsidRPr="00CC36F1">
        <w:rPr>
          <w:i/>
          <w:iCs/>
          <w:lang w:val="en-GB"/>
        </w:rPr>
        <w:t>The State of Food and Agriculture 2010-2011: Women in agriculture, closing the gender gap for development</w:t>
      </w:r>
      <w:r w:rsidRPr="00CC36F1">
        <w:rPr>
          <w:lang w:val="en-GB"/>
        </w:rPr>
        <w:t xml:space="preserve">. </w:t>
      </w:r>
      <w:r w:rsidRPr="00AA39A2">
        <w:t xml:space="preserve">Food and Agriculture </w:t>
      </w:r>
      <w:proofErr w:type="spellStart"/>
      <w:r w:rsidRPr="00AA39A2">
        <w:t>Organization</w:t>
      </w:r>
      <w:proofErr w:type="spellEnd"/>
      <w:r w:rsidRPr="00AA39A2">
        <w:t xml:space="preserve"> of the United Nations.</w:t>
      </w:r>
    </w:p>
    <w:p w14:paraId="3372B769" w14:textId="77777777" w:rsidR="00DC37B9" w:rsidRPr="00CC36F1" w:rsidRDefault="00DC37B9" w:rsidP="004418C0">
      <w:pPr>
        <w:spacing w:line="360" w:lineRule="auto"/>
        <w:ind w:left="709" w:hanging="709"/>
        <w:jc w:val="both"/>
        <w:rPr>
          <w:lang w:val="en-GB"/>
        </w:rPr>
      </w:pPr>
      <w:r w:rsidRPr="00AA39A2">
        <w:rPr>
          <w:b/>
          <w:bCs/>
        </w:rPr>
        <w:t xml:space="preserve">FAO. (2024). </w:t>
      </w:r>
      <w:r w:rsidRPr="00AA39A2">
        <w:rPr>
          <w:i/>
          <w:iCs/>
        </w:rPr>
        <w:t>Rapports sur la situation alimentaire mondiale et les campagnes agricoles au Sahel</w:t>
      </w:r>
      <w:r w:rsidRPr="00AA39A2">
        <w:t xml:space="preserve">. </w:t>
      </w:r>
      <w:r w:rsidRPr="00CC36F1">
        <w:rPr>
          <w:lang w:val="en-GB"/>
        </w:rPr>
        <w:t>Rome, Italie.</w:t>
      </w:r>
    </w:p>
    <w:p w14:paraId="52F2F7A8" w14:textId="77777777" w:rsidR="00DC37B9" w:rsidRPr="00CC36F1" w:rsidRDefault="00DC37B9" w:rsidP="004418C0">
      <w:pPr>
        <w:spacing w:line="360" w:lineRule="auto"/>
        <w:ind w:left="709" w:hanging="709"/>
        <w:jc w:val="both"/>
        <w:rPr>
          <w:lang w:val="en-GB"/>
        </w:rPr>
      </w:pPr>
      <w:r w:rsidRPr="00CC36F1">
        <w:rPr>
          <w:b/>
          <w:bCs/>
          <w:lang w:val="en-GB"/>
        </w:rPr>
        <w:t xml:space="preserve">Fischer, E. H., &amp; Stein, E. A. (1961). </w:t>
      </w:r>
      <w:r w:rsidRPr="00CC36F1">
        <w:rPr>
          <w:lang w:val="en-GB"/>
        </w:rPr>
        <w:t xml:space="preserve">DNS Method for Determination of Reducing Sugars. </w:t>
      </w:r>
      <w:r w:rsidRPr="00CC36F1">
        <w:rPr>
          <w:i/>
          <w:iCs/>
          <w:lang w:val="en-GB"/>
        </w:rPr>
        <w:t>Biochemical Preparations</w:t>
      </w:r>
      <w:r w:rsidRPr="00CC36F1">
        <w:rPr>
          <w:lang w:val="en-GB"/>
        </w:rPr>
        <w:t>, 8, 30-37.</w:t>
      </w:r>
    </w:p>
    <w:p w14:paraId="4E13D0EE" w14:textId="77777777" w:rsidR="00DC37B9" w:rsidRPr="00CC36F1" w:rsidRDefault="00DC37B9" w:rsidP="004418C0">
      <w:pPr>
        <w:spacing w:line="360" w:lineRule="auto"/>
        <w:ind w:left="709" w:hanging="709"/>
        <w:jc w:val="both"/>
        <w:rPr>
          <w:lang w:val="en-GB"/>
        </w:rPr>
      </w:pPr>
      <w:r w:rsidRPr="00CC36F1">
        <w:rPr>
          <w:b/>
          <w:bCs/>
          <w:lang w:val="en-GB"/>
        </w:rPr>
        <w:t>Haque, M. A., Molla, M. M., Islam, M. S., Sarwar, M. T., &amp; Alam, M. S. (2022).</w:t>
      </w:r>
      <w:r w:rsidRPr="00CC36F1">
        <w:rPr>
          <w:lang w:val="en-GB"/>
        </w:rPr>
        <w:t xml:space="preserve"> Profiling of nutritional and antioxidant properties of major mango cultivars. </w:t>
      </w:r>
      <w:r w:rsidRPr="00CC36F1">
        <w:rPr>
          <w:i/>
          <w:iCs/>
          <w:lang w:val="en-GB"/>
        </w:rPr>
        <w:t>Journal of Agriculture and Food Research</w:t>
      </w:r>
      <w:r w:rsidRPr="00CC36F1">
        <w:rPr>
          <w:lang w:val="en-GB"/>
        </w:rPr>
        <w:t xml:space="preserve">, </w:t>
      </w:r>
      <w:r w:rsidRPr="00CC36F1">
        <w:rPr>
          <w:i/>
          <w:iCs/>
          <w:lang w:val="en-GB"/>
        </w:rPr>
        <w:t>10</w:t>
      </w:r>
      <w:r w:rsidRPr="00CC36F1">
        <w:rPr>
          <w:lang w:val="en-GB"/>
        </w:rPr>
        <w:t xml:space="preserve">, 100363. </w:t>
      </w:r>
      <w:hyperlink r:id="rId9" w:tgtFrame="_blank" w:history="1">
        <w:r w:rsidRPr="00CC36F1">
          <w:rPr>
            <w:rStyle w:val="Hyperlink"/>
            <w:lang w:val="en-GB"/>
          </w:rPr>
          <w:t>https://doi.org/10.1016/j.jafr.2022.100363</w:t>
        </w:r>
      </w:hyperlink>
    </w:p>
    <w:p w14:paraId="69431FB0" w14:textId="77777777" w:rsidR="00DC37B9" w:rsidRPr="00AA39A2" w:rsidRDefault="00DC37B9" w:rsidP="004418C0">
      <w:pPr>
        <w:spacing w:line="360" w:lineRule="auto"/>
        <w:jc w:val="both"/>
      </w:pPr>
      <w:r w:rsidRPr="00CC36F1">
        <w:rPr>
          <w:b/>
          <w:bCs/>
          <w:lang w:val="en-GB"/>
        </w:rPr>
        <w:t xml:space="preserve"> Kameni, A., Hand, T. W., </w:t>
      </w:r>
      <w:proofErr w:type="spellStart"/>
      <w:r w:rsidRPr="00CC36F1">
        <w:rPr>
          <w:b/>
          <w:bCs/>
          <w:lang w:val="en-GB"/>
        </w:rPr>
        <w:t>Mbofung</w:t>
      </w:r>
      <w:proofErr w:type="spellEnd"/>
      <w:r w:rsidRPr="00CC36F1">
        <w:rPr>
          <w:b/>
          <w:bCs/>
          <w:lang w:val="en-GB"/>
        </w:rPr>
        <w:t xml:space="preserve">, C. M., &amp; Silverside, D. E. (2003). </w:t>
      </w:r>
      <w:r w:rsidRPr="00CC36F1">
        <w:rPr>
          <w:lang w:val="en-GB"/>
        </w:rPr>
        <w:t xml:space="preserve">Study of the traditional solar drying of mango in Cameroon. </w:t>
      </w:r>
      <w:r w:rsidRPr="00AA39A2">
        <w:rPr>
          <w:i/>
          <w:iCs/>
        </w:rPr>
        <w:t>Journal of Food Science and Technology</w:t>
      </w:r>
      <w:r w:rsidRPr="00AA39A2">
        <w:t>, 40(6), 621-625.</w:t>
      </w:r>
    </w:p>
    <w:p w14:paraId="4F238BFD" w14:textId="77777777" w:rsidR="00DC37B9" w:rsidRPr="00CC36F1" w:rsidRDefault="00DC37B9" w:rsidP="004418C0">
      <w:pPr>
        <w:spacing w:line="360" w:lineRule="auto"/>
        <w:ind w:left="709" w:hanging="709"/>
        <w:jc w:val="both"/>
        <w:rPr>
          <w:lang w:val="en-GB"/>
        </w:rPr>
      </w:pPr>
      <w:r w:rsidRPr="00CC36F1">
        <w:rPr>
          <w:b/>
          <w:bCs/>
          <w:lang w:val="en-GB"/>
        </w:rPr>
        <w:lastRenderedPageBreak/>
        <w:t>Kaur, B., et al. (2023).</w:t>
      </w:r>
      <w:r w:rsidRPr="00CC36F1">
        <w:rPr>
          <w:lang w:val="en-GB"/>
        </w:rPr>
        <w:t xml:space="preserve"> Bioactive compounds in mango (</w:t>
      </w:r>
      <w:r w:rsidRPr="00CC36F1">
        <w:rPr>
          <w:i/>
          <w:iCs/>
          <w:lang w:val="en-GB"/>
        </w:rPr>
        <w:t>Mangifera indica</w:t>
      </w:r>
      <w:r w:rsidRPr="00CC36F1">
        <w:rPr>
          <w:lang w:val="en-GB"/>
        </w:rPr>
        <w:t xml:space="preserve"> L.) and their role in human health: A review. </w:t>
      </w:r>
      <w:r w:rsidRPr="00CC36F1">
        <w:rPr>
          <w:i/>
          <w:iCs/>
          <w:lang w:val="en-GB"/>
        </w:rPr>
        <w:t>Food Chemistry: X</w:t>
      </w:r>
      <w:r w:rsidRPr="00CC36F1">
        <w:rPr>
          <w:lang w:val="en-GB"/>
        </w:rPr>
        <w:t>.</w:t>
      </w:r>
    </w:p>
    <w:p w14:paraId="21BE35B7" w14:textId="77777777" w:rsidR="00DC37B9" w:rsidRPr="00AA39A2" w:rsidRDefault="00DC37B9" w:rsidP="004418C0">
      <w:pPr>
        <w:spacing w:line="360" w:lineRule="auto"/>
        <w:ind w:left="709" w:hanging="709"/>
        <w:jc w:val="both"/>
      </w:pPr>
      <w:r w:rsidRPr="00CC36F1">
        <w:rPr>
          <w:b/>
          <w:bCs/>
          <w:lang w:val="en-GB"/>
        </w:rPr>
        <w:t xml:space="preserve">Klang, J. M., Njintang, Y. N., &amp; </w:t>
      </w:r>
      <w:proofErr w:type="spellStart"/>
      <w:r w:rsidRPr="00CC36F1">
        <w:rPr>
          <w:b/>
          <w:bCs/>
          <w:lang w:val="en-GB"/>
        </w:rPr>
        <w:t>Mbofung</w:t>
      </w:r>
      <w:proofErr w:type="spellEnd"/>
      <w:r w:rsidRPr="00CC36F1">
        <w:rPr>
          <w:b/>
          <w:bCs/>
          <w:lang w:val="en-GB"/>
        </w:rPr>
        <w:t xml:space="preserve">, C. M. (2019). </w:t>
      </w:r>
      <w:r w:rsidRPr="00CC36F1">
        <w:rPr>
          <w:lang w:val="en-GB"/>
        </w:rPr>
        <w:t xml:space="preserve">Nutritional and sensory quality of complementary foods based on local cereals and legumes. </w:t>
      </w:r>
      <w:r w:rsidRPr="00AA39A2">
        <w:rPr>
          <w:i/>
          <w:iCs/>
        </w:rPr>
        <w:t>Food Science &amp; Nutrition</w:t>
      </w:r>
      <w:r w:rsidRPr="00AA39A2">
        <w:t>.</w:t>
      </w:r>
    </w:p>
    <w:p w14:paraId="191F67ED" w14:textId="77777777" w:rsidR="00DC37B9" w:rsidRPr="00CC36F1" w:rsidRDefault="00DC37B9" w:rsidP="004418C0">
      <w:pPr>
        <w:spacing w:line="360" w:lineRule="auto"/>
        <w:ind w:left="709" w:hanging="709"/>
        <w:jc w:val="both"/>
        <w:rPr>
          <w:lang w:val="en-GB"/>
        </w:rPr>
      </w:pPr>
      <w:proofErr w:type="spellStart"/>
      <w:r w:rsidRPr="00DC37B9">
        <w:rPr>
          <w:b/>
          <w:bCs/>
          <w:lang w:val="en-GB"/>
        </w:rPr>
        <w:t>Lebaka</w:t>
      </w:r>
      <w:proofErr w:type="spellEnd"/>
      <w:r w:rsidRPr="00DC37B9">
        <w:rPr>
          <w:b/>
          <w:bCs/>
          <w:lang w:val="en-GB"/>
        </w:rPr>
        <w:t xml:space="preserve">, G. V. R., Wee, Y. J., Ye, W., &amp; </w:t>
      </w:r>
      <w:proofErr w:type="spellStart"/>
      <w:r w:rsidRPr="00DC37B9">
        <w:rPr>
          <w:b/>
          <w:bCs/>
          <w:lang w:val="en-GB"/>
        </w:rPr>
        <w:t>Korivi</w:t>
      </w:r>
      <w:proofErr w:type="spellEnd"/>
      <w:r w:rsidRPr="00DC37B9">
        <w:rPr>
          <w:b/>
          <w:bCs/>
          <w:lang w:val="en-GB"/>
        </w:rPr>
        <w:t>, M. (2021).</w:t>
      </w:r>
      <w:r w:rsidRPr="00CC36F1">
        <w:rPr>
          <w:lang w:val="en-GB"/>
        </w:rPr>
        <w:t xml:space="preserve"> Mango (</w:t>
      </w:r>
      <w:r w:rsidRPr="00CC36F1">
        <w:rPr>
          <w:i/>
          <w:iCs/>
          <w:lang w:val="en-GB"/>
        </w:rPr>
        <w:t>Mangifera indica</w:t>
      </w:r>
      <w:r w:rsidRPr="00CC36F1">
        <w:rPr>
          <w:lang w:val="en-GB"/>
        </w:rPr>
        <w:t xml:space="preserve"> L.): A magnificent plant with cancer preventive properties. </w:t>
      </w:r>
      <w:r w:rsidRPr="00CC36F1">
        <w:rPr>
          <w:i/>
          <w:iCs/>
          <w:lang w:val="en-GB"/>
        </w:rPr>
        <w:t>Nutrients</w:t>
      </w:r>
      <w:r w:rsidRPr="00CC36F1">
        <w:rPr>
          <w:lang w:val="en-GB"/>
        </w:rPr>
        <w:t xml:space="preserve">, </w:t>
      </w:r>
      <w:r w:rsidRPr="00CC36F1">
        <w:rPr>
          <w:i/>
          <w:iCs/>
          <w:lang w:val="en-GB"/>
        </w:rPr>
        <w:t>13</w:t>
      </w:r>
      <w:r w:rsidRPr="00CC36F1">
        <w:rPr>
          <w:lang w:val="en-GB"/>
        </w:rPr>
        <w:t xml:space="preserve">(1), Article 36. </w:t>
      </w:r>
      <w:hyperlink r:id="rId10" w:tgtFrame="_blank" w:history="1">
        <w:r w:rsidRPr="00CC36F1">
          <w:rPr>
            <w:rStyle w:val="Hyperlink"/>
            <w:lang w:val="en-GB"/>
          </w:rPr>
          <w:t>https://doi.org/10.3390/nu13010036</w:t>
        </w:r>
      </w:hyperlink>
    </w:p>
    <w:p w14:paraId="64E2BCA6" w14:textId="77777777" w:rsidR="00DC37B9" w:rsidRDefault="00DC37B9" w:rsidP="004418C0">
      <w:pPr>
        <w:spacing w:line="360" w:lineRule="auto"/>
        <w:ind w:left="709" w:hanging="709"/>
        <w:jc w:val="both"/>
      </w:pPr>
      <w:proofErr w:type="spellStart"/>
      <w:r w:rsidRPr="00CC36F1">
        <w:rPr>
          <w:b/>
          <w:bCs/>
          <w:lang w:val="en-GB"/>
        </w:rPr>
        <w:t>Lebaka</w:t>
      </w:r>
      <w:proofErr w:type="spellEnd"/>
      <w:r w:rsidRPr="00CC36F1">
        <w:rPr>
          <w:b/>
          <w:bCs/>
          <w:lang w:val="en-GB"/>
        </w:rPr>
        <w:t xml:space="preserve">, N., Wee, Y. J., Ye, W., &amp; </w:t>
      </w:r>
      <w:proofErr w:type="spellStart"/>
      <w:r w:rsidRPr="00CC36F1">
        <w:rPr>
          <w:b/>
          <w:bCs/>
          <w:lang w:val="en-GB"/>
        </w:rPr>
        <w:t>Korivi</w:t>
      </w:r>
      <w:proofErr w:type="spellEnd"/>
      <w:r w:rsidRPr="00CC36F1">
        <w:rPr>
          <w:b/>
          <w:bCs/>
          <w:lang w:val="en-GB"/>
        </w:rPr>
        <w:t>, M. (2021).</w:t>
      </w:r>
      <w:r w:rsidRPr="00CC36F1">
        <w:rPr>
          <w:lang w:val="en-GB"/>
        </w:rPr>
        <w:t xml:space="preserve"> Nutritional Composition and Bioactive Compounds in Three Different Parts of Mango Fruit. </w:t>
      </w:r>
      <w:r w:rsidRPr="00CB0123">
        <w:rPr>
          <w:i/>
          <w:iCs/>
        </w:rPr>
        <w:t>International Journal of Environmental Research and Public Health</w:t>
      </w:r>
      <w:r w:rsidRPr="00CB0123">
        <w:t>, 18(2), 741.</w:t>
      </w:r>
    </w:p>
    <w:p w14:paraId="696C0611" w14:textId="77777777" w:rsidR="00DC37B9" w:rsidRPr="00CC36F1" w:rsidRDefault="00DC37B9" w:rsidP="004418C0">
      <w:pPr>
        <w:spacing w:line="360" w:lineRule="auto"/>
        <w:ind w:left="709" w:hanging="709"/>
        <w:jc w:val="both"/>
        <w:rPr>
          <w:lang w:val="en-GB"/>
        </w:rPr>
      </w:pPr>
      <w:r w:rsidRPr="005E69C6">
        <w:rPr>
          <w:b/>
          <w:bCs/>
        </w:rPr>
        <w:t>Maldonado-Celis, M. E., Hernández-Hernández, O. H., &amp; Martelo-Ayala, L. C. (2022).</w:t>
      </w:r>
      <w:r w:rsidRPr="005E69C6">
        <w:t xml:space="preserve"> </w:t>
      </w:r>
      <w:r w:rsidRPr="00CC36F1">
        <w:rPr>
          <w:lang w:val="en-GB"/>
        </w:rPr>
        <w:t>Nutritional composition of mango (</w:t>
      </w:r>
      <w:r w:rsidRPr="00CC36F1">
        <w:rPr>
          <w:i/>
          <w:iCs/>
          <w:lang w:val="en-GB"/>
        </w:rPr>
        <w:t>Mangifera indica</w:t>
      </w:r>
      <w:r w:rsidRPr="00CC36F1">
        <w:rPr>
          <w:lang w:val="en-GB"/>
        </w:rPr>
        <w:t xml:space="preserve"> L.) fruit: Nutritional and phytochemical compounds. </w:t>
      </w:r>
      <w:r w:rsidRPr="00CC36F1">
        <w:rPr>
          <w:i/>
          <w:iCs/>
          <w:lang w:val="en-GB"/>
        </w:rPr>
        <w:t>Frontiers in Plant Science</w:t>
      </w:r>
      <w:r w:rsidRPr="00CC36F1">
        <w:rPr>
          <w:lang w:val="en-GB"/>
        </w:rPr>
        <w:t xml:space="preserve">, </w:t>
      </w:r>
      <w:r w:rsidRPr="00CC36F1">
        <w:rPr>
          <w:i/>
          <w:iCs/>
          <w:lang w:val="en-GB"/>
        </w:rPr>
        <w:t>13</w:t>
      </w:r>
      <w:r w:rsidRPr="00CC36F1">
        <w:rPr>
          <w:lang w:val="en-GB"/>
        </w:rPr>
        <w:t xml:space="preserve">, Article 891342. </w:t>
      </w:r>
      <w:hyperlink r:id="rId11" w:tgtFrame="_blank" w:history="1">
        <w:r w:rsidRPr="00CC36F1">
          <w:rPr>
            <w:rStyle w:val="Hyperlink"/>
            <w:lang w:val="en-GB"/>
          </w:rPr>
          <w:t>https://doi.org/10.3389/fpls.2022.891342</w:t>
        </w:r>
      </w:hyperlink>
    </w:p>
    <w:p w14:paraId="7031AB3D" w14:textId="77777777" w:rsidR="00DC37B9" w:rsidRPr="00CC36F1" w:rsidRDefault="00DC37B9" w:rsidP="004418C0">
      <w:pPr>
        <w:spacing w:line="360" w:lineRule="auto"/>
        <w:ind w:left="709" w:hanging="709"/>
        <w:jc w:val="both"/>
        <w:rPr>
          <w:lang w:val="en-GB"/>
        </w:rPr>
      </w:pPr>
      <w:proofErr w:type="spellStart"/>
      <w:r w:rsidRPr="00CC36F1">
        <w:rPr>
          <w:b/>
          <w:bCs/>
          <w:lang w:val="en-GB"/>
        </w:rPr>
        <w:t>Masibo</w:t>
      </w:r>
      <w:proofErr w:type="spellEnd"/>
      <w:r w:rsidRPr="00CC36F1">
        <w:rPr>
          <w:b/>
          <w:bCs/>
          <w:lang w:val="en-GB"/>
        </w:rPr>
        <w:t xml:space="preserve">, M., &amp; He, Q. (2008). </w:t>
      </w:r>
      <w:r w:rsidRPr="00CC36F1">
        <w:rPr>
          <w:lang w:val="en-GB"/>
        </w:rPr>
        <w:t xml:space="preserve">Major mango polyphenols and their potential significance to human health. </w:t>
      </w:r>
      <w:r w:rsidRPr="00CC36F1">
        <w:rPr>
          <w:i/>
          <w:iCs/>
          <w:lang w:val="en-GB"/>
        </w:rPr>
        <w:t>Comprehensive Reviews in Food Science and Food Safety</w:t>
      </w:r>
      <w:r w:rsidRPr="00CC36F1">
        <w:rPr>
          <w:lang w:val="en-GB"/>
        </w:rPr>
        <w:t>, 7(4), 309-319.</w:t>
      </w:r>
    </w:p>
    <w:p w14:paraId="3C834709" w14:textId="77777777" w:rsidR="00DC37B9" w:rsidRDefault="00DC37B9" w:rsidP="004418C0">
      <w:pPr>
        <w:spacing w:line="360" w:lineRule="auto"/>
        <w:ind w:left="709" w:hanging="709"/>
        <w:jc w:val="both"/>
      </w:pPr>
      <w:r w:rsidRPr="00CC36F1">
        <w:rPr>
          <w:b/>
          <w:bCs/>
          <w:lang w:val="en-GB"/>
        </w:rPr>
        <w:t xml:space="preserve">Mawa, S., Kigozi, J., </w:t>
      </w:r>
      <w:proofErr w:type="spellStart"/>
      <w:r w:rsidRPr="00CC36F1">
        <w:rPr>
          <w:b/>
          <w:bCs/>
          <w:lang w:val="en-GB"/>
        </w:rPr>
        <w:t>Banadda</w:t>
      </w:r>
      <w:proofErr w:type="spellEnd"/>
      <w:r w:rsidRPr="00CC36F1">
        <w:rPr>
          <w:b/>
          <w:bCs/>
          <w:lang w:val="en-GB"/>
        </w:rPr>
        <w:t xml:space="preserve">, N., Karungi, J., &amp; Mutungi, C. (2024). </w:t>
      </w:r>
      <w:r w:rsidRPr="00CC36F1">
        <w:rPr>
          <w:lang w:val="en-GB"/>
        </w:rPr>
        <w:t xml:space="preserve">Comparative nutritional analysis of solar-dried tropical fruits in East Africa. </w:t>
      </w:r>
      <w:r w:rsidRPr="0013375D">
        <w:rPr>
          <w:i/>
          <w:iCs/>
        </w:rPr>
        <w:t xml:space="preserve">Scientific </w:t>
      </w:r>
      <w:proofErr w:type="spellStart"/>
      <w:r w:rsidRPr="0013375D">
        <w:rPr>
          <w:i/>
          <w:iCs/>
        </w:rPr>
        <w:t>African</w:t>
      </w:r>
      <w:proofErr w:type="spellEnd"/>
      <w:r w:rsidRPr="0013375D">
        <w:t xml:space="preserve">, </w:t>
      </w:r>
      <w:r w:rsidRPr="0013375D">
        <w:rPr>
          <w:i/>
          <w:iCs/>
        </w:rPr>
        <w:t>23</w:t>
      </w:r>
      <w:r w:rsidRPr="0013375D">
        <w:t xml:space="preserve">, e02012. </w:t>
      </w:r>
      <w:hyperlink r:id="rId12" w:tgtFrame="_blank" w:history="1">
        <w:r w:rsidRPr="0013375D">
          <w:rPr>
            <w:rStyle w:val="Hyperlink"/>
          </w:rPr>
          <w:t>https://doi.org/10.1016/j.sciaf.2023.e02012</w:t>
        </w:r>
      </w:hyperlink>
    </w:p>
    <w:p w14:paraId="1348F220" w14:textId="77777777" w:rsidR="00DC37B9" w:rsidRPr="00CC36F1" w:rsidRDefault="00DC37B9" w:rsidP="004418C0">
      <w:pPr>
        <w:spacing w:line="360" w:lineRule="auto"/>
        <w:ind w:left="709" w:hanging="709"/>
        <w:jc w:val="both"/>
        <w:rPr>
          <w:b/>
          <w:bCs/>
          <w:lang w:val="en-GB"/>
        </w:rPr>
      </w:pPr>
      <w:r w:rsidRPr="00AA39A2">
        <w:rPr>
          <w:b/>
          <w:bCs/>
        </w:rPr>
        <w:t xml:space="preserve">Mwamba, M., et al. (2018). </w:t>
      </w:r>
      <w:r w:rsidRPr="00AA39A2">
        <w:t>Influence du type de séchage sur les caractéristiques physico-chimiques et nutritionnelles des mangues (</w:t>
      </w:r>
      <w:r w:rsidRPr="00AA39A2">
        <w:rPr>
          <w:i/>
          <w:iCs/>
        </w:rPr>
        <w:t>Mangifera indica</w:t>
      </w:r>
      <w:r w:rsidRPr="00AA39A2">
        <w:t xml:space="preserve"> L.) cultivées en RDC. </w:t>
      </w:r>
      <w:r w:rsidRPr="00CC36F1">
        <w:rPr>
          <w:i/>
          <w:iCs/>
          <w:lang w:val="en-GB"/>
        </w:rPr>
        <w:t>Journal of Applied Biosciences</w:t>
      </w:r>
      <w:r w:rsidRPr="00CC36F1">
        <w:rPr>
          <w:lang w:val="en-GB"/>
        </w:rPr>
        <w:t>.</w:t>
      </w:r>
    </w:p>
    <w:p w14:paraId="707D5E89" w14:textId="77777777" w:rsidR="00DC37B9" w:rsidRPr="00DC37B9" w:rsidRDefault="00DC37B9" w:rsidP="004418C0">
      <w:pPr>
        <w:spacing w:line="360" w:lineRule="auto"/>
        <w:ind w:left="709" w:hanging="709"/>
        <w:jc w:val="both"/>
        <w:rPr>
          <w:lang w:val="en-GB"/>
        </w:rPr>
      </w:pPr>
      <w:r w:rsidRPr="00CC36F1">
        <w:rPr>
          <w:b/>
          <w:bCs/>
          <w:lang w:val="en-GB"/>
        </w:rPr>
        <w:t>Ndiaye, A., Sylla, M., Sene, B., &amp; Fall, S. (2025).</w:t>
      </w:r>
      <w:r w:rsidRPr="00CC36F1">
        <w:rPr>
          <w:lang w:val="en-GB"/>
        </w:rPr>
        <w:t xml:space="preserve"> Post-harvest stability of provitamin A in solar-dried mangoes: A West African perspective. </w:t>
      </w:r>
      <w:r w:rsidRPr="00DC37B9">
        <w:rPr>
          <w:i/>
          <w:iCs/>
          <w:lang w:val="en-GB"/>
        </w:rPr>
        <w:t>African Journal of Food Science</w:t>
      </w:r>
      <w:r w:rsidRPr="00DC37B9">
        <w:rPr>
          <w:lang w:val="en-GB"/>
        </w:rPr>
        <w:t xml:space="preserve">, </w:t>
      </w:r>
      <w:r w:rsidRPr="00DC37B9">
        <w:rPr>
          <w:i/>
          <w:iCs/>
          <w:lang w:val="en-GB"/>
        </w:rPr>
        <w:t>19</w:t>
      </w:r>
      <w:r w:rsidRPr="00DC37B9">
        <w:rPr>
          <w:lang w:val="en-GB"/>
        </w:rPr>
        <w:t xml:space="preserve">(2), 45-58. </w:t>
      </w:r>
      <w:hyperlink r:id="rId13" w:tgtFrame="_blank" w:history="1">
        <w:r w:rsidRPr="00DC37B9">
          <w:rPr>
            <w:rStyle w:val="Hyperlink"/>
            <w:lang w:val="en-GB"/>
          </w:rPr>
          <w:t>https://doi.org/10.5897/AJFS2024.2314</w:t>
        </w:r>
      </w:hyperlink>
    </w:p>
    <w:p w14:paraId="14A08E5B" w14:textId="77777777" w:rsidR="00DC37B9" w:rsidRPr="00CC36F1" w:rsidRDefault="00DC37B9" w:rsidP="004418C0">
      <w:pPr>
        <w:spacing w:line="360" w:lineRule="auto"/>
        <w:ind w:left="709" w:hanging="709"/>
        <w:jc w:val="both"/>
        <w:rPr>
          <w:lang w:val="en-GB"/>
        </w:rPr>
      </w:pPr>
      <w:proofErr w:type="spellStart"/>
      <w:r w:rsidRPr="00CC36F1">
        <w:rPr>
          <w:b/>
          <w:bCs/>
          <w:lang w:val="en-GB"/>
        </w:rPr>
        <w:t>Sawadogo-Ligani</w:t>
      </w:r>
      <w:proofErr w:type="spellEnd"/>
      <w:r w:rsidRPr="00CC36F1">
        <w:rPr>
          <w:b/>
          <w:bCs/>
          <w:lang w:val="en-GB"/>
        </w:rPr>
        <w:t xml:space="preserve">, H., &amp; Traoré, A. S. (2001). </w:t>
      </w:r>
      <w:r w:rsidRPr="00AA39A2">
        <w:t xml:space="preserve">Caractérisation biochimique et nutritionnelle de la mangue : impact de la transformation artisanale. </w:t>
      </w:r>
      <w:r w:rsidRPr="00CC36F1">
        <w:rPr>
          <w:i/>
          <w:iCs/>
          <w:lang w:val="en-GB"/>
        </w:rPr>
        <w:t>Sciences &amp; Technologies</w:t>
      </w:r>
      <w:r w:rsidRPr="00CC36F1">
        <w:rPr>
          <w:lang w:val="en-GB"/>
        </w:rPr>
        <w:t>.</w:t>
      </w:r>
    </w:p>
    <w:p w14:paraId="6E81F1C7" w14:textId="77777777" w:rsidR="00DC37B9" w:rsidRDefault="00DC37B9" w:rsidP="004418C0">
      <w:pPr>
        <w:spacing w:line="360" w:lineRule="auto"/>
        <w:ind w:left="709" w:hanging="709"/>
        <w:jc w:val="both"/>
      </w:pPr>
      <w:r w:rsidRPr="00CC36F1">
        <w:rPr>
          <w:b/>
          <w:bCs/>
          <w:lang w:val="en-GB"/>
        </w:rPr>
        <w:t>Zhu, F. (2023).</w:t>
      </w:r>
      <w:r w:rsidRPr="00CC36F1">
        <w:rPr>
          <w:lang w:val="en-GB"/>
        </w:rPr>
        <w:t xml:space="preserve"> Structure and physicochemical properties of mango starch. </w:t>
      </w:r>
      <w:r w:rsidRPr="00CC36F1">
        <w:rPr>
          <w:i/>
          <w:iCs/>
          <w:lang w:val="en-GB"/>
        </w:rPr>
        <w:t>Food Hydrocolloids</w:t>
      </w:r>
      <w:r w:rsidRPr="00CC36F1">
        <w:rPr>
          <w:lang w:val="en-GB"/>
        </w:rPr>
        <w:t xml:space="preserve">, </w:t>
      </w:r>
      <w:r w:rsidRPr="00CC36F1">
        <w:rPr>
          <w:i/>
          <w:iCs/>
          <w:lang w:val="en-GB"/>
        </w:rPr>
        <w:t>135</w:t>
      </w:r>
      <w:r w:rsidRPr="00CC36F1">
        <w:rPr>
          <w:lang w:val="en-GB"/>
        </w:rPr>
        <w:t xml:space="preserve">, Article 108152. </w:t>
      </w:r>
      <w:hyperlink r:id="rId14" w:tgtFrame="_blank" w:history="1">
        <w:r w:rsidRPr="00306F39">
          <w:rPr>
            <w:rStyle w:val="Hyperlink"/>
          </w:rPr>
          <w:t>https://doi.org/10.1016/j.foodhyd.2022.108152</w:t>
        </w:r>
      </w:hyperlink>
    </w:p>
    <w:p w14:paraId="217C1C69" w14:textId="4110B635" w:rsidR="00753C7B" w:rsidRPr="004418C0" w:rsidRDefault="00753C7B" w:rsidP="004418C0"/>
    <w:sectPr w:rsidR="00753C7B" w:rsidRPr="004418C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9A029" w14:textId="77777777" w:rsidR="00CF6210" w:rsidRDefault="00CF6210" w:rsidP="004418C0">
      <w:r>
        <w:separator/>
      </w:r>
    </w:p>
  </w:endnote>
  <w:endnote w:type="continuationSeparator" w:id="0">
    <w:p w14:paraId="772F84BA" w14:textId="77777777" w:rsidR="00CF6210" w:rsidRDefault="00CF6210" w:rsidP="0044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918F" w14:textId="77777777" w:rsidR="002D21E9" w:rsidRDefault="002D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878761"/>
      <w:docPartObj>
        <w:docPartGallery w:val="Page Numbers (Bottom of Page)"/>
        <w:docPartUnique/>
      </w:docPartObj>
    </w:sdtPr>
    <w:sdtEndPr/>
    <w:sdtContent>
      <w:p w14:paraId="20DC6739" w14:textId="782E1533" w:rsidR="004418C0" w:rsidRDefault="004418C0">
        <w:pPr>
          <w:pStyle w:val="Footer"/>
          <w:jc w:val="right"/>
        </w:pPr>
        <w:r>
          <w:fldChar w:fldCharType="begin"/>
        </w:r>
        <w:r>
          <w:instrText>PAGE   \* MERGEFORMAT</w:instrText>
        </w:r>
        <w:r>
          <w:fldChar w:fldCharType="separate"/>
        </w:r>
        <w:r>
          <w:t>2</w:t>
        </w:r>
        <w:r>
          <w:fldChar w:fldCharType="end"/>
        </w:r>
      </w:p>
    </w:sdtContent>
  </w:sdt>
  <w:p w14:paraId="02F6EC2E" w14:textId="77777777" w:rsidR="004418C0" w:rsidRDefault="00441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358E" w14:textId="77777777" w:rsidR="002D21E9" w:rsidRDefault="002D2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24B77" w14:textId="77777777" w:rsidR="00CF6210" w:rsidRDefault="00CF6210" w:rsidP="004418C0">
      <w:r>
        <w:separator/>
      </w:r>
    </w:p>
  </w:footnote>
  <w:footnote w:type="continuationSeparator" w:id="0">
    <w:p w14:paraId="27F746F1" w14:textId="77777777" w:rsidR="00CF6210" w:rsidRDefault="00CF6210" w:rsidP="0044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2881" w14:textId="0931AD60" w:rsidR="002D21E9" w:rsidRDefault="002D21E9">
    <w:pPr>
      <w:pStyle w:val="Header"/>
    </w:pPr>
    <w:r>
      <w:rPr>
        <w:noProof/>
      </w:rPr>
      <w:pict w14:anchorId="7C880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8607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106F" w14:textId="2C8CC377" w:rsidR="002D21E9" w:rsidRDefault="002D21E9">
    <w:pPr>
      <w:pStyle w:val="Header"/>
    </w:pPr>
    <w:r>
      <w:rPr>
        <w:noProof/>
      </w:rPr>
      <w:pict w14:anchorId="4B4EE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8608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63FB" w14:textId="109367A8" w:rsidR="002D21E9" w:rsidRDefault="002D21E9">
    <w:pPr>
      <w:pStyle w:val="Header"/>
    </w:pPr>
    <w:r>
      <w:rPr>
        <w:noProof/>
      </w:rPr>
      <w:pict w14:anchorId="01937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8607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4317"/>
    <w:multiLevelType w:val="hybridMultilevel"/>
    <w:tmpl w:val="0674E5AC"/>
    <w:lvl w:ilvl="0" w:tplc="FFFFFFFF">
      <w:start w:val="1"/>
      <w:numFmt w:val="decimal"/>
      <w:lvlText w:val="III.%1"/>
      <w:lvlJc w:val="righ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900C0"/>
    <w:multiLevelType w:val="multilevel"/>
    <w:tmpl w:val="D0A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B3601"/>
    <w:multiLevelType w:val="multilevel"/>
    <w:tmpl w:val="ED9C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54E40"/>
    <w:multiLevelType w:val="multilevel"/>
    <w:tmpl w:val="7E9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C44DD"/>
    <w:multiLevelType w:val="hybridMultilevel"/>
    <w:tmpl w:val="FD400D30"/>
    <w:lvl w:ilvl="0" w:tplc="39640354">
      <w:start w:val="1"/>
      <w:numFmt w:val="upperRoman"/>
      <w:pStyle w:val="titre1"/>
      <w:lvlText w:val="CHAPITRE %1"/>
      <w:lvlJc w:val="left"/>
      <w:pPr>
        <w:ind w:left="1778" w:hanging="360"/>
      </w:pPr>
      <w:rPr>
        <w:rFonts w:hint="default"/>
      </w:rPr>
    </w:lvl>
    <w:lvl w:ilvl="1" w:tplc="040C0019" w:tentative="1">
      <w:start w:val="1"/>
      <w:numFmt w:val="lowerLetter"/>
      <w:lvlText w:val="%2."/>
      <w:lvlJc w:val="left"/>
      <w:pPr>
        <w:ind w:left="-1538" w:hanging="360"/>
      </w:pPr>
    </w:lvl>
    <w:lvl w:ilvl="2" w:tplc="040C001B" w:tentative="1">
      <w:start w:val="1"/>
      <w:numFmt w:val="lowerRoman"/>
      <w:lvlText w:val="%3."/>
      <w:lvlJc w:val="right"/>
      <w:pPr>
        <w:ind w:left="-818" w:hanging="180"/>
      </w:pPr>
    </w:lvl>
    <w:lvl w:ilvl="3" w:tplc="040C000F" w:tentative="1">
      <w:start w:val="1"/>
      <w:numFmt w:val="decimal"/>
      <w:lvlText w:val="%4."/>
      <w:lvlJc w:val="left"/>
      <w:pPr>
        <w:ind w:left="-98" w:hanging="360"/>
      </w:pPr>
    </w:lvl>
    <w:lvl w:ilvl="4" w:tplc="040C0019" w:tentative="1">
      <w:start w:val="1"/>
      <w:numFmt w:val="lowerLetter"/>
      <w:lvlText w:val="%5."/>
      <w:lvlJc w:val="left"/>
      <w:pPr>
        <w:ind w:left="622" w:hanging="360"/>
      </w:pPr>
    </w:lvl>
    <w:lvl w:ilvl="5" w:tplc="040C001B" w:tentative="1">
      <w:start w:val="1"/>
      <w:numFmt w:val="lowerRoman"/>
      <w:lvlText w:val="%6."/>
      <w:lvlJc w:val="right"/>
      <w:pPr>
        <w:ind w:left="1342" w:hanging="180"/>
      </w:pPr>
    </w:lvl>
    <w:lvl w:ilvl="6" w:tplc="040C000F" w:tentative="1">
      <w:start w:val="1"/>
      <w:numFmt w:val="decimal"/>
      <w:lvlText w:val="%7."/>
      <w:lvlJc w:val="left"/>
      <w:pPr>
        <w:ind w:left="2062" w:hanging="360"/>
      </w:pPr>
    </w:lvl>
    <w:lvl w:ilvl="7" w:tplc="040C0019" w:tentative="1">
      <w:start w:val="1"/>
      <w:numFmt w:val="lowerLetter"/>
      <w:lvlText w:val="%8."/>
      <w:lvlJc w:val="left"/>
      <w:pPr>
        <w:ind w:left="2782" w:hanging="360"/>
      </w:pPr>
    </w:lvl>
    <w:lvl w:ilvl="8" w:tplc="040C001B" w:tentative="1">
      <w:start w:val="1"/>
      <w:numFmt w:val="lowerRoman"/>
      <w:lvlText w:val="%9."/>
      <w:lvlJc w:val="right"/>
      <w:pPr>
        <w:ind w:left="3502" w:hanging="180"/>
      </w:pPr>
    </w:lvl>
  </w:abstractNum>
  <w:abstractNum w:abstractNumId="5" w15:restartNumberingAfterBreak="0">
    <w:nsid w:val="59B674B9"/>
    <w:multiLevelType w:val="multilevel"/>
    <w:tmpl w:val="74D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02EF8"/>
    <w:multiLevelType w:val="multilevel"/>
    <w:tmpl w:val="3A7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C0"/>
    <w:rsid w:val="00006718"/>
    <w:rsid w:val="00097C43"/>
    <w:rsid w:val="000C2762"/>
    <w:rsid w:val="00122EA7"/>
    <w:rsid w:val="001819C1"/>
    <w:rsid w:val="001E4B79"/>
    <w:rsid w:val="00210304"/>
    <w:rsid w:val="002216F9"/>
    <w:rsid w:val="00234479"/>
    <w:rsid w:val="00246375"/>
    <w:rsid w:val="002D21E9"/>
    <w:rsid w:val="002D45C1"/>
    <w:rsid w:val="002E389D"/>
    <w:rsid w:val="003433E1"/>
    <w:rsid w:val="00356079"/>
    <w:rsid w:val="00380520"/>
    <w:rsid w:val="003E2C6A"/>
    <w:rsid w:val="004418C0"/>
    <w:rsid w:val="004B1D75"/>
    <w:rsid w:val="004F0023"/>
    <w:rsid w:val="00524CAB"/>
    <w:rsid w:val="00534FB2"/>
    <w:rsid w:val="0055373A"/>
    <w:rsid w:val="00560D12"/>
    <w:rsid w:val="00567A9F"/>
    <w:rsid w:val="00586F39"/>
    <w:rsid w:val="005A5E32"/>
    <w:rsid w:val="005B25E6"/>
    <w:rsid w:val="005F5844"/>
    <w:rsid w:val="00631276"/>
    <w:rsid w:val="006C4239"/>
    <w:rsid w:val="00733BC7"/>
    <w:rsid w:val="007363C4"/>
    <w:rsid w:val="0073742E"/>
    <w:rsid w:val="00753C7B"/>
    <w:rsid w:val="0078751B"/>
    <w:rsid w:val="00795637"/>
    <w:rsid w:val="00805DD7"/>
    <w:rsid w:val="00876766"/>
    <w:rsid w:val="0090052B"/>
    <w:rsid w:val="00953F36"/>
    <w:rsid w:val="00972282"/>
    <w:rsid w:val="00A20643"/>
    <w:rsid w:val="00A257C1"/>
    <w:rsid w:val="00A81E75"/>
    <w:rsid w:val="00AA45BB"/>
    <w:rsid w:val="00AC0816"/>
    <w:rsid w:val="00AE20CC"/>
    <w:rsid w:val="00B34504"/>
    <w:rsid w:val="00B44075"/>
    <w:rsid w:val="00B73987"/>
    <w:rsid w:val="00C05E2C"/>
    <w:rsid w:val="00C82D0B"/>
    <w:rsid w:val="00CA43E8"/>
    <w:rsid w:val="00CA5293"/>
    <w:rsid w:val="00CC36F1"/>
    <w:rsid w:val="00CC728C"/>
    <w:rsid w:val="00CF6210"/>
    <w:rsid w:val="00D06E6F"/>
    <w:rsid w:val="00D17332"/>
    <w:rsid w:val="00DA7633"/>
    <w:rsid w:val="00DC37B9"/>
    <w:rsid w:val="00E66DB5"/>
    <w:rsid w:val="00E97E07"/>
    <w:rsid w:val="00EB16E1"/>
    <w:rsid w:val="00EB6F9D"/>
    <w:rsid w:val="00EC7831"/>
    <w:rsid w:val="00F028EB"/>
    <w:rsid w:val="00F4083B"/>
    <w:rsid w:val="00F82BBC"/>
    <w:rsid w:val="00FA1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20111"/>
  <w15:chartTrackingRefBased/>
  <w15:docId w15:val="{B97AA86A-302F-415F-AECC-13838625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8C0"/>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441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8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8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8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8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8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8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8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8C0"/>
    <w:rPr>
      <w:rFonts w:eastAsiaTheme="majorEastAsia" w:cstheme="majorBidi"/>
      <w:color w:val="272727" w:themeColor="text1" w:themeTint="D8"/>
    </w:rPr>
  </w:style>
  <w:style w:type="paragraph" w:styleId="Title">
    <w:name w:val="Title"/>
    <w:basedOn w:val="Normal"/>
    <w:next w:val="Normal"/>
    <w:link w:val="TitleChar"/>
    <w:uiPriority w:val="10"/>
    <w:qFormat/>
    <w:rsid w:val="00441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8C0"/>
    <w:pPr>
      <w:spacing w:before="160"/>
      <w:jc w:val="center"/>
    </w:pPr>
    <w:rPr>
      <w:i/>
      <w:iCs/>
      <w:color w:val="404040" w:themeColor="text1" w:themeTint="BF"/>
    </w:rPr>
  </w:style>
  <w:style w:type="character" w:customStyle="1" w:styleId="QuoteChar">
    <w:name w:val="Quote Char"/>
    <w:basedOn w:val="DefaultParagraphFont"/>
    <w:link w:val="Quote"/>
    <w:uiPriority w:val="29"/>
    <w:rsid w:val="004418C0"/>
    <w:rPr>
      <w:i/>
      <w:iCs/>
      <w:color w:val="404040" w:themeColor="text1" w:themeTint="BF"/>
    </w:rPr>
  </w:style>
  <w:style w:type="paragraph" w:styleId="ListParagraph">
    <w:name w:val="List Paragraph"/>
    <w:basedOn w:val="Normal"/>
    <w:uiPriority w:val="34"/>
    <w:qFormat/>
    <w:rsid w:val="004418C0"/>
    <w:pPr>
      <w:ind w:left="720"/>
      <w:contextualSpacing/>
    </w:pPr>
  </w:style>
  <w:style w:type="character" w:styleId="IntenseEmphasis">
    <w:name w:val="Intense Emphasis"/>
    <w:basedOn w:val="DefaultParagraphFont"/>
    <w:uiPriority w:val="21"/>
    <w:qFormat/>
    <w:rsid w:val="004418C0"/>
    <w:rPr>
      <w:i/>
      <w:iCs/>
      <w:color w:val="2F5496" w:themeColor="accent1" w:themeShade="BF"/>
    </w:rPr>
  </w:style>
  <w:style w:type="paragraph" w:styleId="IntenseQuote">
    <w:name w:val="Intense Quote"/>
    <w:basedOn w:val="Normal"/>
    <w:next w:val="Normal"/>
    <w:link w:val="IntenseQuoteChar"/>
    <w:uiPriority w:val="30"/>
    <w:qFormat/>
    <w:rsid w:val="00441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8C0"/>
    <w:rPr>
      <w:i/>
      <w:iCs/>
      <w:color w:val="2F5496" w:themeColor="accent1" w:themeShade="BF"/>
    </w:rPr>
  </w:style>
  <w:style w:type="character" w:styleId="IntenseReference">
    <w:name w:val="Intense Reference"/>
    <w:basedOn w:val="DefaultParagraphFont"/>
    <w:uiPriority w:val="32"/>
    <w:qFormat/>
    <w:rsid w:val="004418C0"/>
    <w:rPr>
      <w:b/>
      <w:bCs/>
      <w:smallCaps/>
      <w:color w:val="2F5496" w:themeColor="accent1" w:themeShade="BF"/>
      <w:spacing w:val="5"/>
    </w:rPr>
  </w:style>
  <w:style w:type="paragraph" w:styleId="Header">
    <w:name w:val="header"/>
    <w:basedOn w:val="Normal"/>
    <w:link w:val="HeaderChar"/>
    <w:uiPriority w:val="99"/>
    <w:unhideWhenUsed/>
    <w:rsid w:val="004418C0"/>
    <w:pPr>
      <w:tabs>
        <w:tab w:val="center" w:pos="4536"/>
        <w:tab w:val="right" w:pos="9072"/>
      </w:tabs>
    </w:pPr>
  </w:style>
  <w:style w:type="character" w:customStyle="1" w:styleId="HeaderChar">
    <w:name w:val="Header Char"/>
    <w:basedOn w:val="DefaultParagraphFont"/>
    <w:link w:val="Header"/>
    <w:uiPriority w:val="99"/>
    <w:rsid w:val="004418C0"/>
  </w:style>
  <w:style w:type="paragraph" w:styleId="Footer">
    <w:name w:val="footer"/>
    <w:basedOn w:val="Normal"/>
    <w:link w:val="FooterChar"/>
    <w:uiPriority w:val="99"/>
    <w:unhideWhenUsed/>
    <w:rsid w:val="004418C0"/>
    <w:pPr>
      <w:tabs>
        <w:tab w:val="center" w:pos="4536"/>
        <w:tab w:val="right" w:pos="9072"/>
      </w:tabs>
    </w:pPr>
  </w:style>
  <w:style w:type="character" w:customStyle="1" w:styleId="FooterChar">
    <w:name w:val="Footer Char"/>
    <w:basedOn w:val="DefaultParagraphFont"/>
    <w:link w:val="Footer"/>
    <w:uiPriority w:val="99"/>
    <w:rsid w:val="004418C0"/>
  </w:style>
  <w:style w:type="paragraph" w:styleId="Caption">
    <w:name w:val="caption"/>
    <w:basedOn w:val="Normal"/>
    <w:next w:val="Normal"/>
    <w:uiPriority w:val="35"/>
    <w:unhideWhenUsed/>
    <w:qFormat/>
    <w:rsid w:val="004418C0"/>
    <w:pPr>
      <w:spacing w:after="200"/>
    </w:pPr>
    <w:rPr>
      <w:i/>
      <w:iCs/>
      <w:color w:val="44546A" w:themeColor="text2"/>
      <w:sz w:val="18"/>
      <w:szCs w:val="18"/>
    </w:rPr>
  </w:style>
  <w:style w:type="paragraph" w:customStyle="1" w:styleId="titre1">
    <w:name w:val="titre 1"/>
    <w:basedOn w:val="Title"/>
    <w:link w:val="titre1Car"/>
    <w:qFormat/>
    <w:rsid w:val="004418C0"/>
    <w:pPr>
      <w:numPr>
        <w:numId w:val="2"/>
      </w:numPr>
      <w:spacing w:after="160" w:line="259" w:lineRule="auto"/>
      <w:contextualSpacing w:val="0"/>
    </w:pPr>
    <w:rPr>
      <w:rFonts w:ascii="Times New Roman" w:eastAsia="Times New Roman" w:hAnsi="Times New Roman" w:cs="Times New Roman"/>
      <w:b/>
      <w:bCs/>
      <w:sz w:val="24"/>
      <w:szCs w:val="24"/>
    </w:rPr>
  </w:style>
  <w:style w:type="character" w:customStyle="1" w:styleId="titre1Car">
    <w:name w:val="titre 1 Car"/>
    <w:basedOn w:val="TitleChar"/>
    <w:link w:val="titre1"/>
    <w:rsid w:val="004418C0"/>
    <w:rPr>
      <w:rFonts w:ascii="Times New Roman" w:eastAsia="Times New Roman" w:hAnsi="Times New Roman" w:cs="Times New Roman"/>
      <w:b/>
      <w:bCs/>
      <w:spacing w:val="-10"/>
      <w:kern w:val="28"/>
      <w:sz w:val="24"/>
      <w:szCs w:val="24"/>
      <w:lang w:eastAsia="fr-FR"/>
    </w:rPr>
  </w:style>
  <w:style w:type="character" w:styleId="Hyperlink">
    <w:name w:val="Hyperlink"/>
    <w:basedOn w:val="DefaultParagraphFont"/>
    <w:uiPriority w:val="99"/>
    <w:unhideWhenUsed/>
    <w:rsid w:val="004418C0"/>
    <w:rPr>
      <w:color w:val="0563C1" w:themeColor="hyperlink"/>
      <w:u w:val="single"/>
    </w:rPr>
  </w:style>
  <w:style w:type="character" w:styleId="UnresolvedMention">
    <w:name w:val="Unresolved Mention"/>
    <w:basedOn w:val="DefaultParagraphFont"/>
    <w:uiPriority w:val="99"/>
    <w:semiHidden/>
    <w:unhideWhenUsed/>
    <w:rsid w:val="00E66DB5"/>
    <w:rPr>
      <w:color w:val="605E5C"/>
      <w:shd w:val="clear" w:color="auto" w:fill="E1DFDD"/>
    </w:rPr>
  </w:style>
  <w:style w:type="character" w:customStyle="1" w:styleId="rynqvb">
    <w:name w:val="rynqvb"/>
    <w:basedOn w:val="DefaultParagraphFont"/>
    <w:rsid w:val="00A2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fpp.14502" TargetMode="External"/><Relationship Id="rId13" Type="http://schemas.openxmlformats.org/officeDocument/2006/relationships/hyperlink" Target="https://www.google.com/search?q=https://doi.org/10.5897/AJFS2024.231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com/search?q=https://doi.org/10.1016/j.sciaf.2023.e020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3389/fpls.2022.89134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ogle.com/search?q=https://doi.org/10.3390/nu1301003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ogle.com/search?q=https://doi.org/10.1016/j.jafr.2022.100363" TargetMode="External"/><Relationship Id="rId14" Type="http://schemas.openxmlformats.org/officeDocument/2006/relationships/hyperlink" Target="https://www.google.com/search?q=https://doi.org/10.1016/j.foodhyd.2022.108152"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18</Pages>
  <Words>5139</Words>
  <Characters>29296</Characters>
  <Application>Microsoft Office Word</Application>
  <DocSecurity>0</DocSecurity>
  <Lines>244</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MAHAMAT ALLAMADINE</dc:creator>
  <cp:keywords/>
  <dc:description/>
  <cp:lastModifiedBy>SDI 1084</cp:lastModifiedBy>
  <cp:revision>34</cp:revision>
  <dcterms:created xsi:type="dcterms:W3CDTF">2026-03-18T12:30:00Z</dcterms:created>
  <dcterms:modified xsi:type="dcterms:W3CDTF">2026-03-21T13:50:00Z</dcterms:modified>
</cp:coreProperties>
</file>