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CE99" w14:textId="77777777" w:rsidR="00754C9A" w:rsidRDefault="00754C9A" w:rsidP="00441B6F">
      <w:pPr>
        <w:pStyle w:val="Title"/>
        <w:spacing w:after="0"/>
        <w:jc w:val="both"/>
        <w:rPr>
          <w:rFonts w:ascii="Arial" w:hAnsi="Arial" w:cs="Arial"/>
        </w:rPr>
      </w:pPr>
    </w:p>
    <w:p w14:paraId="22B10934" w14:textId="77777777" w:rsidR="00610C67" w:rsidRDefault="00610C67" w:rsidP="0013166A">
      <w:pPr>
        <w:pStyle w:val="Author"/>
        <w:spacing w:line="240" w:lineRule="auto"/>
        <w:rPr>
          <w:rFonts w:ascii="Arial" w:hAnsi="Arial" w:cs="Arial"/>
          <w:bCs/>
          <w:iCs/>
          <w:kern w:val="28"/>
          <w:sz w:val="36"/>
          <w:lang w:val="en-IN"/>
        </w:rPr>
      </w:pPr>
      <w:r w:rsidRPr="00610C67">
        <w:rPr>
          <w:rFonts w:ascii="Arial" w:hAnsi="Arial" w:cs="Arial"/>
          <w:bCs/>
          <w:iCs/>
          <w:kern w:val="28"/>
          <w:sz w:val="36"/>
          <w:lang w:val="en-IN"/>
        </w:rPr>
        <w:t xml:space="preserve">Review Article </w:t>
      </w:r>
    </w:p>
    <w:p w14:paraId="3D8EC019" w14:textId="77777777" w:rsidR="000A6A03" w:rsidRDefault="000A6A03" w:rsidP="0013166A">
      <w:pPr>
        <w:pStyle w:val="Author"/>
        <w:spacing w:line="240" w:lineRule="auto"/>
        <w:rPr>
          <w:rFonts w:ascii="Arial" w:hAnsi="Arial" w:cs="Arial"/>
          <w:bCs/>
          <w:iCs/>
          <w:kern w:val="28"/>
          <w:sz w:val="36"/>
          <w:lang w:val="en-IN"/>
        </w:rPr>
      </w:pPr>
    </w:p>
    <w:p w14:paraId="3E9FA50D" w14:textId="6CCD7FE9" w:rsidR="0013166A" w:rsidRPr="0013166A" w:rsidRDefault="0013166A" w:rsidP="0013166A">
      <w:pPr>
        <w:pStyle w:val="Author"/>
        <w:spacing w:line="240" w:lineRule="auto"/>
        <w:rPr>
          <w:rFonts w:ascii="Arial" w:hAnsi="Arial" w:cs="Arial"/>
          <w:bCs/>
          <w:iCs/>
          <w:kern w:val="28"/>
          <w:sz w:val="36"/>
          <w:lang w:val="en-IN"/>
        </w:rPr>
      </w:pPr>
      <w:r w:rsidRPr="0013166A">
        <w:rPr>
          <w:rFonts w:ascii="Arial" w:hAnsi="Arial" w:cs="Arial"/>
          <w:bCs/>
          <w:iCs/>
          <w:kern w:val="28"/>
          <w:sz w:val="36"/>
          <w:lang w:val="en-IN"/>
        </w:rPr>
        <w:t>MOLECULAR TWEAKING OF NITROGEN USE EFFICIENCY: KEY TO SUSTAINABLE AGRICULTURE</w:t>
      </w:r>
    </w:p>
    <w:p w14:paraId="10574426" w14:textId="77777777" w:rsidR="00A258C3" w:rsidRPr="00790ADA" w:rsidRDefault="00A258C3" w:rsidP="00441B6F">
      <w:pPr>
        <w:pStyle w:val="Author"/>
        <w:spacing w:line="240" w:lineRule="auto"/>
        <w:jc w:val="both"/>
        <w:rPr>
          <w:rFonts w:ascii="Arial" w:hAnsi="Arial" w:cs="Arial"/>
          <w:sz w:val="36"/>
        </w:rPr>
      </w:pPr>
    </w:p>
    <w:p w14:paraId="74D12476"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1670CBD7" w14:textId="12067DEF" w:rsidR="00B01FCD" w:rsidRPr="00FB3A86" w:rsidRDefault="00DA4DC0" w:rsidP="00441B6F">
      <w:pPr>
        <w:pStyle w:val="Copyright"/>
        <w:spacing w:after="0" w:line="240" w:lineRule="auto"/>
        <w:jc w:val="both"/>
        <w:rPr>
          <w:rFonts w:ascii="Arial" w:hAnsi="Arial" w:cs="Arial"/>
        </w:rPr>
        <w:sectPr w:rsidR="00B01FCD" w:rsidRPr="00FB3A86" w:rsidSect="00CA63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D19E80" wp14:editId="2601116E">
                <wp:extent cx="5303520" cy="635"/>
                <wp:effectExtent l="9525" t="15240" r="11430" b="13335"/>
                <wp:docPr id="1337374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EB04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48AC16" w14:textId="26AEE8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FE6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6FFFDD3" w14:textId="77777777" w:rsidTr="001E44FE">
        <w:tc>
          <w:tcPr>
            <w:tcW w:w="9576" w:type="dxa"/>
            <w:shd w:val="clear" w:color="auto" w:fill="F2F2F2"/>
          </w:tcPr>
          <w:p w14:paraId="2FBF5873" w14:textId="77777777" w:rsidR="0013166A" w:rsidRPr="0013166A" w:rsidRDefault="0013166A" w:rsidP="0013166A">
            <w:pPr>
              <w:pStyle w:val="Body"/>
              <w:spacing w:after="0"/>
              <w:rPr>
                <w:rFonts w:ascii="Arial" w:eastAsia="Calibri" w:hAnsi="Arial" w:cs="Arial"/>
                <w:sz w:val="22"/>
                <w:szCs w:val="24"/>
                <w:lang w:val="en-IN"/>
              </w:rPr>
            </w:pPr>
            <w:r w:rsidRPr="0013166A">
              <w:rPr>
                <w:rFonts w:ascii="Arial" w:eastAsia="Calibri" w:hAnsi="Arial" w:cs="Arial"/>
                <w:sz w:val="22"/>
                <w:szCs w:val="24"/>
                <w:lang w:val="en-IN"/>
              </w:rPr>
              <w:t>Nitrogen use efficiency (NUE) is a complex trait and a critical determinant of sustainable crop production, yet its improvement remains constrained by the tight coordination of nitrogen uptake, assimilation, transport, remobilization, and signalling with plant growth and development. Although the Green Revolution substantially increased cereal yields through semi-dwarf, fertilizer-responsive cultivars, it also reinforced dependence on nitrogen fertilizers, resulting in low recovery efficiency and significant environmental costs. This review synthesizes the molecular basis of NUE, with emphasis on the physiological, genetic, and regulatory mechanisms governing nitrogen acquisition, utilization, long-distance transport, internal recycling, and nitrate signalling. It further examines the contribution of Green Revolution dwarfing genes to the trade-off between yield potential and nitrogen responsiveness. Recent molecular approaches for NUE improvement, including chromatin-mediated regulation, promoter engineering, and genome-editing strategies, are evaluated in the context of their effects on nitrogen-responsive pathways and agronomic performance. Overall, effective enhancement of NUE is likely to depend on precise tuning of interconnected regulatory networks rather than isolated manipulation of individual genes. The integration of functional genomics, genome editing, and physiological validation will be critical for the development of high-yielding, nitrogen-efficient crop varieties for sustainable agriculture.</w:t>
            </w:r>
          </w:p>
          <w:p w14:paraId="4FA9FA9B" w14:textId="0CD1E637" w:rsidR="00505F06" w:rsidRPr="0013166A" w:rsidRDefault="00BA1B01" w:rsidP="00441B6F">
            <w:pPr>
              <w:pStyle w:val="Body"/>
              <w:spacing w:after="0"/>
              <w:rPr>
                <w:rFonts w:ascii="Arial" w:eastAsia="Calibri" w:hAnsi="Arial" w:cs="Arial"/>
                <w:sz w:val="22"/>
                <w:szCs w:val="24"/>
              </w:rPr>
            </w:pPr>
            <w:r w:rsidRPr="0013166A">
              <w:rPr>
                <w:rFonts w:ascii="Arial" w:eastAsia="Calibri" w:hAnsi="Arial" w:cs="Arial"/>
                <w:b/>
                <w:bCs/>
                <w:sz w:val="22"/>
                <w:szCs w:val="24"/>
              </w:rPr>
              <w:t>Conclusion:</w:t>
            </w:r>
            <w:r w:rsidRPr="0013166A">
              <w:rPr>
                <w:rFonts w:ascii="Arial" w:eastAsia="Calibri" w:hAnsi="Arial" w:cs="Arial"/>
                <w:sz w:val="22"/>
                <w:szCs w:val="24"/>
              </w:rPr>
              <w:t xml:space="preserve"> Non-invasive independent predictors for screening esophageal varices may decrease medical as well as financial burden, hence improving the management of cirrhotic patients. These predictors, however, need further work to validate reliability.</w:t>
            </w:r>
          </w:p>
        </w:tc>
      </w:tr>
    </w:tbl>
    <w:p w14:paraId="65B9689C" w14:textId="77777777" w:rsidR="00636EB2" w:rsidRDefault="00636EB2" w:rsidP="00441B6F">
      <w:pPr>
        <w:pStyle w:val="Body"/>
        <w:spacing w:after="0"/>
        <w:rPr>
          <w:rFonts w:ascii="Arial" w:hAnsi="Arial" w:cs="Arial"/>
          <w:i/>
        </w:rPr>
      </w:pPr>
    </w:p>
    <w:p w14:paraId="7A36BE92" w14:textId="1A83D433" w:rsidR="0013166A" w:rsidRPr="0013166A" w:rsidRDefault="00A24E7E" w:rsidP="0013166A">
      <w:pPr>
        <w:pStyle w:val="Body"/>
        <w:rPr>
          <w:rFonts w:ascii="Arial" w:hAnsi="Arial" w:cs="Arial"/>
          <w:i/>
          <w:lang w:val="en-IN"/>
        </w:rPr>
      </w:pPr>
      <w:r>
        <w:rPr>
          <w:rFonts w:ascii="Arial" w:hAnsi="Arial" w:cs="Arial"/>
          <w:i/>
        </w:rPr>
        <w:t xml:space="preserve">Keywords: </w:t>
      </w:r>
      <w:r w:rsidR="0013166A" w:rsidRPr="0013166A">
        <w:rPr>
          <w:rFonts w:ascii="Arial" w:hAnsi="Arial" w:cs="Arial"/>
          <w:i/>
          <w:lang w:val="en-IN"/>
        </w:rPr>
        <w:t>Nitrogen Use Efficiency, Green Revolution, semi-dwarf, nitrogen metabolism, nitrogen uptake, assimilation, signalling,</w:t>
      </w:r>
      <w:r w:rsidR="0013166A">
        <w:rPr>
          <w:rFonts w:ascii="Arial" w:hAnsi="Arial" w:cs="Arial"/>
          <w:i/>
          <w:lang w:val="en-IN"/>
        </w:rPr>
        <w:t xml:space="preserve"> </w:t>
      </w:r>
      <w:r w:rsidR="0013166A" w:rsidRPr="0013166A">
        <w:rPr>
          <w:rFonts w:ascii="Arial" w:hAnsi="Arial" w:cs="Arial"/>
          <w:i/>
          <w:lang w:val="en-IN"/>
        </w:rPr>
        <w:t>CRISPR/Cas9</w:t>
      </w:r>
    </w:p>
    <w:p w14:paraId="71711559" w14:textId="1D4EC3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4CF092" w14:textId="77777777" w:rsidR="00790ADA" w:rsidRPr="00FB3A86" w:rsidRDefault="00790ADA" w:rsidP="00441B6F">
      <w:pPr>
        <w:pStyle w:val="AbstHead"/>
        <w:spacing w:after="0"/>
        <w:jc w:val="both"/>
        <w:rPr>
          <w:rFonts w:ascii="Arial" w:hAnsi="Arial" w:cs="Arial"/>
        </w:rPr>
      </w:pPr>
    </w:p>
    <w:p w14:paraId="118406D6" w14:textId="77777777" w:rsidR="00AB1011" w:rsidRPr="00AB1011" w:rsidRDefault="00AB1011" w:rsidP="00AB1011">
      <w:pPr>
        <w:pStyle w:val="Body"/>
        <w:spacing w:after="0"/>
        <w:rPr>
          <w:rFonts w:ascii="Arial" w:hAnsi="Arial" w:cs="Arial"/>
          <w:lang w:val="en-IN"/>
        </w:rPr>
      </w:pPr>
      <w:r w:rsidRPr="00AB1011">
        <w:rPr>
          <w:rFonts w:ascii="Arial" w:hAnsi="Arial" w:cs="Arial"/>
          <w:lang w:val="en-IN"/>
        </w:rPr>
        <w:t xml:space="preserve">The Green Revolution of the 1960s represented a major transformation in global agriculture through the introduction of semi-dwarf, lodging-resistant, and high-yielding rice and wheat varieties, leading to substantial increases in food production across many developing countries (Khush, 2001; Evenson and Gollin, 2003; Hedden, 2003). Enabled by technological innovations and supportive policies, these varieties were highly responsive to nitrogen fertilization, contributing to an approximately threefold increase in global cereal production since the 1960s, despite only modest increases in cultivated land area and rapid population growth (Pingali, 2012). Under optimal management, these high-yielding varieties often produced two- to three-fold higher grain yields than traditional cultivars (Dalrymple, 1975). The semi-dwarf phenotype, largely conferred by mutations affecting gibberellin biosynthesis or signalling, reduced lodging susceptibility and facilitated greater partitioning of assimilates toward grain production rather than vegetative growth (Hedden, 2003). However, the </w:t>
      </w:r>
      <w:r w:rsidRPr="00AB1011">
        <w:rPr>
          <w:rFonts w:ascii="Arial" w:hAnsi="Arial" w:cs="Arial"/>
          <w:lang w:val="en-IN"/>
        </w:rPr>
        <w:lastRenderedPageBreak/>
        <w:t>genetic architecture that enabled this yield gains also created physiological dependencies — particularly a requirement for heavy nitrogen fertilizer inputs to sustain yield potential (Wang, Yoshida and Matsuoka, 2021).</w:t>
      </w:r>
    </w:p>
    <w:p w14:paraId="11070355" w14:textId="77777777" w:rsidR="00AB1011" w:rsidRPr="00AB1011" w:rsidRDefault="00AB1011" w:rsidP="00AB1011">
      <w:pPr>
        <w:pStyle w:val="Body"/>
        <w:spacing w:after="0"/>
        <w:rPr>
          <w:rFonts w:ascii="Arial" w:hAnsi="Arial" w:cs="Arial"/>
          <w:lang w:val="en-IN"/>
        </w:rPr>
      </w:pPr>
      <w:r w:rsidRPr="00AB1011">
        <w:rPr>
          <w:rFonts w:ascii="Arial" w:hAnsi="Arial" w:cs="Arial"/>
          <w:lang w:val="en-IN"/>
        </w:rPr>
        <w:t xml:space="preserve">This profound over-reliance on synthetic nitrogen has precipitated severe environmental and economic consequences. Globally, only 30-50% of applied nitrogen fertilizer is typically recovered by cereal crops, with the remainder lost through various pathways including ammonia volatilization, nitrous oxide emissions, nitrate leaching, and surface runoff (Raun and Johnson, 1999; Ladha </w:t>
      </w:r>
      <w:r w:rsidRPr="00AB1011">
        <w:rPr>
          <w:rFonts w:ascii="Arial" w:hAnsi="Arial" w:cs="Arial"/>
          <w:i/>
          <w:iCs/>
          <w:lang w:val="en-IN"/>
        </w:rPr>
        <w:t>et al</w:t>
      </w:r>
      <w:r w:rsidRPr="00AB1011">
        <w:rPr>
          <w:rFonts w:ascii="Arial" w:hAnsi="Arial" w:cs="Arial"/>
          <w:lang w:val="en-IN"/>
        </w:rPr>
        <w:t xml:space="preserve">., 2005). This systemic inefficiency, characterized as low Nitrogen Use Efficiency (NUE), results in the release of vast quantities of reactive nitrogen into the biosphere. Consequently, nitrogen runoff into rivers and estuaries is the primary driver of aquatic eutrophication, which triggers massive algal blooms that, upon decomposing, create hypoxic "dead zones" devastating to fisheries and aquatic ecosystems (Tilman </w:t>
      </w:r>
      <w:r w:rsidRPr="00AB1011">
        <w:rPr>
          <w:rFonts w:ascii="Arial" w:hAnsi="Arial" w:cs="Arial"/>
          <w:i/>
          <w:iCs/>
          <w:lang w:val="en-IN"/>
        </w:rPr>
        <w:t>et al</w:t>
      </w:r>
      <w:r w:rsidRPr="00AB1011">
        <w:rPr>
          <w:rFonts w:ascii="Arial" w:hAnsi="Arial" w:cs="Arial"/>
          <w:lang w:val="en-IN"/>
        </w:rPr>
        <w:t>., 2002). Agricultural soils represent the largest anthropogenic source of nitrous oxide (N</w:t>
      </w:r>
      <w:r w:rsidRPr="00AB1011">
        <w:rPr>
          <w:rFonts w:ascii="Arial" w:hAnsi="Arial" w:cs="Arial"/>
          <w:vertAlign w:val="subscript"/>
          <w:lang w:val="en-IN"/>
        </w:rPr>
        <w:t>2</w:t>
      </w:r>
      <w:r w:rsidRPr="00AB1011">
        <w:rPr>
          <w:rFonts w:ascii="Arial" w:hAnsi="Arial" w:cs="Arial"/>
          <w:lang w:val="en-IN"/>
        </w:rPr>
        <w:t>O), a potent greenhouse gas with approximately 300 times the global warming potential of CO</w:t>
      </w:r>
      <w:r w:rsidRPr="00AB1011">
        <w:rPr>
          <w:rFonts w:ascii="Arial" w:hAnsi="Arial" w:cs="Arial"/>
          <w:vertAlign w:val="subscript"/>
          <w:lang w:val="en-IN"/>
        </w:rPr>
        <w:t>2</w:t>
      </w:r>
      <w:r w:rsidRPr="00AB1011">
        <w:rPr>
          <w:rFonts w:ascii="Arial" w:hAnsi="Arial" w:cs="Arial"/>
          <w:lang w:val="en-IN"/>
        </w:rPr>
        <w:t xml:space="preserve">, with nitrogen fertilizer application being the predominant contributor to these emissions (Signor and Cerri, 2013). Beyond environmental impacts, the economic burden of nitrogen fertilizers which are energy-intensive to produce and subject to global price volatility constitutes a significant proportion of total crop production costs, particularly affecting smallholder farmers in developing regions (Erisman </w:t>
      </w:r>
      <w:r w:rsidRPr="00AB1011">
        <w:rPr>
          <w:rFonts w:ascii="Arial" w:hAnsi="Arial" w:cs="Arial"/>
          <w:i/>
          <w:iCs/>
          <w:lang w:val="en-IN"/>
        </w:rPr>
        <w:t>et al</w:t>
      </w:r>
      <w:r w:rsidRPr="00AB1011">
        <w:rPr>
          <w:rFonts w:ascii="Arial" w:hAnsi="Arial" w:cs="Arial"/>
          <w:lang w:val="en-IN"/>
        </w:rPr>
        <w:t xml:space="preserve">., 2008; Zhang </w:t>
      </w:r>
      <w:r w:rsidRPr="00AB1011">
        <w:rPr>
          <w:rFonts w:ascii="Arial" w:hAnsi="Arial" w:cs="Arial"/>
          <w:i/>
          <w:iCs/>
          <w:lang w:val="en-IN"/>
        </w:rPr>
        <w:t>et al</w:t>
      </w:r>
      <w:r w:rsidRPr="00AB1011">
        <w:rPr>
          <w:rFonts w:ascii="Arial" w:hAnsi="Arial" w:cs="Arial"/>
          <w:lang w:val="en-IN"/>
        </w:rPr>
        <w:t>., 2015). These multifaceted consequences underscore the urgent need for crop varieties with enhanced nitrogen use efficiency that can maintain productivity while minimizing nitrogen inputs.</w:t>
      </w:r>
    </w:p>
    <w:p w14:paraId="55178136" w14:textId="77777777" w:rsidR="00AB1011" w:rsidRPr="00AB1011" w:rsidRDefault="00AB1011" w:rsidP="00AB1011">
      <w:pPr>
        <w:pStyle w:val="Body"/>
        <w:spacing w:after="0"/>
        <w:rPr>
          <w:rFonts w:ascii="Arial" w:hAnsi="Arial" w:cs="Arial"/>
          <w:lang w:val="en-IN"/>
        </w:rPr>
      </w:pPr>
      <w:r w:rsidRPr="00AB1011">
        <w:rPr>
          <w:rFonts w:ascii="Arial" w:hAnsi="Arial" w:cs="Arial"/>
          <w:lang w:val="en-IN"/>
        </w:rPr>
        <w:t xml:space="preserve">Although improvements in fertilizer management and agronomic practices have contributed to modest gains in nitrogen use efficiency, such approaches alone have not been sufficient to substantially reduce nitrogen inputs without risking yield penalties in high-yielding cereal systems. Nitrogen use efficiency is an inherently complex trait, encompassing nitrogen uptake, assimilation, transport, remobilization, and signalling, all of which are tightly regulated at the molecular level and coordinated with carbon metabolism, hormonal control, and developmental processes (Xu </w:t>
      </w:r>
      <w:r w:rsidRPr="00AB1011">
        <w:rPr>
          <w:rFonts w:ascii="Arial" w:hAnsi="Arial" w:cs="Arial"/>
          <w:i/>
          <w:iCs/>
          <w:lang w:val="en-IN"/>
        </w:rPr>
        <w:t>et al</w:t>
      </w:r>
      <w:r w:rsidRPr="00AB1011">
        <w:rPr>
          <w:rFonts w:ascii="Arial" w:hAnsi="Arial" w:cs="Arial"/>
          <w:lang w:val="en-IN"/>
        </w:rPr>
        <w:t xml:space="preserve">., 2012). Modern high-yielding varieties, which were largely selected under conditions of high nitrogen availability, are therefore not optimally adapted for efficient nitrogen acquisition and utilization under reduced nitrogen supply, highlighting a genetic constraint that limits further improvement through agronomic interventions alone. Consequently, sustainable enhancement of NUE requires targeted modification of the genetic and regulatory networks underlying nitrogen metabolism and its integration with plant growth and yield formation. Recent advances in plant genomics and precise genome-editing technologies have made it increasingly feasible to fine-tune such key regulatory components, offering new opportunities to improve nitrogen use efficiency while maintaining high productivity (Chen </w:t>
      </w:r>
      <w:r w:rsidRPr="00AB1011">
        <w:rPr>
          <w:rFonts w:ascii="Arial" w:hAnsi="Arial" w:cs="Arial"/>
          <w:i/>
          <w:iCs/>
          <w:lang w:val="en-IN"/>
        </w:rPr>
        <w:t>et al</w:t>
      </w:r>
      <w:r w:rsidRPr="00AB1011">
        <w:rPr>
          <w:rFonts w:ascii="Arial" w:hAnsi="Arial" w:cs="Arial"/>
          <w:lang w:val="en-IN"/>
        </w:rPr>
        <w:t>., 2020).</w:t>
      </w:r>
    </w:p>
    <w:p w14:paraId="620B9D55" w14:textId="77777777" w:rsidR="00790ADA" w:rsidRPr="00FB3A86" w:rsidRDefault="00790ADA" w:rsidP="00441B6F">
      <w:pPr>
        <w:pStyle w:val="Body"/>
        <w:spacing w:after="0"/>
        <w:rPr>
          <w:rFonts w:ascii="Arial" w:hAnsi="Arial" w:cs="Arial"/>
        </w:rPr>
      </w:pPr>
    </w:p>
    <w:p w14:paraId="6252BAB8" w14:textId="4F5C988B" w:rsidR="00D44DD8" w:rsidRPr="00D44DD8" w:rsidRDefault="0049578D" w:rsidP="00D44DD8">
      <w:pPr>
        <w:pStyle w:val="Body"/>
        <w:spacing w:after="0"/>
        <w:rPr>
          <w:rFonts w:ascii="Arial" w:hAnsi="Arial" w:cs="Arial"/>
          <w:b/>
          <w:bCs/>
          <w:caps/>
          <w:sz w:val="22"/>
          <w:lang w:val="en-IN"/>
        </w:rPr>
      </w:pPr>
      <w:r>
        <w:rPr>
          <w:rFonts w:ascii="Arial" w:hAnsi="Arial" w:cs="Arial"/>
          <w:b/>
          <w:bCs/>
          <w:caps/>
          <w:sz w:val="22"/>
          <w:lang w:val="en-IN"/>
        </w:rPr>
        <w:t xml:space="preserve">2. </w:t>
      </w:r>
      <w:r w:rsidR="00D44DD8" w:rsidRPr="00D44DD8">
        <w:rPr>
          <w:rFonts w:ascii="Arial" w:hAnsi="Arial" w:cs="Arial"/>
          <w:b/>
          <w:bCs/>
          <w:caps/>
          <w:sz w:val="22"/>
          <w:lang w:val="en-IN"/>
        </w:rPr>
        <w:t>Green Revolution and yield breakthrough</w:t>
      </w:r>
    </w:p>
    <w:p w14:paraId="1AD20B93" w14:textId="78ADC93F" w:rsidR="00D44DD8" w:rsidRDefault="0049578D" w:rsidP="00D44DD8">
      <w:pPr>
        <w:pStyle w:val="Body"/>
        <w:spacing w:after="0"/>
        <w:rPr>
          <w:rFonts w:ascii="Arial" w:hAnsi="Arial" w:cs="Arial"/>
          <w:b/>
          <w:bCs/>
          <w:caps/>
          <w:szCs w:val="18"/>
          <w:lang w:val="en-IN"/>
        </w:rPr>
      </w:pPr>
      <w:r w:rsidRPr="0049578D">
        <w:rPr>
          <w:rFonts w:ascii="Arial" w:hAnsi="Arial" w:cs="Arial"/>
          <w:b/>
          <w:bCs/>
          <w:caps/>
          <w:szCs w:val="18"/>
          <w:lang w:val="en-IN"/>
        </w:rPr>
        <w:t xml:space="preserve">2.1 </w:t>
      </w:r>
      <w:r w:rsidR="00D44DD8" w:rsidRPr="00D44DD8">
        <w:rPr>
          <w:rFonts w:ascii="Arial" w:hAnsi="Arial" w:cs="Arial"/>
          <w:b/>
          <w:bCs/>
          <w:caps/>
          <w:szCs w:val="18"/>
          <w:lang w:val="en-IN"/>
        </w:rPr>
        <w:t>Development of semi-dwarf varieties</w:t>
      </w:r>
    </w:p>
    <w:p w14:paraId="4BE4A37F" w14:textId="77777777" w:rsidR="0049578D" w:rsidRPr="0049578D" w:rsidRDefault="0049578D" w:rsidP="0049578D">
      <w:pPr>
        <w:tabs>
          <w:tab w:val="left" w:pos="1040"/>
        </w:tabs>
        <w:spacing w:after="160" w:line="259" w:lineRule="auto"/>
        <w:jc w:val="both"/>
        <w:rPr>
          <w:rFonts w:ascii="Arial" w:eastAsia="Calibri" w:hAnsi="Arial" w:cs="Arial"/>
          <w:lang w:val="en-IN"/>
        </w:rPr>
      </w:pPr>
      <w:r w:rsidRPr="0049578D">
        <w:rPr>
          <w:rFonts w:ascii="Arial" w:eastAsia="Calibri" w:hAnsi="Arial" w:cs="Arial"/>
          <w:lang w:val="en-IN"/>
        </w:rPr>
        <w:t xml:space="preserve">The development of semi-dwarf rice and wheat varieties that </w:t>
      </w:r>
      <w:proofErr w:type="spellStart"/>
      <w:r w:rsidRPr="0049578D">
        <w:rPr>
          <w:rFonts w:ascii="Arial" w:eastAsia="Calibri" w:hAnsi="Arial" w:cs="Arial"/>
          <w:lang w:val="en-IN"/>
        </w:rPr>
        <w:t>catalyzed</w:t>
      </w:r>
      <w:proofErr w:type="spellEnd"/>
      <w:r w:rsidRPr="0049578D">
        <w:rPr>
          <w:rFonts w:ascii="Arial" w:eastAsia="Calibri" w:hAnsi="Arial" w:cs="Arial"/>
          <w:lang w:val="en-IN"/>
        </w:rPr>
        <w:t xml:space="preserve"> the Green Revolution emerged from strategic breeding efforts aimed at overcoming the lodging problem that limited the yield potential of traditional tall cultivars under high nitrogen fertilization (Hedden, 2003; Khush, 2001). In rice, this breakthrough was achieved through the incorporation of the recessive semi-dwarf gene </w:t>
      </w:r>
      <w:r w:rsidRPr="0049578D">
        <w:rPr>
          <w:rFonts w:ascii="Arial" w:eastAsia="Calibri" w:hAnsi="Arial" w:cs="Arial"/>
          <w:i/>
          <w:iCs/>
          <w:lang w:val="en-IN"/>
        </w:rPr>
        <w:t>sd1</w:t>
      </w:r>
      <w:r w:rsidRPr="0049578D">
        <w:rPr>
          <w:rFonts w:ascii="Arial" w:eastAsia="Calibri" w:hAnsi="Arial" w:cs="Arial"/>
          <w:lang w:val="en-IN"/>
        </w:rPr>
        <w:t xml:space="preserve">, derived from the Chinese cultivar Dee-geo-woo-gen, into improved breeding lines. The International Rice Research Institute released IR8 in 1966, a variety that combined the </w:t>
      </w:r>
      <w:r w:rsidRPr="0049578D">
        <w:rPr>
          <w:rFonts w:ascii="Arial" w:eastAsia="Calibri" w:hAnsi="Arial" w:cs="Arial"/>
          <w:i/>
          <w:iCs/>
          <w:lang w:val="en-IN"/>
        </w:rPr>
        <w:t>sd1</w:t>
      </w:r>
      <w:r w:rsidRPr="0049578D">
        <w:rPr>
          <w:rFonts w:ascii="Arial" w:eastAsia="Calibri" w:hAnsi="Arial" w:cs="Arial"/>
          <w:lang w:val="en-IN"/>
        </w:rPr>
        <w:t xml:space="preserve"> gene with the high-yielding Indonesian cultivar Peta, resulting in a semi-dwarf, fertilizer-responsive plant type often referred to as “miracle rice” (Khush, 2001; Hedden, 2003; Dalrymple,1978). This variety demonstrated the capacity to produce grain yields </w:t>
      </w:r>
      <w:proofErr w:type="spellStart"/>
      <w:r w:rsidRPr="0049578D">
        <w:rPr>
          <w:rFonts w:ascii="Arial" w:eastAsia="Calibri" w:hAnsi="Arial" w:cs="Arial"/>
          <w:lang w:val="en-IN"/>
        </w:rPr>
        <w:t>upto</w:t>
      </w:r>
      <w:proofErr w:type="spellEnd"/>
      <w:r w:rsidRPr="0049578D">
        <w:rPr>
          <w:rFonts w:ascii="Arial" w:eastAsia="Calibri" w:hAnsi="Arial" w:cs="Arial"/>
          <w:lang w:val="en-IN"/>
        </w:rPr>
        <w:t xml:space="preserve"> 10 tons per hectare under optimal conditions-nearly double that of traditional varieties without succumbing to lodging even under heavy nitrogen application. </w:t>
      </w:r>
    </w:p>
    <w:p w14:paraId="1D6124D1" w14:textId="77777777" w:rsidR="0049578D" w:rsidRPr="0049578D" w:rsidRDefault="0049578D" w:rsidP="0049578D">
      <w:pPr>
        <w:tabs>
          <w:tab w:val="left" w:pos="1040"/>
        </w:tabs>
        <w:spacing w:after="160" w:line="259" w:lineRule="auto"/>
        <w:jc w:val="both"/>
        <w:rPr>
          <w:rFonts w:ascii="Arial" w:eastAsia="Calibri" w:hAnsi="Arial" w:cs="Arial"/>
          <w:lang w:val="en-IN"/>
        </w:rPr>
      </w:pPr>
      <w:r w:rsidRPr="0049578D">
        <w:rPr>
          <w:rFonts w:ascii="Arial" w:eastAsia="Calibri" w:hAnsi="Arial" w:cs="Arial"/>
          <w:lang w:val="en-IN"/>
        </w:rPr>
        <w:t xml:space="preserve"> Parallel to rice breeding success, semi-dwarf wheat varieties revolutionized cereal production through the work of Norman Borlaug at the International Maize and Wheat Improvement </w:t>
      </w:r>
      <w:proofErr w:type="spellStart"/>
      <w:r w:rsidRPr="0049578D">
        <w:rPr>
          <w:rFonts w:ascii="Arial" w:eastAsia="Calibri" w:hAnsi="Arial" w:cs="Arial"/>
          <w:lang w:val="en-IN"/>
        </w:rPr>
        <w:t>Center</w:t>
      </w:r>
      <w:proofErr w:type="spellEnd"/>
      <w:r w:rsidRPr="0049578D">
        <w:rPr>
          <w:rFonts w:ascii="Arial" w:eastAsia="Calibri" w:hAnsi="Arial" w:cs="Arial"/>
          <w:lang w:val="en-IN"/>
        </w:rPr>
        <w:t xml:space="preserve"> (CIMMYT). The key breakthrough came from incorporating the reduced-height (</w:t>
      </w:r>
      <w:proofErr w:type="spellStart"/>
      <w:r w:rsidRPr="0049578D">
        <w:rPr>
          <w:rFonts w:ascii="Arial" w:eastAsia="Calibri" w:hAnsi="Arial" w:cs="Arial"/>
          <w:i/>
          <w:iCs/>
          <w:lang w:val="en-IN"/>
        </w:rPr>
        <w:t>Rht</w:t>
      </w:r>
      <w:proofErr w:type="spellEnd"/>
      <w:r w:rsidRPr="0049578D">
        <w:rPr>
          <w:rFonts w:ascii="Arial" w:eastAsia="Calibri" w:hAnsi="Arial" w:cs="Arial"/>
          <w:lang w:val="en-IN"/>
        </w:rPr>
        <w:t xml:space="preserve">) genes originally identified in the Japanese cultivar Norin 10 into high-yielding Mexican breeding lines (Liu </w:t>
      </w:r>
      <w:r w:rsidRPr="0049578D">
        <w:rPr>
          <w:rFonts w:ascii="Arial" w:eastAsia="Calibri" w:hAnsi="Arial" w:cs="Arial"/>
          <w:i/>
          <w:iCs/>
          <w:lang w:val="en-IN"/>
        </w:rPr>
        <w:t>et al</w:t>
      </w:r>
      <w:r w:rsidRPr="0049578D">
        <w:rPr>
          <w:rFonts w:ascii="Arial" w:eastAsia="Calibri" w:hAnsi="Arial" w:cs="Arial"/>
          <w:lang w:val="en-IN"/>
        </w:rPr>
        <w:t>., 2022). These </w:t>
      </w:r>
      <w:r w:rsidRPr="0049578D">
        <w:rPr>
          <w:rFonts w:ascii="Arial" w:eastAsia="Calibri" w:hAnsi="Arial" w:cs="Arial"/>
          <w:i/>
          <w:iCs/>
          <w:lang w:val="en-IN"/>
        </w:rPr>
        <w:t>Rht-B1b </w:t>
      </w:r>
      <w:r w:rsidRPr="0049578D">
        <w:rPr>
          <w:rFonts w:ascii="Arial" w:eastAsia="Calibri" w:hAnsi="Arial" w:cs="Arial"/>
          <w:lang w:val="en-IN"/>
        </w:rPr>
        <w:t>and </w:t>
      </w:r>
      <w:r w:rsidRPr="0049578D">
        <w:rPr>
          <w:rFonts w:ascii="Arial" w:eastAsia="Calibri" w:hAnsi="Arial" w:cs="Arial"/>
          <w:i/>
          <w:iCs/>
          <w:lang w:val="en-IN"/>
        </w:rPr>
        <w:t>Rht-D1b</w:t>
      </w:r>
      <w:r w:rsidRPr="0049578D">
        <w:rPr>
          <w:rFonts w:ascii="Arial" w:eastAsia="Calibri" w:hAnsi="Arial" w:cs="Arial"/>
          <w:lang w:val="en-IN"/>
        </w:rPr>
        <w:t xml:space="preserve"> alleles are semidominant, providing additive height control that enabled fertilizer-responsive yield gains without lodging (Liu </w:t>
      </w:r>
      <w:r w:rsidRPr="0049578D">
        <w:rPr>
          <w:rFonts w:ascii="Arial" w:eastAsia="Calibri" w:hAnsi="Arial" w:cs="Arial"/>
          <w:i/>
          <w:iCs/>
          <w:lang w:val="en-IN"/>
        </w:rPr>
        <w:t>et al</w:t>
      </w:r>
      <w:r w:rsidRPr="0049578D">
        <w:rPr>
          <w:rFonts w:ascii="Arial" w:eastAsia="Calibri" w:hAnsi="Arial" w:cs="Arial"/>
          <w:lang w:val="en-IN"/>
        </w:rPr>
        <w:t xml:space="preserve">., 2022). The harvest index, which is the ratio of grain weight to total above-ground biomass, increased from approximately 0.3-0.4 in traditional tall varieties to 0.5 or higher in semi-dwarf varieties (Sakamoto &amp; Matsuoka, 2004). This increase indicated that a greater proportion of the plant's photosynthetic products were allocated to grain production rather than vegetative growth. Consequently, higher grain yields were achieved without requiring proportional increases in total biomass production (Hedden, 2003). </w:t>
      </w:r>
    </w:p>
    <w:p w14:paraId="2DAEB4B5" w14:textId="669B567C" w:rsidR="0049578D" w:rsidRPr="0049578D" w:rsidRDefault="0049578D" w:rsidP="0049578D">
      <w:pPr>
        <w:tabs>
          <w:tab w:val="left" w:pos="1040"/>
        </w:tabs>
        <w:jc w:val="both"/>
        <w:rPr>
          <w:rFonts w:ascii="Arial" w:hAnsi="Arial" w:cs="Arial"/>
          <w:b/>
          <w:bCs/>
          <w:sz w:val="22"/>
          <w:szCs w:val="22"/>
        </w:rPr>
      </w:pPr>
      <w:r w:rsidRPr="0049578D">
        <w:rPr>
          <w:rFonts w:ascii="Arial" w:hAnsi="Arial" w:cs="Arial"/>
          <w:b/>
          <w:bCs/>
          <w:sz w:val="22"/>
          <w:szCs w:val="22"/>
        </w:rPr>
        <w:t>2.2 MOLECULAR MECHANISM OF DWARFING GENE IN RICE</w:t>
      </w:r>
    </w:p>
    <w:p w14:paraId="22573CB4"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molecular basis of semi-dwarfism in rice has been extensively characterized, with the </w:t>
      </w:r>
      <w:r w:rsidRPr="0049578D">
        <w:rPr>
          <w:rFonts w:ascii="Arial" w:hAnsi="Arial" w:cs="Arial"/>
          <w:i/>
          <w:iCs/>
        </w:rPr>
        <w:t>sd1</w:t>
      </w:r>
      <w:r w:rsidRPr="0049578D">
        <w:rPr>
          <w:rFonts w:ascii="Arial" w:hAnsi="Arial" w:cs="Arial"/>
        </w:rPr>
        <w:t xml:space="preserve"> (</w:t>
      </w:r>
      <w:r w:rsidRPr="0049578D">
        <w:rPr>
          <w:rFonts w:ascii="Arial" w:hAnsi="Arial" w:cs="Arial"/>
          <w:i/>
          <w:iCs/>
        </w:rPr>
        <w:t>semi-dwarf1</w:t>
      </w:r>
      <w:r w:rsidRPr="0049578D">
        <w:rPr>
          <w:rFonts w:ascii="Arial" w:hAnsi="Arial" w:cs="Arial"/>
        </w:rPr>
        <w:t xml:space="preserve">) gene representing the most widely utilized dwarfing gene in Green Revolution rice breeding. The </w:t>
      </w:r>
      <w:r w:rsidRPr="0049578D">
        <w:rPr>
          <w:rFonts w:ascii="Arial" w:hAnsi="Arial" w:cs="Arial"/>
          <w:i/>
          <w:iCs/>
        </w:rPr>
        <w:t>SD1</w:t>
      </w:r>
      <w:r w:rsidRPr="0049578D">
        <w:rPr>
          <w:rFonts w:ascii="Arial" w:hAnsi="Arial" w:cs="Arial"/>
        </w:rPr>
        <w:t xml:space="preserve"> locus encodes gibberellin 20-oxidase-2 (GA20ox-2 or OsGA20ox2), a key catalytic enzyme in the gibberellin biosynthesis pathway, which regulates stem elongation and plant height through the production of bioactive gibberellins (Sasaki </w:t>
      </w:r>
      <w:r w:rsidRPr="0049578D">
        <w:rPr>
          <w:rFonts w:ascii="Arial" w:hAnsi="Arial" w:cs="Arial"/>
          <w:i/>
          <w:iCs/>
        </w:rPr>
        <w:t>et al</w:t>
      </w:r>
      <w:r w:rsidRPr="0049578D">
        <w:rPr>
          <w:rFonts w:ascii="Arial" w:hAnsi="Arial" w:cs="Arial"/>
        </w:rPr>
        <w:t xml:space="preserve">., 2002; </w:t>
      </w:r>
      <w:proofErr w:type="spellStart"/>
      <w:r w:rsidRPr="0049578D">
        <w:rPr>
          <w:rFonts w:ascii="Arial" w:hAnsi="Arial" w:cs="Arial"/>
        </w:rPr>
        <w:t>Spielmeyer</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2002). Gibberellins are phytohormones essential for normal height development, and alterations in their biosynthesis form the molecular basis of semi-dwarfism in rice.</w:t>
      </w:r>
    </w:p>
    <w:p w14:paraId="07C07AAB" w14:textId="77777777" w:rsidR="0049578D" w:rsidRPr="0049578D" w:rsidRDefault="0049578D" w:rsidP="0049578D">
      <w:pPr>
        <w:tabs>
          <w:tab w:val="left" w:pos="1040"/>
        </w:tabs>
        <w:jc w:val="both"/>
        <w:rPr>
          <w:rFonts w:ascii="Arial" w:hAnsi="Arial" w:cs="Arial"/>
        </w:rPr>
      </w:pPr>
      <w:r w:rsidRPr="0049578D">
        <w:rPr>
          <w:rFonts w:ascii="Arial" w:hAnsi="Arial" w:cs="Arial"/>
        </w:rPr>
        <w:lastRenderedPageBreak/>
        <w:t>GA20ox2 catalyzes the conversion of GA53 to GA20 via the intermediate compounds GA44 and GA19 in the 13-hydroxylation pathway, ultimately leading to the formation of the bioactive gibberellins GA1 and GA3 (</w:t>
      </w:r>
      <w:proofErr w:type="spellStart"/>
      <w:r w:rsidRPr="0049578D">
        <w:rPr>
          <w:rFonts w:ascii="Arial" w:hAnsi="Arial" w:cs="Arial"/>
        </w:rPr>
        <w:t>Spielmeyer</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2002). In indica rice varieties, including the DGWG germplasm used to develop IR8, the </w:t>
      </w:r>
      <w:r w:rsidRPr="0049578D">
        <w:rPr>
          <w:rFonts w:ascii="Arial" w:hAnsi="Arial" w:cs="Arial"/>
          <w:i/>
          <w:iCs/>
        </w:rPr>
        <w:t>sd1</w:t>
      </w:r>
      <w:r w:rsidRPr="0049578D">
        <w:rPr>
          <w:rFonts w:ascii="Arial" w:hAnsi="Arial" w:cs="Arial"/>
        </w:rPr>
        <w:t xml:space="preserve"> allele contains a 383-bp deletion spanning regions between exon 1 and exon 2, resulting in a frameshift mutation that introduces a premature stop codon and produces a nonfunctional GA20ox-2 </w:t>
      </w:r>
      <w:proofErr w:type="gramStart"/>
      <w:r w:rsidRPr="0049578D">
        <w:rPr>
          <w:rFonts w:ascii="Arial" w:hAnsi="Arial" w:cs="Arial"/>
        </w:rPr>
        <w:t>enzyme .</w:t>
      </w:r>
      <w:proofErr w:type="gramEnd"/>
      <w:r w:rsidRPr="0049578D">
        <w:rPr>
          <w:rFonts w:ascii="Arial" w:hAnsi="Arial" w:cs="Arial"/>
        </w:rPr>
        <w:t xml:space="preserve">  This loss-of-function mutation causes a deficiency of bioactive gibberellins in plant tissues, leading to reduced growth and shorter culms that confer lodging resistance and higher harvest </w:t>
      </w:r>
      <w:proofErr w:type="gramStart"/>
      <w:r w:rsidRPr="0049578D">
        <w:rPr>
          <w:rFonts w:ascii="Arial" w:hAnsi="Arial" w:cs="Arial"/>
        </w:rPr>
        <w:t>indices.(</w:t>
      </w:r>
      <w:proofErr w:type="gramEnd"/>
      <w:r w:rsidRPr="0049578D">
        <w:rPr>
          <w:rFonts w:ascii="Arial" w:hAnsi="Arial" w:cs="Arial"/>
        </w:rPr>
        <w:t xml:space="preserve">Sasaki </w:t>
      </w:r>
      <w:r w:rsidRPr="0049578D">
        <w:rPr>
          <w:rFonts w:ascii="Arial" w:hAnsi="Arial" w:cs="Arial"/>
          <w:i/>
          <w:iCs/>
        </w:rPr>
        <w:t>et al</w:t>
      </w:r>
      <w:r w:rsidRPr="0049578D">
        <w:rPr>
          <w:rFonts w:ascii="Arial" w:hAnsi="Arial" w:cs="Arial"/>
        </w:rPr>
        <w:t xml:space="preserve">., 2002; Monna </w:t>
      </w:r>
      <w:r w:rsidRPr="0049578D">
        <w:rPr>
          <w:rFonts w:ascii="Arial" w:hAnsi="Arial" w:cs="Arial"/>
          <w:i/>
          <w:iCs/>
        </w:rPr>
        <w:t>et al</w:t>
      </w:r>
      <w:r w:rsidRPr="0049578D">
        <w:rPr>
          <w:rFonts w:ascii="Arial" w:hAnsi="Arial" w:cs="Arial"/>
        </w:rPr>
        <w:t xml:space="preserve">., 2002). In contrast, japonica semi-dwarf varieties possess different </w:t>
      </w:r>
      <w:r w:rsidRPr="0049578D">
        <w:rPr>
          <w:rFonts w:ascii="Arial" w:hAnsi="Arial" w:cs="Arial"/>
          <w:i/>
          <w:iCs/>
        </w:rPr>
        <w:t>sd1</w:t>
      </w:r>
      <w:r w:rsidRPr="0049578D">
        <w:rPr>
          <w:rFonts w:ascii="Arial" w:hAnsi="Arial" w:cs="Arial"/>
        </w:rPr>
        <w:t xml:space="preserve"> alleles involving single nucleotide substitutions that cause amino acid changes in varieties such as </w:t>
      </w:r>
      <w:proofErr w:type="spellStart"/>
      <w:r w:rsidRPr="0049578D">
        <w:rPr>
          <w:rFonts w:ascii="Arial" w:hAnsi="Arial" w:cs="Arial"/>
        </w:rPr>
        <w:t>Jikkoku</w:t>
      </w:r>
      <w:proofErr w:type="spellEnd"/>
      <w:r w:rsidRPr="0049578D">
        <w:rPr>
          <w:rFonts w:ascii="Arial" w:hAnsi="Arial" w:cs="Arial"/>
        </w:rPr>
        <w:t xml:space="preserve">, Calrose76, and </w:t>
      </w:r>
      <w:proofErr w:type="spellStart"/>
      <w:r w:rsidRPr="0049578D">
        <w:rPr>
          <w:rFonts w:ascii="Arial" w:hAnsi="Arial" w:cs="Arial"/>
        </w:rPr>
        <w:t>Reimei</w:t>
      </w:r>
      <w:proofErr w:type="spellEnd"/>
      <w:r w:rsidRPr="0049578D">
        <w:rPr>
          <w:rFonts w:ascii="Arial" w:hAnsi="Arial" w:cs="Arial"/>
        </w:rPr>
        <w:t xml:space="preserve"> (Sasaki </w:t>
      </w:r>
      <w:r w:rsidRPr="0049578D">
        <w:rPr>
          <w:rFonts w:ascii="Arial" w:hAnsi="Arial" w:cs="Arial"/>
          <w:i/>
          <w:iCs/>
        </w:rPr>
        <w:t>et al</w:t>
      </w:r>
      <w:r w:rsidRPr="0049578D">
        <w:rPr>
          <w:rFonts w:ascii="Arial" w:hAnsi="Arial" w:cs="Arial"/>
        </w:rPr>
        <w:t xml:space="preserve">., 2002; </w:t>
      </w:r>
      <w:proofErr w:type="spellStart"/>
      <w:r w:rsidRPr="0049578D">
        <w:rPr>
          <w:rFonts w:ascii="Arial" w:hAnsi="Arial" w:cs="Arial"/>
        </w:rPr>
        <w:t>Ashikari</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2002). Despite the different molecular lesions, all </w:t>
      </w:r>
      <w:r w:rsidRPr="0049578D">
        <w:rPr>
          <w:rFonts w:ascii="Arial" w:hAnsi="Arial" w:cs="Arial"/>
          <w:i/>
          <w:iCs/>
        </w:rPr>
        <w:t>sd1</w:t>
      </w:r>
      <w:r w:rsidRPr="0049578D">
        <w:rPr>
          <w:rFonts w:ascii="Arial" w:hAnsi="Arial" w:cs="Arial"/>
        </w:rPr>
        <w:t xml:space="preserve"> alleles result in reduced GA20ox activity. The semi-dwarf phenotype, rather than extreme dwarfism, is explained by functional redundancy among GA20ox family members, as rice contains multiple GA20ox genes including OsGA20ox1, OsGA20ox3, and OsGA20ox4, which partially compensate for the loss of OsGA20ox2 function (Oikawa </w:t>
      </w:r>
      <w:r w:rsidRPr="0049578D">
        <w:rPr>
          <w:rFonts w:ascii="Arial" w:hAnsi="Arial" w:cs="Arial"/>
          <w:i/>
          <w:iCs/>
        </w:rPr>
        <w:t>et al</w:t>
      </w:r>
      <w:r w:rsidRPr="0049578D">
        <w:rPr>
          <w:rFonts w:ascii="Arial" w:hAnsi="Arial" w:cs="Arial"/>
        </w:rPr>
        <w:t>., 2004).</w:t>
      </w:r>
      <w:r w:rsidRPr="0049578D">
        <w:rPr>
          <w:rFonts w:ascii="Arial" w:hAnsi="Arial" w:cs="Arial"/>
        </w:rPr>
        <w:br/>
      </w:r>
      <w:r w:rsidRPr="0049578D">
        <w:rPr>
          <w:rFonts w:ascii="Arial" w:hAnsi="Arial" w:cs="Arial"/>
          <w:vanish/>
        </w:rPr>
        <w:t>Top of Form</w:t>
      </w:r>
    </w:p>
    <w:p w14:paraId="7E2EAB37" w14:textId="34704960" w:rsidR="0049578D" w:rsidRPr="0049578D" w:rsidRDefault="0049578D" w:rsidP="0049578D">
      <w:pPr>
        <w:tabs>
          <w:tab w:val="left" w:pos="1040"/>
        </w:tabs>
        <w:jc w:val="both"/>
        <w:rPr>
          <w:rFonts w:ascii="Arial" w:hAnsi="Arial" w:cs="Arial"/>
          <w:sz w:val="22"/>
          <w:szCs w:val="22"/>
        </w:rPr>
      </w:pPr>
      <w:r w:rsidRPr="0049578D">
        <w:rPr>
          <w:rFonts w:ascii="Arial" w:hAnsi="Arial" w:cs="Arial"/>
          <w:b/>
          <w:bCs/>
          <w:sz w:val="22"/>
          <w:szCs w:val="22"/>
        </w:rPr>
        <w:t>2.3 GIBBERELLIN SIGNALLING AND DEGRADATION</w:t>
      </w:r>
    </w:p>
    <w:p w14:paraId="5F6B468E" w14:textId="77777777" w:rsidR="0049578D" w:rsidRPr="0049578D" w:rsidRDefault="0049578D" w:rsidP="0049578D">
      <w:pPr>
        <w:tabs>
          <w:tab w:val="left" w:pos="1040"/>
        </w:tabs>
        <w:jc w:val="both"/>
        <w:rPr>
          <w:rFonts w:ascii="Arial" w:hAnsi="Arial" w:cs="Arial"/>
          <w:vanish/>
        </w:rPr>
      </w:pPr>
      <w:r w:rsidRPr="0049578D">
        <w:rPr>
          <w:rFonts w:ascii="Arial" w:hAnsi="Arial" w:cs="Arial"/>
          <w:vanish/>
        </w:rPr>
        <w:t>Bottom of Form</w:t>
      </w:r>
    </w:p>
    <w:p w14:paraId="317E8CE1"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Central to gibberellin signal transduction are DELLA proteins, which function as master growth repressors in the gibberellin </w:t>
      </w:r>
      <w:proofErr w:type="spellStart"/>
      <w:r w:rsidRPr="0049578D">
        <w:rPr>
          <w:rFonts w:ascii="Arial" w:hAnsi="Arial" w:cs="Arial"/>
        </w:rPr>
        <w:t>signalling</w:t>
      </w:r>
      <w:proofErr w:type="spellEnd"/>
      <w:r w:rsidRPr="0049578D">
        <w:rPr>
          <w:rFonts w:ascii="Arial" w:hAnsi="Arial" w:cs="Arial"/>
        </w:rPr>
        <w:t xml:space="preserve"> pathway and belong to a subgroup of the GRAS family of plant-specific transcription factors (Xue </w:t>
      </w:r>
      <w:r w:rsidRPr="0049578D">
        <w:rPr>
          <w:rFonts w:ascii="Arial" w:hAnsi="Arial" w:cs="Arial"/>
          <w:i/>
          <w:iCs/>
        </w:rPr>
        <w:t>et al</w:t>
      </w:r>
      <w:r w:rsidRPr="0049578D">
        <w:rPr>
          <w:rFonts w:ascii="Arial" w:hAnsi="Arial" w:cs="Arial"/>
        </w:rPr>
        <w:t>., 2019).Gibberellins regulate plant growth and development by modulating the activity of DELLA proteins, which function as transcriptional repressors (</w:t>
      </w:r>
      <w:proofErr w:type="spellStart"/>
      <w:r w:rsidRPr="0049578D">
        <w:rPr>
          <w:rFonts w:ascii="Arial" w:hAnsi="Arial" w:cs="Arial"/>
        </w:rPr>
        <w:t>Davière</w:t>
      </w:r>
      <w:proofErr w:type="spellEnd"/>
      <w:r w:rsidRPr="0049578D">
        <w:rPr>
          <w:rFonts w:ascii="Arial" w:hAnsi="Arial" w:cs="Arial"/>
        </w:rPr>
        <w:t xml:space="preserve"> and </w:t>
      </w:r>
      <w:proofErr w:type="spellStart"/>
      <w:r w:rsidRPr="0049578D">
        <w:rPr>
          <w:rFonts w:ascii="Arial" w:hAnsi="Arial" w:cs="Arial"/>
        </w:rPr>
        <w:t>Achard</w:t>
      </w:r>
      <w:proofErr w:type="spellEnd"/>
      <w:r w:rsidRPr="0049578D">
        <w:rPr>
          <w:rFonts w:ascii="Arial" w:hAnsi="Arial" w:cs="Arial"/>
        </w:rPr>
        <w:t xml:space="preserve">, 2016).DELLA proteins possess a distinctive structural organization consisting of an N-terminal region with DELLA and VHYNP domains required for interaction with the gibberellin receptor GID1, and a C-terminal GRAS domain responsible for repressing gibberellin responses (Xue </w:t>
      </w:r>
      <w:r w:rsidRPr="0049578D">
        <w:rPr>
          <w:rFonts w:ascii="Arial" w:hAnsi="Arial" w:cs="Arial"/>
          <w:i/>
          <w:iCs/>
        </w:rPr>
        <w:t>et al</w:t>
      </w:r>
      <w:r w:rsidRPr="0049578D">
        <w:rPr>
          <w:rFonts w:ascii="Arial" w:hAnsi="Arial" w:cs="Arial"/>
        </w:rPr>
        <w:t xml:space="preserve">., 2019).  Rice contains one DELLA protein designated SLENDER RICE1 (SLR1), while other plant species such as Arabidopsis possess multiple DELLA family members (Ikeda </w:t>
      </w:r>
      <w:r w:rsidRPr="0049578D">
        <w:rPr>
          <w:rFonts w:ascii="Arial" w:hAnsi="Arial" w:cs="Arial"/>
          <w:i/>
          <w:iCs/>
        </w:rPr>
        <w:t>et al</w:t>
      </w:r>
      <w:r w:rsidRPr="0049578D">
        <w:rPr>
          <w:rFonts w:ascii="Arial" w:hAnsi="Arial" w:cs="Arial"/>
        </w:rPr>
        <w:t xml:space="preserve">., 2001). </w:t>
      </w:r>
    </w:p>
    <w:p w14:paraId="5EEF5EA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When bioactive gibberellins bind to the soluble GA receptor GIBBERELLIN INSENSITIVE DWARF1 (GID1), it induces a conformational change that enhances the interaction between GID1 and DELLA proteins. The formation of the GA–GID1–DELLA complex facilitates the recognition of DELLA proteins by the SCF (SKP1–Cullin–F-box) E3 ubiquitin ligase complex, specifically via the F-box proteins SLEEPY1 (SLY1) in Arabidopsis or GID2 in rice. This interaction leads to polyubiquitination of DELLA proteins, marking them for degradation by the 26S proteasome (Xue </w:t>
      </w:r>
      <w:r w:rsidRPr="0049578D">
        <w:rPr>
          <w:rFonts w:ascii="Arial" w:hAnsi="Arial" w:cs="Arial"/>
          <w:i/>
          <w:iCs/>
        </w:rPr>
        <w:t>et al</w:t>
      </w:r>
      <w:r w:rsidRPr="0049578D">
        <w:rPr>
          <w:rFonts w:ascii="Arial" w:hAnsi="Arial" w:cs="Arial"/>
        </w:rPr>
        <w:t xml:space="preserve">., 2019).  </w:t>
      </w:r>
    </w:p>
    <w:p w14:paraId="200F922D"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degradation of DELLA proteins lifts the repression of GA-responsive genes, allowing for processes such as stem elongation, seed germination, and overall plant growth. However, </w:t>
      </w:r>
      <w:proofErr w:type="gramStart"/>
      <w:r w:rsidRPr="0049578D">
        <w:rPr>
          <w:rFonts w:ascii="Arial" w:hAnsi="Arial" w:cs="Arial"/>
        </w:rPr>
        <w:t>in  the</w:t>
      </w:r>
      <w:proofErr w:type="gramEnd"/>
      <w:r w:rsidRPr="0049578D">
        <w:rPr>
          <w:rFonts w:ascii="Arial" w:hAnsi="Arial" w:cs="Arial"/>
        </w:rPr>
        <w:t xml:space="preserve"> absence of GA, DELLA proteins accumulate and repress the transcription of GA -dependent genes, resulting in dwarfism, as seen in plants with mutations in GA biosynthesis genes like </w:t>
      </w:r>
      <w:r w:rsidRPr="0049578D">
        <w:rPr>
          <w:rFonts w:ascii="Arial" w:hAnsi="Arial" w:cs="Arial"/>
          <w:i/>
          <w:iCs/>
        </w:rPr>
        <w:t xml:space="preserve">sd1 </w:t>
      </w:r>
      <w:r w:rsidRPr="0049578D">
        <w:rPr>
          <w:rFonts w:ascii="Arial" w:hAnsi="Arial" w:cs="Arial"/>
        </w:rPr>
        <w:t>(</w:t>
      </w:r>
      <w:proofErr w:type="spellStart"/>
      <w:r w:rsidRPr="0049578D">
        <w:rPr>
          <w:rFonts w:ascii="Arial" w:hAnsi="Arial" w:cs="Arial"/>
        </w:rPr>
        <w:t>Davière</w:t>
      </w:r>
      <w:proofErr w:type="spellEnd"/>
      <w:r w:rsidRPr="0049578D">
        <w:rPr>
          <w:rFonts w:ascii="Arial" w:hAnsi="Arial" w:cs="Arial"/>
        </w:rPr>
        <w:t xml:space="preserve"> and </w:t>
      </w:r>
      <w:proofErr w:type="spellStart"/>
      <w:r w:rsidRPr="0049578D">
        <w:rPr>
          <w:rFonts w:ascii="Arial" w:hAnsi="Arial" w:cs="Arial"/>
        </w:rPr>
        <w:t>Achard</w:t>
      </w:r>
      <w:proofErr w:type="spellEnd"/>
      <w:r w:rsidRPr="0049578D">
        <w:rPr>
          <w:rFonts w:ascii="Arial" w:hAnsi="Arial" w:cs="Arial"/>
        </w:rPr>
        <w:t>, 2016).</w:t>
      </w:r>
    </w:p>
    <w:p w14:paraId="106789D7" w14:textId="77777777" w:rsidR="0049578D" w:rsidRPr="0049578D" w:rsidRDefault="0049578D" w:rsidP="0049578D">
      <w:pPr>
        <w:tabs>
          <w:tab w:val="left" w:pos="1040"/>
        </w:tabs>
        <w:jc w:val="both"/>
        <w:rPr>
          <w:rFonts w:ascii="Arial" w:hAnsi="Arial" w:cs="Arial"/>
        </w:rPr>
      </w:pPr>
    </w:p>
    <w:p w14:paraId="6F1FA723" w14:textId="132687B3" w:rsidR="0049578D" w:rsidRPr="0049578D" w:rsidRDefault="0049578D" w:rsidP="0049578D">
      <w:pPr>
        <w:tabs>
          <w:tab w:val="left" w:pos="1040"/>
        </w:tabs>
        <w:jc w:val="both"/>
        <w:rPr>
          <w:rFonts w:ascii="Arial" w:hAnsi="Arial" w:cs="Arial"/>
          <w:b/>
          <w:bCs/>
        </w:rPr>
      </w:pPr>
      <w:r w:rsidRPr="0049578D">
        <w:rPr>
          <w:rFonts w:ascii="Arial" w:hAnsi="Arial" w:cs="Arial"/>
          <w:b/>
          <w:bCs/>
          <w:sz w:val="22"/>
          <w:szCs w:val="22"/>
        </w:rPr>
        <w:t>2.4 MOLECULAR MECHANISM OF DWARFING GENE IN WHEAT</w:t>
      </w:r>
    </w:p>
    <w:p w14:paraId="2C5BE619"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dwarfing genes that revolutionized wheat production, </w:t>
      </w:r>
      <w:r w:rsidRPr="0049578D">
        <w:rPr>
          <w:rFonts w:ascii="Arial" w:hAnsi="Arial" w:cs="Arial"/>
          <w:i/>
          <w:iCs/>
        </w:rPr>
        <w:t>Rht-B1b</w:t>
      </w:r>
      <w:r w:rsidRPr="0049578D">
        <w:rPr>
          <w:rFonts w:ascii="Arial" w:hAnsi="Arial" w:cs="Arial"/>
        </w:rPr>
        <w:t xml:space="preserve"> (formerly </w:t>
      </w:r>
      <w:r w:rsidRPr="0049578D">
        <w:rPr>
          <w:rFonts w:ascii="Arial" w:hAnsi="Arial" w:cs="Arial"/>
          <w:i/>
          <w:iCs/>
        </w:rPr>
        <w:t>Rht</w:t>
      </w:r>
      <w:r w:rsidRPr="0049578D">
        <w:rPr>
          <w:rFonts w:ascii="Arial" w:hAnsi="Arial" w:cs="Arial"/>
        </w:rPr>
        <w:t xml:space="preserve">1) and </w:t>
      </w:r>
      <w:r w:rsidRPr="0049578D">
        <w:rPr>
          <w:rFonts w:ascii="Arial" w:hAnsi="Arial" w:cs="Arial"/>
          <w:i/>
          <w:iCs/>
        </w:rPr>
        <w:t>Rht-D1b</w:t>
      </w:r>
      <w:r w:rsidRPr="0049578D">
        <w:rPr>
          <w:rFonts w:ascii="Arial" w:hAnsi="Arial" w:cs="Arial"/>
        </w:rPr>
        <w:t xml:space="preserve"> (formerly </w:t>
      </w:r>
      <w:r w:rsidRPr="0049578D">
        <w:rPr>
          <w:rFonts w:ascii="Arial" w:hAnsi="Arial" w:cs="Arial"/>
          <w:i/>
          <w:iCs/>
        </w:rPr>
        <w:t>Rht</w:t>
      </w:r>
      <w:r w:rsidRPr="0049578D">
        <w:rPr>
          <w:rFonts w:ascii="Arial" w:hAnsi="Arial" w:cs="Arial"/>
        </w:rPr>
        <w:t xml:space="preserve">2), operate through a molecular mechanism fundamentally different from that of the rice </w:t>
      </w:r>
      <w:r w:rsidRPr="0049578D">
        <w:rPr>
          <w:rFonts w:ascii="Arial" w:hAnsi="Arial" w:cs="Arial"/>
          <w:i/>
          <w:iCs/>
        </w:rPr>
        <w:t>sd1</w:t>
      </w:r>
      <w:r w:rsidRPr="0049578D">
        <w:rPr>
          <w:rFonts w:ascii="Arial" w:hAnsi="Arial" w:cs="Arial"/>
        </w:rPr>
        <w:t xml:space="preserve"> gene. Unlike </w:t>
      </w:r>
      <w:r w:rsidRPr="0049578D">
        <w:rPr>
          <w:rFonts w:ascii="Arial" w:hAnsi="Arial" w:cs="Arial"/>
          <w:i/>
          <w:iCs/>
        </w:rPr>
        <w:t>sd1</w:t>
      </w:r>
      <w:r w:rsidRPr="0049578D">
        <w:rPr>
          <w:rFonts w:ascii="Arial" w:hAnsi="Arial" w:cs="Arial"/>
        </w:rPr>
        <w:t xml:space="preserve">, which reduces gibberellin (GA) biosynthesis, these wheat alleles confer gibberellin insensitivity (Peng </w:t>
      </w:r>
      <w:r w:rsidRPr="0049578D">
        <w:rPr>
          <w:rFonts w:ascii="Arial" w:hAnsi="Arial" w:cs="Arial"/>
          <w:i/>
          <w:iCs/>
        </w:rPr>
        <w:t>et al.</w:t>
      </w:r>
      <w:r w:rsidRPr="0049578D">
        <w:rPr>
          <w:rFonts w:ascii="Arial" w:hAnsi="Arial" w:cs="Arial"/>
        </w:rPr>
        <w:t xml:space="preserve">, 1999). They represent gain-of-function mutations in genes encoding DELLA proteins, key negative regulators of GA </w:t>
      </w:r>
      <w:proofErr w:type="spellStart"/>
      <w:r w:rsidRPr="0049578D">
        <w:rPr>
          <w:rFonts w:ascii="Arial" w:hAnsi="Arial" w:cs="Arial"/>
        </w:rPr>
        <w:t>signalling</w:t>
      </w:r>
      <w:proofErr w:type="spellEnd"/>
      <w:r w:rsidRPr="0049578D">
        <w:rPr>
          <w:rFonts w:ascii="Arial" w:hAnsi="Arial" w:cs="Arial"/>
        </w:rPr>
        <w:t xml:space="preserve"> (Peng </w:t>
      </w:r>
      <w:r w:rsidRPr="0049578D">
        <w:rPr>
          <w:rFonts w:ascii="Arial" w:hAnsi="Arial" w:cs="Arial"/>
          <w:i/>
          <w:iCs/>
        </w:rPr>
        <w:t>et al.</w:t>
      </w:r>
      <w:r w:rsidRPr="0049578D">
        <w:rPr>
          <w:rFonts w:ascii="Arial" w:hAnsi="Arial" w:cs="Arial"/>
        </w:rPr>
        <w:t xml:space="preserve">, 1999; Sasaki </w:t>
      </w:r>
      <w:r w:rsidRPr="0049578D">
        <w:rPr>
          <w:rFonts w:ascii="Arial" w:hAnsi="Arial" w:cs="Arial"/>
          <w:i/>
          <w:iCs/>
        </w:rPr>
        <w:t>et al.</w:t>
      </w:r>
      <w:r w:rsidRPr="0049578D">
        <w:rPr>
          <w:rFonts w:ascii="Arial" w:hAnsi="Arial" w:cs="Arial"/>
        </w:rPr>
        <w:t>, 2002).</w:t>
      </w:r>
    </w:p>
    <w:p w14:paraId="5C9714A3"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Both </w:t>
      </w:r>
      <w:r w:rsidRPr="0049578D">
        <w:rPr>
          <w:rFonts w:ascii="Arial" w:hAnsi="Arial" w:cs="Arial"/>
          <w:i/>
          <w:iCs/>
        </w:rPr>
        <w:t>Rht-B1b</w:t>
      </w:r>
      <w:r w:rsidRPr="0049578D">
        <w:rPr>
          <w:rFonts w:ascii="Arial" w:hAnsi="Arial" w:cs="Arial"/>
        </w:rPr>
        <w:t xml:space="preserve"> and </w:t>
      </w:r>
      <w:r w:rsidRPr="0049578D">
        <w:rPr>
          <w:rFonts w:ascii="Arial" w:hAnsi="Arial" w:cs="Arial"/>
          <w:i/>
          <w:iCs/>
        </w:rPr>
        <w:t>Rht-D1b</w:t>
      </w:r>
      <w:r w:rsidRPr="0049578D">
        <w:rPr>
          <w:rFonts w:ascii="Arial" w:hAnsi="Arial" w:cs="Arial"/>
        </w:rPr>
        <w:t xml:space="preserve"> carry single nucleotide substitutions that introduce premature stop codons within the N-terminal coding region of the DELLA protein. Specifically, in </w:t>
      </w:r>
      <w:r w:rsidRPr="0049578D">
        <w:rPr>
          <w:rFonts w:ascii="Arial" w:hAnsi="Arial" w:cs="Arial"/>
          <w:i/>
          <w:iCs/>
        </w:rPr>
        <w:t>Rht-B1b</w:t>
      </w:r>
      <w:r w:rsidRPr="0049578D">
        <w:rPr>
          <w:rFonts w:ascii="Arial" w:hAnsi="Arial" w:cs="Arial"/>
        </w:rPr>
        <w:t xml:space="preserve">, the codon for glutamine at position 64 is converted into a stop codon, while in </w:t>
      </w:r>
      <w:r w:rsidRPr="0049578D">
        <w:rPr>
          <w:rFonts w:ascii="Arial" w:hAnsi="Arial" w:cs="Arial"/>
          <w:i/>
          <w:iCs/>
        </w:rPr>
        <w:t>Rht-D1b</w:t>
      </w:r>
      <w:r w:rsidRPr="0049578D">
        <w:rPr>
          <w:rFonts w:ascii="Arial" w:hAnsi="Arial" w:cs="Arial"/>
        </w:rPr>
        <w:t xml:space="preserve">, a similar substitution converts the glutamic acid codon at position 61 into a stop codon (Peng </w:t>
      </w:r>
      <w:r w:rsidRPr="0049578D">
        <w:rPr>
          <w:rFonts w:ascii="Arial" w:hAnsi="Arial" w:cs="Arial"/>
          <w:i/>
          <w:iCs/>
        </w:rPr>
        <w:t>et al.</w:t>
      </w:r>
      <w:r w:rsidRPr="0049578D">
        <w:rPr>
          <w:rFonts w:ascii="Arial" w:hAnsi="Arial" w:cs="Arial"/>
        </w:rPr>
        <w:t xml:space="preserve">, 1999; Pearce </w:t>
      </w:r>
      <w:r w:rsidRPr="0049578D">
        <w:rPr>
          <w:rFonts w:ascii="Arial" w:hAnsi="Arial" w:cs="Arial"/>
          <w:i/>
          <w:iCs/>
        </w:rPr>
        <w:t>et al.</w:t>
      </w:r>
      <w:r w:rsidRPr="0049578D">
        <w:rPr>
          <w:rFonts w:ascii="Arial" w:hAnsi="Arial" w:cs="Arial"/>
        </w:rPr>
        <w:t xml:space="preserve">, 2011). These mutations result in truncated DELLA proteins lacking part of the conserved N-terminal DELLA domain that is required for GA-dependent degradation (Peng </w:t>
      </w:r>
      <w:r w:rsidRPr="0049578D">
        <w:rPr>
          <w:rFonts w:ascii="Arial" w:hAnsi="Arial" w:cs="Arial"/>
          <w:i/>
          <w:iCs/>
        </w:rPr>
        <w:t>et al</w:t>
      </w:r>
      <w:r w:rsidRPr="0049578D">
        <w:rPr>
          <w:rFonts w:ascii="Arial" w:hAnsi="Arial" w:cs="Arial"/>
        </w:rPr>
        <w:t>., 1999).</w:t>
      </w:r>
    </w:p>
    <w:p w14:paraId="2AFF9CF7"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Despite the presence of early termination codons, genetic evidence indicates that these alleles produce functional mutant proteins (Peng </w:t>
      </w:r>
      <w:r w:rsidRPr="0049578D">
        <w:rPr>
          <w:rFonts w:ascii="Arial" w:hAnsi="Arial" w:cs="Arial"/>
          <w:i/>
          <w:iCs/>
        </w:rPr>
        <w:t>et al.</w:t>
      </w:r>
      <w:r w:rsidRPr="0049578D">
        <w:rPr>
          <w:rFonts w:ascii="Arial" w:hAnsi="Arial" w:cs="Arial"/>
        </w:rPr>
        <w:t xml:space="preserve">, 1999; Pearce </w:t>
      </w:r>
      <w:r w:rsidRPr="0049578D">
        <w:rPr>
          <w:rFonts w:ascii="Arial" w:hAnsi="Arial" w:cs="Arial"/>
          <w:i/>
          <w:iCs/>
        </w:rPr>
        <w:t>et al.</w:t>
      </w:r>
      <w:r w:rsidRPr="0049578D">
        <w:rPr>
          <w:rFonts w:ascii="Arial" w:hAnsi="Arial" w:cs="Arial"/>
        </w:rPr>
        <w:t xml:space="preserve">, 2011). It has been proposed that translation reinitiates downstream of the premature stop codon, generating N-terminally truncated DELLA proteins that retain the C-terminal GRAS regulatory domain (Peng </w:t>
      </w:r>
      <w:r w:rsidRPr="0049578D">
        <w:rPr>
          <w:rFonts w:ascii="Arial" w:hAnsi="Arial" w:cs="Arial"/>
          <w:i/>
          <w:iCs/>
        </w:rPr>
        <w:t>et al.</w:t>
      </w:r>
      <w:r w:rsidRPr="0049578D">
        <w:rPr>
          <w:rFonts w:ascii="Arial" w:hAnsi="Arial" w:cs="Arial"/>
        </w:rPr>
        <w:t xml:space="preserve">, 1999). In wild-type plants, DELLA proteins are degraded upon GA perception through the GA–GID1–DELLA complex followed by ubiquitin-mediated proteolysis. In contrast, the truncated </w:t>
      </w:r>
      <w:proofErr w:type="spellStart"/>
      <w:r w:rsidRPr="0049578D">
        <w:rPr>
          <w:rFonts w:ascii="Arial" w:hAnsi="Arial" w:cs="Arial"/>
          <w:i/>
          <w:iCs/>
        </w:rPr>
        <w:t>Rht</w:t>
      </w:r>
      <w:proofErr w:type="spellEnd"/>
      <w:r w:rsidRPr="0049578D">
        <w:rPr>
          <w:rFonts w:ascii="Arial" w:hAnsi="Arial" w:cs="Arial"/>
        </w:rPr>
        <w:t xml:space="preserve"> proteins show reduced sensitivity to this degradation </w:t>
      </w:r>
      <w:proofErr w:type="gramStart"/>
      <w:r w:rsidRPr="0049578D">
        <w:rPr>
          <w:rFonts w:ascii="Arial" w:hAnsi="Arial" w:cs="Arial"/>
        </w:rPr>
        <w:t>pathway  (</w:t>
      </w:r>
      <w:proofErr w:type="gramEnd"/>
      <w:r w:rsidRPr="0049578D">
        <w:rPr>
          <w:rFonts w:ascii="Arial" w:hAnsi="Arial" w:cs="Arial"/>
        </w:rPr>
        <w:t xml:space="preserve">Van De Velde </w:t>
      </w:r>
      <w:r w:rsidRPr="0049578D">
        <w:rPr>
          <w:rFonts w:ascii="Arial" w:hAnsi="Arial" w:cs="Arial"/>
          <w:i/>
          <w:iCs/>
        </w:rPr>
        <w:t>et al.</w:t>
      </w:r>
      <w:r w:rsidRPr="0049578D">
        <w:rPr>
          <w:rFonts w:ascii="Arial" w:hAnsi="Arial" w:cs="Arial"/>
        </w:rPr>
        <w:t xml:space="preserve">, 2021; Peng </w:t>
      </w:r>
      <w:r w:rsidRPr="0049578D">
        <w:rPr>
          <w:rFonts w:ascii="Arial" w:hAnsi="Arial" w:cs="Arial"/>
          <w:i/>
          <w:iCs/>
        </w:rPr>
        <w:t>et al</w:t>
      </w:r>
      <w:r w:rsidRPr="0049578D">
        <w:rPr>
          <w:rFonts w:ascii="Arial" w:hAnsi="Arial" w:cs="Arial"/>
        </w:rPr>
        <w:t xml:space="preserve">., 1999). As a consequence, the mutant DELLA proteins persist in the nucleus and constitutively repress GA-responsive growth processes, particularly stem elongation, leading to the characteristic semi-dwarf phenotype of Green Revolution wheat cultivars (Pearce </w:t>
      </w:r>
      <w:r w:rsidRPr="0049578D">
        <w:rPr>
          <w:rFonts w:ascii="Arial" w:hAnsi="Arial" w:cs="Arial"/>
          <w:i/>
          <w:iCs/>
        </w:rPr>
        <w:t>et al.</w:t>
      </w:r>
      <w:r w:rsidRPr="0049578D">
        <w:rPr>
          <w:rFonts w:ascii="Arial" w:hAnsi="Arial" w:cs="Arial"/>
        </w:rPr>
        <w:t xml:space="preserve">, 2011; Van De Velde </w:t>
      </w:r>
      <w:r w:rsidRPr="0049578D">
        <w:rPr>
          <w:rFonts w:ascii="Arial" w:hAnsi="Arial" w:cs="Arial"/>
          <w:i/>
          <w:iCs/>
        </w:rPr>
        <w:t>et al.</w:t>
      </w:r>
      <w:r w:rsidRPr="0049578D">
        <w:rPr>
          <w:rFonts w:ascii="Arial" w:hAnsi="Arial" w:cs="Arial"/>
        </w:rPr>
        <w:t>, 2021).</w:t>
      </w:r>
    </w:p>
    <w:p w14:paraId="2B356ADA" w14:textId="77777777" w:rsidR="0049578D" w:rsidRDefault="0049578D" w:rsidP="0049578D">
      <w:pPr>
        <w:tabs>
          <w:tab w:val="left" w:pos="1040"/>
        </w:tabs>
        <w:jc w:val="both"/>
        <w:rPr>
          <w:rFonts w:ascii="Arial" w:hAnsi="Arial" w:cs="Arial"/>
        </w:rPr>
      </w:pPr>
      <w:r w:rsidRPr="0049578D">
        <w:rPr>
          <w:rFonts w:ascii="Arial" w:hAnsi="Arial" w:cs="Arial"/>
        </w:rPr>
        <w:t xml:space="preserve">The semi-dwarf phenotype conferred by </w:t>
      </w:r>
      <w:r w:rsidRPr="0049578D">
        <w:rPr>
          <w:rFonts w:ascii="Arial" w:hAnsi="Arial" w:cs="Arial"/>
          <w:i/>
          <w:iCs/>
        </w:rPr>
        <w:t>Rht-B1b</w:t>
      </w:r>
      <w:r w:rsidRPr="0049578D">
        <w:rPr>
          <w:rFonts w:ascii="Arial" w:hAnsi="Arial" w:cs="Arial"/>
        </w:rPr>
        <w:t xml:space="preserve"> and </w:t>
      </w:r>
      <w:r w:rsidRPr="0049578D">
        <w:rPr>
          <w:rFonts w:ascii="Arial" w:hAnsi="Arial" w:cs="Arial"/>
          <w:i/>
          <w:iCs/>
        </w:rPr>
        <w:t>Rht-D1b</w:t>
      </w:r>
      <w:r w:rsidRPr="0049578D">
        <w:rPr>
          <w:rFonts w:ascii="Arial" w:hAnsi="Arial" w:cs="Arial"/>
        </w:rPr>
        <w:t xml:space="preserve"> exhibits gene dosage effects, with different allelic combinations producing varying degrees of height reduction. The presence of both alleles together produces more pronounced height reduction than either allele alone (</w:t>
      </w:r>
      <w:proofErr w:type="spellStart"/>
      <w:r w:rsidRPr="0049578D">
        <w:rPr>
          <w:rFonts w:ascii="Arial" w:hAnsi="Arial" w:cs="Arial"/>
        </w:rPr>
        <w:t>Flintham</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1997; Pearce </w:t>
      </w:r>
      <w:r w:rsidRPr="0049578D">
        <w:rPr>
          <w:rFonts w:ascii="Arial" w:hAnsi="Arial" w:cs="Arial"/>
          <w:i/>
          <w:iCs/>
        </w:rPr>
        <w:t>et al</w:t>
      </w:r>
      <w:r w:rsidRPr="0049578D">
        <w:rPr>
          <w:rFonts w:ascii="Arial" w:hAnsi="Arial" w:cs="Arial"/>
        </w:rPr>
        <w:t>., 2011</w:t>
      </w:r>
      <w:proofErr w:type="gramStart"/>
      <w:r w:rsidRPr="0049578D">
        <w:rPr>
          <w:rFonts w:ascii="Arial" w:hAnsi="Arial" w:cs="Arial"/>
        </w:rPr>
        <w:t>).The</w:t>
      </w:r>
      <w:proofErr w:type="gramEnd"/>
      <w:r w:rsidRPr="0049578D">
        <w:rPr>
          <w:rFonts w:ascii="Arial" w:hAnsi="Arial" w:cs="Arial"/>
        </w:rPr>
        <w:t xml:space="preserve"> presence of </w:t>
      </w:r>
      <w:r w:rsidRPr="0049578D">
        <w:rPr>
          <w:rFonts w:ascii="Arial" w:hAnsi="Arial" w:cs="Arial"/>
          <w:i/>
          <w:iCs/>
        </w:rPr>
        <w:t>Rht-B1b</w:t>
      </w:r>
      <w:r w:rsidRPr="0049578D">
        <w:rPr>
          <w:rFonts w:ascii="Arial" w:hAnsi="Arial" w:cs="Arial"/>
        </w:rPr>
        <w:t xml:space="preserve"> or </w:t>
      </w:r>
      <w:r w:rsidRPr="0049578D">
        <w:rPr>
          <w:rFonts w:ascii="Arial" w:hAnsi="Arial" w:cs="Arial"/>
          <w:i/>
          <w:iCs/>
        </w:rPr>
        <w:t>Rht-D1b</w:t>
      </w:r>
      <w:r w:rsidRPr="0049578D">
        <w:rPr>
          <w:rFonts w:ascii="Arial" w:hAnsi="Arial" w:cs="Arial"/>
        </w:rPr>
        <w:t xml:space="preserve"> alone reduces plant height by approximately 14-20%, while the combined presence of both </w:t>
      </w:r>
      <w:r w:rsidRPr="0049578D">
        <w:rPr>
          <w:rFonts w:ascii="Arial" w:hAnsi="Arial" w:cs="Arial"/>
          <w:i/>
          <w:iCs/>
        </w:rPr>
        <w:t>Rht-B1b</w:t>
      </w:r>
      <w:r w:rsidRPr="0049578D">
        <w:rPr>
          <w:rFonts w:ascii="Arial" w:hAnsi="Arial" w:cs="Arial"/>
        </w:rPr>
        <w:t xml:space="preserve"> and </w:t>
      </w:r>
      <w:r w:rsidRPr="0049578D">
        <w:rPr>
          <w:rFonts w:ascii="Arial" w:hAnsi="Arial" w:cs="Arial"/>
          <w:i/>
          <w:iCs/>
        </w:rPr>
        <w:t>Rht-D1b</w:t>
      </w:r>
      <w:r w:rsidRPr="0049578D">
        <w:rPr>
          <w:rFonts w:ascii="Arial" w:hAnsi="Arial" w:cs="Arial"/>
        </w:rPr>
        <w:t xml:space="preserve"> together (double dwarf) reduces height by approximately 41-50% compared to tall isogenic lines (</w:t>
      </w:r>
      <w:proofErr w:type="spellStart"/>
      <w:r w:rsidRPr="0049578D">
        <w:rPr>
          <w:rFonts w:ascii="Arial" w:hAnsi="Arial" w:cs="Arial"/>
        </w:rPr>
        <w:t>Flintham</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1997; Jobson </w:t>
      </w:r>
      <w:r w:rsidRPr="0049578D">
        <w:rPr>
          <w:rFonts w:ascii="Arial" w:hAnsi="Arial" w:cs="Arial"/>
          <w:i/>
          <w:iCs/>
        </w:rPr>
        <w:t>et al</w:t>
      </w:r>
      <w:r w:rsidRPr="0049578D">
        <w:rPr>
          <w:rFonts w:ascii="Arial" w:hAnsi="Arial" w:cs="Arial"/>
        </w:rPr>
        <w:t xml:space="preserve">., 2019). Studies have documented that </w:t>
      </w:r>
      <w:r w:rsidRPr="0049578D">
        <w:rPr>
          <w:rFonts w:ascii="Arial" w:hAnsi="Arial" w:cs="Arial"/>
          <w:i/>
          <w:iCs/>
        </w:rPr>
        <w:t>Rht-B1b</w:t>
      </w:r>
      <w:r w:rsidRPr="0049578D">
        <w:rPr>
          <w:rFonts w:ascii="Arial" w:hAnsi="Arial" w:cs="Arial"/>
        </w:rPr>
        <w:t xml:space="preserve"> and </w:t>
      </w:r>
      <w:r w:rsidRPr="0049578D">
        <w:rPr>
          <w:rFonts w:ascii="Arial" w:hAnsi="Arial" w:cs="Arial"/>
          <w:i/>
          <w:iCs/>
        </w:rPr>
        <w:t>Rht-D1b</w:t>
      </w:r>
      <w:r w:rsidRPr="0049578D">
        <w:rPr>
          <w:rFonts w:ascii="Arial" w:hAnsi="Arial" w:cs="Arial"/>
        </w:rPr>
        <w:t xml:space="preserve"> each reduce plant height by approximately 15-20% and increase grain yield by 5-10% compared to tall isogenic </w:t>
      </w:r>
      <w:proofErr w:type="gramStart"/>
      <w:r w:rsidRPr="0049578D">
        <w:rPr>
          <w:rFonts w:ascii="Arial" w:hAnsi="Arial" w:cs="Arial"/>
        </w:rPr>
        <w:t>lines.(</w:t>
      </w:r>
      <w:proofErr w:type="gramEnd"/>
      <w:r w:rsidRPr="0049578D">
        <w:rPr>
          <w:rFonts w:ascii="Arial" w:hAnsi="Arial" w:cs="Arial"/>
        </w:rPr>
        <w:t xml:space="preserve">Hoogendoorn </w:t>
      </w:r>
      <w:r w:rsidRPr="0049578D">
        <w:rPr>
          <w:rFonts w:ascii="Arial" w:hAnsi="Arial" w:cs="Arial"/>
          <w:i/>
          <w:iCs/>
        </w:rPr>
        <w:t>et al</w:t>
      </w:r>
      <w:r w:rsidRPr="0049578D">
        <w:rPr>
          <w:rFonts w:ascii="Arial" w:hAnsi="Arial" w:cs="Arial"/>
        </w:rPr>
        <w:t xml:space="preserve">., 1990; </w:t>
      </w:r>
      <w:proofErr w:type="spellStart"/>
      <w:r w:rsidRPr="0049578D">
        <w:rPr>
          <w:rFonts w:ascii="Arial" w:hAnsi="Arial" w:cs="Arial"/>
        </w:rPr>
        <w:t>Flintham</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1997; Jobson </w:t>
      </w:r>
      <w:r w:rsidRPr="0049578D">
        <w:rPr>
          <w:rFonts w:ascii="Arial" w:hAnsi="Arial" w:cs="Arial"/>
          <w:i/>
          <w:iCs/>
        </w:rPr>
        <w:t>et al</w:t>
      </w:r>
      <w:r w:rsidRPr="0049578D">
        <w:rPr>
          <w:rFonts w:ascii="Arial" w:hAnsi="Arial" w:cs="Arial"/>
        </w:rPr>
        <w:t>., 2019)</w:t>
      </w:r>
    </w:p>
    <w:p w14:paraId="36D7BB17" w14:textId="77777777" w:rsidR="0049578D" w:rsidRPr="0049578D" w:rsidRDefault="0049578D" w:rsidP="0049578D">
      <w:pPr>
        <w:tabs>
          <w:tab w:val="left" w:pos="1040"/>
        </w:tabs>
        <w:jc w:val="both"/>
        <w:rPr>
          <w:rFonts w:ascii="Arial" w:hAnsi="Arial" w:cs="Arial"/>
        </w:rPr>
      </w:pPr>
    </w:p>
    <w:p w14:paraId="3B50ECBC" w14:textId="01A4AF49" w:rsidR="0049578D" w:rsidRPr="00EC03C7" w:rsidRDefault="00EC03C7" w:rsidP="0049578D">
      <w:pPr>
        <w:tabs>
          <w:tab w:val="left" w:pos="1040"/>
        </w:tabs>
        <w:jc w:val="both"/>
        <w:rPr>
          <w:rFonts w:ascii="Arial" w:hAnsi="Arial" w:cs="Arial"/>
          <w:sz w:val="22"/>
          <w:szCs w:val="22"/>
        </w:rPr>
      </w:pPr>
      <w:r w:rsidRPr="00EC03C7">
        <w:rPr>
          <w:rFonts w:ascii="Arial" w:hAnsi="Arial" w:cs="Arial"/>
          <w:b/>
          <w:bCs/>
          <w:sz w:val="22"/>
          <w:szCs w:val="22"/>
        </w:rPr>
        <w:t>2.5 TRADE-OFF BETWEEN YIELD POTENTIAL AND NUE</w:t>
      </w:r>
    </w:p>
    <w:p w14:paraId="2A96C356"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While DELLA accumulation effectively reduces plant height, it simultaneously inhibits nitrogen (N) metabolism. Studies comparing GRVs with wild-type tall varieties demonstrate that the </w:t>
      </w:r>
      <w:r w:rsidRPr="0049578D">
        <w:rPr>
          <w:rFonts w:ascii="Arial" w:hAnsi="Arial" w:cs="Arial"/>
          <w:i/>
          <w:iCs/>
        </w:rPr>
        <w:t>sd1</w:t>
      </w:r>
      <w:r w:rsidRPr="0049578D">
        <w:rPr>
          <w:rFonts w:ascii="Arial" w:hAnsi="Arial" w:cs="Arial"/>
        </w:rPr>
        <w:t xml:space="preserve"> and </w:t>
      </w:r>
      <w:proofErr w:type="spellStart"/>
      <w:r w:rsidRPr="0049578D">
        <w:rPr>
          <w:rFonts w:ascii="Arial" w:hAnsi="Arial" w:cs="Arial"/>
          <w:i/>
          <w:iCs/>
        </w:rPr>
        <w:t>Rht</w:t>
      </w:r>
      <w:proofErr w:type="spellEnd"/>
      <w:r w:rsidRPr="0049578D">
        <w:rPr>
          <w:rFonts w:ascii="Arial" w:hAnsi="Arial" w:cs="Arial"/>
        </w:rPr>
        <w:t xml:space="preserve"> alleles significantly reduce the uptake rates of both ammonium (NH</w:t>
      </w:r>
      <w:r w:rsidRPr="0049578D">
        <w:rPr>
          <w:rFonts w:ascii="Arial" w:hAnsi="Arial" w:cs="Arial"/>
          <w:vertAlign w:val="subscript"/>
        </w:rPr>
        <w:t>4</w:t>
      </w:r>
      <w:r w:rsidRPr="0049578D">
        <w:rPr>
          <w:rFonts w:ascii="Arial" w:hAnsi="Arial" w:cs="Arial"/>
          <w:vertAlign w:val="superscript"/>
        </w:rPr>
        <w:t>+</w:t>
      </w:r>
      <w:r w:rsidRPr="0049578D">
        <w:rPr>
          <w:rFonts w:ascii="Arial" w:hAnsi="Arial" w:cs="Arial"/>
        </w:rPr>
        <w:t>​) and nitrate (NO</w:t>
      </w:r>
      <w:r w:rsidRPr="0049578D">
        <w:rPr>
          <w:rFonts w:ascii="Arial" w:hAnsi="Arial" w:cs="Arial"/>
          <w:vertAlign w:val="subscript"/>
        </w:rPr>
        <w:t>3</w:t>
      </w:r>
      <w:r w:rsidRPr="0049578D">
        <w:rPr>
          <w:rFonts w:ascii="Arial" w:hAnsi="Arial" w:cs="Arial"/>
          <w:vertAlign w:val="superscript"/>
        </w:rPr>
        <w:t>−​</w:t>
      </w:r>
      <w:r w:rsidRPr="0049578D">
        <w:rPr>
          <w:rFonts w:ascii="Arial" w:hAnsi="Arial" w:cs="Arial"/>
        </w:rPr>
        <w:t xml:space="preserve">), the two primary inorganic nitrogen sources for crops.  Activities of pivotal N assimilation enzymes, including glutamine synthetase (GS) and nitrate reductase (NR), are also diminished in these varieties relative to tall types across diverse N regimes (Li </w:t>
      </w:r>
      <w:r w:rsidRPr="0049578D">
        <w:rPr>
          <w:rFonts w:ascii="Arial" w:hAnsi="Arial" w:cs="Arial"/>
          <w:i/>
          <w:iCs/>
        </w:rPr>
        <w:t>et al</w:t>
      </w:r>
      <w:r w:rsidRPr="0049578D">
        <w:rPr>
          <w:rFonts w:ascii="Arial" w:hAnsi="Arial" w:cs="Arial"/>
        </w:rPr>
        <w:t xml:space="preserve">.,2018; Liu </w:t>
      </w:r>
      <w:r w:rsidRPr="0049578D">
        <w:rPr>
          <w:rFonts w:ascii="Arial" w:hAnsi="Arial" w:cs="Arial"/>
          <w:i/>
          <w:iCs/>
        </w:rPr>
        <w:t>et al</w:t>
      </w:r>
      <w:r w:rsidRPr="0049578D">
        <w:rPr>
          <w:rFonts w:ascii="Arial" w:hAnsi="Arial" w:cs="Arial"/>
        </w:rPr>
        <w:t xml:space="preserve">., 2022). This results in pronounced N insensitivity, compelling GRVs to rely on elevated fertilizer applications to achieve comparable growth and productivity (Li </w:t>
      </w:r>
      <w:r w:rsidRPr="0049578D">
        <w:rPr>
          <w:rFonts w:ascii="Arial" w:hAnsi="Arial" w:cs="Arial"/>
          <w:i/>
          <w:iCs/>
        </w:rPr>
        <w:t>et al</w:t>
      </w:r>
      <w:r w:rsidRPr="0049578D">
        <w:rPr>
          <w:rFonts w:ascii="Arial" w:hAnsi="Arial" w:cs="Arial"/>
        </w:rPr>
        <w:t>.,2018; Wang, Yoshida and Matsuoka, 2021).</w:t>
      </w:r>
    </w:p>
    <w:p w14:paraId="74D08851" w14:textId="77777777" w:rsidR="0049578D" w:rsidRPr="0049578D" w:rsidRDefault="0049578D" w:rsidP="0049578D">
      <w:pPr>
        <w:tabs>
          <w:tab w:val="left" w:pos="1040"/>
        </w:tabs>
        <w:jc w:val="both"/>
        <w:rPr>
          <w:rFonts w:ascii="Arial" w:hAnsi="Arial" w:cs="Arial"/>
        </w:rPr>
      </w:pPr>
      <w:r w:rsidRPr="0049578D">
        <w:rPr>
          <w:rFonts w:ascii="Arial" w:hAnsi="Arial" w:cs="Arial"/>
        </w:rPr>
        <w:t>The molecular basis for the reduction of NUE in dwarfing varieties lies in the antagonistic relationship between DELLA proteins and the transcription factor GROWTH-REGULATING FACTOR 4 (</w:t>
      </w:r>
      <w:r w:rsidRPr="0049578D">
        <w:rPr>
          <w:rFonts w:ascii="Arial" w:hAnsi="Arial" w:cs="Arial"/>
          <w:i/>
          <w:iCs/>
        </w:rPr>
        <w:t>GRF4</w:t>
      </w:r>
      <w:r w:rsidRPr="0049578D">
        <w:rPr>
          <w:rFonts w:ascii="Arial" w:hAnsi="Arial" w:cs="Arial"/>
        </w:rPr>
        <w:t xml:space="preserve">) (Liu </w:t>
      </w:r>
      <w:r w:rsidRPr="0049578D">
        <w:rPr>
          <w:rFonts w:ascii="Arial" w:hAnsi="Arial" w:cs="Arial"/>
          <w:i/>
          <w:iCs/>
        </w:rPr>
        <w:t>et al</w:t>
      </w:r>
      <w:r w:rsidRPr="0049578D">
        <w:rPr>
          <w:rFonts w:ascii="Arial" w:hAnsi="Arial" w:cs="Arial"/>
        </w:rPr>
        <w:t xml:space="preserve">., 2022; Wang, Yoshida and Matsuoka, 2021). </w:t>
      </w:r>
      <w:r w:rsidRPr="0049578D">
        <w:rPr>
          <w:rFonts w:ascii="Arial" w:hAnsi="Arial" w:cs="Arial"/>
          <w:i/>
          <w:iCs/>
        </w:rPr>
        <w:t>GRF4</w:t>
      </w:r>
      <w:r w:rsidRPr="0049578D">
        <w:rPr>
          <w:rFonts w:ascii="Arial" w:hAnsi="Arial" w:cs="Arial"/>
        </w:rPr>
        <w:t xml:space="preserve"> is a positive regulator that integrates nitrogen assimilation, carbon fixation, and plant growth. It promotes these processes by binding to the promoters of N-metabolism genes (e.g., </w:t>
      </w:r>
      <w:r w:rsidRPr="0049578D">
        <w:rPr>
          <w:rFonts w:ascii="Arial" w:hAnsi="Arial" w:cs="Arial"/>
          <w:i/>
          <w:iCs/>
        </w:rPr>
        <w:t>AMT1.1</w:t>
      </w:r>
      <w:r w:rsidRPr="0049578D">
        <w:rPr>
          <w:rFonts w:ascii="Arial" w:hAnsi="Arial" w:cs="Arial"/>
        </w:rPr>
        <w:t xml:space="preserve">, </w:t>
      </w:r>
      <w:r w:rsidRPr="0049578D">
        <w:rPr>
          <w:rFonts w:ascii="Arial" w:hAnsi="Arial" w:cs="Arial"/>
          <w:i/>
          <w:iCs/>
        </w:rPr>
        <w:t>GS1.2</w:t>
      </w:r>
      <w:r w:rsidRPr="0049578D">
        <w:rPr>
          <w:rFonts w:ascii="Arial" w:hAnsi="Arial" w:cs="Arial"/>
        </w:rPr>
        <w:t xml:space="preserve">) and activating their transcription (Li </w:t>
      </w:r>
      <w:r w:rsidRPr="0049578D">
        <w:rPr>
          <w:rFonts w:ascii="Arial" w:hAnsi="Arial" w:cs="Arial"/>
          <w:i/>
          <w:iCs/>
        </w:rPr>
        <w:t>et al.</w:t>
      </w:r>
      <w:r w:rsidRPr="0049578D">
        <w:rPr>
          <w:rFonts w:ascii="Arial" w:hAnsi="Arial" w:cs="Arial"/>
        </w:rPr>
        <w:t xml:space="preserve">, 2018; Xue </w:t>
      </w:r>
      <w:r w:rsidRPr="0049578D">
        <w:rPr>
          <w:rFonts w:ascii="Arial" w:hAnsi="Arial" w:cs="Arial"/>
          <w:i/>
          <w:iCs/>
        </w:rPr>
        <w:t>et al.</w:t>
      </w:r>
      <w:r w:rsidRPr="0049578D">
        <w:rPr>
          <w:rFonts w:ascii="Arial" w:hAnsi="Arial" w:cs="Arial"/>
        </w:rPr>
        <w:t>, 2022</w:t>
      </w:r>
      <w:proofErr w:type="gramStart"/>
      <w:r w:rsidRPr="0049578D">
        <w:rPr>
          <w:rFonts w:ascii="Arial" w:hAnsi="Arial" w:cs="Arial"/>
        </w:rPr>
        <w:t>).In</w:t>
      </w:r>
      <w:proofErr w:type="gramEnd"/>
      <w:r w:rsidRPr="0049578D">
        <w:rPr>
          <w:rFonts w:ascii="Arial" w:hAnsi="Arial" w:cs="Arial"/>
        </w:rPr>
        <w:t xml:space="preserve"> GRVs, the high abundance of DELLA proteins (SLR1 in rice, </w:t>
      </w:r>
      <w:r w:rsidRPr="0049578D">
        <w:rPr>
          <w:rFonts w:ascii="Arial" w:hAnsi="Arial" w:cs="Arial"/>
          <w:i/>
          <w:iCs/>
        </w:rPr>
        <w:t>Rht</w:t>
      </w:r>
      <w:r w:rsidRPr="0049578D">
        <w:rPr>
          <w:rFonts w:ascii="Arial" w:hAnsi="Arial" w:cs="Arial"/>
        </w:rPr>
        <w:t xml:space="preserve">-1 in wheat) physically interacts with QLQ domain of </w:t>
      </w:r>
      <w:r w:rsidRPr="0049578D">
        <w:rPr>
          <w:rFonts w:ascii="Arial" w:hAnsi="Arial" w:cs="Arial"/>
          <w:i/>
          <w:iCs/>
        </w:rPr>
        <w:t>GRF4</w:t>
      </w:r>
      <w:r w:rsidRPr="0049578D">
        <w:rPr>
          <w:rFonts w:ascii="Arial" w:hAnsi="Arial" w:cs="Arial"/>
        </w:rPr>
        <w:t xml:space="preserve">. This interaction competitively inhibits </w:t>
      </w:r>
      <w:r w:rsidRPr="0049578D">
        <w:rPr>
          <w:rFonts w:ascii="Arial" w:hAnsi="Arial" w:cs="Arial"/>
          <w:i/>
          <w:iCs/>
        </w:rPr>
        <w:t>GRF4</w:t>
      </w:r>
      <w:r w:rsidRPr="0049578D">
        <w:rPr>
          <w:rFonts w:ascii="Arial" w:hAnsi="Arial" w:cs="Arial"/>
        </w:rPr>
        <w:t xml:space="preserve"> from binding with its transcriptional co-activator, GRF-INTERACTING FACTOR 1 (GIF1). </w:t>
      </w:r>
      <w:proofErr w:type="gramStart"/>
      <w:r w:rsidRPr="0049578D">
        <w:rPr>
          <w:rFonts w:ascii="Arial" w:hAnsi="Arial" w:cs="Arial"/>
        </w:rPr>
        <w:t>( Li</w:t>
      </w:r>
      <w:proofErr w:type="gram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2018; Liu </w:t>
      </w:r>
      <w:r w:rsidRPr="0049578D">
        <w:rPr>
          <w:rFonts w:ascii="Arial" w:hAnsi="Arial" w:cs="Arial"/>
          <w:i/>
          <w:iCs/>
        </w:rPr>
        <w:t>et al</w:t>
      </w:r>
      <w:r w:rsidRPr="0049578D">
        <w:rPr>
          <w:rFonts w:ascii="Arial" w:hAnsi="Arial" w:cs="Arial"/>
        </w:rPr>
        <w:t xml:space="preserve">., 2022; Xue </w:t>
      </w:r>
      <w:r w:rsidRPr="0049578D">
        <w:rPr>
          <w:rFonts w:ascii="Arial" w:hAnsi="Arial" w:cs="Arial"/>
          <w:i/>
          <w:iCs/>
        </w:rPr>
        <w:t>et al.</w:t>
      </w:r>
      <w:r w:rsidRPr="0049578D">
        <w:rPr>
          <w:rFonts w:ascii="Arial" w:hAnsi="Arial" w:cs="Arial"/>
        </w:rPr>
        <w:t>, 2022). This protein–protein interaction suppresses the</w:t>
      </w:r>
      <w:r w:rsidRPr="0049578D">
        <w:rPr>
          <w:rFonts w:ascii="Arial" w:hAnsi="Arial" w:cs="Arial"/>
          <w:i/>
          <w:iCs/>
        </w:rPr>
        <w:t>GRF4</w:t>
      </w:r>
      <w:r w:rsidRPr="0049578D">
        <w:rPr>
          <w:rFonts w:ascii="Arial" w:hAnsi="Arial" w:cs="Arial"/>
        </w:rPr>
        <w:t xml:space="preserve">-mediated transcriptional activation of downstream target genes involved in nitrogen uptake and assimilation. Thus, the balance between </w:t>
      </w:r>
      <w:r w:rsidRPr="0049578D">
        <w:rPr>
          <w:rFonts w:ascii="Arial" w:hAnsi="Arial" w:cs="Arial"/>
          <w:i/>
          <w:iCs/>
        </w:rPr>
        <w:t>GRF4</w:t>
      </w:r>
      <w:r w:rsidRPr="0049578D">
        <w:rPr>
          <w:rFonts w:ascii="Arial" w:hAnsi="Arial" w:cs="Arial"/>
        </w:rPr>
        <w:t xml:space="preserve"> and DELLA acts as a metabolic checkpoint: the high DELLA levels required for semi-dwarfism inherently downregulate the </w:t>
      </w:r>
      <w:r w:rsidRPr="0049578D">
        <w:rPr>
          <w:rFonts w:ascii="Arial" w:hAnsi="Arial" w:cs="Arial"/>
          <w:i/>
          <w:iCs/>
        </w:rPr>
        <w:t>GRF4</w:t>
      </w:r>
      <w:r w:rsidRPr="0049578D">
        <w:rPr>
          <w:rFonts w:ascii="Arial" w:hAnsi="Arial" w:cs="Arial"/>
        </w:rPr>
        <w:t xml:space="preserve">-mediated transcriptional program necessary for high NUE ((Li </w:t>
      </w:r>
      <w:r w:rsidRPr="0049578D">
        <w:rPr>
          <w:rFonts w:ascii="Arial" w:hAnsi="Arial" w:cs="Arial"/>
          <w:i/>
          <w:iCs/>
        </w:rPr>
        <w:t>et al.</w:t>
      </w:r>
      <w:r w:rsidRPr="0049578D">
        <w:rPr>
          <w:rFonts w:ascii="Arial" w:hAnsi="Arial" w:cs="Arial"/>
        </w:rPr>
        <w:t xml:space="preserve">, 2018; Wang </w:t>
      </w:r>
      <w:r w:rsidRPr="0049578D">
        <w:rPr>
          <w:rFonts w:ascii="Arial" w:hAnsi="Arial" w:cs="Arial"/>
          <w:i/>
          <w:iCs/>
        </w:rPr>
        <w:t>et al.</w:t>
      </w:r>
      <w:r w:rsidRPr="0049578D">
        <w:rPr>
          <w:rFonts w:ascii="Arial" w:hAnsi="Arial" w:cs="Arial"/>
        </w:rPr>
        <w:t>, 2021).  Therefore, the "Green Revolution" gains in harvest index came at the cost of suppressed nitrogen metabolism efficiency.</w:t>
      </w:r>
    </w:p>
    <w:p w14:paraId="7F0A6F9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impact of dwarfing genes extends to the epigenetic regulation of tillering, a key yield component. The transcription factor NITROGEN-MEDIATED TILLER GROWTH RESPONSE 5 (NGR5) recruits </w:t>
      </w:r>
      <w:proofErr w:type="spellStart"/>
      <w:r w:rsidRPr="0049578D">
        <w:rPr>
          <w:rFonts w:ascii="Arial" w:hAnsi="Arial" w:cs="Arial"/>
        </w:rPr>
        <w:t>Polycomb</w:t>
      </w:r>
      <w:proofErr w:type="spellEnd"/>
      <w:r w:rsidRPr="0049578D">
        <w:rPr>
          <w:rFonts w:ascii="Arial" w:hAnsi="Arial" w:cs="Arial"/>
        </w:rPr>
        <w:t xml:space="preserve"> Repressive Complex 2 (PRC2) to methylate histone H3 lysine 27 (H3K27me3), thereby repressing branching-inhibitory genes (e.g., </w:t>
      </w:r>
      <w:r w:rsidRPr="0049578D">
        <w:rPr>
          <w:rFonts w:ascii="Arial" w:hAnsi="Arial" w:cs="Arial"/>
          <w:i/>
          <w:iCs/>
        </w:rPr>
        <w:t>D14</w:t>
      </w:r>
      <w:r w:rsidRPr="0049578D">
        <w:rPr>
          <w:rFonts w:ascii="Arial" w:hAnsi="Arial" w:cs="Arial"/>
        </w:rPr>
        <w:t xml:space="preserve">, </w:t>
      </w:r>
      <w:r w:rsidRPr="0049578D">
        <w:rPr>
          <w:rFonts w:ascii="Arial" w:hAnsi="Arial" w:cs="Arial"/>
          <w:i/>
          <w:iCs/>
        </w:rPr>
        <w:t>OsSPL14</w:t>
      </w:r>
      <w:r w:rsidRPr="0049578D">
        <w:rPr>
          <w:rFonts w:ascii="Arial" w:hAnsi="Arial" w:cs="Arial"/>
        </w:rPr>
        <w:t xml:space="preserve">) and promoting tillering in response to nitrogen (Wu </w:t>
      </w:r>
      <w:r w:rsidRPr="0049578D">
        <w:rPr>
          <w:rFonts w:ascii="Arial" w:hAnsi="Arial" w:cs="Arial"/>
          <w:i/>
          <w:iCs/>
        </w:rPr>
        <w:t>et al.</w:t>
      </w:r>
      <w:r w:rsidRPr="0049578D">
        <w:rPr>
          <w:rFonts w:ascii="Arial" w:hAnsi="Arial" w:cs="Arial"/>
        </w:rPr>
        <w:t xml:space="preserve">, 2020). DELLA proteins competitively interact with NGR5, preventing its degradation by the gibberellin receptor GIBBERELLIN INSENSITIVE DWARF1 (GID1). In GRVs, the stabilization of NGR5 by high DELLA levels enables high tillering capacity; however, because NGR5 expression itself is nitrogen-dependent, the tillering potential of GRVs remains heavily reliant on abundant nitrogen fertilizers (Wu </w:t>
      </w:r>
      <w:r w:rsidRPr="0049578D">
        <w:rPr>
          <w:rFonts w:ascii="Arial" w:hAnsi="Arial" w:cs="Arial"/>
          <w:i/>
          <w:iCs/>
        </w:rPr>
        <w:t>et al.</w:t>
      </w:r>
      <w:r w:rsidRPr="0049578D">
        <w:rPr>
          <w:rFonts w:ascii="Arial" w:hAnsi="Arial" w:cs="Arial"/>
        </w:rPr>
        <w:t xml:space="preserve">, 2020; Liu </w:t>
      </w:r>
      <w:r w:rsidRPr="0049578D">
        <w:rPr>
          <w:rFonts w:ascii="Arial" w:hAnsi="Arial" w:cs="Arial"/>
          <w:i/>
          <w:iCs/>
        </w:rPr>
        <w:t>et al.</w:t>
      </w:r>
      <w:r w:rsidRPr="0049578D">
        <w:rPr>
          <w:rFonts w:ascii="Arial" w:hAnsi="Arial" w:cs="Arial"/>
        </w:rPr>
        <w:t>, 2022).</w:t>
      </w:r>
    </w:p>
    <w:p w14:paraId="4E68619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Recent findings indicate that DELLA-mediated repression extends to the epigenetic level. In rice, SLR1 has been shown to form a tripartite complex with PRC2 and the histone deacetylase HDA702 (Li </w:t>
      </w:r>
      <w:r w:rsidRPr="0049578D">
        <w:rPr>
          <w:rFonts w:ascii="Arial" w:hAnsi="Arial" w:cs="Arial"/>
          <w:i/>
          <w:iCs/>
        </w:rPr>
        <w:t>et al.</w:t>
      </w:r>
      <w:r w:rsidRPr="0049578D">
        <w:rPr>
          <w:rFonts w:ascii="Arial" w:hAnsi="Arial" w:cs="Arial"/>
        </w:rPr>
        <w:t xml:space="preserve">, 2023). This complex maintains a repressive chromatin state, characterized by high H3K27me3 and low histone H3 lysine 9 acetylation (H3K9ac), over downstream target genes. The degradation of DELLA triggered by GA </w:t>
      </w:r>
      <w:proofErr w:type="spellStart"/>
      <w:r w:rsidRPr="0049578D">
        <w:rPr>
          <w:rFonts w:ascii="Arial" w:hAnsi="Arial" w:cs="Arial"/>
        </w:rPr>
        <w:t>signalling</w:t>
      </w:r>
      <w:proofErr w:type="spellEnd"/>
      <w:r w:rsidRPr="0049578D">
        <w:rPr>
          <w:rFonts w:ascii="Arial" w:hAnsi="Arial" w:cs="Arial"/>
        </w:rPr>
        <w:t xml:space="preserve"> (or its absence in wild-type tall varieties) leads to the dissociation of PRC2 and HDA702, resulting in increased H3K9ac and gene activation (Li </w:t>
      </w:r>
      <w:r w:rsidRPr="0049578D">
        <w:rPr>
          <w:rFonts w:ascii="Arial" w:hAnsi="Arial" w:cs="Arial"/>
          <w:i/>
          <w:iCs/>
        </w:rPr>
        <w:t>et al.</w:t>
      </w:r>
      <w:r w:rsidRPr="0049578D">
        <w:rPr>
          <w:rFonts w:ascii="Arial" w:hAnsi="Arial" w:cs="Arial"/>
        </w:rPr>
        <w:t>, 2023). In GRVs, the stable accumulation of DELLA maintains this repressive chromatin environment, further entrenching the suppression of growth and metabolic genes.</w:t>
      </w:r>
    </w:p>
    <w:p w14:paraId="6DEF5313" w14:textId="77777777" w:rsidR="00EC03C7" w:rsidRDefault="00EC03C7" w:rsidP="0049578D">
      <w:pPr>
        <w:pStyle w:val="NormalWeb"/>
        <w:jc w:val="both"/>
        <w:rPr>
          <w:rStyle w:val="Strong"/>
          <w:rFonts w:ascii="Arial" w:eastAsiaTheme="majorEastAsia" w:hAnsi="Arial" w:cs="Arial"/>
          <w:sz w:val="22"/>
          <w:szCs w:val="22"/>
        </w:rPr>
      </w:pPr>
      <w:r w:rsidRPr="00EC03C7">
        <w:rPr>
          <w:rStyle w:val="Strong"/>
          <w:rFonts w:ascii="Arial" w:eastAsiaTheme="majorEastAsia" w:hAnsi="Arial" w:cs="Arial"/>
          <w:sz w:val="22"/>
          <w:szCs w:val="22"/>
        </w:rPr>
        <w:t>3. NITROGEN USE EFFICIENCY: CONCEPT AND COMPONENTS</w:t>
      </w:r>
    </w:p>
    <w:p w14:paraId="4CF6DBAC" w14:textId="336CBF30" w:rsidR="0049578D" w:rsidRPr="00EC03C7" w:rsidRDefault="0049578D" w:rsidP="0049578D">
      <w:pPr>
        <w:pStyle w:val="NormalWeb"/>
        <w:jc w:val="both"/>
        <w:rPr>
          <w:rFonts w:ascii="Arial" w:eastAsiaTheme="majorEastAsia" w:hAnsi="Arial" w:cs="Arial"/>
          <w:b/>
          <w:bCs/>
          <w:sz w:val="22"/>
          <w:szCs w:val="22"/>
        </w:rPr>
      </w:pPr>
      <w:r w:rsidRPr="0049578D">
        <w:rPr>
          <w:rFonts w:ascii="Arial" w:hAnsi="Arial" w:cs="Arial"/>
          <w:sz w:val="20"/>
          <w:szCs w:val="20"/>
        </w:rPr>
        <w:t xml:space="preserve">Nitrogen Use Efficiency (NUE) is a multifaceted and complex trait governed by an intricate network of physiological and metabolic processes, broadly quantified as the ratio of harvested output—comprising biomass, grain, or fruit—to the total nitrogen input derived from soil reserves and applied fertilizers (Li Hua </w:t>
      </w:r>
      <w:r w:rsidRPr="0049578D">
        <w:rPr>
          <w:rFonts w:ascii="Arial" w:hAnsi="Arial" w:cs="Arial"/>
          <w:i/>
          <w:iCs/>
          <w:sz w:val="20"/>
          <w:szCs w:val="20"/>
        </w:rPr>
        <w:t>et al</w:t>
      </w:r>
      <w:r w:rsidRPr="0049578D">
        <w:rPr>
          <w:rFonts w:ascii="Arial" w:hAnsi="Arial" w:cs="Arial"/>
          <w:sz w:val="20"/>
          <w:szCs w:val="20"/>
        </w:rPr>
        <w:t xml:space="preserve">., 2017; </w:t>
      </w:r>
      <w:proofErr w:type="spellStart"/>
      <w:r w:rsidRPr="0049578D">
        <w:rPr>
          <w:rFonts w:ascii="Arial" w:hAnsi="Arial" w:cs="Arial"/>
          <w:sz w:val="20"/>
          <w:szCs w:val="20"/>
        </w:rPr>
        <w:t>Masclaux-Daubresse</w:t>
      </w:r>
      <w:proofErr w:type="spellEnd"/>
      <w:r w:rsidRPr="0049578D">
        <w:rPr>
          <w:rFonts w:ascii="Arial" w:hAnsi="Arial" w:cs="Arial"/>
          <w:sz w:val="20"/>
          <w:szCs w:val="20"/>
        </w:rPr>
        <w:t xml:space="preserve"> </w:t>
      </w:r>
      <w:r w:rsidRPr="0049578D">
        <w:rPr>
          <w:rFonts w:ascii="Arial" w:hAnsi="Arial" w:cs="Arial"/>
          <w:i/>
          <w:iCs/>
          <w:sz w:val="20"/>
          <w:szCs w:val="20"/>
        </w:rPr>
        <w:t>et al</w:t>
      </w:r>
      <w:r w:rsidRPr="0049578D">
        <w:rPr>
          <w:rFonts w:ascii="Arial" w:hAnsi="Arial" w:cs="Arial"/>
          <w:sz w:val="20"/>
          <w:szCs w:val="20"/>
        </w:rPr>
        <w:t xml:space="preserve">., 2010; Xu </w:t>
      </w:r>
      <w:r w:rsidRPr="0049578D">
        <w:rPr>
          <w:rFonts w:ascii="Arial" w:hAnsi="Arial" w:cs="Arial"/>
          <w:i/>
          <w:iCs/>
          <w:sz w:val="20"/>
          <w:szCs w:val="20"/>
        </w:rPr>
        <w:t>et al.</w:t>
      </w:r>
      <w:r w:rsidRPr="0049578D">
        <w:rPr>
          <w:rFonts w:ascii="Arial" w:hAnsi="Arial" w:cs="Arial"/>
          <w:sz w:val="20"/>
          <w:szCs w:val="20"/>
        </w:rPr>
        <w:t>, 2012).)</w:t>
      </w:r>
      <w:r w:rsidRPr="0049578D">
        <w:rPr>
          <w:rFonts w:ascii="Arial" w:hAnsi="Arial" w:cs="Arial"/>
          <w:b/>
          <w:bCs/>
          <w:sz w:val="20"/>
          <w:szCs w:val="20"/>
        </w:rPr>
        <w:t xml:space="preserve">. </w:t>
      </w:r>
      <w:r w:rsidRPr="0049578D">
        <w:rPr>
          <w:rFonts w:ascii="Arial" w:hAnsi="Arial" w:cs="Arial"/>
          <w:sz w:val="20"/>
          <w:szCs w:val="20"/>
        </w:rPr>
        <w:t>In the specific context of sustainable cereal cropping, NUE is conventionally quantified as the grain yield (</w:t>
      </w:r>
      <w:proofErr w:type="spellStart"/>
      <w:r w:rsidRPr="0049578D">
        <w:rPr>
          <w:rFonts w:ascii="Arial" w:hAnsi="Arial" w:cs="Arial"/>
          <w:i/>
          <w:iCs/>
          <w:sz w:val="20"/>
          <w:szCs w:val="20"/>
        </w:rPr>
        <w:t>Gw</w:t>
      </w:r>
      <w:proofErr w:type="spellEnd"/>
      <w:r w:rsidRPr="0049578D">
        <w:rPr>
          <w:rFonts w:ascii="Arial" w:hAnsi="Arial" w:cs="Arial"/>
          <w:sz w:val="20"/>
          <w:szCs w:val="20"/>
        </w:rPr>
        <w:t>​) produced per unit of available nitrogen (</w:t>
      </w:r>
      <w:r w:rsidRPr="0049578D">
        <w:rPr>
          <w:rFonts w:ascii="Arial" w:hAnsi="Arial" w:cs="Arial"/>
          <w:i/>
          <w:iCs/>
          <w:sz w:val="20"/>
          <w:szCs w:val="20"/>
        </w:rPr>
        <w:t>Ns</w:t>
      </w:r>
      <w:r w:rsidRPr="0049578D">
        <w:rPr>
          <w:rFonts w:ascii="Arial" w:hAnsi="Arial" w:cs="Arial"/>
          <w:sz w:val="20"/>
          <w:szCs w:val="20"/>
        </w:rPr>
        <w:t xml:space="preserve">​), a metric that integrates the plant's ability to capture and convert nitrogen into economic yield (Moll </w:t>
      </w:r>
      <w:r w:rsidRPr="0049578D">
        <w:rPr>
          <w:rFonts w:ascii="Arial" w:hAnsi="Arial" w:cs="Arial"/>
          <w:i/>
          <w:iCs/>
          <w:sz w:val="20"/>
          <w:szCs w:val="20"/>
        </w:rPr>
        <w:t>et al.</w:t>
      </w:r>
      <w:r w:rsidRPr="0049578D">
        <w:rPr>
          <w:rFonts w:ascii="Arial" w:hAnsi="Arial" w:cs="Arial"/>
          <w:sz w:val="20"/>
          <w:szCs w:val="20"/>
        </w:rPr>
        <w:t>, 1982). To facilitate the genetic and physiological dissection of this aggregate phenotype, NUE is mathematically fractionated into two primary physiological components: Nitrogen Uptake Efficiency (</w:t>
      </w:r>
      <w:proofErr w:type="spellStart"/>
      <w:r w:rsidRPr="0049578D">
        <w:rPr>
          <w:rFonts w:ascii="Arial" w:hAnsi="Arial" w:cs="Arial"/>
          <w:sz w:val="20"/>
          <w:szCs w:val="20"/>
        </w:rPr>
        <w:t>NUpE</w:t>
      </w:r>
      <w:proofErr w:type="spellEnd"/>
      <w:r w:rsidRPr="0049578D">
        <w:rPr>
          <w:rFonts w:ascii="Arial" w:hAnsi="Arial" w:cs="Arial"/>
          <w:sz w:val="20"/>
          <w:szCs w:val="20"/>
        </w:rPr>
        <w:t>) and Nitrogen Utilization Efficiency (</w:t>
      </w:r>
      <w:proofErr w:type="spellStart"/>
      <w:r w:rsidRPr="0049578D">
        <w:rPr>
          <w:rFonts w:ascii="Arial" w:hAnsi="Arial" w:cs="Arial"/>
          <w:sz w:val="20"/>
          <w:szCs w:val="20"/>
        </w:rPr>
        <w:t>NUtE</w:t>
      </w:r>
      <w:proofErr w:type="spellEnd"/>
      <w:r w:rsidRPr="0049578D">
        <w:rPr>
          <w:rFonts w:ascii="Arial" w:hAnsi="Arial" w:cs="Arial"/>
          <w:sz w:val="20"/>
          <w:szCs w:val="20"/>
        </w:rPr>
        <w:t xml:space="preserve">). </w:t>
      </w:r>
      <w:proofErr w:type="spellStart"/>
      <w:r w:rsidRPr="0049578D">
        <w:rPr>
          <w:rFonts w:ascii="Arial" w:hAnsi="Arial" w:cs="Arial"/>
          <w:sz w:val="20"/>
          <w:szCs w:val="20"/>
        </w:rPr>
        <w:t>NUpE</w:t>
      </w:r>
      <w:proofErr w:type="spellEnd"/>
      <w:r w:rsidRPr="0049578D">
        <w:rPr>
          <w:rFonts w:ascii="Arial" w:hAnsi="Arial" w:cs="Arial"/>
          <w:sz w:val="20"/>
          <w:szCs w:val="20"/>
        </w:rPr>
        <w:t>, also termed absorption efficiency, represents the plant’s capacity to acquire nitrogen from the edaphic environment and is calculated as the ratio of total nitrogen accumulated in the above-ground biomass at physiological maturity (</w:t>
      </w:r>
      <w:proofErr w:type="spellStart"/>
      <w:r w:rsidRPr="0049578D">
        <w:rPr>
          <w:rFonts w:ascii="Arial" w:hAnsi="Arial" w:cs="Arial"/>
          <w:i/>
          <w:iCs/>
          <w:sz w:val="20"/>
          <w:szCs w:val="20"/>
        </w:rPr>
        <w:t>Nt</w:t>
      </w:r>
      <w:proofErr w:type="spellEnd"/>
      <w:r w:rsidRPr="0049578D">
        <w:rPr>
          <w:rFonts w:ascii="Arial" w:hAnsi="Arial" w:cs="Arial"/>
          <w:sz w:val="20"/>
          <w:szCs w:val="20"/>
        </w:rPr>
        <w:t>​) to the nitrogen supply (</w:t>
      </w:r>
      <w:proofErr w:type="spellStart"/>
      <w:r w:rsidRPr="0049578D">
        <w:rPr>
          <w:rFonts w:ascii="Arial" w:hAnsi="Arial" w:cs="Arial"/>
          <w:i/>
          <w:iCs/>
          <w:sz w:val="20"/>
          <w:szCs w:val="20"/>
        </w:rPr>
        <w:t>Nt</w:t>
      </w:r>
      <w:proofErr w:type="spellEnd"/>
      <w:r w:rsidRPr="0049578D">
        <w:rPr>
          <w:rFonts w:ascii="Arial" w:hAnsi="Arial" w:cs="Arial"/>
          <w:sz w:val="20"/>
          <w:szCs w:val="20"/>
        </w:rPr>
        <w:t>​/</w:t>
      </w:r>
      <w:r w:rsidRPr="0049578D">
        <w:rPr>
          <w:rFonts w:ascii="Arial" w:hAnsi="Arial" w:cs="Arial"/>
          <w:i/>
          <w:iCs/>
          <w:sz w:val="20"/>
          <w:szCs w:val="20"/>
        </w:rPr>
        <w:t>Ns</w:t>
      </w:r>
      <w:r w:rsidRPr="0049578D">
        <w:rPr>
          <w:rFonts w:ascii="Arial" w:hAnsi="Arial" w:cs="Arial"/>
          <w:sz w:val="20"/>
          <w:szCs w:val="20"/>
        </w:rPr>
        <w:t xml:space="preserve">​) (Moll </w:t>
      </w:r>
      <w:r w:rsidRPr="0049578D">
        <w:rPr>
          <w:rFonts w:ascii="Arial" w:hAnsi="Arial" w:cs="Arial"/>
          <w:i/>
          <w:iCs/>
          <w:sz w:val="20"/>
          <w:szCs w:val="20"/>
        </w:rPr>
        <w:t>et al.</w:t>
      </w:r>
      <w:r w:rsidRPr="0049578D">
        <w:rPr>
          <w:rFonts w:ascii="Arial" w:hAnsi="Arial" w:cs="Arial"/>
          <w:sz w:val="20"/>
          <w:szCs w:val="20"/>
        </w:rPr>
        <w:t xml:space="preserve">, 1982; Sandhu </w:t>
      </w:r>
      <w:r w:rsidRPr="0049578D">
        <w:rPr>
          <w:rFonts w:ascii="Arial" w:hAnsi="Arial" w:cs="Arial"/>
          <w:i/>
          <w:iCs/>
          <w:sz w:val="20"/>
          <w:szCs w:val="20"/>
        </w:rPr>
        <w:t>et al.</w:t>
      </w:r>
      <w:r w:rsidRPr="0049578D">
        <w:rPr>
          <w:rFonts w:ascii="Arial" w:hAnsi="Arial" w:cs="Arial"/>
          <w:sz w:val="20"/>
          <w:szCs w:val="20"/>
        </w:rPr>
        <w:t xml:space="preserve">, 2021). Conversely, </w:t>
      </w:r>
      <w:proofErr w:type="spellStart"/>
      <w:r w:rsidRPr="0049578D">
        <w:rPr>
          <w:rFonts w:ascii="Arial" w:hAnsi="Arial" w:cs="Arial"/>
          <w:sz w:val="20"/>
          <w:szCs w:val="20"/>
        </w:rPr>
        <w:t>NUtE</w:t>
      </w:r>
      <w:proofErr w:type="spellEnd"/>
      <w:r w:rsidRPr="0049578D">
        <w:rPr>
          <w:rFonts w:ascii="Arial" w:hAnsi="Arial" w:cs="Arial"/>
          <w:sz w:val="20"/>
          <w:szCs w:val="20"/>
        </w:rPr>
        <w:t xml:space="preserve"> measures the efficiency with which this acquired nitrogen is assimilated and remobilized to produce grain, defined as the ratio of grain dry weight to the total plant nitrogen content (</w:t>
      </w:r>
      <w:proofErr w:type="spellStart"/>
      <w:r w:rsidRPr="0049578D">
        <w:rPr>
          <w:rFonts w:ascii="Arial" w:hAnsi="Arial" w:cs="Arial"/>
          <w:i/>
          <w:iCs/>
          <w:sz w:val="20"/>
          <w:szCs w:val="20"/>
        </w:rPr>
        <w:t>Gw</w:t>
      </w:r>
      <w:proofErr w:type="spellEnd"/>
      <w:r w:rsidRPr="0049578D">
        <w:rPr>
          <w:rFonts w:ascii="Arial" w:hAnsi="Arial" w:cs="Arial"/>
          <w:sz w:val="20"/>
          <w:szCs w:val="20"/>
        </w:rPr>
        <w:t>​/</w:t>
      </w:r>
      <w:proofErr w:type="spellStart"/>
      <w:r w:rsidRPr="0049578D">
        <w:rPr>
          <w:rFonts w:ascii="Arial" w:hAnsi="Arial" w:cs="Arial"/>
          <w:i/>
          <w:iCs/>
          <w:sz w:val="20"/>
          <w:szCs w:val="20"/>
        </w:rPr>
        <w:t>Nt</w:t>
      </w:r>
      <w:proofErr w:type="spellEnd"/>
      <w:r w:rsidRPr="0049578D">
        <w:rPr>
          <w:rFonts w:ascii="Arial" w:hAnsi="Arial" w:cs="Arial"/>
          <w:sz w:val="20"/>
          <w:szCs w:val="20"/>
        </w:rPr>
        <w:t xml:space="preserve">​) (Moll </w:t>
      </w:r>
      <w:r w:rsidRPr="0049578D">
        <w:rPr>
          <w:rFonts w:ascii="Arial" w:hAnsi="Arial" w:cs="Arial"/>
          <w:i/>
          <w:iCs/>
          <w:sz w:val="20"/>
          <w:szCs w:val="20"/>
        </w:rPr>
        <w:t>et al.</w:t>
      </w:r>
      <w:r w:rsidRPr="0049578D">
        <w:rPr>
          <w:rFonts w:ascii="Arial" w:hAnsi="Arial" w:cs="Arial"/>
          <w:sz w:val="20"/>
          <w:szCs w:val="20"/>
        </w:rPr>
        <w:t xml:space="preserve">, 1982; Sandhu </w:t>
      </w:r>
      <w:r w:rsidRPr="0049578D">
        <w:rPr>
          <w:rFonts w:ascii="Arial" w:hAnsi="Arial" w:cs="Arial"/>
          <w:i/>
          <w:iCs/>
          <w:sz w:val="20"/>
          <w:szCs w:val="20"/>
        </w:rPr>
        <w:t>et al.</w:t>
      </w:r>
      <w:r w:rsidRPr="0049578D">
        <w:rPr>
          <w:rFonts w:ascii="Arial" w:hAnsi="Arial" w:cs="Arial"/>
          <w:sz w:val="20"/>
          <w:szCs w:val="20"/>
        </w:rPr>
        <w:t>, 2021).</w:t>
      </w:r>
    </w:p>
    <w:p w14:paraId="35562A3B" w14:textId="77777777" w:rsidR="0049578D" w:rsidRPr="0049578D" w:rsidRDefault="0049578D" w:rsidP="0049578D">
      <w:pPr>
        <w:pStyle w:val="NormalWeb"/>
        <w:jc w:val="both"/>
        <w:rPr>
          <w:rFonts w:ascii="Arial" w:hAnsi="Arial" w:cs="Arial"/>
          <w:sz w:val="20"/>
          <w:szCs w:val="20"/>
        </w:rPr>
      </w:pPr>
      <w:r w:rsidRPr="0049578D">
        <w:rPr>
          <w:rFonts w:ascii="Arial" w:hAnsi="Arial" w:cs="Arial"/>
          <w:sz w:val="20"/>
          <w:szCs w:val="20"/>
        </w:rPr>
        <w:t xml:space="preserve">Beyond this fundamental dichotomy, researchers employ specific indices to address distinct agronomic or physiological research objectives. "Agronomic Efficiency" assesses the economic efficacy of fertilizer application, defined as the difference in grain yield between fertilized and unfertilized plots per unit of applied nitrogen (Xu </w:t>
      </w:r>
      <w:r w:rsidRPr="0049578D">
        <w:rPr>
          <w:rFonts w:ascii="Arial" w:hAnsi="Arial" w:cs="Arial"/>
          <w:i/>
          <w:iCs/>
          <w:sz w:val="20"/>
          <w:szCs w:val="20"/>
        </w:rPr>
        <w:t>et al.</w:t>
      </w:r>
      <w:r w:rsidRPr="0049578D">
        <w:rPr>
          <w:rFonts w:ascii="Arial" w:hAnsi="Arial" w:cs="Arial"/>
          <w:sz w:val="20"/>
          <w:szCs w:val="20"/>
        </w:rPr>
        <w:t xml:space="preserve">, 2012; Good </w:t>
      </w:r>
      <w:r w:rsidRPr="0049578D">
        <w:rPr>
          <w:rFonts w:ascii="Arial" w:hAnsi="Arial" w:cs="Arial"/>
          <w:i/>
          <w:iCs/>
          <w:sz w:val="20"/>
          <w:szCs w:val="20"/>
        </w:rPr>
        <w:t>et al.</w:t>
      </w:r>
      <w:r w:rsidRPr="0049578D">
        <w:rPr>
          <w:rFonts w:ascii="Arial" w:hAnsi="Arial" w:cs="Arial"/>
          <w:sz w:val="20"/>
          <w:szCs w:val="20"/>
        </w:rPr>
        <w:t xml:space="preserve">, 2004; Sandhu </w:t>
      </w:r>
      <w:r w:rsidRPr="0049578D">
        <w:rPr>
          <w:rFonts w:ascii="Arial" w:hAnsi="Arial" w:cs="Arial"/>
          <w:i/>
          <w:iCs/>
          <w:sz w:val="20"/>
          <w:szCs w:val="20"/>
        </w:rPr>
        <w:t>et al.</w:t>
      </w:r>
      <w:r w:rsidRPr="0049578D">
        <w:rPr>
          <w:rFonts w:ascii="Arial" w:hAnsi="Arial" w:cs="Arial"/>
          <w:sz w:val="20"/>
          <w:szCs w:val="20"/>
        </w:rPr>
        <w:t xml:space="preserve">, 2021). "Physiological Efficiency" evaluates the biological conversion of absorbed nitrogen into yield, calculated as the yield increase per unit of increased nitrogen uptake. (Xu </w:t>
      </w:r>
      <w:r w:rsidRPr="0049578D">
        <w:rPr>
          <w:rFonts w:ascii="Arial" w:hAnsi="Arial" w:cs="Arial"/>
          <w:i/>
          <w:iCs/>
          <w:sz w:val="20"/>
          <w:szCs w:val="20"/>
        </w:rPr>
        <w:t>et al.</w:t>
      </w:r>
      <w:r w:rsidRPr="0049578D">
        <w:rPr>
          <w:rFonts w:ascii="Arial" w:hAnsi="Arial" w:cs="Arial"/>
          <w:sz w:val="20"/>
          <w:szCs w:val="20"/>
        </w:rPr>
        <w:t xml:space="preserve">, 2012; Good </w:t>
      </w:r>
      <w:r w:rsidRPr="0049578D">
        <w:rPr>
          <w:rFonts w:ascii="Arial" w:hAnsi="Arial" w:cs="Arial"/>
          <w:i/>
          <w:iCs/>
          <w:sz w:val="20"/>
          <w:szCs w:val="20"/>
        </w:rPr>
        <w:t>et al.</w:t>
      </w:r>
      <w:r w:rsidRPr="0049578D">
        <w:rPr>
          <w:rFonts w:ascii="Arial" w:hAnsi="Arial" w:cs="Arial"/>
          <w:sz w:val="20"/>
          <w:szCs w:val="20"/>
        </w:rPr>
        <w:t xml:space="preserve">, 2004; Sandhu </w:t>
      </w:r>
      <w:r w:rsidRPr="0049578D">
        <w:rPr>
          <w:rFonts w:ascii="Arial" w:hAnsi="Arial" w:cs="Arial"/>
          <w:i/>
          <w:iCs/>
          <w:sz w:val="20"/>
          <w:szCs w:val="20"/>
        </w:rPr>
        <w:t>et al.</w:t>
      </w:r>
      <w:r w:rsidRPr="0049578D">
        <w:rPr>
          <w:rFonts w:ascii="Arial" w:hAnsi="Arial" w:cs="Arial"/>
          <w:sz w:val="20"/>
          <w:szCs w:val="20"/>
        </w:rPr>
        <w:t xml:space="preserve">, 2021). Additionally, "Apparent Nitrogen Recovery" estimates the efficiency of the crop in capturing applied fertilizer, reflecting the percentage of applied nitrogen that is successfully taken up by the plant (Sandhu </w:t>
      </w:r>
      <w:r w:rsidRPr="0049578D">
        <w:rPr>
          <w:rFonts w:ascii="Arial" w:hAnsi="Arial" w:cs="Arial"/>
          <w:i/>
          <w:iCs/>
          <w:sz w:val="20"/>
          <w:szCs w:val="20"/>
        </w:rPr>
        <w:t>et al.</w:t>
      </w:r>
      <w:r w:rsidRPr="0049578D">
        <w:rPr>
          <w:rFonts w:ascii="Arial" w:hAnsi="Arial" w:cs="Arial"/>
          <w:sz w:val="20"/>
          <w:szCs w:val="20"/>
        </w:rPr>
        <w:t xml:space="preserve">, 2021; Xu </w:t>
      </w:r>
      <w:r w:rsidRPr="0049578D">
        <w:rPr>
          <w:rFonts w:ascii="Arial" w:hAnsi="Arial" w:cs="Arial"/>
          <w:i/>
          <w:iCs/>
          <w:sz w:val="20"/>
          <w:szCs w:val="20"/>
        </w:rPr>
        <w:t>et al.</w:t>
      </w:r>
      <w:r w:rsidRPr="0049578D">
        <w:rPr>
          <w:rFonts w:ascii="Arial" w:hAnsi="Arial" w:cs="Arial"/>
          <w:sz w:val="20"/>
          <w:szCs w:val="20"/>
        </w:rPr>
        <w:t xml:space="preserve">, 2012). </w:t>
      </w:r>
      <w:r w:rsidRPr="0049578D">
        <w:rPr>
          <w:rFonts w:ascii="Arial" w:hAnsi="Arial" w:cs="Arial"/>
          <w:sz w:val="20"/>
          <w:szCs w:val="20"/>
        </w:rPr>
        <w:lastRenderedPageBreak/>
        <w:t>These efficiency phenotypes are ultimately the cumulative result of coordinated biochemical pathways, including uptake, nitrate reduction, ammonium assimilation, and the crucial remobilization of organic nitrogen from senescing tissues to developing grains (</w:t>
      </w:r>
      <w:proofErr w:type="spellStart"/>
      <w:r w:rsidRPr="0049578D">
        <w:rPr>
          <w:rFonts w:ascii="Arial" w:hAnsi="Arial" w:cs="Arial"/>
          <w:sz w:val="20"/>
          <w:szCs w:val="20"/>
        </w:rPr>
        <w:t>Masclaux-Daubresse</w:t>
      </w:r>
      <w:proofErr w:type="spellEnd"/>
      <w:r w:rsidRPr="0049578D">
        <w:rPr>
          <w:rFonts w:ascii="Arial" w:hAnsi="Arial" w:cs="Arial"/>
          <w:sz w:val="20"/>
          <w:szCs w:val="20"/>
        </w:rPr>
        <w:t xml:space="preserve"> </w:t>
      </w:r>
      <w:r w:rsidRPr="0049578D">
        <w:rPr>
          <w:rFonts w:ascii="Arial" w:hAnsi="Arial" w:cs="Arial"/>
          <w:i/>
          <w:iCs/>
          <w:sz w:val="20"/>
          <w:szCs w:val="20"/>
        </w:rPr>
        <w:t>et al.</w:t>
      </w:r>
      <w:r w:rsidRPr="0049578D">
        <w:rPr>
          <w:rFonts w:ascii="Arial" w:hAnsi="Arial" w:cs="Arial"/>
          <w:sz w:val="20"/>
          <w:szCs w:val="20"/>
        </w:rPr>
        <w:t>, 2010).</w:t>
      </w:r>
    </w:p>
    <w:p w14:paraId="459EDD9E" w14:textId="0F4C6DE1" w:rsidR="0049578D" w:rsidRPr="00EC03C7" w:rsidRDefault="00EC03C7" w:rsidP="0049578D">
      <w:pPr>
        <w:pStyle w:val="NormalWeb"/>
        <w:jc w:val="both"/>
        <w:rPr>
          <w:rFonts w:ascii="Arial" w:hAnsi="Arial" w:cs="Arial"/>
          <w:b/>
          <w:bCs/>
          <w:sz w:val="22"/>
          <w:szCs w:val="22"/>
          <w:lang w:val="en-US"/>
        </w:rPr>
      </w:pPr>
      <w:r w:rsidRPr="00EC03C7">
        <w:rPr>
          <w:rFonts w:ascii="Arial" w:hAnsi="Arial" w:cs="Arial"/>
          <w:b/>
          <w:bCs/>
          <w:sz w:val="22"/>
          <w:szCs w:val="22"/>
          <w:lang w:val="en-US"/>
        </w:rPr>
        <w:t>4. STEPS IN NITROGEN UTILIZATION</w:t>
      </w:r>
    </w:p>
    <w:p w14:paraId="7AA8DB79" w14:textId="77777777" w:rsidR="0049578D" w:rsidRDefault="0049578D" w:rsidP="0049578D">
      <w:pPr>
        <w:tabs>
          <w:tab w:val="left" w:pos="1040"/>
        </w:tabs>
        <w:jc w:val="both"/>
        <w:rPr>
          <w:rFonts w:ascii="Arial" w:hAnsi="Arial" w:cs="Arial"/>
        </w:rPr>
      </w:pPr>
      <w:r w:rsidRPr="0049578D">
        <w:rPr>
          <w:rFonts w:ascii="Arial" w:hAnsi="Arial" w:cs="Arial"/>
        </w:rPr>
        <w:t>Plant nitrogen utilization is a complex and highly regulated process encompassing several crucial steps: uptake, assimilation, translocation, vacuolar storage and remobilization. Understanding these molecular mechanisms is vital for improving Nitrogen Use Efficiency (NUE) in crops, a critical goal for sustainable agriculture.</w:t>
      </w:r>
    </w:p>
    <w:p w14:paraId="56E8C90E" w14:textId="77777777" w:rsidR="00EC03C7" w:rsidRPr="0049578D" w:rsidRDefault="00EC03C7" w:rsidP="0049578D">
      <w:pPr>
        <w:tabs>
          <w:tab w:val="left" w:pos="1040"/>
        </w:tabs>
        <w:jc w:val="both"/>
        <w:rPr>
          <w:rFonts w:ascii="Arial" w:hAnsi="Arial" w:cs="Arial"/>
        </w:rPr>
      </w:pPr>
    </w:p>
    <w:p w14:paraId="3AF8B26F" w14:textId="5293D734" w:rsidR="0049578D" w:rsidRPr="00EC03C7" w:rsidRDefault="00EC03C7" w:rsidP="0049578D">
      <w:pPr>
        <w:tabs>
          <w:tab w:val="left" w:pos="1040"/>
        </w:tabs>
        <w:spacing w:line="256" w:lineRule="auto"/>
        <w:jc w:val="both"/>
        <w:rPr>
          <w:rFonts w:ascii="Arial" w:hAnsi="Arial" w:cs="Arial"/>
          <w:b/>
          <w:bCs/>
          <w:sz w:val="22"/>
          <w:szCs w:val="22"/>
        </w:rPr>
      </w:pPr>
      <w:r w:rsidRPr="00EC03C7">
        <w:rPr>
          <w:rFonts w:ascii="Arial" w:eastAsia="Calibri" w:hAnsi="Arial" w:cs="Arial"/>
          <w:b/>
          <w:bCs/>
          <w:sz w:val="22"/>
          <w:szCs w:val="22"/>
          <w:lang w:eastAsia="zh-CN" w:bidi="ar"/>
        </w:rPr>
        <w:t>4.1 NITROGEN UPTAKE</w:t>
      </w:r>
    </w:p>
    <w:p w14:paraId="71E2215D" w14:textId="77777777" w:rsidR="0049578D" w:rsidRPr="0049578D" w:rsidRDefault="0049578D" w:rsidP="0049578D">
      <w:pPr>
        <w:tabs>
          <w:tab w:val="left" w:pos="1040"/>
        </w:tabs>
        <w:spacing w:line="256" w:lineRule="auto"/>
        <w:jc w:val="both"/>
        <w:rPr>
          <w:rFonts w:ascii="Arial" w:hAnsi="Arial" w:cs="Arial"/>
        </w:rPr>
      </w:pPr>
      <w:r w:rsidRPr="0049578D">
        <w:rPr>
          <w:rFonts w:ascii="Arial" w:eastAsia="Calibri" w:hAnsi="Arial" w:cs="Arial"/>
          <w:lang w:eastAsia="zh-CN" w:bidi="ar"/>
        </w:rPr>
        <w:t>In agricultural and natural ecosystems, the availability of soil nitrogen (N) is highly variable due to fluctuating environmental and microbial factors .To cope with this, plants utilize a diverse array of specialized plasma membrane transport proteins to capture  both organic molecules, such as amino acids and urea, and inorganic forms, namely nitrate (NO</w:t>
      </w:r>
      <w:r w:rsidRPr="0049578D">
        <w:rPr>
          <w:rFonts w:ascii="Cambria Math" w:eastAsia="Calibri" w:hAnsi="Cambria Math" w:cs="Cambria Math"/>
          <w:lang w:eastAsia="zh-CN" w:bidi="ar"/>
        </w:rPr>
        <w:t>₃⁻</w:t>
      </w:r>
      <w:r w:rsidRPr="0049578D">
        <w:rPr>
          <w:rFonts w:ascii="Arial" w:eastAsia="Calibri" w:hAnsi="Arial" w:cs="Arial"/>
          <w:lang w:eastAsia="zh-CN" w:bidi="ar"/>
        </w:rPr>
        <w:t>​) and ammonium (NH</w:t>
      </w:r>
      <w:r w:rsidRPr="0049578D">
        <w:rPr>
          <w:rFonts w:ascii="Cambria Math" w:eastAsia="Calibri" w:hAnsi="Cambria Math" w:cs="Cambria Math"/>
          <w:lang w:eastAsia="zh-CN" w:bidi="ar"/>
        </w:rPr>
        <w:t>₄⁺</w:t>
      </w:r>
      <w:r w:rsidRPr="0049578D">
        <w:rPr>
          <w:rFonts w:ascii="Arial" w:eastAsia="Calibri" w:hAnsi="Arial" w:cs="Arial"/>
          <w:lang w:eastAsia="zh-CN" w:bidi="ar"/>
        </w:rPr>
        <w:t>​)(</w:t>
      </w:r>
      <w:proofErr w:type="spellStart"/>
      <w:r w:rsidRPr="0049578D">
        <w:rPr>
          <w:rFonts w:ascii="Arial" w:eastAsia="Calibri" w:hAnsi="Arial" w:cs="Arial"/>
          <w:lang w:eastAsia="zh-CN" w:bidi="ar"/>
        </w:rPr>
        <w:t>Masclaux-Daubresse</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2010; Wang </w:t>
      </w:r>
      <w:r w:rsidRPr="0049578D">
        <w:rPr>
          <w:rFonts w:ascii="Arial" w:eastAsia="Calibri" w:hAnsi="Arial" w:cs="Arial"/>
          <w:i/>
          <w:iCs/>
          <w:lang w:eastAsia="zh-CN" w:bidi="ar"/>
        </w:rPr>
        <w:t>et al.</w:t>
      </w:r>
      <w:r w:rsidRPr="0049578D">
        <w:rPr>
          <w:rFonts w:ascii="Arial" w:eastAsia="Calibri" w:hAnsi="Arial" w:cs="Arial"/>
          <w:lang w:eastAsia="zh-CN" w:bidi="ar"/>
        </w:rPr>
        <w:t>, 2014)  The predominance of either nitrate or ammonium in a plant's diet is heavily influenced by its habitat; for example, species in well-aerated soils primarily absorb nitrate, while those in waterlogged or acidic conditions, such as rice paddies, are highly adapted to utilize ammonium (</w:t>
      </w:r>
      <w:proofErr w:type="spellStart"/>
      <w:r w:rsidRPr="0049578D">
        <w:rPr>
          <w:rFonts w:ascii="Arial" w:eastAsia="Calibri" w:hAnsi="Arial" w:cs="Arial"/>
          <w:lang w:eastAsia="zh-CN" w:bidi="ar"/>
        </w:rPr>
        <w:t>Masclaux-Daubresse</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2010; Liu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.,2015). </w:t>
      </w:r>
    </w:p>
    <w:p w14:paraId="0B26F336" w14:textId="77777777" w:rsidR="0049578D" w:rsidRPr="0049578D" w:rsidRDefault="0049578D" w:rsidP="0049578D">
      <w:pPr>
        <w:tabs>
          <w:tab w:val="left" w:pos="1040"/>
        </w:tabs>
        <w:spacing w:line="256" w:lineRule="auto"/>
        <w:jc w:val="both"/>
        <w:rPr>
          <w:rFonts w:ascii="Arial" w:hAnsi="Arial" w:cs="Arial"/>
        </w:rPr>
      </w:pPr>
      <w:r w:rsidRPr="0049578D">
        <w:rPr>
          <w:rFonts w:ascii="Arial" w:eastAsia="Calibri" w:hAnsi="Arial" w:cs="Arial"/>
          <w:lang w:eastAsia="zh-CN" w:bidi="ar"/>
        </w:rPr>
        <w:t>To cope with these vast fluctuations in soil nitrogen availability(ranging from micromolar to millimolar levels),  plant roots utilize two kinetically distinct transport systems: the high-affinity transport system (HATS) and the low-affinity transport system (LATS)(</w:t>
      </w:r>
      <w:proofErr w:type="spellStart"/>
      <w:r w:rsidRPr="0049578D">
        <w:rPr>
          <w:rFonts w:ascii="Arial" w:eastAsia="Calibri" w:hAnsi="Arial" w:cs="Arial"/>
          <w:lang w:eastAsia="zh-CN" w:bidi="ar"/>
        </w:rPr>
        <w:t>Dechorgnat</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2011) The HATS operates predominantly under low external nitrogen concentrations, typically be low 0.5 to 1 mM, and functions to scavenge scarce ions from the soil solution using an active, energy-dependent process that exhibits saturable kinetics (</w:t>
      </w:r>
      <w:proofErr w:type="spellStart"/>
      <w:r w:rsidRPr="0049578D">
        <w:rPr>
          <w:rFonts w:ascii="Arial" w:eastAsia="Calibri" w:hAnsi="Arial" w:cs="Arial"/>
          <w:lang w:eastAsia="zh-CN" w:bidi="ar"/>
        </w:rPr>
        <w:t>Nacry</w:t>
      </w:r>
      <w:proofErr w:type="spellEnd"/>
      <w:r w:rsidRPr="0049578D">
        <w:rPr>
          <w:rFonts w:ascii="Arial" w:eastAsia="Calibri" w:hAnsi="Arial" w:cs="Arial"/>
          <w:lang w:eastAsia="zh-CN" w:bidi="ar"/>
        </w:rPr>
        <w:t xml:space="preserve">, </w:t>
      </w:r>
      <w:proofErr w:type="spellStart"/>
      <w:r w:rsidRPr="0049578D">
        <w:rPr>
          <w:rFonts w:ascii="Arial" w:eastAsia="Calibri" w:hAnsi="Arial" w:cs="Arial"/>
          <w:lang w:eastAsia="zh-CN" w:bidi="ar"/>
        </w:rPr>
        <w:t>Bouguyon</w:t>
      </w:r>
      <w:proofErr w:type="spellEnd"/>
      <w:r w:rsidRPr="0049578D">
        <w:rPr>
          <w:rFonts w:ascii="Arial" w:eastAsia="Calibri" w:hAnsi="Arial" w:cs="Arial"/>
          <w:lang w:eastAsia="zh-CN" w:bidi="ar"/>
        </w:rPr>
        <w:t xml:space="preserve"> and </w:t>
      </w:r>
      <w:proofErr w:type="spellStart"/>
      <w:r w:rsidRPr="0049578D">
        <w:rPr>
          <w:rFonts w:ascii="Arial" w:eastAsia="Calibri" w:hAnsi="Arial" w:cs="Arial"/>
          <w:lang w:eastAsia="zh-CN" w:bidi="ar"/>
        </w:rPr>
        <w:t>Gojon</w:t>
      </w:r>
      <w:proofErr w:type="spellEnd"/>
      <w:r w:rsidRPr="0049578D">
        <w:rPr>
          <w:rFonts w:ascii="Arial" w:eastAsia="Calibri" w:hAnsi="Arial" w:cs="Arial"/>
          <w:lang w:eastAsia="zh-CN" w:bidi="ar"/>
        </w:rPr>
        <w:t xml:space="preserve">, 2013; Jose </w:t>
      </w:r>
      <w:r w:rsidRPr="0049578D">
        <w:rPr>
          <w:rFonts w:ascii="Arial" w:eastAsia="Calibri" w:hAnsi="Arial" w:cs="Arial"/>
          <w:i/>
          <w:iCs/>
          <w:lang w:eastAsia="zh-CN" w:bidi="ar"/>
        </w:rPr>
        <w:t>et al</w:t>
      </w:r>
      <w:r w:rsidRPr="0049578D">
        <w:rPr>
          <w:rFonts w:ascii="Arial" w:eastAsia="Calibri" w:hAnsi="Arial" w:cs="Arial"/>
          <w:lang w:eastAsia="zh-CN" w:bidi="ar"/>
        </w:rPr>
        <w:t>., 2023) This system consists of both constitutive components (</w:t>
      </w:r>
      <w:proofErr w:type="spellStart"/>
      <w:r w:rsidRPr="0049578D">
        <w:rPr>
          <w:rFonts w:ascii="Arial" w:eastAsia="Calibri" w:hAnsi="Arial" w:cs="Arial"/>
          <w:lang w:eastAsia="zh-CN" w:bidi="ar"/>
        </w:rPr>
        <w:t>cHATS</w:t>
      </w:r>
      <w:proofErr w:type="spellEnd"/>
      <w:r w:rsidRPr="0049578D">
        <w:rPr>
          <w:rFonts w:ascii="Arial" w:eastAsia="Calibri" w:hAnsi="Arial" w:cs="Arial"/>
          <w:lang w:eastAsia="zh-CN" w:bidi="ar"/>
        </w:rPr>
        <w:t>), which maintain a basal uptake capacity, and inducible components (</w:t>
      </w:r>
      <w:proofErr w:type="spellStart"/>
      <w:r w:rsidRPr="0049578D">
        <w:rPr>
          <w:rFonts w:ascii="Arial" w:eastAsia="Calibri" w:hAnsi="Arial" w:cs="Arial"/>
          <w:lang w:eastAsia="zh-CN" w:bidi="ar"/>
        </w:rPr>
        <w:t>iHATS</w:t>
      </w:r>
      <w:proofErr w:type="spellEnd"/>
      <w:r w:rsidRPr="0049578D">
        <w:rPr>
          <w:rFonts w:ascii="Arial" w:eastAsia="Calibri" w:hAnsi="Arial" w:cs="Arial"/>
          <w:lang w:eastAsia="zh-CN" w:bidi="ar"/>
        </w:rPr>
        <w:t xml:space="preserve">) that are upregulated in response to nitrogen availability. Conversely, the LATS is activated when external nitrogen concentrations are abundant, generally exceeding 1 </w:t>
      </w:r>
      <w:proofErr w:type="gramStart"/>
      <w:r w:rsidRPr="0049578D">
        <w:rPr>
          <w:rFonts w:ascii="Arial" w:eastAsia="Calibri" w:hAnsi="Arial" w:cs="Arial"/>
          <w:lang w:eastAsia="zh-CN" w:bidi="ar"/>
        </w:rPr>
        <w:t>Mm .In</w:t>
      </w:r>
      <w:proofErr w:type="gramEnd"/>
      <w:r w:rsidRPr="0049578D">
        <w:rPr>
          <w:rFonts w:ascii="Arial" w:eastAsia="Calibri" w:hAnsi="Arial" w:cs="Arial"/>
          <w:lang w:eastAsia="zh-CN" w:bidi="ar"/>
        </w:rPr>
        <w:t xml:space="preserve"> contrast to the saturable HATS, the LATS typically exhibits linear, non-saturable uptake kinetics, providing a high-capacity pathway for massive nitrogen influx when resources are plentiful (</w:t>
      </w:r>
      <w:proofErr w:type="spellStart"/>
      <w:r w:rsidRPr="0049578D">
        <w:rPr>
          <w:rFonts w:ascii="Arial" w:eastAsia="Calibri" w:hAnsi="Arial" w:cs="Arial"/>
          <w:lang w:eastAsia="zh-CN" w:bidi="ar"/>
        </w:rPr>
        <w:t>Nacry</w:t>
      </w:r>
      <w:proofErr w:type="spellEnd"/>
      <w:r w:rsidRPr="0049578D">
        <w:rPr>
          <w:rFonts w:ascii="Arial" w:eastAsia="Calibri" w:hAnsi="Arial" w:cs="Arial"/>
          <w:lang w:eastAsia="zh-CN" w:bidi="ar"/>
        </w:rPr>
        <w:t xml:space="preserve">, </w:t>
      </w:r>
      <w:proofErr w:type="spellStart"/>
      <w:r w:rsidRPr="0049578D">
        <w:rPr>
          <w:rFonts w:ascii="Arial" w:eastAsia="Calibri" w:hAnsi="Arial" w:cs="Arial"/>
          <w:lang w:eastAsia="zh-CN" w:bidi="ar"/>
        </w:rPr>
        <w:t>Bouguyon</w:t>
      </w:r>
      <w:proofErr w:type="spellEnd"/>
      <w:r w:rsidRPr="0049578D">
        <w:rPr>
          <w:rFonts w:ascii="Arial" w:eastAsia="Calibri" w:hAnsi="Arial" w:cs="Arial"/>
          <w:lang w:eastAsia="zh-CN" w:bidi="ar"/>
        </w:rPr>
        <w:t xml:space="preserve"> and </w:t>
      </w:r>
      <w:proofErr w:type="spellStart"/>
      <w:r w:rsidRPr="0049578D">
        <w:rPr>
          <w:rFonts w:ascii="Arial" w:eastAsia="Calibri" w:hAnsi="Arial" w:cs="Arial"/>
          <w:lang w:eastAsia="zh-CN" w:bidi="ar"/>
        </w:rPr>
        <w:t>Gojon</w:t>
      </w:r>
      <w:proofErr w:type="spellEnd"/>
      <w:r w:rsidRPr="0049578D">
        <w:rPr>
          <w:rFonts w:ascii="Arial" w:eastAsia="Calibri" w:hAnsi="Arial" w:cs="Arial"/>
          <w:lang w:eastAsia="zh-CN" w:bidi="ar"/>
        </w:rPr>
        <w:t xml:space="preserve">, 2013; Sandhu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2021).  </w:t>
      </w:r>
    </w:p>
    <w:p w14:paraId="704D0CFF" w14:textId="77777777" w:rsidR="0049578D" w:rsidRPr="0049578D" w:rsidRDefault="0049578D" w:rsidP="0049578D">
      <w:pPr>
        <w:tabs>
          <w:tab w:val="left" w:pos="1040"/>
        </w:tabs>
        <w:spacing w:line="256" w:lineRule="auto"/>
        <w:jc w:val="both"/>
        <w:rPr>
          <w:rFonts w:ascii="Arial" w:hAnsi="Arial" w:cs="Arial"/>
        </w:rPr>
      </w:pPr>
      <w:r w:rsidRPr="0049578D">
        <w:rPr>
          <w:rFonts w:ascii="Arial" w:eastAsia="Calibri" w:hAnsi="Arial" w:cs="Arial"/>
          <w:lang w:eastAsia="zh-CN" w:bidi="ar"/>
        </w:rPr>
        <w:t xml:space="preserve">Nitrogen accumulation by plant roots is an active process mediated by substrate-specific transmembrane transport proteins that facilitate the acquisition of various nitrogenous forms, including nitrate, ammonium, amino acids, and urea </w:t>
      </w:r>
      <w:r w:rsidRPr="0049578D">
        <w:rPr>
          <w:rFonts w:ascii="Arial" w:eastAsia="Calibri" w:hAnsi="Arial" w:cs="Arial"/>
          <w:b/>
          <w:bCs/>
          <w:lang w:eastAsia="zh-CN" w:bidi="ar"/>
        </w:rPr>
        <w:t>(</w:t>
      </w:r>
      <w:r w:rsidRPr="0049578D">
        <w:rPr>
          <w:rFonts w:ascii="Arial" w:eastAsia="Calibri" w:hAnsi="Arial" w:cs="Arial"/>
          <w:lang w:eastAsia="zh-CN" w:bidi="ar"/>
        </w:rPr>
        <w:t xml:space="preserve">Sandhu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2021). The molecular basis of nitrate uptake relies primarily on two plasma membrane-localized protein families: the NPF (formerly NRT1/PTR) family, which mostly comprises LATS transporters, and the NRT2 family, which constitutes the HATS. Additional transporters belonging to the Chloride Channel (CLC) and SLAC/SLAH families participate primarily in vacuolar storage and cellular anion efflux, respectively. (Li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2017; </w:t>
      </w:r>
      <w:proofErr w:type="spellStart"/>
      <w:r w:rsidRPr="0049578D">
        <w:rPr>
          <w:rFonts w:ascii="Arial" w:eastAsia="Calibri" w:hAnsi="Arial" w:cs="Arial"/>
          <w:lang w:eastAsia="zh-CN" w:bidi="ar"/>
        </w:rPr>
        <w:t>Nedelyaeva</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.,2024; Liu </w:t>
      </w:r>
      <w:r w:rsidRPr="0049578D">
        <w:rPr>
          <w:rFonts w:ascii="Arial" w:eastAsia="Calibri" w:hAnsi="Arial" w:cs="Arial"/>
          <w:i/>
          <w:iCs/>
          <w:lang w:eastAsia="zh-CN" w:bidi="ar"/>
        </w:rPr>
        <w:t>et al</w:t>
      </w:r>
      <w:r w:rsidRPr="0049578D">
        <w:rPr>
          <w:rFonts w:ascii="Arial" w:eastAsia="Calibri" w:hAnsi="Arial" w:cs="Arial"/>
          <w:lang w:eastAsia="zh-CN" w:bidi="ar"/>
        </w:rPr>
        <w:t xml:space="preserve">.,2015). Within the NPF family, NRT1.2 (NPF4.6) acts as a constitutive low-affinity transporter expressed mainly in the root epidermis to facilitate the bulk of LATS activity. A remarkable exception within this family is the dual-affinity </w:t>
      </w:r>
      <w:proofErr w:type="spellStart"/>
      <w:r w:rsidRPr="0049578D">
        <w:rPr>
          <w:rFonts w:ascii="Arial" w:eastAsia="Calibri" w:hAnsi="Arial" w:cs="Arial"/>
          <w:lang w:eastAsia="zh-CN" w:bidi="ar"/>
        </w:rPr>
        <w:t>transceptor</w:t>
      </w:r>
      <w:proofErr w:type="spellEnd"/>
      <w:r w:rsidRPr="0049578D">
        <w:rPr>
          <w:rFonts w:ascii="Arial" w:eastAsia="Calibri" w:hAnsi="Arial" w:cs="Arial"/>
          <w:lang w:eastAsia="zh-CN" w:bidi="ar"/>
        </w:rPr>
        <w:t xml:space="preserve"> NRT1.1 (NPF6.3), which is capable of shifting between low- and high-affinity transport modes depending on external nitrate availability. This functional switch is strictly regulated post-translationally by the phosphorylation of a key threonine residue (Thr101) via the CIPK23 kinase. Under nitrate-limiting conditions, phosphorylation at Thr101 decouples the NRT1.1 homodimer, increasing its structural flexibility and switching it into a high-affinity transport mode; conversely, dephosphorylation under high nitrate conditions allows it to function as a low-affinity transporter. </w:t>
      </w:r>
      <w:proofErr w:type="gramStart"/>
      <w:r w:rsidRPr="0049578D">
        <w:rPr>
          <w:rFonts w:ascii="Arial" w:eastAsia="Calibri" w:hAnsi="Arial" w:cs="Arial"/>
          <w:lang w:eastAsia="zh-CN" w:bidi="ar"/>
        </w:rPr>
        <w:t>.(</w:t>
      </w:r>
      <w:proofErr w:type="gramEnd"/>
      <w:r w:rsidRPr="0049578D">
        <w:rPr>
          <w:rFonts w:ascii="Arial" w:eastAsia="Calibri" w:hAnsi="Arial" w:cs="Arial"/>
          <w:lang w:eastAsia="zh-CN" w:bidi="ar"/>
        </w:rPr>
        <w:t xml:space="preserve">Reddy and </w:t>
      </w:r>
      <w:proofErr w:type="spellStart"/>
      <w:r w:rsidRPr="0049578D">
        <w:rPr>
          <w:rFonts w:ascii="Arial" w:eastAsia="Calibri" w:hAnsi="Arial" w:cs="Arial"/>
          <w:lang w:eastAsia="zh-CN" w:bidi="ar"/>
        </w:rPr>
        <w:t>Ulaganathan</w:t>
      </w:r>
      <w:proofErr w:type="spellEnd"/>
      <w:r w:rsidRPr="0049578D">
        <w:rPr>
          <w:rFonts w:ascii="Arial" w:eastAsia="Calibri" w:hAnsi="Arial" w:cs="Arial"/>
          <w:lang w:eastAsia="zh-CN" w:bidi="ar"/>
        </w:rPr>
        <w:t xml:space="preserve"> 2015; </w:t>
      </w:r>
      <w:proofErr w:type="spellStart"/>
      <w:r w:rsidRPr="0049578D">
        <w:rPr>
          <w:rFonts w:ascii="Arial" w:eastAsia="Calibri" w:hAnsi="Arial" w:cs="Arial"/>
          <w:lang w:eastAsia="zh-CN" w:bidi="ar"/>
        </w:rPr>
        <w:t>Nedelyaeva</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.,2024; Wang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2021; Li </w:t>
      </w:r>
      <w:r w:rsidRPr="0049578D">
        <w:rPr>
          <w:rFonts w:ascii="Arial" w:eastAsia="Calibri" w:hAnsi="Arial" w:cs="Arial"/>
          <w:i/>
          <w:iCs/>
          <w:lang w:eastAsia="zh-CN" w:bidi="ar"/>
        </w:rPr>
        <w:t>et al</w:t>
      </w:r>
      <w:r w:rsidRPr="0049578D">
        <w:rPr>
          <w:rFonts w:ascii="Arial" w:eastAsia="Calibri" w:hAnsi="Arial" w:cs="Arial"/>
          <w:lang w:eastAsia="zh-CN" w:bidi="ar"/>
        </w:rPr>
        <w:t>., 2017). Furthermore, NRT1.1 acts as a "</w:t>
      </w:r>
      <w:proofErr w:type="spellStart"/>
      <w:r w:rsidRPr="0049578D">
        <w:rPr>
          <w:rFonts w:ascii="Arial" w:eastAsia="Calibri" w:hAnsi="Arial" w:cs="Arial"/>
          <w:lang w:eastAsia="zh-CN" w:bidi="ar"/>
        </w:rPr>
        <w:t>transceptor</w:t>
      </w:r>
      <w:proofErr w:type="spellEnd"/>
      <w:r w:rsidRPr="0049578D">
        <w:rPr>
          <w:rFonts w:ascii="Arial" w:eastAsia="Calibri" w:hAnsi="Arial" w:cs="Arial"/>
          <w:lang w:eastAsia="zh-CN" w:bidi="ar"/>
        </w:rPr>
        <w:t>," directly perceiving external soil nitrate levels to trigger the primary nitrate response and modulate root system architecture (</w:t>
      </w:r>
      <w:proofErr w:type="spellStart"/>
      <w:r w:rsidRPr="0049578D">
        <w:rPr>
          <w:rFonts w:ascii="Arial" w:eastAsia="Calibri" w:hAnsi="Arial" w:cs="Arial"/>
          <w:lang w:eastAsia="zh-CN" w:bidi="ar"/>
        </w:rPr>
        <w:t>Dechorgnat</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2011; Li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2017; </w:t>
      </w:r>
      <w:proofErr w:type="spellStart"/>
      <w:r w:rsidRPr="0049578D">
        <w:rPr>
          <w:rFonts w:ascii="Arial" w:eastAsia="Calibri" w:hAnsi="Arial" w:cs="Arial"/>
          <w:lang w:eastAsia="zh-CN" w:bidi="ar"/>
        </w:rPr>
        <w:t>Nacry</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2013). High-affinity nitrate uptake, on the other hand, relies almost entirely on the NRT2 family, with NRT2.1 and NRT2.2 acting as the major components of the inducible HATS. The functionality and plasma membrane targeting of NRT2.1 strictly require an auxiliary partner protein, NAR2.1 (NRT3.1), forming an active hetero-tetrameric transport complex. (Yong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2010; Reddy and </w:t>
      </w:r>
      <w:proofErr w:type="spellStart"/>
      <w:r w:rsidRPr="0049578D">
        <w:rPr>
          <w:rFonts w:ascii="Arial" w:eastAsia="Calibri" w:hAnsi="Arial" w:cs="Arial"/>
          <w:lang w:eastAsia="zh-CN" w:bidi="ar"/>
        </w:rPr>
        <w:t>Ulaganathan</w:t>
      </w:r>
      <w:proofErr w:type="spellEnd"/>
      <w:r w:rsidRPr="0049578D">
        <w:rPr>
          <w:rFonts w:ascii="Arial" w:eastAsia="Calibri" w:hAnsi="Arial" w:cs="Arial"/>
          <w:lang w:eastAsia="zh-CN" w:bidi="ar"/>
        </w:rPr>
        <w:t xml:space="preserve"> 2015; </w:t>
      </w:r>
      <w:proofErr w:type="spellStart"/>
      <w:r w:rsidRPr="0049578D">
        <w:rPr>
          <w:rFonts w:ascii="Arial" w:eastAsia="Calibri" w:hAnsi="Arial" w:cs="Arial"/>
          <w:lang w:eastAsia="zh-CN" w:bidi="ar"/>
        </w:rPr>
        <w:t>Dechorgnat</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2011; Krapp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2014). Additionally, NRT2.4 and NRT2.5 act as very high-affinity transporters that are specifically induced under severe and prolonged nitrogen starvation to scavenge trace amounts of nitrate (Kiba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2012; </w:t>
      </w:r>
      <w:proofErr w:type="spellStart"/>
      <w:r w:rsidRPr="0049578D">
        <w:rPr>
          <w:rFonts w:ascii="Arial" w:eastAsia="Calibri" w:hAnsi="Arial" w:cs="Arial"/>
          <w:lang w:eastAsia="zh-CN" w:bidi="ar"/>
        </w:rPr>
        <w:t>Lezhneva</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2014).</w:t>
      </w:r>
    </w:p>
    <w:p w14:paraId="56F87D2F" w14:textId="77777777" w:rsidR="0049578D" w:rsidRPr="0049578D" w:rsidRDefault="0049578D" w:rsidP="0049578D">
      <w:pPr>
        <w:tabs>
          <w:tab w:val="left" w:pos="1040"/>
        </w:tabs>
        <w:spacing w:line="256" w:lineRule="auto"/>
        <w:jc w:val="both"/>
        <w:rPr>
          <w:rFonts w:ascii="Arial" w:hAnsi="Arial" w:cs="Arial"/>
        </w:rPr>
      </w:pPr>
      <w:r w:rsidRPr="0049578D">
        <w:rPr>
          <w:rFonts w:ascii="Arial" w:eastAsia="Calibri" w:hAnsi="Arial" w:cs="Arial"/>
          <w:lang w:eastAsia="zh-CN" w:bidi="ar"/>
        </w:rPr>
        <w:t>Ammonium uptake is predominantly mediated by the Ammonium Transporter/Methylammonium Permease/Rhesus (AMT/MEP/Rh) superfamily, functioning strictly within the high-affinity transport system (</w:t>
      </w:r>
      <w:proofErr w:type="spellStart"/>
      <w:r w:rsidRPr="0049578D">
        <w:rPr>
          <w:rFonts w:ascii="Arial" w:eastAsia="Calibri" w:hAnsi="Arial" w:cs="Arial"/>
          <w:lang w:eastAsia="zh-CN" w:bidi="ar"/>
        </w:rPr>
        <w:t>Nacry</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2013). In roots, ammonium influx is driven by members of the AMT1 subfamily. Transporters such as AMT1;1, AMT1;3, and AMT1;5 are localized to the plasma membrane of outer root tissues like the epidermis and root hairs, where they are responsible for the direct </w:t>
      </w:r>
      <w:proofErr w:type="spellStart"/>
      <w:r w:rsidRPr="0049578D">
        <w:rPr>
          <w:rFonts w:ascii="Arial" w:eastAsia="Calibri" w:hAnsi="Arial" w:cs="Arial"/>
          <w:lang w:eastAsia="zh-CN" w:bidi="ar"/>
        </w:rPr>
        <w:t>symplastic</w:t>
      </w:r>
      <w:proofErr w:type="spellEnd"/>
      <w:r w:rsidRPr="0049578D">
        <w:rPr>
          <w:rFonts w:ascii="Arial" w:eastAsia="Calibri" w:hAnsi="Arial" w:cs="Arial"/>
          <w:lang w:eastAsia="zh-CN" w:bidi="ar"/>
        </w:rPr>
        <w:t xml:space="preserve"> absorption of ammonium from the soil solution .Meanwhile, AMT1;2 is localized primarily in the endodermis and cortex, serving a distinctive role in retrieving ammonium that enters the root </w:t>
      </w:r>
      <w:proofErr w:type="spellStart"/>
      <w:r w:rsidRPr="0049578D">
        <w:rPr>
          <w:rFonts w:ascii="Arial" w:eastAsia="Calibri" w:hAnsi="Arial" w:cs="Arial"/>
          <w:lang w:eastAsia="zh-CN" w:bidi="ar"/>
        </w:rPr>
        <w:t>apoplastically</w:t>
      </w:r>
      <w:proofErr w:type="spellEnd"/>
      <w:r w:rsidRPr="0049578D">
        <w:rPr>
          <w:rFonts w:ascii="Arial" w:eastAsia="Calibri" w:hAnsi="Arial" w:cs="Arial"/>
          <w:lang w:eastAsia="zh-CN" w:bidi="ar"/>
        </w:rPr>
        <w:t>.(</w:t>
      </w:r>
      <w:proofErr w:type="spellStart"/>
      <w:r w:rsidRPr="0049578D">
        <w:rPr>
          <w:rFonts w:ascii="Arial" w:eastAsia="Calibri" w:hAnsi="Arial" w:cs="Arial"/>
          <w:lang w:eastAsia="zh-CN" w:bidi="ar"/>
        </w:rPr>
        <w:t>Muratore</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2021; Mahboob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2023). Because excess ammonium can be highly toxic to plant cells, AMT1 transporters are subject to a </w:t>
      </w:r>
      <w:r w:rsidRPr="0049578D">
        <w:rPr>
          <w:rFonts w:ascii="Arial" w:eastAsia="Calibri" w:hAnsi="Arial" w:cs="Arial"/>
          <w:lang w:eastAsia="zh-CN" w:bidi="ar"/>
        </w:rPr>
        <w:lastRenderedPageBreak/>
        <w:t xml:space="preserve">rapid feedback shutoff mechanism. High external ammonium triggers the CIPK23 kinase to phosphorylate a conserved threonine residue in the cytosolic C-terminus of the AMT1 trimeric complex (e.g., Thr460 in AMT1;1), inducing an allosteric trans-inactivation of the transporter pore to safely restrict excess influx (Muratore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2021; Wang </w:t>
      </w:r>
      <w:r w:rsidRPr="0049578D">
        <w:rPr>
          <w:rFonts w:ascii="Arial" w:eastAsia="Calibri" w:hAnsi="Arial" w:cs="Arial"/>
          <w:i/>
          <w:iCs/>
          <w:lang w:eastAsia="zh-CN" w:bidi="ar"/>
        </w:rPr>
        <w:t>et al</w:t>
      </w:r>
      <w:r w:rsidRPr="0049578D">
        <w:rPr>
          <w:rFonts w:ascii="Arial" w:eastAsia="Calibri" w:hAnsi="Arial" w:cs="Arial"/>
          <w:lang w:eastAsia="zh-CN" w:bidi="ar"/>
        </w:rPr>
        <w:t>., 2021).</w:t>
      </w:r>
    </w:p>
    <w:p w14:paraId="15E7594E" w14:textId="77777777" w:rsidR="0049578D" w:rsidRPr="0049578D" w:rsidRDefault="0049578D" w:rsidP="0049578D">
      <w:pPr>
        <w:tabs>
          <w:tab w:val="left" w:pos="1040"/>
        </w:tabs>
        <w:spacing w:line="256" w:lineRule="auto"/>
        <w:jc w:val="both"/>
        <w:rPr>
          <w:rFonts w:ascii="Arial" w:eastAsia="Calibri" w:hAnsi="Arial" w:cs="Arial"/>
          <w:lang w:eastAsia="zh-CN" w:bidi="ar"/>
        </w:rPr>
      </w:pPr>
      <w:r w:rsidRPr="0049578D">
        <w:rPr>
          <w:rFonts w:ascii="Arial" w:eastAsia="Calibri" w:hAnsi="Arial" w:cs="Arial"/>
          <w:lang w:eastAsia="zh-CN" w:bidi="ar"/>
        </w:rPr>
        <w:t xml:space="preserve">While inorganic nitrogen uptake dominates cultivated soils, specialized transporters also allow plants to utilize organic nitrogen pools. High-affinity urea uptake is primarily mediated by DUR3, a symporter specifically induced by nitrogen starvation to absorb urea directly from the soil (Jose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2023; </w:t>
      </w:r>
      <w:proofErr w:type="spellStart"/>
      <w:r w:rsidRPr="0049578D">
        <w:rPr>
          <w:rFonts w:ascii="Arial" w:eastAsia="Calibri" w:hAnsi="Arial" w:cs="Arial"/>
          <w:lang w:eastAsia="zh-CN" w:bidi="ar"/>
        </w:rPr>
        <w:t>Nacry</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2013). Passive, low-affinity urea uptake is further facilitated by aquaporins belonging to the Major Intrinsic Protein (MIP) family, particularly the Nodulin 26-like Intrinsic Proteins (NIPs). For amino acid acquisition, roots rely on specific transporters such as the Lysine Histidine Transporter 1 (LHT1) and various Amino Acid Permeases (AAPs), highlighting the plant's versatile and highly coordinated capacity to exploit diverse nitrogen resources for sustainable growth. (Jose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2023; </w:t>
      </w:r>
      <w:proofErr w:type="spellStart"/>
      <w:r w:rsidRPr="0049578D">
        <w:rPr>
          <w:rFonts w:ascii="Arial" w:eastAsia="Calibri" w:hAnsi="Arial" w:cs="Arial"/>
          <w:lang w:eastAsia="zh-CN" w:bidi="ar"/>
        </w:rPr>
        <w:t>Nacry</w:t>
      </w:r>
      <w:proofErr w:type="spellEnd"/>
      <w:r w:rsidRPr="0049578D">
        <w:rPr>
          <w:rFonts w:ascii="Arial" w:eastAsia="Calibri" w:hAnsi="Arial" w:cs="Arial"/>
          <w:lang w:eastAsia="zh-CN" w:bidi="ar"/>
        </w:rPr>
        <w:t xml:space="preserve"> </w:t>
      </w:r>
      <w:r w:rsidRPr="0049578D">
        <w:rPr>
          <w:rFonts w:ascii="Arial" w:eastAsia="Calibri" w:hAnsi="Arial" w:cs="Arial"/>
          <w:i/>
          <w:iCs/>
          <w:lang w:eastAsia="zh-CN" w:bidi="ar"/>
        </w:rPr>
        <w:t>et al</w:t>
      </w:r>
      <w:r w:rsidRPr="0049578D">
        <w:rPr>
          <w:rFonts w:ascii="Arial" w:eastAsia="Calibri" w:hAnsi="Arial" w:cs="Arial"/>
          <w:lang w:eastAsia="zh-CN" w:bidi="ar"/>
        </w:rPr>
        <w:t xml:space="preserve">., 2013; Mahboob </w:t>
      </w:r>
      <w:r w:rsidRPr="0049578D">
        <w:rPr>
          <w:rFonts w:ascii="Arial" w:eastAsia="Calibri" w:hAnsi="Arial" w:cs="Arial"/>
          <w:i/>
          <w:iCs/>
          <w:lang w:eastAsia="zh-CN" w:bidi="ar"/>
        </w:rPr>
        <w:t>et al</w:t>
      </w:r>
      <w:r w:rsidRPr="0049578D">
        <w:rPr>
          <w:rFonts w:ascii="Arial" w:eastAsia="Calibri" w:hAnsi="Arial" w:cs="Arial"/>
          <w:lang w:eastAsia="zh-CN" w:bidi="ar"/>
        </w:rPr>
        <w:t>., 2023).</w:t>
      </w:r>
    </w:p>
    <w:p w14:paraId="6759C805" w14:textId="77777777" w:rsidR="0049578D" w:rsidRPr="0049578D" w:rsidRDefault="0049578D" w:rsidP="0049578D">
      <w:pPr>
        <w:tabs>
          <w:tab w:val="left" w:pos="1040"/>
        </w:tabs>
        <w:spacing w:line="256" w:lineRule="auto"/>
        <w:jc w:val="both"/>
        <w:rPr>
          <w:rFonts w:ascii="Arial" w:eastAsia="Calibri" w:hAnsi="Arial" w:cs="Arial"/>
          <w:lang w:eastAsia="zh-CN" w:bidi="ar"/>
        </w:rPr>
      </w:pPr>
    </w:p>
    <w:p w14:paraId="7A5B5AFA" w14:textId="27B20E77" w:rsidR="0049578D" w:rsidRPr="0049578D" w:rsidRDefault="00EC03C7" w:rsidP="0049578D">
      <w:pPr>
        <w:tabs>
          <w:tab w:val="left" w:pos="1040"/>
        </w:tabs>
        <w:jc w:val="both"/>
        <w:rPr>
          <w:rFonts w:ascii="Arial" w:hAnsi="Arial" w:cs="Arial"/>
          <w:b/>
          <w:bCs/>
        </w:rPr>
      </w:pPr>
      <w:r w:rsidRPr="00EC03C7">
        <w:rPr>
          <w:rFonts w:ascii="Arial" w:hAnsi="Arial" w:cs="Arial"/>
          <w:b/>
          <w:bCs/>
          <w:sz w:val="22"/>
          <w:szCs w:val="22"/>
        </w:rPr>
        <w:t>4.2 NITROGEN ASSIMILATION</w:t>
      </w:r>
    </w:p>
    <w:p w14:paraId="1DBE2FFE" w14:textId="77777777" w:rsidR="0049578D" w:rsidRPr="0049578D" w:rsidRDefault="0049578D" w:rsidP="0049578D">
      <w:pPr>
        <w:tabs>
          <w:tab w:val="left" w:pos="1040"/>
        </w:tabs>
        <w:jc w:val="both"/>
        <w:rPr>
          <w:rFonts w:ascii="Arial" w:hAnsi="Arial" w:cs="Arial"/>
        </w:rPr>
      </w:pPr>
      <w:r w:rsidRPr="0049578D">
        <w:rPr>
          <w:rFonts w:ascii="Arial" w:hAnsi="Arial" w:cs="Arial"/>
        </w:rPr>
        <w:t>Following the uptake of inorganic nitrogen from the soil, the plant must integrate these molecules into organic structures such as amino acids to support its growth and metabolic functions. Nitrogen assimilation primarily requires the sequential reduction of nitrate (</w:t>
      </w:r>
      <w:r w:rsidRPr="0049578D">
        <w:rPr>
          <w:rFonts w:ascii="Arial" w:hAnsi="Arial" w:cs="Arial"/>
          <w:i/>
          <w:iCs/>
        </w:rPr>
        <w:t>NO</w:t>
      </w:r>
      <w:r w:rsidRPr="0049578D">
        <w:rPr>
          <w:rFonts w:ascii="Arial" w:hAnsi="Arial" w:cs="Arial"/>
        </w:rPr>
        <w:t>3−​) to ammonium (</w:t>
      </w:r>
      <w:r w:rsidRPr="0049578D">
        <w:rPr>
          <w:rFonts w:ascii="Arial" w:hAnsi="Arial" w:cs="Arial"/>
          <w:i/>
          <w:iCs/>
        </w:rPr>
        <w:t>NH</w:t>
      </w:r>
      <w:r w:rsidRPr="0049578D">
        <w:rPr>
          <w:rFonts w:ascii="Arial" w:hAnsi="Arial" w:cs="Arial"/>
        </w:rPr>
        <w:t>4+​), followed by the assimilation of ammonium into amino acids. This highly coordinated process is driven by several key enzymes and is inextricably linked to the plant's carbon metabolism, which supplies the necessary energy and carbon skeletons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Ali, 2020).</w:t>
      </w:r>
    </w:p>
    <w:p w14:paraId="2443F0D4" w14:textId="77777777" w:rsidR="0049578D" w:rsidRPr="0049578D" w:rsidRDefault="0049578D" w:rsidP="0049578D">
      <w:pPr>
        <w:tabs>
          <w:tab w:val="left" w:pos="1040"/>
        </w:tabs>
        <w:jc w:val="both"/>
        <w:rPr>
          <w:rFonts w:ascii="Arial" w:hAnsi="Arial" w:cs="Arial"/>
        </w:rPr>
      </w:pPr>
      <w:r w:rsidRPr="0049578D">
        <w:rPr>
          <w:rFonts w:ascii="Arial" w:hAnsi="Arial" w:cs="Arial"/>
        </w:rPr>
        <w:t>The first step of nitrate assimilation occurs in the cytosol, where nitrate is reduced to nitrite (NO</w:t>
      </w:r>
      <w:r w:rsidRPr="0049578D">
        <w:rPr>
          <w:rFonts w:ascii="Cambria Math" w:hAnsi="Cambria Math" w:cs="Cambria Math"/>
        </w:rPr>
        <w:t>₂⁻</w:t>
      </w:r>
      <w:r w:rsidRPr="0049578D">
        <w:rPr>
          <w:rFonts w:ascii="Arial" w:hAnsi="Arial" w:cs="Arial"/>
        </w:rPr>
        <w:t xml:space="preserve">) by the enzyme nitrate reductase (NR). This enzyme represents a key regulatory point in the nitrogen assimilation pathway and is often considered a rate-limiting step (Ali, 2020). NR requires cofactors such as flavin adenine dinucleotide, </w:t>
      </w:r>
      <w:proofErr w:type="spellStart"/>
      <w:r w:rsidRPr="0049578D">
        <w:rPr>
          <w:rFonts w:ascii="Arial" w:hAnsi="Arial" w:cs="Arial"/>
        </w:rPr>
        <w:t>haem</w:t>
      </w:r>
      <w:proofErr w:type="spellEnd"/>
      <w:r w:rsidRPr="0049578D">
        <w:rPr>
          <w:rFonts w:ascii="Arial" w:hAnsi="Arial" w:cs="Arial"/>
        </w:rPr>
        <w:t xml:space="preserve">, and a molybdenum cofactor to facilitate electron transfer, typically using NADH or NADPH as electron donors (Kishorekumar </w:t>
      </w:r>
      <w:r w:rsidRPr="0049578D">
        <w:rPr>
          <w:rFonts w:ascii="Arial" w:hAnsi="Arial" w:cs="Arial"/>
          <w:i/>
          <w:iCs/>
        </w:rPr>
        <w:t>et al</w:t>
      </w:r>
      <w:r w:rsidRPr="0049578D">
        <w:rPr>
          <w:rFonts w:ascii="Arial" w:hAnsi="Arial" w:cs="Arial"/>
        </w:rPr>
        <w:t>., 2019; Ali, 2020). Because nitrite is highly reactive and potentially toxic, it is rapidly transported into plastids in roots or chloroplasts in leaves, where it undergoes further reduction to ammonium by nitrite reductase (</w:t>
      </w:r>
      <w:proofErr w:type="spellStart"/>
      <w:r w:rsidRPr="0049578D">
        <w:rPr>
          <w:rFonts w:ascii="Arial" w:hAnsi="Arial" w:cs="Arial"/>
        </w:rPr>
        <w:t>NiR</w:t>
      </w:r>
      <w:proofErr w:type="spellEnd"/>
      <w:r w:rsidRPr="0049578D">
        <w:rPr>
          <w:rFonts w:ascii="Arial" w:hAnsi="Arial" w:cs="Arial"/>
        </w:rPr>
        <w:t>). This reaction relies on reduced ferredoxin generated through photosynthetic electron transport in green tissues or through alternative metabolic pathways in non-photosynthetic tissues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Yoneyama &amp; Suzuki, 2020).</w:t>
      </w:r>
    </w:p>
    <w:p w14:paraId="5D7AA86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Foundational biochemical research by Lea and </w:t>
      </w:r>
      <w:proofErr w:type="spellStart"/>
      <w:r w:rsidRPr="0049578D">
        <w:rPr>
          <w:rFonts w:ascii="Arial" w:hAnsi="Arial" w:cs="Arial"/>
        </w:rPr>
        <w:t>Miflin</w:t>
      </w:r>
      <w:proofErr w:type="spellEnd"/>
      <w:r w:rsidRPr="0049578D">
        <w:rPr>
          <w:rFonts w:ascii="Arial" w:hAnsi="Arial" w:cs="Arial"/>
        </w:rPr>
        <w:t xml:space="preserve"> established that the exclusive primary route for the incorporation of ammonium into carbon skeletons is the glutamine synthetase/glutamate synthase (GS/GOGAT) cycle (Lea and </w:t>
      </w:r>
      <w:proofErr w:type="spellStart"/>
      <w:r w:rsidRPr="0049578D">
        <w:rPr>
          <w:rFonts w:ascii="Arial" w:hAnsi="Arial" w:cs="Arial"/>
        </w:rPr>
        <w:t>Miflin</w:t>
      </w:r>
      <w:proofErr w:type="spellEnd"/>
      <w:r w:rsidRPr="0049578D">
        <w:rPr>
          <w:rFonts w:ascii="Arial" w:hAnsi="Arial" w:cs="Arial"/>
        </w:rPr>
        <w:t xml:space="preserve">., 2003;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This cycle facilitates the assimilation of both primary </w:t>
      </w:r>
      <w:proofErr w:type="gramStart"/>
      <w:r w:rsidRPr="0049578D">
        <w:rPr>
          <w:rFonts w:ascii="Arial" w:hAnsi="Arial" w:cs="Arial"/>
        </w:rPr>
        <w:t>ammonium</w:t>
      </w:r>
      <w:proofErr w:type="gramEnd"/>
      <w:r w:rsidRPr="0049578D">
        <w:rPr>
          <w:rFonts w:ascii="Arial" w:hAnsi="Arial" w:cs="Arial"/>
        </w:rPr>
        <w:t xml:space="preserve">, originating from nitrate reduction or direct uptake, and secondary ammonium released during photorespiration and protein degradation (Kishorekumar </w:t>
      </w:r>
      <w:r w:rsidRPr="0049578D">
        <w:rPr>
          <w:rFonts w:ascii="Arial" w:hAnsi="Arial" w:cs="Arial"/>
          <w:i/>
          <w:iCs/>
        </w:rPr>
        <w:t>et al</w:t>
      </w:r>
      <w:r w:rsidRPr="0049578D">
        <w:rPr>
          <w:rFonts w:ascii="Arial" w:hAnsi="Arial" w:cs="Arial"/>
        </w:rPr>
        <w:t>., 2019; Bernard and Habash., 2009).</w:t>
      </w:r>
    </w:p>
    <w:p w14:paraId="459BDB93"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In this pathway, glutamine synthetase catalyzes the ATP-dependent incorporation of ammonium into glutamate to form glutamine. Plants have evolved two major GS isoforms to compartmentalize this metabolism: </w:t>
      </w:r>
      <w:proofErr w:type="spellStart"/>
      <w:r w:rsidRPr="0049578D">
        <w:rPr>
          <w:rFonts w:ascii="Arial" w:hAnsi="Arial" w:cs="Arial"/>
        </w:rPr>
        <w:t>plastidic</w:t>
      </w:r>
      <w:proofErr w:type="spellEnd"/>
      <w:r w:rsidRPr="0049578D">
        <w:rPr>
          <w:rFonts w:ascii="Arial" w:hAnsi="Arial" w:cs="Arial"/>
        </w:rPr>
        <w:t xml:space="preserve"> GS2 and cytosolic GS1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Li </w:t>
      </w:r>
      <w:r w:rsidRPr="0049578D">
        <w:rPr>
          <w:rFonts w:ascii="Arial" w:hAnsi="Arial" w:cs="Arial"/>
          <w:i/>
          <w:iCs/>
        </w:rPr>
        <w:t>et al</w:t>
      </w:r>
      <w:r w:rsidRPr="0049578D">
        <w:rPr>
          <w:rFonts w:ascii="Arial" w:hAnsi="Arial" w:cs="Arial"/>
        </w:rPr>
        <w:t xml:space="preserve">., 2017).  GS2 is predominantly localized in the leaf mesophyll and functions primarily in assimilating nitrate-derived ammonium and reassimilating the massive quantities of ammonium released during photorespiration. (Thomsen </w:t>
      </w:r>
      <w:r w:rsidRPr="0049578D">
        <w:rPr>
          <w:rFonts w:ascii="Arial" w:hAnsi="Arial" w:cs="Arial"/>
          <w:i/>
          <w:iCs/>
        </w:rPr>
        <w:t>et al</w:t>
      </w:r>
      <w:r w:rsidRPr="0049578D">
        <w:rPr>
          <w:rFonts w:ascii="Arial" w:hAnsi="Arial" w:cs="Arial"/>
        </w:rPr>
        <w:t xml:space="preserve">., 2014; Li </w:t>
      </w:r>
      <w:r w:rsidRPr="0049578D">
        <w:rPr>
          <w:rFonts w:ascii="Arial" w:hAnsi="Arial" w:cs="Arial"/>
          <w:i/>
          <w:iCs/>
        </w:rPr>
        <w:t>et al</w:t>
      </w:r>
      <w:r w:rsidRPr="0049578D">
        <w:rPr>
          <w:rFonts w:ascii="Arial" w:hAnsi="Arial" w:cs="Arial"/>
        </w:rPr>
        <w:t xml:space="preserve">., 2017; Xu </w:t>
      </w:r>
      <w:r w:rsidRPr="0049578D">
        <w:rPr>
          <w:rFonts w:ascii="Arial" w:hAnsi="Arial" w:cs="Arial"/>
          <w:i/>
          <w:iCs/>
        </w:rPr>
        <w:t>et al</w:t>
      </w:r>
      <w:r w:rsidRPr="0049578D">
        <w:rPr>
          <w:rFonts w:ascii="Arial" w:hAnsi="Arial" w:cs="Arial"/>
        </w:rPr>
        <w:t xml:space="preserve">., 2012). Conversely, GS1 is encoded by a small multigene family and plays pivotal roles in the roots for primary ammonium assimilation, and in the vascular tissues of leaves and stems for remobilizing nitrogen during senescence to support grain filling (Thomsen </w:t>
      </w:r>
      <w:r w:rsidRPr="0049578D">
        <w:rPr>
          <w:rFonts w:ascii="Arial" w:hAnsi="Arial" w:cs="Arial"/>
          <w:i/>
          <w:iCs/>
        </w:rPr>
        <w:t>et al</w:t>
      </w:r>
      <w:r w:rsidRPr="0049578D">
        <w:rPr>
          <w:rFonts w:ascii="Arial" w:hAnsi="Arial" w:cs="Arial"/>
        </w:rPr>
        <w:t xml:space="preserve">., 2014;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Bernard and Habash, 2009; Li </w:t>
      </w:r>
      <w:r w:rsidRPr="0049578D">
        <w:rPr>
          <w:rFonts w:ascii="Arial" w:hAnsi="Arial" w:cs="Arial"/>
          <w:i/>
          <w:iCs/>
        </w:rPr>
        <w:t>et al</w:t>
      </w:r>
      <w:r w:rsidRPr="0049578D">
        <w:rPr>
          <w:rFonts w:ascii="Arial" w:hAnsi="Arial" w:cs="Arial"/>
        </w:rPr>
        <w:t>., 2017)</w:t>
      </w:r>
    </w:p>
    <w:p w14:paraId="074373EB"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Working in tandem with GS, GOGAT transfers the amide group of </w:t>
      </w:r>
      <w:proofErr w:type="gramStart"/>
      <w:r w:rsidRPr="0049578D">
        <w:rPr>
          <w:rFonts w:ascii="Arial" w:hAnsi="Arial" w:cs="Arial"/>
        </w:rPr>
        <w:t>glutamine</w:t>
      </w:r>
      <w:proofErr w:type="gramEnd"/>
      <w:r w:rsidRPr="0049578D">
        <w:rPr>
          <w:rFonts w:ascii="Arial" w:hAnsi="Arial" w:cs="Arial"/>
        </w:rPr>
        <w:t xml:space="preserve"> to 2-oxoglutarate, producing two molecules of glutamate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Bernard and Habash, 2009; Kishorekumar </w:t>
      </w:r>
      <w:r w:rsidRPr="0049578D">
        <w:rPr>
          <w:rFonts w:ascii="Arial" w:hAnsi="Arial" w:cs="Arial"/>
          <w:i/>
          <w:iCs/>
        </w:rPr>
        <w:t>et al</w:t>
      </w:r>
      <w:r w:rsidRPr="0049578D">
        <w:rPr>
          <w:rFonts w:ascii="Arial" w:hAnsi="Arial" w:cs="Arial"/>
        </w:rPr>
        <w:t xml:space="preserve">., 2019). GOGAT exists in two distinct forms based on electron donor specificity: </w:t>
      </w:r>
      <w:proofErr w:type="spellStart"/>
      <w:r w:rsidRPr="0049578D">
        <w:rPr>
          <w:rFonts w:ascii="Arial" w:hAnsi="Arial" w:cs="Arial"/>
        </w:rPr>
        <w:t>Fd</w:t>
      </w:r>
      <w:proofErr w:type="spellEnd"/>
      <w:r w:rsidRPr="0049578D">
        <w:rPr>
          <w:rFonts w:ascii="Arial" w:hAnsi="Arial" w:cs="Arial"/>
        </w:rPr>
        <w:t xml:space="preserve">-GOGAT and NADH-GOGAT. </w:t>
      </w:r>
      <w:proofErr w:type="spellStart"/>
      <w:r w:rsidRPr="0049578D">
        <w:rPr>
          <w:rFonts w:ascii="Arial" w:hAnsi="Arial" w:cs="Arial"/>
        </w:rPr>
        <w:t>Fd</w:t>
      </w:r>
      <w:proofErr w:type="spellEnd"/>
      <w:r w:rsidRPr="0049578D">
        <w:rPr>
          <w:rFonts w:ascii="Arial" w:hAnsi="Arial" w:cs="Arial"/>
        </w:rPr>
        <w:t>-GOGAT is mainly found in the chloroplasts of photosynthetic tissues, where it partners with GS2 in photorespiratory nitrogen cycling and primary assimilation. NADH-GOGAT is localized primarily in the plastids of non-photosynthetic tissues, such as roots, where it plays a crucial role in primary ammonium assimilation and providing glutamate for transport through the vascular system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Kishorekumar </w:t>
      </w:r>
      <w:r w:rsidRPr="0049578D">
        <w:rPr>
          <w:rFonts w:ascii="Arial" w:hAnsi="Arial" w:cs="Arial"/>
          <w:i/>
          <w:iCs/>
        </w:rPr>
        <w:t>et al</w:t>
      </w:r>
      <w:r w:rsidRPr="0049578D">
        <w:rPr>
          <w:rFonts w:ascii="Arial" w:hAnsi="Arial" w:cs="Arial"/>
        </w:rPr>
        <w:t xml:space="preserve">., 2019; Li </w:t>
      </w:r>
      <w:r w:rsidRPr="0049578D">
        <w:rPr>
          <w:rFonts w:ascii="Arial" w:hAnsi="Arial" w:cs="Arial"/>
          <w:i/>
          <w:iCs/>
        </w:rPr>
        <w:t>et al</w:t>
      </w:r>
      <w:r w:rsidRPr="0049578D">
        <w:rPr>
          <w:rFonts w:ascii="Arial" w:hAnsi="Arial" w:cs="Arial"/>
        </w:rPr>
        <w:t>., 2017).</w:t>
      </w:r>
    </w:p>
    <w:p w14:paraId="41C2A5DC"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In addition to the GS/GOGAT cycle, other enzymes contribute to nitrogen metabolism by facilitating nitrogen transport and recycling. Asparagine synthetase plays an important role in producing asparagine, a stable amino acid that functions as a major nitrogen transport and storage compound in plants (Lebedev </w:t>
      </w:r>
      <w:r w:rsidRPr="0049578D">
        <w:rPr>
          <w:rFonts w:ascii="Arial" w:hAnsi="Arial" w:cs="Arial"/>
          <w:i/>
          <w:iCs/>
        </w:rPr>
        <w:t>et al</w:t>
      </w:r>
      <w:r w:rsidRPr="0049578D">
        <w:rPr>
          <w:rFonts w:ascii="Arial" w:hAnsi="Arial" w:cs="Arial"/>
        </w:rPr>
        <w:t xml:space="preserve">., 2021; Liu </w:t>
      </w:r>
      <w:r w:rsidRPr="0049578D">
        <w:rPr>
          <w:rFonts w:ascii="Arial" w:hAnsi="Arial" w:cs="Arial"/>
          <w:i/>
          <w:iCs/>
        </w:rPr>
        <w:t>et al</w:t>
      </w:r>
      <w:r w:rsidRPr="0049578D">
        <w:rPr>
          <w:rFonts w:ascii="Arial" w:hAnsi="Arial" w:cs="Arial"/>
        </w:rPr>
        <w:t>., 2022). Similarly, glutamate dehydrogenase may participate in nitrogen recycling by catalyzing reversible reactions between glutamate and ammonium, particularly under stress conditions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w:t>
      </w:r>
      <w:proofErr w:type="spellStart"/>
      <w:r w:rsidRPr="0049578D">
        <w:rPr>
          <w:rFonts w:ascii="Arial" w:hAnsi="Arial" w:cs="Arial"/>
        </w:rPr>
        <w:t>Dellero</w:t>
      </w:r>
      <w:proofErr w:type="spellEnd"/>
      <w:r w:rsidRPr="0049578D">
        <w:rPr>
          <w:rFonts w:ascii="Arial" w:hAnsi="Arial" w:cs="Arial"/>
        </w:rPr>
        <w:t xml:space="preserve">, 2020). </w:t>
      </w:r>
    </w:p>
    <w:p w14:paraId="6361B832" w14:textId="77777777" w:rsidR="0049578D" w:rsidRDefault="0049578D" w:rsidP="0049578D">
      <w:pPr>
        <w:tabs>
          <w:tab w:val="left" w:pos="1040"/>
        </w:tabs>
        <w:jc w:val="both"/>
        <w:rPr>
          <w:rFonts w:ascii="Arial" w:hAnsi="Arial" w:cs="Arial"/>
        </w:rPr>
      </w:pPr>
      <w:r w:rsidRPr="0049578D">
        <w:rPr>
          <w:rFonts w:ascii="Arial" w:hAnsi="Arial" w:cs="Arial"/>
        </w:rPr>
        <w:t xml:space="preserve">The assimilation of nitrogen is highly energy-dependent and intrinsically linked to plant carbon metabolism. Enzymes like NR, </w:t>
      </w:r>
      <w:proofErr w:type="spellStart"/>
      <w:r w:rsidRPr="0049578D">
        <w:rPr>
          <w:rFonts w:ascii="Arial" w:hAnsi="Arial" w:cs="Arial"/>
        </w:rPr>
        <w:t>NiR</w:t>
      </w:r>
      <w:proofErr w:type="spellEnd"/>
      <w:r w:rsidRPr="0049578D">
        <w:rPr>
          <w:rFonts w:ascii="Arial" w:hAnsi="Arial" w:cs="Arial"/>
        </w:rPr>
        <w:t>, GS, and GOGAT depend on a continuous flow of chemical energy (ATP), reducing power (NADH, reduced ferredoxin), and carbon backbones (such as 2-oxoglutarate) that are generated through photosynthesis and cellular respiration. Consequently, any molecular strategy aimed at improving nitrogen use efficiency (NUE) must carefully balance the crosstalk between the carbon and nitrogen metabolic networks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Ali, 2020).</w:t>
      </w:r>
    </w:p>
    <w:p w14:paraId="6C33A147" w14:textId="77777777" w:rsidR="0049578D" w:rsidRPr="0049578D" w:rsidRDefault="0049578D" w:rsidP="0049578D">
      <w:pPr>
        <w:tabs>
          <w:tab w:val="left" w:pos="1040"/>
        </w:tabs>
        <w:jc w:val="both"/>
        <w:rPr>
          <w:rFonts w:ascii="Arial" w:hAnsi="Arial" w:cs="Arial"/>
        </w:rPr>
      </w:pPr>
    </w:p>
    <w:p w14:paraId="36E436BF" w14:textId="54D50256" w:rsidR="0049578D" w:rsidRPr="00EC03C7" w:rsidRDefault="00EC03C7" w:rsidP="0049578D">
      <w:pPr>
        <w:tabs>
          <w:tab w:val="left" w:pos="1040"/>
        </w:tabs>
        <w:jc w:val="both"/>
        <w:rPr>
          <w:rFonts w:ascii="Arial" w:hAnsi="Arial" w:cs="Arial"/>
          <w:sz w:val="22"/>
          <w:szCs w:val="22"/>
        </w:rPr>
      </w:pPr>
      <w:r w:rsidRPr="00EC03C7">
        <w:rPr>
          <w:rFonts w:ascii="Arial" w:hAnsi="Arial" w:cs="Arial"/>
          <w:b/>
          <w:bCs/>
          <w:sz w:val="22"/>
          <w:szCs w:val="22"/>
        </w:rPr>
        <w:t>4.3 NITROGEN TRANSPORT AND DISTRIBUTION</w:t>
      </w:r>
    </w:p>
    <w:p w14:paraId="6C151C65"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Following nitrogen assimilation, the distribution of nitrogen throughout the plant is mediated by a highly regulated long-distance transport system involving both xylem and phloem pathways, which ensures optimal allocation according to </w:t>
      </w:r>
      <w:r w:rsidRPr="0049578D">
        <w:rPr>
          <w:rFonts w:ascii="Arial" w:hAnsi="Arial" w:cs="Arial"/>
        </w:rPr>
        <w:lastRenderedPageBreak/>
        <w:t>developmental and metabolic demands. Nitrate (NO</w:t>
      </w:r>
      <w:r w:rsidRPr="0049578D">
        <w:rPr>
          <w:rFonts w:ascii="Cambria Math" w:hAnsi="Cambria Math" w:cs="Cambria Math"/>
        </w:rPr>
        <w:t>₃⁻</w:t>
      </w:r>
      <w:r w:rsidRPr="0049578D">
        <w:rPr>
          <w:rFonts w:ascii="Arial" w:hAnsi="Arial" w:cs="Arial"/>
        </w:rPr>
        <w:t xml:space="preserve">), the predominant transported inorganic nitrogen form, is first loaded into the xylem in roots via specialized transporters localized in pericycle and xylem parenchyma cells. Among these, NRT1.5 (NPF7.3) plays a central role in mediating nitrate efflux into the xylem sap, as evidenced by mutant studies showing significantly reduced root-to-shoot nitrate transport and lower nitrate concentrations in xylem sap in </w:t>
      </w:r>
      <w:r w:rsidRPr="0049578D">
        <w:rPr>
          <w:rFonts w:ascii="Arial" w:hAnsi="Arial" w:cs="Arial"/>
          <w:i/>
          <w:iCs/>
        </w:rPr>
        <w:t>nrt1.5</w:t>
      </w:r>
      <w:r w:rsidRPr="0049578D">
        <w:rPr>
          <w:rFonts w:ascii="Arial" w:hAnsi="Arial" w:cs="Arial"/>
        </w:rPr>
        <w:t xml:space="preserve"> lines (Lin </w:t>
      </w:r>
      <w:r w:rsidRPr="0049578D">
        <w:rPr>
          <w:rFonts w:ascii="Arial" w:hAnsi="Arial" w:cs="Arial"/>
          <w:i/>
          <w:iCs/>
        </w:rPr>
        <w:t>et al</w:t>
      </w:r>
      <w:r w:rsidRPr="0049578D">
        <w:rPr>
          <w:rFonts w:ascii="Arial" w:hAnsi="Arial" w:cs="Arial"/>
        </w:rPr>
        <w:t xml:space="preserve">., 2008; Wang </w:t>
      </w:r>
      <w:r w:rsidRPr="0049578D">
        <w:rPr>
          <w:rFonts w:ascii="Arial" w:hAnsi="Arial" w:cs="Arial"/>
          <w:i/>
          <w:iCs/>
        </w:rPr>
        <w:t>et al</w:t>
      </w:r>
      <w:r w:rsidRPr="0049578D">
        <w:rPr>
          <w:rFonts w:ascii="Arial" w:hAnsi="Arial" w:cs="Arial"/>
        </w:rPr>
        <w:t xml:space="preserve">., 2012). In addition to xylem loading, nitrate distribution is dynamically regulated by transporters such as NRT1.8, which retrieves nitrate from the xylem to modulate root–shoot partitioning under stress conditions, indicating that bidirectional nitrate flux is essential for maintaining ionic balance and adaptive responses (Li </w:t>
      </w:r>
      <w:r w:rsidRPr="0049578D">
        <w:rPr>
          <w:rFonts w:ascii="Arial" w:hAnsi="Arial" w:cs="Arial"/>
          <w:i/>
          <w:iCs/>
        </w:rPr>
        <w:t>et al</w:t>
      </w:r>
      <w:r w:rsidRPr="0049578D">
        <w:rPr>
          <w:rFonts w:ascii="Arial" w:hAnsi="Arial" w:cs="Arial"/>
        </w:rPr>
        <w:t xml:space="preserve">., 2010). Once translocated to the shoot, nitrate can either be assimilated or stored in vacuoles through tonoplast-localized transporters such as </w:t>
      </w:r>
      <w:proofErr w:type="spellStart"/>
      <w:r w:rsidRPr="0049578D">
        <w:rPr>
          <w:rFonts w:ascii="Arial" w:hAnsi="Arial" w:cs="Arial"/>
        </w:rPr>
        <w:t>CLCa</w:t>
      </w:r>
      <w:proofErr w:type="spellEnd"/>
      <w:r w:rsidRPr="0049578D">
        <w:rPr>
          <w:rFonts w:ascii="Arial" w:hAnsi="Arial" w:cs="Arial"/>
        </w:rPr>
        <w:t xml:space="preserve">, enabling plants to buffer fluctuations in nitrogen availability (De Angeli </w:t>
      </w:r>
      <w:r w:rsidRPr="0049578D">
        <w:rPr>
          <w:rFonts w:ascii="Arial" w:hAnsi="Arial" w:cs="Arial"/>
          <w:i/>
          <w:iCs/>
        </w:rPr>
        <w:t>et al</w:t>
      </w:r>
      <w:r w:rsidRPr="0049578D">
        <w:rPr>
          <w:rFonts w:ascii="Arial" w:hAnsi="Arial" w:cs="Arial"/>
        </w:rPr>
        <w:t>., 2006).</w:t>
      </w:r>
    </w:p>
    <w:p w14:paraId="00EF34D3"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At the shoot level, efficient redistribution of nitrate is achieved through xylem-to-phloem transfer, which is crucial for supplying nitrogen to developing sink tissues. Transporters such as NRT1.11 and NRT1.12, expressed in companion cells of major veins, facilitate the transfer of xylem-derived nitrate into the phloem for delivery to young leaves; loss-of-function mutants show impaired allocation to growing tissues and reduced growth under high nitrate conditions (Hsu and Tsay, 2013; Wang </w:t>
      </w:r>
      <w:r w:rsidRPr="0049578D">
        <w:rPr>
          <w:rFonts w:ascii="Arial" w:hAnsi="Arial" w:cs="Arial"/>
          <w:i/>
          <w:iCs/>
        </w:rPr>
        <w:t>et al</w:t>
      </w:r>
      <w:r w:rsidRPr="0049578D">
        <w:rPr>
          <w:rFonts w:ascii="Arial" w:hAnsi="Arial" w:cs="Arial"/>
        </w:rPr>
        <w:t>., 2012). Importantly, although nitrate can be transported via both xylem and phloem, organic nitrogen primarily in the form of amino acids constitutes the dominant nitrogen species in phloem sap, often occurring at concentrations substantially higher than inorganic nitrogen, thereby playing a central role in source–sink nitrogen allocation (Tegeder and Rentsch, 2010).</w:t>
      </w:r>
    </w:p>
    <w:p w14:paraId="73CA25F1" w14:textId="77777777" w:rsidR="0049578D" w:rsidRDefault="0049578D" w:rsidP="0049578D">
      <w:pPr>
        <w:tabs>
          <w:tab w:val="left" w:pos="1040"/>
        </w:tabs>
        <w:jc w:val="both"/>
        <w:rPr>
          <w:rFonts w:ascii="Arial" w:hAnsi="Arial" w:cs="Arial"/>
        </w:rPr>
      </w:pPr>
      <w:r w:rsidRPr="0049578D">
        <w:rPr>
          <w:rFonts w:ascii="Arial" w:hAnsi="Arial" w:cs="Arial"/>
        </w:rPr>
        <w:t>Collectively, these findings demonstrate that nitrogen transport and distribution involve a coordinated network of transporter-mediated processes that regulate nitrate loading, unloading, storage, and redistribution, thereby optimizing nitrogen use efficiency under varying environmental and developmental conditions.</w:t>
      </w:r>
    </w:p>
    <w:p w14:paraId="21845CA3" w14:textId="77777777" w:rsidR="0049578D" w:rsidRPr="00EC03C7" w:rsidRDefault="0049578D" w:rsidP="0049578D">
      <w:pPr>
        <w:tabs>
          <w:tab w:val="left" w:pos="1040"/>
        </w:tabs>
        <w:jc w:val="both"/>
        <w:rPr>
          <w:rFonts w:ascii="Arial" w:hAnsi="Arial" w:cs="Arial"/>
          <w:sz w:val="22"/>
          <w:szCs w:val="22"/>
        </w:rPr>
      </w:pPr>
    </w:p>
    <w:p w14:paraId="2D1E7D99" w14:textId="4CAD0DF0" w:rsidR="0049578D" w:rsidRPr="00EC03C7" w:rsidRDefault="00EC03C7" w:rsidP="0049578D">
      <w:pPr>
        <w:tabs>
          <w:tab w:val="left" w:pos="1040"/>
        </w:tabs>
        <w:jc w:val="both"/>
        <w:rPr>
          <w:rFonts w:ascii="Arial" w:hAnsi="Arial" w:cs="Arial"/>
          <w:sz w:val="22"/>
          <w:szCs w:val="22"/>
        </w:rPr>
      </w:pPr>
      <w:r w:rsidRPr="00EC03C7">
        <w:rPr>
          <w:rFonts w:ascii="Arial" w:hAnsi="Arial" w:cs="Arial"/>
          <w:b/>
          <w:bCs/>
          <w:sz w:val="22"/>
          <w:szCs w:val="22"/>
        </w:rPr>
        <w:t>4.4 NITROGEN REMOBILIZATION AND RECYCLING</w:t>
      </w:r>
      <w:r w:rsidRPr="00EC03C7">
        <w:rPr>
          <w:rFonts w:ascii="Arial" w:hAnsi="Arial" w:cs="Arial"/>
          <w:sz w:val="22"/>
          <w:szCs w:val="22"/>
        </w:rPr>
        <w:t xml:space="preserve"> </w:t>
      </w:r>
    </w:p>
    <w:p w14:paraId="05C51CF2"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Nitrogen remobilization is a crucial physiological process that enables plants to reallocate internal nitrogen reserves from source tissues (e.g., senescing leaves) to sink tissues such as young leaves, developing seeds, and reproductive organs, particularly under nitrogen-limiting conditions or during later developmental stages. The primary reservoir of </w:t>
      </w:r>
      <w:proofErr w:type="spellStart"/>
      <w:r w:rsidRPr="0049578D">
        <w:rPr>
          <w:rFonts w:ascii="Arial" w:hAnsi="Arial" w:cs="Arial"/>
        </w:rPr>
        <w:t>remobilizable</w:t>
      </w:r>
      <w:proofErr w:type="spellEnd"/>
      <w:r w:rsidRPr="0049578D">
        <w:rPr>
          <w:rFonts w:ascii="Arial" w:hAnsi="Arial" w:cs="Arial"/>
        </w:rPr>
        <w:t xml:space="preserve"> N in source leaves is the chloroplast, where photosynthetic proteins, predominantly Rubisco, are dismantled (Diaz </w:t>
      </w:r>
      <w:r w:rsidRPr="0049578D">
        <w:rPr>
          <w:rFonts w:ascii="Arial" w:hAnsi="Arial" w:cs="Arial"/>
          <w:i/>
          <w:iCs/>
        </w:rPr>
        <w:t>et al</w:t>
      </w:r>
      <w:r w:rsidRPr="0049578D">
        <w:rPr>
          <w:rFonts w:ascii="Arial" w:hAnsi="Arial" w:cs="Arial"/>
        </w:rPr>
        <w:t xml:space="preserve">., 2008;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This highly coordinated proteolysis relies on senescence-associated vacuoles (SAVs), Rubisco-containing bodies (RCBs), and the macro-autophagy machinery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2017). Autophagy genes (e.g., </w:t>
      </w:r>
      <w:r w:rsidRPr="0049578D">
        <w:rPr>
          <w:rFonts w:ascii="Arial" w:hAnsi="Arial" w:cs="Arial"/>
          <w:i/>
          <w:iCs/>
        </w:rPr>
        <w:t>ATG5</w:t>
      </w:r>
      <w:r w:rsidRPr="0049578D">
        <w:rPr>
          <w:rFonts w:ascii="Arial" w:hAnsi="Arial" w:cs="Arial"/>
        </w:rPr>
        <w:t xml:space="preserve">, </w:t>
      </w:r>
      <w:r w:rsidRPr="0049578D">
        <w:rPr>
          <w:rFonts w:ascii="Arial" w:hAnsi="Arial" w:cs="Arial"/>
          <w:i/>
          <w:iCs/>
        </w:rPr>
        <w:t>ATG9</w:t>
      </w:r>
      <w:r w:rsidRPr="0049578D">
        <w:rPr>
          <w:rFonts w:ascii="Arial" w:hAnsi="Arial" w:cs="Arial"/>
        </w:rPr>
        <w:t xml:space="preserve">, and </w:t>
      </w:r>
      <w:r w:rsidRPr="0049578D">
        <w:rPr>
          <w:rFonts w:ascii="Arial" w:hAnsi="Arial" w:cs="Arial"/>
          <w:i/>
          <w:iCs/>
        </w:rPr>
        <w:t>ATG18</w:t>
      </w:r>
      <w:r w:rsidRPr="0049578D">
        <w:rPr>
          <w:rFonts w:ascii="Arial" w:hAnsi="Arial" w:cs="Arial"/>
        </w:rPr>
        <w:t>) are essential for directing chloroplast components to lytic vacuoles for degradation; plants lacking these genes exhibit severe defects in N remobilization efficiency and seed production (</w:t>
      </w:r>
      <w:proofErr w:type="spellStart"/>
      <w:r w:rsidRPr="0049578D">
        <w:rPr>
          <w:rFonts w:ascii="Arial" w:hAnsi="Arial" w:cs="Arial"/>
        </w:rPr>
        <w:t>Guiboileau</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2012). Senescence-induced proteases, such as the </w:t>
      </w:r>
      <w:proofErr w:type="spellStart"/>
      <w:r w:rsidRPr="0049578D">
        <w:rPr>
          <w:rFonts w:ascii="Arial" w:hAnsi="Arial" w:cs="Arial"/>
        </w:rPr>
        <w:t>chloroplastic</w:t>
      </w:r>
      <w:proofErr w:type="spellEnd"/>
      <w:r w:rsidRPr="0049578D">
        <w:rPr>
          <w:rFonts w:ascii="Arial" w:hAnsi="Arial" w:cs="Arial"/>
        </w:rPr>
        <w:t xml:space="preserve"> aspartic protease CND41 and the vacuolar cysteine protease SAG12, actively break down these sequestered proteins into free amino acids (Diaz </w:t>
      </w:r>
      <w:r w:rsidRPr="0049578D">
        <w:rPr>
          <w:rFonts w:ascii="Arial" w:hAnsi="Arial" w:cs="Arial"/>
          <w:i/>
          <w:iCs/>
        </w:rPr>
        <w:t>et al</w:t>
      </w:r>
      <w:r w:rsidRPr="0049578D">
        <w:rPr>
          <w:rFonts w:ascii="Arial" w:hAnsi="Arial" w:cs="Arial"/>
        </w:rPr>
        <w:t xml:space="preserve">., 2008;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2017).</w:t>
      </w:r>
    </w:p>
    <w:p w14:paraId="75F41287" w14:textId="77777777" w:rsidR="0049578D" w:rsidRPr="0049578D" w:rsidRDefault="0049578D" w:rsidP="0049578D">
      <w:pPr>
        <w:tabs>
          <w:tab w:val="left" w:pos="1040"/>
        </w:tabs>
        <w:jc w:val="both"/>
        <w:rPr>
          <w:rFonts w:ascii="Arial" w:hAnsi="Arial" w:cs="Arial"/>
        </w:rPr>
      </w:pPr>
      <w:r w:rsidRPr="0049578D">
        <w:rPr>
          <w:rFonts w:ascii="Arial" w:hAnsi="Arial" w:cs="Arial"/>
        </w:rPr>
        <w:t>Following structural degradation, the released amino acids undergo metabolic interconversion into easily transportable forms, mainly glutamine and asparagine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2017).</w:t>
      </w:r>
      <w:r w:rsidRPr="0049578D">
        <w:rPr>
          <w:rFonts w:ascii="Arial" w:hAnsi="Arial" w:cs="Arial"/>
          <w:b/>
          <w:bCs/>
        </w:rPr>
        <w:t xml:space="preserve"> </w:t>
      </w:r>
      <w:r w:rsidRPr="0049578D">
        <w:rPr>
          <w:rFonts w:ascii="Arial" w:hAnsi="Arial" w:cs="Arial"/>
        </w:rPr>
        <w:t xml:space="preserve">This shift is characterized by the down-regulation of primary assimilation enzymes (like nitrate reductase and </w:t>
      </w:r>
      <w:proofErr w:type="spellStart"/>
      <w:r w:rsidRPr="0049578D">
        <w:rPr>
          <w:rFonts w:ascii="Arial" w:hAnsi="Arial" w:cs="Arial"/>
        </w:rPr>
        <w:t>chloroplastic</w:t>
      </w:r>
      <w:proofErr w:type="spellEnd"/>
      <w:r w:rsidRPr="0049578D">
        <w:rPr>
          <w:rFonts w:ascii="Arial" w:hAnsi="Arial" w:cs="Arial"/>
        </w:rPr>
        <w:t xml:space="preserve"> GS2) and the marked up-regulation of cytosolic glutamine synthetase (GS1) and glutamate dehydrogenase (GDH) in senescing leaves (Diaz </w:t>
      </w:r>
      <w:r w:rsidRPr="0049578D">
        <w:rPr>
          <w:rFonts w:ascii="Arial" w:hAnsi="Arial" w:cs="Arial"/>
          <w:i/>
          <w:iCs/>
        </w:rPr>
        <w:t>et al</w:t>
      </w:r>
      <w:r w:rsidRPr="0049578D">
        <w:rPr>
          <w:rFonts w:ascii="Arial" w:hAnsi="Arial" w:cs="Arial"/>
        </w:rPr>
        <w:t xml:space="preserve">., 2008;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w:t>
      </w:r>
    </w:p>
    <w:p w14:paraId="2F77C21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To reach reproductive sinks, these amino acids are exported from mesophyll cells and loaded into the phloem via specialized transport proteins. Amino acid permeases (AAPs), notably AAP8, and Usually Multiple Acids Move </w:t>
      </w:r>
      <w:proofErr w:type="gramStart"/>
      <w:r w:rsidRPr="0049578D">
        <w:rPr>
          <w:rFonts w:ascii="Arial" w:hAnsi="Arial" w:cs="Arial"/>
        </w:rPr>
        <w:t>In</w:t>
      </w:r>
      <w:proofErr w:type="gramEnd"/>
      <w:r w:rsidRPr="0049578D">
        <w:rPr>
          <w:rFonts w:ascii="Arial" w:hAnsi="Arial" w:cs="Arial"/>
        </w:rPr>
        <w:t xml:space="preserve"> and Out Transporters (</w:t>
      </w:r>
      <w:proofErr w:type="spellStart"/>
      <w:r w:rsidRPr="0049578D">
        <w:rPr>
          <w:rFonts w:ascii="Arial" w:hAnsi="Arial" w:cs="Arial"/>
        </w:rPr>
        <w:t>UmamiTs</w:t>
      </w:r>
      <w:proofErr w:type="spellEnd"/>
      <w:r w:rsidRPr="0049578D">
        <w:rPr>
          <w:rFonts w:ascii="Arial" w:hAnsi="Arial" w:cs="Arial"/>
        </w:rPr>
        <w:t>) play critical roles in phloem loading and source-to-sink amino acid partitioning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2017; </w:t>
      </w:r>
      <w:proofErr w:type="spellStart"/>
      <w:r w:rsidRPr="0049578D">
        <w:rPr>
          <w:rFonts w:ascii="Arial" w:hAnsi="Arial" w:cs="Arial"/>
        </w:rPr>
        <w:t>Tegeder</w:t>
      </w:r>
      <w:proofErr w:type="spellEnd"/>
      <w:r w:rsidRPr="0049578D">
        <w:rPr>
          <w:rFonts w:ascii="Arial" w:hAnsi="Arial" w:cs="Arial"/>
        </w:rPr>
        <w:t xml:space="preserve"> and </w:t>
      </w:r>
      <w:proofErr w:type="spellStart"/>
      <w:r w:rsidRPr="0049578D">
        <w:rPr>
          <w:rFonts w:ascii="Arial" w:hAnsi="Arial" w:cs="Arial"/>
        </w:rPr>
        <w:t>Masclaux-Daubresse</w:t>
      </w:r>
      <w:proofErr w:type="spellEnd"/>
      <w:r w:rsidRPr="0049578D">
        <w:rPr>
          <w:rFonts w:ascii="Arial" w:hAnsi="Arial" w:cs="Arial"/>
        </w:rPr>
        <w:t xml:space="preserve">, 2018). Alongside organic N, stored inorganic nitrate is also recycled from source leaves. The low-affinity nitrate transporter NRT1.7 (NPF2.13) facilitates phloem loading of remobilized nitrate (Wang, Hsu &amp; Tsay, 2012; Wang </w:t>
      </w:r>
      <w:r w:rsidRPr="0049578D">
        <w:rPr>
          <w:rFonts w:ascii="Arial" w:hAnsi="Arial" w:cs="Arial"/>
          <w:i/>
          <w:iCs/>
        </w:rPr>
        <w:t>et al</w:t>
      </w:r>
      <w:r w:rsidRPr="0049578D">
        <w:rPr>
          <w:rFonts w:ascii="Arial" w:hAnsi="Arial" w:cs="Arial"/>
        </w:rPr>
        <w:t>., 2018), while the high-affinity transporter NRT2.5 complements this function during severe N starvation (</w:t>
      </w:r>
      <w:proofErr w:type="spellStart"/>
      <w:r w:rsidRPr="0049578D">
        <w:rPr>
          <w:rFonts w:ascii="Arial" w:hAnsi="Arial" w:cs="Arial"/>
        </w:rPr>
        <w:t>Lezhneva</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2014).</w:t>
      </w:r>
    </w:p>
    <w:p w14:paraId="205E1911" w14:textId="77777777" w:rsidR="0049578D" w:rsidRPr="0049578D" w:rsidRDefault="0049578D" w:rsidP="0049578D">
      <w:pPr>
        <w:tabs>
          <w:tab w:val="left" w:pos="1040"/>
        </w:tabs>
        <w:jc w:val="both"/>
        <w:rPr>
          <w:rFonts w:ascii="Arial" w:hAnsi="Arial" w:cs="Arial"/>
        </w:rPr>
      </w:pPr>
      <w:r w:rsidRPr="0049578D">
        <w:rPr>
          <w:rFonts w:ascii="Arial" w:hAnsi="Arial" w:cs="Arial"/>
        </w:rPr>
        <w:t>Molecular tweaking of these remobilization pathways offers viable strategies to overcome the yield-protein dilemma in sustainable agriculture. For example, overexpressing cytosolic GS1 or specific AAPs has been shown to increase seed protein content and overall yield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w:t>
      </w:r>
      <w:proofErr w:type="spellStart"/>
      <w:r w:rsidRPr="0049578D">
        <w:rPr>
          <w:rFonts w:ascii="Arial" w:hAnsi="Arial" w:cs="Arial"/>
        </w:rPr>
        <w:t>Tegeder</w:t>
      </w:r>
      <w:proofErr w:type="spellEnd"/>
      <w:r w:rsidRPr="0049578D">
        <w:rPr>
          <w:rFonts w:ascii="Arial" w:hAnsi="Arial" w:cs="Arial"/>
        </w:rPr>
        <w:t xml:space="preserve"> &amp; </w:t>
      </w:r>
      <w:proofErr w:type="spellStart"/>
      <w:r w:rsidRPr="0049578D">
        <w:rPr>
          <w:rFonts w:ascii="Arial" w:hAnsi="Arial" w:cs="Arial"/>
        </w:rPr>
        <w:t>Masclaux-Daubresse</w:t>
      </w:r>
      <w:proofErr w:type="spellEnd"/>
      <w:r w:rsidRPr="0049578D">
        <w:rPr>
          <w:rFonts w:ascii="Arial" w:hAnsi="Arial" w:cs="Arial"/>
        </w:rPr>
        <w:t>, 2018).</w:t>
      </w:r>
      <w:r w:rsidRPr="0049578D">
        <w:rPr>
          <w:rFonts w:ascii="Arial" w:hAnsi="Arial" w:cs="Arial"/>
          <w:b/>
          <w:bCs/>
        </w:rPr>
        <w:t xml:space="preserve"> </w:t>
      </w:r>
      <w:r w:rsidRPr="0049578D">
        <w:rPr>
          <w:rFonts w:ascii="Arial" w:hAnsi="Arial" w:cs="Arial"/>
        </w:rPr>
        <w:t xml:space="preserve">Furthermore, replacing native </w:t>
      </w:r>
      <w:r w:rsidRPr="0049578D">
        <w:rPr>
          <w:rFonts w:ascii="Arial" w:hAnsi="Arial" w:cs="Arial"/>
          <w:i/>
          <w:iCs/>
        </w:rPr>
        <w:t>NRT1.7</w:t>
      </w:r>
      <w:r w:rsidRPr="0049578D">
        <w:rPr>
          <w:rFonts w:ascii="Arial" w:hAnsi="Arial" w:cs="Arial"/>
        </w:rPr>
        <w:t xml:space="preserve"> with a hyperactive chimeric nitrate transporter (</w:t>
      </w:r>
      <w:r w:rsidRPr="0049578D">
        <w:rPr>
          <w:rFonts w:ascii="Arial" w:hAnsi="Arial" w:cs="Arial"/>
          <w:i/>
          <w:iCs/>
        </w:rPr>
        <w:t>NC4N</w:t>
      </w:r>
      <w:r w:rsidRPr="0049578D">
        <w:rPr>
          <w:rFonts w:ascii="Arial" w:hAnsi="Arial" w:cs="Arial"/>
        </w:rPr>
        <w:t xml:space="preserve">) driven by the </w:t>
      </w:r>
      <w:r w:rsidRPr="0049578D">
        <w:rPr>
          <w:rFonts w:ascii="Arial" w:hAnsi="Arial" w:cs="Arial"/>
          <w:i/>
          <w:iCs/>
        </w:rPr>
        <w:t>NRT1.7</w:t>
      </w:r>
      <w:r w:rsidRPr="0049578D">
        <w:rPr>
          <w:rFonts w:ascii="Arial" w:hAnsi="Arial" w:cs="Arial"/>
        </w:rPr>
        <w:t xml:space="preserve"> promoter dramatically energizes source-to-sink nitrate recycling. This specific manipulation increases nitrate allocation to sink leaves and seeds, resulting in enhanced vegetative growth and significantly higher seed yields without the need for excess N fertilizers (Chen </w:t>
      </w:r>
      <w:r w:rsidRPr="0049578D">
        <w:rPr>
          <w:rFonts w:ascii="Arial" w:hAnsi="Arial" w:cs="Arial"/>
          <w:i/>
          <w:iCs/>
        </w:rPr>
        <w:t>et al</w:t>
      </w:r>
      <w:r w:rsidRPr="0049578D">
        <w:rPr>
          <w:rFonts w:ascii="Arial" w:hAnsi="Arial" w:cs="Arial"/>
        </w:rPr>
        <w:t>., 2020).</w:t>
      </w:r>
    </w:p>
    <w:p w14:paraId="54F46ECD" w14:textId="77777777" w:rsidR="0049578D" w:rsidRPr="0049578D" w:rsidRDefault="0049578D" w:rsidP="0049578D">
      <w:pPr>
        <w:tabs>
          <w:tab w:val="left" w:pos="1040"/>
        </w:tabs>
        <w:jc w:val="both"/>
        <w:rPr>
          <w:rFonts w:ascii="Arial" w:hAnsi="Arial" w:cs="Arial"/>
        </w:rPr>
      </w:pPr>
      <w:r w:rsidRPr="0049578D">
        <w:rPr>
          <w:rFonts w:ascii="Arial" w:hAnsi="Arial" w:cs="Arial"/>
        </w:rPr>
        <w:t>Overall, nitrogen remobilization and recycling represent a highly efficient internal nutrient management strategy that integrates senescence, transporter activity, and metabolic regulation to ensure sustained growth and reproductive success, making it a key determinant of nitrogen use efficiency and a major target for molecular improvement in crops.</w:t>
      </w:r>
    </w:p>
    <w:p w14:paraId="5297A795" w14:textId="4D860E9E" w:rsidR="0049578D" w:rsidRDefault="00EC03C7" w:rsidP="0049578D">
      <w:pPr>
        <w:tabs>
          <w:tab w:val="left" w:pos="3323"/>
        </w:tabs>
        <w:jc w:val="both"/>
        <w:rPr>
          <w:rFonts w:ascii="Arial" w:hAnsi="Arial" w:cs="Arial"/>
          <w:b/>
          <w:bCs/>
          <w:sz w:val="22"/>
          <w:szCs w:val="22"/>
        </w:rPr>
      </w:pPr>
      <w:r>
        <w:rPr>
          <w:rFonts w:ascii="Arial" w:hAnsi="Arial" w:cs="Arial"/>
          <w:b/>
          <w:bCs/>
          <w:sz w:val="22"/>
          <w:szCs w:val="22"/>
        </w:rPr>
        <w:t xml:space="preserve">5. </w:t>
      </w:r>
      <w:r w:rsidR="0049578D" w:rsidRPr="0049578D">
        <w:rPr>
          <w:rFonts w:ascii="Arial" w:hAnsi="Arial" w:cs="Arial"/>
          <w:b/>
          <w:bCs/>
          <w:sz w:val="22"/>
          <w:szCs w:val="22"/>
        </w:rPr>
        <w:t>NITROGEN SENSING AND SIGNALLING NETWORKS</w:t>
      </w:r>
    </w:p>
    <w:p w14:paraId="1BA97E6D" w14:textId="77777777" w:rsidR="0049578D" w:rsidRPr="0049578D" w:rsidRDefault="0049578D" w:rsidP="0049578D">
      <w:pPr>
        <w:tabs>
          <w:tab w:val="left" w:pos="3323"/>
        </w:tabs>
        <w:jc w:val="both"/>
        <w:rPr>
          <w:rFonts w:ascii="Arial" w:hAnsi="Arial" w:cs="Arial"/>
        </w:rPr>
      </w:pPr>
      <w:r w:rsidRPr="0049578D">
        <w:rPr>
          <w:rFonts w:ascii="Arial" w:hAnsi="Arial" w:cs="Arial"/>
        </w:rPr>
        <w:t>Nitrate (NO</w:t>
      </w:r>
      <w:r w:rsidRPr="0049578D">
        <w:rPr>
          <w:rFonts w:ascii="Cambria Math" w:hAnsi="Cambria Math" w:cs="Cambria Math"/>
        </w:rPr>
        <w:t>₃⁻</w:t>
      </w:r>
      <w:r w:rsidRPr="0049578D">
        <w:rPr>
          <w:rFonts w:ascii="Arial" w:hAnsi="Arial" w:cs="Arial"/>
        </w:rPr>
        <w:t xml:space="preserve">) functions not only as a nutrient but also as a pivotal </w:t>
      </w:r>
      <w:proofErr w:type="spellStart"/>
      <w:r w:rsidRPr="0049578D">
        <w:rPr>
          <w:rFonts w:ascii="Arial" w:hAnsi="Arial" w:cs="Arial"/>
        </w:rPr>
        <w:t>signalling</w:t>
      </w:r>
      <w:proofErr w:type="spellEnd"/>
      <w:r w:rsidRPr="0049578D">
        <w:rPr>
          <w:rFonts w:ascii="Arial" w:hAnsi="Arial" w:cs="Arial"/>
        </w:rPr>
        <w:t xml:space="preserve"> molecule that regulates gene expression, metabolism, and plant development through the primary nitrate response (PNR) (O’Brien </w:t>
      </w:r>
      <w:r w:rsidRPr="0049578D">
        <w:rPr>
          <w:rFonts w:ascii="Arial" w:hAnsi="Arial" w:cs="Arial"/>
          <w:i/>
          <w:iCs/>
        </w:rPr>
        <w:t>et al</w:t>
      </w:r>
      <w:r w:rsidRPr="0049578D">
        <w:rPr>
          <w:rFonts w:ascii="Arial" w:hAnsi="Arial" w:cs="Arial"/>
        </w:rPr>
        <w:t>; 2016). Central to this sensing mechanism is NRT1.1 (NPF6.3), a dual-affinity transporter that operates as a “</w:t>
      </w:r>
      <w:proofErr w:type="spellStart"/>
      <w:r w:rsidRPr="0049578D">
        <w:rPr>
          <w:rFonts w:ascii="Arial" w:hAnsi="Arial" w:cs="Arial"/>
        </w:rPr>
        <w:t>transceptor</w:t>
      </w:r>
      <w:proofErr w:type="spellEnd"/>
      <w:r w:rsidRPr="0049578D">
        <w:rPr>
          <w:rFonts w:ascii="Arial" w:hAnsi="Arial" w:cs="Arial"/>
        </w:rPr>
        <w:t xml:space="preserve">,” integrating nitrate transport with signal transduction. Its activity is regulated by phosphorylation at a conserved threonine residue (Thr101) mediated by the CBL1/9–CIPK23 kinase complex, which enables switching between high-affinity (HATS) and low-affinity (LATS) transport </w:t>
      </w:r>
      <w:r w:rsidRPr="0049578D">
        <w:rPr>
          <w:rFonts w:ascii="Arial" w:hAnsi="Arial" w:cs="Arial"/>
        </w:rPr>
        <w:lastRenderedPageBreak/>
        <w:t xml:space="preserve">systems depending on external nitrate availability (Liu and Tsay, 2003; Ho </w:t>
      </w:r>
      <w:r w:rsidRPr="0049578D">
        <w:rPr>
          <w:rFonts w:ascii="Arial" w:hAnsi="Arial" w:cs="Arial"/>
          <w:i/>
          <w:iCs/>
        </w:rPr>
        <w:t>et al</w:t>
      </w:r>
      <w:r w:rsidRPr="0049578D">
        <w:rPr>
          <w:rFonts w:ascii="Arial" w:hAnsi="Arial" w:cs="Arial"/>
        </w:rPr>
        <w:t xml:space="preserve">., 2009). Beyond its transport function, NRT1.1 also acts as an upstream sensor that triggers rapid transcriptional reprogramming in response to changing nitrate levels, thereby linking external nitrogen availability with internal metabolic adjustments (Ho </w:t>
      </w:r>
      <w:r w:rsidRPr="0049578D">
        <w:rPr>
          <w:rFonts w:ascii="Arial" w:hAnsi="Arial" w:cs="Arial"/>
          <w:i/>
          <w:iCs/>
        </w:rPr>
        <w:t>et al</w:t>
      </w:r>
      <w:r w:rsidRPr="0049578D">
        <w:rPr>
          <w:rFonts w:ascii="Arial" w:hAnsi="Arial" w:cs="Arial"/>
        </w:rPr>
        <w:t xml:space="preserve">., 2009; O’Brien </w:t>
      </w:r>
      <w:r w:rsidRPr="0049578D">
        <w:rPr>
          <w:rFonts w:ascii="Arial" w:hAnsi="Arial" w:cs="Arial"/>
          <w:i/>
          <w:iCs/>
        </w:rPr>
        <w:t>et al</w:t>
      </w:r>
      <w:r w:rsidRPr="0049578D">
        <w:rPr>
          <w:rFonts w:ascii="Arial" w:hAnsi="Arial" w:cs="Arial"/>
        </w:rPr>
        <w:t>., 2016).</w:t>
      </w:r>
    </w:p>
    <w:p w14:paraId="5063D01F" w14:textId="77777777" w:rsidR="0049578D" w:rsidRPr="0049578D" w:rsidRDefault="0049578D" w:rsidP="0049578D">
      <w:pPr>
        <w:tabs>
          <w:tab w:val="left" w:pos="3323"/>
        </w:tabs>
        <w:jc w:val="both"/>
        <w:rPr>
          <w:rFonts w:ascii="Arial" w:hAnsi="Arial" w:cs="Arial"/>
        </w:rPr>
      </w:pPr>
      <w:r w:rsidRPr="0049578D">
        <w:rPr>
          <w:rFonts w:ascii="Arial" w:hAnsi="Arial" w:cs="Arial"/>
        </w:rPr>
        <w:t>Upon nitrate perception, NRT1.1 initiates a Ca²</w:t>
      </w:r>
      <w:r w:rsidRPr="0049578D">
        <w:rPr>
          <w:rFonts w:ascii="Cambria Math" w:hAnsi="Cambria Math" w:cs="Cambria Math"/>
        </w:rPr>
        <w:t>⁺</w:t>
      </w:r>
      <w:r w:rsidRPr="0049578D">
        <w:rPr>
          <w:rFonts w:ascii="Arial" w:hAnsi="Arial" w:cs="Arial"/>
        </w:rPr>
        <w:t xml:space="preserve">-dependent </w:t>
      </w:r>
      <w:proofErr w:type="spellStart"/>
      <w:r w:rsidRPr="0049578D">
        <w:rPr>
          <w:rFonts w:ascii="Arial" w:hAnsi="Arial" w:cs="Arial"/>
        </w:rPr>
        <w:t>signalling</w:t>
      </w:r>
      <w:proofErr w:type="spellEnd"/>
      <w:r w:rsidRPr="0049578D">
        <w:rPr>
          <w:rFonts w:ascii="Arial" w:hAnsi="Arial" w:cs="Arial"/>
        </w:rPr>
        <w:t xml:space="preserve"> cascade involving phospholipase C (PLC)-mediated production of inositol trisphosphate (IP</w:t>
      </w:r>
      <w:r w:rsidRPr="0049578D">
        <w:rPr>
          <w:rFonts w:ascii="Cambria Math" w:hAnsi="Cambria Math" w:cs="Cambria Math"/>
        </w:rPr>
        <w:t>₃</w:t>
      </w:r>
      <w:r w:rsidRPr="0049578D">
        <w:rPr>
          <w:rFonts w:ascii="Arial" w:hAnsi="Arial" w:cs="Arial"/>
        </w:rPr>
        <w:t>), leading to transient cytosolic Ca²</w:t>
      </w:r>
      <w:r w:rsidRPr="0049578D">
        <w:rPr>
          <w:rFonts w:ascii="Cambria Math" w:hAnsi="Cambria Math" w:cs="Cambria Math"/>
        </w:rPr>
        <w:t>⁺</w:t>
      </w:r>
      <w:r w:rsidRPr="0049578D">
        <w:rPr>
          <w:rFonts w:ascii="Arial" w:hAnsi="Arial" w:cs="Arial"/>
        </w:rPr>
        <w:t xml:space="preserve"> signatures that encode nitrate-specific signals (Liu </w:t>
      </w:r>
      <w:r w:rsidRPr="0049578D">
        <w:rPr>
          <w:rFonts w:ascii="Arial" w:hAnsi="Arial" w:cs="Arial"/>
          <w:i/>
          <w:iCs/>
        </w:rPr>
        <w:t>et al</w:t>
      </w:r>
      <w:r w:rsidRPr="0049578D">
        <w:rPr>
          <w:rFonts w:ascii="Arial" w:hAnsi="Arial" w:cs="Arial"/>
        </w:rPr>
        <w:t>., 2021). These Ca²</w:t>
      </w:r>
      <w:r w:rsidRPr="0049578D">
        <w:rPr>
          <w:rFonts w:ascii="Cambria Math" w:hAnsi="Cambria Math" w:cs="Cambria Math"/>
        </w:rPr>
        <w:t>⁺</w:t>
      </w:r>
      <w:r w:rsidRPr="0049578D">
        <w:rPr>
          <w:rFonts w:ascii="Arial" w:hAnsi="Arial" w:cs="Arial"/>
        </w:rPr>
        <w:t xml:space="preserve"> oscillations are decoded by calcium-dependent protein kinases (CPKs), which phosphorylate downstream targets and propagate the signal to the nucleus. A central outcome of this </w:t>
      </w:r>
      <w:proofErr w:type="spellStart"/>
      <w:r w:rsidRPr="0049578D">
        <w:rPr>
          <w:rFonts w:ascii="Arial" w:hAnsi="Arial" w:cs="Arial"/>
        </w:rPr>
        <w:t>signalling</w:t>
      </w:r>
      <w:proofErr w:type="spellEnd"/>
      <w:r w:rsidRPr="0049578D">
        <w:rPr>
          <w:rFonts w:ascii="Arial" w:hAnsi="Arial" w:cs="Arial"/>
        </w:rPr>
        <w:t xml:space="preserve"> cascade is the activation and nuclear retention of NIN-like proteins (NLPs), particularly NLP7, which function as master transcriptional regulators of nitrate-responsive genes. NLPs directly bind to nitrate-responsive cis-regulatory elements to activate a wide array of genes involved in nitrate uptake, assimilation, transport, and regulatory feedback, thereby coordinating both local and systemic nitrogen responses (Castaings </w:t>
      </w:r>
      <w:r w:rsidRPr="0049578D">
        <w:rPr>
          <w:rFonts w:ascii="Arial" w:hAnsi="Arial" w:cs="Arial"/>
          <w:i/>
          <w:iCs/>
        </w:rPr>
        <w:t>et al</w:t>
      </w:r>
      <w:r w:rsidRPr="0049578D">
        <w:rPr>
          <w:rFonts w:ascii="Arial" w:hAnsi="Arial" w:cs="Arial"/>
        </w:rPr>
        <w:t xml:space="preserve">., 2009; Yu </w:t>
      </w:r>
      <w:r w:rsidRPr="0049578D">
        <w:rPr>
          <w:rFonts w:ascii="Arial" w:hAnsi="Arial" w:cs="Arial"/>
          <w:i/>
          <w:iCs/>
        </w:rPr>
        <w:t>et al</w:t>
      </w:r>
      <w:r w:rsidRPr="0049578D">
        <w:rPr>
          <w:rFonts w:ascii="Arial" w:hAnsi="Arial" w:cs="Arial"/>
        </w:rPr>
        <w:t>., 2016). This transcriptional control ensures that nitrogen acquisition and utilization are tightly synchronized with plant developmental and metabolic demands.</w:t>
      </w:r>
    </w:p>
    <w:p w14:paraId="20341BC4" w14:textId="77777777" w:rsidR="0049578D" w:rsidRPr="0049578D" w:rsidRDefault="0049578D" w:rsidP="0049578D">
      <w:pPr>
        <w:tabs>
          <w:tab w:val="left" w:pos="3323"/>
        </w:tabs>
        <w:jc w:val="both"/>
        <w:rPr>
          <w:rFonts w:ascii="Arial" w:hAnsi="Arial" w:cs="Arial"/>
        </w:rPr>
      </w:pPr>
      <w:r w:rsidRPr="0049578D">
        <w:rPr>
          <w:rFonts w:ascii="Arial" w:hAnsi="Arial" w:cs="Arial"/>
        </w:rPr>
        <w:t xml:space="preserve">In parallel, nitrate </w:t>
      </w:r>
      <w:proofErr w:type="spellStart"/>
      <w:r w:rsidRPr="0049578D">
        <w:rPr>
          <w:rFonts w:ascii="Arial" w:hAnsi="Arial" w:cs="Arial"/>
        </w:rPr>
        <w:t>signalling</w:t>
      </w:r>
      <w:proofErr w:type="spellEnd"/>
      <w:r w:rsidRPr="0049578D">
        <w:rPr>
          <w:rFonts w:ascii="Arial" w:hAnsi="Arial" w:cs="Arial"/>
        </w:rPr>
        <w:t xml:space="preserve"> is modulated by SPX-domain proteins, which interact with NLPs in a nitrogen- and phosphorus-dependent manner, thereby linking nutrient sensing to protein stability through ubiquitination and degradation via the 26S proteasome pathway (Hu </w:t>
      </w:r>
      <w:r w:rsidRPr="0049578D">
        <w:rPr>
          <w:rFonts w:ascii="Arial" w:hAnsi="Arial" w:cs="Arial"/>
          <w:i/>
          <w:iCs/>
        </w:rPr>
        <w:t>et al</w:t>
      </w:r>
      <w:r w:rsidRPr="0049578D">
        <w:rPr>
          <w:rFonts w:ascii="Arial" w:hAnsi="Arial" w:cs="Arial"/>
        </w:rPr>
        <w:t xml:space="preserve">., 2019). This regulatory layer provides an additional checkpoint that fine-tunes nitrate-responsive transcription under fluctuating nutrient conditions, preventing excessive or inappropriate activation of nitrogen-responsive genes. Furthermore, nitrate </w:t>
      </w:r>
      <w:proofErr w:type="spellStart"/>
      <w:r w:rsidRPr="0049578D">
        <w:rPr>
          <w:rFonts w:ascii="Arial" w:hAnsi="Arial" w:cs="Arial"/>
        </w:rPr>
        <w:t>signalling</w:t>
      </w:r>
      <w:proofErr w:type="spellEnd"/>
      <w:r w:rsidRPr="0049578D">
        <w:rPr>
          <w:rFonts w:ascii="Arial" w:hAnsi="Arial" w:cs="Arial"/>
        </w:rPr>
        <w:t xml:space="preserve"> is closely integrated with carbon metabolism, as nitrogen assimilation depends on the availability of carbon skeletons (such as 2-oxoglutarate) and energy derived from photosynthesis. This coordination ensures a balanced supply of carbon and nitrogen resources, thereby maintaining metabolic homeostasis and optimizing growth under varying environmental conditions (Vidal and Gutiérrez, 2008).   </w:t>
      </w:r>
    </w:p>
    <w:p w14:paraId="0A19F444" w14:textId="77777777" w:rsidR="0049578D" w:rsidRPr="0049578D" w:rsidRDefault="0049578D" w:rsidP="0049578D">
      <w:pPr>
        <w:tabs>
          <w:tab w:val="left" w:pos="3323"/>
        </w:tabs>
        <w:jc w:val="both"/>
        <w:rPr>
          <w:rFonts w:ascii="Arial" w:hAnsi="Arial" w:cs="Arial"/>
        </w:rPr>
      </w:pPr>
      <w:r w:rsidRPr="0049578D">
        <w:rPr>
          <w:rFonts w:ascii="Arial" w:hAnsi="Arial" w:cs="Arial"/>
        </w:rPr>
        <w:t xml:space="preserve">Nitrate </w:t>
      </w:r>
      <w:proofErr w:type="spellStart"/>
      <w:r w:rsidRPr="0049578D">
        <w:rPr>
          <w:rFonts w:ascii="Arial" w:hAnsi="Arial" w:cs="Arial"/>
        </w:rPr>
        <w:t>signalling</w:t>
      </w:r>
      <w:proofErr w:type="spellEnd"/>
      <w:r w:rsidRPr="0049578D">
        <w:rPr>
          <w:rFonts w:ascii="Arial" w:hAnsi="Arial" w:cs="Arial"/>
        </w:rPr>
        <w:t xml:space="preserve"> is intricately connected with phytohormonal pathways, which regulate plant growth and developmental plasticity in response to nitrogen availability. A key interaction occurs with auxin </w:t>
      </w:r>
      <w:proofErr w:type="spellStart"/>
      <w:r w:rsidRPr="0049578D">
        <w:rPr>
          <w:rFonts w:ascii="Arial" w:hAnsi="Arial" w:cs="Arial"/>
        </w:rPr>
        <w:t>signalling</w:t>
      </w:r>
      <w:proofErr w:type="spellEnd"/>
      <w:r w:rsidRPr="0049578D">
        <w:rPr>
          <w:rFonts w:ascii="Arial" w:hAnsi="Arial" w:cs="Arial"/>
        </w:rPr>
        <w:t>, where NRT1.1 modulates auxin transport and distribution, particularly under low nitrate (HATS conditions), thereby influencing lateral root development to enhance nitrate foraging capacity (</w:t>
      </w:r>
      <w:proofErr w:type="spellStart"/>
      <w:r w:rsidRPr="0049578D">
        <w:rPr>
          <w:rFonts w:ascii="Arial" w:hAnsi="Arial" w:cs="Arial"/>
        </w:rPr>
        <w:t>Krouk</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Under higher nitrate availability (LATS conditions), this auxin transport is altered, leading to different root architectural responses. In addition, nitrate availability regulates cytokinin biosynthesis in roots, and these </w:t>
      </w:r>
      <w:proofErr w:type="spellStart"/>
      <w:r w:rsidRPr="0049578D">
        <w:rPr>
          <w:rFonts w:ascii="Arial" w:hAnsi="Arial" w:cs="Arial"/>
        </w:rPr>
        <w:t>cytokinins</w:t>
      </w:r>
      <w:proofErr w:type="spellEnd"/>
      <w:r w:rsidRPr="0049578D">
        <w:rPr>
          <w:rFonts w:ascii="Arial" w:hAnsi="Arial" w:cs="Arial"/>
        </w:rPr>
        <w:t xml:space="preserve"> act as systemic signals that coordinate shoot–root communication and reflect whole-plant nitrogen status (Sakakibara </w:t>
      </w:r>
      <w:r w:rsidRPr="0049578D">
        <w:rPr>
          <w:rFonts w:ascii="Arial" w:hAnsi="Arial" w:cs="Arial"/>
          <w:i/>
          <w:iCs/>
        </w:rPr>
        <w:t>et al</w:t>
      </w:r>
      <w:r w:rsidRPr="0049578D">
        <w:rPr>
          <w:rFonts w:ascii="Arial" w:hAnsi="Arial" w:cs="Arial"/>
        </w:rPr>
        <w:t xml:space="preserve">., 2006). Interactions with gibberellin </w:t>
      </w:r>
      <w:proofErr w:type="spellStart"/>
      <w:r w:rsidRPr="0049578D">
        <w:rPr>
          <w:rFonts w:ascii="Arial" w:hAnsi="Arial" w:cs="Arial"/>
        </w:rPr>
        <w:t>signalling</w:t>
      </w:r>
      <w:proofErr w:type="spellEnd"/>
      <w:r w:rsidRPr="0049578D">
        <w:rPr>
          <w:rFonts w:ascii="Arial" w:hAnsi="Arial" w:cs="Arial"/>
        </w:rPr>
        <w:t xml:space="preserve"> further integrate nitrogen status with plant growth regulation and biomass accumulation. Through these coordinated hormonal interactions, plants dynamically adjust their developmental programs in response to nitrogen availability, thereby optimizing nitrogen use efficiency under diverse environmental conditions.</w:t>
      </w:r>
    </w:p>
    <w:p w14:paraId="5895837D" w14:textId="6ADC9373" w:rsidR="0049578D" w:rsidRDefault="0049578D" w:rsidP="00EC03C7">
      <w:pPr>
        <w:tabs>
          <w:tab w:val="left" w:pos="3323"/>
        </w:tabs>
        <w:jc w:val="center"/>
        <w:rPr>
          <w:rFonts w:ascii="Arial" w:hAnsi="Arial" w:cs="Arial"/>
          <w:b/>
          <w:bCs/>
          <w:sz w:val="22"/>
          <w:szCs w:val="22"/>
        </w:rPr>
      </w:pPr>
      <w:r>
        <w:rPr>
          <w:rFonts w:ascii="Times New Roman" w:hAnsi="Times New Roman"/>
          <w:noProof/>
          <w:color w:val="000000" w:themeColor="text1"/>
        </w:rPr>
        <w:drawing>
          <wp:inline distT="0" distB="0" distL="0" distR="0" wp14:anchorId="2B118576" wp14:editId="5A39BBE2">
            <wp:extent cx="3952240" cy="2513330"/>
            <wp:effectExtent l="0" t="0" r="0" b="1270"/>
            <wp:docPr id="193496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65791" name="Picture 1"/>
                    <pic:cNvPicPr>
                      <a:picLocks noChangeAspect="1"/>
                    </pic:cNvPicPr>
                  </pic:nvPicPr>
                  <pic:blipFill>
                    <a:blip r:embed="rId14"/>
                    <a:stretch>
                      <a:fillRect/>
                    </a:stretch>
                  </pic:blipFill>
                  <pic:spPr>
                    <a:xfrm>
                      <a:off x="0" y="0"/>
                      <a:ext cx="3964625" cy="2521266"/>
                    </a:xfrm>
                    <a:prstGeom prst="rect">
                      <a:avLst/>
                    </a:prstGeom>
                  </pic:spPr>
                </pic:pic>
              </a:graphicData>
            </a:graphic>
          </wp:inline>
        </w:drawing>
      </w:r>
    </w:p>
    <w:p w14:paraId="118D2F63" w14:textId="77777777" w:rsidR="0049578D" w:rsidRPr="0049578D" w:rsidRDefault="0049578D" w:rsidP="0049578D">
      <w:pPr>
        <w:tabs>
          <w:tab w:val="left" w:pos="3323"/>
        </w:tabs>
        <w:jc w:val="both"/>
        <w:rPr>
          <w:rFonts w:ascii="Arial" w:hAnsi="Arial" w:cs="Arial"/>
          <w:b/>
          <w:bCs/>
        </w:rPr>
      </w:pPr>
      <w:r w:rsidRPr="0049578D">
        <w:rPr>
          <w:rFonts w:ascii="Arial" w:hAnsi="Arial" w:cs="Arial"/>
          <w:b/>
          <w:bCs/>
        </w:rPr>
        <w:t xml:space="preserve">Figure 1. Nitrate sensing and </w:t>
      </w:r>
      <w:proofErr w:type="spellStart"/>
      <w:r w:rsidRPr="0049578D">
        <w:rPr>
          <w:rFonts w:ascii="Arial" w:hAnsi="Arial" w:cs="Arial"/>
          <w:b/>
          <w:bCs/>
        </w:rPr>
        <w:t>signalling</w:t>
      </w:r>
      <w:proofErr w:type="spellEnd"/>
      <w:r w:rsidRPr="0049578D">
        <w:rPr>
          <w:rFonts w:ascii="Arial" w:hAnsi="Arial" w:cs="Arial"/>
          <w:b/>
          <w:bCs/>
        </w:rPr>
        <w:t xml:space="preserve"> network in plants</w:t>
      </w:r>
    </w:p>
    <w:p w14:paraId="705FA953" w14:textId="4A92263F" w:rsidR="0049578D" w:rsidRPr="0049578D" w:rsidRDefault="0049578D" w:rsidP="0049578D">
      <w:pPr>
        <w:tabs>
          <w:tab w:val="left" w:pos="3323"/>
        </w:tabs>
        <w:jc w:val="both"/>
        <w:rPr>
          <w:rFonts w:ascii="Arial" w:hAnsi="Arial" w:cs="Arial"/>
          <w:b/>
          <w:bCs/>
        </w:rPr>
      </w:pPr>
      <w:r w:rsidRPr="0049578D">
        <w:rPr>
          <w:rFonts w:ascii="Arial" w:hAnsi="Arial" w:cs="Arial"/>
          <w:b/>
          <w:bCs/>
        </w:rPr>
        <w:t>Nitrate (NO</w:t>
      </w:r>
      <w:r w:rsidRPr="0049578D">
        <w:rPr>
          <w:rFonts w:ascii="Cambria Math" w:hAnsi="Cambria Math" w:cs="Cambria Math"/>
          <w:b/>
          <w:bCs/>
        </w:rPr>
        <w:t>₃⁻</w:t>
      </w:r>
      <w:r w:rsidRPr="0049578D">
        <w:rPr>
          <w:rFonts w:ascii="Arial" w:hAnsi="Arial" w:cs="Arial"/>
          <w:b/>
          <w:bCs/>
        </w:rPr>
        <w:t xml:space="preserve">) is sensed by the dual-affinity </w:t>
      </w:r>
      <w:proofErr w:type="spellStart"/>
      <w:r w:rsidRPr="0049578D">
        <w:rPr>
          <w:rFonts w:ascii="Arial" w:hAnsi="Arial" w:cs="Arial"/>
          <w:b/>
          <w:bCs/>
        </w:rPr>
        <w:t>transceptor</w:t>
      </w:r>
      <w:proofErr w:type="spellEnd"/>
      <w:r w:rsidRPr="0049578D">
        <w:rPr>
          <w:rFonts w:ascii="Arial" w:hAnsi="Arial" w:cs="Arial"/>
          <w:b/>
          <w:bCs/>
        </w:rPr>
        <w:t xml:space="preserve"> NRT1.1 (NPF6.3), which switches between high- and low-affinity transport modes via CBL1/9–CIPK23-mediated phosphorylation. Nitrate perception triggers a PLC-dependent </w:t>
      </w:r>
      <w:proofErr w:type="spellStart"/>
      <w:r w:rsidRPr="0049578D">
        <w:rPr>
          <w:rFonts w:ascii="Arial" w:hAnsi="Arial" w:cs="Arial"/>
          <w:b/>
          <w:bCs/>
        </w:rPr>
        <w:t>signalling</w:t>
      </w:r>
      <w:proofErr w:type="spellEnd"/>
      <w:r w:rsidRPr="0049578D">
        <w:rPr>
          <w:rFonts w:ascii="Arial" w:hAnsi="Arial" w:cs="Arial"/>
          <w:b/>
          <w:bCs/>
        </w:rPr>
        <w:t xml:space="preserve"> cascade generating IP</w:t>
      </w:r>
      <w:r w:rsidRPr="0049578D">
        <w:rPr>
          <w:rFonts w:ascii="Cambria Math" w:hAnsi="Cambria Math" w:cs="Cambria Math"/>
          <w:b/>
          <w:bCs/>
        </w:rPr>
        <w:t>₃</w:t>
      </w:r>
      <w:r w:rsidRPr="0049578D">
        <w:rPr>
          <w:rFonts w:ascii="Arial" w:hAnsi="Arial" w:cs="Arial"/>
          <w:b/>
          <w:bCs/>
        </w:rPr>
        <w:t xml:space="preserve"> and transient cytosolic Ca²</w:t>
      </w:r>
      <w:r w:rsidRPr="0049578D">
        <w:rPr>
          <w:rFonts w:ascii="Cambria Math" w:hAnsi="Cambria Math" w:cs="Cambria Math"/>
          <w:b/>
          <w:bCs/>
        </w:rPr>
        <w:t>⁺</w:t>
      </w:r>
      <w:r w:rsidRPr="0049578D">
        <w:rPr>
          <w:rFonts w:ascii="Arial" w:hAnsi="Arial" w:cs="Arial"/>
          <w:b/>
          <w:bCs/>
        </w:rPr>
        <w:t xml:space="preserve"> signatures, which are decoded by calcium-dependent protein kinases (CPKs). These activate NIN-like proteins (NLPs), key transcription factors that regulate primary nitrate response genes involved in nitrogen uptake, assimilation, and transport. NLP activity is further modulated by SPX-domain proteins through NBIP1-mediated ubiquitination and degradation via the 26S proteasome. Additional regulation by </w:t>
      </w:r>
      <w:r w:rsidRPr="0049578D">
        <w:rPr>
          <w:rFonts w:ascii="Arial" w:hAnsi="Arial" w:cs="Arial"/>
          <w:b/>
          <w:bCs/>
          <w:i/>
          <w:iCs/>
        </w:rPr>
        <w:t>GRF4</w:t>
      </w:r>
      <w:r w:rsidRPr="0049578D">
        <w:rPr>
          <w:rFonts w:ascii="Arial" w:hAnsi="Arial" w:cs="Arial"/>
          <w:b/>
          <w:bCs/>
        </w:rPr>
        <w:t>–GIF1 and chromatin modifiers (PRC2, NGR2) fine-tunes transcriptional activation and repression, ensuring coordinated nitrogen utilization</w:t>
      </w:r>
    </w:p>
    <w:p w14:paraId="6D4158B4" w14:textId="77777777" w:rsidR="0049578D" w:rsidRDefault="0049578D" w:rsidP="0049578D">
      <w:pPr>
        <w:tabs>
          <w:tab w:val="left" w:pos="3323"/>
        </w:tabs>
        <w:jc w:val="both"/>
        <w:rPr>
          <w:rFonts w:ascii="Arial" w:hAnsi="Arial" w:cs="Arial"/>
          <w:b/>
          <w:bCs/>
          <w:sz w:val="22"/>
          <w:szCs w:val="22"/>
        </w:rPr>
      </w:pPr>
    </w:p>
    <w:p w14:paraId="15E76CA8" w14:textId="7529FFF7" w:rsidR="0049578D" w:rsidRPr="00EC03C7" w:rsidRDefault="00EC03C7" w:rsidP="0049578D">
      <w:pPr>
        <w:tabs>
          <w:tab w:val="left" w:pos="1040"/>
        </w:tabs>
        <w:jc w:val="both"/>
        <w:rPr>
          <w:rFonts w:ascii="Arial" w:hAnsi="Arial" w:cs="Arial"/>
          <w:b/>
          <w:bCs/>
          <w:color w:val="000000" w:themeColor="text1"/>
          <w:sz w:val="22"/>
          <w:szCs w:val="22"/>
        </w:rPr>
      </w:pPr>
      <w:r w:rsidRPr="00EC03C7">
        <w:rPr>
          <w:rFonts w:ascii="Arial" w:hAnsi="Arial" w:cs="Arial"/>
          <w:b/>
          <w:bCs/>
          <w:color w:val="000000" w:themeColor="text1"/>
          <w:sz w:val="22"/>
          <w:szCs w:val="22"/>
        </w:rPr>
        <w:t>6. STRATEGIES TO IMPROVE NITROGEN USE EFFICIENCY (NUE)</w:t>
      </w:r>
    </w:p>
    <w:p w14:paraId="6A40390D" w14:textId="77777777" w:rsidR="0049578D" w:rsidRPr="0049578D" w:rsidRDefault="0049578D" w:rsidP="0049578D">
      <w:pPr>
        <w:tabs>
          <w:tab w:val="left" w:pos="1040"/>
        </w:tabs>
        <w:jc w:val="both"/>
        <w:rPr>
          <w:rFonts w:ascii="Arial" w:hAnsi="Arial" w:cs="Arial"/>
          <w:color w:val="C00000"/>
        </w:rPr>
      </w:pPr>
      <w:r w:rsidRPr="0049578D">
        <w:rPr>
          <w:rFonts w:ascii="Arial" w:hAnsi="Arial" w:cs="Arial"/>
        </w:rPr>
        <w:t xml:space="preserve">Given the inherent complexity of nitrogen use efficiency (NUE) and the limited success of standalone agronomic interventions, a diverse array of complementary strategies has been explored to enhance nitrogen acquisition and utilization </w:t>
      </w:r>
      <w:r w:rsidRPr="0049578D">
        <w:rPr>
          <w:rFonts w:ascii="Arial" w:hAnsi="Arial" w:cs="Arial"/>
        </w:rPr>
        <w:lastRenderedPageBreak/>
        <w:t>in crops. These approaches extend beyond conventional fertilizer management to include genetic improvement, physiological optimization, and ecological interventions (</w:t>
      </w:r>
      <w:proofErr w:type="spellStart"/>
      <w:r w:rsidRPr="0049578D">
        <w:rPr>
          <w:rFonts w:ascii="Arial" w:hAnsi="Arial" w:cs="Arial"/>
        </w:rPr>
        <w:t>Fageria</w:t>
      </w:r>
      <w:proofErr w:type="spellEnd"/>
      <w:r w:rsidRPr="0049578D">
        <w:rPr>
          <w:rFonts w:ascii="Arial" w:hAnsi="Arial" w:cs="Arial"/>
        </w:rPr>
        <w:t xml:space="preserve"> and </w:t>
      </w:r>
      <w:proofErr w:type="spellStart"/>
      <w:r w:rsidRPr="0049578D">
        <w:rPr>
          <w:rFonts w:ascii="Arial" w:hAnsi="Arial" w:cs="Arial"/>
        </w:rPr>
        <w:t>Baligar</w:t>
      </w:r>
      <w:proofErr w:type="spellEnd"/>
      <w:r w:rsidRPr="0049578D">
        <w:rPr>
          <w:rFonts w:ascii="Arial" w:hAnsi="Arial" w:cs="Arial"/>
        </w:rPr>
        <w:t xml:space="preserve">, 2005; Ladha </w:t>
      </w:r>
      <w:r w:rsidRPr="0049578D">
        <w:rPr>
          <w:rFonts w:ascii="Arial" w:hAnsi="Arial" w:cs="Arial"/>
          <w:i/>
          <w:iCs/>
        </w:rPr>
        <w:t>et al</w:t>
      </w:r>
      <w:r w:rsidRPr="0049578D">
        <w:rPr>
          <w:rFonts w:ascii="Arial" w:hAnsi="Arial" w:cs="Arial"/>
        </w:rPr>
        <w:t xml:space="preserve">., 2005). For instance, breeding programs have sought to exploit natural genetic variation for traits such as enhanced root architecture, delayed senescence, and improved nitrogen remobilization efficiency (Hirel </w:t>
      </w:r>
      <w:r w:rsidRPr="0049578D">
        <w:rPr>
          <w:rFonts w:ascii="Arial" w:hAnsi="Arial" w:cs="Arial"/>
          <w:i/>
          <w:iCs/>
        </w:rPr>
        <w:t>et al</w:t>
      </w:r>
      <w:r w:rsidRPr="0049578D">
        <w:rPr>
          <w:rFonts w:ascii="Arial" w:hAnsi="Arial" w:cs="Arial"/>
        </w:rPr>
        <w:t xml:space="preserve">., 2007). Similarly, ecological and system-level strategies have been explored to improve nitrogen availability and uptake under field conditions, particularly through improved nitrogen cycling and enhanced efficiency of nitrogen inputs within cropping systems (Ladha </w:t>
      </w:r>
      <w:r w:rsidRPr="0049578D">
        <w:rPr>
          <w:rFonts w:ascii="Arial" w:hAnsi="Arial" w:cs="Arial"/>
          <w:i/>
          <w:iCs/>
        </w:rPr>
        <w:t>et al</w:t>
      </w:r>
      <w:r w:rsidRPr="0049578D">
        <w:rPr>
          <w:rFonts w:ascii="Arial" w:hAnsi="Arial" w:cs="Arial"/>
        </w:rPr>
        <w:t xml:space="preserve">., 2005). While these approaches have contributed to incremental improvements, their outcomes are often constrained by strong environmental interactions and the polygenic nature of NUE (Hirel </w:t>
      </w:r>
      <w:r w:rsidRPr="0049578D">
        <w:rPr>
          <w:rFonts w:ascii="Arial" w:hAnsi="Arial" w:cs="Arial"/>
          <w:i/>
          <w:iCs/>
        </w:rPr>
        <w:t>et al</w:t>
      </w:r>
      <w:r w:rsidRPr="0049578D">
        <w:rPr>
          <w:rFonts w:ascii="Arial" w:hAnsi="Arial" w:cs="Arial"/>
        </w:rPr>
        <w:t xml:space="preserve">., 2007; Xu </w:t>
      </w:r>
      <w:r w:rsidRPr="0049578D">
        <w:rPr>
          <w:rFonts w:ascii="Arial" w:hAnsi="Arial" w:cs="Arial"/>
          <w:i/>
          <w:iCs/>
        </w:rPr>
        <w:t>et al</w:t>
      </w:r>
      <w:r w:rsidRPr="0049578D">
        <w:rPr>
          <w:rFonts w:ascii="Arial" w:hAnsi="Arial" w:cs="Arial"/>
        </w:rPr>
        <w:t>., 2012), thereby limiting their predictability and scalability across diverse agroecosystems.</w:t>
      </w:r>
    </w:p>
    <w:p w14:paraId="3CD9A7A0"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In this context, molecular-level interventions have gained prominence as a more targeted and mechanistically informed strategy for NUE improvement (O’Brien </w:t>
      </w:r>
      <w:r w:rsidRPr="0049578D">
        <w:rPr>
          <w:rFonts w:ascii="Arial" w:hAnsi="Arial" w:cs="Arial"/>
          <w:i/>
          <w:iCs/>
        </w:rPr>
        <w:t>et al</w:t>
      </w:r>
      <w:r w:rsidRPr="0049578D">
        <w:rPr>
          <w:rFonts w:ascii="Arial" w:hAnsi="Arial" w:cs="Arial"/>
        </w:rPr>
        <w:t xml:space="preserve">., 2016; Wang </w:t>
      </w:r>
      <w:r w:rsidRPr="0049578D">
        <w:rPr>
          <w:rFonts w:ascii="Arial" w:hAnsi="Arial" w:cs="Arial"/>
          <w:i/>
          <w:iCs/>
        </w:rPr>
        <w:t>et al</w:t>
      </w:r>
      <w:r w:rsidRPr="0049578D">
        <w:rPr>
          <w:rFonts w:ascii="Arial" w:hAnsi="Arial" w:cs="Arial"/>
        </w:rPr>
        <w:t xml:space="preserve">., 2018). These approaches focus on the direct manipulation of genes and regulatory networks governing nitrogen uptake, transport, assimilation, and remobilization (Xu </w:t>
      </w:r>
      <w:r w:rsidRPr="0049578D">
        <w:rPr>
          <w:rFonts w:ascii="Arial" w:hAnsi="Arial" w:cs="Arial"/>
          <w:i/>
          <w:iCs/>
        </w:rPr>
        <w:t>et al</w:t>
      </w:r>
      <w:r w:rsidRPr="0049578D">
        <w:rPr>
          <w:rFonts w:ascii="Arial" w:hAnsi="Arial" w:cs="Arial"/>
        </w:rPr>
        <w:t xml:space="preserve">., 2012). Advances in functional genomics have enabled the identification of key molecular components including nitrate and ammonium transporters, transcription factors, and </w:t>
      </w:r>
      <w:proofErr w:type="spellStart"/>
      <w:r w:rsidRPr="0049578D">
        <w:rPr>
          <w:rFonts w:ascii="Arial" w:hAnsi="Arial" w:cs="Arial"/>
        </w:rPr>
        <w:t>signalling</w:t>
      </w:r>
      <w:proofErr w:type="spellEnd"/>
      <w:r w:rsidRPr="0049578D">
        <w:rPr>
          <w:rFonts w:ascii="Arial" w:hAnsi="Arial" w:cs="Arial"/>
        </w:rPr>
        <w:t xml:space="preserve"> regulators that coordinate plant responses to nitrogen availability (O’Brien </w:t>
      </w:r>
      <w:r w:rsidRPr="0049578D">
        <w:rPr>
          <w:rFonts w:ascii="Arial" w:hAnsi="Arial" w:cs="Arial"/>
          <w:i/>
          <w:iCs/>
        </w:rPr>
        <w:t>et al</w:t>
      </w:r>
      <w:r w:rsidRPr="0049578D">
        <w:rPr>
          <w:rFonts w:ascii="Arial" w:hAnsi="Arial" w:cs="Arial"/>
        </w:rPr>
        <w:t xml:space="preserve">., 2016; Wang </w:t>
      </w:r>
      <w:r w:rsidRPr="0049578D">
        <w:rPr>
          <w:rFonts w:ascii="Arial" w:hAnsi="Arial" w:cs="Arial"/>
          <w:i/>
          <w:iCs/>
        </w:rPr>
        <w:t>et al</w:t>
      </w:r>
      <w:r w:rsidRPr="0049578D">
        <w:rPr>
          <w:rFonts w:ascii="Arial" w:hAnsi="Arial" w:cs="Arial"/>
        </w:rPr>
        <w:t>., 2018). Targeted modification of such components allows precise tuning of nitrogen-related processes, often with greater specificity than achievable through conventional breeding.</w:t>
      </w:r>
    </w:p>
    <w:p w14:paraId="0500814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Furthermore, molecular strategies provide the unique advantage of enabling spatiotemporal regulation and pathway-level optimization, which is critical given the tight integration of nitrogen metabolism with carbon assimilation, hormonal </w:t>
      </w:r>
      <w:proofErr w:type="spellStart"/>
      <w:r w:rsidRPr="0049578D">
        <w:rPr>
          <w:rFonts w:ascii="Arial" w:hAnsi="Arial" w:cs="Arial"/>
        </w:rPr>
        <w:t>signalling</w:t>
      </w:r>
      <w:proofErr w:type="spellEnd"/>
      <w:r w:rsidRPr="0049578D">
        <w:rPr>
          <w:rFonts w:ascii="Arial" w:hAnsi="Arial" w:cs="Arial"/>
        </w:rPr>
        <w:t xml:space="preserve">, and developmental programs (Xu </w:t>
      </w:r>
      <w:r w:rsidRPr="0049578D">
        <w:rPr>
          <w:rFonts w:ascii="Arial" w:hAnsi="Arial" w:cs="Arial"/>
          <w:i/>
          <w:iCs/>
        </w:rPr>
        <w:t>et al</w:t>
      </w:r>
      <w:r w:rsidRPr="0049578D">
        <w:rPr>
          <w:rFonts w:ascii="Arial" w:hAnsi="Arial" w:cs="Arial"/>
        </w:rPr>
        <w:t xml:space="preserve">., 2012). Techniques such as genome editing, transgenic approaches, and regulatory network modulation have demonstrated the potential to enhance specific components of NUE such as uptake efficiency or internal nitrogen recycling without broadly disrupting plant growth (Chen </w:t>
      </w:r>
      <w:r w:rsidRPr="0049578D">
        <w:rPr>
          <w:rFonts w:ascii="Arial" w:hAnsi="Arial" w:cs="Arial"/>
          <w:i/>
          <w:iCs/>
        </w:rPr>
        <w:t>et al</w:t>
      </w:r>
      <w:r w:rsidRPr="0049578D">
        <w:rPr>
          <w:rFonts w:ascii="Arial" w:hAnsi="Arial" w:cs="Arial"/>
        </w:rPr>
        <w:t xml:space="preserve">., 2019; Wang </w:t>
      </w:r>
      <w:r w:rsidRPr="0049578D">
        <w:rPr>
          <w:rFonts w:ascii="Arial" w:hAnsi="Arial" w:cs="Arial"/>
          <w:i/>
          <w:iCs/>
        </w:rPr>
        <w:t>et al</w:t>
      </w:r>
      <w:r w:rsidRPr="0049578D">
        <w:rPr>
          <w:rFonts w:ascii="Arial" w:hAnsi="Arial" w:cs="Arial"/>
        </w:rPr>
        <w:t xml:space="preserve">., 2018). Importantly, these approaches also facilitate the dissection of complex traits into manageable genetic modules, thereby enabling more predictable and reproducible improvements (Chen </w:t>
      </w:r>
      <w:r w:rsidRPr="0049578D">
        <w:rPr>
          <w:rFonts w:ascii="Arial" w:hAnsi="Arial" w:cs="Arial"/>
          <w:i/>
          <w:iCs/>
        </w:rPr>
        <w:t>et al</w:t>
      </w:r>
      <w:r w:rsidRPr="0049578D">
        <w:rPr>
          <w:rFonts w:ascii="Arial" w:hAnsi="Arial" w:cs="Arial"/>
        </w:rPr>
        <w:t>., 2019).</w:t>
      </w:r>
    </w:p>
    <w:p w14:paraId="7F6CB764" w14:textId="77777777" w:rsidR="0049578D" w:rsidRDefault="0049578D" w:rsidP="0049578D">
      <w:pPr>
        <w:tabs>
          <w:tab w:val="left" w:pos="1040"/>
        </w:tabs>
        <w:jc w:val="both"/>
        <w:rPr>
          <w:rFonts w:ascii="Arial" w:hAnsi="Arial" w:cs="Arial"/>
        </w:rPr>
      </w:pPr>
      <w:r w:rsidRPr="0049578D">
        <w:rPr>
          <w:rFonts w:ascii="Arial" w:hAnsi="Arial" w:cs="Arial"/>
        </w:rPr>
        <w:t>Accordingly, the following sections focus on key molecular strategies employed in recent research to improve NUE, highlighting the specific genetic targets, underlying mechanisms, and functional outcomes associated with each approach.</w:t>
      </w:r>
    </w:p>
    <w:p w14:paraId="5E5BA1C8" w14:textId="77777777" w:rsidR="00EC03C7" w:rsidRPr="0049578D" w:rsidRDefault="00EC03C7" w:rsidP="0049578D">
      <w:pPr>
        <w:tabs>
          <w:tab w:val="left" w:pos="1040"/>
        </w:tabs>
        <w:jc w:val="both"/>
        <w:rPr>
          <w:rFonts w:ascii="Arial" w:hAnsi="Arial" w:cs="Arial"/>
        </w:rPr>
      </w:pPr>
    </w:p>
    <w:p w14:paraId="08C46A6C" w14:textId="4EF298D9" w:rsidR="0049578D" w:rsidRPr="00EC03C7" w:rsidRDefault="00EC03C7" w:rsidP="0049578D">
      <w:pPr>
        <w:tabs>
          <w:tab w:val="left" w:pos="1040"/>
        </w:tabs>
        <w:jc w:val="both"/>
        <w:rPr>
          <w:rFonts w:ascii="Arial" w:hAnsi="Arial" w:cs="Arial"/>
          <w:b/>
          <w:bCs/>
          <w:sz w:val="22"/>
          <w:szCs w:val="22"/>
        </w:rPr>
      </w:pPr>
      <w:r>
        <w:rPr>
          <w:rFonts w:ascii="Arial" w:hAnsi="Arial" w:cs="Arial"/>
          <w:b/>
          <w:bCs/>
          <w:sz w:val="22"/>
          <w:szCs w:val="22"/>
        </w:rPr>
        <w:t xml:space="preserve">6.1 </w:t>
      </w:r>
      <w:r w:rsidRPr="00EC03C7">
        <w:rPr>
          <w:rFonts w:ascii="Arial" w:hAnsi="Arial" w:cs="Arial"/>
          <w:b/>
          <w:bCs/>
          <w:sz w:val="22"/>
          <w:szCs w:val="22"/>
        </w:rPr>
        <w:t xml:space="preserve">NITROGEN-RESPONSIVE CHROMATIN MODULATION </w:t>
      </w:r>
    </w:p>
    <w:p w14:paraId="723364B5" w14:textId="77777777" w:rsidR="0049578D" w:rsidRP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A major emerging strategy to improve nitrogen use efficiency (NUE) is epigenetic or chromatin-level regulation of nitrogen-responsive genes, rather than alteration of a single transporter or enzyme. The conceptual basis of this strategy is that nitrogen responses in plants are highly plastic and must be coordinated with development; chromatin states contribute to this coordination by modulating how readily key genes are activated or repressed in response to environmental and endogenous signals. In plants, one of the most important repressive chromatin marks is histone H3 lysine 27 trimethylation (H3K27me3), which is deposited by the </w:t>
      </w:r>
      <w:proofErr w:type="spellStart"/>
      <w:r w:rsidRPr="0049578D">
        <w:rPr>
          <w:rFonts w:ascii="Arial" w:hAnsi="Arial" w:cs="Arial"/>
          <w:color w:val="000000" w:themeColor="text1"/>
        </w:rPr>
        <w:t>Polycomb</w:t>
      </w:r>
      <w:proofErr w:type="spellEnd"/>
      <w:r w:rsidRPr="0049578D">
        <w:rPr>
          <w:rFonts w:ascii="Arial" w:hAnsi="Arial" w:cs="Arial"/>
          <w:color w:val="000000" w:themeColor="text1"/>
        </w:rPr>
        <w:t xml:space="preserve"> repressive complex 2 (PRC2) and is widely associated with transcriptional silencing of developmental and stress-responsive loci (</w:t>
      </w:r>
      <w:proofErr w:type="spellStart"/>
      <w:r w:rsidRPr="0049578D">
        <w:rPr>
          <w:rFonts w:ascii="Arial" w:hAnsi="Arial" w:cs="Arial"/>
          <w:color w:val="000000" w:themeColor="text1"/>
        </w:rPr>
        <w:t>Derkacheva</w:t>
      </w:r>
      <w:proofErr w:type="spellEnd"/>
      <w:r w:rsidRPr="0049578D">
        <w:rPr>
          <w:rFonts w:ascii="Arial" w:hAnsi="Arial" w:cs="Arial"/>
          <w:color w:val="000000" w:themeColor="text1"/>
        </w:rPr>
        <w:t xml:space="preserve"> and Hennig, 2014; Shen </w:t>
      </w:r>
      <w:r w:rsidRPr="0049578D">
        <w:rPr>
          <w:rFonts w:ascii="Arial" w:hAnsi="Arial" w:cs="Arial"/>
          <w:i/>
          <w:iCs/>
          <w:color w:val="000000" w:themeColor="text1"/>
        </w:rPr>
        <w:t>et al</w:t>
      </w:r>
      <w:r w:rsidRPr="0049578D">
        <w:rPr>
          <w:rFonts w:ascii="Arial" w:hAnsi="Arial" w:cs="Arial"/>
          <w:color w:val="000000" w:themeColor="text1"/>
        </w:rPr>
        <w:t>., 2021). More recent synthesis focused specifically on nitrogen biology has further emphasized that epigenetic regulation is now recognized as part of the nitrogen-response network, influencing how plants adapt their growth, architecture and nutrient responses under changing nitrogen availability (Zhang, Zhang and Xiao, 2023).</w:t>
      </w:r>
    </w:p>
    <w:p w14:paraId="38AB6BCA" w14:textId="77777777" w:rsidR="0049578D" w:rsidRP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The relevance of this regulatory layer to NUE is supported by evidence that </w:t>
      </w:r>
      <w:proofErr w:type="spellStart"/>
      <w:r w:rsidRPr="0049578D">
        <w:rPr>
          <w:rFonts w:ascii="Arial" w:hAnsi="Arial" w:cs="Arial"/>
          <w:color w:val="000000" w:themeColor="text1"/>
        </w:rPr>
        <w:t>Polycomb</w:t>
      </w:r>
      <w:proofErr w:type="spellEnd"/>
      <w:r w:rsidRPr="0049578D">
        <w:rPr>
          <w:rFonts w:ascii="Arial" w:hAnsi="Arial" w:cs="Arial"/>
          <w:color w:val="000000" w:themeColor="text1"/>
        </w:rPr>
        <w:t xml:space="preserve">-mediated chromatin control can also operate directly on genes involved in nitrogen acquisition. In </w:t>
      </w:r>
      <w:r w:rsidRPr="0049578D">
        <w:rPr>
          <w:rFonts w:ascii="Arial" w:hAnsi="Arial" w:cs="Arial"/>
          <w:i/>
          <w:iCs/>
          <w:color w:val="000000" w:themeColor="text1"/>
        </w:rPr>
        <w:t>Arabidopsis</w:t>
      </w:r>
      <w:r w:rsidRPr="0049578D">
        <w:rPr>
          <w:rFonts w:ascii="Arial" w:hAnsi="Arial" w:cs="Arial"/>
          <w:color w:val="000000" w:themeColor="text1"/>
        </w:rPr>
        <w:t xml:space="preserve">, PRC2-mediated H3K27me3 directly modulates expression of the nitrate transporter gene </w:t>
      </w:r>
      <w:r w:rsidRPr="0049578D">
        <w:rPr>
          <w:rFonts w:ascii="Arial" w:hAnsi="Arial" w:cs="Arial"/>
          <w:i/>
          <w:iCs/>
          <w:color w:val="000000" w:themeColor="text1"/>
        </w:rPr>
        <w:t>NRT2.1</w:t>
      </w:r>
      <w:r w:rsidRPr="0049578D">
        <w:rPr>
          <w:rFonts w:ascii="Arial" w:hAnsi="Arial" w:cs="Arial"/>
          <w:color w:val="000000" w:themeColor="text1"/>
        </w:rPr>
        <w:t xml:space="preserve"> and attenuates its very high expression under strongly inductive nitrate-limiting conditions (Bellegarde </w:t>
      </w:r>
      <w:r w:rsidRPr="0049578D">
        <w:rPr>
          <w:rFonts w:ascii="Arial" w:hAnsi="Arial" w:cs="Arial"/>
          <w:i/>
          <w:iCs/>
          <w:color w:val="000000" w:themeColor="text1"/>
        </w:rPr>
        <w:t>et al</w:t>
      </w:r>
      <w:r w:rsidRPr="0049578D">
        <w:rPr>
          <w:rFonts w:ascii="Arial" w:hAnsi="Arial" w:cs="Arial"/>
          <w:color w:val="000000" w:themeColor="text1"/>
        </w:rPr>
        <w:t xml:space="preserve">., 2018). This finding is important because it shows that chromatin regulation is not restricted to developmental pathways alone, but can also fine-tune the expression of core nitrogen-responsive transport genes, thereby providing an additional regulatory level through which nitrogen uptake may be coordinated with plant demand (Bellegarde </w:t>
      </w:r>
      <w:r w:rsidRPr="0049578D">
        <w:rPr>
          <w:rFonts w:ascii="Arial" w:hAnsi="Arial" w:cs="Arial"/>
          <w:i/>
          <w:iCs/>
          <w:color w:val="000000" w:themeColor="text1"/>
        </w:rPr>
        <w:t>et al</w:t>
      </w:r>
      <w:r w:rsidRPr="0049578D">
        <w:rPr>
          <w:rFonts w:ascii="Arial" w:hAnsi="Arial" w:cs="Arial"/>
          <w:color w:val="000000" w:themeColor="text1"/>
        </w:rPr>
        <w:t>., 2018).</w:t>
      </w:r>
    </w:p>
    <w:p w14:paraId="2352FDED" w14:textId="77777777" w:rsidR="0049578D" w:rsidRP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A notable example of this strategy in crops is the nitrogen-responsive chromatin modulation mediated by </w:t>
      </w:r>
      <w:r w:rsidRPr="0049578D">
        <w:rPr>
          <w:rFonts w:ascii="Arial" w:hAnsi="Arial" w:cs="Arial"/>
          <w:i/>
          <w:iCs/>
          <w:color w:val="000000" w:themeColor="text1"/>
        </w:rPr>
        <w:t>NGR5</w:t>
      </w:r>
      <w:r w:rsidRPr="0049578D">
        <w:rPr>
          <w:rFonts w:ascii="Arial" w:hAnsi="Arial" w:cs="Arial"/>
          <w:color w:val="000000" w:themeColor="text1"/>
        </w:rPr>
        <w:t xml:space="preserve"> in rice. In this system, nitrogen availability enhances </w:t>
      </w:r>
      <w:r w:rsidRPr="0049578D">
        <w:rPr>
          <w:rFonts w:ascii="Arial" w:hAnsi="Arial" w:cs="Arial"/>
          <w:i/>
          <w:iCs/>
          <w:color w:val="000000" w:themeColor="text1"/>
        </w:rPr>
        <w:t>NGR5</w:t>
      </w:r>
      <w:r w:rsidRPr="0049578D">
        <w:rPr>
          <w:rFonts w:ascii="Arial" w:hAnsi="Arial" w:cs="Arial"/>
          <w:color w:val="000000" w:themeColor="text1"/>
        </w:rPr>
        <w:t xml:space="preserve"> activity, and </w:t>
      </w:r>
      <w:r w:rsidRPr="0049578D">
        <w:rPr>
          <w:rFonts w:ascii="Arial" w:hAnsi="Arial" w:cs="Arial"/>
          <w:i/>
          <w:iCs/>
          <w:color w:val="000000" w:themeColor="text1"/>
        </w:rPr>
        <w:t>NGR5</w:t>
      </w:r>
      <w:r w:rsidRPr="0049578D">
        <w:rPr>
          <w:rFonts w:ascii="Arial" w:hAnsi="Arial" w:cs="Arial"/>
          <w:color w:val="000000" w:themeColor="text1"/>
        </w:rPr>
        <w:t xml:space="preserve"> in turn promotes repression of branching-inhibitory genes such as </w:t>
      </w:r>
      <w:r w:rsidRPr="0049578D">
        <w:rPr>
          <w:rFonts w:ascii="Arial" w:hAnsi="Arial" w:cs="Arial"/>
          <w:i/>
          <w:iCs/>
          <w:color w:val="000000" w:themeColor="text1"/>
        </w:rPr>
        <w:t>D14</w:t>
      </w:r>
      <w:r w:rsidRPr="0049578D">
        <w:rPr>
          <w:rFonts w:ascii="Arial" w:hAnsi="Arial" w:cs="Arial"/>
          <w:color w:val="000000" w:themeColor="text1"/>
        </w:rPr>
        <w:t xml:space="preserve"> and </w:t>
      </w:r>
      <w:r w:rsidRPr="0049578D">
        <w:rPr>
          <w:rFonts w:ascii="Arial" w:hAnsi="Arial" w:cs="Arial"/>
          <w:i/>
          <w:iCs/>
          <w:color w:val="000000" w:themeColor="text1"/>
        </w:rPr>
        <w:t>OsSPL14</w:t>
      </w:r>
      <w:r w:rsidRPr="0049578D">
        <w:rPr>
          <w:rFonts w:ascii="Arial" w:hAnsi="Arial" w:cs="Arial"/>
          <w:color w:val="000000" w:themeColor="text1"/>
        </w:rPr>
        <w:t xml:space="preserve">. Mechanistically, </w:t>
      </w:r>
      <w:r w:rsidRPr="0049578D">
        <w:rPr>
          <w:rFonts w:ascii="Arial" w:hAnsi="Arial" w:cs="Arial"/>
          <w:i/>
          <w:iCs/>
          <w:color w:val="000000" w:themeColor="text1"/>
        </w:rPr>
        <w:t>NGR5</w:t>
      </w:r>
      <w:r w:rsidRPr="0049578D">
        <w:rPr>
          <w:rFonts w:ascii="Arial" w:hAnsi="Arial" w:cs="Arial"/>
          <w:color w:val="000000" w:themeColor="text1"/>
        </w:rPr>
        <w:t xml:space="preserve"> binds these target loci and promotes their repression through regulation of H3K27me3 modification, likely via recruitment of PRC2 through interaction with the PRC2 component LC2. Because </w:t>
      </w:r>
      <w:r w:rsidRPr="0049578D">
        <w:rPr>
          <w:rFonts w:ascii="Arial" w:hAnsi="Arial" w:cs="Arial"/>
          <w:i/>
          <w:iCs/>
          <w:color w:val="000000" w:themeColor="text1"/>
        </w:rPr>
        <w:t>D14</w:t>
      </w:r>
      <w:r w:rsidRPr="0049578D">
        <w:rPr>
          <w:rFonts w:ascii="Arial" w:hAnsi="Arial" w:cs="Arial"/>
          <w:color w:val="000000" w:themeColor="text1"/>
        </w:rPr>
        <w:t xml:space="preserve"> and </w:t>
      </w:r>
      <w:r w:rsidRPr="0049578D">
        <w:rPr>
          <w:rFonts w:ascii="Arial" w:hAnsi="Arial" w:cs="Arial"/>
          <w:i/>
          <w:iCs/>
          <w:color w:val="000000" w:themeColor="text1"/>
        </w:rPr>
        <w:t>OsSPL14</w:t>
      </w:r>
      <w:r w:rsidRPr="0049578D">
        <w:rPr>
          <w:rFonts w:ascii="Arial" w:hAnsi="Arial" w:cs="Arial"/>
          <w:color w:val="000000" w:themeColor="text1"/>
        </w:rPr>
        <w:t xml:space="preserve"> act as negative regulators of tiller outgrowth, their repression relieves constraints on branching, allowing nitrogen supply to be translated into enhanced tillering and improved plant productivity (Wu </w:t>
      </w:r>
      <w:r w:rsidRPr="0049578D">
        <w:rPr>
          <w:rFonts w:ascii="Arial" w:hAnsi="Arial" w:cs="Arial"/>
          <w:i/>
          <w:iCs/>
          <w:color w:val="000000" w:themeColor="text1"/>
        </w:rPr>
        <w:t>et al</w:t>
      </w:r>
      <w:r w:rsidRPr="0049578D">
        <w:rPr>
          <w:rFonts w:ascii="Arial" w:hAnsi="Arial" w:cs="Arial"/>
          <w:color w:val="000000" w:themeColor="text1"/>
        </w:rPr>
        <w:t xml:space="preserve">., 2020). Viewed as a strategy, this mechanism shows that NUE can be improved not only by increasing nitrogen uptake or assimilation per se, but also by strengthening the developmental utilization of available nitrogen through chromatin-level control of plant architecture. Its agronomic relevance is underscored by the observation that increased </w:t>
      </w:r>
      <w:r w:rsidRPr="0049578D">
        <w:rPr>
          <w:rFonts w:ascii="Arial" w:hAnsi="Arial" w:cs="Arial"/>
          <w:i/>
          <w:iCs/>
          <w:color w:val="000000" w:themeColor="text1"/>
        </w:rPr>
        <w:t>NGR5</w:t>
      </w:r>
      <w:r w:rsidRPr="0049578D">
        <w:rPr>
          <w:rFonts w:ascii="Arial" w:hAnsi="Arial" w:cs="Arial"/>
          <w:color w:val="000000" w:themeColor="text1"/>
        </w:rPr>
        <w:t xml:space="preserve"> activity boosts rice tillering, grain yield and NUE under reduced nitrogen fertilization, indicating that manipulation of chromatin-associated regulatory nodes can contribute directly to sustainable crop improvement (Wu </w:t>
      </w:r>
      <w:r w:rsidRPr="0049578D">
        <w:rPr>
          <w:rFonts w:ascii="Arial" w:hAnsi="Arial" w:cs="Arial"/>
          <w:i/>
          <w:iCs/>
          <w:color w:val="000000" w:themeColor="text1"/>
        </w:rPr>
        <w:t>et al</w:t>
      </w:r>
      <w:r w:rsidRPr="0049578D">
        <w:rPr>
          <w:rFonts w:ascii="Arial" w:hAnsi="Arial" w:cs="Arial"/>
          <w:color w:val="000000" w:themeColor="text1"/>
        </w:rPr>
        <w:t>., 2020).</w:t>
      </w:r>
    </w:p>
    <w:p w14:paraId="41E422E5" w14:textId="77777777" w:rsid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Taken together, these findings indicate that nitrogen-responsive chromatin modulation represents a promising strategy to improve NUE at multiple levels. By acting both on developmental regulators that shape plant architecture and on nutrient-responsive genes involved in nitrogen acquisition, chromatin-based mechanisms can help optimize how plants perceive, acquire, allocate and utilize nitrogen. This makes epigenetic regulation an especially attractive avenue for molecular </w:t>
      </w:r>
      <w:r w:rsidRPr="0049578D">
        <w:rPr>
          <w:rFonts w:ascii="Arial" w:hAnsi="Arial" w:cs="Arial"/>
          <w:color w:val="000000" w:themeColor="text1"/>
        </w:rPr>
        <w:lastRenderedPageBreak/>
        <w:t xml:space="preserve">tweaking of NUE, as it expands the focus from individual metabolic genes to higher-order regulatory systems that integrate nutrient status with growth and yield formation (Bellegarde </w:t>
      </w:r>
      <w:r w:rsidRPr="0049578D">
        <w:rPr>
          <w:rFonts w:ascii="Arial" w:hAnsi="Arial" w:cs="Arial"/>
          <w:i/>
          <w:iCs/>
          <w:color w:val="000000" w:themeColor="text1"/>
        </w:rPr>
        <w:t>et al</w:t>
      </w:r>
      <w:r w:rsidRPr="0049578D">
        <w:rPr>
          <w:rFonts w:ascii="Arial" w:hAnsi="Arial" w:cs="Arial"/>
          <w:color w:val="000000" w:themeColor="text1"/>
        </w:rPr>
        <w:t xml:space="preserve">., 2018; Wu </w:t>
      </w:r>
      <w:r w:rsidRPr="0049578D">
        <w:rPr>
          <w:rFonts w:ascii="Arial" w:hAnsi="Arial" w:cs="Arial"/>
          <w:i/>
          <w:iCs/>
          <w:color w:val="000000" w:themeColor="text1"/>
        </w:rPr>
        <w:t>et al</w:t>
      </w:r>
      <w:r w:rsidRPr="0049578D">
        <w:rPr>
          <w:rFonts w:ascii="Arial" w:hAnsi="Arial" w:cs="Arial"/>
          <w:color w:val="000000" w:themeColor="text1"/>
        </w:rPr>
        <w:t>., 2020; Zhang, Zhang and Xiao, 2023).</w:t>
      </w:r>
    </w:p>
    <w:p w14:paraId="740C5AC4" w14:textId="77777777" w:rsidR="00EC03C7" w:rsidRPr="0049578D" w:rsidRDefault="00EC03C7" w:rsidP="0049578D">
      <w:pPr>
        <w:tabs>
          <w:tab w:val="left" w:pos="1040"/>
        </w:tabs>
        <w:jc w:val="both"/>
        <w:rPr>
          <w:rFonts w:ascii="Arial" w:hAnsi="Arial" w:cs="Arial"/>
          <w:color w:val="000000" w:themeColor="text1"/>
        </w:rPr>
      </w:pPr>
    </w:p>
    <w:p w14:paraId="681B9510" w14:textId="7B8A14FC" w:rsidR="0049578D" w:rsidRPr="00EC03C7" w:rsidRDefault="00EC03C7" w:rsidP="0049578D">
      <w:pPr>
        <w:tabs>
          <w:tab w:val="left" w:pos="1040"/>
        </w:tabs>
        <w:jc w:val="both"/>
        <w:rPr>
          <w:rFonts w:ascii="Arial" w:hAnsi="Arial" w:cs="Arial"/>
          <w:b/>
          <w:bCs/>
          <w:sz w:val="22"/>
          <w:szCs w:val="22"/>
        </w:rPr>
      </w:pPr>
      <w:r w:rsidRPr="00EC03C7">
        <w:rPr>
          <w:rFonts w:ascii="Arial" w:hAnsi="Arial" w:cs="Arial"/>
          <w:b/>
          <w:bCs/>
          <w:sz w:val="22"/>
          <w:szCs w:val="22"/>
        </w:rPr>
        <w:t>6.2 PROMOTER ENGINEERING AND COORDINATED GENE EXPRESSION</w:t>
      </w:r>
    </w:p>
    <w:p w14:paraId="053279E8" w14:textId="77777777" w:rsidR="0049578D" w:rsidRPr="0049578D" w:rsidRDefault="0049578D" w:rsidP="0049578D">
      <w:pPr>
        <w:jc w:val="both"/>
        <w:rPr>
          <w:rFonts w:ascii="Arial" w:hAnsi="Arial" w:cs="Arial"/>
        </w:rPr>
      </w:pPr>
      <w:r w:rsidRPr="0049578D">
        <w:rPr>
          <w:rFonts w:ascii="Arial" w:hAnsi="Arial" w:cs="Arial"/>
        </w:rPr>
        <w:t xml:space="preserve">Another important molecular strategy to improve nitrogen use efficiency (NUE) is promoter engineering, in which the expression of a target gene is optimized by altering the promoter that controls when, where and under which nutrient conditions that gene is transcribed. The rationale behind this strategy is that the benefit of an NUE-related gene often depends not only on its identity, but also on its spatial, temporal and inducible expression pattern (Xu, Fan and Miller, 2012; Fan </w:t>
      </w:r>
      <w:r w:rsidRPr="0049578D">
        <w:rPr>
          <w:rFonts w:ascii="Arial" w:hAnsi="Arial" w:cs="Arial"/>
          <w:i/>
          <w:iCs/>
        </w:rPr>
        <w:t>et al</w:t>
      </w:r>
      <w:r w:rsidRPr="0049578D">
        <w:rPr>
          <w:rFonts w:ascii="Arial" w:hAnsi="Arial" w:cs="Arial"/>
        </w:rPr>
        <w:t xml:space="preserve">., 2017). Constitutive promoters such as maize </w:t>
      </w:r>
      <w:r w:rsidRPr="0049578D">
        <w:rPr>
          <w:rFonts w:ascii="Arial" w:hAnsi="Arial" w:cs="Arial"/>
          <w:i/>
          <w:iCs/>
        </w:rPr>
        <w:t>Ubi-1</w:t>
      </w:r>
      <w:r w:rsidRPr="0049578D">
        <w:rPr>
          <w:rFonts w:ascii="Arial" w:hAnsi="Arial" w:cs="Arial"/>
        </w:rPr>
        <w:t xml:space="preserve"> can drive strong expression in many tissues, especially actively dividing cells, and are therefore useful for transgene expression (Cornejo </w:t>
      </w:r>
      <w:r w:rsidRPr="0049578D">
        <w:rPr>
          <w:rFonts w:ascii="Arial" w:hAnsi="Arial" w:cs="Arial"/>
          <w:i/>
          <w:iCs/>
        </w:rPr>
        <w:t>et al</w:t>
      </w:r>
      <w:r w:rsidRPr="0049578D">
        <w:rPr>
          <w:rFonts w:ascii="Arial" w:hAnsi="Arial" w:cs="Arial"/>
        </w:rPr>
        <w:t xml:space="preserve">., 1993). However, they do not necessarily reproduce the physiological regulation needed for efficient nutrient use. By contrast, nutrient-responsive or tissue-preferential promoters can restrict gene expression to the organs and developmental contexts in which it is most beneficial, thereby improving functional coordination and reducing undesirable ectopic effects (Xu, Fan and Miller, 2012; Fan </w:t>
      </w:r>
      <w:r w:rsidRPr="0049578D">
        <w:rPr>
          <w:rFonts w:ascii="Arial" w:hAnsi="Arial" w:cs="Arial"/>
          <w:i/>
          <w:iCs/>
        </w:rPr>
        <w:t>et al</w:t>
      </w:r>
      <w:r w:rsidRPr="0049578D">
        <w:rPr>
          <w:rFonts w:ascii="Arial" w:hAnsi="Arial" w:cs="Arial"/>
        </w:rPr>
        <w:t xml:space="preserve">., 2017). This broader principle is also illustrated outside nitrogen biology: in rice, expression of </w:t>
      </w:r>
      <w:r w:rsidRPr="0049578D">
        <w:rPr>
          <w:rFonts w:ascii="Arial" w:hAnsi="Arial" w:cs="Arial"/>
          <w:i/>
          <w:iCs/>
        </w:rPr>
        <w:t>WOX11</w:t>
      </w:r>
      <w:r w:rsidRPr="0049578D">
        <w:rPr>
          <w:rFonts w:ascii="Arial" w:hAnsi="Arial" w:cs="Arial"/>
        </w:rPr>
        <w:t xml:space="preserve"> driven by the low-K-inducible </w:t>
      </w:r>
      <w:r w:rsidRPr="0049578D">
        <w:rPr>
          <w:rFonts w:ascii="Arial" w:hAnsi="Arial" w:cs="Arial"/>
          <w:i/>
          <w:iCs/>
        </w:rPr>
        <w:t>OsHAK16</w:t>
      </w:r>
      <w:r w:rsidRPr="0049578D">
        <w:rPr>
          <w:rFonts w:ascii="Arial" w:hAnsi="Arial" w:cs="Arial"/>
        </w:rPr>
        <w:t xml:space="preserve"> promoter produced beneficial root and tiller phenotypes, whereas constitutive expression driven by a ubiquitin promoter did not generate the same field-level advantage, highlighting the value of stimulus-responsive promoter choice in crop engineering (Chen </w:t>
      </w:r>
      <w:r w:rsidRPr="0049578D">
        <w:rPr>
          <w:rFonts w:ascii="Arial" w:hAnsi="Arial" w:cs="Arial"/>
          <w:i/>
          <w:iCs/>
        </w:rPr>
        <w:t>et al</w:t>
      </w:r>
      <w:r w:rsidRPr="0049578D">
        <w:rPr>
          <w:rFonts w:ascii="Arial" w:hAnsi="Arial" w:cs="Arial"/>
        </w:rPr>
        <w:t>., 2015).</w:t>
      </w:r>
    </w:p>
    <w:p w14:paraId="7C7B6CC1" w14:textId="77777777" w:rsidR="0049578D" w:rsidRPr="0049578D" w:rsidRDefault="0049578D" w:rsidP="0049578D">
      <w:pPr>
        <w:jc w:val="both"/>
        <w:rPr>
          <w:rFonts w:ascii="Arial" w:hAnsi="Arial" w:cs="Arial"/>
        </w:rPr>
      </w:pPr>
      <w:r w:rsidRPr="0049578D">
        <w:rPr>
          <w:rFonts w:ascii="Arial" w:hAnsi="Arial" w:cs="Arial"/>
        </w:rPr>
        <w:t xml:space="preserve">This strategy is particularly relevant to nitrate uptake because many high-affinity nitrate transporters do not function effectively in isolation. Members of the NRT2 family often require a partner protein of the NAR2/NRT3 family to form a functional high-affinity uptake system (Yan </w:t>
      </w:r>
      <w:r w:rsidRPr="0049578D">
        <w:rPr>
          <w:rFonts w:ascii="Arial" w:hAnsi="Arial" w:cs="Arial"/>
          <w:i/>
          <w:iCs/>
        </w:rPr>
        <w:t>et al</w:t>
      </w:r>
      <w:r w:rsidRPr="0049578D">
        <w:rPr>
          <w:rFonts w:ascii="Arial" w:hAnsi="Arial" w:cs="Arial"/>
        </w:rPr>
        <w:t xml:space="preserve">., 2011; Fan </w:t>
      </w:r>
      <w:r w:rsidRPr="0049578D">
        <w:rPr>
          <w:rFonts w:ascii="Arial" w:hAnsi="Arial" w:cs="Arial"/>
          <w:i/>
          <w:iCs/>
        </w:rPr>
        <w:t>et al</w:t>
      </w:r>
      <w:r w:rsidRPr="0049578D">
        <w:rPr>
          <w:rFonts w:ascii="Arial" w:hAnsi="Arial" w:cs="Arial"/>
        </w:rPr>
        <w:t>., 2017)</w:t>
      </w:r>
      <w:r w:rsidRPr="0049578D">
        <w:rPr>
          <w:rFonts w:ascii="Arial" w:hAnsi="Arial" w:cs="Arial"/>
          <w:color w:val="C00000"/>
        </w:rPr>
        <w:t xml:space="preserve">. </w:t>
      </w:r>
      <w:r w:rsidRPr="0049578D">
        <w:rPr>
          <w:rFonts w:ascii="Arial" w:hAnsi="Arial" w:cs="Arial"/>
        </w:rPr>
        <w:t xml:space="preserve">In rice, </w:t>
      </w:r>
      <w:r w:rsidRPr="0049578D">
        <w:rPr>
          <w:rFonts w:ascii="Arial" w:hAnsi="Arial" w:cs="Arial"/>
          <w:i/>
          <w:iCs/>
        </w:rPr>
        <w:t>OsNAR2.1</w:t>
      </w:r>
      <w:r w:rsidRPr="0049578D">
        <w:rPr>
          <w:rFonts w:ascii="Arial" w:hAnsi="Arial" w:cs="Arial"/>
        </w:rPr>
        <w:t xml:space="preserve"> interacts with </w:t>
      </w:r>
      <w:r w:rsidRPr="0049578D">
        <w:rPr>
          <w:rFonts w:ascii="Arial" w:hAnsi="Arial" w:cs="Arial"/>
          <w:i/>
          <w:iCs/>
        </w:rPr>
        <w:t>OsNRT2.1</w:t>
      </w:r>
      <w:r w:rsidRPr="0049578D">
        <w:rPr>
          <w:rFonts w:ascii="Arial" w:hAnsi="Arial" w:cs="Arial"/>
        </w:rPr>
        <w:t xml:space="preserve">, </w:t>
      </w:r>
      <w:r w:rsidRPr="0049578D">
        <w:rPr>
          <w:rFonts w:ascii="Arial" w:hAnsi="Arial" w:cs="Arial"/>
          <w:i/>
          <w:iCs/>
        </w:rPr>
        <w:t>OsNRT2.2</w:t>
      </w:r>
      <w:r w:rsidRPr="0049578D">
        <w:rPr>
          <w:rFonts w:ascii="Arial" w:hAnsi="Arial" w:cs="Arial"/>
        </w:rPr>
        <w:t xml:space="preserve"> and </w:t>
      </w:r>
      <w:r w:rsidRPr="0049578D">
        <w:rPr>
          <w:rFonts w:ascii="Arial" w:hAnsi="Arial" w:cs="Arial"/>
          <w:i/>
          <w:iCs/>
        </w:rPr>
        <w:t>OsNRT2.3a</w:t>
      </w:r>
      <w:r w:rsidRPr="0049578D">
        <w:rPr>
          <w:rFonts w:ascii="Arial" w:hAnsi="Arial" w:cs="Arial"/>
        </w:rPr>
        <w:t xml:space="preserve"> to support nitrate uptake across different concentration ranges (Yan </w:t>
      </w:r>
      <w:r w:rsidRPr="0049578D">
        <w:rPr>
          <w:rFonts w:ascii="Arial" w:hAnsi="Arial" w:cs="Arial"/>
          <w:i/>
          <w:iCs/>
        </w:rPr>
        <w:t>et al</w:t>
      </w:r>
      <w:r w:rsidRPr="0049578D">
        <w:rPr>
          <w:rFonts w:ascii="Arial" w:hAnsi="Arial" w:cs="Arial"/>
        </w:rPr>
        <w:t xml:space="preserve">., 2011). Therefore, simply increasing the abundance of one transporter is not always sufficient; the expression pattern must also remain compatible with that of its functional partner. This point is important for promoter engineering because it shifts the focus from maximizing transcript abundance to maintaining coordinated expression within a transporter module. Such a view is consistent with the broader understanding of NUE as an integrated trait involving uptake, translocation, allocation and remobilization rather than a single-gene output (Xu, Fan and Miller, 2012; Fan </w:t>
      </w:r>
      <w:r w:rsidRPr="0049578D">
        <w:rPr>
          <w:rFonts w:ascii="Arial" w:hAnsi="Arial" w:cs="Arial"/>
          <w:i/>
          <w:iCs/>
        </w:rPr>
        <w:t>et al</w:t>
      </w:r>
      <w:r w:rsidRPr="0049578D">
        <w:rPr>
          <w:rFonts w:ascii="Arial" w:hAnsi="Arial" w:cs="Arial"/>
        </w:rPr>
        <w:t>., 2017).</w:t>
      </w:r>
    </w:p>
    <w:p w14:paraId="26082026" w14:textId="77777777" w:rsidR="0049578D" w:rsidRPr="0049578D" w:rsidRDefault="0049578D" w:rsidP="0049578D">
      <w:pPr>
        <w:jc w:val="both"/>
        <w:rPr>
          <w:rFonts w:ascii="Arial" w:hAnsi="Arial" w:cs="Arial"/>
        </w:rPr>
      </w:pPr>
      <w:r w:rsidRPr="0049578D">
        <w:rPr>
          <w:rFonts w:ascii="Arial" w:hAnsi="Arial" w:cs="Arial"/>
        </w:rPr>
        <w:t xml:space="preserve">A clear example of this strategy was provided by Chen </w:t>
      </w:r>
      <w:r w:rsidRPr="0049578D">
        <w:rPr>
          <w:rFonts w:ascii="Arial" w:hAnsi="Arial" w:cs="Arial"/>
          <w:i/>
          <w:iCs/>
        </w:rPr>
        <w:t>et al.</w:t>
      </w:r>
      <w:r w:rsidRPr="0049578D">
        <w:rPr>
          <w:rFonts w:ascii="Arial" w:hAnsi="Arial" w:cs="Arial"/>
        </w:rPr>
        <w:t xml:space="preserve"> (2016), who transformed rice with the open reading frame of </w:t>
      </w:r>
      <w:r w:rsidRPr="0049578D">
        <w:rPr>
          <w:rFonts w:ascii="Arial" w:hAnsi="Arial" w:cs="Arial"/>
          <w:i/>
          <w:iCs/>
        </w:rPr>
        <w:t>OsNRT2.1</w:t>
      </w:r>
      <w:r w:rsidRPr="0049578D">
        <w:rPr>
          <w:rFonts w:ascii="Arial" w:hAnsi="Arial" w:cs="Arial"/>
        </w:rPr>
        <w:t xml:space="preserve"> under the control of the </w:t>
      </w:r>
      <w:r w:rsidRPr="0049578D">
        <w:rPr>
          <w:rFonts w:ascii="Arial" w:hAnsi="Arial" w:cs="Arial"/>
          <w:i/>
          <w:iCs/>
        </w:rPr>
        <w:t>OsNAR2.1</w:t>
      </w:r>
      <w:r w:rsidRPr="0049578D">
        <w:rPr>
          <w:rFonts w:ascii="Arial" w:hAnsi="Arial" w:cs="Arial"/>
        </w:rPr>
        <w:t xml:space="preserve"> promoter in order to modify the </w:t>
      </w:r>
      <w:proofErr w:type="spellStart"/>
      <w:r w:rsidRPr="0049578D">
        <w:rPr>
          <w:rFonts w:ascii="Arial" w:hAnsi="Arial" w:cs="Arial"/>
        </w:rPr>
        <w:t>coexpression</w:t>
      </w:r>
      <w:proofErr w:type="spellEnd"/>
      <w:r w:rsidRPr="0049578D">
        <w:rPr>
          <w:rFonts w:ascii="Arial" w:hAnsi="Arial" w:cs="Arial"/>
        </w:rPr>
        <w:t xml:space="preserve"> of </w:t>
      </w:r>
      <w:r w:rsidRPr="0049578D">
        <w:rPr>
          <w:rFonts w:ascii="Arial" w:hAnsi="Arial" w:cs="Arial"/>
          <w:i/>
          <w:iCs/>
        </w:rPr>
        <w:t>OsNRT2.1</w:t>
      </w:r>
      <w:r w:rsidRPr="0049578D">
        <w:rPr>
          <w:rFonts w:ascii="Arial" w:hAnsi="Arial" w:cs="Arial"/>
        </w:rPr>
        <w:t xml:space="preserve"> and </w:t>
      </w:r>
      <w:r w:rsidRPr="0049578D">
        <w:rPr>
          <w:rFonts w:ascii="Arial" w:hAnsi="Arial" w:cs="Arial"/>
          <w:i/>
          <w:iCs/>
        </w:rPr>
        <w:t>OsNAR2.1</w:t>
      </w:r>
      <w:r w:rsidRPr="0049578D">
        <w:rPr>
          <w:rFonts w:ascii="Arial" w:hAnsi="Arial" w:cs="Arial"/>
        </w:rPr>
        <w:t xml:space="preserve"> in vivo. This design is central to the strategy because the objective was not merely to increase </w:t>
      </w:r>
      <w:r w:rsidRPr="0049578D">
        <w:rPr>
          <w:rFonts w:ascii="Arial" w:hAnsi="Arial" w:cs="Arial"/>
          <w:i/>
          <w:iCs/>
        </w:rPr>
        <w:t>OsNRT2.1</w:t>
      </w:r>
      <w:r w:rsidRPr="0049578D">
        <w:rPr>
          <w:rFonts w:ascii="Arial" w:hAnsi="Arial" w:cs="Arial"/>
        </w:rPr>
        <w:t xml:space="preserve"> expression, but to align its expression more effectively with that of its functional partner </w:t>
      </w:r>
      <w:r w:rsidRPr="0049578D">
        <w:rPr>
          <w:rFonts w:ascii="Arial" w:hAnsi="Arial" w:cs="Arial"/>
          <w:i/>
          <w:iCs/>
        </w:rPr>
        <w:t>OsNAR2.1</w:t>
      </w:r>
      <w:r w:rsidRPr="0049578D">
        <w:rPr>
          <w:rFonts w:ascii="Arial" w:hAnsi="Arial" w:cs="Arial"/>
        </w:rPr>
        <w:t xml:space="preserve"> (Chen </w:t>
      </w:r>
      <w:r w:rsidRPr="0049578D">
        <w:rPr>
          <w:rFonts w:ascii="Arial" w:hAnsi="Arial" w:cs="Arial"/>
          <w:i/>
          <w:iCs/>
        </w:rPr>
        <w:t>et al</w:t>
      </w:r>
      <w:r w:rsidRPr="0049578D">
        <w:rPr>
          <w:rFonts w:ascii="Arial" w:hAnsi="Arial" w:cs="Arial"/>
        </w:rPr>
        <w:t xml:space="preserve">., 2016). In the same study, the authors compared this construct with constitutive expression of </w:t>
      </w:r>
      <w:r w:rsidRPr="0049578D">
        <w:rPr>
          <w:rFonts w:ascii="Arial" w:hAnsi="Arial" w:cs="Arial"/>
          <w:i/>
          <w:iCs/>
        </w:rPr>
        <w:t>OsNRT2.1</w:t>
      </w:r>
      <w:r w:rsidRPr="0049578D">
        <w:rPr>
          <w:rFonts w:ascii="Arial" w:hAnsi="Arial" w:cs="Arial"/>
        </w:rPr>
        <w:t xml:space="preserve"> driven by a ubiquitin promoter and showed that promoter choice strongly influenced agronomic outcome. While both constructs increased biomass, </w:t>
      </w:r>
      <w:r w:rsidRPr="0049578D">
        <w:rPr>
          <w:rFonts w:ascii="Arial" w:hAnsi="Arial" w:cs="Arial"/>
          <w:i/>
          <w:iCs/>
        </w:rPr>
        <w:t>OsNAR2.1</w:t>
      </w:r>
      <w:r w:rsidRPr="0049578D">
        <w:rPr>
          <w:rFonts w:ascii="Arial" w:hAnsi="Arial" w:cs="Arial"/>
        </w:rPr>
        <w:t xml:space="preserve">-promoter-driven expression produced better yield and higher agronomic NUE, whereas constitutive ubiquitin-driven expression reduced ANUE despite increased biomass. The </w:t>
      </w:r>
      <w:r w:rsidRPr="0049578D">
        <w:rPr>
          <w:rFonts w:ascii="Arial" w:hAnsi="Arial" w:cs="Arial"/>
          <w:i/>
          <w:iCs/>
        </w:rPr>
        <w:t>OsNAR2.1</w:t>
      </w:r>
      <w:r w:rsidRPr="0049578D">
        <w:rPr>
          <w:rFonts w:ascii="Arial" w:hAnsi="Arial" w:cs="Arial"/>
        </w:rPr>
        <w:t xml:space="preserve"> promoter also raised </w:t>
      </w:r>
      <w:r w:rsidRPr="0049578D">
        <w:rPr>
          <w:rFonts w:ascii="Arial" w:hAnsi="Arial" w:cs="Arial"/>
          <w:i/>
          <w:iCs/>
        </w:rPr>
        <w:t>OsNRT2.1</w:t>
      </w:r>
      <w:r w:rsidRPr="0049578D">
        <w:rPr>
          <w:rFonts w:ascii="Arial" w:hAnsi="Arial" w:cs="Arial"/>
        </w:rPr>
        <w:t xml:space="preserve"> expression mainly in roots, leaf sheaths and internodes rather than broadly across all organs, consistent with the intended nitrate-responsive and tissue-restricted expression pattern (Chen </w:t>
      </w:r>
      <w:r w:rsidRPr="0049578D">
        <w:rPr>
          <w:rFonts w:ascii="Arial" w:hAnsi="Arial" w:cs="Arial"/>
          <w:i/>
          <w:iCs/>
        </w:rPr>
        <w:t>et al</w:t>
      </w:r>
      <w:r w:rsidRPr="0049578D">
        <w:rPr>
          <w:rFonts w:ascii="Arial" w:hAnsi="Arial" w:cs="Arial"/>
        </w:rPr>
        <w:t>., 2016).</w:t>
      </w:r>
    </w:p>
    <w:p w14:paraId="20C62B59" w14:textId="77777777" w:rsidR="0049578D" w:rsidRDefault="0049578D" w:rsidP="0049578D">
      <w:pPr>
        <w:jc w:val="both"/>
        <w:rPr>
          <w:rFonts w:ascii="Arial" w:hAnsi="Arial" w:cs="Arial"/>
        </w:rPr>
      </w:pPr>
      <w:r w:rsidRPr="0049578D">
        <w:rPr>
          <w:rFonts w:ascii="Arial" w:hAnsi="Arial" w:cs="Arial"/>
        </w:rPr>
        <w:t xml:space="preserve">This advantage appears to result from a more favorable </w:t>
      </w:r>
      <w:proofErr w:type="spellStart"/>
      <w:r w:rsidRPr="0049578D">
        <w:rPr>
          <w:rFonts w:ascii="Arial" w:hAnsi="Arial" w:cs="Arial"/>
        </w:rPr>
        <w:t>coexpression</w:t>
      </w:r>
      <w:proofErr w:type="spellEnd"/>
      <w:r w:rsidRPr="0049578D">
        <w:rPr>
          <w:rFonts w:ascii="Arial" w:hAnsi="Arial" w:cs="Arial"/>
        </w:rPr>
        <w:t xml:space="preserve"> balance between </w:t>
      </w:r>
      <w:r w:rsidRPr="0049578D">
        <w:rPr>
          <w:rFonts w:ascii="Arial" w:hAnsi="Arial" w:cs="Arial"/>
          <w:i/>
          <w:iCs/>
        </w:rPr>
        <w:t>OsNRT2.1</w:t>
      </w:r>
      <w:r w:rsidRPr="0049578D">
        <w:rPr>
          <w:rFonts w:ascii="Arial" w:hAnsi="Arial" w:cs="Arial"/>
        </w:rPr>
        <w:t xml:space="preserve"> and </w:t>
      </w:r>
      <w:r w:rsidRPr="0049578D">
        <w:rPr>
          <w:rFonts w:ascii="Arial" w:hAnsi="Arial" w:cs="Arial"/>
          <w:i/>
          <w:iCs/>
        </w:rPr>
        <w:t>OsNAR2.1</w:t>
      </w:r>
      <w:r w:rsidRPr="0049578D">
        <w:rPr>
          <w:rFonts w:ascii="Arial" w:hAnsi="Arial" w:cs="Arial"/>
        </w:rPr>
        <w:t xml:space="preserve">, particularly in culms and roots, where nitrate transport and internal nitrogen movement are important for later productivity. Chen </w:t>
      </w:r>
      <w:r w:rsidRPr="0049578D">
        <w:rPr>
          <w:rFonts w:ascii="Arial" w:hAnsi="Arial" w:cs="Arial"/>
          <w:i/>
          <w:iCs/>
        </w:rPr>
        <w:t>et al.</w:t>
      </w:r>
      <w:r w:rsidRPr="0049578D">
        <w:rPr>
          <w:rFonts w:ascii="Arial" w:hAnsi="Arial" w:cs="Arial"/>
        </w:rPr>
        <w:t xml:space="preserve"> (2016) suggested that constitutive overexpression disrupted the normal expression ratio between the transporter and its partner, whereas promoter-driven expression maintained a more effective coordination between them. This was associated with improved dry matter transfer and nitrogen translocation to grain in the promoter-driven expression lines, indicating that promoter engineering can enhance NUE not simply by increasing transporter abundance, but by optimizing the expression context in which that transporter functions (Chen </w:t>
      </w:r>
      <w:r w:rsidRPr="0049578D">
        <w:rPr>
          <w:rFonts w:ascii="Arial" w:hAnsi="Arial" w:cs="Arial"/>
          <w:i/>
          <w:iCs/>
        </w:rPr>
        <w:t>et al</w:t>
      </w:r>
      <w:r w:rsidRPr="0049578D">
        <w:rPr>
          <w:rFonts w:ascii="Arial" w:hAnsi="Arial" w:cs="Arial"/>
        </w:rPr>
        <w:t>., 2016).</w:t>
      </w:r>
    </w:p>
    <w:p w14:paraId="4C1A4134" w14:textId="77777777" w:rsidR="00EC03C7" w:rsidRPr="0049578D" w:rsidRDefault="00EC03C7" w:rsidP="0049578D">
      <w:pPr>
        <w:jc w:val="both"/>
        <w:rPr>
          <w:rFonts w:ascii="Arial" w:hAnsi="Arial" w:cs="Arial"/>
        </w:rPr>
      </w:pPr>
    </w:p>
    <w:p w14:paraId="6D79AB21" w14:textId="6FF6A2E2" w:rsidR="0049578D" w:rsidRPr="00EC03C7" w:rsidRDefault="00EC03C7" w:rsidP="0049578D">
      <w:pPr>
        <w:jc w:val="both"/>
        <w:rPr>
          <w:rFonts w:ascii="Arial" w:hAnsi="Arial" w:cs="Arial"/>
          <w:b/>
          <w:bCs/>
          <w:sz w:val="22"/>
          <w:szCs w:val="22"/>
        </w:rPr>
      </w:pPr>
      <w:bookmarkStart w:id="1" w:name="_Hlk225518483"/>
      <w:r w:rsidRPr="00EC03C7">
        <w:rPr>
          <w:rFonts w:ascii="Arial" w:hAnsi="Arial" w:cs="Arial"/>
          <w:b/>
          <w:bCs/>
          <w:sz w:val="22"/>
          <w:szCs w:val="22"/>
        </w:rPr>
        <w:t>6.3 GENOME EDITING STRATEGIES TO IMPROVE NUE</w:t>
      </w:r>
    </w:p>
    <w:p w14:paraId="6FA6FADC" w14:textId="77777777" w:rsidR="0049578D" w:rsidRPr="0049578D" w:rsidRDefault="0049578D" w:rsidP="0049578D">
      <w:pPr>
        <w:jc w:val="both"/>
        <w:rPr>
          <w:rFonts w:ascii="Arial" w:hAnsi="Arial" w:cs="Arial"/>
        </w:rPr>
      </w:pPr>
      <w:r w:rsidRPr="0049578D">
        <w:rPr>
          <w:rFonts w:ascii="Arial" w:hAnsi="Arial" w:cs="Arial"/>
        </w:rPr>
        <w:t xml:space="preserve">Among the more precise molecular approaches now available for NUE improvement, genome editing is especially significant because it permits targeted modification of native genes involved in nitrogen acquisition, utilization, and productivity-related traits (Lebedev </w:t>
      </w:r>
      <w:r w:rsidRPr="0049578D">
        <w:rPr>
          <w:rFonts w:ascii="Arial" w:hAnsi="Arial" w:cs="Arial"/>
          <w:i/>
          <w:iCs/>
        </w:rPr>
        <w:t>et al</w:t>
      </w:r>
      <w:r w:rsidRPr="0049578D">
        <w:rPr>
          <w:rFonts w:ascii="Arial" w:hAnsi="Arial" w:cs="Arial"/>
        </w:rPr>
        <w:t xml:space="preserve">., 2021;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2022; Chen </w:t>
      </w:r>
      <w:r w:rsidRPr="0049578D">
        <w:rPr>
          <w:rFonts w:ascii="Arial" w:hAnsi="Arial" w:cs="Arial"/>
          <w:i/>
          <w:iCs/>
        </w:rPr>
        <w:t>et al</w:t>
      </w:r>
      <w:r w:rsidRPr="0049578D">
        <w:rPr>
          <w:rFonts w:ascii="Arial" w:hAnsi="Arial" w:cs="Arial"/>
        </w:rPr>
        <w:t xml:space="preserve">., 2024). In contrast to conventional transgenic approaches, which often rely on ectopic expression of introduced constructs, genome editing acts directly on native genomic sequences and can therefore be used to generate targeted loss-of-function, gain-of-function, or allele-modified variants within the plant’s existing regulatory framework (Mao </w:t>
      </w:r>
      <w:r w:rsidRPr="0049578D">
        <w:rPr>
          <w:rFonts w:ascii="Arial" w:hAnsi="Arial" w:cs="Arial"/>
          <w:i/>
          <w:iCs/>
        </w:rPr>
        <w:t>et al</w:t>
      </w:r>
      <w:r w:rsidRPr="0049578D">
        <w:rPr>
          <w:rFonts w:ascii="Arial" w:hAnsi="Arial" w:cs="Arial"/>
        </w:rPr>
        <w:t xml:space="preserve">., 2019; Abdallah </w:t>
      </w:r>
      <w:r w:rsidRPr="0049578D">
        <w:rPr>
          <w:rFonts w:ascii="Arial" w:hAnsi="Arial" w:cs="Arial"/>
          <w:i/>
          <w:iCs/>
        </w:rPr>
        <w:t>et al</w:t>
      </w:r>
      <w:r w:rsidRPr="0049578D">
        <w:rPr>
          <w:rFonts w:ascii="Arial" w:hAnsi="Arial" w:cs="Arial"/>
        </w:rPr>
        <w:t xml:space="preserve">., 2021). This is particularly relevant for NUE because nitrogen efficiency is a complex trait governed by multiple interconnected developmental and metabolic processes rather than by a single pathway, and recent reviews have accordingly highlighted genome editing as a promising route for identifying and manipulating key genetic determinants of nutrient acquisition and utilization in crops (Lebedev </w:t>
      </w:r>
      <w:r w:rsidRPr="0049578D">
        <w:rPr>
          <w:rFonts w:ascii="Arial" w:hAnsi="Arial" w:cs="Arial"/>
          <w:i/>
          <w:iCs/>
        </w:rPr>
        <w:t>et al</w:t>
      </w:r>
      <w:r w:rsidRPr="0049578D">
        <w:rPr>
          <w:rFonts w:ascii="Arial" w:hAnsi="Arial" w:cs="Arial"/>
        </w:rPr>
        <w:t xml:space="preserve">., 2021;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2022; Chen </w:t>
      </w:r>
      <w:r w:rsidRPr="0049578D">
        <w:rPr>
          <w:rFonts w:ascii="Arial" w:hAnsi="Arial" w:cs="Arial"/>
          <w:i/>
          <w:iCs/>
        </w:rPr>
        <w:t>et al</w:t>
      </w:r>
      <w:r w:rsidRPr="0049578D">
        <w:rPr>
          <w:rFonts w:ascii="Arial" w:hAnsi="Arial" w:cs="Arial"/>
        </w:rPr>
        <w:t>., 2024).</w:t>
      </w:r>
    </w:p>
    <w:p w14:paraId="73F2BD15" w14:textId="77777777" w:rsidR="0049578D" w:rsidRPr="0049578D" w:rsidRDefault="0049578D" w:rsidP="0049578D">
      <w:pPr>
        <w:jc w:val="both"/>
        <w:rPr>
          <w:rFonts w:ascii="Arial" w:hAnsi="Arial" w:cs="Arial"/>
        </w:rPr>
      </w:pPr>
      <w:r w:rsidRPr="0049578D">
        <w:rPr>
          <w:rFonts w:ascii="Arial" w:hAnsi="Arial" w:cs="Arial"/>
        </w:rPr>
        <w:t xml:space="preserve">The development of CRISPR/Cas systems has further expanded the scope of plant genome engineering by enabling efficient and site-specific mutagenesis across diverse crop species. In plants, CRISPR/Cas9 is most commonly used to introduce small insertions or deletions through non-homologous end joining, thereby generating loss-of-function alleles, although more precise sequence modifications can also be achieved depending on the editing strategy employed (Mao </w:t>
      </w:r>
      <w:r w:rsidRPr="0049578D">
        <w:rPr>
          <w:rFonts w:ascii="Arial" w:hAnsi="Arial" w:cs="Arial"/>
          <w:i/>
          <w:iCs/>
        </w:rPr>
        <w:t>et al</w:t>
      </w:r>
      <w:r w:rsidRPr="0049578D">
        <w:rPr>
          <w:rFonts w:ascii="Arial" w:hAnsi="Arial" w:cs="Arial"/>
        </w:rPr>
        <w:t xml:space="preserve">., 2019). Because many genes involved in nitrogen metabolism and </w:t>
      </w:r>
      <w:proofErr w:type="spellStart"/>
      <w:r w:rsidRPr="0049578D">
        <w:rPr>
          <w:rFonts w:ascii="Arial" w:hAnsi="Arial" w:cs="Arial"/>
        </w:rPr>
        <w:t>signalling</w:t>
      </w:r>
      <w:proofErr w:type="spellEnd"/>
      <w:r w:rsidRPr="0049578D">
        <w:rPr>
          <w:rFonts w:ascii="Arial" w:hAnsi="Arial" w:cs="Arial"/>
        </w:rPr>
        <w:t xml:space="preserve"> act within tightly regulated networks, </w:t>
      </w:r>
      <w:r w:rsidRPr="0049578D">
        <w:rPr>
          <w:rFonts w:ascii="Arial" w:hAnsi="Arial" w:cs="Arial"/>
        </w:rPr>
        <w:lastRenderedPageBreak/>
        <w:t>genome editing provides an opportunity to dissect and manipulate specific regulatory nodes that influence nitrogen-responsive growth and productivity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2022).</w:t>
      </w:r>
    </w:p>
    <w:bookmarkEnd w:id="1"/>
    <w:p w14:paraId="424CD5E0" w14:textId="77777777" w:rsidR="0049578D" w:rsidRDefault="0049578D" w:rsidP="0049578D">
      <w:pPr>
        <w:jc w:val="both"/>
        <w:rPr>
          <w:rFonts w:ascii="Arial" w:hAnsi="Arial" w:cs="Arial"/>
        </w:rPr>
      </w:pPr>
      <w:r w:rsidRPr="0049578D">
        <w:rPr>
          <w:rFonts w:ascii="Arial" w:hAnsi="Arial" w:cs="Arial"/>
        </w:rPr>
        <w:t>Importantly, genome-editing approaches for NUE improvement can be broadly categorized based on their functional outcomes. One class of strategies focuses on enhancing the activity of positive regulators, for example by relieving post-transcriptional repression or modifying regulatory sequences that limit gene expression. A second class involves the removal of negative regulators, in which loss-of-function mutations eliminate endogenous constraints on nitrogen utilization, senescence, or yield formation. This functional distinction is increasingly recognized in studies of nutrient-use efficiency, where both activation of beneficial pathways and removal of inhibitory controls contribute to improved agronomic performance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2022).</w:t>
      </w:r>
    </w:p>
    <w:p w14:paraId="56D4F368" w14:textId="77777777" w:rsidR="00EC03C7" w:rsidRPr="0049578D" w:rsidRDefault="00EC03C7" w:rsidP="0049578D">
      <w:pPr>
        <w:jc w:val="both"/>
        <w:rPr>
          <w:rFonts w:ascii="Arial" w:hAnsi="Arial" w:cs="Arial"/>
        </w:rPr>
      </w:pPr>
    </w:p>
    <w:p w14:paraId="18B5C6F9" w14:textId="23B25787" w:rsidR="0049578D" w:rsidRPr="0049578D" w:rsidRDefault="00EC03C7" w:rsidP="0049578D">
      <w:pPr>
        <w:jc w:val="both"/>
        <w:rPr>
          <w:rFonts w:ascii="Arial" w:hAnsi="Arial" w:cs="Arial"/>
          <w:b/>
          <w:bCs/>
        </w:rPr>
      </w:pPr>
      <w:r>
        <w:rPr>
          <w:rFonts w:ascii="Arial" w:hAnsi="Arial" w:cs="Arial"/>
          <w:b/>
          <w:bCs/>
        </w:rPr>
        <w:t xml:space="preserve">6.3.1 </w:t>
      </w:r>
      <w:r w:rsidRPr="0049578D">
        <w:rPr>
          <w:rFonts w:ascii="Arial" w:hAnsi="Arial" w:cs="Arial"/>
          <w:b/>
          <w:bCs/>
        </w:rPr>
        <w:t xml:space="preserve">EDITING TO RELIEVE </w:t>
      </w:r>
      <w:r>
        <w:rPr>
          <w:rFonts w:ascii="Arial" w:hAnsi="Arial" w:cs="Arial"/>
          <w:b/>
          <w:bCs/>
        </w:rPr>
        <w:t>mi</w:t>
      </w:r>
      <w:r w:rsidRPr="0049578D">
        <w:rPr>
          <w:rFonts w:ascii="Arial" w:hAnsi="Arial" w:cs="Arial"/>
          <w:b/>
          <w:bCs/>
        </w:rPr>
        <w:t>RNA REPRESSION</w:t>
      </w:r>
    </w:p>
    <w:p w14:paraId="109EF4B5" w14:textId="77777777" w:rsidR="0049578D" w:rsidRPr="0049578D" w:rsidRDefault="0049578D" w:rsidP="0049578D">
      <w:pPr>
        <w:jc w:val="both"/>
        <w:rPr>
          <w:rFonts w:ascii="Arial" w:hAnsi="Arial" w:cs="Arial"/>
        </w:rPr>
      </w:pPr>
      <w:r w:rsidRPr="0049578D">
        <w:rPr>
          <w:rFonts w:ascii="Arial" w:hAnsi="Arial" w:cs="Arial"/>
        </w:rPr>
        <w:t xml:space="preserve">MicroRNAs (miRNAs) are small non-coding RNAs that act as post-transcriptional regulators of gene expression, and in plants many of their targets encode transcription factors involved in growth, development, and stress-responsive pathways (Rogers and Chen, 2013; Samad </w:t>
      </w:r>
      <w:r w:rsidRPr="0049578D">
        <w:rPr>
          <w:rFonts w:ascii="Arial" w:hAnsi="Arial" w:cs="Arial"/>
          <w:i/>
          <w:iCs/>
        </w:rPr>
        <w:t>et al</w:t>
      </w:r>
      <w:r w:rsidRPr="0049578D">
        <w:rPr>
          <w:rFonts w:ascii="Arial" w:hAnsi="Arial" w:cs="Arial"/>
        </w:rPr>
        <w:t xml:space="preserve">., 2017). miRNA-mediated regulation is also relevant to nutrient biology, because plant miRNAs have been implicated in the control of nitrogen uptake, utilization, and remobilization under nutrient-limiting conditions (Nguyen </w:t>
      </w:r>
      <w:r w:rsidRPr="0049578D">
        <w:rPr>
          <w:rFonts w:ascii="Arial" w:hAnsi="Arial" w:cs="Arial"/>
          <w:i/>
          <w:iCs/>
        </w:rPr>
        <w:t>et al</w:t>
      </w:r>
      <w:r w:rsidRPr="0049578D">
        <w:rPr>
          <w:rFonts w:ascii="Arial" w:hAnsi="Arial" w:cs="Arial"/>
        </w:rPr>
        <w:t xml:space="preserve">., 2015; </w:t>
      </w:r>
      <w:proofErr w:type="spellStart"/>
      <w:r w:rsidRPr="0049578D">
        <w:rPr>
          <w:rFonts w:ascii="Arial" w:hAnsi="Arial" w:cs="Arial"/>
        </w:rPr>
        <w:t>Zuluaga</w:t>
      </w:r>
      <w:proofErr w:type="spellEnd"/>
      <w:r w:rsidRPr="0049578D">
        <w:rPr>
          <w:rFonts w:ascii="Arial" w:hAnsi="Arial" w:cs="Arial"/>
        </w:rPr>
        <w:t xml:space="preserve"> and </w:t>
      </w:r>
      <w:proofErr w:type="spellStart"/>
      <w:r w:rsidRPr="0049578D">
        <w:rPr>
          <w:rFonts w:ascii="Arial" w:hAnsi="Arial" w:cs="Arial"/>
        </w:rPr>
        <w:t>Sonnante</w:t>
      </w:r>
      <w:proofErr w:type="spellEnd"/>
      <w:r w:rsidRPr="0049578D">
        <w:rPr>
          <w:rFonts w:ascii="Arial" w:hAnsi="Arial" w:cs="Arial"/>
        </w:rPr>
        <w:t>, 2019). In most cases, plant miRNAs bind to highly complementary recognition sites in target transcripts and repress gene expression by promoting transcript cleavage, although translational inhibition can also occur (Rogers and Chen, 2013</w:t>
      </w:r>
      <w:proofErr w:type="gramStart"/>
      <w:r w:rsidRPr="0049578D">
        <w:rPr>
          <w:rFonts w:ascii="Arial" w:hAnsi="Arial" w:cs="Arial"/>
        </w:rPr>
        <w:t>).This</w:t>
      </w:r>
      <w:proofErr w:type="gramEnd"/>
      <w:r w:rsidRPr="0049578D">
        <w:rPr>
          <w:rFonts w:ascii="Arial" w:hAnsi="Arial" w:cs="Arial"/>
        </w:rPr>
        <w:t xml:space="preserve"> regulatory mechanism can be exploited through genome editing. Whereas many CRISPR/Cas9 applications in plants have focused on generating indel-based knockout alleles through targeted mutagenesis (Mao </w:t>
      </w:r>
      <w:r w:rsidRPr="0049578D">
        <w:rPr>
          <w:rFonts w:ascii="Arial" w:hAnsi="Arial" w:cs="Arial"/>
          <w:i/>
          <w:iCs/>
        </w:rPr>
        <w:t>et al</w:t>
      </w:r>
      <w:r w:rsidRPr="0049578D">
        <w:rPr>
          <w:rFonts w:ascii="Arial" w:hAnsi="Arial" w:cs="Arial"/>
        </w:rPr>
        <w:t xml:space="preserve">., 2019), miRNA-target-site editing instead aims to introduce small in-frame changes within the miRNA recognition sequence while preserving the coding capacity of the target gene (Wang </w:t>
      </w:r>
      <w:r w:rsidRPr="0049578D">
        <w:rPr>
          <w:rFonts w:ascii="Arial" w:hAnsi="Arial" w:cs="Arial"/>
          <w:i/>
          <w:iCs/>
        </w:rPr>
        <w:t>et al</w:t>
      </w:r>
      <w:r w:rsidRPr="0049578D">
        <w:rPr>
          <w:rFonts w:ascii="Arial" w:hAnsi="Arial" w:cs="Arial"/>
        </w:rPr>
        <w:t>., 2022).</w:t>
      </w:r>
    </w:p>
    <w:p w14:paraId="3D1E8AB6" w14:textId="77777777" w:rsidR="0049578D" w:rsidRPr="0049578D" w:rsidRDefault="0049578D" w:rsidP="0049578D">
      <w:pPr>
        <w:jc w:val="both"/>
        <w:rPr>
          <w:rFonts w:ascii="Arial" w:hAnsi="Arial" w:cs="Arial"/>
        </w:rPr>
      </w:pPr>
      <w:r w:rsidRPr="0049578D">
        <w:rPr>
          <w:rFonts w:ascii="Arial" w:hAnsi="Arial" w:cs="Arial"/>
        </w:rPr>
        <w:t xml:space="preserve">As discussed earlier in this review, DELLA proteins restrain </w:t>
      </w:r>
      <w:r w:rsidRPr="0049578D">
        <w:rPr>
          <w:rFonts w:ascii="Arial" w:hAnsi="Arial" w:cs="Arial"/>
          <w:i/>
          <w:iCs/>
        </w:rPr>
        <w:t>GRF4</w:t>
      </w:r>
      <w:r w:rsidRPr="0049578D">
        <w:rPr>
          <w:rFonts w:ascii="Arial" w:hAnsi="Arial" w:cs="Arial"/>
        </w:rPr>
        <w:t xml:space="preserve">-mediated growth–metabolism coordination, thereby linking semi-dwarfism with reduced nitrogen responsiveness (Li </w:t>
      </w:r>
      <w:r w:rsidRPr="0049578D">
        <w:rPr>
          <w:rFonts w:ascii="Arial" w:hAnsi="Arial" w:cs="Arial"/>
          <w:i/>
          <w:iCs/>
        </w:rPr>
        <w:t>et al</w:t>
      </w:r>
      <w:r w:rsidRPr="0049578D">
        <w:rPr>
          <w:rFonts w:ascii="Arial" w:hAnsi="Arial" w:cs="Arial"/>
        </w:rPr>
        <w:t xml:space="preserve">., 2018). This suggests that increasing the relative abundance of </w:t>
      </w:r>
      <w:r w:rsidRPr="0049578D">
        <w:rPr>
          <w:rFonts w:ascii="Arial" w:hAnsi="Arial" w:cs="Arial"/>
          <w:i/>
          <w:iCs/>
        </w:rPr>
        <w:t>GRF4</w:t>
      </w:r>
      <w:r w:rsidRPr="0049578D">
        <w:rPr>
          <w:rFonts w:ascii="Arial" w:hAnsi="Arial" w:cs="Arial"/>
        </w:rPr>
        <w:t xml:space="preserve"> could help relieve DELLA-mediated repression. Consistent with this idea, a rare </w:t>
      </w:r>
      <w:r w:rsidRPr="0049578D">
        <w:rPr>
          <w:rFonts w:ascii="Arial" w:hAnsi="Arial" w:cs="Arial"/>
          <w:i/>
          <w:iCs/>
        </w:rPr>
        <w:t>GS2/OsGRF4</w:t>
      </w:r>
      <w:r w:rsidRPr="0049578D">
        <w:rPr>
          <w:rFonts w:ascii="Arial" w:hAnsi="Arial" w:cs="Arial"/>
        </w:rPr>
        <w:t xml:space="preserve"> allele carrying sequence variation in the miR396c recognition site was shown to elevate </w:t>
      </w:r>
      <w:r w:rsidRPr="0049578D">
        <w:rPr>
          <w:rFonts w:ascii="Arial" w:hAnsi="Arial" w:cs="Arial"/>
          <w:i/>
          <w:iCs/>
        </w:rPr>
        <w:t>GS2/OsGRF4</w:t>
      </w:r>
      <w:r w:rsidRPr="0049578D">
        <w:rPr>
          <w:rFonts w:ascii="Arial" w:hAnsi="Arial" w:cs="Arial"/>
        </w:rPr>
        <w:t xml:space="preserve"> expression and enhance grain size and grain yield in rice (Hu </w:t>
      </w:r>
      <w:r w:rsidRPr="0049578D">
        <w:rPr>
          <w:rFonts w:ascii="Arial" w:hAnsi="Arial" w:cs="Arial"/>
          <w:i/>
          <w:iCs/>
        </w:rPr>
        <w:t>et al</w:t>
      </w:r>
      <w:r w:rsidRPr="0049578D">
        <w:rPr>
          <w:rFonts w:ascii="Arial" w:hAnsi="Arial" w:cs="Arial"/>
        </w:rPr>
        <w:t xml:space="preserve">., 2015). Further work showed that increased </w:t>
      </w:r>
      <w:r w:rsidRPr="0049578D">
        <w:rPr>
          <w:rFonts w:ascii="Arial" w:hAnsi="Arial" w:cs="Arial"/>
          <w:i/>
          <w:iCs/>
        </w:rPr>
        <w:t>GRF4</w:t>
      </w:r>
      <w:r w:rsidRPr="0049578D">
        <w:rPr>
          <w:rFonts w:ascii="Arial" w:hAnsi="Arial" w:cs="Arial"/>
        </w:rPr>
        <w:t xml:space="preserve"> abundance in semi-dwarf Green Revolution backgrounds improved nitrogen use efficiency (NUE) and grain yield without altering the beneficial semi-dwarf phenotype, highlighting the importance of </w:t>
      </w:r>
      <w:r w:rsidRPr="0049578D">
        <w:rPr>
          <w:rFonts w:ascii="Arial" w:hAnsi="Arial" w:cs="Arial"/>
          <w:i/>
          <w:iCs/>
        </w:rPr>
        <w:t>GRF4</w:t>
      </w:r>
      <w:r w:rsidRPr="0049578D">
        <w:rPr>
          <w:rFonts w:ascii="Arial" w:hAnsi="Arial" w:cs="Arial"/>
        </w:rPr>
        <w:t xml:space="preserve"> dosage in coordinating nitrogen metabolism and productivity (Li </w:t>
      </w:r>
      <w:r w:rsidRPr="0049578D">
        <w:rPr>
          <w:rFonts w:ascii="Arial" w:hAnsi="Arial" w:cs="Arial"/>
          <w:i/>
          <w:iCs/>
        </w:rPr>
        <w:t>et al</w:t>
      </w:r>
      <w:r w:rsidRPr="0049578D">
        <w:rPr>
          <w:rFonts w:ascii="Arial" w:hAnsi="Arial" w:cs="Arial"/>
        </w:rPr>
        <w:t>., 2018).</w:t>
      </w:r>
    </w:p>
    <w:p w14:paraId="57BC427B" w14:textId="77777777" w:rsidR="0049578D" w:rsidRPr="0049578D" w:rsidRDefault="0049578D" w:rsidP="0049578D">
      <w:pPr>
        <w:jc w:val="both"/>
        <w:rPr>
          <w:rFonts w:ascii="Arial" w:hAnsi="Arial" w:cs="Arial"/>
          <w:i/>
          <w:iCs/>
        </w:rPr>
      </w:pPr>
      <w:r w:rsidRPr="0049578D">
        <w:rPr>
          <w:rFonts w:ascii="Arial" w:hAnsi="Arial" w:cs="Arial"/>
        </w:rPr>
        <w:t xml:space="preserve">Building on this biological framework, Wang </w:t>
      </w:r>
      <w:r w:rsidRPr="0049578D">
        <w:rPr>
          <w:rFonts w:ascii="Arial" w:hAnsi="Arial" w:cs="Arial"/>
          <w:i/>
          <w:iCs/>
        </w:rPr>
        <w:t>et al.</w:t>
      </w:r>
      <w:r w:rsidRPr="0049578D">
        <w:rPr>
          <w:rFonts w:ascii="Arial" w:hAnsi="Arial" w:cs="Arial"/>
        </w:rPr>
        <w:t xml:space="preserve"> (2022) designed a CRISPR/Cas9 strategy that specifically targeted the miR396 recognition site of </w:t>
      </w:r>
      <w:r w:rsidRPr="0049578D">
        <w:rPr>
          <w:rFonts w:ascii="Arial" w:hAnsi="Arial" w:cs="Arial"/>
          <w:i/>
          <w:iCs/>
        </w:rPr>
        <w:t>GS2/OsGRF4</w:t>
      </w:r>
      <w:r w:rsidRPr="0049578D">
        <w:rPr>
          <w:rFonts w:ascii="Arial" w:hAnsi="Arial" w:cs="Arial"/>
        </w:rPr>
        <w:t xml:space="preserve"> in the indica inbred line X12. Mechanistically, the objective was not to disrupt </w:t>
      </w:r>
      <w:r w:rsidRPr="0049578D">
        <w:rPr>
          <w:rFonts w:ascii="Arial" w:hAnsi="Arial" w:cs="Arial"/>
          <w:i/>
          <w:iCs/>
        </w:rPr>
        <w:t>GS2/OsGRF4</w:t>
      </w:r>
      <w:r w:rsidRPr="0049578D">
        <w:rPr>
          <w:rFonts w:ascii="Arial" w:hAnsi="Arial" w:cs="Arial"/>
        </w:rPr>
        <w:t xml:space="preserve"> function, but to recover an edited line (</w:t>
      </w:r>
      <w:r w:rsidRPr="0049578D">
        <w:rPr>
          <w:rFonts w:ascii="Arial" w:hAnsi="Arial" w:cs="Arial"/>
          <w:i/>
          <w:iCs/>
        </w:rPr>
        <w:t>GS2E</w:t>
      </w:r>
      <w:r w:rsidRPr="0049578D">
        <w:rPr>
          <w:rFonts w:ascii="Arial" w:hAnsi="Arial" w:cs="Arial"/>
        </w:rPr>
        <w:t>) that remained in-frame and therefore retained the basic activity of the encoded semi dwarf</w:t>
      </w:r>
      <w:r w:rsidRPr="0049578D">
        <w:rPr>
          <w:rFonts w:ascii="Arial" w:hAnsi="Arial" w:cs="Arial"/>
          <w:i/>
          <w:iCs/>
        </w:rPr>
        <w:t xml:space="preserve"> </w:t>
      </w:r>
      <w:r w:rsidRPr="0049578D">
        <w:rPr>
          <w:rFonts w:ascii="Arial" w:hAnsi="Arial" w:cs="Arial"/>
        </w:rPr>
        <w:t xml:space="preserve">protein while becoming less susceptible to miR396-mediated repression. The edited allele carried a 6-bp deletion together with a 1-bp substitution within the miR396-targeted sequence, resulting in only a limited amino-acid change rather than a frameshift mutation. This edited line showed a 1- to 2-fold increase in </w:t>
      </w:r>
      <w:r w:rsidRPr="0049578D">
        <w:rPr>
          <w:rFonts w:ascii="Arial" w:hAnsi="Arial" w:cs="Arial"/>
          <w:i/>
          <w:iCs/>
        </w:rPr>
        <w:t>GS2</w:t>
      </w:r>
      <w:r w:rsidRPr="0049578D">
        <w:rPr>
          <w:rFonts w:ascii="Arial" w:hAnsi="Arial" w:cs="Arial"/>
        </w:rPr>
        <w:t xml:space="preserve"> transcript abundance across tested organs, consistent with reduced post-transcriptional repression by miR396. Importantly, other CRISPR-derived </w:t>
      </w:r>
      <w:r w:rsidRPr="0049578D">
        <w:rPr>
          <w:rFonts w:ascii="Arial" w:hAnsi="Arial" w:cs="Arial"/>
          <w:i/>
          <w:iCs/>
        </w:rPr>
        <w:t>GS2</w:t>
      </w:r>
      <w:r w:rsidRPr="0049578D">
        <w:rPr>
          <w:rFonts w:ascii="Arial" w:hAnsi="Arial" w:cs="Arial"/>
        </w:rPr>
        <w:t xml:space="preserve"> lines carrying frameshift mutations showed reduced grain size, indicating that preservation of </w:t>
      </w:r>
      <w:r w:rsidRPr="0049578D">
        <w:rPr>
          <w:rFonts w:ascii="Arial" w:hAnsi="Arial" w:cs="Arial"/>
          <w:i/>
          <w:iCs/>
        </w:rPr>
        <w:t>GS2/OsGRF4</w:t>
      </w:r>
      <w:r w:rsidRPr="0049578D">
        <w:rPr>
          <w:rFonts w:ascii="Arial" w:hAnsi="Arial" w:cs="Arial"/>
        </w:rPr>
        <w:t xml:space="preserve"> function was essential for generating the beneficial phenotype. Thus, the mechanism exploited by Wang </w:t>
      </w:r>
      <w:r w:rsidRPr="0049578D">
        <w:rPr>
          <w:rFonts w:ascii="Arial" w:hAnsi="Arial" w:cs="Arial"/>
          <w:i/>
          <w:iCs/>
        </w:rPr>
        <w:t>et al.</w:t>
      </w:r>
      <w:r w:rsidRPr="0049578D">
        <w:rPr>
          <w:rFonts w:ascii="Arial" w:hAnsi="Arial" w:cs="Arial"/>
        </w:rPr>
        <w:t xml:space="preserve"> (2022) was not simple gene disruption, but precise editing of a regulatory target site to convert an endogenously repressed locus into a functional gain-of-function allele.</w:t>
      </w:r>
    </w:p>
    <w:p w14:paraId="6C4F44C5" w14:textId="3376530D" w:rsidR="0049578D" w:rsidRPr="0049578D" w:rsidRDefault="0049578D" w:rsidP="0049578D">
      <w:pPr>
        <w:jc w:val="both"/>
        <w:rPr>
          <w:rFonts w:ascii="Arial" w:hAnsi="Arial" w:cs="Arial"/>
          <w:b/>
          <w:bCs/>
        </w:rPr>
      </w:pPr>
      <w:r w:rsidRPr="0049578D">
        <w:rPr>
          <w:rFonts w:ascii="Arial" w:hAnsi="Arial" w:cs="Arial"/>
        </w:rPr>
        <w:br/>
      </w:r>
      <w:r w:rsidR="00EC03C7">
        <w:rPr>
          <w:rFonts w:ascii="Arial" w:hAnsi="Arial" w:cs="Arial"/>
          <w:b/>
          <w:bCs/>
        </w:rPr>
        <w:t xml:space="preserve">6.3.2 </w:t>
      </w:r>
      <w:r w:rsidR="00EC03C7" w:rsidRPr="0049578D">
        <w:rPr>
          <w:rFonts w:ascii="Arial" w:hAnsi="Arial" w:cs="Arial"/>
          <w:b/>
          <w:bCs/>
        </w:rPr>
        <w:t>KNOCKOUT OF NEGATIVE REGULATORS OF NUE</w:t>
      </w:r>
    </w:p>
    <w:p w14:paraId="380E1C79" w14:textId="77777777" w:rsidR="0049578D" w:rsidRPr="0049578D" w:rsidRDefault="0049578D" w:rsidP="0049578D">
      <w:pPr>
        <w:jc w:val="both"/>
        <w:rPr>
          <w:rFonts w:ascii="Arial" w:hAnsi="Arial" w:cs="Arial"/>
        </w:rPr>
      </w:pPr>
      <w:r w:rsidRPr="0049578D">
        <w:rPr>
          <w:rFonts w:ascii="Arial" w:hAnsi="Arial" w:cs="Arial"/>
        </w:rPr>
        <w:t>Another important genome-editing strategy for improving nitrogen use efficiency (NUE) is the knockout of negative regulators, in which loss-of-function mutations are introduced into genes whose normal activity constrains nitrogen utilization, senescence, or yield performance under nitrogen-limiting conditions. This approach differs fundamentally from gain-of-function strategies, as the objective is not to enhance the activity of a favorable regulator, but to remove endogenous repressive factors that limit agronomic efficiency. Recent studies on nutrient-use efficiency have emphasized that both positive and negative regulatory components contribute to nitrogen-responsive traits, and that targeted disruption of negative regulators represents a viable strategy for crop improvement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2022).</w:t>
      </w:r>
    </w:p>
    <w:p w14:paraId="10671ECF" w14:textId="77777777" w:rsidR="0049578D" w:rsidRPr="0049578D" w:rsidRDefault="0049578D" w:rsidP="0049578D">
      <w:pPr>
        <w:jc w:val="both"/>
        <w:rPr>
          <w:rFonts w:ascii="Arial" w:hAnsi="Arial" w:cs="Arial"/>
        </w:rPr>
      </w:pPr>
      <w:r w:rsidRPr="0049578D">
        <w:rPr>
          <w:rFonts w:ascii="Arial" w:hAnsi="Arial" w:cs="Arial"/>
        </w:rPr>
        <w:t xml:space="preserve">The rationale for this approach is well illustrated by studies on </w:t>
      </w:r>
      <w:r w:rsidRPr="0049578D">
        <w:rPr>
          <w:rFonts w:ascii="Arial" w:hAnsi="Arial" w:cs="Arial"/>
          <w:i/>
          <w:iCs/>
        </w:rPr>
        <w:t>ARE1</w:t>
      </w:r>
      <w:r w:rsidRPr="0049578D">
        <w:rPr>
          <w:rFonts w:ascii="Arial" w:hAnsi="Arial" w:cs="Arial"/>
        </w:rPr>
        <w:t xml:space="preserve"> in rice. In this system, </w:t>
      </w:r>
      <w:r w:rsidRPr="0049578D">
        <w:rPr>
          <w:rFonts w:ascii="Arial" w:hAnsi="Arial" w:cs="Arial"/>
          <w:i/>
          <w:iCs/>
        </w:rPr>
        <w:t>ABC1</w:t>
      </w:r>
      <w:r w:rsidRPr="0049578D">
        <w:rPr>
          <w:rFonts w:ascii="Arial" w:hAnsi="Arial" w:cs="Arial"/>
        </w:rPr>
        <w:t xml:space="preserve"> encodes ferredoxin-dependent glutamate synthase (</w:t>
      </w:r>
      <w:proofErr w:type="spellStart"/>
      <w:r w:rsidRPr="0049578D">
        <w:rPr>
          <w:rFonts w:ascii="Arial" w:hAnsi="Arial" w:cs="Arial"/>
        </w:rPr>
        <w:t>Fd</w:t>
      </w:r>
      <w:proofErr w:type="spellEnd"/>
      <w:r w:rsidRPr="0049578D">
        <w:rPr>
          <w:rFonts w:ascii="Arial" w:hAnsi="Arial" w:cs="Arial"/>
        </w:rPr>
        <w:t xml:space="preserve">-GOGAT), a key enzyme of the GS–GOGAT cycle required for nitrogen assimilation, and weak </w:t>
      </w:r>
      <w:r w:rsidRPr="0049578D">
        <w:rPr>
          <w:rFonts w:ascii="Arial" w:hAnsi="Arial" w:cs="Arial"/>
          <w:i/>
          <w:iCs/>
        </w:rPr>
        <w:t>abc1</w:t>
      </w:r>
      <w:r w:rsidRPr="0049578D">
        <w:rPr>
          <w:rFonts w:ascii="Arial" w:hAnsi="Arial" w:cs="Arial"/>
        </w:rPr>
        <w:t xml:space="preserve"> mutants exhibit reduced </w:t>
      </w:r>
      <w:proofErr w:type="spellStart"/>
      <w:r w:rsidRPr="0049578D">
        <w:rPr>
          <w:rFonts w:ascii="Arial" w:hAnsi="Arial" w:cs="Arial"/>
        </w:rPr>
        <w:t>Fd</w:t>
      </w:r>
      <w:proofErr w:type="spellEnd"/>
      <w:r w:rsidRPr="0049578D">
        <w:rPr>
          <w:rFonts w:ascii="Arial" w:hAnsi="Arial" w:cs="Arial"/>
        </w:rPr>
        <w:t xml:space="preserve">-GOGAT activity and impaired nitrogen assimilation (Wang </w:t>
      </w:r>
      <w:r w:rsidRPr="0049578D">
        <w:rPr>
          <w:rFonts w:ascii="Arial" w:hAnsi="Arial" w:cs="Arial"/>
          <w:i/>
          <w:iCs/>
        </w:rPr>
        <w:t>et al</w:t>
      </w:r>
      <w:r w:rsidRPr="0049578D">
        <w:rPr>
          <w:rFonts w:ascii="Arial" w:hAnsi="Arial" w:cs="Arial"/>
        </w:rPr>
        <w:t xml:space="preserve">., 2018; Zhang </w:t>
      </w:r>
      <w:r w:rsidRPr="0049578D">
        <w:rPr>
          <w:rFonts w:ascii="Arial" w:hAnsi="Arial" w:cs="Arial"/>
          <w:i/>
          <w:iCs/>
        </w:rPr>
        <w:t>et al</w:t>
      </w:r>
      <w:r w:rsidRPr="0049578D">
        <w:rPr>
          <w:rFonts w:ascii="Arial" w:hAnsi="Arial" w:cs="Arial"/>
        </w:rPr>
        <w:t xml:space="preserve">., 2021). </w:t>
      </w:r>
      <w:r w:rsidRPr="0049578D">
        <w:rPr>
          <w:rFonts w:ascii="Arial" w:hAnsi="Arial" w:cs="Arial"/>
          <w:i/>
          <w:iCs/>
        </w:rPr>
        <w:t>ARE1</w:t>
      </w:r>
      <w:r w:rsidRPr="0049578D">
        <w:rPr>
          <w:rFonts w:ascii="Arial" w:hAnsi="Arial" w:cs="Arial"/>
        </w:rPr>
        <w:t xml:space="preserve"> was identified as </w:t>
      </w:r>
      <w:r w:rsidRPr="0049578D">
        <w:rPr>
          <w:rFonts w:ascii="Arial" w:hAnsi="Arial" w:cs="Arial"/>
          <w:i/>
          <w:iCs/>
        </w:rPr>
        <w:t>abc1 repressor1</w:t>
      </w:r>
      <w:r w:rsidRPr="0049578D">
        <w:rPr>
          <w:rFonts w:ascii="Arial" w:hAnsi="Arial" w:cs="Arial"/>
        </w:rPr>
        <w:t xml:space="preserve">, a genetic suppressor of the weak </w:t>
      </w:r>
      <w:r w:rsidRPr="0049578D">
        <w:rPr>
          <w:rFonts w:ascii="Arial" w:hAnsi="Arial" w:cs="Arial"/>
          <w:i/>
          <w:iCs/>
        </w:rPr>
        <w:t>abc1-1</w:t>
      </w:r>
      <w:r w:rsidRPr="0049578D">
        <w:rPr>
          <w:rFonts w:ascii="Arial" w:hAnsi="Arial" w:cs="Arial"/>
        </w:rPr>
        <w:t xml:space="preserve"> mutant, and loss-of-function </w:t>
      </w:r>
      <w:r w:rsidRPr="0049578D">
        <w:rPr>
          <w:rFonts w:ascii="Arial" w:hAnsi="Arial" w:cs="Arial"/>
          <w:i/>
          <w:iCs/>
        </w:rPr>
        <w:t>are1</w:t>
      </w:r>
      <w:r w:rsidRPr="0049578D">
        <w:rPr>
          <w:rFonts w:ascii="Arial" w:hAnsi="Arial" w:cs="Arial"/>
        </w:rPr>
        <w:t xml:space="preserve"> mutations partially rescued the nitrogen-deficiency phenotype of </w:t>
      </w:r>
      <w:r w:rsidRPr="0049578D">
        <w:rPr>
          <w:rFonts w:ascii="Arial" w:hAnsi="Arial" w:cs="Arial"/>
          <w:i/>
          <w:iCs/>
        </w:rPr>
        <w:t>abc1</w:t>
      </w:r>
      <w:r w:rsidRPr="0049578D">
        <w:rPr>
          <w:rFonts w:ascii="Arial" w:hAnsi="Arial" w:cs="Arial"/>
        </w:rPr>
        <w:t xml:space="preserve">. Consistent with this relationship, </w:t>
      </w:r>
      <w:r w:rsidRPr="0049578D">
        <w:rPr>
          <w:rFonts w:ascii="Arial" w:hAnsi="Arial" w:cs="Arial"/>
          <w:i/>
          <w:iCs/>
        </w:rPr>
        <w:t>are1</w:t>
      </w:r>
      <w:r w:rsidRPr="0049578D">
        <w:rPr>
          <w:rFonts w:ascii="Arial" w:hAnsi="Arial" w:cs="Arial"/>
        </w:rPr>
        <w:t xml:space="preserve"> mutants displayed delayed senescence, improved nitrogen utilization, and increased grain yield under nitrogen-limiting conditions, establishing </w:t>
      </w:r>
      <w:r w:rsidRPr="0049578D">
        <w:rPr>
          <w:rFonts w:ascii="Arial" w:hAnsi="Arial" w:cs="Arial"/>
          <w:i/>
          <w:iCs/>
        </w:rPr>
        <w:t>ARE1</w:t>
      </w:r>
      <w:r w:rsidRPr="0049578D">
        <w:rPr>
          <w:rFonts w:ascii="Arial" w:hAnsi="Arial" w:cs="Arial"/>
        </w:rPr>
        <w:t xml:space="preserve"> as a negative regulator of nitrogen assimilation and NUE in rice (Wang </w:t>
      </w:r>
      <w:r w:rsidRPr="0049578D">
        <w:rPr>
          <w:rFonts w:ascii="Arial" w:hAnsi="Arial" w:cs="Arial"/>
          <w:i/>
          <w:iCs/>
        </w:rPr>
        <w:t>et al</w:t>
      </w:r>
      <w:r w:rsidRPr="0049578D">
        <w:rPr>
          <w:rFonts w:ascii="Arial" w:hAnsi="Arial" w:cs="Arial"/>
        </w:rPr>
        <w:t xml:space="preserve">., 2018). Further support came from studies showing that the transcription factor </w:t>
      </w:r>
      <w:r w:rsidRPr="0049578D">
        <w:rPr>
          <w:rFonts w:ascii="Arial" w:hAnsi="Arial" w:cs="Arial"/>
          <w:i/>
          <w:iCs/>
        </w:rPr>
        <w:t>Ghd7</w:t>
      </w:r>
      <w:r w:rsidRPr="0049578D">
        <w:rPr>
          <w:rFonts w:ascii="Arial" w:hAnsi="Arial" w:cs="Arial"/>
        </w:rPr>
        <w:t xml:space="preserve"> represses </w:t>
      </w:r>
      <w:r w:rsidRPr="0049578D">
        <w:rPr>
          <w:rFonts w:ascii="Arial" w:hAnsi="Arial" w:cs="Arial"/>
          <w:i/>
          <w:iCs/>
        </w:rPr>
        <w:t>ARE1</w:t>
      </w:r>
      <w:r w:rsidRPr="0049578D">
        <w:rPr>
          <w:rFonts w:ascii="Arial" w:hAnsi="Arial" w:cs="Arial"/>
        </w:rPr>
        <w:t xml:space="preserve"> expression, and favorable </w:t>
      </w:r>
      <w:r w:rsidRPr="0049578D">
        <w:rPr>
          <w:rFonts w:ascii="Arial" w:hAnsi="Arial" w:cs="Arial"/>
          <w:i/>
          <w:iCs/>
        </w:rPr>
        <w:t>Ghd7–ARE1</w:t>
      </w:r>
      <w:r w:rsidRPr="0049578D">
        <w:rPr>
          <w:rFonts w:ascii="Arial" w:hAnsi="Arial" w:cs="Arial"/>
        </w:rPr>
        <w:t xml:space="preserve"> allele combinations enhance NUE and grain yield, reinforcing the role of </w:t>
      </w:r>
      <w:r w:rsidRPr="0049578D">
        <w:rPr>
          <w:rFonts w:ascii="Arial" w:hAnsi="Arial" w:cs="Arial"/>
          <w:i/>
          <w:iCs/>
        </w:rPr>
        <w:t>ARE1</w:t>
      </w:r>
      <w:r w:rsidRPr="0049578D">
        <w:rPr>
          <w:rFonts w:ascii="Arial" w:hAnsi="Arial" w:cs="Arial"/>
        </w:rPr>
        <w:t xml:space="preserve"> as a constraint on nitrogen-responsive productivity (Wang </w:t>
      </w:r>
      <w:r w:rsidRPr="0049578D">
        <w:rPr>
          <w:rFonts w:ascii="Arial" w:hAnsi="Arial" w:cs="Arial"/>
          <w:i/>
          <w:iCs/>
        </w:rPr>
        <w:t>et al</w:t>
      </w:r>
      <w:r w:rsidRPr="0049578D">
        <w:rPr>
          <w:rFonts w:ascii="Arial" w:hAnsi="Arial" w:cs="Arial"/>
        </w:rPr>
        <w:t>., 2021).</w:t>
      </w:r>
    </w:p>
    <w:p w14:paraId="5F159E4C" w14:textId="77777777" w:rsidR="0049578D" w:rsidRPr="0049578D" w:rsidRDefault="0049578D" w:rsidP="0049578D">
      <w:pPr>
        <w:jc w:val="both"/>
        <w:rPr>
          <w:rFonts w:ascii="Arial" w:hAnsi="Arial" w:cs="Arial"/>
        </w:rPr>
      </w:pPr>
      <w:r w:rsidRPr="0049578D">
        <w:rPr>
          <w:rFonts w:ascii="Arial" w:hAnsi="Arial" w:cs="Arial"/>
        </w:rPr>
        <w:lastRenderedPageBreak/>
        <w:t xml:space="preserve">Building on this biological framework, Zhang </w:t>
      </w:r>
      <w:r w:rsidRPr="0049578D">
        <w:rPr>
          <w:rFonts w:ascii="Arial" w:hAnsi="Arial" w:cs="Arial"/>
          <w:i/>
          <w:iCs/>
        </w:rPr>
        <w:t>et al.</w:t>
      </w:r>
      <w:r w:rsidRPr="0049578D">
        <w:rPr>
          <w:rFonts w:ascii="Arial" w:hAnsi="Arial" w:cs="Arial"/>
        </w:rPr>
        <w:t xml:space="preserve"> (2021) extended the strategy to wheat by targeting the ARE1 ortholog using CRISPR/Cas9. Because bread wheat is </w:t>
      </w:r>
      <w:proofErr w:type="spellStart"/>
      <w:r w:rsidRPr="0049578D">
        <w:rPr>
          <w:rFonts w:ascii="Arial" w:hAnsi="Arial" w:cs="Arial"/>
        </w:rPr>
        <w:t>hexaploid</w:t>
      </w:r>
      <w:proofErr w:type="spellEnd"/>
      <w:r w:rsidRPr="0049578D">
        <w:rPr>
          <w:rFonts w:ascii="Arial" w:hAnsi="Arial" w:cs="Arial"/>
        </w:rPr>
        <w:t xml:space="preserve">, the authors first identified three </w:t>
      </w:r>
      <w:proofErr w:type="spellStart"/>
      <w:r w:rsidRPr="0049578D">
        <w:rPr>
          <w:rFonts w:ascii="Arial" w:hAnsi="Arial" w:cs="Arial"/>
        </w:rPr>
        <w:t>homoeologs</w:t>
      </w:r>
      <w:proofErr w:type="spellEnd"/>
      <w:r w:rsidRPr="0049578D">
        <w:rPr>
          <w:rFonts w:ascii="Arial" w:hAnsi="Arial" w:cs="Arial"/>
        </w:rPr>
        <w:t>—</w:t>
      </w:r>
      <w:r w:rsidRPr="0049578D">
        <w:rPr>
          <w:rFonts w:ascii="Arial" w:hAnsi="Arial" w:cs="Arial"/>
          <w:i/>
          <w:iCs/>
        </w:rPr>
        <w:t>TaARE1-A</w:t>
      </w:r>
      <w:r w:rsidRPr="0049578D">
        <w:rPr>
          <w:rFonts w:ascii="Arial" w:hAnsi="Arial" w:cs="Arial"/>
        </w:rPr>
        <w:t xml:space="preserve">, </w:t>
      </w:r>
      <w:r w:rsidRPr="0049578D">
        <w:rPr>
          <w:rFonts w:ascii="Arial" w:hAnsi="Arial" w:cs="Arial"/>
          <w:i/>
          <w:iCs/>
        </w:rPr>
        <w:t>TaARE1-B</w:t>
      </w:r>
      <w:r w:rsidRPr="0049578D">
        <w:rPr>
          <w:rFonts w:ascii="Arial" w:hAnsi="Arial" w:cs="Arial"/>
        </w:rPr>
        <w:t xml:space="preserve">, and </w:t>
      </w:r>
      <w:r w:rsidRPr="0049578D">
        <w:rPr>
          <w:rFonts w:ascii="Arial" w:hAnsi="Arial" w:cs="Arial"/>
          <w:i/>
          <w:iCs/>
        </w:rPr>
        <w:t>TaARE1-D</w:t>
      </w:r>
      <w:r w:rsidRPr="0049578D">
        <w:rPr>
          <w:rFonts w:ascii="Arial" w:hAnsi="Arial" w:cs="Arial"/>
        </w:rPr>
        <w:t>—and generated a series of edited lines carrying different combinations of loss-of-function alleles. These included partial-null and triple-null mutants, allowing the authors to evaluate the effect of gene dosage on NUE and agronomic traits. All edited lines showed enhanced tolerance to nitrogen deficiency under hydroponic conditions, together with delayed leaf senescence and improved nitrogen utilization.</w:t>
      </w:r>
    </w:p>
    <w:p w14:paraId="5B66C52A" w14:textId="77777777" w:rsidR="0049578D" w:rsidRPr="0049578D" w:rsidRDefault="0049578D" w:rsidP="0049578D">
      <w:pPr>
        <w:jc w:val="both"/>
        <w:rPr>
          <w:rFonts w:ascii="Arial" w:hAnsi="Arial" w:cs="Arial"/>
        </w:rPr>
      </w:pPr>
      <w:r w:rsidRPr="0049578D">
        <w:rPr>
          <w:rFonts w:ascii="Arial" w:hAnsi="Arial" w:cs="Arial"/>
        </w:rPr>
        <w:t xml:space="preserve">Importantly, the phenotypic outcome depended on the allelic combination. Among the edited lines, the </w:t>
      </w:r>
      <w:proofErr w:type="spellStart"/>
      <w:r w:rsidRPr="0049578D">
        <w:rPr>
          <w:rFonts w:ascii="Arial" w:hAnsi="Arial" w:cs="Arial"/>
        </w:rPr>
        <w:t>AABBdd</w:t>
      </w:r>
      <w:proofErr w:type="spellEnd"/>
      <w:r w:rsidRPr="0049578D">
        <w:rPr>
          <w:rFonts w:ascii="Arial" w:hAnsi="Arial" w:cs="Arial"/>
        </w:rPr>
        <w:t xml:space="preserve"> and </w:t>
      </w:r>
      <w:proofErr w:type="spellStart"/>
      <w:r w:rsidRPr="0049578D">
        <w:rPr>
          <w:rFonts w:ascii="Arial" w:hAnsi="Arial" w:cs="Arial"/>
        </w:rPr>
        <w:t>aabbDD</w:t>
      </w:r>
      <w:proofErr w:type="spellEnd"/>
      <w:r w:rsidRPr="0049578D">
        <w:rPr>
          <w:rFonts w:ascii="Arial" w:hAnsi="Arial" w:cs="Arial"/>
        </w:rPr>
        <w:t xml:space="preserve"> genotypes exhibited the most favorable balance, showing significantly improved NUE, delayed senescence, and increased grain yield under reduced nitrogen input without evident growth penalties. In contrast, complete knockout of all three </w:t>
      </w:r>
      <w:proofErr w:type="spellStart"/>
      <w:r w:rsidRPr="0049578D">
        <w:rPr>
          <w:rFonts w:ascii="Arial" w:hAnsi="Arial" w:cs="Arial"/>
        </w:rPr>
        <w:t>homoeologs</w:t>
      </w:r>
      <w:proofErr w:type="spellEnd"/>
      <w:r w:rsidRPr="0049578D">
        <w:rPr>
          <w:rFonts w:ascii="Arial" w:hAnsi="Arial" w:cs="Arial"/>
        </w:rPr>
        <w:t xml:space="preserve"> resulted in less desirable phenotypes, indicating that partial attenuation of </w:t>
      </w:r>
      <w:r w:rsidRPr="0049578D">
        <w:rPr>
          <w:rFonts w:ascii="Arial" w:hAnsi="Arial" w:cs="Arial"/>
          <w:i/>
          <w:iCs/>
        </w:rPr>
        <w:t>ARE1</w:t>
      </w:r>
      <w:r w:rsidRPr="0049578D">
        <w:rPr>
          <w:rFonts w:ascii="Arial" w:hAnsi="Arial" w:cs="Arial"/>
        </w:rPr>
        <w:t xml:space="preserve"> function was more advantageous than total loss in a polyploid background. Field evaluations further confirmed that these edited lines displayed increased grain yield under nitrogen-limited conditions, demonstrating that targeted disruption of a negative regulator can translate into agronomic benefit in wheat (Zhang </w:t>
      </w:r>
      <w:r w:rsidRPr="0049578D">
        <w:rPr>
          <w:rFonts w:ascii="Arial" w:hAnsi="Arial" w:cs="Arial"/>
          <w:i/>
          <w:iCs/>
        </w:rPr>
        <w:t>et al</w:t>
      </w:r>
      <w:r w:rsidRPr="0049578D">
        <w:rPr>
          <w:rFonts w:ascii="Arial" w:hAnsi="Arial" w:cs="Arial"/>
        </w:rPr>
        <w:t>., 2021).</w:t>
      </w:r>
    </w:p>
    <w:p w14:paraId="10A6CA41" w14:textId="77777777" w:rsidR="0049578D" w:rsidRPr="0049578D" w:rsidRDefault="0049578D" w:rsidP="0049578D">
      <w:pPr>
        <w:jc w:val="both"/>
        <w:rPr>
          <w:rFonts w:ascii="Arial" w:hAnsi="Arial" w:cs="Arial"/>
        </w:rPr>
      </w:pPr>
      <w:r w:rsidRPr="0049578D">
        <w:rPr>
          <w:rFonts w:ascii="Arial" w:hAnsi="Arial" w:cs="Arial"/>
        </w:rPr>
        <w:t xml:space="preserve">Viewed as a strategy, knockout of negative regulators offers a direct route to improve NUE by removing endogenous constraints on nitrogen-responsive growth and productivity. In the case of </w:t>
      </w:r>
      <w:r w:rsidRPr="0049578D">
        <w:rPr>
          <w:rFonts w:ascii="Arial" w:hAnsi="Arial" w:cs="Arial"/>
          <w:i/>
          <w:iCs/>
        </w:rPr>
        <w:t>ARE1</w:t>
      </w:r>
      <w:r w:rsidRPr="0049578D">
        <w:rPr>
          <w:rFonts w:ascii="Arial" w:hAnsi="Arial" w:cs="Arial"/>
        </w:rPr>
        <w:t xml:space="preserve">, evidence from both rice and wheat indicates that reduced gene activity delays senescence, enhances nitrogen utilization, and improves grain yield under low nitrogen conditions. The work of Zhang </w:t>
      </w:r>
      <w:r w:rsidRPr="0049578D">
        <w:rPr>
          <w:rFonts w:ascii="Arial" w:hAnsi="Arial" w:cs="Arial"/>
          <w:i/>
          <w:iCs/>
        </w:rPr>
        <w:t>et al.</w:t>
      </w:r>
      <w:r w:rsidRPr="0049578D">
        <w:rPr>
          <w:rFonts w:ascii="Arial" w:hAnsi="Arial" w:cs="Arial"/>
        </w:rPr>
        <w:t xml:space="preserve"> (2021) is particularly significant because it demonstrates that this principle can be successfully applied in a complex polyploid crop using genome editing, thereby providing a practical framework for developing high-yielding varieties with improved NUE under reduced fertilizer input.</w:t>
      </w:r>
    </w:p>
    <w:p w14:paraId="51F19C52" w14:textId="77777777" w:rsidR="00E053D0" w:rsidRDefault="00E053D0" w:rsidP="00441B6F">
      <w:pPr>
        <w:pStyle w:val="Body"/>
        <w:spacing w:after="0"/>
        <w:rPr>
          <w:rFonts w:ascii="Arial" w:hAnsi="Arial" w:cs="Arial"/>
        </w:rPr>
      </w:pPr>
    </w:p>
    <w:p w14:paraId="3D06C9DC" w14:textId="77777777" w:rsidR="00790ADA" w:rsidRPr="00FB3A86" w:rsidRDefault="00790ADA" w:rsidP="00441B6F">
      <w:pPr>
        <w:pStyle w:val="Body"/>
        <w:spacing w:after="0"/>
        <w:rPr>
          <w:rFonts w:ascii="Arial" w:hAnsi="Arial" w:cs="Arial"/>
        </w:rPr>
      </w:pPr>
    </w:p>
    <w:p w14:paraId="487ACF1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6895B4" w14:textId="77777777" w:rsidR="00790ADA" w:rsidRPr="00FB3A86" w:rsidRDefault="00790ADA" w:rsidP="00441B6F">
      <w:pPr>
        <w:pStyle w:val="ConcHead"/>
        <w:spacing w:after="0"/>
        <w:jc w:val="both"/>
        <w:rPr>
          <w:rFonts w:ascii="Arial" w:hAnsi="Arial" w:cs="Arial"/>
        </w:rPr>
      </w:pPr>
    </w:p>
    <w:p w14:paraId="26DDD845" w14:textId="77777777" w:rsidR="00EC03C7" w:rsidRPr="00EC03C7" w:rsidRDefault="00EC03C7" w:rsidP="00EC03C7">
      <w:pPr>
        <w:pStyle w:val="Body"/>
        <w:spacing w:after="0"/>
        <w:rPr>
          <w:rFonts w:ascii="Arial" w:hAnsi="Arial" w:cs="Arial"/>
          <w:lang w:val="en-IN"/>
        </w:rPr>
      </w:pPr>
      <w:r w:rsidRPr="00EC03C7">
        <w:rPr>
          <w:rFonts w:ascii="Arial" w:hAnsi="Arial" w:cs="Arial"/>
          <w:lang w:val="en-IN"/>
        </w:rPr>
        <w:t xml:space="preserve">Improving nitrogen use efficiency (NUE) is fundamental to achieving sustainable crop production under conditions of increasing fertilizer cost, environmental concern, and climate uncertainty. As discussed throughout this review, NUE is a highly complex trait shaped by the coordinated regulation of nitrogen uptake, assimilation, transport, remobilization, and signalling, all of which are closely integrated with plant growth and productivity (Xu </w:t>
      </w:r>
      <w:r w:rsidRPr="00EC03C7">
        <w:rPr>
          <w:rFonts w:ascii="Arial" w:hAnsi="Arial" w:cs="Arial"/>
          <w:i/>
          <w:iCs/>
          <w:lang w:val="en-IN"/>
        </w:rPr>
        <w:t>et al</w:t>
      </w:r>
      <w:r w:rsidRPr="00EC03C7">
        <w:rPr>
          <w:rFonts w:ascii="Arial" w:hAnsi="Arial" w:cs="Arial"/>
          <w:lang w:val="en-IN"/>
        </w:rPr>
        <w:t xml:space="preserve">., 2012; </w:t>
      </w:r>
      <w:proofErr w:type="spellStart"/>
      <w:r w:rsidRPr="00EC03C7">
        <w:rPr>
          <w:rFonts w:ascii="Arial" w:hAnsi="Arial" w:cs="Arial"/>
          <w:lang w:val="en-IN"/>
        </w:rPr>
        <w:t>Masclaux-Daubresse</w:t>
      </w:r>
      <w:proofErr w:type="spellEnd"/>
      <w:r w:rsidRPr="00EC03C7">
        <w:rPr>
          <w:rFonts w:ascii="Arial" w:hAnsi="Arial" w:cs="Arial"/>
          <w:lang w:val="en-IN"/>
        </w:rPr>
        <w:t xml:space="preserve"> </w:t>
      </w:r>
      <w:r w:rsidRPr="00EC03C7">
        <w:rPr>
          <w:rFonts w:ascii="Arial" w:hAnsi="Arial" w:cs="Arial"/>
          <w:i/>
          <w:iCs/>
          <w:lang w:val="en-IN"/>
        </w:rPr>
        <w:t>et al</w:t>
      </w:r>
      <w:r w:rsidRPr="00EC03C7">
        <w:rPr>
          <w:rFonts w:ascii="Arial" w:hAnsi="Arial" w:cs="Arial"/>
          <w:lang w:val="en-IN"/>
        </w:rPr>
        <w:t>., 2010). This complexity underscores why single-gene interventions often produce limited or inconsistent outcomes, whereas strategies that modulate regulatory coordination within nitrogen-responsive networks hold greater promise for meaningful improvement.</w:t>
      </w:r>
    </w:p>
    <w:p w14:paraId="27BE9C3F" w14:textId="77777777" w:rsidR="00EC03C7" w:rsidRPr="00EC03C7" w:rsidRDefault="00EC03C7" w:rsidP="00EC03C7">
      <w:pPr>
        <w:pStyle w:val="Body"/>
        <w:spacing w:after="0"/>
        <w:rPr>
          <w:rFonts w:ascii="Arial" w:hAnsi="Arial" w:cs="Arial"/>
          <w:lang w:val="en-IN"/>
        </w:rPr>
      </w:pPr>
      <w:r w:rsidRPr="00EC03C7">
        <w:rPr>
          <w:rFonts w:ascii="Arial" w:hAnsi="Arial" w:cs="Arial"/>
          <w:lang w:val="en-IN"/>
        </w:rPr>
        <w:t>Recent advances in promoter engineering, manipulation of transporter systems, regulation of transcriptional networks, and targeted genome editing have expanded the molecular toolkit available for NUE enhancement. Collectively, these approaches indicate that future progress will depend less on altering isolated components and more on precisely tuning the regulatory architecture that governs nitrogen use in plants. In this context, identifying new molecular targets for NUE improvement, particularly regulatory genes with broader downstream influence, remains an important priority. Equally critical is the rigorous experimental validation of candidate targets identified so far, since their functional and agronomic relevance must be established across diverse genetic backgrounds and environmental conditions before they can be translated into crop improvement programmes.</w:t>
      </w:r>
    </w:p>
    <w:p w14:paraId="567CD3CF" w14:textId="77777777" w:rsidR="00EC03C7" w:rsidRPr="00EC03C7" w:rsidRDefault="00EC03C7" w:rsidP="00EC03C7">
      <w:pPr>
        <w:pStyle w:val="Body"/>
        <w:spacing w:after="0"/>
        <w:rPr>
          <w:rFonts w:ascii="Arial" w:hAnsi="Arial" w:cs="Arial"/>
          <w:lang w:val="en-IN"/>
        </w:rPr>
      </w:pPr>
      <w:r w:rsidRPr="00EC03C7">
        <w:rPr>
          <w:rFonts w:ascii="Arial" w:hAnsi="Arial" w:cs="Arial"/>
          <w:lang w:val="en-IN"/>
        </w:rPr>
        <w:t>Looking ahead, the integration of multi-omics approaches, systems biology, and advanced genome-editing technologies offers unprecedented opportunities to accelerate the discovery and refinement of NUE-associated targets. However, the ultimate value of these advances will depend on their successful translation from controlled experimental systems to stable field-level performance. Future gains in NUE will therefore require a stronger convergence of molecular genetics, plant physiology, breeding, and agronomy. Such an integrated approach will be essential for developing high-yielding, climate-resilient, and resource-efficient crop varieties capable of sustaining agricultural productivity with reduced nitrogen inputs.</w:t>
      </w:r>
    </w:p>
    <w:p w14:paraId="0EACD0BB" w14:textId="77777777" w:rsidR="00790ADA" w:rsidRPr="00FB3A86" w:rsidRDefault="00790ADA" w:rsidP="00441B6F">
      <w:pPr>
        <w:pStyle w:val="Body"/>
        <w:spacing w:after="0"/>
        <w:rPr>
          <w:rFonts w:ascii="Arial" w:hAnsi="Arial" w:cs="Arial"/>
        </w:rPr>
      </w:pPr>
    </w:p>
    <w:p w14:paraId="2ECC0A05" w14:textId="77777777" w:rsidR="00860000" w:rsidRDefault="00860000" w:rsidP="00441B6F">
      <w:pPr>
        <w:pStyle w:val="ReferHead"/>
        <w:spacing w:after="0"/>
        <w:jc w:val="both"/>
        <w:rPr>
          <w:rFonts w:ascii="Arial" w:hAnsi="Arial" w:cs="Arial"/>
        </w:rPr>
      </w:pPr>
    </w:p>
    <w:p w14:paraId="64A920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409D4B" w14:textId="77777777" w:rsidR="00790ADA" w:rsidRPr="00FB3A86" w:rsidRDefault="00790ADA" w:rsidP="00441B6F">
      <w:pPr>
        <w:pStyle w:val="ReferHead"/>
        <w:spacing w:after="0"/>
        <w:jc w:val="both"/>
        <w:rPr>
          <w:rFonts w:ascii="Arial" w:hAnsi="Arial" w:cs="Arial"/>
        </w:rPr>
      </w:pPr>
    </w:p>
    <w:p w14:paraId="29208401" w14:textId="77777777" w:rsidR="00D44DD8" w:rsidRDefault="00D44DD8" w:rsidP="00D44DD8">
      <w:pPr>
        <w:pStyle w:val="Body"/>
      </w:pPr>
      <w:r>
        <w:t xml:space="preserve">Abdallah, N. A., </w:t>
      </w:r>
      <w:proofErr w:type="spellStart"/>
      <w:r>
        <w:t>Hamwieh</w:t>
      </w:r>
      <w:proofErr w:type="spellEnd"/>
      <w:r>
        <w:t>, A., Radwan, K., Fouad, N., &amp; Prakash, C. (2021). Genome editing techniques in plants: A comprehensive review and future prospects toward zero hunger. GM Crops &amp; Food, 12(2), 601–615.</w:t>
      </w:r>
    </w:p>
    <w:p w14:paraId="5F74E045" w14:textId="77777777" w:rsidR="00D44DD8" w:rsidRDefault="00D44DD8" w:rsidP="00D44DD8">
      <w:pPr>
        <w:pStyle w:val="Body"/>
      </w:pPr>
      <w:r>
        <w:t xml:space="preserve">Ali, A. (2020). Nitrate assimilation pathway in higher plants: Critical role in nitrogen </w:t>
      </w:r>
      <w:proofErr w:type="spellStart"/>
      <w:r>
        <w:t>signalling</w:t>
      </w:r>
      <w:proofErr w:type="spellEnd"/>
      <w:r>
        <w:t xml:space="preserve"> and utilization. Plant Science Today, 7(2), 182–192.</w:t>
      </w:r>
    </w:p>
    <w:p w14:paraId="21CCA2F7" w14:textId="77777777" w:rsidR="00D44DD8" w:rsidRDefault="00D44DD8" w:rsidP="00D44DD8">
      <w:pPr>
        <w:pStyle w:val="Body"/>
      </w:pPr>
      <w:r>
        <w:t xml:space="preserve">Bellegarde, F., Herbert, L., </w:t>
      </w:r>
      <w:proofErr w:type="spellStart"/>
      <w:r>
        <w:t>Séré</w:t>
      </w:r>
      <w:proofErr w:type="spellEnd"/>
      <w:r>
        <w:t xml:space="preserve">, D., </w:t>
      </w:r>
      <w:proofErr w:type="spellStart"/>
      <w:r>
        <w:t>Caillieux</w:t>
      </w:r>
      <w:proofErr w:type="spellEnd"/>
      <w:r>
        <w:t xml:space="preserve">, E., </w:t>
      </w:r>
      <w:proofErr w:type="spellStart"/>
      <w:r>
        <w:t>Boucherez</w:t>
      </w:r>
      <w:proofErr w:type="spellEnd"/>
      <w:r>
        <w:t xml:space="preserve">, J., </w:t>
      </w:r>
      <w:proofErr w:type="spellStart"/>
      <w:r>
        <w:t>Fizames</w:t>
      </w:r>
      <w:proofErr w:type="spellEnd"/>
      <w:r>
        <w:t xml:space="preserve">, C., et al. (2018). </w:t>
      </w:r>
      <w:proofErr w:type="spellStart"/>
      <w:r>
        <w:t>Polycomb</w:t>
      </w:r>
      <w:proofErr w:type="spellEnd"/>
      <w:r>
        <w:t xml:space="preserve"> Repressive Complex 2 attenuates the very high expression of the Arabidopsis gene NRT2.1. Scientific Reports, 8, 7905.</w:t>
      </w:r>
    </w:p>
    <w:p w14:paraId="4294A6C9" w14:textId="77777777" w:rsidR="00D44DD8" w:rsidRDefault="00D44DD8" w:rsidP="00D44DD8">
      <w:pPr>
        <w:pStyle w:val="Body"/>
      </w:pPr>
      <w:r>
        <w:t>Bernard, S. M., &amp; Habash, D. Z. (2009). The importance of cytosolic glutamine synthetase in nitrogen assimilation and recycling. New Phytologist, 182(3), 608–620.</w:t>
      </w:r>
    </w:p>
    <w:p w14:paraId="5BCF4AAE" w14:textId="77777777" w:rsidR="00D44DD8" w:rsidRDefault="00D44DD8" w:rsidP="00D44DD8">
      <w:pPr>
        <w:pStyle w:val="Body"/>
      </w:pPr>
      <w:r>
        <w:lastRenderedPageBreak/>
        <w:t xml:space="preserve">Butler, J. D., Byrne, P. F., Mohammadi, V., Chapman, P. L., &amp; Haley, S. D. (2005). Agronomic performance of </w:t>
      </w:r>
      <w:proofErr w:type="spellStart"/>
      <w:r>
        <w:t>Rht</w:t>
      </w:r>
      <w:proofErr w:type="spellEnd"/>
      <w:r>
        <w:t xml:space="preserve"> alleles in a spring wheat population across a range of moisture levels. Crop Science, 45(3), 939–947.</w:t>
      </w:r>
    </w:p>
    <w:p w14:paraId="3A70D100" w14:textId="77777777" w:rsidR="00D44DD8" w:rsidRDefault="00D44DD8" w:rsidP="00D44DD8">
      <w:pPr>
        <w:pStyle w:val="Body"/>
      </w:pPr>
      <w:r>
        <w:t xml:space="preserve">Castaings, L., Camargo, A., </w:t>
      </w:r>
      <w:proofErr w:type="spellStart"/>
      <w:r>
        <w:t>Pocholle</w:t>
      </w:r>
      <w:proofErr w:type="spellEnd"/>
      <w:r>
        <w:t>, D., Gaudon, V., Texier, Y., Boutet-Mercey, S., et al. (2009). The nodule inception-like protein 7 modulates nitrate sensing and metabolism in Arabidopsis. The Plant Journal, 57(3), 426–435.</w:t>
      </w:r>
    </w:p>
    <w:p w14:paraId="150EB409" w14:textId="77777777" w:rsidR="00D44DD8" w:rsidRDefault="00D44DD8" w:rsidP="00D44DD8">
      <w:pPr>
        <w:pStyle w:val="Body"/>
      </w:pPr>
      <w:r>
        <w:t>Chen, F., Chen, L., Yan, Z., Xu, J., Feng, L., He, N., et al. (2024). Recent advances of CRISPR-based genome editing for enhancing staple crops. Frontiers in Plant Science, 15, 1478398.</w:t>
      </w:r>
    </w:p>
    <w:p w14:paraId="701D783C" w14:textId="77777777" w:rsidR="00D44DD8" w:rsidRDefault="00D44DD8" w:rsidP="00D44DD8">
      <w:pPr>
        <w:pStyle w:val="Body"/>
      </w:pPr>
      <w:r>
        <w:t>Chen, G., Hu, Q., Luo, L., Yang, T., Zhang, S., Hu, Y., et al. (2015). Improving rice tolerance to potassium deficiency by enhancing endogenous cytokinin biosynthesis through ectopic expression of WOX11. Plant Biotechnology Journal, 13(9), 1230–1240.</w:t>
      </w:r>
    </w:p>
    <w:p w14:paraId="359A9420" w14:textId="77777777" w:rsidR="00D44DD8" w:rsidRDefault="00D44DD8" w:rsidP="00D44DD8">
      <w:pPr>
        <w:pStyle w:val="Body"/>
      </w:pPr>
      <w:r>
        <w:t>Chen, J., Zhang, Y., Tan, Y., Zhang, M., Zhu, L., Xu, G., et al. (2016). Agronomic nitrogen-use efficiency of rice can be increased by driving OsNRT2.1 expression with the OsNAR2.1 promoter. Plant Biotechnology Journal, 14(8), 1705–1715.</w:t>
      </w:r>
    </w:p>
    <w:p w14:paraId="0631730F" w14:textId="77777777" w:rsidR="00D44DD8" w:rsidRDefault="00D44DD8" w:rsidP="00D44DD8">
      <w:pPr>
        <w:pStyle w:val="Body"/>
      </w:pPr>
      <w:r>
        <w:t>Chen, K., Wang, Y., Zhang, R., et al. (2020). CRISPR/Cas genome editing and precision plant breeding in agriculture. Annual Review of Plant Biology, 71, 667–697.</w:t>
      </w:r>
    </w:p>
    <w:p w14:paraId="3217BB5A" w14:textId="77777777" w:rsidR="00D44DD8" w:rsidRDefault="00D44DD8" w:rsidP="00D44DD8">
      <w:pPr>
        <w:pStyle w:val="Body"/>
      </w:pPr>
      <w:r>
        <w:t>Chen, K., Wang, Y., Zhang, R., Zhang, H., &amp; Gao, C. (2019). CRISPR/Cas genome editing and precision plant breeding in agriculture. Annual Review of Plant Biology, 70, 667–697.</w:t>
      </w:r>
    </w:p>
    <w:p w14:paraId="537B2850" w14:textId="77777777" w:rsidR="00D44DD8" w:rsidRDefault="00D44DD8" w:rsidP="00D44DD8">
      <w:pPr>
        <w:pStyle w:val="Body"/>
      </w:pPr>
      <w:r>
        <w:t>Chen, K. E., Chen, H. Y., Tseng, C. S., &amp; Tsay, Y. F. (2020). Improving nitrogen use efficiency by manipulating nitrate remobilization in plants. Nature Plants, 6(9), 1126–1135.</w:t>
      </w:r>
    </w:p>
    <w:p w14:paraId="36C65CE1" w14:textId="77777777" w:rsidR="00D44DD8" w:rsidRDefault="00D44DD8" w:rsidP="00D44DD8">
      <w:pPr>
        <w:pStyle w:val="Body"/>
      </w:pPr>
      <w:r>
        <w:t>Chen, L., et al. (2013). Characterization of the Rht12 gene in wheat and its effect on plant height and agronomic traits. Molecular Breeding, 31(3), 579–589.</w:t>
      </w:r>
    </w:p>
    <w:p w14:paraId="72E5F914" w14:textId="77777777" w:rsidR="00D44DD8" w:rsidRDefault="00D44DD8" w:rsidP="00D44DD8">
      <w:pPr>
        <w:pStyle w:val="Body"/>
      </w:pPr>
      <w:r>
        <w:t>Cornejo, M. J., Luth, D., Blankenship, K. M., Anderson, O. D., &amp; Blechl, A. E. (1993). Activity of a maize ubiquitin promoter in transgenic rice. Plant Molecular Biology, 23(3), 567–581.</w:t>
      </w:r>
    </w:p>
    <w:p w14:paraId="7B917032" w14:textId="77777777" w:rsidR="00D44DD8" w:rsidRDefault="00D44DD8" w:rsidP="00D44DD8">
      <w:pPr>
        <w:pStyle w:val="Body"/>
      </w:pPr>
      <w:r>
        <w:t>Dalrymple, D. G. (1975). Measuring the Green Revolution: The impact of research on wheat and rice production (No. 106). Washington, DC: Foreign Development Division, Economic Research Service, US Department of Agriculture.</w:t>
      </w:r>
    </w:p>
    <w:p w14:paraId="158A18CA" w14:textId="77777777" w:rsidR="00D44DD8" w:rsidRDefault="00D44DD8" w:rsidP="00D44DD8">
      <w:pPr>
        <w:pStyle w:val="Body"/>
      </w:pPr>
      <w:r>
        <w:t>Dalrymple, D. G. (1978). Development and spread of high-yielding varieties of wheat and rice in the less developed nations. U.S. Agency for International Development.</w:t>
      </w:r>
    </w:p>
    <w:p w14:paraId="6DE5C323" w14:textId="77777777" w:rsidR="00D44DD8" w:rsidRDefault="00D44DD8" w:rsidP="00D44DD8">
      <w:pPr>
        <w:pStyle w:val="Body"/>
      </w:pPr>
      <w:r>
        <w:t xml:space="preserve">De Angeli, A., Monachello, D., </w:t>
      </w:r>
      <w:proofErr w:type="spellStart"/>
      <w:r>
        <w:t>Ephritikhine</w:t>
      </w:r>
      <w:proofErr w:type="spellEnd"/>
      <w:r>
        <w:t xml:space="preserve">, G., </w:t>
      </w:r>
      <w:proofErr w:type="spellStart"/>
      <w:r>
        <w:t>Frachisse</w:t>
      </w:r>
      <w:proofErr w:type="spellEnd"/>
      <w:r>
        <w:t xml:space="preserve">, J. M., Thomine, S., Gambale, F., et al. (2006). The nitrate/proton antiporter </w:t>
      </w:r>
      <w:proofErr w:type="spellStart"/>
      <w:r>
        <w:t>AtCLCa</w:t>
      </w:r>
      <w:proofErr w:type="spellEnd"/>
      <w:r>
        <w:t xml:space="preserve"> mediates nitrate accumulation in plant vacuoles. Nature, 442(7105), 939–942.</w:t>
      </w:r>
    </w:p>
    <w:p w14:paraId="227C1A0A" w14:textId="77777777" w:rsidR="00D44DD8" w:rsidRDefault="00D44DD8" w:rsidP="00D44DD8">
      <w:pPr>
        <w:pStyle w:val="Body"/>
      </w:pPr>
      <w:proofErr w:type="spellStart"/>
      <w:r>
        <w:t>Dechorgnat</w:t>
      </w:r>
      <w:proofErr w:type="spellEnd"/>
      <w:r>
        <w:t xml:space="preserve">, J., Nguyen, C. T., </w:t>
      </w:r>
      <w:proofErr w:type="spellStart"/>
      <w:r>
        <w:t>Armengaud</w:t>
      </w:r>
      <w:proofErr w:type="spellEnd"/>
      <w:r>
        <w:t xml:space="preserve">, P., Jossier, M., Diatloff, E., </w:t>
      </w:r>
      <w:proofErr w:type="spellStart"/>
      <w:r>
        <w:t>Filleur</w:t>
      </w:r>
      <w:proofErr w:type="spellEnd"/>
      <w:r>
        <w:t>, S., &amp; Daniel-Vedele, F. (2011). From the soil to the seeds: The long journey of nitrate in plants. Journal of Experimental Botany, 62(4), 1349–1359.</w:t>
      </w:r>
    </w:p>
    <w:p w14:paraId="0DFFC315" w14:textId="77777777" w:rsidR="00D44DD8" w:rsidRDefault="00D44DD8" w:rsidP="00D44DD8">
      <w:pPr>
        <w:pStyle w:val="Body"/>
      </w:pPr>
      <w:proofErr w:type="spellStart"/>
      <w:r>
        <w:t>Dellero</w:t>
      </w:r>
      <w:proofErr w:type="spellEnd"/>
      <w:r>
        <w:t>, Y. (2020). Manipulating amino acid metabolism to improve crop nitrogen use efficiency for a sustainable agriculture. Frontiers in Plant Science, 11, 602548.</w:t>
      </w:r>
    </w:p>
    <w:p w14:paraId="27EBC11D" w14:textId="77777777" w:rsidR="00D44DD8" w:rsidRDefault="00D44DD8" w:rsidP="00D44DD8">
      <w:pPr>
        <w:pStyle w:val="Body"/>
      </w:pPr>
      <w:proofErr w:type="spellStart"/>
      <w:r>
        <w:t>Derkacheva</w:t>
      </w:r>
      <w:proofErr w:type="spellEnd"/>
      <w:r>
        <w:t xml:space="preserve">, M., &amp; Hennig, L. (2014). Variations on a theme: </w:t>
      </w:r>
      <w:proofErr w:type="spellStart"/>
      <w:r>
        <w:t>Polycomb</w:t>
      </w:r>
      <w:proofErr w:type="spellEnd"/>
      <w:r>
        <w:t xml:space="preserve"> group proteins in plants. Journal of Experimental Botany, 65(10), 2769–2784.</w:t>
      </w:r>
    </w:p>
    <w:p w14:paraId="1A5C5020" w14:textId="77777777" w:rsidR="00D44DD8" w:rsidRDefault="00D44DD8" w:rsidP="00D44DD8">
      <w:pPr>
        <w:pStyle w:val="Body"/>
      </w:pPr>
      <w:r>
        <w:t xml:space="preserve">Diaz, C., </w:t>
      </w:r>
      <w:proofErr w:type="spellStart"/>
      <w:r>
        <w:t>Lemaître</w:t>
      </w:r>
      <w:proofErr w:type="spellEnd"/>
      <w:r>
        <w:t>, T., Christ, A., Azzopardi, M., Kato, Y., Sato, F., et al. (2008). Nitrogen recycling and remobilization are differentially controlled by leaf senescence and development stage in Arabidopsis under low nitrogen nutrition. Plant Physiology, 147(3), 1437–1449.</w:t>
      </w:r>
    </w:p>
    <w:p w14:paraId="627AA640" w14:textId="77777777" w:rsidR="00D44DD8" w:rsidRDefault="00D44DD8" w:rsidP="00D44DD8">
      <w:pPr>
        <w:pStyle w:val="Body"/>
      </w:pPr>
      <w:r>
        <w:t>Erisman, J. W., et al. (2008). How a century of ammonia synthesis changed the world. Nature Geoscience, 1(10), 636–639.</w:t>
      </w:r>
    </w:p>
    <w:p w14:paraId="1648E229" w14:textId="77777777" w:rsidR="00D44DD8" w:rsidRDefault="00D44DD8" w:rsidP="00D44DD8">
      <w:pPr>
        <w:pStyle w:val="Body"/>
      </w:pPr>
      <w:r>
        <w:t>Evenson, R. E., &amp; Gollin, D. (2003). Assessing the impact of the Green Revolution, 1960 to 2000. Science, 300(5620), 758–762.</w:t>
      </w:r>
    </w:p>
    <w:p w14:paraId="0518EA82" w14:textId="77777777" w:rsidR="00D44DD8" w:rsidRDefault="00D44DD8" w:rsidP="00D44DD8">
      <w:pPr>
        <w:pStyle w:val="Body"/>
      </w:pPr>
      <w:proofErr w:type="spellStart"/>
      <w:r>
        <w:lastRenderedPageBreak/>
        <w:t>Fageria</w:t>
      </w:r>
      <w:proofErr w:type="spellEnd"/>
      <w:r>
        <w:t xml:space="preserve">, N. K., &amp; </w:t>
      </w:r>
      <w:proofErr w:type="spellStart"/>
      <w:r>
        <w:t>Baligar</w:t>
      </w:r>
      <w:proofErr w:type="spellEnd"/>
      <w:r>
        <w:t>, V. C. (2005). Enhancing nitrogen use efficiency in crop plants. Advances in Agronomy, 88, 97–185.</w:t>
      </w:r>
    </w:p>
    <w:p w14:paraId="27E925C4" w14:textId="77777777" w:rsidR="00D44DD8" w:rsidRDefault="00D44DD8" w:rsidP="00D44DD8">
      <w:pPr>
        <w:pStyle w:val="Body"/>
      </w:pPr>
      <w:r>
        <w:t>Fan, X., Tang, Z., Tan, Y., Zhang, Y., Luo, B., Yang, M., et al. (2017). Plant nitrate transporters: From gene function to application. Journal of Experimental Botany, 68(10), 2463–2475.</w:t>
      </w:r>
    </w:p>
    <w:p w14:paraId="365A8DF2" w14:textId="77777777" w:rsidR="00D44DD8" w:rsidRDefault="00D44DD8" w:rsidP="00D44DD8">
      <w:pPr>
        <w:pStyle w:val="Body"/>
      </w:pPr>
      <w:proofErr w:type="spellStart"/>
      <w:r>
        <w:t>Flintham</w:t>
      </w:r>
      <w:proofErr w:type="spellEnd"/>
      <w:r>
        <w:t xml:space="preserve">, J. E., Börner, A., Worland, A. J., &amp; Gale, M. D. (1997). Optimizing wheat grain yield: Effects of </w:t>
      </w:r>
      <w:proofErr w:type="spellStart"/>
      <w:r>
        <w:t>Rht</w:t>
      </w:r>
      <w:proofErr w:type="spellEnd"/>
      <w:r>
        <w:t xml:space="preserve"> (gibberellin-insensitive) dwarfing genes. Journal of Agricultural Science, 128(1), 11–25.</w:t>
      </w:r>
    </w:p>
    <w:p w14:paraId="4B044A2A" w14:textId="77777777" w:rsidR="00D44DD8" w:rsidRDefault="00D44DD8" w:rsidP="00D44DD8">
      <w:pPr>
        <w:pStyle w:val="Body"/>
      </w:pPr>
      <w:r>
        <w:t xml:space="preserve">Gasperini, D., et al. (2012). Genetic and physiological analysis of Rht8 in bread wheat: An alternative source of semi-dwarfism with a reduced sensitivity to </w:t>
      </w:r>
      <w:proofErr w:type="spellStart"/>
      <w:r>
        <w:t>brassinosteroids</w:t>
      </w:r>
      <w:proofErr w:type="spellEnd"/>
      <w:r>
        <w:t>. Journal of Experimental Botany, 63(12), 4419–4436.</w:t>
      </w:r>
    </w:p>
    <w:p w14:paraId="7E9E1182" w14:textId="77777777" w:rsidR="00D44DD8" w:rsidRDefault="00D44DD8" w:rsidP="00D44DD8">
      <w:pPr>
        <w:pStyle w:val="Body"/>
      </w:pPr>
      <w:r>
        <w:t xml:space="preserve">Good, A. G., </w:t>
      </w:r>
      <w:proofErr w:type="spellStart"/>
      <w:r>
        <w:t>Shrawat</w:t>
      </w:r>
      <w:proofErr w:type="spellEnd"/>
      <w:r>
        <w:t>, A. K., &amp; Muench, D. G. (2004). Can less yield more? Is reducing nutrient input into the environment compatible with maintaining crop production? Trends in Plant Science, 9(12), 597–605.</w:t>
      </w:r>
    </w:p>
    <w:p w14:paraId="1112A9C8" w14:textId="77777777" w:rsidR="00D44DD8" w:rsidRDefault="00D44DD8" w:rsidP="00D44DD8">
      <w:pPr>
        <w:pStyle w:val="Body"/>
      </w:pPr>
      <w:proofErr w:type="spellStart"/>
      <w:r>
        <w:t>Guiboileau</w:t>
      </w:r>
      <w:proofErr w:type="spellEnd"/>
      <w:r>
        <w:t xml:space="preserve">, A., Yoshimoto, K., </w:t>
      </w:r>
      <w:proofErr w:type="spellStart"/>
      <w:r>
        <w:t>Soulay</w:t>
      </w:r>
      <w:proofErr w:type="spellEnd"/>
      <w:r>
        <w:t xml:space="preserve">, F., </w:t>
      </w:r>
      <w:proofErr w:type="spellStart"/>
      <w:r>
        <w:t>Bataillé</w:t>
      </w:r>
      <w:proofErr w:type="spellEnd"/>
      <w:r>
        <w:t xml:space="preserve">, M.-P., Avice, J.-C., &amp; </w:t>
      </w:r>
      <w:proofErr w:type="spellStart"/>
      <w:r>
        <w:t>Masclaux-Daubresse</w:t>
      </w:r>
      <w:proofErr w:type="spellEnd"/>
      <w:r>
        <w:t>, C. (2012). Autophagy machinery controls nitrogen remobilization at the whole-plant level under both limiting and ample nitrate conditions in Arabidopsis. New Phytologist, 194(3), 732–740.</w:t>
      </w:r>
    </w:p>
    <w:p w14:paraId="14081362" w14:textId="77777777" w:rsidR="00D44DD8" w:rsidRDefault="00D44DD8" w:rsidP="00D44DD8">
      <w:pPr>
        <w:pStyle w:val="Body"/>
      </w:pPr>
      <w:proofErr w:type="spellStart"/>
      <w:r>
        <w:t>Havé</w:t>
      </w:r>
      <w:proofErr w:type="spellEnd"/>
      <w:r>
        <w:t xml:space="preserve">, M., </w:t>
      </w:r>
      <w:proofErr w:type="spellStart"/>
      <w:r>
        <w:t>Marmagne</w:t>
      </w:r>
      <w:proofErr w:type="spellEnd"/>
      <w:r>
        <w:t xml:space="preserve">, A., Chardon, F., &amp; </w:t>
      </w:r>
      <w:proofErr w:type="spellStart"/>
      <w:r>
        <w:t>Masclaux-Daubresse</w:t>
      </w:r>
      <w:proofErr w:type="spellEnd"/>
      <w:r>
        <w:t>, C. (2017). Nitrogen remobilization during leaf senescence: Lessons from Arabidopsis to crops. Journal of Experimental Botany, 68(10), 2513–2529.</w:t>
      </w:r>
    </w:p>
    <w:p w14:paraId="14DC5326" w14:textId="77777777" w:rsidR="00D44DD8" w:rsidRDefault="00D44DD8" w:rsidP="00D44DD8">
      <w:pPr>
        <w:pStyle w:val="Body"/>
      </w:pPr>
      <w:r>
        <w:t>Hedden, P. (2003). The genes of the Green Revolution. Trends in Genetics, 19(1), 5–9.</w:t>
      </w:r>
    </w:p>
    <w:p w14:paraId="636E834A" w14:textId="77777777" w:rsidR="00D44DD8" w:rsidRDefault="00D44DD8" w:rsidP="00D44DD8">
      <w:pPr>
        <w:pStyle w:val="Body"/>
      </w:pPr>
      <w:r>
        <w:t xml:space="preserve">Hirel, B., Le </w:t>
      </w:r>
      <w:proofErr w:type="spellStart"/>
      <w:r>
        <w:t>Gouis</w:t>
      </w:r>
      <w:proofErr w:type="spellEnd"/>
      <w:r>
        <w:t xml:space="preserve">, J., Ney, B., &amp; </w:t>
      </w:r>
      <w:proofErr w:type="spellStart"/>
      <w:r>
        <w:t>Gallais</w:t>
      </w:r>
      <w:proofErr w:type="spellEnd"/>
      <w:r>
        <w:t>, A. (2007). The challenge of improving nitrogen use efficiency in crop plants. Journal of Experimental Botany, 58(9), 2369–2387.</w:t>
      </w:r>
    </w:p>
    <w:p w14:paraId="21AF8759" w14:textId="77777777" w:rsidR="00D44DD8" w:rsidRDefault="00D44DD8" w:rsidP="00D44DD8">
      <w:pPr>
        <w:pStyle w:val="Body"/>
      </w:pPr>
      <w:r>
        <w:t>Ho, C. H., Lin, S. H., Hu, H. C., &amp; Tsay, Y. F. (2009). CHL1 functions as a nitrate sensor in plants. Cell, 138(6), 1184–1194.</w:t>
      </w:r>
    </w:p>
    <w:p w14:paraId="65E83686" w14:textId="77777777" w:rsidR="00D44DD8" w:rsidRDefault="00D44DD8" w:rsidP="00D44DD8">
      <w:pPr>
        <w:pStyle w:val="Body"/>
      </w:pPr>
      <w:r>
        <w:t>Hsu, P. K., &amp; Tsay, Y. F. (2013). Two phloem nitrate transporters, NRT1.11 and NRT1.12, are important for redistributing xylem-borne nitrate to enhance plant growth. Plant Physiology, 163(2), 844–856.</w:t>
      </w:r>
    </w:p>
    <w:p w14:paraId="1880A0AD" w14:textId="77777777" w:rsidR="00D44DD8" w:rsidRDefault="00D44DD8" w:rsidP="00D44DD8">
      <w:pPr>
        <w:pStyle w:val="Body"/>
      </w:pPr>
      <w:r>
        <w:t xml:space="preserve">Hu, B., Jiang, Z., Wang, W., Qiu, Y., Zhang, Z., Liu, Y., et al. (2019). Nitrate–NRT1.1B–SPX4 cascade integrates nitrogen and phosphorus </w:t>
      </w:r>
      <w:proofErr w:type="spellStart"/>
      <w:r>
        <w:t>signalling</w:t>
      </w:r>
      <w:proofErr w:type="spellEnd"/>
      <w:r>
        <w:t xml:space="preserve"> networks in plants. Nature Plants, 5(4), 401–413.</w:t>
      </w:r>
    </w:p>
    <w:p w14:paraId="19A0D934" w14:textId="77777777" w:rsidR="00D44DD8" w:rsidRDefault="00D44DD8" w:rsidP="00D44DD8">
      <w:pPr>
        <w:pStyle w:val="Body"/>
      </w:pPr>
      <w:r>
        <w:t>Hu, J., Wang, Y., Fang, Y., Zeng, L., Xu, J., Yu, H., et al. (2015). A rare allele of GS2 enhances grain size and grain yield in rice. Molecular Plant, 8(10), 1455–1465.</w:t>
      </w:r>
    </w:p>
    <w:p w14:paraId="4AB956E3" w14:textId="77777777" w:rsidR="00D44DD8" w:rsidRDefault="00D44DD8" w:rsidP="00D44DD8">
      <w:pPr>
        <w:pStyle w:val="Body"/>
      </w:pPr>
      <w:r>
        <w:t>p, H., Sasaki, A., &amp; Matsuoka, M. (2005). Rice semi-dwarf gene, sd-1, mediates seedling-specific modulation of gibberellin metabolism. The Plant Journal, 43(4), 516–527.</w:t>
      </w:r>
    </w:p>
    <w:p w14:paraId="434728BE" w14:textId="77777777" w:rsidR="00D44DD8" w:rsidRDefault="00D44DD8" w:rsidP="00D44DD8">
      <w:pPr>
        <w:pStyle w:val="Body"/>
      </w:pPr>
      <w:r>
        <w:t xml:space="preserve">Jobson, E. M., Johnston, R. E., </w:t>
      </w:r>
      <w:proofErr w:type="spellStart"/>
      <w:r>
        <w:t>Oiestad</w:t>
      </w:r>
      <w:proofErr w:type="spellEnd"/>
      <w:r>
        <w:t>, A. J., Martin, J. M., &amp; Giroux, M. J. (2019). The impact of the wheat Rht-B1b semi-dwarfing allele on photosynthesis and seed development under field conditions. Frontiers in Plant Science, 10, 51.</w:t>
      </w:r>
    </w:p>
    <w:p w14:paraId="1BF2D88B" w14:textId="77777777" w:rsidR="00D44DD8" w:rsidRDefault="00D44DD8" w:rsidP="00D44DD8">
      <w:pPr>
        <w:pStyle w:val="Body"/>
      </w:pPr>
      <w:r>
        <w:t>Jose, E., Soni, K. B., Alex, S., Pillai, P. S., Beena, R., &amp; Stephen, R. (2023). Molecular frameworks of nitrogen response in plants: A review. International Journal of Environment and Climate Change, 13(12), 380–390.</w:t>
      </w:r>
    </w:p>
    <w:p w14:paraId="4E6A05F7" w14:textId="77777777" w:rsidR="00D44DD8" w:rsidRDefault="00D44DD8" w:rsidP="00D44DD8">
      <w:pPr>
        <w:pStyle w:val="Body"/>
      </w:pPr>
      <w:r>
        <w:t xml:space="preserve">Khush, G. S. (1995). Breaking the yield frontier of rice. </w:t>
      </w:r>
      <w:proofErr w:type="spellStart"/>
      <w:r>
        <w:t>GeoJournal</w:t>
      </w:r>
      <w:proofErr w:type="spellEnd"/>
      <w:r>
        <w:t>, 35(3), 329–332.</w:t>
      </w:r>
    </w:p>
    <w:p w14:paraId="5473BAC8" w14:textId="77777777" w:rsidR="00D44DD8" w:rsidRDefault="00D44DD8" w:rsidP="00D44DD8">
      <w:pPr>
        <w:pStyle w:val="Body"/>
      </w:pPr>
      <w:r>
        <w:t>Khush, G. S. (2001). Green revolution: The way forward. Nature Reviews Genetics, 2(10), 815–822.</w:t>
      </w:r>
    </w:p>
    <w:p w14:paraId="76D173A1" w14:textId="77777777" w:rsidR="00D44DD8" w:rsidRDefault="00D44DD8" w:rsidP="00D44DD8">
      <w:pPr>
        <w:pStyle w:val="Body"/>
      </w:pPr>
      <w:r>
        <w:t>Kiba, T., Feria-</w:t>
      </w:r>
      <w:proofErr w:type="spellStart"/>
      <w:r>
        <w:t>Bourrellier</w:t>
      </w:r>
      <w:proofErr w:type="spellEnd"/>
      <w:r>
        <w:t xml:space="preserve">, A. B., </w:t>
      </w:r>
      <w:proofErr w:type="spellStart"/>
      <w:r>
        <w:t>Lafouge</w:t>
      </w:r>
      <w:proofErr w:type="spellEnd"/>
      <w:r>
        <w:t xml:space="preserve">, F., </w:t>
      </w:r>
      <w:proofErr w:type="spellStart"/>
      <w:r>
        <w:t>Lezhneva</w:t>
      </w:r>
      <w:proofErr w:type="spellEnd"/>
      <w:r>
        <w:t>, L., Boutet-Mercey, S., Orsel, M., et al. (2012). The Arabidopsis nitrate transporter NRT2.4 plays a double role in roots and shoots of nitrogen-starved plants. The Plant Cell, 24(1), 245–258.</w:t>
      </w:r>
    </w:p>
    <w:p w14:paraId="5C4DD3AF" w14:textId="77777777" w:rsidR="00D44DD8" w:rsidRDefault="00D44DD8" w:rsidP="00D44DD8">
      <w:pPr>
        <w:pStyle w:val="Body"/>
      </w:pPr>
      <w:r>
        <w:t>Kishorekumar, R., Bulle, M., Wany, A., &amp; Gupta, K. J. (2019). An overview of important enzymes involved in nitrogen assimilation of plants. Nitrogen Metabolism in Plants: Methods and Protocols, 1–13.</w:t>
      </w:r>
    </w:p>
    <w:p w14:paraId="30BEC581" w14:textId="77777777" w:rsidR="00D44DD8" w:rsidRDefault="00D44DD8" w:rsidP="00D44DD8">
      <w:pPr>
        <w:pStyle w:val="Body"/>
      </w:pPr>
      <w:r>
        <w:lastRenderedPageBreak/>
        <w:t xml:space="preserve">Krapp, A., David, L. C., Chardin, C., Girin, T., </w:t>
      </w:r>
      <w:proofErr w:type="spellStart"/>
      <w:r>
        <w:t>Marmagne</w:t>
      </w:r>
      <w:proofErr w:type="spellEnd"/>
      <w:r>
        <w:t xml:space="preserve">, A., Leprince, A. S., et al. (2014). Nitrate transport and </w:t>
      </w:r>
      <w:proofErr w:type="spellStart"/>
      <w:r>
        <w:t>signalling</w:t>
      </w:r>
      <w:proofErr w:type="spellEnd"/>
      <w:r>
        <w:t xml:space="preserve"> in Arabidopsis. Journal of Experimental Botany, 65(3), 789–798.</w:t>
      </w:r>
    </w:p>
    <w:p w14:paraId="21ABB30B" w14:textId="77777777" w:rsidR="00D44DD8" w:rsidRDefault="00D44DD8" w:rsidP="00D44DD8">
      <w:pPr>
        <w:pStyle w:val="Body"/>
      </w:pPr>
      <w:r>
        <w:t xml:space="preserve">Krouk, G., Lacombe, B., </w:t>
      </w:r>
      <w:proofErr w:type="spellStart"/>
      <w:r>
        <w:t>Bielach</w:t>
      </w:r>
      <w:proofErr w:type="spellEnd"/>
      <w:r>
        <w:t xml:space="preserve">, A., Perrine-Walker, F., </w:t>
      </w:r>
      <w:proofErr w:type="spellStart"/>
      <w:r>
        <w:t>Malinska</w:t>
      </w:r>
      <w:proofErr w:type="spellEnd"/>
      <w:r>
        <w:t>, K., Mounier, E., et al. (2010). Nitrate-regulated auxin transport by NRT1.1 defines a mechanism for nutrient sensing in plants. Developmental Cell, 18(6), 927–937.</w:t>
      </w:r>
    </w:p>
    <w:p w14:paraId="530063EB" w14:textId="77777777" w:rsidR="00D44DD8" w:rsidRDefault="00D44DD8" w:rsidP="00D44DD8">
      <w:pPr>
        <w:pStyle w:val="Body"/>
      </w:pPr>
      <w:r>
        <w:t xml:space="preserve">Ladha, J. K., et al. (2005). Efficiency of fertilizer nitrogen in cereal production: </w:t>
      </w:r>
      <w:proofErr w:type="spellStart"/>
      <w:r>
        <w:t>Retrospects</w:t>
      </w:r>
      <w:proofErr w:type="spellEnd"/>
      <w:r>
        <w:t xml:space="preserve"> and prospects. Advances in Agronomy, 87, 85–156.</w:t>
      </w:r>
    </w:p>
    <w:p w14:paraId="51060DAE" w14:textId="77777777" w:rsidR="00D44DD8" w:rsidRDefault="00D44DD8" w:rsidP="00D44DD8">
      <w:pPr>
        <w:pStyle w:val="Body"/>
      </w:pPr>
      <w:r>
        <w:t xml:space="preserve">Lam, H. M., Coschigano, K. T., Oliveira, I. C., Melo-Oliveira, R., &amp; </w:t>
      </w:r>
      <w:proofErr w:type="spellStart"/>
      <w:r>
        <w:t>Coruzzi</w:t>
      </w:r>
      <w:proofErr w:type="spellEnd"/>
      <w:r>
        <w:t>, G. M. (1996). The molecular-genetics of nitrogen assimilation into amino acids in higher plants. Annual Review of Plant Biology, 47(1), 569–593.</w:t>
      </w:r>
    </w:p>
    <w:p w14:paraId="7047A7D8" w14:textId="77777777" w:rsidR="00D44DD8" w:rsidRDefault="00D44DD8" w:rsidP="00D44DD8">
      <w:pPr>
        <w:pStyle w:val="Body"/>
      </w:pPr>
      <w:r>
        <w:t xml:space="preserve">Lea, P. J., &amp; </w:t>
      </w:r>
      <w:proofErr w:type="spellStart"/>
      <w:r>
        <w:t>Miflin</w:t>
      </w:r>
      <w:proofErr w:type="spellEnd"/>
      <w:r>
        <w:t>, B. J. (2003). Glutamate synthase and the synthesis of glutamate in plants. Plant Physiology and Biochemistry, 41(6–7), 555–564.</w:t>
      </w:r>
    </w:p>
    <w:p w14:paraId="07FF0F4B" w14:textId="77777777" w:rsidR="00D44DD8" w:rsidRDefault="00D44DD8" w:rsidP="00D44DD8">
      <w:pPr>
        <w:pStyle w:val="Body"/>
      </w:pPr>
      <w:r>
        <w:t xml:space="preserve">Lebedev, V. G., Popova, A. A., &amp; </w:t>
      </w:r>
      <w:proofErr w:type="spellStart"/>
      <w:r>
        <w:t>Shestibratov</w:t>
      </w:r>
      <w:proofErr w:type="spellEnd"/>
      <w:r>
        <w:t>, K. A. (2021). Genetic engineering and genome editing for improving nitrogen use efficiency in plants. Cells, 10(12), 3303.</w:t>
      </w:r>
    </w:p>
    <w:p w14:paraId="5EFA739B" w14:textId="77777777" w:rsidR="00D44DD8" w:rsidRDefault="00D44DD8" w:rsidP="00D44DD8">
      <w:pPr>
        <w:pStyle w:val="Body"/>
      </w:pPr>
      <w:proofErr w:type="spellStart"/>
      <w:r>
        <w:t>Lezhneva</w:t>
      </w:r>
      <w:proofErr w:type="spellEnd"/>
      <w:r>
        <w:t>, L., Kiba, T., Feria-</w:t>
      </w:r>
      <w:proofErr w:type="spellStart"/>
      <w:r>
        <w:t>Bourrellier</w:t>
      </w:r>
      <w:proofErr w:type="spellEnd"/>
      <w:r>
        <w:t xml:space="preserve">, A.-B., </w:t>
      </w:r>
      <w:proofErr w:type="spellStart"/>
      <w:r>
        <w:t>Lafouge</w:t>
      </w:r>
      <w:proofErr w:type="spellEnd"/>
      <w:r>
        <w:t xml:space="preserve">, F., Boutet-Mercey, S., </w:t>
      </w:r>
      <w:proofErr w:type="spellStart"/>
      <w:r>
        <w:t>Zoufan</w:t>
      </w:r>
      <w:proofErr w:type="spellEnd"/>
      <w:r>
        <w:t>, P., et al. (2014). The Arabidopsis nitrate transporter NRT2.5 plays a role in nitrate acquisition and remobilization in nitrogen-starved plants. The Plant Journal, 80, 230–241.</w:t>
      </w:r>
    </w:p>
    <w:p w14:paraId="4931E676" w14:textId="77777777" w:rsidR="00D44DD8" w:rsidRDefault="00D44DD8" w:rsidP="00D44DD8">
      <w:pPr>
        <w:pStyle w:val="Body"/>
      </w:pPr>
      <w:r>
        <w:t xml:space="preserve">Li Hua, L. H., Hu Bin, H. B., &amp; Chu </w:t>
      </w:r>
      <w:proofErr w:type="spellStart"/>
      <w:r>
        <w:t>ChengCai</w:t>
      </w:r>
      <w:proofErr w:type="spellEnd"/>
      <w:r>
        <w:t>, C. C. (2017). Nitrogen use efficiency in crops: Lessons from Arabidopsis and rice.</w:t>
      </w:r>
    </w:p>
    <w:p w14:paraId="1A631EF3" w14:textId="77777777" w:rsidR="00D44DD8" w:rsidRDefault="00D44DD8" w:rsidP="00D44DD8">
      <w:pPr>
        <w:pStyle w:val="Body"/>
      </w:pPr>
      <w:r>
        <w:t>Li, J., Li, Q., Wang, W., Zhang, X., Chu, C., Tang, X., et al. (2023). DELLA-mediated gene repression is maintained by chromatin modification in rice. The EMBO Journal, 42, e114220.</w:t>
      </w:r>
    </w:p>
    <w:p w14:paraId="67A72133" w14:textId="77777777" w:rsidR="00D44DD8" w:rsidRDefault="00D44DD8" w:rsidP="00D44DD8">
      <w:pPr>
        <w:pStyle w:val="Body"/>
      </w:pPr>
      <w:r>
        <w:t>Li, J. Y., Fu, Y. L., Pike, S. M., Bao, J., Tian, W., Zhang, Y., et al. (2010). The Arabidopsis nitrate transporter NRT1.8 functions in nitrate removal from the xylem sap and mediates cadmium tolerance. The Plant Cell, 22(5), 1633–1646.</w:t>
      </w:r>
    </w:p>
    <w:p w14:paraId="11B181F7" w14:textId="77777777" w:rsidR="00D44DD8" w:rsidRDefault="00D44DD8" w:rsidP="00D44DD8">
      <w:pPr>
        <w:pStyle w:val="Body"/>
      </w:pPr>
      <w:r>
        <w:t>Li, S., Tian, Y., Wu, K., Ye, Y., Yu, J., Zhang, J., et al. (2018). Modulating plant growth–metabolism coordination for sustainable agriculture. Nature, 560(7720), 595–600.</w:t>
      </w:r>
    </w:p>
    <w:p w14:paraId="61D38B70" w14:textId="77777777" w:rsidR="00D44DD8" w:rsidRDefault="00D44DD8" w:rsidP="00D44DD8">
      <w:pPr>
        <w:pStyle w:val="Body"/>
      </w:pPr>
      <w:r>
        <w:t xml:space="preserve">Lin, S. H., Kuo, H. F., </w:t>
      </w:r>
      <w:proofErr w:type="spellStart"/>
      <w:r>
        <w:t>Canivenc</w:t>
      </w:r>
      <w:proofErr w:type="spellEnd"/>
      <w:r>
        <w:t>, G., Lin, C. S., Lepetit, M., Hsu, P. K., et al. (2008). Mutation of the Arabidopsis NRT1.5 nitrate transporter causes defective root-to-shoot nitrate transport. The Plant Cell, 20(9), 2514–2528.</w:t>
      </w:r>
    </w:p>
    <w:p w14:paraId="0B99360F" w14:textId="77777777" w:rsidR="00D44DD8" w:rsidRDefault="00D44DD8" w:rsidP="00D44DD8">
      <w:pPr>
        <w:pStyle w:val="Body"/>
      </w:pPr>
      <w:r>
        <w:t>Liu, H., Gao, X., Fan, W., &amp; Fu, X. (2025). Optimizing carbon and nitrogen metabolism in plants: From fundamental principles to practical applications. Journal of Integrative Plant Biology, 67(6), 1447–1466.</w:t>
      </w:r>
    </w:p>
    <w:p w14:paraId="0FBBA648" w14:textId="77777777" w:rsidR="00D44DD8" w:rsidRDefault="00D44DD8" w:rsidP="00D44DD8">
      <w:pPr>
        <w:pStyle w:val="Body"/>
      </w:pPr>
      <w:r>
        <w:t>Liu, K. H., &amp; Tsay, Y. F. (2003). Switching between the two action modes of the dual-affinity nitrate transporter CHL1 by phosphorylation. The EMBO Journal, 22(5), 1005–1013.</w:t>
      </w:r>
    </w:p>
    <w:p w14:paraId="2CE6E0EA" w14:textId="77777777" w:rsidR="00D44DD8" w:rsidRDefault="00D44DD8" w:rsidP="00D44DD8">
      <w:pPr>
        <w:pStyle w:val="Body"/>
      </w:pPr>
      <w:r>
        <w:t xml:space="preserve">Liu, L., Gao, H., Li, S., &amp; Han, Z. (2021). Calcium </w:t>
      </w:r>
      <w:proofErr w:type="spellStart"/>
      <w:r>
        <w:t>signalling</w:t>
      </w:r>
      <w:proofErr w:type="spellEnd"/>
      <w:r>
        <w:t xml:space="preserve"> networks mediate nitrate sensing and responses in Arabidopsis. Plant </w:t>
      </w:r>
      <w:proofErr w:type="spellStart"/>
      <w:r>
        <w:t>Signalling</w:t>
      </w:r>
      <w:proofErr w:type="spellEnd"/>
      <w:r>
        <w:t xml:space="preserve"> &amp; Behavior, 16(10), 1938441.</w:t>
      </w:r>
    </w:p>
    <w:p w14:paraId="304F32CC" w14:textId="77777777" w:rsidR="00D44DD8" w:rsidRDefault="00D44DD8" w:rsidP="00D44DD8">
      <w:pPr>
        <w:pStyle w:val="Body"/>
      </w:pPr>
      <w:r>
        <w:t>Liu, Q., Wu, K., Song, W., Zhong, N., Wu, Y., &amp; Fu, X. (2022). Improving crop nitrogen use efficiency toward sustainable green revolution. Annual Review of Plant Biology, 73(1), 523–551.</w:t>
      </w:r>
    </w:p>
    <w:p w14:paraId="695C8204" w14:textId="77777777" w:rsidR="00D44DD8" w:rsidRDefault="00D44DD8" w:rsidP="00D44DD8">
      <w:pPr>
        <w:pStyle w:val="Body"/>
      </w:pPr>
      <w:r>
        <w:t>Liu, X., Hu, B., &amp; Chu, C. (2022). Nitrogen assimilation in plants: Current status and future prospects. Journal of Genetics and Genomics, 49(5), 394–404.</w:t>
      </w:r>
    </w:p>
    <w:p w14:paraId="1CF4BF5A" w14:textId="77777777" w:rsidR="00D44DD8" w:rsidRDefault="00D44DD8" w:rsidP="00D44DD8">
      <w:pPr>
        <w:pStyle w:val="Body"/>
      </w:pPr>
      <w:r>
        <w:t xml:space="preserve">Mahboob, W., Yang, G., &amp; Irfan, M. (2023). Crop nitrogen (N) utilization mechanism and strategies to improve N use efficiency. Acta </w:t>
      </w:r>
      <w:proofErr w:type="spellStart"/>
      <w:r>
        <w:t>Physiologiae</w:t>
      </w:r>
      <w:proofErr w:type="spellEnd"/>
      <w:r>
        <w:t xml:space="preserve"> Plantarum, 45(4), 52.</w:t>
      </w:r>
    </w:p>
    <w:p w14:paraId="745DA8BF" w14:textId="77777777" w:rsidR="00D44DD8" w:rsidRDefault="00D44DD8" w:rsidP="00D44DD8">
      <w:pPr>
        <w:pStyle w:val="Body"/>
      </w:pPr>
      <w:r>
        <w:t>Mao, Y., Botella, J. R., Liu, Y., &amp; Zhu, J. K. (2019). Gene editing in plants: Progress and challenges. National Science Review, 6(3), 421–437.</w:t>
      </w:r>
    </w:p>
    <w:p w14:paraId="481FAB69" w14:textId="77777777" w:rsidR="00D44DD8" w:rsidRDefault="00D44DD8" w:rsidP="00D44DD8">
      <w:pPr>
        <w:pStyle w:val="Body"/>
      </w:pPr>
      <w:proofErr w:type="spellStart"/>
      <w:r>
        <w:lastRenderedPageBreak/>
        <w:t>Masclaux-Daubresse</w:t>
      </w:r>
      <w:proofErr w:type="spellEnd"/>
      <w:r>
        <w:t xml:space="preserve">, C., Daniel-Vedele, F., </w:t>
      </w:r>
      <w:proofErr w:type="spellStart"/>
      <w:r>
        <w:t>Dechorgnat</w:t>
      </w:r>
      <w:proofErr w:type="spellEnd"/>
      <w:r>
        <w:t xml:space="preserve">, J., Chardon, F., </w:t>
      </w:r>
      <w:proofErr w:type="spellStart"/>
      <w:r>
        <w:t>Gaufichon</w:t>
      </w:r>
      <w:proofErr w:type="spellEnd"/>
      <w:r>
        <w:t>, L., &amp; Suzuki, A. (2010). Nitrogen uptake, assimilation and remobilization in plants: Challenges for sustainable and productive agriculture. Annals of Botany, 105, 1141–1157.</w:t>
      </w:r>
    </w:p>
    <w:p w14:paraId="01FFB716" w14:textId="77777777" w:rsidR="00D44DD8" w:rsidRDefault="00D44DD8" w:rsidP="00D44DD8">
      <w:pPr>
        <w:pStyle w:val="Body"/>
      </w:pPr>
      <w:r>
        <w:t>Moll, R. H., Kamprath, E. J., &amp; Jackson, W. A. (1982). Analysis and interpretation of factors which contribute to efficiency of nitrogen utilization. Agronomy Journal, 74, 562–564.</w:t>
      </w:r>
    </w:p>
    <w:p w14:paraId="4A1F7599" w14:textId="77777777" w:rsidR="00D44DD8" w:rsidRDefault="00D44DD8" w:rsidP="00D44DD8">
      <w:pPr>
        <w:pStyle w:val="Body"/>
      </w:pPr>
      <w:r>
        <w:t xml:space="preserve">Muratore, C., Espen, L., &amp; </w:t>
      </w:r>
      <w:proofErr w:type="spellStart"/>
      <w:r>
        <w:t>Prinsi</w:t>
      </w:r>
      <w:proofErr w:type="spellEnd"/>
      <w:r>
        <w:t>, B. (2021). Nitrogen uptake in plants: The plasma membrane root transport systems from a physiological and proteomic perspective. Plants, 10(4), 681.</w:t>
      </w:r>
    </w:p>
    <w:p w14:paraId="33EF47AD" w14:textId="77777777" w:rsidR="00D44DD8" w:rsidRDefault="00D44DD8" w:rsidP="00D44DD8">
      <w:pPr>
        <w:pStyle w:val="Body"/>
      </w:pPr>
      <w:proofErr w:type="spellStart"/>
      <w:r>
        <w:t>Nacry</w:t>
      </w:r>
      <w:proofErr w:type="spellEnd"/>
      <w:r>
        <w:t xml:space="preserve">, P., </w:t>
      </w:r>
      <w:proofErr w:type="spellStart"/>
      <w:r>
        <w:t>Bouguyon</w:t>
      </w:r>
      <w:proofErr w:type="spellEnd"/>
      <w:r>
        <w:t>, E., &amp; Gojon, A. (2013). Nitrogen acquisition by roots: Physiological and developmental mechanisms ensuring plant adaptation to a fluctuating resource. Plant and Soil, 370(1), 1–29.</w:t>
      </w:r>
    </w:p>
    <w:p w14:paraId="7D9D8133" w14:textId="77777777" w:rsidR="00D44DD8" w:rsidRDefault="00D44DD8" w:rsidP="00D44DD8">
      <w:pPr>
        <w:pStyle w:val="Body"/>
      </w:pPr>
      <w:proofErr w:type="spellStart"/>
      <w:r>
        <w:t>Nedelyaeva</w:t>
      </w:r>
      <w:proofErr w:type="spellEnd"/>
      <w:r>
        <w:t xml:space="preserve">, O. I., Khramov, D. E., </w:t>
      </w:r>
      <w:proofErr w:type="spellStart"/>
      <w:r>
        <w:t>Balnokin</w:t>
      </w:r>
      <w:proofErr w:type="spellEnd"/>
      <w:r>
        <w:t>, Y. V., &amp; Volkov, V. S. (2024). Functional and molecular characterization of plant nitrate transporters belonging to NPF (NRT1/PTR) 6 subfamily. International Journal of Molecular Sciences, 25(24), 13648.</w:t>
      </w:r>
    </w:p>
    <w:p w14:paraId="1E727B10" w14:textId="77777777" w:rsidR="00D44DD8" w:rsidRDefault="00D44DD8" w:rsidP="00D44DD8">
      <w:pPr>
        <w:pStyle w:val="Body"/>
      </w:pPr>
      <w:r>
        <w:t>Nguyen, G. N., Rothstein, S. J., Spangenberg, G., &amp; Kant, S. (2015). Role of microRNAs involved in plant response to nitrogen and phosphorous limiting conditions. Frontiers in Plant Science, 6, 629. https://doi.org/10.3389/fpls.2015.00629</w:t>
      </w:r>
    </w:p>
    <w:p w14:paraId="28E7E044" w14:textId="77777777" w:rsidR="00D44DD8" w:rsidRDefault="00D44DD8" w:rsidP="00D44DD8">
      <w:pPr>
        <w:pStyle w:val="Body"/>
      </w:pPr>
      <w:r>
        <w:t xml:space="preserve">O'Brien, J. A., Vega, A., </w:t>
      </w:r>
      <w:proofErr w:type="spellStart"/>
      <w:r>
        <w:t>Bouguyon</w:t>
      </w:r>
      <w:proofErr w:type="spellEnd"/>
      <w:r>
        <w:t xml:space="preserve">, E., Krouk, G., Gojon, A., </w:t>
      </w:r>
      <w:proofErr w:type="spellStart"/>
      <w:r>
        <w:t>Coruzzi</w:t>
      </w:r>
      <w:proofErr w:type="spellEnd"/>
      <w:r>
        <w:t>, G., et al. (2016). Nitrate transport, sensing, and responses in plants. Molecular Plant, 9(6), 837–856.</w:t>
      </w:r>
    </w:p>
    <w:p w14:paraId="6293672B" w14:textId="77777777" w:rsidR="00D44DD8" w:rsidRDefault="00D44DD8" w:rsidP="00D44DD8">
      <w:pPr>
        <w:pStyle w:val="Body"/>
      </w:pPr>
      <w:r>
        <w:t xml:space="preserve">Pearce, S., Saville, R., Vaughan, S. P., Chandler, P. M., Wilhelm, E. P., Sparks, C. A., et al. (2011). Molecular characterization of Rht-1 dwarfing genes in </w:t>
      </w:r>
      <w:proofErr w:type="spellStart"/>
      <w:r>
        <w:t>hexaploid</w:t>
      </w:r>
      <w:proofErr w:type="spellEnd"/>
      <w:r>
        <w:t xml:space="preserve"> wheat. Plant Physiology, 157(4), 1820–1831.</w:t>
      </w:r>
    </w:p>
    <w:p w14:paraId="4BE9CDFD" w14:textId="77777777" w:rsidR="00D44DD8" w:rsidRDefault="00D44DD8" w:rsidP="00D44DD8">
      <w:pPr>
        <w:pStyle w:val="Body"/>
      </w:pPr>
      <w:r>
        <w:t>Peng, J., et al. (1999). Green revolution genes encode mutant gibberellin response modulators. Nature, 400(6741), 256–261.</w:t>
      </w:r>
    </w:p>
    <w:p w14:paraId="639035EE" w14:textId="77777777" w:rsidR="00D44DD8" w:rsidRDefault="00D44DD8" w:rsidP="00D44DD8">
      <w:pPr>
        <w:pStyle w:val="Body"/>
      </w:pPr>
      <w:r>
        <w:t>Peng, S., et al. (2010). A case study of the first miracle rice variety—IR8. Field Crops Research, 119(1), 71–78.</w:t>
      </w:r>
    </w:p>
    <w:p w14:paraId="2E71CF31" w14:textId="77777777" w:rsidR="00D44DD8" w:rsidRDefault="00D44DD8" w:rsidP="00D44DD8">
      <w:pPr>
        <w:pStyle w:val="Body"/>
      </w:pPr>
      <w:r>
        <w:t>Pingali, P. L. (2012). Green Revolution: Impacts, limits, and the path ahead. Proceedings of the National Academy of Sciences, 109(31), 12302–12308.</w:t>
      </w:r>
    </w:p>
    <w:p w14:paraId="5F265B92" w14:textId="77777777" w:rsidR="00D44DD8" w:rsidRDefault="00D44DD8" w:rsidP="00D44DD8">
      <w:pPr>
        <w:pStyle w:val="Body"/>
      </w:pPr>
      <w:r>
        <w:t>Raun, W. R., &amp; Johnson, G. V. (1999). Improving nitrogen use efficiency for cereal production. Agronomy Journal, 91(3), 357–363.</w:t>
      </w:r>
    </w:p>
    <w:p w14:paraId="5D93E8E6" w14:textId="77777777" w:rsidR="00D44DD8" w:rsidRDefault="00D44DD8" w:rsidP="00D44DD8">
      <w:pPr>
        <w:pStyle w:val="Body"/>
      </w:pPr>
      <w:proofErr w:type="spellStart"/>
      <w:r>
        <w:t>Rebetzke</w:t>
      </w:r>
      <w:proofErr w:type="spellEnd"/>
      <w:r>
        <w:t xml:space="preserve">, G. J., et al. (2007). Quantitative trait loci for coleoptile length and seedling </w:t>
      </w:r>
      <w:proofErr w:type="spellStart"/>
      <w:r>
        <w:t>vigour</w:t>
      </w:r>
      <w:proofErr w:type="spellEnd"/>
      <w:r>
        <w:t xml:space="preserve"> in wheat. Australian Journal of Agricultural Research, 58(7), 662–670.</w:t>
      </w:r>
    </w:p>
    <w:p w14:paraId="0E5A98DF" w14:textId="77777777" w:rsidR="00D44DD8" w:rsidRDefault="00D44DD8" w:rsidP="00D44DD8">
      <w:pPr>
        <w:pStyle w:val="Body"/>
      </w:pPr>
      <w:r>
        <w:t>Reddy, M. M., &amp; Ulaganathan, K. (2015). Nitrogen nutrition, its regulation and biotechnological approaches to improve crop productivity. American Journal of Plant Sciences, 6(18), 2745.</w:t>
      </w:r>
    </w:p>
    <w:p w14:paraId="44A76A45" w14:textId="77777777" w:rsidR="00D44DD8" w:rsidRDefault="00D44DD8" w:rsidP="00D44DD8">
      <w:pPr>
        <w:pStyle w:val="Body"/>
      </w:pPr>
      <w:r>
        <w:t>Rogers, K., &amp; Chen, X. (2013). Biogenesis, turnover, and mode of action of plant microRNAs. The Plant Cell, 25(7), 2383–2399. https://doi.org/10.1105/tpc.113.113159</w:t>
      </w:r>
    </w:p>
    <w:p w14:paraId="65A4A8F0" w14:textId="77777777" w:rsidR="00D44DD8" w:rsidRDefault="00D44DD8" w:rsidP="00D44DD8">
      <w:pPr>
        <w:pStyle w:val="Body"/>
      </w:pPr>
      <w:r>
        <w:t>Sakamoto, T., &amp; Matsuoka, M. (2004). Generating high-yielding varieties by genetic manipulation of plant architecture. Current Opinion in Biotechnology, 15(2), 144–147.</w:t>
      </w:r>
    </w:p>
    <w:p w14:paraId="78F1F126" w14:textId="77777777" w:rsidR="00D44DD8" w:rsidRDefault="00D44DD8" w:rsidP="00D44DD8">
      <w:pPr>
        <w:pStyle w:val="Body"/>
      </w:pPr>
      <w:r>
        <w:t xml:space="preserve">Samad, A. F. A., Sajad, M., </w:t>
      </w:r>
      <w:proofErr w:type="spellStart"/>
      <w:r>
        <w:t>Nazaruddin</w:t>
      </w:r>
      <w:proofErr w:type="spellEnd"/>
      <w:r>
        <w:t>, N., Fauzi, I. A., Murad, A. M. A., Zainal, Z., et al. (2017). MicroRNA and transcription factor: Key players in plant regulatory network. Frontiers in Plant Science, 8, 565. https://doi.org/10.3389/fpls.2017.00565</w:t>
      </w:r>
    </w:p>
    <w:p w14:paraId="74BD4992" w14:textId="77777777" w:rsidR="00D44DD8" w:rsidRDefault="00D44DD8" w:rsidP="00D44DD8">
      <w:pPr>
        <w:pStyle w:val="Body"/>
      </w:pPr>
      <w:r>
        <w:t xml:space="preserve">Sandhu, N., Sethi, M., Kumar, A., Dang, D., Singh, J., &amp; </w:t>
      </w:r>
      <w:proofErr w:type="spellStart"/>
      <w:r>
        <w:t>Chhuneja</w:t>
      </w:r>
      <w:proofErr w:type="spellEnd"/>
      <w:r>
        <w:t>, P. (2021). Biochemical and genetic approaches improving nitrogen use efficiency in cereal crops: A review. Frontiers in Plant Science, 12, 657629.</w:t>
      </w:r>
    </w:p>
    <w:p w14:paraId="1CBC4F2A" w14:textId="77777777" w:rsidR="00D44DD8" w:rsidRDefault="00D44DD8" w:rsidP="00D44DD8">
      <w:pPr>
        <w:pStyle w:val="Body"/>
      </w:pPr>
      <w:proofErr w:type="spellStart"/>
      <w:r>
        <w:t>Sathee</w:t>
      </w:r>
      <w:proofErr w:type="spellEnd"/>
      <w:r>
        <w:t xml:space="preserve">, L., </w:t>
      </w:r>
      <w:proofErr w:type="spellStart"/>
      <w:r>
        <w:t>Jagadhesan</w:t>
      </w:r>
      <w:proofErr w:type="spellEnd"/>
      <w:r>
        <w:t xml:space="preserve">, B., </w:t>
      </w:r>
      <w:proofErr w:type="spellStart"/>
      <w:r>
        <w:t>Pandesha</w:t>
      </w:r>
      <w:proofErr w:type="spellEnd"/>
      <w:r>
        <w:t xml:space="preserve">, P. H., Barman, D., </w:t>
      </w:r>
      <w:proofErr w:type="spellStart"/>
      <w:r>
        <w:t>Adavi</w:t>
      </w:r>
      <w:proofErr w:type="spellEnd"/>
      <w:r>
        <w:t xml:space="preserve"> B, S., Nagar, S., et al. (2022). Genome editing targets for improving nutrient use efficiency and nutrient stress adaptation. Frontiers in Genetics, 13, 900897.</w:t>
      </w:r>
    </w:p>
    <w:p w14:paraId="7F35D219" w14:textId="77777777" w:rsidR="00D44DD8" w:rsidRDefault="00D44DD8" w:rsidP="00D44DD8">
      <w:pPr>
        <w:pStyle w:val="Body"/>
      </w:pPr>
      <w:r>
        <w:lastRenderedPageBreak/>
        <w:t>Shen, Q., Jiang, D., &amp; Wang, H.-Y. (2021). Dynamics of H3K27me3 modification on plant adaptation to environmental cues. Plants, 10(6), 1165.</w:t>
      </w:r>
    </w:p>
    <w:p w14:paraId="4ECA1319" w14:textId="77777777" w:rsidR="00D44DD8" w:rsidRDefault="00D44DD8" w:rsidP="00D44DD8">
      <w:pPr>
        <w:pStyle w:val="Body"/>
      </w:pPr>
      <w:r>
        <w:t xml:space="preserve">Signor, D., &amp; Cerri, C. E. P. (2013). Nitrous oxide emissions in agricultural soils: A review. </w:t>
      </w:r>
      <w:proofErr w:type="spellStart"/>
      <w:r>
        <w:t>Pesquisa</w:t>
      </w:r>
      <w:proofErr w:type="spellEnd"/>
      <w:r>
        <w:t xml:space="preserve"> </w:t>
      </w:r>
      <w:proofErr w:type="spellStart"/>
      <w:r>
        <w:t>Agropecuária</w:t>
      </w:r>
      <w:proofErr w:type="spellEnd"/>
      <w:r>
        <w:t xml:space="preserve"> Tropical, 43(3), 322–338.</w:t>
      </w:r>
    </w:p>
    <w:p w14:paraId="394B9666" w14:textId="77777777" w:rsidR="00D44DD8" w:rsidRDefault="00D44DD8" w:rsidP="00D44DD8">
      <w:pPr>
        <w:pStyle w:val="Body"/>
      </w:pPr>
      <w:r>
        <w:t>Tegeder, M. (2017). Source and sink mechanisms of nitrogen transport and use. New Phytologist, 217, 35–53.</w:t>
      </w:r>
    </w:p>
    <w:p w14:paraId="23D5AB9C" w14:textId="77777777" w:rsidR="00D44DD8" w:rsidRDefault="00D44DD8" w:rsidP="00D44DD8">
      <w:pPr>
        <w:pStyle w:val="Body"/>
      </w:pPr>
      <w:r>
        <w:t>Tegeder, M., &amp; Rentsch, D. (2010). Uptake and partitioning of amino acids and peptides. Molecular Plant, 3(6), 997–1011.</w:t>
      </w:r>
    </w:p>
    <w:p w14:paraId="5725505E" w14:textId="77777777" w:rsidR="00D44DD8" w:rsidRDefault="00D44DD8" w:rsidP="00D44DD8">
      <w:pPr>
        <w:pStyle w:val="Body"/>
      </w:pPr>
      <w:r>
        <w:t xml:space="preserve">Thomsen, H. C., Eriksson, D., Møller, I. S., &amp; </w:t>
      </w:r>
      <w:proofErr w:type="spellStart"/>
      <w:r>
        <w:t>Schjoerring</w:t>
      </w:r>
      <w:proofErr w:type="spellEnd"/>
      <w:r>
        <w:t>, J. K. (2014). Cytosolic glutamine synthetase: A target for improvement of crop nitrogen use efficiency? Trends in Plant Science, 19(10), 656–663.</w:t>
      </w:r>
    </w:p>
    <w:p w14:paraId="4D89180A" w14:textId="77777777" w:rsidR="00D44DD8" w:rsidRDefault="00D44DD8" w:rsidP="00D44DD8">
      <w:pPr>
        <w:pStyle w:val="Body"/>
      </w:pPr>
      <w:r>
        <w:t>Tilman, D., Cassman, K. G., Matson, P. A., Naylor, R., &amp; Polasky, S. (2002). Agricultural sustainability and intensive production practices. Nature, 418(6898), 671–677. https://doi.org/10.1038/nature01014</w:t>
      </w:r>
    </w:p>
    <w:p w14:paraId="1F6C1512" w14:textId="77777777" w:rsidR="00D44DD8" w:rsidRDefault="00D44DD8" w:rsidP="00D44DD8">
      <w:pPr>
        <w:pStyle w:val="Body"/>
      </w:pPr>
      <w:r>
        <w:t>Van De Velde, K., Thomas, S. G., Heyse, F., Kaspar, R., Van Der Straeten, D., &amp; Rohde, A. (2021). N-terminal truncated RHT-1 proteins generated by translational reinitiation cause semi-dwarfing of wheat Green Revolution alleles. Molecular Plant, 14(4), 679–687. https://doi.org/10.1016/j.molp.2021.01.002</w:t>
      </w:r>
    </w:p>
    <w:p w14:paraId="10711A6D" w14:textId="77777777" w:rsidR="00D44DD8" w:rsidRDefault="00D44DD8" w:rsidP="00D44DD8">
      <w:pPr>
        <w:pStyle w:val="Body"/>
      </w:pPr>
      <w:r>
        <w:t>Wang, F., Yoshida, H., &amp; Matsuoka, M. (2021). Making the Green Revolution truly green: Improving crop nitrogen use efficiency. Plant and Cell Physiology, 62(6), 942–947.</w:t>
      </w:r>
    </w:p>
    <w:p w14:paraId="5E0F74A1" w14:textId="77777777" w:rsidR="00D44DD8" w:rsidRDefault="00D44DD8" w:rsidP="00D44DD8">
      <w:pPr>
        <w:pStyle w:val="Body"/>
      </w:pPr>
      <w:r>
        <w:t>Wang, M., Shen, Q., Xu, G., &amp; Guo, S. (2014). New insight into the strategy for nitrogen metabolism in plant cells. International Review of Cell and Molecular Biology, 310, 1–37.</w:t>
      </w:r>
    </w:p>
    <w:p w14:paraId="11FA24B3" w14:textId="77777777" w:rsidR="00D44DD8" w:rsidRDefault="00D44DD8" w:rsidP="00D44DD8">
      <w:pPr>
        <w:pStyle w:val="Body"/>
      </w:pPr>
      <w:r>
        <w:t>Wang, Q., Nian, J., Xie, X., Yu, H., Zhang, J., Bai, J., et al. (2018). Genetic variations in ARE1 mediate grain yield by modulating nitrogen utilization in rice. Nature Communications, 9, 735.</w:t>
      </w:r>
    </w:p>
    <w:p w14:paraId="445EA332" w14:textId="77777777" w:rsidR="00D44DD8" w:rsidRDefault="00D44DD8" w:rsidP="00D44DD8">
      <w:pPr>
        <w:pStyle w:val="Body"/>
      </w:pPr>
      <w:r>
        <w:t>Wang, Q., Su, Q., Nian, J., Zhang, J., Guo, M., Dong, G., et al. (2021). The Ghd7 transcription factor represses ARE1 expression to enhance nitrogen utilization and grain yield in rice. Molecular Plant, 14(6), 1012–1023.</w:t>
      </w:r>
    </w:p>
    <w:p w14:paraId="7DA78988" w14:textId="77777777" w:rsidR="00D44DD8" w:rsidRDefault="00D44DD8" w:rsidP="00D44DD8">
      <w:pPr>
        <w:pStyle w:val="Body"/>
      </w:pPr>
      <w:r>
        <w:t xml:space="preserve">Wang, W., Li, A., Zhang, Z., &amp; Chu, C. (2021). Posttranslational modifications: Regulation of nitrogen utilization and </w:t>
      </w:r>
      <w:proofErr w:type="spellStart"/>
      <w:r>
        <w:t>signalling</w:t>
      </w:r>
      <w:proofErr w:type="spellEnd"/>
      <w:r>
        <w:t>. Plant and Cell Physiology, 62(4), 543–552.</w:t>
      </w:r>
    </w:p>
    <w:p w14:paraId="1F54147A" w14:textId="77777777" w:rsidR="00D44DD8" w:rsidRDefault="00D44DD8" w:rsidP="00D44DD8">
      <w:pPr>
        <w:pStyle w:val="Body"/>
      </w:pPr>
      <w:r>
        <w:t>Wang, W., Wang, W., Pan, Y., Tan, C., Li, H., Chen, Y., et al. (2022). A new gain-of-function OsGS2/GRF4 allele generated by CRISPR/Cas9 genome editing increases rice grain size and yield. The Crop Journal, 10(4), 1207–1212.</w:t>
      </w:r>
    </w:p>
    <w:p w14:paraId="77A25FB6" w14:textId="77777777" w:rsidR="00D44DD8" w:rsidRDefault="00D44DD8" w:rsidP="00D44DD8">
      <w:pPr>
        <w:pStyle w:val="Body"/>
      </w:pPr>
      <w:r>
        <w:t xml:space="preserve">Wang, Y. Y., Cheng, Y. H., Chen, K. E., &amp; Tsay, Y. F. (2018). Nitrate transport, </w:t>
      </w:r>
      <w:proofErr w:type="spellStart"/>
      <w:r>
        <w:t>signalling</w:t>
      </w:r>
      <w:proofErr w:type="spellEnd"/>
      <w:r>
        <w:t>, and use efficiency. Annual Review of Plant Biology, 69, 85–122.</w:t>
      </w:r>
    </w:p>
    <w:p w14:paraId="2B3ECFB1" w14:textId="77777777" w:rsidR="00D44DD8" w:rsidRDefault="00D44DD8" w:rsidP="00D44DD8">
      <w:pPr>
        <w:pStyle w:val="Body"/>
      </w:pPr>
      <w:r>
        <w:t xml:space="preserve">Wang, Y.-Y., Hsu, P.-K., &amp; Tsay, Y.-F. (2012). Uptake, allocation and </w:t>
      </w:r>
      <w:proofErr w:type="spellStart"/>
      <w:r>
        <w:t>signalling</w:t>
      </w:r>
      <w:proofErr w:type="spellEnd"/>
      <w:r>
        <w:t xml:space="preserve"> of nitrate. Trends in Plant Science, 17(8), 458–467.</w:t>
      </w:r>
    </w:p>
    <w:p w14:paraId="23B27578" w14:textId="77777777" w:rsidR="00D44DD8" w:rsidRDefault="00D44DD8" w:rsidP="00D44DD8">
      <w:pPr>
        <w:pStyle w:val="Body"/>
      </w:pPr>
      <w:r>
        <w:t>Wu, K., Wang, S., Song, W., Zhang, J., Wang, Y., Liu, Q., et al. (2020). Enhanced sustainable green revolution yield via nitrogen-responsive chromatin modulation in rice. Science, 367(6478), eaaz2046.</w:t>
      </w:r>
    </w:p>
    <w:p w14:paraId="105150F7" w14:textId="77777777" w:rsidR="00D44DD8" w:rsidRDefault="00D44DD8" w:rsidP="00D44DD8">
      <w:pPr>
        <w:pStyle w:val="Body"/>
      </w:pPr>
      <w:r>
        <w:t>Xu, G., Fan, X., &amp; Miller, A. J. (2012). Plant nitrogen assimilation and use efficiency. Annual Review of Plant Biology, 63, 153–182.</w:t>
      </w:r>
    </w:p>
    <w:p w14:paraId="1A9BDB71" w14:textId="77777777" w:rsidR="00D44DD8" w:rsidRDefault="00D44DD8" w:rsidP="00D44DD8">
      <w:pPr>
        <w:pStyle w:val="Body"/>
      </w:pPr>
      <w:r>
        <w:t>Xu, N., Cheng, L., Kong, Y., Chen, G., Zhao, L., &amp; Liu, F. (2024). Functional analyses of the NRT2 family of nitrate transporters in Arabidopsis. Frontiers in Plant Science, 15, 1351998.</w:t>
      </w:r>
    </w:p>
    <w:p w14:paraId="683E2B01" w14:textId="77777777" w:rsidR="00D44DD8" w:rsidRDefault="00D44DD8" w:rsidP="00D44DD8">
      <w:pPr>
        <w:pStyle w:val="Body"/>
      </w:pPr>
      <w:r>
        <w:t>Xue, H., Gao, X., He, P., &amp; Xiao, G. (2022). Origin, evolution, and molecular function of DELLA proteins in plants. The Crop Journal, 10, 287–299.</w:t>
      </w:r>
    </w:p>
    <w:p w14:paraId="3404C4F8" w14:textId="77777777" w:rsidR="00D44DD8" w:rsidRDefault="00D44DD8" w:rsidP="00D44DD8">
      <w:pPr>
        <w:pStyle w:val="Body"/>
      </w:pPr>
      <w:r>
        <w:t>Yan, M., Fan, X., Feng, H., Miller, A. J., Shen, Q., &amp; Xu, G. (2011). Rice OsNAR2.1 interacts with OsNRT2.1, OsNRT2.2 and OsNRT2.3a nitrate transporters to provide uptake over high and low concentration ranges. Plant, Cell &amp; Environment, 34(8), 1360–1372.</w:t>
      </w:r>
    </w:p>
    <w:p w14:paraId="36051E62" w14:textId="77777777" w:rsidR="00D44DD8" w:rsidRDefault="00D44DD8" w:rsidP="00D44DD8">
      <w:pPr>
        <w:pStyle w:val="Body"/>
      </w:pPr>
      <w:r>
        <w:lastRenderedPageBreak/>
        <w:t>Yoneyama, T., &amp; Suzuki, A. (2020). Light-independent nitrogen assimilation in plant leaves: Nitrate incorporation into glutamine, glutamate, aspartate, and asparagine traced by 15N. Plants, 9(10), 1303.</w:t>
      </w:r>
    </w:p>
    <w:p w14:paraId="7D6B6998" w14:textId="77777777" w:rsidR="00D44DD8" w:rsidRDefault="00D44DD8" w:rsidP="00D44DD8">
      <w:pPr>
        <w:pStyle w:val="Body"/>
      </w:pPr>
      <w:r>
        <w:t>Yong, Z., Kotur, Z., &amp; Glass, A. D. (2010). Characterization of an intact two-component high-affinity nitrate transporter from Arabidopsis roots. The Plant Journal, 63(5), 739–748.</w:t>
      </w:r>
    </w:p>
    <w:p w14:paraId="1CBEDDD0" w14:textId="77777777" w:rsidR="00D44DD8" w:rsidRDefault="00D44DD8" w:rsidP="00D44DD8">
      <w:pPr>
        <w:pStyle w:val="Body"/>
      </w:pPr>
      <w:r>
        <w:t>Yu, L. H., Wu, J., Tang, H., Yuan, Y., Wang, S. M., Wang, Y. P., et al. (2016). Overexpression of Arabidopsis NLP7 improves plant growth under both nitrogen-limiting and nitrogen-sufficient conditions by enhancing nitrogen and carbon assimilation. Scientific Reports, 6(1), 27795.</w:t>
      </w:r>
    </w:p>
    <w:p w14:paraId="61503620" w14:textId="77777777" w:rsidR="00D44DD8" w:rsidRDefault="00D44DD8" w:rsidP="00D44DD8">
      <w:pPr>
        <w:pStyle w:val="Body"/>
      </w:pPr>
      <w:r>
        <w:t xml:space="preserve">Zhang, H., Zhang, X., &amp; Xiao, J. (2023). Epigenetic regulation of nitrogen </w:t>
      </w:r>
      <w:proofErr w:type="spellStart"/>
      <w:r>
        <w:t>signalling</w:t>
      </w:r>
      <w:proofErr w:type="spellEnd"/>
      <w:r>
        <w:t xml:space="preserve"> and adaptation in plants. Plants, 12(14), 2725.</w:t>
      </w:r>
    </w:p>
    <w:p w14:paraId="5D3940FD" w14:textId="77777777" w:rsidR="00D44DD8" w:rsidRDefault="00D44DD8" w:rsidP="00D44DD8">
      <w:pPr>
        <w:pStyle w:val="Body"/>
      </w:pPr>
      <w:r>
        <w:t>Zhang, J., Zhang, H., Li, S., Li, J., Yan, L., &amp; Xia, L. (2021). Increasing yield potential through manipulating an ARE1 ortholog related to nitrogen use efficiency in wheat by CRISPR/Cas9. Journal of Integrative Plant Biology, 63(9), 1649–1663.</w:t>
      </w:r>
    </w:p>
    <w:p w14:paraId="787F222B" w14:textId="77777777" w:rsidR="00D44DD8" w:rsidRDefault="00D44DD8" w:rsidP="00D44DD8">
      <w:pPr>
        <w:pStyle w:val="Body"/>
      </w:pPr>
      <w:r>
        <w:t>Zhang, X., et al. (2015). Managing nitrogen for sustainable development. Nature, 528(7580), 51–59.</w:t>
      </w:r>
    </w:p>
    <w:p w14:paraId="52A5DDE4" w14:textId="404EB9EA" w:rsidR="00441B6F" w:rsidRDefault="00D44DD8" w:rsidP="00D44DD8">
      <w:pPr>
        <w:pStyle w:val="Body"/>
        <w:spacing w:after="0"/>
        <w:jc w:val="left"/>
      </w:pPr>
      <w:r>
        <w:t xml:space="preserve">Zuluaga, D. L., &amp; </w:t>
      </w:r>
      <w:proofErr w:type="spellStart"/>
      <w:r>
        <w:t>Sonnante</w:t>
      </w:r>
      <w:proofErr w:type="spellEnd"/>
      <w:r>
        <w:t>, G. (2019). The use of nitrogen and its regulation in cereals: Structural genes, transcription factors, and the role of miRNAs. Plants, 8(8), 294. https://doi.org/10.3390/plants8080294</w:t>
      </w:r>
    </w:p>
    <w:p w14:paraId="403E5011" w14:textId="77777777" w:rsidR="00441B6F" w:rsidRDefault="00441B6F" w:rsidP="00441B6F">
      <w:pPr>
        <w:pStyle w:val="Body"/>
        <w:spacing w:after="0"/>
        <w:jc w:val="left"/>
        <w:rPr>
          <w:rFonts w:ascii="Arial" w:hAnsi="Arial" w:cs="Arial"/>
        </w:rPr>
      </w:pPr>
    </w:p>
    <w:p w14:paraId="319266A8" w14:textId="77777777" w:rsidR="00B01FCD" w:rsidRPr="00FB3A86" w:rsidRDefault="00B01FCD" w:rsidP="00441B6F">
      <w:pPr>
        <w:pStyle w:val="Reference"/>
        <w:numPr>
          <w:ilvl w:val="0"/>
          <w:numId w:val="0"/>
        </w:numPr>
        <w:spacing w:line="240" w:lineRule="auto"/>
        <w:rPr>
          <w:rFonts w:ascii="Arial" w:hAnsi="Arial" w:cs="Arial"/>
        </w:rPr>
      </w:pPr>
    </w:p>
    <w:p w14:paraId="7379EEF8" w14:textId="77777777" w:rsidR="00B01FCD" w:rsidRPr="00FB3A86" w:rsidRDefault="00B01FCD" w:rsidP="00441B6F">
      <w:pPr>
        <w:pStyle w:val="Appendix"/>
        <w:spacing w:after="0"/>
        <w:jc w:val="both"/>
        <w:rPr>
          <w:rFonts w:ascii="Arial" w:hAnsi="Arial" w:cs="Arial"/>
          <w:b w:val="0"/>
        </w:rPr>
      </w:pPr>
    </w:p>
    <w:sectPr w:rsidR="00B01FCD" w:rsidRPr="00FB3A86" w:rsidSect="00CA637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BAE05" w14:textId="77777777" w:rsidR="004417DE" w:rsidRDefault="004417DE" w:rsidP="00C37E61">
      <w:r>
        <w:separator/>
      </w:r>
    </w:p>
  </w:endnote>
  <w:endnote w:type="continuationSeparator" w:id="0">
    <w:p w14:paraId="197F7715" w14:textId="77777777" w:rsidR="004417DE" w:rsidRDefault="004417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1A20" w14:textId="77777777" w:rsidR="00CA6372" w:rsidRDefault="00CA6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D33B" w14:textId="77777777" w:rsidR="00CA6372" w:rsidRDefault="00CA6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5255" w14:textId="77777777" w:rsidR="009E048A" w:rsidRDefault="009E048A">
    <w:pPr>
      <w:pStyle w:val="Footer"/>
      <w:rPr>
        <w:rFonts w:ascii="Arial" w:hAnsi="Arial" w:cs="Arial"/>
        <w:sz w:val="16"/>
      </w:rPr>
    </w:pPr>
  </w:p>
  <w:p w14:paraId="3E6560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33A4E7" w14:textId="77777777" w:rsidR="009E048A" w:rsidRDefault="009E048A">
    <w:pPr>
      <w:pStyle w:val="Footer"/>
      <w:rPr>
        <w:rFonts w:ascii="Arial" w:hAnsi="Arial" w:cs="Arial"/>
        <w:sz w:val="16"/>
      </w:rPr>
    </w:pPr>
  </w:p>
  <w:p w14:paraId="224A17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C6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8433" w14:textId="77777777" w:rsidR="004417DE" w:rsidRDefault="004417DE" w:rsidP="00C37E61">
      <w:r>
        <w:separator/>
      </w:r>
    </w:p>
  </w:footnote>
  <w:footnote w:type="continuationSeparator" w:id="0">
    <w:p w14:paraId="5092BA99" w14:textId="77777777" w:rsidR="004417DE" w:rsidRDefault="004417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9CAA" w14:textId="32BA520B" w:rsidR="00CA6372" w:rsidRDefault="00CA6372">
    <w:pPr>
      <w:pStyle w:val="Header"/>
    </w:pPr>
    <w:r>
      <w:rPr>
        <w:noProof/>
      </w:rPr>
      <w:pict w14:anchorId="51FEB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5DF3" w14:textId="6D387E2A" w:rsidR="00CA6372" w:rsidRDefault="00CA6372">
    <w:pPr>
      <w:pStyle w:val="Header"/>
    </w:pPr>
    <w:r>
      <w:rPr>
        <w:noProof/>
      </w:rPr>
      <w:pict w14:anchorId="616B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F648" w14:textId="21346A14" w:rsidR="00296529" w:rsidRPr="00296529" w:rsidRDefault="00CA6372" w:rsidP="00296529">
    <w:pPr>
      <w:ind w:left="2160"/>
      <w:jc w:val="center"/>
      <w:rPr>
        <w:rFonts w:ascii="Times New Roman" w:eastAsia="Calibri" w:hAnsi="Times New Roman"/>
        <w:i/>
        <w:sz w:val="18"/>
        <w:szCs w:val="22"/>
      </w:rPr>
    </w:pPr>
    <w:r>
      <w:rPr>
        <w:noProof/>
      </w:rPr>
      <w:pict w14:anchorId="0CE0A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D117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8240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E361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1F21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323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502E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8675" w14:textId="3E3E5251" w:rsidR="00CA6372" w:rsidRDefault="00CA6372">
    <w:pPr>
      <w:pStyle w:val="Header"/>
    </w:pPr>
    <w:r>
      <w:rPr>
        <w:noProof/>
      </w:rPr>
      <w:pict w14:anchorId="5B71F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6643" w14:textId="1DE53C6F" w:rsidR="00CA6372" w:rsidRDefault="00CA6372">
    <w:pPr>
      <w:pStyle w:val="Header"/>
    </w:pPr>
    <w:r>
      <w:rPr>
        <w:noProof/>
      </w:rPr>
      <w:pict w14:anchorId="55CC6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A00D" w14:textId="2B334FD5" w:rsidR="00CA6372" w:rsidRDefault="00CA6372">
    <w:pPr>
      <w:pStyle w:val="Header"/>
    </w:pPr>
    <w:r>
      <w:rPr>
        <w:noProof/>
      </w:rPr>
      <w:pict w14:anchorId="39CDE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6A03"/>
    <w:rsid w:val="000B1E33"/>
    <w:rsid w:val="000D689F"/>
    <w:rsid w:val="000E7B7B"/>
    <w:rsid w:val="000E7D62"/>
    <w:rsid w:val="00103357"/>
    <w:rsid w:val="00123C9F"/>
    <w:rsid w:val="00126190"/>
    <w:rsid w:val="00130F17"/>
    <w:rsid w:val="0013166A"/>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7E99"/>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7DE"/>
    <w:rsid w:val="00441B6F"/>
    <w:rsid w:val="00446221"/>
    <w:rsid w:val="00450E62"/>
    <w:rsid w:val="004539DB"/>
    <w:rsid w:val="00471A80"/>
    <w:rsid w:val="0049578D"/>
    <w:rsid w:val="004D305E"/>
    <w:rsid w:val="004D4277"/>
    <w:rsid w:val="00502516"/>
    <w:rsid w:val="00505F06"/>
    <w:rsid w:val="00506828"/>
    <w:rsid w:val="0053056E"/>
    <w:rsid w:val="00554FDA"/>
    <w:rsid w:val="005603BE"/>
    <w:rsid w:val="005C784C"/>
    <w:rsid w:val="005D17F6"/>
    <w:rsid w:val="005E5539"/>
    <w:rsid w:val="00602BF5"/>
    <w:rsid w:val="00610C6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491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4F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011"/>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1641"/>
    <w:rsid w:val="00C27F5F"/>
    <w:rsid w:val="00C30A0F"/>
    <w:rsid w:val="00C37E61"/>
    <w:rsid w:val="00C70F1B"/>
    <w:rsid w:val="00C71A47"/>
    <w:rsid w:val="00C7464C"/>
    <w:rsid w:val="00C85588"/>
    <w:rsid w:val="00CA6372"/>
    <w:rsid w:val="00CC5CB7"/>
    <w:rsid w:val="00CD6755"/>
    <w:rsid w:val="00CD6856"/>
    <w:rsid w:val="00CE0089"/>
    <w:rsid w:val="00CE793C"/>
    <w:rsid w:val="00CF193C"/>
    <w:rsid w:val="00D173F1"/>
    <w:rsid w:val="00D44DD8"/>
    <w:rsid w:val="00D52A7D"/>
    <w:rsid w:val="00D74CB0"/>
    <w:rsid w:val="00D8295D"/>
    <w:rsid w:val="00DA4DC0"/>
    <w:rsid w:val="00DC2A65"/>
    <w:rsid w:val="00DE15F0"/>
    <w:rsid w:val="00DE5663"/>
    <w:rsid w:val="00DE78AA"/>
    <w:rsid w:val="00E053D0"/>
    <w:rsid w:val="00E15994"/>
    <w:rsid w:val="00E3114E"/>
    <w:rsid w:val="00E31A70"/>
    <w:rsid w:val="00E35B02"/>
    <w:rsid w:val="00E5513E"/>
    <w:rsid w:val="00E66496"/>
    <w:rsid w:val="00E66B35"/>
    <w:rsid w:val="00E66E10"/>
    <w:rsid w:val="00E769F6"/>
    <w:rsid w:val="00E8407C"/>
    <w:rsid w:val="00E84F3C"/>
    <w:rsid w:val="00EA012C"/>
    <w:rsid w:val="00EC03C7"/>
    <w:rsid w:val="00EC6A55"/>
    <w:rsid w:val="00ED0288"/>
    <w:rsid w:val="00EE52CB"/>
    <w:rsid w:val="00EF581D"/>
    <w:rsid w:val="00EF7FD8"/>
    <w:rsid w:val="00F06F59"/>
    <w:rsid w:val="00F17988"/>
    <w:rsid w:val="00F469F0"/>
    <w:rsid w:val="00F53273"/>
    <w:rsid w:val="00F65DCD"/>
    <w:rsid w:val="00F755E4"/>
    <w:rsid w:val="00F77D02"/>
    <w:rsid w:val="00FB3A86"/>
    <w:rsid w:val="00FD13A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8F90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49578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95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25C4-BF08-4619-804C-23989F51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18</Pages>
  <Words>13310</Words>
  <Characters>75867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89000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2026-04-04T10:46:00Z</dcterms:created>
  <dcterms:modified xsi:type="dcterms:W3CDTF">2026-04-04T14:17:00Z</dcterms:modified>
</cp:coreProperties>
</file>